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600" w:lineRule="auto"/>
        <w:jc w:val="center"/>
        <w:rPr>
          <w:rFonts w:hint="eastAsia" w:asciiTheme="minorEastAsia" w:hAnsiTheme="minorEastAsia" w:eastAsiaTheme="minorEastAsia" w:cstheme="minorEastAsia"/>
          <w:b/>
          <w:bCs/>
          <w:color w:val="auto"/>
          <w:sz w:val="52"/>
          <w:szCs w:val="52"/>
          <w:highlight w:val="none"/>
          <w:lang w:eastAsia="zh-CN"/>
        </w:rPr>
      </w:pPr>
    </w:p>
    <w:p>
      <w:pPr>
        <w:spacing w:before="165" w:beforeLines="50" w:line="360" w:lineRule="auto"/>
        <w:jc w:val="center"/>
        <w:rPr>
          <w:rFonts w:hint="eastAsia" w:ascii="宋体" w:hAnsi="宋体"/>
          <w:color w:val="000000"/>
          <w:sz w:val="52"/>
          <w:szCs w:val="52"/>
        </w:rPr>
      </w:pPr>
      <w:r>
        <w:rPr>
          <w:rFonts w:hint="eastAsia" w:ascii="宋体" w:hAnsi="宋体"/>
          <w:color w:val="000000"/>
          <w:sz w:val="52"/>
          <w:szCs w:val="52"/>
        </w:rPr>
        <w:t>竞争性磋商文件范本（</w:t>
      </w:r>
      <w:r>
        <w:rPr>
          <w:rFonts w:hint="eastAsia" w:ascii="宋体" w:hAnsi="宋体"/>
          <w:color w:val="000000"/>
          <w:sz w:val="52"/>
          <w:szCs w:val="52"/>
          <w:lang w:eastAsia="zh-CN"/>
        </w:rPr>
        <w:t>工程</w:t>
      </w:r>
      <w:r>
        <w:rPr>
          <w:rFonts w:hint="eastAsia" w:ascii="宋体" w:hAnsi="宋体"/>
          <w:color w:val="000000"/>
          <w:sz w:val="52"/>
          <w:szCs w:val="52"/>
        </w:rPr>
        <w:t>类）</w:t>
      </w:r>
    </w:p>
    <w:p>
      <w:pPr>
        <w:pStyle w:val="36"/>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highlight w:val="none"/>
        </w:rPr>
      </w:pPr>
      <w:r>
        <w:rPr>
          <w:rFonts w:hint="eastAsia"/>
          <w:color w:val="000000"/>
          <w:lang w:val="en-US" w:eastAsia="zh-CN"/>
        </w:rPr>
        <w:t xml:space="preserve">            </w:t>
      </w:r>
      <w:r>
        <w:rPr>
          <w:color w:val="000000"/>
        </w:rPr>
        <w:drawing>
          <wp:inline distT="0" distB="0" distL="114300" distR="114300">
            <wp:extent cx="3627120" cy="109029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27120" cy="109029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rPr>
      </w:pPr>
    </w:p>
    <w:p>
      <w:pPr>
        <w:pStyle w:val="35"/>
        <w:rPr>
          <w:rFonts w:hint="eastAsia" w:asciiTheme="minorEastAsia" w:hAnsiTheme="minorEastAsia" w:eastAsiaTheme="minorEastAsia" w:cstheme="minorEastAsia"/>
          <w:color w:val="auto"/>
          <w:highlight w:val="none"/>
        </w:rPr>
      </w:pPr>
    </w:p>
    <w:p>
      <w:pPr>
        <w:pStyle w:val="11"/>
        <w:spacing w:line="600" w:lineRule="auto"/>
        <w:jc w:val="center"/>
        <w:rPr>
          <w:rFonts w:hint="eastAsia"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84"/>
          <w:szCs w:val="84"/>
          <w:highlight w:val="none"/>
          <w:lang w:eastAsia="zh-CN"/>
        </w:rPr>
        <w:t>竞争性磋商文件</w:t>
      </w:r>
    </w:p>
    <w:p>
      <w:pPr>
        <w:pStyle w:val="11"/>
        <w:spacing w:line="600" w:lineRule="auto"/>
        <w:jc w:val="center"/>
        <w:rPr>
          <w:rFonts w:hint="eastAsia" w:asciiTheme="minorEastAsia" w:hAnsiTheme="minorEastAsia" w:eastAsiaTheme="minorEastAsia" w:cstheme="minorEastAsia"/>
          <w:b/>
          <w:bCs/>
          <w:color w:val="auto"/>
          <w:sz w:val="40"/>
          <w:szCs w:val="40"/>
          <w:highlight w:val="none"/>
        </w:rPr>
      </w:pPr>
    </w:p>
    <w:p>
      <w:pPr>
        <w:spacing w:before="331" w:beforeLines="100" w:after="165" w:afterLines="50" w:line="360" w:lineRule="auto"/>
        <w:jc w:val="center"/>
        <w:rPr>
          <w:rFonts w:hint="eastAsia" w:ascii="宋体" w:hAnsi="宋体"/>
          <w:color w:val="000000"/>
          <w:sz w:val="28"/>
          <w:szCs w:val="28"/>
        </w:rPr>
      </w:pPr>
      <w:r>
        <w:rPr>
          <w:rFonts w:hint="eastAsia" w:ascii="宋体" w:hAnsi="宋体"/>
          <w:color w:val="000000"/>
          <w:sz w:val="28"/>
          <w:szCs w:val="28"/>
        </w:rPr>
        <w:t>（全流程电子化评标）</w:t>
      </w:r>
    </w:p>
    <w:p>
      <w:pPr>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bCs/>
          <w:color w:val="auto"/>
          <w:sz w:val="32"/>
          <w:szCs w:val="32"/>
          <w:highlight w:val="none"/>
          <w:lang w:eastAsia="zh-CN"/>
        </w:rPr>
      </w:pPr>
    </w:p>
    <w:p>
      <w:pPr>
        <w:spacing w:line="360" w:lineRule="auto"/>
        <w:jc w:val="center"/>
        <w:rPr>
          <w:rFonts w:hint="eastAsia" w:asciiTheme="minorEastAsia" w:hAnsiTheme="minorEastAsia" w:eastAsiaTheme="minorEastAsia" w:cstheme="minorEastAsia"/>
          <w:b/>
          <w:bCs/>
          <w:color w:val="auto"/>
          <w:sz w:val="32"/>
          <w:szCs w:val="32"/>
          <w:highlight w:val="none"/>
          <w:lang w:eastAsia="zh-CN"/>
        </w:rPr>
      </w:pPr>
    </w:p>
    <w:p>
      <w:pPr>
        <w:pStyle w:val="35"/>
        <w:ind w:firstLine="1500" w:firstLineChars="5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项目名称：</w:t>
      </w:r>
      <w:r>
        <w:rPr>
          <w:rFonts w:hint="eastAsia" w:ascii="宋体" w:hAnsi="宋体" w:eastAsia="宋体" w:cs="宋体"/>
          <w:b/>
          <w:bCs/>
          <w:color w:val="auto"/>
          <w:sz w:val="30"/>
          <w:szCs w:val="30"/>
          <w:highlight w:val="none"/>
          <w:lang w:val="en-US" w:eastAsia="zh-CN"/>
        </w:rPr>
        <w:t>昭平中学300米塑胶运动场维护翻新项目</w:t>
      </w:r>
    </w:p>
    <w:p>
      <w:pPr>
        <w:spacing w:line="360" w:lineRule="auto"/>
        <w:ind w:firstLine="1500" w:firstLineChars="500"/>
        <w:jc w:val="both"/>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项目编号：HZZC2025-C2-</w:t>
      </w:r>
      <w:r>
        <w:rPr>
          <w:rFonts w:hint="eastAsia" w:ascii="宋体" w:hAnsi="宋体" w:cs="宋体"/>
          <w:b/>
          <w:bCs/>
          <w:color w:val="auto"/>
          <w:sz w:val="30"/>
          <w:szCs w:val="30"/>
          <w:highlight w:val="none"/>
          <w:lang w:eastAsia="zh-CN"/>
        </w:rPr>
        <w:t>210037</w:t>
      </w:r>
      <w:r>
        <w:rPr>
          <w:rFonts w:hint="eastAsia" w:ascii="宋体" w:hAnsi="宋体" w:eastAsia="宋体" w:cs="宋体"/>
          <w:b/>
          <w:bCs/>
          <w:color w:val="auto"/>
          <w:sz w:val="30"/>
          <w:szCs w:val="30"/>
          <w:highlight w:val="none"/>
          <w:lang w:eastAsia="zh-CN"/>
        </w:rPr>
        <w:t>-YXZB</w:t>
      </w:r>
    </w:p>
    <w:p>
      <w:pPr>
        <w:pStyle w:val="11"/>
        <w:spacing w:line="600" w:lineRule="auto"/>
        <w:rPr>
          <w:rFonts w:hint="eastAsia" w:asciiTheme="minorEastAsia" w:hAnsiTheme="minorEastAsia" w:eastAsiaTheme="minorEastAsia" w:cstheme="minorEastAsia"/>
          <w:b/>
          <w:bCs/>
          <w:color w:val="auto"/>
          <w:sz w:val="18"/>
          <w:szCs w:val="18"/>
          <w:highlight w:val="none"/>
        </w:rPr>
      </w:pPr>
    </w:p>
    <w:p>
      <w:pPr>
        <w:spacing w:line="360" w:lineRule="auto"/>
        <w:ind w:firstLine="1280" w:firstLineChars="400"/>
        <w:jc w:val="both"/>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kern w:val="0"/>
          <w:sz w:val="32"/>
          <w:szCs w:val="32"/>
          <w:highlight w:val="none"/>
        </w:rPr>
        <w:t>采购</w:t>
      </w:r>
      <w:r>
        <w:rPr>
          <w:rFonts w:hint="eastAsia" w:ascii="仿宋" w:hAnsi="仿宋" w:eastAsia="仿宋" w:cs="仿宋"/>
          <w:b/>
          <w:bCs/>
          <w:color w:val="auto"/>
          <w:kern w:val="0"/>
          <w:sz w:val="32"/>
          <w:szCs w:val="32"/>
          <w:highlight w:val="none"/>
          <w:lang w:eastAsia="zh-CN"/>
        </w:rPr>
        <w:t>单位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 xml:space="preserve">昭平中学 </w:t>
      </w:r>
    </w:p>
    <w:p>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采购</w:t>
      </w:r>
      <w:r>
        <w:rPr>
          <w:rFonts w:hint="eastAsia" w:ascii="仿宋" w:hAnsi="仿宋" w:eastAsia="仿宋" w:cs="仿宋"/>
          <w:b/>
          <w:bCs/>
          <w:color w:val="auto"/>
          <w:sz w:val="32"/>
          <w:szCs w:val="32"/>
          <w:highlight w:val="none"/>
        </w:rPr>
        <w:t>代理机构：</w:t>
      </w:r>
      <w:r>
        <w:rPr>
          <w:rFonts w:hint="eastAsia" w:ascii="仿宋" w:hAnsi="仿宋" w:eastAsia="仿宋" w:cs="仿宋"/>
          <w:b/>
          <w:bCs/>
          <w:color w:val="auto"/>
          <w:sz w:val="32"/>
          <w:szCs w:val="32"/>
          <w:highlight w:val="none"/>
          <w:lang w:eastAsia="zh-CN"/>
        </w:rPr>
        <w:t>广西岳鑫项目管理咨询有限责任公司</w:t>
      </w:r>
    </w:p>
    <w:p>
      <w:pPr>
        <w:pStyle w:val="11"/>
        <w:spacing w:line="360" w:lineRule="auto"/>
        <w:ind w:firstLine="1600" w:firstLineChars="500"/>
        <w:jc w:val="both"/>
        <w:rPr>
          <w:rFonts w:hint="eastAsia" w:asciiTheme="minorEastAsia" w:hAnsiTheme="minorEastAsia" w:eastAsiaTheme="minorEastAsia" w:cstheme="minorEastAsia"/>
          <w:b/>
          <w:bCs/>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w:t>
      </w:r>
      <w:r>
        <w:rPr>
          <w:rFonts w:hint="eastAsia" w:asciiTheme="minorEastAsia" w:hAnsiTheme="minorEastAsia" w:eastAsiaTheme="minorEastAsia" w:cstheme="minorEastAsia"/>
          <w:b/>
          <w:bCs/>
          <w:color w:val="auto"/>
          <w:sz w:val="32"/>
          <w:szCs w:val="32"/>
          <w:highlight w:val="none"/>
          <w:lang w:eastAsia="zh-CN"/>
        </w:rPr>
        <w:t>202</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lang w:eastAsia="zh-CN"/>
        </w:rPr>
        <w:t>年</w:t>
      </w:r>
      <w:r>
        <w:rPr>
          <w:rFonts w:hint="eastAsia" w:asciiTheme="minorEastAsia" w:hAnsiTheme="minorEastAsia" w:eastAsiaTheme="minorEastAsia" w:cstheme="minorEastAsia"/>
          <w:b/>
          <w:bCs/>
          <w:color w:val="auto"/>
          <w:sz w:val="32"/>
          <w:szCs w:val="32"/>
          <w:highlight w:val="none"/>
          <w:lang w:val="en-US" w:eastAsia="zh-CN"/>
        </w:rPr>
        <w:t>05</w:t>
      </w:r>
      <w:r>
        <w:rPr>
          <w:rFonts w:hint="eastAsia" w:asciiTheme="minorEastAsia" w:hAnsiTheme="minorEastAsia" w:eastAsiaTheme="minorEastAsia" w:cstheme="minorEastAsia"/>
          <w:b/>
          <w:bCs/>
          <w:color w:val="auto"/>
          <w:sz w:val="32"/>
          <w:szCs w:val="32"/>
          <w:highlight w:val="none"/>
          <w:lang w:eastAsia="zh-CN"/>
        </w:rPr>
        <w:t>月</w:t>
      </w:r>
    </w:p>
    <w:p>
      <w:pPr>
        <w:pStyle w:val="11"/>
        <w:spacing w:line="600" w:lineRule="auto"/>
        <w:jc w:val="center"/>
        <w:rPr>
          <w:rFonts w:hint="eastAsia" w:asciiTheme="minorEastAsia" w:hAnsiTheme="minorEastAsia" w:eastAsiaTheme="minorEastAsia" w:cstheme="minorEastAsia"/>
          <w:b/>
          <w:color w:val="auto"/>
          <w:sz w:val="44"/>
          <w:szCs w:val="44"/>
          <w:highlight w:val="none"/>
        </w:rPr>
        <w:sectPr>
          <w:headerReference r:id="rId5" w:type="first"/>
          <w:headerReference r:id="rId3" w:type="default"/>
          <w:footerReference r:id="rId6" w:type="default"/>
          <w:headerReference r:id="rId4" w:type="even"/>
          <w:footerReference r:id="rId7" w:type="even"/>
          <w:pgSz w:w="11907" w:h="16840"/>
          <w:pgMar w:top="1247" w:right="1000" w:bottom="1247" w:left="1247" w:header="851" w:footer="892" w:gutter="0"/>
          <w:pgNumType w:fmt="decimal"/>
          <w:cols w:space="720" w:num="1"/>
          <w:titlePg/>
          <w:docGrid w:type="linesAndChars" w:linePitch="312" w:charSpace="0"/>
        </w:sectPr>
      </w:pPr>
    </w:p>
    <w:p>
      <w:pPr>
        <w:pStyle w:val="11"/>
        <w:spacing w:line="600" w:lineRule="auto"/>
        <w:jc w:val="center"/>
        <w:rPr>
          <w:rFonts w:hint="eastAsia" w:asciiTheme="minorEastAsia" w:hAnsiTheme="minorEastAsia" w:eastAsiaTheme="minorEastAsia" w:cstheme="minorEastAsia"/>
          <w:b/>
          <w:color w:val="auto"/>
          <w:sz w:val="32"/>
          <w:szCs w:val="32"/>
          <w:highlight w:val="none"/>
        </w:rPr>
      </w:pPr>
    </w:p>
    <w:p>
      <w:pPr>
        <w:pStyle w:val="11"/>
        <w:spacing w:line="60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TOC \o "1-3" \h \z \u </w:instrText>
      </w:r>
      <w:r>
        <w:rPr>
          <w:rFonts w:hint="eastAsia" w:asciiTheme="minorEastAsia" w:hAnsiTheme="minorEastAsia" w:eastAsiaTheme="minorEastAsia" w:cstheme="minorEastAsia"/>
          <w:bCs/>
          <w:color w:val="auto"/>
          <w:sz w:val="24"/>
          <w:szCs w:val="24"/>
          <w:highlight w:val="none"/>
        </w:rPr>
        <w:fldChar w:fldCharType="separate"/>
      </w: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_Toc14238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32"/>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_Toc11438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第二章</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CN"/>
        </w:rPr>
        <w:t>磋商供应商</w:t>
      </w:r>
      <w:r>
        <w:rPr>
          <w:rFonts w:hint="eastAsia" w:asciiTheme="minorEastAsia" w:hAnsiTheme="minorEastAsia" w:eastAsiaTheme="minorEastAsia" w:cstheme="minorEastAsia"/>
          <w:color w:val="auto"/>
          <w:szCs w:val="28"/>
          <w:highlight w:val="none"/>
        </w:rPr>
        <w:t>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_Toc14983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第三章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_Toc14983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_Toc462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第四章 工程量清单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_Toc21503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_Toc21503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_Toc24668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第六章  技术标准和要求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_Toc13925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 xml:space="preserve">第七章  </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_Toc13925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pPr>
        <w:pStyle w:val="15"/>
        <w:tabs>
          <w:tab w:val="right" w:leader="dot" w:pos="8889"/>
          <w:tab w:val="clear" w:pos="0"/>
          <w:tab w:val="clear" w:pos="9435"/>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_Toc2615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第八章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bCs/>
          <w:color w:val="auto"/>
          <w:szCs w:val="24"/>
          <w:highlight w:val="none"/>
        </w:rPr>
        <w:fldChar w:fldCharType="end"/>
      </w:r>
      <w:r>
        <w:rPr>
          <w:rFonts w:hint="eastAsia" w:asciiTheme="minorEastAsia" w:hAnsiTheme="minorEastAsia" w:eastAsiaTheme="minorEastAsia" w:cstheme="minorEastAsia"/>
          <w:bCs/>
          <w:color w:val="auto"/>
          <w:szCs w:val="24"/>
          <w:highlight w:val="none"/>
          <w:lang w:val="en-US" w:eastAsia="zh-CN"/>
        </w:rPr>
        <w:t>5</w:t>
      </w:r>
    </w:p>
    <w:p>
      <w:pPr>
        <w:pStyle w:val="11"/>
        <w:tabs>
          <w:tab w:val="right" w:leader="dot" w:pos="9407"/>
        </w:tabs>
        <w:spacing w:line="440" w:lineRule="exact"/>
        <w:jc w:val="center"/>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4"/>
          <w:highlight w:val="none"/>
        </w:rPr>
        <w:fldChar w:fldCharType="end"/>
      </w:r>
    </w:p>
    <w:p>
      <w:pPr>
        <w:pStyle w:val="11"/>
        <w:tabs>
          <w:tab w:val="left" w:pos="3780"/>
        </w:tabs>
        <w:spacing w:line="276"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pPr>
        <w:pStyle w:val="11"/>
        <w:numPr>
          <w:ilvl w:val="0"/>
          <w:numId w:val="1"/>
        </w:numPr>
        <w:spacing w:line="27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lang w:val="en-US" w:eastAsia="zh-CN"/>
        </w:rPr>
        <w:br w:type="page"/>
      </w:r>
      <w:bookmarkStart w:id="0" w:name="_Toc14238"/>
      <w:r>
        <w:rPr>
          <w:rFonts w:hint="eastAsia" w:asciiTheme="minorEastAsia" w:hAnsiTheme="minorEastAsia" w:eastAsiaTheme="minorEastAsia" w:cstheme="minorEastAsia"/>
          <w:b/>
          <w:color w:val="auto"/>
          <w:sz w:val="32"/>
          <w:szCs w:val="32"/>
          <w:highlight w:val="none"/>
        </w:rPr>
        <w:t>竞争性磋商公告</w:t>
      </w:r>
      <w:bookmarkEnd w:id="0"/>
    </w:p>
    <w:p>
      <w:pPr>
        <w:keepNext w:val="0"/>
        <w:keepLines w:val="0"/>
        <w:pageBreakBefore w:val="0"/>
        <w:widowControl w:val="0"/>
        <w:kinsoku/>
        <w:wordWrap/>
        <w:overflowPunct/>
        <w:topLinePunct w:val="0"/>
        <w:autoSpaceDE/>
        <w:autoSpaceDN/>
        <w:bidi w:val="0"/>
        <w:adjustRightInd/>
        <w:snapToGrid/>
        <w:spacing w:line="400" w:lineRule="exact"/>
        <w:ind w:left="-420" w:leftChars="-200" w:right="-315" w:rightChars="-150"/>
        <w:jc w:val="center"/>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广西岳鑫项目管理咨询有限责任公司</w:t>
      </w:r>
      <w:r>
        <w:rPr>
          <w:rFonts w:hint="eastAsia" w:asciiTheme="minorEastAsia" w:hAnsiTheme="minorEastAsia" w:eastAsiaTheme="minorEastAsia" w:cstheme="minorEastAsia"/>
          <w:b/>
          <w:bCs/>
          <w:color w:val="auto"/>
          <w:sz w:val="28"/>
          <w:szCs w:val="28"/>
          <w:highlight w:val="none"/>
        </w:rPr>
        <w:t>关于</w:t>
      </w:r>
      <w:r>
        <w:rPr>
          <w:rFonts w:hint="eastAsia" w:asciiTheme="minorEastAsia" w:hAnsiTheme="minorEastAsia" w:eastAsiaTheme="minorEastAsia" w:cstheme="minorEastAsia"/>
          <w:b/>
          <w:bCs/>
          <w:color w:val="auto"/>
          <w:sz w:val="28"/>
          <w:szCs w:val="28"/>
          <w:highlight w:val="none"/>
          <w:lang w:eastAsia="zh-CN"/>
        </w:rPr>
        <w:t>昭平中学300米塑胶运动场维护翻新项目</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315" w:rightChars="-150"/>
        <w:jc w:val="center"/>
        <w:textAlignment w:val="auto"/>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竞争性磋商公告</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远程异地评标</w:t>
      </w:r>
      <w:r>
        <w:rPr>
          <w:rFonts w:hint="eastAsia" w:asciiTheme="minorEastAsia" w:hAnsiTheme="minorEastAsia" w:eastAsiaTheme="minorEastAsia" w:cstheme="minorEastAsia"/>
          <w:b/>
          <w:bCs/>
          <w:color w:val="auto"/>
          <w:sz w:val="28"/>
          <w:szCs w:val="28"/>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项目概况</w:t>
      </w:r>
      <w:r>
        <w:rPr>
          <w:rFonts w:hint="eastAsia" w:asciiTheme="minorEastAsia" w:hAnsiTheme="minorEastAsia" w:eastAsiaTheme="minorEastAsia" w:cstheme="minorEastAsia"/>
          <w:color w:val="auto"/>
          <w:sz w:val="24"/>
          <w:szCs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 xml:space="preserve"> 昭平中学300米塑胶运动场维护翻新项目</w:t>
      </w:r>
      <w:r>
        <w:rPr>
          <w:rFonts w:hint="eastAsia" w:asciiTheme="minorEastAsia" w:hAnsiTheme="minorEastAsia" w:eastAsiaTheme="minorEastAsia" w:cstheme="minorEastAsia"/>
          <w:color w:val="auto"/>
          <w:sz w:val="24"/>
          <w:szCs w:val="24"/>
          <w:highlight w:val="none"/>
        </w:rPr>
        <w:t>采购项目的潜在供应商应在</w:t>
      </w:r>
      <w:r>
        <w:rPr>
          <w:rFonts w:hint="eastAsia" w:asciiTheme="minorEastAsia" w:hAnsiTheme="minorEastAsia" w:eastAsiaTheme="minorEastAsia" w:cstheme="minorEastAsia"/>
          <w:color w:val="auto"/>
          <w:sz w:val="24"/>
          <w:szCs w:val="24"/>
          <w:highlight w:val="none"/>
          <w:u w:val="single"/>
          <w:lang w:val="en-US" w:eastAsia="zh-CN"/>
        </w:rPr>
        <w:t>广西政府采购云平台（https://www.gcy.zfcg.gxzf.gov.cn/）</w:t>
      </w: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文件，并于</w:t>
      </w:r>
      <w:r>
        <w:rPr>
          <w:rFonts w:hint="eastAsia" w:asciiTheme="minorEastAsia" w:hAnsiTheme="minorEastAsia" w:eastAsiaTheme="minorEastAsia" w:cstheme="minorEastAsia"/>
          <w:color w:val="auto"/>
          <w:sz w:val="24"/>
          <w:szCs w:val="24"/>
          <w:highlight w:val="none"/>
          <w:u w:val="single"/>
          <w:lang w:val="en-US" w:eastAsia="zh-CN"/>
        </w:rPr>
        <w:t>2025年06月11日9时00分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（北京时间）前提交响应文件</w:t>
      </w:r>
      <w:r>
        <w:rPr>
          <w:rFonts w:hint="eastAsia" w:asciiTheme="minorEastAsia" w:hAnsiTheme="minorEastAsia" w:eastAsiaTheme="minorEastAsia" w:cstheme="minorEastAsia"/>
          <w:color w:val="auto"/>
          <w:sz w:val="24"/>
          <w:szCs w:val="24"/>
          <w:highlight w:val="none"/>
        </w:rPr>
        <w:t>。</w:t>
      </w:r>
    </w:p>
    <w:p>
      <w:pPr>
        <w:pStyle w:val="4"/>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Theme="minorEastAsia" w:hAnsiTheme="minorEastAsia" w:eastAsiaTheme="minorEastAsia" w:cstheme="minorEastAsia"/>
          <w:b/>
          <w:bCs w:val="0"/>
          <w:color w:val="auto"/>
          <w:sz w:val="24"/>
          <w:szCs w:val="24"/>
          <w:highlight w:val="none"/>
          <w:lang w:eastAsia="zh-CN"/>
        </w:rPr>
      </w:pPr>
      <w:bookmarkStart w:id="1" w:name="_Toc35393629"/>
      <w:bookmarkStart w:id="2" w:name="_Toc28359012"/>
      <w:bookmarkStart w:id="3" w:name="_Toc28359089"/>
      <w:bookmarkStart w:id="4" w:name="_Toc35393798"/>
      <w:bookmarkStart w:id="5" w:name="_Toc16084"/>
      <w:r>
        <w:rPr>
          <w:rFonts w:hint="eastAsia" w:asciiTheme="minorEastAsia" w:hAnsiTheme="minorEastAsia" w:eastAsiaTheme="minorEastAsia" w:cstheme="minorEastAsia"/>
          <w:b/>
          <w:bCs w:val="0"/>
          <w:color w:val="auto"/>
          <w:sz w:val="24"/>
          <w:szCs w:val="24"/>
          <w:highlight w:val="none"/>
        </w:rPr>
        <w:t>一、项目基本情况</w:t>
      </w:r>
      <w:bookmarkEnd w:id="1"/>
      <w:bookmarkEnd w:id="2"/>
      <w:bookmarkEnd w:id="3"/>
      <w:bookmarkEnd w:id="4"/>
      <w:bookmarkEnd w:id="5"/>
      <w:r>
        <w:rPr>
          <w:rFonts w:hint="eastAsia" w:asciiTheme="minorEastAsia" w:hAnsiTheme="minorEastAsia" w:eastAsiaTheme="minorEastAsia" w:cstheme="minorEastAsia"/>
          <w:b/>
          <w:bCs w:val="0"/>
          <w:color w:val="auto"/>
          <w:sz w:val="24"/>
          <w:szCs w:val="24"/>
          <w:highlight w:val="none"/>
          <w:lang w:eastAsia="zh-CN"/>
        </w:rPr>
        <w:tab/>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HZZC2025-C2-210037-YXZB</w:t>
      </w:r>
      <w:r>
        <w:rPr>
          <w:rFonts w:hint="eastAsia" w:asciiTheme="minorEastAsia" w:hAnsiTheme="minorEastAsia" w:eastAsiaTheme="minorEastAsia" w:cstheme="minorEastAsia"/>
          <w:color w:val="auto"/>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昭平中学300米塑胶运动场维护翻新项目</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采购方式</w:t>
      </w:r>
      <w:r>
        <w:rPr>
          <w:rFonts w:hint="eastAsia" w:asciiTheme="minorEastAsia" w:hAnsiTheme="minorEastAsia" w:eastAsiaTheme="minorEastAsia" w:cstheme="minorEastAsia"/>
          <w:color w:val="auto"/>
          <w:sz w:val="24"/>
          <w:szCs w:val="24"/>
          <w:highlight w:val="none"/>
        </w:rPr>
        <w:t>：竞争性磋商</w:t>
      </w:r>
      <w:r>
        <w:rPr>
          <w:rFonts w:hint="eastAsia" w:asciiTheme="minorEastAsia" w:hAnsiTheme="minorEastAsia" w:eastAsiaTheme="minorEastAsia" w:cstheme="minorEastAsia"/>
          <w:color w:val="auto"/>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预算金额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人民币壹佰肆拾伍万伍仟玖佰叁拾玖元玖角叁分（￥1455939.93）</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u w:val="none"/>
        </w:rPr>
        <w:t>最高限价</w:t>
      </w:r>
      <w:r>
        <w:rPr>
          <w:rFonts w:hint="eastAsia" w:asciiTheme="minorEastAsia" w:hAnsiTheme="minorEastAsia" w:eastAsiaTheme="minorEastAsia" w:cstheme="minorEastAsia"/>
          <w:b w:val="0"/>
          <w:bCs w:val="0"/>
          <w:color w:val="auto"/>
          <w:sz w:val="24"/>
          <w:szCs w:val="24"/>
          <w:highlight w:val="none"/>
          <w:u w:val="none"/>
        </w:rPr>
        <w:t>：</w:t>
      </w:r>
      <w:r>
        <w:rPr>
          <w:rFonts w:hint="eastAsia" w:asciiTheme="minorEastAsia" w:hAnsiTheme="minorEastAsia" w:eastAsiaTheme="minorEastAsia" w:cstheme="minorEastAsia"/>
          <w:color w:val="auto"/>
          <w:sz w:val="24"/>
          <w:szCs w:val="24"/>
          <w:highlight w:val="none"/>
          <w:lang w:val="en-US" w:eastAsia="zh-CN"/>
        </w:rPr>
        <w:t>人民币壹佰肆拾伍万伍仟玖佰叁拾玖元玖角叁分（￥1455939.93）</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项目基本概况介绍：</w:t>
      </w:r>
      <w:r>
        <w:rPr>
          <w:rFonts w:hint="eastAsia" w:ascii="宋体" w:hAnsi="宋体" w:eastAsia="宋体" w:cs="宋体"/>
          <w:b w:val="0"/>
          <w:bCs w:val="0"/>
          <w:i w:val="0"/>
          <w:iCs w:val="0"/>
          <w:caps w:val="0"/>
          <w:color w:val="000000"/>
          <w:spacing w:val="0"/>
          <w:sz w:val="24"/>
          <w:szCs w:val="24"/>
          <w:u w:val="none"/>
        </w:rPr>
        <w:t>昭平中学300米塑胶运动场维护翻新项目</w:t>
      </w:r>
      <w:r>
        <w:rPr>
          <w:rFonts w:hint="eastAsia" w:asciiTheme="minorEastAsia" w:hAnsiTheme="minorEastAsia" w:eastAsiaTheme="minorEastAsia" w:cstheme="minorEastAsia"/>
          <w:b w:val="0"/>
          <w:bCs w:val="0"/>
          <w:color w:val="auto"/>
          <w:sz w:val="24"/>
          <w:szCs w:val="24"/>
          <w:highlight w:val="none"/>
          <w:lang w:val="en-US" w:eastAsia="zh-CN"/>
        </w:rPr>
        <w:t>工程，主要包括塑胶跑道，绿化，主席台地面等配套内容；具体内容以经财政投资评审的《工程量清单》为准，其施工技术标准详见《施工图设计》。</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val="en-US" w:eastAsia="zh-CN"/>
        </w:rPr>
        <w:t>具体以开工令为准，工期为45个日历天。</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6" w:name="_Toc28359090"/>
      <w:bookmarkStart w:id="7" w:name="_Toc28359013"/>
      <w:bookmarkStart w:id="8" w:name="_Toc35393630"/>
      <w:bookmarkStart w:id="9" w:name="_Toc24254"/>
      <w:bookmarkStart w:id="10" w:name="_Toc35393799"/>
      <w:r>
        <w:rPr>
          <w:rFonts w:hint="eastAsia" w:asciiTheme="minorEastAsia" w:hAnsiTheme="minorEastAsia" w:eastAsiaTheme="minorEastAsia" w:cstheme="minorEastAsia"/>
          <w:b/>
          <w:bCs w:val="0"/>
          <w:color w:val="auto"/>
          <w:sz w:val="24"/>
          <w:szCs w:val="24"/>
          <w:highlight w:val="none"/>
        </w:rPr>
        <w:t>二、申请人的资格要求：</w:t>
      </w:r>
      <w:bookmarkEnd w:id="6"/>
      <w:bookmarkEnd w:id="7"/>
      <w:bookmarkEnd w:id="8"/>
      <w:bookmarkEnd w:id="9"/>
      <w:bookmarkEnd w:id="10"/>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1" w:name="OLE_LINK2"/>
      <w:r>
        <w:rPr>
          <w:rFonts w:hint="eastAsia" w:asciiTheme="minorEastAsia" w:hAnsiTheme="minorEastAsia" w:eastAsiaTheme="minorEastAsia" w:cstheme="minorEastAsia"/>
          <w:color w:val="auto"/>
          <w:sz w:val="24"/>
          <w:szCs w:val="24"/>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12" w:name="_Toc28359014"/>
      <w:bookmarkStart w:id="13" w:name="_Toc28359091"/>
      <w:r>
        <w:rPr>
          <w:rFonts w:hint="eastAsia" w:asciiTheme="minorEastAsia" w:hAnsiTheme="minorEastAsia" w:eastAsiaTheme="minorEastAsia" w:cstheme="minorEastAsia"/>
          <w:color w:val="auto"/>
          <w:sz w:val="24"/>
          <w:szCs w:val="24"/>
          <w:highlight w:val="none"/>
        </w:rPr>
        <w:t>2.落实政府采购政策需满足的资格要求：</w:t>
      </w:r>
    </w:p>
    <w:p>
      <w:pPr>
        <w:pStyle w:val="6"/>
        <w:rPr>
          <w:rFonts w:hint="eastAsia" w:asciiTheme="minorEastAsia" w:hAnsiTheme="minorEastAsia" w:eastAsiaTheme="minorEastAsia" w:cstheme="minorEastAsia"/>
          <w:color w:val="auto"/>
          <w:sz w:val="24"/>
          <w:szCs w:val="24"/>
          <w:lang w:val="en-US" w:eastAsia="zh-CN"/>
        </w:rPr>
      </w:pPr>
      <w:bookmarkStart w:id="14" w:name="OLE_LINK3"/>
      <w:r>
        <w:rPr>
          <w:rFonts w:hint="eastAsia" w:asciiTheme="minorEastAsia" w:hAnsiTheme="minorEastAsia" w:eastAsiaTheme="minorEastAsia" w:cstheme="minorEastAsia"/>
          <w:color w:val="auto"/>
          <w:sz w:val="24"/>
          <w:szCs w:val="24"/>
          <w:lang w:val="en-US" w:eastAsia="zh-CN"/>
        </w:rPr>
        <w:t>☑专门面向中小企业采购的项目（供应商应为中小微企业、监狱企业、残疾人福利性单位）</w:t>
      </w:r>
    </w:p>
    <w:p>
      <w:pPr>
        <w:pStyle w:val="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□非专门面向中小企业采购的项目</w:t>
      </w:r>
    </w:p>
    <w:bookmarkEnd w:id="11"/>
    <w:bookmarkEnd w:id="14"/>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（1）磋商人具有市政公用工程施工总承包叁级以上（含叁级）资质，持有有效的省级及以上建设行政主管部门颁发的《安全生产许可证》，并在人员、设备、资金等方面具备相应的施工能力的供应商；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市政工程专业注册建造师二级以上（含二级）执业资格和具备有效的安全生产考核合格证书（B类）【提供项目经理注册建造师执业资格证书和安全生产考核合格证书（B类）的扫描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对在“信用中国”网站(www.creditchina.gov.cn)</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bCs/>
          <w:color w:val="auto"/>
          <w:sz w:val="24"/>
          <w:szCs w:val="24"/>
          <w:highlight w:val="none"/>
          <w:lang w:eastAsia="zh-CN"/>
        </w:rPr>
        <w:t>磋商人</w:t>
      </w:r>
      <w:r>
        <w:rPr>
          <w:rFonts w:hint="eastAsia" w:asciiTheme="minorEastAsia" w:hAnsiTheme="minorEastAsia" w:eastAsiaTheme="minorEastAsia" w:cstheme="minorEastAsia"/>
          <w:bCs/>
          <w:color w:val="auto"/>
          <w:sz w:val="24"/>
          <w:szCs w:val="24"/>
          <w:highlight w:val="none"/>
        </w:rPr>
        <w:t>，不得参与政府采购活动</w:t>
      </w:r>
      <w:r>
        <w:rPr>
          <w:rFonts w:hint="eastAsia" w:asciiTheme="minorEastAsia" w:hAnsiTheme="minorEastAsia" w:eastAsiaTheme="minorEastAsia" w:cstheme="minorEastAsia"/>
          <w:color w:val="auto"/>
          <w:sz w:val="24"/>
          <w:szCs w:val="24"/>
          <w:highlight w:val="none"/>
        </w:rPr>
        <w:t>；</w:t>
      </w:r>
    </w:p>
    <w:p>
      <w:pPr>
        <w:pStyle w:val="15"/>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5" w:name="_Toc35393631"/>
      <w:bookmarkStart w:id="16" w:name="_Toc35393800"/>
      <w:bookmarkStart w:id="17" w:name="_Toc5006"/>
      <w:r>
        <w:rPr>
          <w:rFonts w:hint="eastAsia" w:asciiTheme="minorEastAsia" w:hAnsiTheme="minorEastAsia" w:eastAsiaTheme="minorEastAsia" w:cstheme="minorEastAsia"/>
          <w:b/>
          <w:bCs w:val="0"/>
          <w:color w:val="auto"/>
          <w:sz w:val="24"/>
          <w:szCs w:val="24"/>
          <w:highlight w:val="none"/>
        </w:rPr>
        <w:t>三、获取采购文件</w:t>
      </w:r>
      <w:bookmarkEnd w:id="12"/>
      <w:bookmarkEnd w:id="13"/>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时间：</w:t>
      </w:r>
      <w:r>
        <w:rPr>
          <w:rFonts w:hint="eastAsia" w:asciiTheme="minorEastAsia" w:hAnsiTheme="minorEastAsia" w:eastAsiaTheme="minorEastAsia" w:cstheme="minorEastAsia"/>
          <w:b w:val="0"/>
          <w:bCs/>
          <w:color w:val="auto"/>
          <w:sz w:val="24"/>
          <w:szCs w:val="24"/>
          <w:highlight w:val="none"/>
          <w:lang w:val="en-US" w:eastAsia="zh-CN"/>
        </w:rPr>
        <w:t>2025年05月28日公告发布之时至2025年06月06日17时30分（北京时间）；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地点：</w:t>
      </w:r>
      <w:r>
        <w:rPr>
          <w:rFonts w:hint="eastAsia" w:asciiTheme="minorEastAsia" w:hAnsiTheme="minorEastAsia" w:eastAsia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rPr>
        <w:t>登录</w:t>
      </w:r>
      <w:r>
        <w:rPr>
          <w:rFonts w:hint="eastAsia" w:asciiTheme="minorEastAsia" w:hAnsiTheme="minorEastAsia" w:eastAsiaTheme="minorEastAsia" w:cstheme="minorEastAsia"/>
          <w:bCs/>
          <w:color w:val="auto"/>
          <w:sz w:val="24"/>
          <w:szCs w:val="24"/>
          <w:highlight w:val="none"/>
          <w:lang w:eastAsia="zh-CN"/>
        </w:rPr>
        <w:t>广西政府采购云平台（https://www.gcy.zfcg.gxzf.gov.cn/）</w:t>
      </w:r>
      <w:r>
        <w:rPr>
          <w:rFonts w:hint="eastAsia" w:asciiTheme="minorEastAsia" w:hAnsiTheme="minorEastAsia" w:eastAsiaTheme="minorEastAsia" w:cstheme="minorEastAsia"/>
          <w:bCs/>
          <w:color w:val="auto"/>
          <w:sz w:val="24"/>
          <w:szCs w:val="24"/>
          <w:highlight w:val="none"/>
        </w:rPr>
        <w:t>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文件（操作路径：登录“</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”平台-项目采购-获取采购文件-找到本项目-点击“申请获取采购文件”）。尚未注册的供应商可在</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平台完成注册后在线获取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平台-商家入驻-注册）</w:t>
      </w:r>
      <w:r>
        <w:rPr>
          <w:rFonts w:hint="eastAsia" w:asciiTheme="minorEastAsia" w:hAnsiTheme="minorEastAsia" w:eastAsiaTheme="minorEastAsia" w:cstheme="minorEastAsia"/>
          <w:bCs/>
          <w:color w:val="auto"/>
          <w:sz w:val="24"/>
          <w:szCs w:val="24"/>
          <w:highlight w:val="none"/>
          <w:lang w:val="en-US"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方式：</w:t>
      </w:r>
      <w:r>
        <w:rPr>
          <w:rFonts w:hint="eastAsia" w:asciiTheme="minorEastAsia" w:hAnsiTheme="minorEastAsia" w:eastAsiaTheme="minorEastAsia" w:cstheme="minorEastAsia"/>
          <w:bCs/>
          <w:color w:val="auto"/>
          <w:sz w:val="24"/>
          <w:szCs w:val="24"/>
          <w:highlight w:val="none"/>
          <w:lang w:val="en-US" w:eastAsia="zh-CN"/>
        </w:rPr>
        <w:t>网上在线报名获取。</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本项目采用资格后审，已获取竞争性磋商文件的供应商不等于符合本项目资格要求。电子响应文件制作需要基于“广西政采云”平台获取的竞争性磋商文件编制。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售价：</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元</w:t>
      </w:r>
      <w:r>
        <w:rPr>
          <w:rFonts w:hint="eastAsia" w:asciiTheme="minorEastAsia" w:hAnsiTheme="minorEastAsia" w:eastAsiaTheme="minorEastAsia" w:cstheme="minorEastAsia"/>
          <w:bCs/>
          <w:color w:val="auto"/>
          <w:sz w:val="24"/>
          <w:szCs w:val="24"/>
          <w:highlight w:val="none"/>
          <w:lang w:eastAsia="zh-CN"/>
        </w:rPr>
        <w:t>。</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8" w:name="_Toc35393801"/>
      <w:bookmarkStart w:id="19" w:name="_Toc28359092"/>
      <w:bookmarkStart w:id="20" w:name="_Toc28359015"/>
      <w:bookmarkStart w:id="21" w:name="_Toc35393632"/>
      <w:bookmarkStart w:id="22" w:name="_Toc22501"/>
      <w:r>
        <w:rPr>
          <w:rFonts w:hint="eastAsia" w:asciiTheme="minorEastAsia" w:hAnsiTheme="minorEastAsia" w:eastAsiaTheme="minorEastAsia" w:cstheme="minorEastAsia"/>
          <w:b/>
          <w:bCs w:val="0"/>
          <w:color w:val="auto"/>
          <w:sz w:val="24"/>
          <w:szCs w:val="24"/>
          <w:highlight w:val="none"/>
        </w:rPr>
        <w:t>四、响应文件提交</w:t>
      </w:r>
      <w:bookmarkEnd w:id="18"/>
      <w:bookmarkEnd w:id="19"/>
      <w:bookmarkEnd w:id="20"/>
      <w:bookmarkEnd w:id="21"/>
      <w:bookmarkEnd w:id="22"/>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val="en-US" w:eastAsia="zh-CN"/>
        </w:rPr>
        <w:t>2025年06月11日09时00分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地点：本项目为贺州市电子化项目，通过广西政府采购云平台（https://www.gcy.zfcg.gxzf.gov.cn/）客户端实行在线电子投标</w:t>
      </w:r>
      <w:r>
        <w:rPr>
          <w:rFonts w:hint="eastAsia" w:asciiTheme="minorEastAsia" w:hAnsiTheme="minorEastAsia" w:eastAsiaTheme="minorEastAsia" w:cstheme="minorEastAsia"/>
          <w:color w:val="auto"/>
          <w:sz w:val="24"/>
          <w:szCs w:val="24"/>
          <w:highlight w:val="none"/>
          <w:lang w:eastAsia="zh-CN"/>
        </w:rPr>
        <w:t>。</w:t>
      </w:r>
    </w:p>
    <w:p>
      <w:pPr>
        <w:pStyle w:val="4"/>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
          <w:bCs w:val="0"/>
          <w:color w:val="auto"/>
          <w:sz w:val="24"/>
          <w:szCs w:val="24"/>
          <w:highlight w:val="none"/>
          <w:lang w:val="en-US" w:eastAsia="zh-CN"/>
        </w:rPr>
      </w:pPr>
      <w:bookmarkStart w:id="23" w:name="_Toc35393802"/>
      <w:bookmarkStart w:id="24" w:name="_Toc28359016"/>
      <w:bookmarkStart w:id="25" w:name="_Toc28359093"/>
      <w:bookmarkStart w:id="26" w:name="_Toc35393633"/>
      <w:bookmarkStart w:id="27" w:name="_Toc16697"/>
      <w:r>
        <w:rPr>
          <w:rFonts w:hint="eastAsia" w:asciiTheme="minorEastAsia" w:hAnsiTheme="minorEastAsia" w:eastAsiaTheme="minorEastAsia" w:cstheme="minorEastAsia"/>
          <w:b/>
          <w:bCs w:val="0"/>
          <w:color w:val="auto"/>
          <w:sz w:val="24"/>
          <w:szCs w:val="24"/>
          <w:highlight w:val="none"/>
          <w:lang w:val="en-US" w:eastAsia="zh-CN"/>
        </w:rPr>
        <w:t>五、开启</w:t>
      </w:r>
      <w:bookmarkEnd w:id="23"/>
      <w:bookmarkEnd w:id="24"/>
      <w:bookmarkEnd w:id="25"/>
      <w:bookmarkEnd w:id="26"/>
      <w:bookmarkEnd w:id="27"/>
    </w:p>
    <w:p>
      <w:pPr>
        <w:pStyle w:val="4"/>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28" w:name="_Toc1573"/>
      <w:r>
        <w:rPr>
          <w:rFonts w:hint="eastAsia" w:asciiTheme="minorEastAsia" w:hAnsiTheme="minorEastAsia" w:eastAsiaTheme="minorEastAsia" w:cstheme="minorEastAsia"/>
          <w:b w:val="0"/>
          <w:bCs/>
          <w:color w:val="auto"/>
          <w:sz w:val="24"/>
          <w:szCs w:val="24"/>
          <w:highlight w:val="none"/>
        </w:rPr>
        <w:t>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2025年06月11日09时00分 </w:t>
      </w:r>
      <w:r>
        <w:rPr>
          <w:rFonts w:hint="eastAsia" w:asciiTheme="minorEastAsia" w:hAnsiTheme="minorEastAsia" w:eastAsiaTheme="minorEastAsia" w:cstheme="minorEastAsia"/>
          <w:b w:val="0"/>
          <w:bCs/>
          <w:color w:val="auto"/>
          <w:sz w:val="24"/>
          <w:szCs w:val="24"/>
          <w:highlight w:val="none"/>
        </w:rPr>
        <w:t>（北京时间）</w:t>
      </w:r>
      <w:bookmarkEnd w:id="2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地点：</w:t>
      </w:r>
      <w:r>
        <w:rPr>
          <w:rFonts w:hint="eastAsia" w:asciiTheme="minorEastAsia" w:hAnsiTheme="minorEastAsia" w:eastAsiaTheme="minorEastAsia" w:cstheme="minorEastAsia"/>
          <w:color w:val="auto"/>
          <w:sz w:val="24"/>
          <w:szCs w:val="24"/>
          <w:highlight w:val="none"/>
        </w:rPr>
        <w:t>广西政府采购云平台</w:t>
      </w:r>
      <w:r>
        <w:rPr>
          <w:rFonts w:hint="eastAsia" w:asciiTheme="minorEastAsia" w:hAnsiTheme="minorEastAsia" w:eastAsiaTheme="minorEastAsia" w:cstheme="minorEastAsia"/>
          <w:color w:val="auto"/>
          <w:sz w:val="24"/>
          <w:szCs w:val="24"/>
          <w:highlight w:val="none"/>
          <w:lang w:eastAsia="zh-CN"/>
        </w:rPr>
        <w:t>开标大厅</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29" w:name="_Toc35393634"/>
      <w:bookmarkStart w:id="30" w:name="_Toc35393803"/>
      <w:bookmarkStart w:id="31" w:name="_Toc2266"/>
      <w:bookmarkStart w:id="32" w:name="_Toc28359017"/>
      <w:bookmarkStart w:id="33" w:name="_Toc28359094"/>
      <w:r>
        <w:rPr>
          <w:rFonts w:hint="eastAsia" w:asciiTheme="minorEastAsia" w:hAnsiTheme="minorEastAsia" w:eastAsiaTheme="minorEastAsia" w:cstheme="minorEastAsia"/>
          <w:b/>
          <w:bCs w:val="0"/>
          <w:color w:val="auto"/>
          <w:sz w:val="24"/>
          <w:szCs w:val="24"/>
          <w:highlight w:val="none"/>
        </w:rPr>
        <w:t>六、公告期限</w:t>
      </w:r>
      <w:bookmarkEnd w:id="29"/>
      <w:bookmarkEnd w:id="30"/>
      <w:bookmarkEnd w:id="31"/>
      <w:bookmarkEnd w:id="32"/>
      <w:bookmarkEnd w:id="3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个工作日。</w:t>
      </w:r>
    </w:p>
    <w:p>
      <w:pPr>
        <w:pStyle w:val="4"/>
        <w:pageBreakBefore w:val="0"/>
        <w:widowControl w:val="0"/>
        <w:numPr>
          <w:ilvl w:val="0"/>
          <w:numId w:val="2"/>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4" w:name="_Toc20414"/>
      <w:bookmarkStart w:id="35" w:name="_Toc35393635"/>
      <w:bookmarkStart w:id="36" w:name="_Toc35393804"/>
      <w:r>
        <w:rPr>
          <w:rFonts w:hint="eastAsia" w:asciiTheme="minorEastAsia" w:hAnsiTheme="minorEastAsia" w:eastAsiaTheme="minorEastAsia" w:cstheme="minorEastAsia"/>
          <w:b/>
          <w:bCs w:val="0"/>
          <w:color w:val="auto"/>
          <w:sz w:val="24"/>
          <w:szCs w:val="24"/>
          <w:highlight w:val="none"/>
        </w:rPr>
        <w:t>其他补充事宜</w:t>
      </w:r>
      <w:bookmarkEnd w:id="34"/>
      <w:bookmarkEnd w:id="35"/>
      <w:bookmarkEnd w:id="36"/>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7.1 《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的价格给予20%的扣除。</w:t>
      </w:r>
      <w:r>
        <w:rPr>
          <w:rFonts w:hint="eastAsia" w:asciiTheme="minorEastAsia" w:hAnsiTheme="minorEastAsia" w:eastAsiaTheme="minorEastAsia" w:cstheme="minorEastAsia"/>
          <w:b/>
          <w:bCs w:val="0"/>
          <w:color w:val="auto"/>
          <w:kern w:val="2"/>
          <w:sz w:val="24"/>
          <w:szCs w:val="24"/>
          <w:highlight w:val="none"/>
          <w:lang w:val="en-US" w:eastAsia="zh-CN" w:bidi="ar-SA"/>
        </w:rPr>
        <w:t>本项目为专门面向“中小企业”的项目，不再执行价格评审优惠的扶持政策。</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7.2磋商保证金（人民币）：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7.3评标办法和评标标准：综合评分法。</w:t>
      </w:r>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7.4发布公告的媒介：</w:t>
      </w:r>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本次公告同时在中国政府采购网、广西壮族自治区政府采购网、全国公共资源交易平台（广西贺州）发布。</w:t>
      </w:r>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7.5监督部门：</w:t>
      </w:r>
    </w:p>
    <w:p>
      <w:pPr>
        <w:pageBreakBefore w:val="0"/>
        <w:kinsoku/>
        <w:wordWrap/>
        <w:overflowPunct/>
        <w:topLinePunct w:val="0"/>
        <w:autoSpaceDE/>
        <w:autoSpaceDN/>
        <w:bidi w:val="0"/>
        <w:snapToGrid/>
        <w:spacing w:line="400" w:lineRule="exact"/>
        <w:ind w:firstLine="960" w:firstLineChars="4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000000"/>
          <w:sz w:val="24"/>
          <w:szCs w:val="24"/>
          <w:lang w:eastAsia="zh-CN"/>
        </w:rPr>
        <w:t>昭平县财政局政府采购服务中心</w:t>
      </w:r>
      <w:r>
        <w:rPr>
          <w:rFonts w:hint="eastAsia" w:ascii="宋体" w:hAnsi="宋体" w:eastAsia="宋体" w:cs="宋体"/>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联系电话：0774-6689708 </w:t>
      </w:r>
    </w:p>
    <w:p>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p>
    <w:p>
      <w:pPr>
        <w:pStyle w:val="15"/>
        <w:ind w:firstLine="480" w:firstLineChars="200"/>
        <w:rPr>
          <w:rFonts w:hint="eastAsia"/>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7.7评标说明注意事项：本项目采用远程异地评标，评标主会场地址：贺州市公共资源交易中心（贺州市太白西路161号（交易大厅：贺州市政务服务中心东侧附属楼），详见现场评标室安排。评标副会场地址：博白县公共资源交易中心（博白县博白镇锦绣东路博白县政务服务中心大楼6楼），详见现场电子评标室安排。</w:t>
      </w:r>
    </w:p>
    <w:p>
      <w:pPr>
        <w:pStyle w:val="4"/>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7" w:name="_Toc957"/>
      <w:bookmarkStart w:id="38" w:name="_Toc28359018"/>
      <w:bookmarkStart w:id="39" w:name="_Toc35393636"/>
      <w:bookmarkStart w:id="40" w:name="_Toc35393805"/>
      <w:bookmarkStart w:id="41" w:name="_Toc28359095"/>
      <w:r>
        <w:rPr>
          <w:rFonts w:hint="eastAsia" w:asciiTheme="minorEastAsia" w:hAnsiTheme="minorEastAsia" w:eastAsiaTheme="minorEastAsia" w:cstheme="minorEastAsia"/>
          <w:b/>
          <w:bCs w:val="0"/>
          <w:color w:val="auto"/>
          <w:sz w:val="24"/>
          <w:szCs w:val="24"/>
          <w:highlight w:val="none"/>
        </w:rPr>
        <w:t>八、凡对本次采购提出询问，请按以下方式联系。</w:t>
      </w:r>
      <w:bookmarkEnd w:id="37"/>
      <w:bookmarkEnd w:id="38"/>
      <w:bookmarkEnd w:id="39"/>
      <w:bookmarkEnd w:id="40"/>
      <w:bookmarkEnd w:id="41"/>
    </w:p>
    <w:p>
      <w:pPr>
        <w:spacing w:line="3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1.采购人信息</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名  称：</w:t>
      </w:r>
      <w:r>
        <w:rPr>
          <w:rFonts w:hint="eastAsia" w:ascii="宋体" w:hAnsi="宋体" w:eastAsia="宋体" w:cs="宋体"/>
          <w:bCs/>
          <w:color w:val="auto"/>
          <w:kern w:val="0"/>
          <w:sz w:val="24"/>
          <w:szCs w:val="24"/>
          <w:lang w:eastAsia="zh-CN"/>
        </w:rPr>
        <w:t>昭平中学</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地  址：</w:t>
      </w:r>
      <w:r>
        <w:rPr>
          <w:rFonts w:hint="eastAsia" w:ascii="宋体" w:hAnsi="宋体" w:eastAsia="宋体" w:cs="宋体"/>
          <w:bCs/>
          <w:color w:val="auto"/>
          <w:kern w:val="0"/>
          <w:sz w:val="24"/>
          <w:szCs w:val="24"/>
          <w:lang w:eastAsia="zh-CN"/>
        </w:rPr>
        <w:t>昭平县凉亭西路</w:t>
      </w:r>
      <w:r>
        <w:rPr>
          <w:rFonts w:hint="eastAsia" w:ascii="宋体" w:hAnsi="宋体" w:eastAsia="宋体" w:cs="宋体"/>
          <w:bCs/>
          <w:color w:val="auto"/>
          <w:kern w:val="0"/>
          <w:sz w:val="24"/>
          <w:szCs w:val="24"/>
          <w:lang w:val="en-US" w:eastAsia="zh-CN"/>
        </w:rPr>
        <w:t>68号</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联系人：</w:t>
      </w:r>
      <w:r>
        <w:rPr>
          <w:rFonts w:hint="eastAsia" w:ascii="宋体" w:hAnsi="宋体" w:eastAsia="宋体" w:cs="宋体"/>
          <w:bCs/>
          <w:color w:val="auto"/>
          <w:kern w:val="0"/>
          <w:sz w:val="24"/>
          <w:szCs w:val="24"/>
          <w:lang w:val="en-US" w:eastAsia="zh-CN"/>
        </w:rPr>
        <w:t>吴少惠</w:t>
      </w:r>
    </w:p>
    <w:p>
      <w:pPr>
        <w:spacing w:line="3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rPr>
        <w:t>联系方式：</w:t>
      </w:r>
      <w:r>
        <w:rPr>
          <w:rFonts w:hint="eastAsia" w:ascii="宋体" w:hAnsi="宋体" w:eastAsia="宋体" w:cs="宋体"/>
          <w:bCs/>
          <w:color w:val="auto"/>
          <w:kern w:val="0"/>
          <w:sz w:val="24"/>
          <w:szCs w:val="24"/>
          <w:lang w:val="en-US" w:eastAsia="zh-CN"/>
        </w:rPr>
        <w:t>0774-6682539</w:t>
      </w:r>
    </w:p>
    <w:p>
      <w:pPr>
        <w:spacing w:line="3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2.采购代理机构信息</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名  称：</w:t>
      </w:r>
      <w:r>
        <w:rPr>
          <w:rFonts w:hint="eastAsia" w:ascii="宋体" w:hAnsi="宋体" w:eastAsia="宋体" w:cs="宋体"/>
          <w:bCs/>
          <w:color w:val="auto"/>
          <w:kern w:val="0"/>
          <w:sz w:val="24"/>
          <w:szCs w:val="24"/>
          <w:lang w:eastAsia="zh-CN"/>
        </w:rPr>
        <w:t>广西岳鑫项目管理咨询有限责任公司</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地  址：</w:t>
      </w:r>
      <w:r>
        <w:rPr>
          <w:rFonts w:hint="eastAsia" w:ascii="宋体" w:hAnsi="宋体" w:eastAsia="宋体" w:cs="宋体"/>
          <w:bCs/>
          <w:color w:val="auto"/>
          <w:kern w:val="0"/>
          <w:sz w:val="24"/>
          <w:szCs w:val="24"/>
          <w:lang w:eastAsia="zh-CN"/>
        </w:rPr>
        <w:t>昭平县天鹅塘路98号中央花园B1-104二楼</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联系方式：</w:t>
      </w:r>
      <w:r>
        <w:rPr>
          <w:rFonts w:hint="eastAsia" w:ascii="宋体" w:hAnsi="宋体" w:eastAsia="宋体" w:cs="宋体"/>
          <w:color w:val="auto"/>
          <w:kern w:val="0"/>
          <w:sz w:val="24"/>
          <w:szCs w:val="24"/>
          <w:lang w:eastAsia="zh-CN"/>
        </w:rPr>
        <w:t>0774-6698858</w:t>
      </w:r>
    </w:p>
    <w:p>
      <w:pPr>
        <w:spacing w:line="36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3.项目联系方式</w:t>
      </w:r>
    </w:p>
    <w:p>
      <w:pPr>
        <w:spacing w:line="360" w:lineRule="exact"/>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项目负责人：</w:t>
      </w:r>
      <w:r>
        <w:rPr>
          <w:rFonts w:hint="eastAsia" w:ascii="宋体" w:hAnsi="宋体" w:eastAsia="宋体" w:cs="宋体"/>
          <w:color w:val="auto"/>
          <w:kern w:val="0"/>
          <w:sz w:val="24"/>
          <w:szCs w:val="24"/>
          <w:lang w:val="en-US" w:eastAsia="zh-CN"/>
        </w:rPr>
        <w:t>周 丽</w:t>
      </w:r>
    </w:p>
    <w:p>
      <w:pPr>
        <w:spacing w:line="360" w:lineRule="exact"/>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电  话：</w:t>
      </w:r>
      <w:r>
        <w:rPr>
          <w:rFonts w:hint="eastAsia" w:ascii="宋体" w:hAnsi="宋体" w:eastAsia="宋体" w:cs="宋体"/>
          <w:color w:val="auto"/>
          <w:kern w:val="0"/>
          <w:sz w:val="24"/>
          <w:szCs w:val="24"/>
          <w:lang w:eastAsia="zh-CN"/>
        </w:rPr>
        <w:t>0774-6698858</w:t>
      </w:r>
    </w:p>
    <w:p>
      <w:pPr>
        <w:pageBreakBefore w:val="0"/>
        <w:widowControl w:val="0"/>
        <w:kinsoku/>
        <w:wordWrap/>
        <w:overflowPunct/>
        <w:topLinePunct w:val="0"/>
        <w:autoSpaceDE/>
        <w:autoSpaceDN/>
        <w:bidi w:val="0"/>
        <w:adjustRightInd/>
        <w:snapToGrid/>
        <w:spacing w:line="380" w:lineRule="atLeast"/>
        <w:jc w:val="both"/>
        <w:textAlignment w:val="auto"/>
        <w:rPr>
          <w:rFonts w:hint="eastAsia" w:asciiTheme="minorEastAsia" w:hAnsiTheme="minorEastAsia" w:eastAsiaTheme="minorEastAsia" w:cstheme="minorEastAsia"/>
          <w:color w:val="auto"/>
          <w:sz w:val="24"/>
          <w:szCs w:val="24"/>
          <w:highlight w:val="none"/>
          <w:lang w:val="en-US" w:eastAsia="zh-CN"/>
        </w:rPr>
      </w:pPr>
    </w:p>
    <w:p>
      <w:pPr>
        <w:pageBreakBefore w:val="0"/>
        <w:widowControl w:val="0"/>
        <w:kinsoku/>
        <w:wordWrap/>
        <w:overflowPunct/>
        <w:topLinePunct w:val="0"/>
        <w:autoSpaceDE/>
        <w:autoSpaceDN/>
        <w:bidi w:val="0"/>
        <w:adjustRightInd/>
        <w:snapToGrid/>
        <w:spacing w:line="380" w:lineRule="atLeast"/>
        <w:ind w:firstLine="720" w:firstLineChars="3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TW" w:eastAsia="zh-CN"/>
        </w:rPr>
        <w:t xml:space="preserve">     </w:t>
      </w:r>
    </w:p>
    <w:p>
      <w:pPr>
        <w:spacing w:line="360" w:lineRule="auto"/>
        <w:ind w:firstLine="720" w:firstLineChars="300"/>
        <w:jc w:val="right"/>
        <w:rPr>
          <w:rFonts w:hint="eastAsia" w:asciiTheme="minorEastAsia" w:hAnsiTheme="minorEastAsia" w:eastAsiaTheme="minorEastAsia" w:cstheme="minorEastAsia"/>
          <w:color w:val="auto"/>
          <w:sz w:val="24"/>
          <w:szCs w:val="24"/>
          <w:highlight w:val="none"/>
        </w:rPr>
      </w:pPr>
    </w:p>
    <w:p>
      <w:pPr>
        <w:spacing w:line="360" w:lineRule="auto"/>
        <w:ind w:firstLine="720" w:firstLineChars="3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广西岳鑫项目管理咨询有限责任公司</w:t>
      </w:r>
      <w:r>
        <w:rPr>
          <w:rFonts w:hint="eastAsia" w:asciiTheme="minorEastAsia" w:hAnsiTheme="minorEastAsia" w:eastAsiaTheme="minorEastAsia" w:cstheme="minorEastAsia"/>
          <w:color w:val="auto"/>
          <w:sz w:val="24"/>
          <w:szCs w:val="24"/>
          <w:highlight w:val="none"/>
        </w:rPr>
        <w:t xml:space="preserve">  </w:t>
      </w:r>
    </w:p>
    <w:p>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28日</w:t>
      </w:r>
    </w:p>
    <w:p>
      <w:pPr>
        <w:pStyle w:val="11"/>
        <w:spacing w:line="276"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pStyle w:val="11"/>
        <w:numPr>
          <w:ilvl w:val="0"/>
          <w:numId w:val="1"/>
        </w:numPr>
        <w:spacing w:line="276" w:lineRule="auto"/>
        <w:ind w:left="0" w:leftChars="0" w:firstLine="0" w:firstLineChars="0"/>
        <w:jc w:val="center"/>
        <w:outlineLvl w:val="0"/>
        <w:rPr>
          <w:rFonts w:hint="eastAsia" w:asciiTheme="minorEastAsia" w:hAnsiTheme="minorEastAsia" w:eastAsiaTheme="minorEastAsia" w:cstheme="minorEastAsia"/>
          <w:b/>
          <w:color w:val="auto"/>
          <w:sz w:val="28"/>
          <w:szCs w:val="28"/>
          <w:highlight w:val="none"/>
        </w:rPr>
      </w:pPr>
      <w:bookmarkStart w:id="42" w:name="_Toc11438"/>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须知及前附表</w:t>
      </w:r>
      <w:bookmarkEnd w:id="42"/>
    </w:p>
    <w:p>
      <w:pPr>
        <w:pStyle w:val="12"/>
        <w:numPr>
          <w:ilvl w:val="0"/>
          <w:numId w:val="1"/>
        </w:numPr>
        <w:ind w:left="0" w:leftChars="0" w:firstLine="0" w:firstLineChars="0"/>
        <w:rPr>
          <w:rFonts w:hint="eastAsia"/>
        </w:rPr>
      </w:pPr>
    </w:p>
    <w:tbl>
      <w:tblPr>
        <w:tblStyle w:val="19"/>
        <w:tblW w:w="10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61"/>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7190"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161"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及</w:t>
            </w:r>
          </w:p>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项目编号</w:t>
            </w:r>
          </w:p>
        </w:tc>
        <w:tc>
          <w:tcPr>
            <w:tcW w:w="7190" w:type="dxa"/>
            <w:noWrap w:val="0"/>
            <w:vAlign w:val="center"/>
          </w:tcPr>
          <w:p>
            <w:pPr>
              <w:tabs>
                <w:tab w:val="left" w:pos="1680"/>
              </w:tabs>
              <w:spacing w:line="400" w:lineRule="exact"/>
              <w:ind w:right="-19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昭平中学300米塑胶运动场维护翻新项目</w:t>
            </w:r>
          </w:p>
          <w:p>
            <w:pPr>
              <w:tabs>
                <w:tab w:val="left" w:pos="1680"/>
              </w:tabs>
              <w:spacing w:line="400" w:lineRule="exact"/>
              <w:ind w:right="-19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cs="Times New Roman"/>
                <w:sz w:val="24"/>
                <w:szCs w:val="24"/>
                <w:highlight w:val="none"/>
                <w:lang w:eastAsia="zh-CN"/>
              </w:rPr>
              <w:t>HZZC2025-C2-210037-YXZB</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706"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2161"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项目基本概况</w:t>
            </w:r>
          </w:p>
          <w:p>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介绍</w:t>
            </w:r>
          </w:p>
        </w:tc>
        <w:tc>
          <w:tcPr>
            <w:tcW w:w="7190" w:type="dxa"/>
            <w:noWrap w:val="0"/>
            <w:vAlign w:val="center"/>
          </w:tcPr>
          <w:p>
            <w:pPr>
              <w:numPr>
                <w:ilvl w:val="0"/>
                <w:numId w:val="0"/>
              </w:num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主要建设内容为：昭平中学300米塑胶运动场提级改造项目工程，主要包括塑胶跑道，绿化，主席台地面等配套内容；具体内容以经财政投资评审的《工程量清单》为准，其施工技术标准详见《施工图设计》。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161"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资金来源</w:t>
            </w:r>
          </w:p>
        </w:tc>
        <w:tc>
          <w:tcPr>
            <w:tcW w:w="7190" w:type="dxa"/>
            <w:noWrap w:val="0"/>
            <w:vAlign w:val="center"/>
          </w:tcPr>
          <w:p>
            <w:p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161"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工期要求</w:t>
            </w:r>
          </w:p>
        </w:tc>
        <w:tc>
          <w:tcPr>
            <w:tcW w:w="7190" w:type="dxa"/>
            <w:noWrap w:val="0"/>
            <w:tcMar>
              <w:top w:w="0" w:type="dxa"/>
              <w:left w:w="57" w:type="dxa"/>
              <w:bottom w:w="0" w:type="dxa"/>
              <w:right w:w="57" w:type="dxa"/>
            </w:tcMar>
            <w:vAlign w:val="center"/>
          </w:tcPr>
          <w:p>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具体以开工令为准，工期为45个日历天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161" w:type="dxa"/>
            <w:noWrap w:val="0"/>
            <w:tcMar>
              <w:top w:w="0" w:type="dxa"/>
              <w:left w:w="57" w:type="dxa"/>
              <w:bottom w:w="0" w:type="dxa"/>
              <w:right w:w="57" w:type="dxa"/>
            </w:tcMar>
            <w:vAlign w:val="center"/>
          </w:tcPr>
          <w:p>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质量要求</w:t>
            </w:r>
          </w:p>
        </w:tc>
        <w:tc>
          <w:tcPr>
            <w:tcW w:w="7190" w:type="dxa"/>
            <w:noWrap w:val="0"/>
            <w:tcMar>
              <w:top w:w="0" w:type="dxa"/>
              <w:left w:w="57" w:type="dxa"/>
              <w:bottom w:w="0" w:type="dxa"/>
              <w:right w:w="57" w:type="dxa"/>
            </w:tcMar>
            <w:vAlign w:val="center"/>
          </w:tcPr>
          <w:p>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资格</w:t>
            </w:r>
          </w:p>
          <w:p>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要求</w:t>
            </w:r>
          </w:p>
          <w:p>
            <w:pPr>
              <w:spacing w:line="400" w:lineRule="exact"/>
              <w:jc w:val="center"/>
              <w:rPr>
                <w:rFonts w:hint="eastAsia" w:asciiTheme="minorEastAsia" w:hAnsiTheme="minorEastAsia" w:eastAsiaTheme="minorEastAsia" w:cstheme="minorEastAsia"/>
                <w:color w:val="auto"/>
                <w:sz w:val="24"/>
                <w:szCs w:val="24"/>
                <w:highlight w:val="none"/>
              </w:rPr>
            </w:pPr>
          </w:p>
        </w:tc>
        <w:tc>
          <w:tcPr>
            <w:tcW w:w="7190" w:type="dxa"/>
            <w:noWrap w:val="0"/>
            <w:tcMar>
              <w:top w:w="0" w:type="dxa"/>
              <w:left w:w="57" w:type="dxa"/>
              <w:bottom w:w="0" w:type="dxa"/>
              <w:right w:w="57" w:type="dxa"/>
            </w:tcMar>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□非专门面向中小企业采购的项目</w:t>
            </w:r>
          </w:p>
          <w:p>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（1）具有市政公用工程施工总承包叁级以上（含叁级）资质，持有有效的省级及以上建设行政主管部门颁发的《安全生产许可证》，并在人员、设备、资金等方面具备相应的施工能力的供应商；</w:t>
            </w:r>
          </w:p>
          <w:p>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拟投入的项目经理须具备市政工程专业注册建造师二级以上（含二级）执业资格和具备有效的《安全生产考核合格证书（B类）》【提供项目经理注册建造师执业资格证书和安全生产考核合格证书（B类）的扫描件】。</w:t>
            </w:r>
          </w:p>
          <w:p>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（4）本项目不接受联合体磋商。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增值税计税方法</w:t>
            </w:r>
          </w:p>
        </w:tc>
        <w:tc>
          <w:tcPr>
            <w:tcW w:w="7190" w:type="dxa"/>
            <w:noWrap w:val="0"/>
            <w:tcMar>
              <w:top w:w="0" w:type="dxa"/>
              <w:left w:w="57" w:type="dxa"/>
              <w:bottom w:w="0" w:type="dxa"/>
              <w:right w:w="57" w:type="dxa"/>
            </w:tcMar>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磋商有效期</w:t>
            </w:r>
          </w:p>
        </w:tc>
        <w:tc>
          <w:tcPr>
            <w:tcW w:w="7190" w:type="dxa"/>
            <w:noWrap w:val="0"/>
            <w:tcMar>
              <w:top w:w="0" w:type="dxa"/>
              <w:left w:w="57" w:type="dxa"/>
              <w:bottom w:w="0" w:type="dxa"/>
              <w:right w:w="57" w:type="dxa"/>
            </w:tcMar>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161"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响应文件电子版</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要求</w:t>
            </w:r>
          </w:p>
        </w:tc>
        <w:tc>
          <w:tcPr>
            <w:tcW w:w="7190" w:type="dxa"/>
            <w:noWrap w:val="0"/>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响应文件电子版要求：</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进行编写，按</w:t>
            </w:r>
            <w:r>
              <w:rPr>
                <w:rFonts w:hint="eastAsia" w:asciiTheme="minorEastAsia" w:hAnsiTheme="minorEastAsia" w:eastAsiaTheme="minorEastAsia" w:cstheme="minorEastAsia"/>
                <w:color w:val="auto"/>
                <w:sz w:val="24"/>
                <w:szCs w:val="24"/>
                <w:highlight w:val="none"/>
              </w:rPr>
              <w:t>要求在规定位置进行签署、盖章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响应文件电子版密封方式：电子响应文件通过平台有效 CA 加密后在“广西政采云”平台投送。</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u w:val="single"/>
                <w:lang w:val="en-US" w:eastAsia="zh-CN"/>
              </w:rPr>
              <w:t>上传</w:t>
            </w:r>
            <w:r>
              <w:rPr>
                <w:rFonts w:hint="eastAsia" w:asciiTheme="minorEastAsia" w:hAnsiTheme="minorEastAsia" w:eastAsiaTheme="minorEastAsia" w:cstheme="minorEastAsia"/>
                <w:b/>
                <w:color w:val="auto"/>
                <w:sz w:val="24"/>
                <w:szCs w:val="24"/>
                <w:highlight w:val="none"/>
                <w:u w:val="single"/>
              </w:rPr>
              <w:t>电子版</w:t>
            </w:r>
            <w:r>
              <w:rPr>
                <w:rFonts w:hint="eastAsia" w:asciiTheme="minorEastAsia" w:hAnsiTheme="minorEastAsia" w:eastAsiaTheme="minorEastAsia" w:cstheme="minorEastAsia"/>
                <w:b/>
                <w:color w:val="auto"/>
                <w:sz w:val="24"/>
                <w:szCs w:val="24"/>
                <w:highlight w:val="none"/>
                <w:u w:val="single"/>
                <w:lang w:val="en-US" w:eastAsia="zh-CN"/>
              </w:rPr>
              <w:t>响应</w:t>
            </w:r>
            <w:r>
              <w:rPr>
                <w:rFonts w:hint="eastAsia" w:asciiTheme="minorEastAsia" w:hAnsiTheme="minorEastAsia" w:eastAsiaTheme="minorEastAsia" w:cstheme="minorEastAsia"/>
                <w:b/>
                <w:color w:val="auto"/>
                <w:sz w:val="24"/>
                <w:szCs w:val="24"/>
                <w:highlight w:val="none"/>
                <w:u w:val="single"/>
              </w:rPr>
              <w:t>文件方式</w:t>
            </w:r>
            <w:r>
              <w:rPr>
                <w:rFonts w:hint="eastAsia" w:asciiTheme="minorEastAsia" w:hAnsiTheme="minorEastAsia" w:eastAsiaTheme="minorEastAsia" w:cstheme="minorEastAsia"/>
                <w:b/>
                <w:color w:val="auto"/>
                <w:sz w:val="24"/>
                <w:szCs w:val="24"/>
                <w:highlight w:val="none"/>
                <w:u w:val="single"/>
                <w:lang w:val="en-US" w:eastAsia="zh-CN"/>
              </w:rPr>
              <w:t>详</w:t>
            </w:r>
            <w:r>
              <w:rPr>
                <w:rFonts w:hint="eastAsia" w:asciiTheme="minorEastAsia" w:hAnsiTheme="minorEastAsia" w:eastAsiaTheme="minorEastAsia" w:cstheme="minorEastAsia"/>
                <w:b/>
                <w:color w:val="auto"/>
                <w:sz w:val="24"/>
                <w:szCs w:val="24"/>
                <w:highlight w:val="none"/>
                <w:u w:val="single"/>
              </w:rPr>
              <w:t>见</w:t>
            </w:r>
            <w:r>
              <w:rPr>
                <w:rFonts w:hint="eastAsia" w:asciiTheme="minorEastAsia" w:hAnsiTheme="minorEastAsia" w:eastAsiaTheme="minorEastAsia" w:cstheme="minorEastAsia"/>
                <w:b/>
                <w:color w:val="auto"/>
                <w:sz w:val="24"/>
                <w:szCs w:val="24"/>
                <w:highlight w:val="none"/>
                <w:u w:val="single"/>
                <w:lang w:eastAsia="zh-CN"/>
              </w:rPr>
              <w:t>磋商公告</w:t>
            </w:r>
            <w:r>
              <w:rPr>
                <w:rFonts w:hint="eastAsia" w:asciiTheme="minorEastAsia" w:hAnsiTheme="minorEastAsia" w:eastAsiaTheme="minorEastAsia" w:cstheme="minorEastAsia"/>
                <w:b/>
                <w:color w:val="auto"/>
                <w:sz w:val="24"/>
                <w:szCs w:val="24"/>
                <w:highlight w:val="none"/>
                <w:u w:val="single"/>
              </w:rPr>
              <w:t>附件</w:t>
            </w:r>
            <w:r>
              <w:rPr>
                <w:rFonts w:hint="eastAsia" w:asciiTheme="minorEastAsia" w:hAnsiTheme="minorEastAsia" w:eastAsiaTheme="minorEastAsia" w:cstheme="minorEastAsia"/>
                <w:b/>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磋商保证金</w:t>
            </w:r>
          </w:p>
        </w:tc>
        <w:tc>
          <w:tcPr>
            <w:tcW w:w="7190" w:type="dxa"/>
            <w:noWrap w:val="0"/>
            <w:tcMar>
              <w:top w:w="0" w:type="dxa"/>
              <w:left w:w="57" w:type="dxa"/>
              <w:bottom w:w="0" w:type="dxa"/>
              <w:right w:w="57" w:type="dxa"/>
            </w:tcMar>
            <w:vAlign w:val="top"/>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Merge w:val="restart"/>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2161" w:type="dxa"/>
            <w:vMerge w:val="restart"/>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响应文件的构成（分为资格证明文件、报价文件、商务技术文件三部分组成）</w:t>
            </w:r>
          </w:p>
        </w:tc>
        <w:tc>
          <w:tcPr>
            <w:tcW w:w="7190" w:type="dxa"/>
            <w:noWrap w:val="0"/>
            <w:tcMar>
              <w:top w:w="0" w:type="dxa"/>
              <w:left w:w="57" w:type="dxa"/>
              <w:bottom w:w="0" w:type="dxa"/>
              <w:right w:w="57" w:type="dxa"/>
            </w:tcMar>
            <w:vAlign w:val="top"/>
          </w:tcPr>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bookmarkStart w:id="43" w:name="OLE_LINK1"/>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pPr>
              <w:pStyle w:val="12"/>
              <w:ind w:left="0" w:leftChars="0" w:firstLine="0" w:firstLineChars="0"/>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（2）政府采购供应商信用承诺函；</w:t>
            </w:r>
          </w:p>
          <w:p>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（3）有效的资质证书副本扫描件；</w:t>
            </w:r>
          </w:p>
          <w:p>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（4）有效的安全生产许可证副本扫描件；</w:t>
            </w:r>
          </w:p>
          <w:p>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具备市政工程专业注册建造师二级以上（含二级）执业资格和具备有效的具备《安全生产考核合格证书（B类）》【提供项目经理注册建造师执业资格证书和安全生产考核合格证书（B类）的扫描件】。</w:t>
            </w:r>
          </w:p>
          <w:p>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（6）法定代表人身份证明书及授权委托书（委托代理时必须提供，同时加盖单位电子公章）</w:t>
            </w:r>
          </w:p>
          <w:p>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bookmarkEnd w:id="43"/>
          <w:p>
            <w:pPr>
              <w:pStyle w:val="11"/>
              <w:spacing w:line="39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p>
          <w:p>
            <w:pPr>
              <w:pStyle w:val="11"/>
              <w:spacing w:line="390" w:lineRule="exact"/>
              <w:ind w:firstLine="482" w:firstLineChars="20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vMerge w:val="continue"/>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161" w:type="dxa"/>
            <w:vMerge w:val="continue"/>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90" w:type="dxa"/>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报价文件</w:t>
            </w:r>
          </w:p>
          <w:p>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（1）磋商函及磋商函附录</w:t>
            </w:r>
          </w:p>
          <w:p>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（2）竞标人基本情况表</w:t>
            </w:r>
          </w:p>
          <w:p>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（3）已标价工程量清单</w:t>
            </w:r>
          </w:p>
          <w:p>
            <w:pPr>
              <w:pStyle w:val="35"/>
              <w:ind w:firstLine="482" w:firstLineChars="200"/>
              <w:rPr>
                <w:rFonts w:hint="eastAsia" w:asciiTheme="minorEastAsia" w:hAnsiTheme="minorEastAsia" w:eastAsiaTheme="minorEastAsia" w:cstheme="minorEastAsia"/>
                <w:color w:val="auto"/>
                <w:highlight w:val="none"/>
                <w:lang w:val="en-US" w:eastAsia="zh-CN"/>
              </w:rPr>
            </w:pPr>
            <w:bookmarkStart w:id="44" w:name="OLE_LINK4"/>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06" w:type="dxa"/>
            <w:vMerge w:val="continue"/>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2161" w:type="dxa"/>
            <w:vMerge w:val="continue"/>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90" w:type="dxa"/>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商务技术文件</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2161" w:type="dxa"/>
            <w:noWrap w:val="0"/>
            <w:tcMar>
              <w:top w:w="0" w:type="dxa"/>
              <w:left w:w="57" w:type="dxa"/>
              <w:bottom w:w="0" w:type="dxa"/>
              <w:right w:w="57" w:type="dxa"/>
            </w:tcMar>
            <w:vAlign w:val="center"/>
          </w:tcPr>
          <w:p>
            <w:pPr>
              <w:spacing w:line="400" w:lineRule="exact"/>
              <w:ind w:firstLine="241" w:firstLineChars="100"/>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《响应文件》的递交</w:t>
            </w:r>
          </w:p>
        </w:tc>
        <w:tc>
          <w:tcPr>
            <w:tcW w:w="7190" w:type="dxa"/>
            <w:noWrap w:val="0"/>
            <w:tcMar>
              <w:top w:w="0" w:type="dxa"/>
              <w:left w:w="57" w:type="dxa"/>
              <w:bottom w:w="0" w:type="dxa"/>
              <w:right w:w="57" w:type="dxa"/>
            </w:tcMar>
            <w:vAlign w:val="top"/>
          </w:tcPr>
          <w:p>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rPr>
              <w:t>本项目为贺州市电子化项目，通过“</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”平台实行在线电子投标，供应商应先安装“</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电子交易客户端”（请自行前往“</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”平台进行下载），并按照本项目招标文件和“</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”平台的要求编制、加密后在投标截止时间前通过网络上传至“</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b/>
                <w:bCs/>
                <w:color w:val="auto"/>
                <w:sz w:val="24"/>
                <w:szCs w:val="24"/>
                <w:highlight w:val="none"/>
              </w:rPr>
              <w:t>供应商在“</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”平台提交电子版响应文件时，请填写参加远程开标活动经办人联系方式，如在操作过程中遇到问题或需技术支持，请致电</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客服热线：</w:t>
            </w:r>
            <w:r>
              <w:rPr>
                <w:rFonts w:hint="eastAsia" w:asciiTheme="minorEastAsia" w:hAnsiTheme="minorEastAsia" w:eastAsiaTheme="minorEastAsia" w:cstheme="minorEastAsia"/>
                <w:b/>
                <w:bCs/>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lang w:eastAsia="zh-CN"/>
              </w:rPr>
              <w:t>。</w:t>
            </w:r>
          </w:p>
          <w:p>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递交截止时间：</w:t>
            </w:r>
            <w:r>
              <w:rPr>
                <w:rFonts w:hint="eastAsia" w:asciiTheme="minorEastAsia" w:hAnsiTheme="minorEastAsia" w:eastAsiaTheme="minorEastAsia" w:cstheme="minorEastAsia"/>
                <w:b w:val="0"/>
                <w:bCs/>
                <w:color w:val="auto"/>
                <w:sz w:val="24"/>
                <w:szCs w:val="24"/>
                <w:highlight w:val="none"/>
                <w:u w:val="none"/>
                <w:lang w:val="en-US" w:eastAsia="zh-CN"/>
              </w:rPr>
              <w:t xml:space="preserve">2025年06月11日09时00分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开标时间</w:t>
            </w:r>
          </w:p>
        </w:tc>
        <w:tc>
          <w:tcPr>
            <w:tcW w:w="7190" w:type="dxa"/>
            <w:noWrap w:val="0"/>
            <w:tcMar>
              <w:top w:w="0" w:type="dxa"/>
              <w:left w:w="57" w:type="dxa"/>
              <w:bottom w:w="0" w:type="dxa"/>
              <w:right w:w="57" w:type="dxa"/>
            </w:tcMar>
            <w:vAlign w:val="top"/>
          </w:tcPr>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b w:val="0"/>
                <w:bCs/>
                <w:color w:val="auto"/>
                <w:sz w:val="24"/>
                <w:szCs w:val="24"/>
                <w:highlight w:val="none"/>
                <w:u w:val="none"/>
                <w:lang w:val="en-US" w:eastAsia="zh-CN"/>
              </w:rPr>
              <w:t>2025年06月11日09时00分</w:t>
            </w:r>
            <w:r>
              <w:rPr>
                <w:rFonts w:hint="eastAsia" w:asciiTheme="minorEastAsia" w:hAnsiTheme="minorEastAsia" w:eastAsiaTheme="minorEastAsia" w:cstheme="minorEastAsia"/>
                <w:color w:val="auto"/>
                <w:sz w:val="24"/>
                <w:szCs w:val="24"/>
                <w:highlight w:val="none"/>
              </w:rPr>
              <w:t>截标后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”平台电子开标大厅开标</w:t>
            </w:r>
            <w:r>
              <w:rPr>
                <w:rFonts w:hint="eastAsia" w:asciiTheme="minorEastAsia" w:hAnsiTheme="minorEastAsia" w:eastAsiaTheme="minorEastAsia" w:cstheme="minorEastAsia"/>
                <w:color w:val="auto"/>
                <w:sz w:val="24"/>
                <w:szCs w:val="24"/>
                <w:highlight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开标程序</w:t>
            </w:r>
          </w:p>
        </w:tc>
        <w:tc>
          <w:tcPr>
            <w:tcW w:w="7190" w:type="dxa"/>
            <w:noWrap w:val="0"/>
            <w:tcMar>
              <w:top w:w="0" w:type="dxa"/>
              <w:left w:w="57" w:type="dxa"/>
              <w:bottom w:w="0" w:type="dxa"/>
              <w:right w:w="57" w:type="dxa"/>
            </w:tcMar>
            <w:vAlign w:val="top"/>
          </w:tcPr>
          <w:p>
            <w:pPr>
              <w:numPr>
                <w:ilvl w:val="0"/>
                <w:numId w:val="4"/>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签收、</w:t>
            </w:r>
            <w:r>
              <w:rPr>
                <w:rFonts w:hint="eastAsia" w:asciiTheme="minorEastAsia" w:hAnsiTheme="minorEastAsia" w:eastAsiaTheme="minorEastAsia" w:cstheme="minorEastAsia"/>
                <w:color w:val="auto"/>
                <w:sz w:val="24"/>
                <w:szCs w:val="24"/>
                <w:highlight w:val="none"/>
                <w:lang w:eastAsia="zh-CN"/>
              </w:rPr>
              <w:t>解密电子投标文件。</w:t>
            </w:r>
            <w:r>
              <w:rPr>
                <w:rFonts w:hint="eastAsia" w:asciiTheme="minorEastAsia" w:hAnsiTheme="minorEastAsia" w:eastAsiaTheme="minorEastAsia" w:cstheme="minorEastAsia"/>
                <w:color w:val="auto"/>
                <w:sz w:val="24"/>
                <w:szCs w:val="24"/>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pPr>
              <w:numPr>
                <w:ilvl w:val="0"/>
                <w:numId w:val="0"/>
              </w:numPr>
              <w:spacing w:line="39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（解密异常情况处理：详见本章 15.3 电子交易活动的中止。）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初步评审。</w:t>
            </w:r>
            <w:r>
              <w:rPr>
                <w:rFonts w:hint="eastAsia" w:asciiTheme="minorEastAsia" w:hAnsiTheme="minorEastAsia" w:eastAsiaTheme="minorEastAsia" w:cstheme="minorEastAsia"/>
                <w:color w:val="auto"/>
                <w:sz w:val="24"/>
                <w:szCs w:val="24"/>
                <w:highlight w:val="none"/>
                <w:lang w:eastAsia="zh-CN"/>
              </w:rPr>
              <w:t>投标文件解密结束</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磋商小组依据法律法规和磋商文件的规定，对竞标人进行线上初步评审（资格性审查、符合性审查）。</w:t>
            </w:r>
          </w:p>
          <w:p>
            <w:pPr>
              <w:numPr>
                <w:ilvl w:val="0"/>
                <w:numId w:val="0"/>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Theme="minorEastAsia" w:hAnsiTheme="minorEastAsia" w:eastAsiaTheme="minorEastAsia" w:cstheme="minorEastAsia"/>
                <w:color w:val="auto"/>
                <w:sz w:val="24"/>
                <w:szCs w:val="24"/>
                <w:highlight w:val="none"/>
                <w:lang w:eastAsia="zh-CN"/>
              </w:rPr>
              <w:t>各投标供应商</w:t>
            </w:r>
            <w:r>
              <w:rPr>
                <w:rFonts w:hint="eastAsia" w:asciiTheme="minorEastAsia" w:hAnsiTheme="minorEastAsia" w:eastAsiaTheme="minorEastAsia" w:cstheme="minorEastAsia"/>
                <w:color w:val="auto"/>
                <w:sz w:val="24"/>
                <w:szCs w:val="24"/>
                <w:highlight w:val="none"/>
                <w:lang w:val="en-US" w:eastAsia="zh-CN"/>
              </w:rPr>
              <w:t>在规定地点、时间提交二次报价或询标回复。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）电子唱标。各投标供应商报价、</w:t>
            </w:r>
            <w:r>
              <w:rPr>
                <w:rFonts w:hint="eastAsia" w:asciiTheme="minorEastAsia" w:hAnsiTheme="minorEastAsia" w:eastAsiaTheme="minorEastAsia" w:cstheme="minorEastAsia"/>
                <w:color w:val="auto"/>
                <w:sz w:val="24"/>
                <w:szCs w:val="24"/>
                <w:highlight w:val="none"/>
                <w:lang w:val="en-US" w:eastAsia="zh-CN"/>
              </w:rPr>
              <w:t>工期等</w:t>
            </w:r>
            <w:r>
              <w:rPr>
                <w:rFonts w:hint="eastAsia" w:asciiTheme="minorEastAsia" w:hAnsiTheme="minorEastAsia" w:eastAsiaTheme="minorEastAsia" w:cstheme="minorEastAsia"/>
                <w:color w:val="auto"/>
                <w:sz w:val="24"/>
                <w:szCs w:val="24"/>
                <w:highlight w:val="none"/>
                <w:lang w:eastAsia="zh-CN"/>
              </w:rPr>
              <w:t>均在“广西政采云”平台远程不见面开标大厅展示；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）开标结束。</w:t>
            </w:r>
          </w:p>
          <w:p>
            <w:pPr>
              <w:pStyle w:val="35"/>
              <w:ind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特别说明：如遇“广西政采云”平台电子化开标或评审程序调整的，按调整后执行。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2161" w:type="dxa"/>
            <w:noWrap w:val="0"/>
            <w:tcMar>
              <w:top w:w="0" w:type="dxa"/>
              <w:left w:w="57" w:type="dxa"/>
              <w:bottom w:w="0" w:type="dxa"/>
              <w:right w:w="57" w:type="dxa"/>
            </w:tcMar>
            <w:vAlign w:val="center"/>
          </w:tcPr>
          <w:p>
            <w:pPr>
              <w:widowControl/>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磋商小组的组成</w:t>
            </w:r>
          </w:p>
        </w:tc>
        <w:tc>
          <w:tcPr>
            <w:tcW w:w="7190" w:type="dxa"/>
            <w:noWrap w:val="0"/>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磋商小组</w:t>
            </w:r>
            <w:r>
              <w:rPr>
                <w:rFonts w:hint="eastAsia" w:asciiTheme="minorEastAsia" w:hAnsiTheme="minorEastAsia" w:eastAsiaTheme="minorEastAsia" w:cstheme="minorEastAsia"/>
                <w:b/>
                <w:bCs/>
                <w:color w:val="auto"/>
                <w:sz w:val="24"/>
                <w:szCs w:val="24"/>
                <w:highlight w:val="none"/>
              </w:rPr>
              <w:t>构成：</w:t>
            </w:r>
            <w:r>
              <w:rPr>
                <w:rFonts w:hint="eastAsia" w:asciiTheme="minorEastAsia" w:hAnsiTheme="minorEastAsia" w:eastAsiaTheme="minorEastAsia" w:cstheme="minorEastAsia"/>
                <w:color w:val="auto"/>
                <w:sz w:val="24"/>
                <w:szCs w:val="24"/>
                <w:highlight w:val="none"/>
              </w:rPr>
              <w:t>3人，其中采购人代表1人，专家2人。</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评标专家确定方式：</w:t>
            </w:r>
            <w:r>
              <w:rPr>
                <w:rFonts w:hint="eastAsia" w:asciiTheme="minorEastAsia" w:hAnsiTheme="minorEastAsia" w:eastAsiaTheme="minorEastAsia" w:cstheme="minorEastAsia"/>
                <w:color w:val="auto"/>
                <w:sz w:val="24"/>
                <w:szCs w:val="24"/>
                <w:highlight w:val="none"/>
                <w:lang w:val="en-US" w:eastAsia="zh-CN"/>
              </w:rPr>
              <w:t>开标前由采购代理机构在广西政采云平台广西评审专家库随机抽取确定。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2161"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评标办法</w:t>
            </w:r>
          </w:p>
        </w:tc>
        <w:tc>
          <w:tcPr>
            <w:tcW w:w="7190"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是否授权磋商小组确定</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w:t>
            </w:r>
          </w:p>
        </w:tc>
        <w:tc>
          <w:tcPr>
            <w:tcW w:w="7190" w:type="dxa"/>
            <w:noWrap w:val="0"/>
            <w:tcMar>
              <w:top w:w="0" w:type="dxa"/>
              <w:left w:w="57" w:type="dxa"/>
              <w:bottom w:w="0" w:type="dxa"/>
              <w:right w:w="57" w:type="dxa"/>
            </w:tcMar>
            <w:vAlign w:val="center"/>
          </w:tcPr>
          <w:p>
            <w:pPr>
              <w:widowControl/>
              <w:spacing w:line="400" w:lineRule="exac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履约保证金</w:t>
            </w:r>
          </w:p>
        </w:tc>
        <w:tc>
          <w:tcPr>
            <w:tcW w:w="7190" w:type="dxa"/>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农民工工资保障金</w:t>
            </w:r>
          </w:p>
        </w:tc>
        <w:tc>
          <w:tcPr>
            <w:tcW w:w="7190" w:type="dxa"/>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06"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2161" w:type="dxa"/>
            <w:noWrap w:val="0"/>
            <w:tcMar>
              <w:top w:w="0"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上限控制价</w:t>
            </w:r>
          </w:p>
        </w:tc>
        <w:tc>
          <w:tcPr>
            <w:tcW w:w="7190" w:type="dxa"/>
            <w:noWrap w:val="0"/>
            <w:tcMar>
              <w:top w:w="0" w:type="dxa"/>
              <w:left w:w="57" w:type="dxa"/>
              <w:bottom w:w="0" w:type="dxa"/>
              <w:right w:w="57" w:type="dxa"/>
            </w:tcMar>
            <w:vAlign w:val="center"/>
          </w:tcPr>
          <w:p>
            <w:pPr>
              <w:widowControl/>
              <w:spacing w:line="240" w:lineRule="auto"/>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single"/>
                <w:lang w:val="en-US" w:eastAsia="zh-CN"/>
              </w:rPr>
              <w:t>人民币壹佰肆拾伍万伍仟玖佰叁拾玖元玖角叁分（￥1455939.93）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报价高于公布的控制价的，其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（磋商）作否决磋商处理。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2161" w:type="dxa"/>
            <w:noWrap w:val="0"/>
            <w:tcMar>
              <w:top w:w="0" w:type="dxa"/>
              <w:left w:w="57" w:type="dxa"/>
              <w:bottom w:w="0" w:type="dxa"/>
              <w:right w:w="57" w:type="dxa"/>
            </w:tcMar>
            <w:vAlign w:val="center"/>
          </w:tcPr>
          <w:p>
            <w:pPr>
              <w:spacing w:line="36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代理</w:t>
            </w:r>
            <w:r>
              <w:rPr>
                <w:rFonts w:hint="eastAsia" w:asciiTheme="minorEastAsia" w:hAnsiTheme="minorEastAsia" w:eastAsiaTheme="minorEastAsia" w:cstheme="minorEastAsia"/>
                <w:b/>
                <w:bCs w:val="0"/>
                <w:color w:val="auto"/>
                <w:sz w:val="24"/>
                <w:szCs w:val="24"/>
                <w:highlight w:val="none"/>
                <w:lang w:eastAsia="zh-CN"/>
              </w:rPr>
              <w:t>服务</w:t>
            </w:r>
            <w:r>
              <w:rPr>
                <w:rFonts w:hint="eastAsia" w:asciiTheme="minorEastAsia" w:hAnsiTheme="minorEastAsia" w:eastAsiaTheme="minorEastAsia" w:cstheme="minorEastAsia"/>
                <w:b/>
                <w:bCs w:val="0"/>
                <w:color w:val="auto"/>
                <w:sz w:val="24"/>
                <w:szCs w:val="24"/>
                <w:highlight w:val="none"/>
              </w:rPr>
              <w:t>费</w:t>
            </w:r>
          </w:p>
        </w:tc>
        <w:tc>
          <w:tcPr>
            <w:tcW w:w="7190"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招标代理费：招标代理费金额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lang w:eastAsia="zh-CN"/>
              </w:rPr>
              <w:t>国家计委计价格【2002】1980号文规定的“招标代理服务收费标准”执行。由成交人在领取成交通知书时，一次性向招标代理机构支付。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2161" w:type="dxa"/>
            <w:noWrap w:val="0"/>
            <w:tcMar>
              <w:top w:w="0" w:type="dxa"/>
              <w:left w:w="57" w:type="dxa"/>
              <w:bottom w:w="0" w:type="dxa"/>
              <w:right w:w="57" w:type="dxa"/>
            </w:tcMar>
            <w:vAlign w:val="center"/>
          </w:tcPr>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特别说明</w:t>
            </w:r>
          </w:p>
        </w:tc>
        <w:tc>
          <w:tcPr>
            <w:tcW w:w="7190"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4.自然人竞标的，磋商文件规定盖公章处由自然人摁手指指印。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5.本磋商文件所称的“以上”“以下”“以内”“届满”，包括本数；所称的“不满”“超过”“以外”，不包括本数。</w:t>
            </w:r>
          </w:p>
        </w:tc>
      </w:tr>
    </w:tbl>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w:t>
      </w:r>
      <w:bookmarkStart w:id="45" w:name="_Toc459103898"/>
    </w:p>
    <w:p>
      <w:pPr>
        <w:pStyle w:val="4"/>
        <w:spacing w:before="0" w:after="0" w:line="390" w:lineRule="exact"/>
        <w:rPr>
          <w:rFonts w:hint="eastAsia" w:asciiTheme="minorEastAsia" w:hAnsiTheme="minorEastAsia" w:eastAsiaTheme="minorEastAsia" w:cstheme="minorEastAsia"/>
          <w:color w:val="auto"/>
          <w:sz w:val="21"/>
          <w:szCs w:val="21"/>
          <w:highlight w:val="none"/>
        </w:rPr>
      </w:pPr>
      <w:bookmarkStart w:id="46" w:name="_Toc1599"/>
      <w:r>
        <w:rPr>
          <w:rFonts w:hint="eastAsia" w:asciiTheme="minorEastAsia" w:hAnsiTheme="minorEastAsia" w:eastAsiaTheme="minorEastAsia" w:cstheme="minorEastAsia"/>
          <w:color w:val="auto"/>
          <w:sz w:val="21"/>
          <w:szCs w:val="21"/>
          <w:highlight w:val="none"/>
        </w:rPr>
        <w:t>一、总则</w:t>
      </w:r>
      <w:bookmarkEnd w:id="45"/>
      <w:bookmarkEnd w:id="46"/>
    </w:p>
    <w:p>
      <w:pPr>
        <w:spacing w:line="390" w:lineRule="exact"/>
        <w:ind w:firstLine="361"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b w:val="0"/>
          <w:bCs w:val="0"/>
          <w:color w:val="auto"/>
          <w:sz w:val="24"/>
          <w:szCs w:val="24"/>
          <w:highlight w:val="none"/>
          <w:lang w:eastAsia="zh-CN"/>
        </w:rPr>
        <w:t>昭平中学300米塑胶运动场维护翻新项目</w:t>
      </w: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val="0"/>
          <w:bCs w:val="0"/>
          <w:color w:val="auto"/>
          <w:sz w:val="24"/>
          <w:szCs w:val="24"/>
          <w:highlight w:val="none"/>
          <w:lang w:eastAsia="zh-CN"/>
        </w:rPr>
        <w:t>HZZC2025-C2-210037-YXZB</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资质要求：</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2.1资质要求：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r>
        <w:rPr>
          <w:rFonts w:hint="eastAsia" w:asciiTheme="minorEastAsia" w:hAnsiTheme="minorEastAsia" w:eastAsiaTheme="minorEastAsia" w:cstheme="minorEastAsia"/>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3本项目的特定资格要求：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（1）磋商人具备市政公用工程施工总承包叁级以上（含叁级）资质，持有有效的省级及以上建设行政主管部门颁发的《安全生产许可证》，并在人员、设备、资金等方面具备相应的施工能力的供应商；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市政工程专业注册建造师二级以上（含二级）执业资格和具备有效的《安全生产考核合格证书（B类）》【提供项目经理注册建造师执业资格证书和安全生产考核合格证书（B类）的扫描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对在“信用中国”网站(www.creditchina.gov.cn)</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color w:val="auto"/>
          <w:sz w:val="24"/>
          <w:szCs w:val="24"/>
          <w:highlight w:val="none"/>
          <w:lang w:eastAsia="zh-CN"/>
        </w:rPr>
        <w:t>磋商人</w:t>
      </w:r>
      <w:r>
        <w:rPr>
          <w:rFonts w:hint="eastAsia" w:asciiTheme="minorEastAsia" w:hAnsiTheme="minorEastAsia" w:eastAsiaTheme="minorEastAsia" w:cstheme="minorEastAsia"/>
          <w:color w:val="auto"/>
          <w:sz w:val="24"/>
          <w:szCs w:val="24"/>
          <w:highlight w:val="none"/>
        </w:rPr>
        <w:t>，不得参与政府采购活动（以评标过程中查询结果为准）；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r>
        <w:rPr>
          <w:rFonts w:hint="eastAsia" w:asciiTheme="minorEastAsia" w:hAnsiTheme="minorEastAsia" w:eastAsiaTheme="minorEastAsia" w:cstheme="minorEastAsia"/>
          <w:color w:val="auto"/>
          <w:sz w:val="24"/>
          <w:szCs w:val="24"/>
          <w:highlight w:val="none"/>
          <w:lang w:val="en-US" w:eastAsia="zh-CN"/>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2.2符合</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资格的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应承担磋商及履约中应承担的全部责任与义务。</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3、磋商费用</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应自行承担所有与本次磋商有关的全部费用。</w:t>
      </w:r>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47" w:name="_Toc459103899"/>
    </w:p>
    <w:p>
      <w:pPr>
        <w:pStyle w:val="4"/>
        <w:spacing w:before="0" w:after="0" w:line="390" w:lineRule="exact"/>
        <w:rPr>
          <w:rFonts w:hint="eastAsia" w:asciiTheme="minorEastAsia" w:hAnsiTheme="minorEastAsia" w:eastAsiaTheme="minorEastAsia" w:cstheme="minorEastAsia"/>
          <w:color w:val="auto"/>
          <w:sz w:val="24"/>
          <w:szCs w:val="24"/>
          <w:highlight w:val="none"/>
          <w:lang w:eastAsia="zh-CN"/>
        </w:rPr>
      </w:pPr>
      <w:bookmarkStart w:id="48" w:name="_Toc21203"/>
      <w:r>
        <w:rPr>
          <w:rFonts w:hint="eastAsia" w:asciiTheme="minorEastAsia" w:hAnsiTheme="minorEastAsia" w:eastAsiaTheme="minorEastAsia" w:cstheme="minorEastAsia"/>
          <w:color w:val="auto"/>
          <w:sz w:val="24"/>
          <w:szCs w:val="24"/>
          <w:highlight w:val="none"/>
        </w:rPr>
        <w:t>二、</w:t>
      </w:r>
      <w:bookmarkEnd w:id="47"/>
      <w:r>
        <w:rPr>
          <w:rFonts w:hint="eastAsia" w:asciiTheme="minorEastAsia" w:hAnsiTheme="minorEastAsia" w:eastAsiaTheme="minorEastAsia" w:cstheme="minorEastAsia"/>
          <w:color w:val="auto"/>
          <w:sz w:val="24"/>
          <w:szCs w:val="24"/>
          <w:highlight w:val="none"/>
          <w:lang w:eastAsia="zh-CN"/>
        </w:rPr>
        <w:t>《竞争性磋商文件》</w:t>
      </w:r>
      <w:bookmarkEnd w:id="48"/>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的构成</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4.1磋商文件包括：</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（1）竞争性磋商公告</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须知及前附表</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（3）合同条款及格式</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color w:val="auto"/>
          <w:sz w:val="24"/>
          <w:szCs w:val="24"/>
          <w:highlight w:val="none"/>
        </w:rPr>
        <w:t>工程量清单</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（5）图纸</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bCs/>
          <w:color w:val="auto"/>
          <w:sz w:val="24"/>
          <w:szCs w:val="24"/>
          <w:highlight w:val="none"/>
        </w:rPr>
        <w:t>技术标准和要求</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（8）评标办法</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的澄清和修改</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5.1任何要求澄清</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，均应在磋商截止日期的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天前以传真、电报等书面形式通知采购代理机构，同时认定其他澄清方式为无效。采购代理机构将以书面形式予以答复。</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5.2在磋商截止日期前的任何时候，无论出于何种原因，采购代理机构可主动地或在解答</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提出的澄清问题时对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进行澄清或修改。该澄清或修改的内容为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的组成部分。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的澄清或修改将在发布竞争性磋商公告的同一媒介发布。</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未及时关注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人在网站上发布的澄清文件造成的损失，由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自行负责。</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5.4采购代理机构可视情况延长磋商截止日期，并将此澄清或修改发布竞争性磋商公告的同一媒介发布。</w:t>
      </w:r>
    </w:p>
    <w:p>
      <w:pPr>
        <w:spacing w:line="390" w:lineRule="exact"/>
        <w:rPr>
          <w:rFonts w:hint="eastAsia" w:asciiTheme="minorEastAsia" w:hAnsiTheme="minorEastAsia" w:eastAsiaTheme="minorEastAsia" w:cstheme="minorEastAsia"/>
          <w:color w:val="auto"/>
          <w:sz w:val="24"/>
          <w:szCs w:val="24"/>
          <w:highlight w:val="none"/>
        </w:rPr>
      </w:pPr>
    </w:p>
    <w:p>
      <w:pPr>
        <w:pStyle w:val="4"/>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49" w:name="_Toc7663"/>
      <w:bookmarkStart w:id="50" w:name="_Toc459103900"/>
      <w:r>
        <w:rPr>
          <w:rFonts w:hint="eastAsia" w:asciiTheme="minorEastAsia" w:hAnsiTheme="minorEastAsia" w:eastAsiaTheme="minorEastAsia" w:cstheme="minorEastAsia"/>
          <w:color w:val="auto"/>
          <w:sz w:val="24"/>
          <w:szCs w:val="24"/>
          <w:highlight w:val="none"/>
        </w:rPr>
        <w:t>三、磋商报价说明</w:t>
      </w:r>
      <w:bookmarkEnd w:id="49"/>
      <w:bookmarkEnd w:id="50"/>
    </w:p>
    <w:p>
      <w:pPr>
        <w:pStyle w:val="11"/>
        <w:spacing w:line="39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6、磋商</w:t>
      </w:r>
      <w:r>
        <w:rPr>
          <w:rFonts w:hint="eastAsia" w:asciiTheme="minorEastAsia" w:hAnsiTheme="minorEastAsia" w:eastAsiaTheme="minorEastAsia" w:cstheme="minorEastAsia"/>
          <w:b/>
          <w:color w:val="auto"/>
          <w:sz w:val="24"/>
          <w:szCs w:val="24"/>
          <w:highlight w:val="none"/>
          <w:lang w:val="en-US" w:eastAsia="zh-CN"/>
        </w:rPr>
        <w:t>报价</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6.1磋商报价：本项目磋商报价不允许超过采购上限控制价</w:t>
      </w:r>
      <w:r>
        <w:rPr>
          <w:rFonts w:hint="eastAsia" w:asciiTheme="minorEastAsia" w:hAnsiTheme="minorEastAsia" w:eastAsiaTheme="minorEastAsia" w:cstheme="minorEastAsia"/>
          <w:bCs/>
          <w:color w:val="auto"/>
          <w:sz w:val="24"/>
          <w:szCs w:val="24"/>
          <w:highlight w:val="none"/>
          <w:u w:val="single"/>
          <w:lang w:val="en-US" w:eastAsia="zh-CN"/>
        </w:rPr>
        <w:t>人民币壹佰肆拾伍万伍仟玖佰叁拾玖元玖角叁分（￥1455939.93）</w:t>
      </w:r>
      <w:r>
        <w:rPr>
          <w:rFonts w:hint="eastAsia" w:asciiTheme="minorEastAsia" w:hAnsiTheme="minorEastAsia" w:eastAsiaTheme="minorEastAsia" w:cstheme="minorEastAsia"/>
          <w:bCs/>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pPr>
        <w:pStyle w:val="11"/>
        <w:tabs>
          <w:tab w:val="left" w:pos="284"/>
        </w:tabs>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 </w:t>
      </w:r>
      <w:r>
        <w:rPr>
          <w:rFonts w:hint="eastAsia" w:asciiTheme="minorEastAsia" w:hAnsiTheme="minorEastAsia" w:eastAsiaTheme="minorEastAsia" w:cstheme="minorEastAsia"/>
          <w:color w:val="auto"/>
          <w:sz w:val="24"/>
          <w:szCs w:val="24"/>
          <w:highlight w:val="none"/>
        </w:rPr>
        <w:t>承包方式：</w:t>
      </w:r>
      <w:r>
        <w:rPr>
          <w:rFonts w:hint="eastAsia" w:asciiTheme="minorEastAsia" w:hAnsiTheme="minorEastAsia" w:eastAsiaTheme="minorEastAsia" w:cstheme="minorEastAsia"/>
          <w:bCs/>
          <w:color w:val="auto"/>
          <w:sz w:val="24"/>
          <w:szCs w:val="24"/>
          <w:highlight w:val="none"/>
        </w:rPr>
        <w:t>　</w:t>
      </w:r>
      <w:r>
        <w:rPr>
          <w:rFonts w:hint="eastAsia" w:asciiTheme="minorEastAsia" w:hAnsiTheme="minorEastAsia" w:eastAsiaTheme="minorEastAsia" w:cstheme="minorEastAsia"/>
          <w:b/>
          <w:color w:val="auto"/>
          <w:sz w:val="24"/>
          <w:szCs w:val="24"/>
          <w:highlight w:val="none"/>
        </w:rPr>
        <w:t xml:space="preserve"> </w:t>
      </w:r>
    </w:p>
    <w:p>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6.2.1 </w:t>
      </w:r>
      <w:r>
        <w:rPr>
          <w:rFonts w:hint="eastAsia" w:asciiTheme="minorEastAsia" w:hAnsiTheme="minorEastAsia" w:eastAsiaTheme="minorEastAsia" w:cstheme="minorEastAsia"/>
          <w:color w:val="auto"/>
          <w:sz w:val="24"/>
          <w:szCs w:val="24"/>
          <w:highlight w:val="none"/>
        </w:rPr>
        <w:t>本合同价款采用固定综合单价方式。</w:t>
      </w:r>
    </w:p>
    <w:p>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6.2.2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应按照采购人提供的工程量清单进行报价并对自己所填写的项目编码、项目名称、计量单位、工程数量负责。</w:t>
      </w:r>
      <w:r>
        <w:rPr>
          <w:rFonts w:hint="eastAsia" w:asciiTheme="minorEastAsia" w:hAnsiTheme="minorEastAsia" w:eastAsiaTheme="minorEastAsia" w:cstheme="minorEastAsia"/>
          <w:b w:val="0"/>
          <w:bCs/>
          <w:color w:val="auto"/>
          <w:sz w:val="24"/>
          <w:szCs w:val="24"/>
          <w:highlight w:val="none"/>
        </w:rPr>
        <w:t>评标时，如项目编码与项目名称不一致，以项目编码为准；如项目编码与计量单位、工程数量无法对应</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，该清单项目作废，该清单项目的费用视为包含在其它清单项目中；如作废的清单项目达到3项及以上或作废的清单项目造价累计超过单位工程磋商报价的2%（含2%），视为不响应竞争性</w:t>
      </w:r>
      <w:r>
        <w:rPr>
          <w:rFonts w:hint="eastAsia" w:asciiTheme="minorEastAsia" w:hAnsiTheme="minorEastAsia" w:eastAsiaTheme="minorEastAsia" w:cstheme="minorEastAsia"/>
          <w:b w:val="0"/>
          <w:bCs/>
          <w:color w:val="auto"/>
          <w:sz w:val="24"/>
          <w:szCs w:val="24"/>
          <w:highlight w:val="none"/>
          <w:lang w:eastAsia="zh-CN"/>
        </w:rPr>
        <w:t>磋商</w:t>
      </w:r>
      <w:r>
        <w:rPr>
          <w:rFonts w:hint="eastAsia" w:asciiTheme="minorEastAsia" w:hAnsiTheme="minorEastAsia" w:eastAsiaTheme="minorEastAsia" w:cstheme="minorEastAsia"/>
          <w:b w:val="0"/>
          <w:bCs/>
          <w:color w:val="auto"/>
          <w:sz w:val="24"/>
          <w:szCs w:val="24"/>
          <w:highlight w:val="none"/>
        </w:rPr>
        <w:t>文件实质性内容，作废标处理。</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 磋商货币：</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报价中的单价和合价全部采用人民币表示。</w:t>
      </w:r>
    </w:p>
    <w:p>
      <w:pPr>
        <w:spacing w:line="39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pPr>
        <w:pStyle w:val="4"/>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 xml:space="preserve">  </w:t>
      </w:r>
      <w:bookmarkStart w:id="51" w:name="_Toc13310"/>
      <w:bookmarkStart w:id="52" w:name="_Toc459103901"/>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的编制格式</w:t>
      </w:r>
      <w:bookmarkEnd w:id="51"/>
      <w:bookmarkEnd w:id="52"/>
    </w:p>
    <w:p>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的语言</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及</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与采购人之间与磋商有关的来往通知、函件和文件均应使用中文。</w:t>
      </w:r>
    </w:p>
    <w:p>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的组成</w:t>
      </w:r>
    </w:p>
    <w:p>
      <w:pPr>
        <w:pStyle w:val="11"/>
        <w:tabs>
          <w:tab w:val="left" w:pos="426"/>
        </w:tabs>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8.1</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应包括下列内容：</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8.1.1</w:t>
      </w: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pPr>
        <w:pStyle w:val="12"/>
        <w:ind w:left="0" w:leftChars="0" w:firstLine="0" w:firstLineChars="0"/>
        <w:jc w:val="left"/>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（2）政府采购供应商信用承诺函；</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（3）有效的企业资质证书副本扫描件；</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（4）有效的企业安全生产许可证扫描件；</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市政工程类专业注册建造师二级以上（含二级）执业资格证书和持有有效的省级或省级以上行政主管部门颁发的《安全生产考核合格证书》【提供项目经理注册建造师执业资格证书和安全生产考核合格证书（B类）的扫描件】。</w:t>
      </w:r>
    </w:p>
    <w:p>
      <w:pPr>
        <w:pStyle w:val="12"/>
        <w:ind w:left="0" w:leftChars="0" w:firstLine="0" w:firstLineChars="0"/>
        <w:jc w:val="left"/>
        <w:rPr>
          <w:rFonts w:hint="default"/>
          <w:sz w:val="24"/>
          <w:szCs w:val="24"/>
          <w:lang w:val="en-US" w:eastAsia="zh-CN"/>
        </w:rPr>
      </w:pPr>
      <w:r>
        <w:rPr>
          <w:rFonts w:hint="eastAsia"/>
          <w:lang w:val="en-US" w:eastAsia="zh-CN"/>
        </w:rPr>
        <w:t xml:space="preserve">    </w:t>
      </w:r>
      <w:r>
        <w:rPr>
          <w:rFonts w:hint="eastAsia"/>
          <w:sz w:val="24"/>
          <w:szCs w:val="24"/>
          <w:lang w:val="en-US" w:eastAsia="zh-CN"/>
        </w:rPr>
        <w:t>（6）法定代表人身份证明书及授权委托书（委托代理时必须提供，同时加盖单位电子公章）</w:t>
      </w:r>
    </w:p>
    <w:p>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p>
      <w:pPr>
        <w:pStyle w:val="11"/>
        <w:spacing w:line="390" w:lineRule="exact"/>
        <w:ind w:firstLine="482"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p>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8.1.2报价文件</w:t>
      </w:r>
    </w:p>
    <w:p>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（1）磋商函及磋商函附录</w:t>
      </w:r>
    </w:p>
    <w:p>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（2）竞标人基本情况表</w:t>
      </w:r>
    </w:p>
    <w:p>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（3）已标价工程量清单</w:t>
      </w:r>
    </w:p>
    <w:p>
      <w:pPr>
        <w:pStyle w:val="3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8.1.3商务技术文件</w:t>
      </w:r>
    </w:p>
    <w:p>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8.2 磋商单位应使用</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提供的格式，但表格可以按同样格式扩展，磋商保证金、履约保证金的方式按本须知有关条款的规定可以选择。</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9、磋商货币</w:t>
      </w:r>
    </w:p>
    <w:p>
      <w:pPr>
        <w:tabs>
          <w:tab w:val="left" w:pos="426"/>
        </w:tabs>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9.1磋商应以人民币报价。</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10、磋商的有效期</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从</w:t>
      </w: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内有效。</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10．2在特殊情况下，采购代理机构可与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的有效期。</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lang w:val="en-US" w:eastAsia="zh-CN"/>
        </w:rPr>
        <w:t>电子版的编制要求</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各供应商在编制响应文件时请按照磋商文件“第七章 响应文件（格式）”规定的格式进行，</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本磋商只接受电子版响应文件，要求见本章前附表 “响应文件电子版要求”。</w:t>
      </w:r>
    </w:p>
    <w:p>
      <w:pPr>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响应文件须由供应商在“第七章 响应文件（格式）”规定位置进行签署、盖章，否则其响应文件按无效响应处理。骑缝盖公章不视为在规定位置盖章</w:t>
      </w:r>
      <w:r>
        <w:rPr>
          <w:rFonts w:hint="eastAsia" w:asciiTheme="minorEastAsia" w:hAnsiTheme="minorEastAsia" w:eastAsiaTheme="minorEastAsia" w:cstheme="minorEastAsia"/>
          <w:bCs/>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11.4</w:t>
      </w:r>
      <w:r>
        <w:rPr>
          <w:rFonts w:hint="eastAsia" w:asciiTheme="minorEastAsia" w:hAnsiTheme="minorEastAsia" w:eastAsiaTheme="minorEastAsia" w:cstheme="minorEastAsia"/>
          <w:bCs/>
          <w:color w:val="auto"/>
          <w:sz w:val="24"/>
          <w:szCs w:val="24"/>
          <w:highlight w:val="none"/>
          <w:lang w:val="en-US" w:eastAsia="zh-CN"/>
        </w:rPr>
        <w:t>响应文件中标注的供应商名称应与营业执照（事业单位法人证书、执业许可证、自然人身份证）及电子公章一致，否则其响应文件按无效响应处理</w:t>
      </w:r>
      <w:r>
        <w:rPr>
          <w:rFonts w:hint="eastAsia" w:asciiTheme="minorEastAsia" w:hAnsiTheme="minorEastAsia" w:eastAsiaTheme="minorEastAsia" w:cstheme="minorEastAsia"/>
          <w:bCs/>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r>
        <w:rPr>
          <w:rFonts w:hint="eastAsia" w:asciiTheme="minorEastAsia" w:hAnsiTheme="minorEastAsia" w:eastAsiaTheme="minorEastAsia" w:cstheme="minorEastAsia"/>
          <w:color w:val="auto"/>
          <w:sz w:val="24"/>
          <w:szCs w:val="24"/>
          <w:highlight w:val="none"/>
          <w:lang w:val="en-US" w:eastAsia="zh-CN"/>
        </w:rPr>
        <w:t>响应文件应避免涂改、行间插字或者删除，否则其响应文件按无效响应处理</w:t>
      </w:r>
      <w:r>
        <w:rPr>
          <w:rFonts w:hint="eastAsia" w:asciiTheme="minorEastAsia" w:hAnsiTheme="minorEastAsia" w:eastAsiaTheme="minorEastAsia" w:cstheme="minorEastAsia"/>
          <w:color w:val="auto"/>
          <w:sz w:val="24"/>
          <w:szCs w:val="24"/>
          <w:highlight w:val="none"/>
        </w:rPr>
        <w:t>。</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12、磋商保证金</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12.1磋商单位应按前附表第</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项规定数额、方式足额提交磋商保证金，此磋商保证金是</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的一个组成部分。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12.2对于未能按要求提交磋商保证金的磋商，采购单位将视为不响应磋商而拒绝。</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12.3未成交</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的磋商保证金，</w:t>
      </w:r>
      <w:r>
        <w:rPr>
          <w:rFonts w:hint="eastAsia" w:asciiTheme="minorEastAsia" w:hAnsiTheme="minorEastAsia" w:eastAsiaTheme="minorEastAsia" w:cstheme="minorEastAsia"/>
          <w:color w:val="auto"/>
          <w:sz w:val="24"/>
          <w:szCs w:val="24"/>
          <w:highlight w:val="none"/>
          <w:u w:val="none"/>
        </w:rPr>
        <w:t>将在成交通知书发出后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个工作日内予以退还，不计利息。</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按要求提交履约保证金并签署合同协议，</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合同协议</w:t>
      </w:r>
      <w:r>
        <w:rPr>
          <w:rFonts w:hint="eastAsia" w:asciiTheme="minorEastAsia" w:hAnsiTheme="minorEastAsia" w:eastAsiaTheme="minorEastAsia" w:cstheme="minorEastAsia"/>
          <w:color w:val="auto"/>
          <w:sz w:val="24"/>
          <w:szCs w:val="24"/>
          <w:highlight w:val="none"/>
          <w:lang w:val="en-US" w:eastAsia="zh-CN"/>
        </w:rPr>
        <w:t>提交1份至采购代理机构后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w:t>
      </w:r>
      <w:r>
        <w:rPr>
          <w:rFonts w:hint="eastAsia" w:asciiTheme="minorEastAsia" w:hAnsiTheme="minorEastAsia" w:eastAsiaTheme="minorEastAsia" w:cstheme="minorEastAsia"/>
          <w:color w:val="auto"/>
          <w:sz w:val="24"/>
          <w:szCs w:val="24"/>
          <w:highlight w:val="none"/>
        </w:rPr>
        <w:t>将无息退还其磋商保证金。</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12.5如</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 xml:space="preserve">有下列情况，将被没收磋商保证金：　　　  </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在其磋商有效期内撤回其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未能在规定期限内提交履约保证金或签署合同协议。</w:t>
      </w:r>
      <w:bookmarkStart w:id="53" w:name="_Toc459103902"/>
    </w:p>
    <w:p>
      <w:pPr>
        <w:pStyle w:val="35"/>
        <w:rPr>
          <w:rFonts w:hint="eastAsia" w:asciiTheme="minorEastAsia" w:hAnsiTheme="minorEastAsia" w:eastAsiaTheme="minorEastAsia" w:cstheme="minorEastAsia"/>
          <w:color w:val="auto"/>
          <w:sz w:val="24"/>
          <w:szCs w:val="24"/>
          <w:highlight w:val="none"/>
        </w:rPr>
      </w:pPr>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54" w:name="_Toc11737"/>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bookmarkEnd w:id="53"/>
      <w:bookmarkEnd w:id="54"/>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的密封与标记</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3.1供应商进行电子交易应安装客户端软件“广西政采云电子交易客户端”，并按照磋商文件和电子交易平台的要求编制并加密响应文件。供应商未按规定加密的响应文件，电子交易平台 将拒收并提示</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使用“广西政采云电子交易客户端”需要提前申领 CA 数字证书，申领流程见本项目采购公告</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3.3为确保网上操作合法、有效和安全，供应商应当在响应文件提交截止时间前完成在“政府采购云平台”的身份认证，确保在电子交易过程中能够对相关数据电文进行加密和使用电子签名。</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、磋商截止时间  </w:t>
      </w:r>
    </w:p>
    <w:p>
      <w:pPr>
        <w:spacing w:line="39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14.1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的递交不得迟于本须知前附表第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项规定的截止时间。</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必须在规定时间内将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送到本须知前附表第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项规定地点，</w:t>
      </w:r>
      <w:r>
        <w:rPr>
          <w:rFonts w:hint="eastAsia" w:asciiTheme="minorEastAsia" w:hAnsiTheme="minorEastAsia" w:eastAsiaTheme="minorEastAsia" w:cstheme="minorEastAsia"/>
          <w:color w:val="auto"/>
          <w:sz w:val="24"/>
          <w:szCs w:val="24"/>
          <w:highlight w:val="none"/>
          <w:lang w:val="en-US" w:eastAsia="zh-CN"/>
        </w:rPr>
        <w:t>采购代理机构不可视情况延长提交响应文件的截止时间，</w:t>
      </w:r>
      <w:r>
        <w:rPr>
          <w:rFonts w:hint="eastAsia" w:asciiTheme="minorEastAsia" w:hAnsiTheme="minorEastAsia" w:eastAsiaTheme="minorEastAsia" w:cstheme="minorEastAsia"/>
          <w:color w:val="auto"/>
          <w:sz w:val="24"/>
          <w:szCs w:val="24"/>
          <w:highlight w:val="none"/>
        </w:rPr>
        <w:t>超过磋商截止时间送达的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将不予受理。</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磋商供应商应当在开标截止时间前，将生成的“电子加密响应文件”上传递交至广西政采云平台。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w:t>
      </w:r>
      <w:r>
        <w:rPr>
          <w:rFonts w:hint="eastAsia" w:asciiTheme="minorEastAsia" w:hAnsiTheme="minorEastAsia" w:eastAsiaTheme="minorEastAsia" w:cstheme="minorEastAsia"/>
          <w:color w:val="auto"/>
          <w:sz w:val="24"/>
          <w:szCs w:val="24"/>
          <w:highlight w:val="none"/>
        </w:rPr>
        <w:t>磋商保证金将被没收</w:t>
      </w:r>
      <w:r>
        <w:rPr>
          <w:rFonts w:hint="eastAsia" w:asciiTheme="minorEastAsia" w:hAnsiTheme="minorEastAsia" w:eastAsiaTheme="minorEastAsia" w:cstheme="minorEastAsia"/>
          <w:color w:val="auto"/>
          <w:sz w:val="24"/>
          <w:szCs w:val="24"/>
          <w:highlight w:val="none"/>
          <w:lang w:val="en-US" w:eastAsia="zh-CN"/>
        </w:rPr>
        <w:t>处理</w:t>
      </w:r>
      <w:r>
        <w:rPr>
          <w:rFonts w:hint="eastAsia" w:asciiTheme="minorEastAsia" w:hAnsiTheme="minorEastAsia" w:eastAsiaTheme="minorEastAsia" w:cstheme="minorEastAsia"/>
          <w:color w:val="auto"/>
          <w:sz w:val="24"/>
          <w:szCs w:val="24"/>
          <w:highlight w:val="none"/>
          <w:lang w:eastAsia="zh-CN"/>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pPr>
        <w:spacing w:line="39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14.5响应文件提交截止时间止提交响应文件的供应商不足 3 家时，电子响应文件由代理机构在“广西政采云”平台操作退回，除此之外采购人和采购代理机构对已提交的电子响应文件概不退回。</w:t>
      </w:r>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55" w:name="_Toc459103903"/>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56" w:name="_Toc26017"/>
      <w:r>
        <w:rPr>
          <w:rFonts w:hint="eastAsia" w:asciiTheme="minorEastAsia" w:hAnsiTheme="minorEastAsia" w:eastAsiaTheme="minorEastAsia" w:cstheme="minorEastAsia"/>
          <w:color w:val="auto"/>
          <w:sz w:val="24"/>
          <w:szCs w:val="24"/>
          <w:highlight w:val="none"/>
        </w:rPr>
        <w:t>六、竞争性磋商与评标</w:t>
      </w:r>
      <w:bookmarkEnd w:id="55"/>
      <w:bookmarkEnd w:id="56"/>
    </w:p>
    <w:p>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15.响应文件的开启</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15.1响应文件由磋商小组或者采购代理机构在“供应商须知前附表”规定的时间开启。</w:t>
      </w:r>
    </w:p>
    <w:p>
      <w:p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15.2响应文件解密</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30分钟内完成对电子响应文件在线解密的，均视为无效投标。（解密异常情况处理：详见本章 15.3 电子交易活动的中止。）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家的，不得继续磋商。</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15.3电子交易活动的中止</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采购过程中出现以下情形，导致电子交易平台无法正常运行， 或者无法保证电子交易的公平、公正和安全时，采购机构可中止电子交易活动：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（1）电子交易平台发生故障而无法登录访问的；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（2）电子交易平台应用或数据库出现错误，不能进行正常操作的；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（3）电子交易平台发现严重安全漏洞，有潜在泄密危险的；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（4）病毒发作导致不能进行正常操作的； </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（5）其他无法保证电子交易的公平、公正和安全的情况 </w:t>
      </w:r>
    </w:p>
    <w:p>
      <w:pPr>
        <w:spacing w:line="390" w:lineRule="exact"/>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磋商</w:t>
      </w:r>
    </w:p>
    <w:p>
      <w:pPr>
        <w:spacing w:line="400" w:lineRule="exact"/>
        <w:ind w:left="239" w:leftChars="114"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6.1</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时间及地点：截标后为与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地点为“</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w:t>
      </w:r>
      <w:r>
        <w:rPr>
          <w:rFonts w:hint="eastAsia" w:asciiTheme="minorEastAsia" w:hAnsiTheme="minorEastAsia" w:eastAsiaTheme="minorEastAsia" w:cstheme="minorEastAsia"/>
          <w:color w:val="auto"/>
          <w:sz w:val="24"/>
          <w:szCs w:val="24"/>
          <w:highlight w:val="none"/>
          <w:lang w:eastAsia="zh-CN"/>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根据要求</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组建竞争性磋商小组（以下简称磋商小组），磋商小组由采购人代表和评审专家共三人以上（含三人）单数组成，其中评审专家人数不少于磋商小组成员总数的2/3。评审专家</w:t>
      </w:r>
      <w:r>
        <w:rPr>
          <w:rFonts w:hint="eastAsia" w:asciiTheme="minorEastAsia" w:hAnsiTheme="minorEastAsia" w:eastAsiaTheme="minorEastAsia" w:cstheme="minorEastAsia"/>
          <w:color w:val="auto"/>
          <w:sz w:val="24"/>
          <w:szCs w:val="24"/>
          <w:highlight w:val="none"/>
          <w:lang w:val="en-US" w:eastAsia="zh-CN"/>
        </w:rPr>
        <w:t>由采购代理机构在广西政采云平台广西评审专家库内</w:t>
      </w:r>
      <w:r>
        <w:rPr>
          <w:rFonts w:hint="eastAsia" w:asciiTheme="minorEastAsia" w:hAnsiTheme="minorEastAsia" w:eastAsiaTheme="minorEastAsia" w:cstheme="minorEastAsia"/>
          <w:color w:val="auto"/>
          <w:sz w:val="24"/>
          <w:szCs w:val="24"/>
          <w:highlight w:val="none"/>
        </w:rPr>
        <w:t>相关专业技术、经济等方面的专家名单中随机抽取。</w:t>
      </w:r>
    </w:p>
    <w:p>
      <w:pPr>
        <w:pStyle w:val="15"/>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评审专家应当遵守评审工作纪律，不得泄露评审情况和评审中获悉的商业秘密。</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磋商小组成员应当按照客观、公正、审慎的原则，根据磋商文件规定的评审程序、评审方法和评审标准进行独立评审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在整个</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小组将负责对全部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进行审查、</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及评标工作。</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采购代理机构将</w:t>
      </w:r>
      <w:r>
        <w:rPr>
          <w:rFonts w:hint="eastAsia" w:asciiTheme="minorEastAsia" w:hAnsiTheme="minorEastAsia" w:eastAsiaTheme="minorEastAsia" w:cstheme="minorEastAsia"/>
          <w:color w:val="auto"/>
          <w:sz w:val="24"/>
          <w:szCs w:val="24"/>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6.6</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的内容包括技术性条件、商务性条件以及</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小组认为需要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的内容。当</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有实质性变动的，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通知所有参加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lang w:val="en-US" w:eastAsia="zh-CN"/>
        </w:rPr>
        <w:t>应在规定的地点、时间内在线回复询标函。</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就商务和技术条件作出的包含补充、修改、承诺、重新报价等内容的</w:t>
      </w:r>
      <w:r>
        <w:rPr>
          <w:rFonts w:hint="eastAsia" w:asciiTheme="minorEastAsia" w:hAnsiTheme="minorEastAsia" w:eastAsiaTheme="minorEastAsia" w:cstheme="minorEastAsia"/>
          <w:color w:val="auto"/>
          <w:sz w:val="24"/>
          <w:szCs w:val="24"/>
          <w:highlight w:val="none"/>
          <w:lang w:val="en-US" w:eastAsia="zh-CN"/>
        </w:rPr>
        <w:t>询标回复函或第二轮报价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必须由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构成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小组对各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递交的</w:t>
      </w:r>
      <w:r>
        <w:rPr>
          <w:rFonts w:hint="eastAsia" w:asciiTheme="minorEastAsia" w:hAnsiTheme="minorEastAsia" w:eastAsiaTheme="minorEastAsia" w:cstheme="minorEastAsia"/>
          <w:color w:val="auto"/>
          <w:sz w:val="24"/>
          <w:szCs w:val="24"/>
          <w:highlight w:val="none"/>
          <w:lang w:val="en-US" w:eastAsia="zh-CN"/>
        </w:rPr>
        <w:t>询标回复函或响应文件</w:t>
      </w:r>
      <w:r>
        <w:rPr>
          <w:rFonts w:hint="eastAsia" w:asciiTheme="minorEastAsia" w:hAnsiTheme="minorEastAsia" w:eastAsiaTheme="minorEastAsia" w:cstheme="minorEastAsia"/>
          <w:color w:val="auto"/>
          <w:sz w:val="24"/>
          <w:szCs w:val="24"/>
          <w:highlight w:val="none"/>
        </w:rPr>
        <w:t>统一开启，并进行评审后，认为有必要再次进行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的，可再次与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程序和要求按本须知1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规定执行，直至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小组认为没有必要再进行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方可结束。对最后一轮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小组应明确告知</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，并要求所有</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在规定的时间、地点以</w:t>
      </w:r>
      <w:r>
        <w:rPr>
          <w:rFonts w:hint="eastAsia" w:asciiTheme="minorEastAsia" w:hAnsiTheme="minorEastAsia" w:eastAsiaTheme="minorEastAsia" w:cstheme="minorEastAsia"/>
          <w:color w:val="auto"/>
          <w:sz w:val="24"/>
          <w:szCs w:val="24"/>
          <w:highlight w:val="none"/>
          <w:lang w:val="en-US" w:eastAsia="zh-CN"/>
        </w:rPr>
        <w:t>在线回复</w:t>
      </w:r>
      <w:r>
        <w:rPr>
          <w:rFonts w:hint="eastAsia" w:asciiTheme="minorEastAsia" w:hAnsiTheme="minorEastAsia" w:eastAsiaTheme="minorEastAsia" w:cstheme="minorEastAsia"/>
          <w:color w:val="auto"/>
          <w:sz w:val="24"/>
          <w:szCs w:val="24"/>
          <w:highlight w:val="none"/>
        </w:rPr>
        <w:t>形式递交最终的</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rPr>
        <w:t>最终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结束后，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小组不得再与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进行任何形式的商谈。</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6.9</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的任何一方不得透露与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有关的其他</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的技术资料、价格和其他信息。</w:t>
      </w:r>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、评标</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.1本采购项目的评标依据为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.2评标工作将采取</w:t>
      </w:r>
      <w:r>
        <w:rPr>
          <w:rFonts w:hint="eastAsia" w:asciiTheme="minorEastAsia" w:hAnsiTheme="minorEastAsia" w:eastAsiaTheme="minorEastAsia" w:cstheme="minorEastAsia"/>
          <w:color w:val="auto"/>
          <w:sz w:val="24"/>
          <w:szCs w:val="24"/>
          <w:highlight w:val="none"/>
          <w:u w:val="single"/>
        </w:rPr>
        <w:t>封闭方式</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成员和有关工作人员不得透露对</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的评审、比较和成交人的</w:t>
      </w:r>
      <w:r>
        <w:rPr>
          <w:rFonts w:hint="eastAsia" w:asciiTheme="minorEastAsia" w:hAnsiTheme="minorEastAsia" w:eastAsiaTheme="minorEastAsia" w:cstheme="minorEastAsia"/>
          <w:color w:val="auto"/>
          <w:sz w:val="24"/>
          <w:szCs w:val="24"/>
          <w:highlight w:val="none"/>
          <w:lang w:eastAsia="zh-CN"/>
        </w:rPr>
        <w:t>确定</w:t>
      </w:r>
      <w:r>
        <w:rPr>
          <w:rFonts w:hint="eastAsia" w:asciiTheme="minorEastAsia" w:hAnsiTheme="minorEastAsia" w:eastAsiaTheme="minorEastAsia" w:cstheme="minorEastAsia"/>
          <w:color w:val="auto"/>
          <w:sz w:val="24"/>
          <w:szCs w:val="24"/>
          <w:highlight w:val="none"/>
        </w:rPr>
        <w:t>情况以及与评标有关的其他情况。</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在评标过程中，所进行的力图影响评标结果公正性的活动，将可能导致其成交资格被取消。</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磋商小组成员按照客观、公正、审慎的原则，根据磋商文件规定的评审程序、评审方法和评审标准进行独立评审。</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.1响应文件</w:t>
      </w:r>
      <w:r>
        <w:rPr>
          <w:rFonts w:hint="eastAsia" w:asciiTheme="minorEastAsia" w:hAnsiTheme="minorEastAsia" w:eastAsiaTheme="minorEastAsia" w:cstheme="minorEastAsia"/>
          <w:color w:val="auto"/>
          <w:sz w:val="24"/>
          <w:szCs w:val="24"/>
          <w:highlight w:val="none"/>
          <w:lang w:val="en-US" w:eastAsia="zh-CN"/>
        </w:rPr>
        <w:t>线上资格评审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资格评审</w:t>
      </w:r>
      <w:r>
        <w:rPr>
          <w:rFonts w:hint="eastAsia" w:asciiTheme="minorEastAsia" w:hAnsiTheme="minorEastAsia" w:eastAsiaTheme="minorEastAsia" w:cstheme="minorEastAsia"/>
          <w:color w:val="auto"/>
          <w:sz w:val="24"/>
          <w:szCs w:val="24"/>
          <w:highlight w:val="none"/>
        </w:rPr>
        <w:t>分为资格性审查和符合性审查。</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资格性检查。依据法律法规和竞争性磋商文件的规定对响应文件的资质证明、磋商保证金等进行审查，以确定供应商是否具备竞标资格。它所涉及到的主要文件和内容为磋商文件供应商须知第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条所述的资格证明文件内容和签</w:t>
      </w:r>
      <w:r>
        <w:rPr>
          <w:rFonts w:hint="eastAsia" w:asciiTheme="minorEastAsia" w:hAnsiTheme="minorEastAsia" w:eastAsiaTheme="minorEastAsia" w:cstheme="minorEastAsia"/>
          <w:color w:val="auto"/>
          <w:sz w:val="24"/>
          <w:szCs w:val="24"/>
          <w:highlight w:val="none"/>
          <w:lang w:val="en-US" w:eastAsia="zh-CN"/>
        </w:rPr>
        <w:t>署、盖</w:t>
      </w:r>
      <w:r>
        <w:rPr>
          <w:rFonts w:hint="eastAsia" w:asciiTheme="minorEastAsia" w:hAnsiTheme="minorEastAsia" w:eastAsiaTheme="minorEastAsia" w:cstheme="minorEastAsia"/>
          <w:color w:val="auto"/>
          <w:sz w:val="24"/>
          <w:szCs w:val="24"/>
          <w:highlight w:val="none"/>
        </w:rPr>
        <w:t>章的合格性、合法性等（注：其中信用查询规则见“</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”平台已与“信用中国”</w:t>
      </w:r>
      <w:r>
        <w:rPr>
          <w:rFonts w:hint="eastAsia" w:asciiTheme="minorEastAsia" w:hAnsiTheme="minorEastAsia" w:eastAsiaTheme="minorEastAsia" w:cstheme="minorEastAsia"/>
          <w:color w:val="auto"/>
          <w:sz w:val="24"/>
          <w:szCs w:val="24"/>
          <w:highlight w:val="none"/>
          <w:lang w:val="en-US" w:eastAsia="zh-CN"/>
        </w:rPr>
        <w:t>和“中国政府采购网”</w:t>
      </w:r>
      <w:r>
        <w:rPr>
          <w:rFonts w:hint="eastAsia" w:asciiTheme="minorEastAsia" w:hAnsiTheme="minorEastAsia" w:eastAsiaTheme="minorEastAsia" w:cstheme="minorEastAsia"/>
          <w:color w:val="auto"/>
          <w:sz w:val="24"/>
          <w:szCs w:val="24"/>
          <w:highlight w:val="none"/>
        </w:rPr>
        <w:t>平台做接口，</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可直接在线查询）。如果供应商不具备竞标资格，不满足磋商文件所规定的资格标准或提供资格证明文件不全的，其竞标将被拒绝。</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出现下列情况之一的，视为未实质性响应磋商文件的响应文件，按无效响应处理。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条规定进行编制、签署、盖章的；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条规定提交必须提供且有效的证明文件的；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未按有关要求提交或足额提交磋商保证金的；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磋商有效期不满足磋商文件要求的；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响应文件的关键内容字迹模糊、无法辨认的；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⑥供应商提交的是可选择的报价的，或最后报价超过采购预算价的；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⑦竞标内容与采购内容及要求存在重大偏离或保留的（如严重背离采购需求、合同协议要求等）；</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 响应文件中提供虚假或失实资料的；</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 不符合有关法律、法规和磋商文件中规定的其他实质性条款。</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.2澄清有关问题。</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(2)磋商小组要求供应商澄清、说明或者更正响应文件应当以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形式作出。供应商的澄清、说明或者更正应当由法定代表人或委托代理人签名或盖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(3)响应文件如果出现计算或表达上的错误，修正错误的原则如下：</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响应文件中《</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磋商函</w:t>
      </w:r>
      <w:r>
        <w:rPr>
          <w:rFonts w:hint="eastAsia" w:asciiTheme="minorEastAsia" w:hAnsiTheme="minorEastAsia" w:eastAsiaTheme="minorEastAsia" w:cstheme="minorEastAsia"/>
          <w:color w:val="auto"/>
          <w:sz w:val="24"/>
          <w:szCs w:val="24"/>
          <w:highlight w:val="none"/>
        </w:rPr>
        <w:t>》内容不一致的，以《</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》为准。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响应文件的大写金额和小写金额不一致的，以大写金额为准；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总价金额与按单价汇总金额不一致的，以单价金额计算结果为准；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单价金额小数点有明显错位的，应以总价为准，并修改单价；</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对不同文字文本响应文件的解释发生异议的，以中文文本为准。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磋商过程。</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(1)磋商小组所有成员集中与单一供应商分别进行磋商（最多三轮），磋商的内容包括技术条件、商务性条件及磋商小组认为需要磋商的内容。</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(3)对磋商文件作出的实质性变动是磋商文件的有效组成部分，磋商小组应当及时以</w:t>
      </w:r>
      <w:r>
        <w:rPr>
          <w:rFonts w:hint="eastAsia" w:asciiTheme="minorEastAsia" w:hAnsiTheme="minorEastAsia" w:eastAsiaTheme="minorEastAsia" w:cstheme="minorEastAsia"/>
          <w:color w:val="auto"/>
          <w:sz w:val="24"/>
          <w:szCs w:val="24"/>
          <w:highlight w:val="none"/>
          <w:lang w:val="en-US" w:eastAsia="zh-CN"/>
        </w:rPr>
        <w:t>在线询标/澄清</w:t>
      </w:r>
      <w:r>
        <w:rPr>
          <w:rFonts w:hint="eastAsia" w:asciiTheme="minorEastAsia" w:hAnsiTheme="minorEastAsia" w:eastAsiaTheme="minorEastAsia" w:cstheme="minorEastAsia"/>
          <w:color w:val="auto"/>
          <w:sz w:val="24"/>
          <w:szCs w:val="24"/>
          <w:highlight w:val="none"/>
        </w:rPr>
        <w:t>形式同时通知所有参加磋商的供应商。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(4)供应商应当按照磋商文件的变动情况和磋商小组的要求重新提交</w:t>
      </w:r>
      <w:r>
        <w:rPr>
          <w:rFonts w:hint="eastAsia" w:asciiTheme="minorEastAsia" w:hAnsiTheme="minorEastAsia" w:eastAsiaTheme="minorEastAsia" w:cstheme="minorEastAsia"/>
          <w:color w:val="auto"/>
          <w:sz w:val="24"/>
          <w:szCs w:val="24"/>
          <w:highlight w:val="none"/>
          <w:lang w:val="en-US" w:eastAsia="zh-CN"/>
        </w:rPr>
        <w:t>应答</w:t>
      </w:r>
      <w:r>
        <w:rPr>
          <w:rFonts w:hint="eastAsia" w:asciiTheme="minorEastAsia" w:hAnsiTheme="minorEastAsia" w:eastAsiaTheme="minorEastAsia" w:cstheme="minorEastAsia"/>
          <w:color w:val="auto"/>
          <w:sz w:val="24"/>
          <w:szCs w:val="24"/>
          <w:highlight w:val="none"/>
        </w:rPr>
        <w:t>文件，并由其法定代表人或委托代理人签名或盖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)供应商未在通知的时间内到达现场参加磋商的，或未提交书面说明退出磋商的，或未在规定时间内提交</w:t>
      </w:r>
      <w:r>
        <w:rPr>
          <w:rFonts w:hint="eastAsia" w:asciiTheme="minorEastAsia" w:hAnsiTheme="minorEastAsia" w:eastAsiaTheme="minorEastAsia" w:cstheme="minorEastAsia"/>
          <w:color w:val="auto"/>
          <w:sz w:val="24"/>
          <w:szCs w:val="24"/>
          <w:highlight w:val="none"/>
          <w:lang w:val="en-US" w:eastAsia="zh-CN"/>
        </w:rPr>
        <w:t>在线</w:t>
      </w:r>
      <w:r>
        <w:rPr>
          <w:rFonts w:hint="eastAsia" w:asciiTheme="minorEastAsia" w:hAnsiTheme="minorEastAsia" w:eastAsiaTheme="minorEastAsia" w:cstheme="minorEastAsia"/>
          <w:color w:val="auto"/>
          <w:sz w:val="24"/>
          <w:szCs w:val="24"/>
          <w:highlight w:val="none"/>
        </w:rPr>
        <w:t>应答文件和最后报价的，视为供应商自动放弃磋商。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)最终磋商结束后，磋商小组不得再与供应商进行任何形式的商谈。磋商的任何一方不得透露与磋商有关的其他供应商的技术资料、价格和其他信息。</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.4磋商小组对竞标人资格性和竞标文件符合性审查。磋商小组只接受通过资格性和符合性审查竞标人在规定时间（10分钟）内进行磋商最终总报价。</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.5比较与评价。经磋商确定最终采购需求和提交最后报价的供应商后，由磋商小组采用综合评分法（详见第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章）对提交最后报价的供应商的响应文件和最后报价进行综合评分。</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.6推荐成交候选人名单及编写评审报告。磋商小组根据综合评分情况，按照评分办法的成交标准及成交候选人推荐原则依次推荐成交候选人名单，并根据磋商过程和结果编写评审报告。</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评审会纪律</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.1评审过程的保密性。磋商小组成员、有关工作人员及其他知情人不得透露对响应文件评审、比较、成交候选人的推荐情况以及与评审有关的其他情况。</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.2在磋商评审期间，供应商试图影响采购人和磋商小组的任何活动，将导致其报价被拒绝，并承担相应的法律责任。</w:t>
      </w:r>
    </w:p>
    <w:p>
      <w:pPr>
        <w:pStyle w:val="11"/>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、拒绝接收</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.1属下列情形之一的，采购机构应当拒绝接收磋商供应商的响应文件：</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.1项规定的投标截止时间之后送达的；</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（2）未送达至本章第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项指定的递交响应文件地点的；</w:t>
      </w:r>
    </w:p>
    <w:p>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、无效的响应文件</w:t>
      </w:r>
    </w:p>
    <w:p>
      <w:pPr>
        <w:widowControl/>
        <w:spacing w:line="400" w:lineRule="exac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.1响应文件如有下列情况之一，将会在评标中视为无效文件处理：</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未按照磋商文件规定要求密封、签署、盖章的；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不具备磋商文件中规定资格要求的；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未交应交磋商保证金的或未按磋商文件要求缴纳磋商保证金的；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磋商供应商报价超出了采购预算价的；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不符磋商文件中规定的其它实质性要求并且在磋商规定内时间无法说明和补充的；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未按磋商文件中提出实质性要求和条件作出完全响应的；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不同供应商的响应文件由同一单位或者个人编制的；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不同供应商委托同一单位或者个人办理竞标事宜的；</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不同供应商的响应文件异常一致或者磋商报价呈规律性差异；</w:t>
      </w:r>
    </w:p>
    <w:p>
      <w:pPr>
        <w:widowControl/>
        <w:numPr>
          <w:ilvl w:val="0"/>
          <w:numId w:val="5"/>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不同供应商的磋商保证金从同一单位或者个人的</w:t>
      </w:r>
      <w:r>
        <w:rPr>
          <w:rFonts w:hint="eastAsia" w:asciiTheme="minorEastAsia" w:hAnsiTheme="minorEastAsia" w:eastAsiaTheme="minorEastAsia" w:cstheme="minorEastAsia"/>
          <w:bCs/>
          <w:color w:val="auto"/>
          <w:sz w:val="24"/>
          <w:szCs w:val="24"/>
          <w:highlight w:val="none"/>
          <w:lang w:val="en-US" w:eastAsia="zh-CN"/>
        </w:rPr>
        <w:t>银行</w:t>
      </w:r>
      <w:r>
        <w:rPr>
          <w:rFonts w:hint="eastAsia" w:asciiTheme="minorEastAsia" w:hAnsiTheme="minorEastAsia" w:eastAsiaTheme="minorEastAsia" w:cstheme="minorEastAsia"/>
          <w:bCs/>
          <w:color w:val="auto"/>
          <w:sz w:val="24"/>
          <w:szCs w:val="24"/>
          <w:highlight w:val="none"/>
        </w:rPr>
        <w:t>账户转；</w:t>
      </w:r>
    </w:p>
    <w:p>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、废标</w:t>
      </w:r>
    </w:p>
    <w:p>
      <w:pPr>
        <w:pStyle w:val="11"/>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.1磋商采购项目出现下列情形之一的，采购代理机构将予以废标：</w:t>
      </w:r>
    </w:p>
    <w:p>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(1)出现影响采购公正的违法、违规行为的；</w:t>
      </w:r>
    </w:p>
    <w:p>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(2)所有服务商的报价均超过了采购预算，采购人不能支付的；</w:t>
      </w:r>
    </w:p>
    <w:p>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(3)因重大变故，采购任务取消的；</w:t>
      </w:r>
    </w:p>
    <w:p>
      <w:pPr>
        <w:pStyle w:val="11"/>
        <w:spacing w:line="440" w:lineRule="exact"/>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(4)磋商文件存在不合理条款的，竞争性磋商公告时间及程序不符合规定的；</w:t>
      </w:r>
    </w:p>
    <w:p>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.2如本次项目废标后，采购代理机构将把废标理由通知所有磋商供应商。</w:t>
      </w:r>
    </w:p>
    <w:p>
      <w:pPr>
        <w:pStyle w:val="37"/>
        <w:spacing w:line="400" w:lineRule="exact"/>
        <w:outlineLvl w:val="3"/>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21、重新招标</w:t>
      </w:r>
    </w:p>
    <w:p>
      <w:pPr>
        <w:pStyle w:val="11"/>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21.1 经磋商小组评审后，认为所有竞标均不符合竞争性磋商采购文件要求，可以否决所有竞标。所有竞标被否决后，采购人将依法重新招标。</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21.2重新招标后竞标人仍少于三个或者所有竞标被否决的，属于必须审批或核准的工程建设项目，经原审批或核准部门批准后不再进行招标</w:t>
      </w:r>
      <w:bookmarkStart w:id="57" w:name="_Toc459103904"/>
      <w:r>
        <w:rPr>
          <w:rFonts w:hint="eastAsia" w:asciiTheme="minorEastAsia" w:hAnsiTheme="minorEastAsia" w:eastAsiaTheme="minorEastAsia" w:cstheme="minorEastAsia"/>
          <w:b w:val="0"/>
          <w:bCs w:val="0"/>
          <w:color w:val="auto"/>
          <w:sz w:val="24"/>
          <w:szCs w:val="24"/>
          <w:highlight w:val="none"/>
          <w:lang w:val="en-US" w:eastAsia="zh-CN"/>
        </w:rPr>
        <w:t>。</w:t>
      </w:r>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58" w:name="_Toc495"/>
      <w:r>
        <w:rPr>
          <w:rFonts w:hint="eastAsia" w:asciiTheme="minorEastAsia" w:hAnsiTheme="minorEastAsia" w:eastAsiaTheme="minorEastAsia" w:cstheme="minorEastAsia"/>
          <w:color w:val="auto"/>
          <w:sz w:val="24"/>
          <w:szCs w:val="24"/>
          <w:highlight w:val="none"/>
        </w:rPr>
        <w:t>七、签订合同</w:t>
      </w:r>
      <w:bookmarkEnd w:id="57"/>
      <w:bookmarkEnd w:id="58"/>
    </w:p>
    <w:p>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59" w:name="_Toc7205"/>
      <w:bookmarkStart w:id="60" w:name="_Toc1798"/>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.成交结果</w:t>
      </w:r>
      <w:bookmarkEnd w:id="59"/>
      <w:r>
        <w:rPr>
          <w:rFonts w:hint="eastAsia" w:asciiTheme="minorEastAsia" w:hAnsiTheme="minorEastAsia" w:eastAsiaTheme="minorEastAsia" w:cstheme="minorEastAsia"/>
          <w:b/>
          <w:color w:val="auto"/>
          <w:sz w:val="24"/>
          <w:szCs w:val="24"/>
          <w:highlight w:val="none"/>
        </w:rPr>
        <w:t>公告</w:t>
      </w:r>
      <w:bookmarkEnd w:id="60"/>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61" w:name="_Toc15082"/>
      <w:bookmarkStart w:id="62" w:name="_Toc5678"/>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.1采购代理机构在磋商工作完成后2日内将磋商报告送采购人，采购人确认后，成交结果公告将在</w:t>
      </w:r>
      <w:r>
        <w:rPr>
          <w:rFonts w:hint="eastAsia" w:asciiTheme="minorEastAsia" w:hAnsiTheme="minorEastAsia" w:eastAsiaTheme="minorEastAsia" w:cstheme="minorEastAsia"/>
          <w:bCs/>
          <w:color w:val="auto"/>
          <w:sz w:val="24"/>
          <w:szCs w:val="24"/>
          <w:highlight w:val="none"/>
          <w:lang w:eastAsia="zh-CN"/>
        </w:rPr>
        <w:t>发布本项目竞争性磋商公告的同一网站上发布</w:t>
      </w:r>
      <w:r>
        <w:rPr>
          <w:rFonts w:hint="eastAsia" w:asciiTheme="minorEastAsia" w:hAnsiTheme="minorEastAsia" w:eastAsiaTheme="minorEastAsia" w:cstheme="minorEastAsia"/>
          <w:bCs/>
          <w:color w:val="auto"/>
          <w:sz w:val="24"/>
          <w:szCs w:val="24"/>
          <w:highlight w:val="none"/>
        </w:rPr>
        <w:t>。</w:t>
      </w:r>
      <w:bookmarkEnd w:id="61"/>
      <w:bookmarkEnd w:id="62"/>
    </w:p>
    <w:p>
      <w:pPr>
        <w:pStyle w:val="11"/>
        <w:spacing w:line="400" w:lineRule="exact"/>
        <w:ind w:firstLine="420"/>
        <w:rPr>
          <w:rFonts w:hint="eastAsia" w:asciiTheme="minorEastAsia" w:hAnsiTheme="minorEastAsia" w:eastAsiaTheme="minorEastAsia" w:cstheme="minorEastAsia"/>
          <w:bCs/>
          <w:color w:val="auto"/>
          <w:sz w:val="24"/>
          <w:szCs w:val="24"/>
          <w:highlight w:val="none"/>
          <w:lang w:eastAsia="zh-CN"/>
        </w:rPr>
      </w:pPr>
      <w:bookmarkStart w:id="63" w:name="_Toc29884"/>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.2成交结果公告期限为1个工作日，发布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结果公告的同时向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供应商发出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通知书。采购代理机构发出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通知书前，应当对</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人信用进行核实，对列入失信被执行人、重大税收违法案件当事人名单、政府采购严重违法失信行为记录名单及其他不符合《中华人民共和国政府采购法》第二十二条规定条件的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标人，取消其</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资格，并确定排名第二的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候选人因前款规定的同样原因被取消</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资格的，授权的</w:t>
      </w:r>
      <w:r>
        <w:rPr>
          <w:rFonts w:hint="eastAsia" w:asciiTheme="minorEastAsia" w:hAnsiTheme="minorEastAsia" w:eastAsiaTheme="minorEastAsia" w:cstheme="minorEastAsia"/>
          <w:bCs/>
          <w:color w:val="auto"/>
          <w:sz w:val="24"/>
          <w:szCs w:val="24"/>
          <w:highlight w:val="none"/>
          <w:lang w:val="en-US" w:eastAsia="zh-CN"/>
        </w:rPr>
        <w:t>磋商小组</w:t>
      </w:r>
      <w:r>
        <w:rPr>
          <w:rFonts w:hint="eastAsia" w:asciiTheme="minorEastAsia" w:hAnsiTheme="minorEastAsia" w:eastAsiaTheme="minorEastAsia" w:cstheme="minorEastAsia"/>
          <w:bCs/>
          <w:color w:val="auto"/>
          <w:sz w:val="24"/>
          <w:szCs w:val="24"/>
          <w:highlight w:val="none"/>
        </w:rPr>
        <w:t>可以确定排名第三的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人，以此类推。以上信息查询记录及相关证据与采购文件一并保存</w:t>
      </w:r>
      <w:r>
        <w:rPr>
          <w:rFonts w:hint="eastAsia" w:asciiTheme="minorEastAsia" w:hAnsiTheme="minorEastAsia" w:eastAsiaTheme="minorEastAsia" w:cstheme="minorEastAsia"/>
          <w:bCs/>
          <w:color w:val="auto"/>
          <w:sz w:val="24"/>
          <w:szCs w:val="24"/>
          <w:highlight w:val="none"/>
          <w:lang w:eastAsia="zh-CN"/>
        </w:rPr>
        <w:t>。</w:t>
      </w:r>
    </w:p>
    <w:p>
      <w:pPr>
        <w:pStyle w:val="11"/>
        <w:spacing w:line="400" w:lineRule="exact"/>
        <w:ind w:firstLine="42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p>
      <w:pPr>
        <w:pStyle w:val="11"/>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22.4</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认为成交结果使自己的权益受到损害的，可以在成交结果公告期限届满之日起7个工作日内以书面形式向采购人或受托代理机构提出质疑，逾期将不再受理</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采购人或受托代理机构</w:t>
      </w:r>
      <w:r>
        <w:rPr>
          <w:rFonts w:hint="eastAsia" w:asciiTheme="minorEastAsia" w:hAnsiTheme="minorEastAsia" w:eastAsiaTheme="minorEastAsia" w:cstheme="minorEastAsia"/>
          <w:bCs/>
          <w:color w:val="auto"/>
          <w:sz w:val="24"/>
          <w:szCs w:val="24"/>
          <w:highlight w:val="none"/>
        </w:rPr>
        <w:t>在收到</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的书面质疑后7个工作日内做出答复，但答复的内容不得涉及商业秘密。</w:t>
      </w:r>
      <w:bookmarkEnd w:id="63"/>
    </w:p>
    <w:p>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质疑和投诉书面要求:</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质疑人或投诉人的单位名称或姓名、详细地址、邮政编码、联系电话等；</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被质疑人或被投诉人的单位名称或姓名等；</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质疑或投诉的事实及理由；</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有关违规违法的情况和有效证明材料；</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质疑人或投诉人的签章及质疑或投诉时间；</w:t>
      </w:r>
    </w:p>
    <w:p>
      <w:pPr>
        <w:pStyle w:val="11"/>
        <w:numPr>
          <w:ilvl w:val="0"/>
          <w:numId w:val="6"/>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质疑书递交方式：质疑人的法定代表人凭本人身份证原件或授权委托代理人凭法定代表人授权委托书原件和本人身份证原件同时持质疑书原件递交至</w:t>
      </w:r>
      <w:r>
        <w:rPr>
          <w:rFonts w:hint="eastAsia" w:asciiTheme="minorEastAsia" w:hAnsiTheme="minorEastAsia" w:eastAsiaTheme="minorEastAsia" w:cstheme="minorEastAsia"/>
          <w:color w:val="auto"/>
          <w:sz w:val="24"/>
          <w:szCs w:val="24"/>
          <w:highlight w:val="none"/>
          <w:lang w:eastAsia="zh-CN"/>
        </w:rPr>
        <w:t>广西岳鑫项目管理咨询有限责任公司</w:t>
      </w:r>
      <w:r>
        <w:rPr>
          <w:rFonts w:hint="eastAsia" w:asciiTheme="minorEastAsia" w:hAnsiTheme="minorEastAsia" w:eastAsiaTheme="minorEastAsia" w:cstheme="minorEastAsia"/>
          <w:color w:val="auto"/>
          <w:sz w:val="24"/>
          <w:szCs w:val="24"/>
          <w:highlight w:val="none"/>
        </w:rPr>
        <w:t>。</w:t>
      </w:r>
    </w:p>
    <w:p>
      <w:pPr>
        <w:pStyle w:val="11"/>
        <w:numPr>
          <w:ilvl w:val="0"/>
          <w:numId w:val="6"/>
        </w:numPr>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如不按规定质疑或投诉的，视为无效投诉，不予采理</w:t>
      </w:r>
      <w:r>
        <w:rPr>
          <w:rFonts w:hint="eastAsia" w:asciiTheme="minorEastAsia" w:hAnsiTheme="minorEastAsia" w:eastAsiaTheme="minorEastAsia" w:cstheme="minorEastAsia"/>
          <w:color w:val="auto"/>
          <w:sz w:val="24"/>
          <w:szCs w:val="24"/>
          <w:highlight w:val="none"/>
          <w:lang w:eastAsia="zh-CN"/>
        </w:rPr>
        <w:t>。</w:t>
      </w:r>
    </w:p>
    <w:p>
      <w:pPr>
        <w:pStyle w:val="11"/>
        <w:spacing w:line="400" w:lineRule="exact"/>
        <w:ind w:firstLine="480" w:firstLineChars="200"/>
        <w:outlineLvl w:val="2"/>
        <w:rPr>
          <w:rFonts w:hint="eastAsia" w:asciiTheme="minorEastAsia" w:hAnsiTheme="minorEastAsia" w:eastAsiaTheme="minorEastAsia" w:cstheme="minorEastAsia"/>
          <w:b/>
          <w:bCs/>
          <w:color w:val="auto"/>
          <w:sz w:val="24"/>
          <w:szCs w:val="24"/>
          <w:highlight w:val="none"/>
        </w:rPr>
      </w:pPr>
      <w:bookmarkStart w:id="64" w:name="_Toc15621"/>
      <w:bookmarkStart w:id="65" w:name="_Toc8756"/>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必须首先经过质疑程序，在对采购代理机构的答复不满意或者采购代理机构未在规定的时间内做出答复的，可以在答复期满后15个工作日内书面向同级政府采购监督管理部门投诉。</w:t>
      </w:r>
      <w:bookmarkEnd w:id="64"/>
      <w:bookmarkEnd w:id="65"/>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、成交通知</w:t>
      </w:r>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66" w:name="_Toc30837"/>
      <w:bookmarkStart w:id="67" w:name="_Toc15907"/>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.1采购代理机构在发布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公告的同时，采购代理机构向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人通过“</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”平台发出电子中标通知书。</w:t>
      </w:r>
      <w:bookmarkEnd w:id="66"/>
      <w:bookmarkEnd w:id="67"/>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eastAsia="zh-CN"/>
        </w:rPr>
      </w:pPr>
      <w:bookmarkStart w:id="68" w:name="_Toc9442"/>
      <w:bookmarkStart w:id="69" w:name="_Toc28429"/>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.2对未通过资格审查的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标人，采购人或采购机构应当告知其未通过的原因；采用综合评分办法评审的，采购人或采购机构还应当告知未</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人本人的评审得分与排序</w:t>
      </w:r>
      <w:r>
        <w:rPr>
          <w:rFonts w:hint="eastAsia" w:asciiTheme="minorEastAsia" w:hAnsiTheme="minorEastAsia" w:eastAsiaTheme="minorEastAsia" w:cstheme="minorEastAsia"/>
          <w:bCs/>
          <w:color w:val="auto"/>
          <w:sz w:val="24"/>
          <w:szCs w:val="24"/>
          <w:highlight w:val="none"/>
          <w:lang w:eastAsia="zh-CN"/>
        </w:rPr>
        <w:t>。</w:t>
      </w:r>
      <w:bookmarkEnd w:id="68"/>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0" w:name="_Toc28971"/>
      <w:r>
        <w:rPr>
          <w:rFonts w:hint="eastAsia" w:asciiTheme="minorEastAsia" w:hAnsiTheme="minorEastAsia" w:eastAsiaTheme="minorEastAsia" w:cstheme="minorEastAsia"/>
          <w:bCs/>
          <w:color w:val="auto"/>
          <w:sz w:val="24"/>
          <w:szCs w:val="24"/>
          <w:highlight w:val="none"/>
          <w:lang w:val="en-US" w:eastAsia="zh-CN"/>
        </w:rPr>
        <w:t>23.3</w:t>
      </w:r>
      <w:r>
        <w:rPr>
          <w:rFonts w:hint="eastAsia" w:asciiTheme="minorEastAsia" w:hAnsiTheme="minorEastAsia" w:eastAsiaTheme="minorEastAsia" w:cstheme="minorEastAsia"/>
          <w:bCs/>
          <w:color w:val="auto"/>
          <w:sz w:val="24"/>
          <w:szCs w:val="24"/>
          <w:highlight w:val="none"/>
        </w:rPr>
        <w:t>采购代理机构无义务向落标的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解释落标原因和退还</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w:t>
      </w:r>
      <w:bookmarkEnd w:id="69"/>
      <w:bookmarkEnd w:id="70"/>
    </w:p>
    <w:p>
      <w:pPr>
        <w:pStyle w:val="11"/>
        <w:spacing w:line="400" w:lineRule="exact"/>
        <w:outlineLvl w:val="2"/>
        <w:rPr>
          <w:rFonts w:hint="eastAsia" w:asciiTheme="minorEastAsia" w:hAnsiTheme="minorEastAsia" w:eastAsiaTheme="minorEastAsia" w:cstheme="minorEastAsia"/>
          <w:bCs/>
          <w:color w:val="auto"/>
          <w:sz w:val="24"/>
          <w:szCs w:val="24"/>
          <w:highlight w:val="none"/>
        </w:rPr>
      </w:pPr>
      <w:bookmarkStart w:id="71" w:name="_Toc14897"/>
      <w:bookmarkStart w:id="72" w:name="_Toc16088"/>
      <w:bookmarkStart w:id="73" w:name="_Toc17903"/>
      <w:r>
        <w:rPr>
          <w:rFonts w:hint="eastAsia" w:asciiTheme="minorEastAsia" w:hAnsiTheme="minorEastAsia" w:eastAsiaTheme="minorEastAsia" w:cstheme="minorEastAsia"/>
          <w:b/>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rPr>
        <w:t>.合同授予标准</w:t>
      </w:r>
      <w:bookmarkEnd w:id="71"/>
      <w:bookmarkEnd w:id="72"/>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4" w:name="_Toc1836"/>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.1合同将授予被确定为实质上响应</w:t>
      </w:r>
      <w:r>
        <w:rPr>
          <w:rFonts w:hint="eastAsia" w:asciiTheme="minorEastAsia" w:hAnsiTheme="minorEastAsia" w:eastAsiaTheme="minorEastAsia" w:cstheme="minorEastAsia"/>
          <w:bCs/>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要求，评标认为具备履行合同能力，获得综合评分最高的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w:t>
      </w:r>
      <w:bookmarkEnd w:id="73"/>
      <w:bookmarkEnd w:id="74"/>
    </w:p>
    <w:p>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val="en-US" w:eastAsia="zh-CN"/>
        </w:rPr>
      </w:pPr>
      <w:bookmarkStart w:id="75" w:name="_Toc22962"/>
      <w:bookmarkStart w:id="76" w:name="_Toc21249"/>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.2采购人应按照评标报告中推荐的成交候选人顺序确定成交人，也可授权磋商小组直接确定成交人。</w:t>
      </w:r>
      <w:bookmarkEnd w:id="75"/>
      <w:r>
        <w:rPr>
          <w:rFonts w:hint="eastAsia" w:asciiTheme="minorEastAsia" w:hAnsiTheme="minorEastAsia" w:eastAsiaTheme="minorEastAsia" w:cstheme="minorEastAsia"/>
          <w:bCs/>
          <w:color w:val="auto"/>
          <w:sz w:val="24"/>
          <w:szCs w:val="24"/>
          <w:highlight w:val="none"/>
          <w:lang w:val="en-US" w:eastAsia="zh-CN"/>
        </w:rPr>
        <w:t>本项目授权</w:t>
      </w:r>
      <w:r>
        <w:rPr>
          <w:rFonts w:hint="eastAsia" w:asciiTheme="minorEastAsia" w:hAnsiTheme="minorEastAsia" w:eastAsiaTheme="minorEastAsia" w:cstheme="minorEastAsia"/>
          <w:bCs/>
          <w:color w:val="auto"/>
          <w:sz w:val="24"/>
          <w:szCs w:val="24"/>
          <w:highlight w:val="none"/>
        </w:rPr>
        <w:t>磋商小组直接确定成交</w:t>
      </w:r>
      <w:r>
        <w:rPr>
          <w:rFonts w:hint="eastAsia" w:asciiTheme="minorEastAsia" w:hAnsiTheme="minorEastAsia" w:eastAsiaTheme="minorEastAsia" w:cstheme="minorEastAsia"/>
          <w:bCs/>
          <w:color w:val="auto"/>
          <w:sz w:val="24"/>
          <w:szCs w:val="24"/>
          <w:highlight w:val="none"/>
          <w:lang w:val="en-US" w:eastAsia="zh-CN"/>
        </w:rPr>
        <w:t>供应商</w:t>
      </w:r>
      <w:r>
        <w:rPr>
          <w:rFonts w:hint="eastAsia" w:asciiTheme="minorEastAsia" w:hAnsiTheme="minorEastAsia" w:eastAsiaTheme="minorEastAsia" w:cstheme="minorEastAsia"/>
          <w:bCs/>
          <w:color w:val="auto"/>
          <w:sz w:val="24"/>
          <w:szCs w:val="24"/>
          <w:highlight w:val="none"/>
          <w:lang w:eastAsia="zh-CN"/>
        </w:rPr>
        <w:t>。</w:t>
      </w:r>
      <w:bookmarkEnd w:id="76"/>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、签订合同</w:t>
      </w:r>
    </w:p>
    <w:p>
      <w:pPr>
        <w:pStyle w:val="11"/>
        <w:spacing w:line="360" w:lineRule="exact"/>
        <w:ind w:firstLine="480" w:firstLineChars="200"/>
        <w:rPr>
          <w:rFonts w:hint="eastAsia" w:asciiTheme="minorEastAsia" w:hAnsiTheme="minorEastAsia" w:eastAsiaTheme="minorEastAsia" w:cstheme="minorEastAsia"/>
          <w:color w:val="auto"/>
          <w:sz w:val="24"/>
          <w:szCs w:val="24"/>
          <w:highlight w:val="none"/>
        </w:rPr>
      </w:pPr>
      <w:bookmarkStart w:id="77" w:name="_Toc459103905"/>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人领取电子</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通知书后，按成交通知书中规定的时间、地点与采购人签订合同。</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Theme="minorEastAsia" w:hAnsiTheme="minorEastAsia" w:eastAsiaTheme="minorEastAsia" w:cstheme="minorEastAsia"/>
          <w:color w:val="auto"/>
          <w:sz w:val="24"/>
          <w:szCs w:val="24"/>
          <w:highlight w:val="none"/>
          <w:lang w:eastAsia="zh-CN"/>
        </w:rPr>
        <w:t>如采购人无正当理由拒签合同的，给</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供应商造成损失的，</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供应商可追究采购人承担相应的法律责任。</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.3成交人因不可抗力或者自身原因不能履行政府采购合同的，采购人可以确定排名第二位的成交候选人并与其签订政府采购合同，以此类推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也可以重新开展政府采购活动</w:t>
      </w:r>
      <w:r>
        <w:rPr>
          <w:rFonts w:hint="eastAsia" w:asciiTheme="minorEastAsia" w:hAnsiTheme="minorEastAsia" w:eastAsiaTheme="minorEastAsia" w:cstheme="minorEastAsia"/>
          <w:color w:val="auto"/>
          <w:sz w:val="24"/>
          <w:szCs w:val="24"/>
          <w:highlight w:val="none"/>
          <w:lang w:eastAsia="zh-CN"/>
        </w:rPr>
        <w:t>。</w:t>
      </w:r>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25.6</w:t>
      </w:r>
      <w:r>
        <w:rPr>
          <w:rFonts w:hint="eastAsia" w:asciiTheme="minorEastAsia" w:hAnsiTheme="minorEastAsia" w:eastAsiaTheme="minorEastAsia" w:cstheme="minorEastAsia"/>
          <w:b/>
          <w:bCs/>
          <w:color w:val="auto"/>
          <w:kern w:val="2"/>
          <w:sz w:val="24"/>
          <w:szCs w:val="24"/>
          <w:highlight w:val="none"/>
          <w:lang w:val="en-US" w:eastAsia="zh-CN" w:bidi="ar-SA"/>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25.7采购单位自采购合同签订之日起在2个工作日内（争取1个工作日内），将政府采购合同通过委托的政府采购代理机构在财政部门指定的媒体上公告，但政府采购合同中涉及国家秘密、商业秘密的内容除外。</w:t>
      </w:r>
    </w:p>
    <w:p>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78" w:name="_Toc5728"/>
      <w:bookmarkStart w:id="79" w:name="_Toc8743"/>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.合同履行中的追加</w:t>
      </w:r>
      <w:bookmarkEnd w:id="78"/>
      <w:bookmarkEnd w:id="79"/>
    </w:p>
    <w:p>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27.农民工工资保障金</w:t>
      </w:r>
    </w:p>
    <w:p>
      <w:pPr>
        <w:pStyle w:val="4"/>
        <w:spacing w:before="0" w:after="0" w:line="390" w:lineRule="exact"/>
        <w:ind w:firstLine="480" w:firstLineChars="200"/>
        <w:jc w:val="both"/>
        <w:rPr>
          <w:rFonts w:hint="eastAsia" w:asciiTheme="minorEastAsia" w:hAnsiTheme="minorEastAsia" w:eastAsiaTheme="minorEastAsia" w:cstheme="minorEastAsia"/>
          <w:b w:val="0"/>
          <w:color w:val="auto"/>
          <w:kern w:val="2"/>
          <w:sz w:val="24"/>
          <w:szCs w:val="24"/>
          <w:highlight w:val="none"/>
          <w:lang w:val="en-US" w:eastAsia="zh-CN" w:bidi="ar-SA"/>
        </w:rPr>
      </w:pPr>
      <w:bookmarkStart w:id="80" w:name="_Toc23066"/>
      <w:r>
        <w:rPr>
          <w:rFonts w:hint="eastAsia" w:asciiTheme="minorEastAsia" w:hAnsiTheme="minorEastAsia" w:eastAsiaTheme="minorEastAsia" w:cstheme="minorEastAsia"/>
          <w:b w:val="0"/>
          <w:color w:val="auto"/>
          <w:kern w:val="2"/>
          <w:sz w:val="24"/>
          <w:szCs w:val="24"/>
          <w:highlight w:val="none"/>
          <w:lang w:val="en-US" w:eastAsia="zh-CN" w:bidi="ar-SA"/>
        </w:rPr>
        <w:t>27.1</w:t>
      </w:r>
      <w:r>
        <w:rPr>
          <w:rFonts w:hint="eastAsia" w:asciiTheme="minorEastAsia" w:hAnsiTheme="minorEastAsia" w:eastAsiaTheme="minorEastAsia" w:cstheme="minorEastAsia"/>
          <w:b w:val="0"/>
          <w:bCs w:val="0"/>
          <w:color w:val="auto"/>
          <w:sz w:val="24"/>
          <w:szCs w:val="24"/>
          <w:highlight w:val="none"/>
          <w:lang w:val="en-US" w:eastAsia="zh-CN"/>
        </w:rPr>
        <w:t>按合同条款执行</w:t>
      </w:r>
      <w:r>
        <w:rPr>
          <w:rFonts w:hint="eastAsia" w:asciiTheme="minorEastAsia" w:hAnsiTheme="minorEastAsia" w:eastAsiaTheme="minorEastAsia" w:cstheme="minorEastAsia"/>
          <w:b w:val="0"/>
          <w:color w:val="auto"/>
          <w:kern w:val="2"/>
          <w:sz w:val="24"/>
          <w:szCs w:val="24"/>
          <w:highlight w:val="none"/>
          <w:lang w:val="en-US" w:eastAsia="zh-CN" w:bidi="ar-SA"/>
        </w:rPr>
        <w:t>。</w:t>
      </w:r>
      <w:bookmarkEnd w:id="80"/>
    </w:p>
    <w:p>
      <w:pPr>
        <w:pStyle w:val="4"/>
        <w:spacing w:before="0" w:after="0" w:line="390" w:lineRule="exact"/>
        <w:rPr>
          <w:rFonts w:hint="eastAsia" w:asciiTheme="minorEastAsia" w:hAnsiTheme="minorEastAsia" w:eastAsiaTheme="minorEastAsia" w:cstheme="minorEastAsia"/>
          <w:color w:val="auto"/>
          <w:sz w:val="24"/>
          <w:szCs w:val="24"/>
          <w:highlight w:val="none"/>
        </w:rPr>
      </w:pPr>
      <w:bookmarkStart w:id="81" w:name="_Toc7705"/>
      <w:r>
        <w:rPr>
          <w:rFonts w:hint="eastAsia" w:asciiTheme="minorEastAsia" w:hAnsiTheme="minorEastAsia" w:eastAsiaTheme="minorEastAsia" w:cstheme="minorEastAsia"/>
          <w:color w:val="auto"/>
          <w:sz w:val="24"/>
          <w:szCs w:val="24"/>
          <w:highlight w:val="none"/>
        </w:rPr>
        <w:t>八、其他事项</w:t>
      </w:r>
      <w:bookmarkEnd w:id="77"/>
      <w:bookmarkEnd w:id="81"/>
    </w:p>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、解释权</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是根据国家有关法律、法规以及政府采购管理有关规定和参照国际惯例编制，解释权属本采购代理机构。</w:t>
      </w:r>
    </w:p>
    <w:p>
      <w:pPr>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、代理</w:t>
      </w:r>
      <w:r>
        <w:rPr>
          <w:rFonts w:hint="eastAsia" w:asciiTheme="minorEastAsia" w:hAnsiTheme="minorEastAsia" w:eastAsiaTheme="minorEastAsia" w:cstheme="minorEastAsia"/>
          <w:b/>
          <w:color w:val="auto"/>
          <w:sz w:val="24"/>
          <w:szCs w:val="24"/>
          <w:highlight w:val="none"/>
          <w:lang w:eastAsia="zh-CN"/>
        </w:rPr>
        <w:t>服务</w:t>
      </w:r>
      <w:r>
        <w:rPr>
          <w:rFonts w:hint="eastAsia" w:asciiTheme="minorEastAsia" w:hAnsiTheme="minorEastAsia" w:eastAsiaTheme="minorEastAsia" w:cstheme="minorEastAsia"/>
          <w:b/>
          <w:color w:val="auto"/>
          <w:sz w:val="24"/>
          <w:szCs w:val="24"/>
          <w:highlight w:val="none"/>
        </w:rPr>
        <w:t>费</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费：根据国家发改办【2003】857号文，代理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费由成交单位交纳，含在磋商报价内，代理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rPr>
        <w:t>国家计委计价格【2002】1980号文规定的“招标代理服务收费标准”执行。由成交人在领取成交通知书时，一次性向</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代理机构支付</w:t>
      </w:r>
      <w:r>
        <w:rPr>
          <w:rFonts w:hint="eastAsia" w:asciiTheme="minorEastAsia" w:hAnsiTheme="minorEastAsia" w:eastAsiaTheme="minorEastAsia" w:cstheme="minorEastAsia"/>
          <w:color w:val="auto"/>
          <w:sz w:val="24"/>
          <w:szCs w:val="24"/>
          <w:highlight w:val="none"/>
          <w:lang w:val="en-US" w:eastAsia="zh-CN"/>
        </w:rPr>
        <w:t>代理服务费。</w:t>
      </w:r>
    </w:p>
    <w:p>
      <w:pPr>
        <w:spacing w:line="39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“政采贷”政策告知函</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各供应商:</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欢迎贵公司参与贺州市政府采购活动!</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一、“政采贷”操作流程</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进入“广西政府采购网”（</w:t>
      </w:r>
      <w:r>
        <w:rPr>
          <w:rFonts w:hint="eastAsia" w:asciiTheme="minorEastAsia" w:hAnsiTheme="minorEastAsia" w:eastAsiaTheme="minorEastAsia" w:cstheme="minorEastAsia"/>
          <w:b w:val="0"/>
          <w:bCs/>
          <w:color w:val="auto"/>
          <w:sz w:val="24"/>
          <w:szCs w:val="24"/>
          <w:highlight w:val="none"/>
          <w:lang w:val="en-US" w:eastAsia="zh-CN"/>
        </w:rPr>
        <w:fldChar w:fldCharType="begin"/>
      </w:r>
      <w:r>
        <w:rPr>
          <w:rFonts w:hint="eastAsia" w:asciiTheme="minorEastAsia" w:hAnsiTheme="minorEastAsia" w:eastAsiaTheme="minorEastAsia" w:cstheme="minorEastAsia"/>
          <w:b w:val="0"/>
          <w:bCs/>
          <w:color w:val="auto"/>
          <w:sz w:val="24"/>
          <w:szCs w:val="24"/>
          <w:highlight w:val="none"/>
          <w:lang w:val="en-US" w:eastAsia="zh-CN"/>
        </w:rPr>
        <w:instrText xml:space="preserve"> HYPERLINK "http://zfcg.gxzf.gov.cn/" </w:instrText>
      </w:r>
      <w:r>
        <w:rPr>
          <w:rFonts w:hint="eastAsia" w:asciiTheme="minorEastAsia" w:hAnsiTheme="minorEastAsia" w:eastAsiaTheme="minorEastAsia" w:cstheme="minorEastAsia"/>
          <w:b w:val="0"/>
          <w:bCs/>
          <w:color w:val="auto"/>
          <w:sz w:val="24"/>
          <w:szCs w:val="24"/>
          <w:highlight w:val="none"/>
          <w:lang w:val="en-US" w:eastAsia="zh-CN"/>
        </w:rPr>
        <w:fldChar w:fldCharType="separate"/>
      </w:r>
      <w:r>
        <w:rPr>
          <w:rFonts w:hint="eastAsia" w:asciiTheme="minorEastAsia" w:hAnsiTheme="minorEastAsia" w:eastAsiaTheme="minorEastAsia" w:cstheme="minorEastAsia"/>
          <w:b w:val="0"/>
          <w:bCs/>
          <w:color w:val="auto"/>
          <w:sz w:val="24"/>
          <w:szCs w:val="24"/>
          <w:highlight w:val="none"/>
          <w:lang w:val="en-US" w:eastAsia="zh-CN"/>
        </w:rPr>
        <w:t>http://zfcg.gxzf.gov.cn/</w:t>
      </w:r>
      <w:r>
        <w:rPr>
          <w:rFonts w:hint="eastAsia" w:asciiTheme="minorEastAsia" w:hAnsiTheme="minorEastAsia" w:eastAsiaTheme="minorEastAsia" w:cstheme="minorEastAsia"/>
          <w:b w:val="0"/>
          <w:bCs/>
          <w:color w:val="auto"/>
          <w:sz w:val="24"/>
          <w:szCs w:val="24"/>
          <w:highlight w:val="none"/>
          <w:lang w:val="en-US" w:eastAsia="zh-CN"/>
        </w:rPr>
        <w:fldChar w:fldCharType="end"/>
      </w:r>
      <w:r>
        <w:rPr>
          <w:rFonts w:hint="eastAsia" w:asciiTheme="minorEastAsia" w:hAnsiTheme="minorEastAsia" w:eastAsiaTheme="minorEastAsia" w:cstheme="minorEastAsia"/>
          <w:b w:val="0"/>
          <w:bCs/>
          <w:color w:val="auto"/>
          <w:sz w:val="24"/>
          <w:szCs w:val="24"/>
          <w:highlight w:val="none"/>
          <w:lang w:val="en-US"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二、承接银行联系方式</w:t>
      </w:r>
    </w:p>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1.中国建设银行贺州分行</w:t>
      </w:r>
      <w:r>
        <w:rPr>
          <w:rFonts w:hint="eastAsia" w:asciiTheme="minorEastAsia" w:hAnsiTheme="minorEastAsia" w:eastAsiaTheme="minorEastAsia" w:cstheme="minorEastAsia"/>
          <w:b w:val="0"/>
          <w:bCs/>
          <w:color w:val="auto"/>
          <w:sz w:val="24"/>
          <w:szCs w:val="24"/>
          <w:highlight w:val="none"/>
          <w:lang w:val="en-US" w:eastAsia="zh-CN"/>
        </w:rPr>
        <w:tab/>
      </w:r>
    </w:p>
    <w:tbl>
      <w:tblPr>
        <w:tblStyle w:val="20"/>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969"/>
        <w:gridCol w:w="954"/>
        <w:gridCol w:w="1125"/>
        <w:gridCol w:w="15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600" w:type="dxa"/>
            <w:gridSpan w:val="6"/>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 总协调人：杨宏毅  职务：公司业务部副总经理  手机号码：18077397188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中国建设银行贺州分行营业部</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雍</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18778943521</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中国建设银行贺州城东支行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刘昭勇</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18877499257</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贺州市八步区平安西路266号贺州广场购物中心1号楼一层东面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中国建设银行贺州城西支行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于丛家</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15177666737</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贺州市八步区八达西路689号1栋11号商铺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中国建设银行贺州平桂支行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  伟</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18007840720</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贺州市平桂区平桂大道15号富旺小区1号楼105号商铺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中国建设银行钟山支行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张文韬</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13047836009</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贺州市钟山县城书香西路南侧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中国建设银行富川支行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邓李杰</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营业室总经理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18276498401</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贺州市富川瑶族自治县富阳镇凤凰路汇龙华府第13号楼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w:t>
            </w:r>
          </w:p>
        </w:tc>
        <w:tc>
          <w:tcPr>
            <w:tcW w:w="296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中国建设银行昭平支行</w:t>
            </w:r>
          </w:p>
        </w:tc>
        <w:tc>
          <w:tcPr>
            <w:tcW w:w="95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贝晟延</w:t>
            </w:r>
          </w:p>
        </w:tc>
        <w:tc>
          <w:tcPr>
            <w:tcW w:w="11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15676427374</w:t>
            </w:r>
          </w:p>
        </w:tc>
        <w:tc>
          <w:tcPr>
            <w:tcW w:w="262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贺州市昭平县昭平镇东宁中路19号</w:t>
            </w:r>
          </w:p>
        </w:tc>
      </w:tr>
    </w:tbl>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2.广西北部湾银行</w:t>
      </w:r>
    </w:p>
    <w:tbl>
      <w:tblPr>
        <w:tblStyle w:val="20"/>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004"/>
        <w:gridCol w:w="943"/>
        <w:gridCol w:w="1136"/>
        <w:gridCol w:w="1534"/>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421" w:type="dxa"/>
            <w:gridSpan w:val="6"/>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 总协调人：杨政  职务：普惠金融部总经理  手机号码：18978413000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黄剑锐</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个人金融部副经理</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15507848190</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贺州市八步区太白西路153号8号楼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广西北部湾银行贺州市平桂支行</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乐</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13036871008</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贺州市平桂区平桂大道4号3号楼103号商铺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广西北部湾银行钟山支行</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唐振豪</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18878480702</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贺州市钟山县广场西路南侧悦城壹号院B区1#楼B09-13号商铺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广西北部湾银行富川支行</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秦明龙</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业务发展部经理</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17776119667</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300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广西北部湾银行昭平支行</w:t>
            </w:r>
          </w:p>
        </w:tc>
        <w:tc>
          <w:tcPr>
            <w:tcW w:w="943"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邱俊豪</w:t>
            </w:r>
          </w:p>
        </w:tc>
        <w:tc>
          <w:tcPr>
            <w:tcW w:w="113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综合客户经理</w:t>
            </w:r>
          </w:p>
        </w:tc>
        <w:tc>
          <w:tcPr>
            <w:tcW w:w="153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18107842696</w:t>
            </w:r>
          </w:p>
        </w:tc>
        <w:tc>
          <w:tcPr>
            <w:tcW w:w="244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贺州市昭平县昭平镇河西东路（江湾一号）101-103铺面</w:t>
            </w:r>
          </w:p>
        </w:tc>
      </w:tr>
    </w:tbl>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3.广西贺州桂东农村合作银行</w:t>
      </w:r>
    </w:p>
    <w:tbl>
      <w:tblPr>
        <w:tblStyle w:val="20"/>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992"/>
        <w:gridCol w:w="944"/>
        <w:gridCol w:w="1159"/>
        <w:gridCol w:w="154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trPr>
        <w:tc>
          <w:tcPr>
            <w:tcW w:w="9421" w:type="dxa"/>
            <w:gridSpan w:val="6"/>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 总协调人：卢士强  职务：授信审批部总经理  手机号码：18077409115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92"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5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4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2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92"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w:t>
            </w:r>
          </w:p>
        </w:tc>
        <w:tc>
          <w:tcPr>
            <w:tcW w:w="94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  腾</w:t>
            </w:r>
          </w:p>
        </w:tc>
        <w:tc>
          <w:tcPr>
            <w:tcW w:w="115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授信审批部审查员</w:t>
            </w:r>
          </w:p>
        </w:tc>
        <w:tc>
          <w:tcPr>
            <w:tcW w:w="154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15078333887</w:t>
            </w:r>
          </w:p>
        </w:tc>
        <w:tc>
          <w:tcPr>
            <w:tcW w:w="242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92"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广西贺州桂东农村合作银行营业部</w:t>
            </w:r>
          </w:p>
        </w:tc>
        <w:tc>
          <w:tcPr>
            <w:tcW w:w="94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瑜</w:t>
            </w:r>
          </w:p>
        </w:tc>
        <w:tc>
          <w:tcPr>
            <w:tcW w:w="115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营业部副总经理</w:t>
            </w:r>
          </w:p>
        </w:tc>
        <w:tc>
          <w:tcPr>
            <w:tcW w:w="154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18007843000</w:t>
            </w:r>
          </w:p>
        </w:tc>
        <w:tc>
          <w:tcPr>
            <w:tcW w:w="242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92"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广西贺州桂东农村合作银行八步支行</w:t>
            </w:r>
          </w:p>
        </w:tc>
        <w:tc>
          <w:tcPr>
            <w:tcW w:w="94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谢地恩</w:t>
            </w:r>
          </w:p>
        </w:tc>
        <w:tc>
          <w:tcPr>
            <w:tcW w:w="115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18007840168</w:t>
            </w:r>
          </w:p>
        </w:tc>
        <w:tc>
          <w:tcPr>
            <w:tcW w:w="242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92"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广西贺州桂东农村合作银行平桂支行</w:t>
            </w:r>
          </w:p>
        </w:tc>
        <w:tc>
          <w:tcPr>
            <w:tcW w:w="944"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古  睿</w:t>
            </w:r>
          </w:p>
        </w:tc>
        <w:tc>
          <w:tcPr>
            <w:tcW w:w="1159"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18007840375</w:t>
            </w:r>
          </w:p>
        </w:tc>
        <w:tc>
          <w:tcPr>
            <w:tcW w:w="2426" w:type="dxa"/>
            <w:noWrap w:val="0"/>
            <w:vAlign w:val="center"/>
          </w:tcPr>
          <w:p>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贺州市平桂区平桂大道财政局一楼</w:t>
            </w:r>
          </w:p>
        </w:tc>
      </w:tr>
    </w:tbl>
    <w:p>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有关事宜</w:t>
      </w:r>
    </w:p>
    <w:p>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.1所有与本磋商文件有关的函电请按下列通讯地址联系：</w:t>
      </w:r>
    </w:p>
    <w:p>
      <w:pPr>
        <w:numPr>
          <w:ilvl w:val="0"/>
          <w:numId w:val="0"/>
        </w:num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30.1.1</w:t>
      </w:r>
      <w:r>
        <w:rPr>
          <w:rFonts w:hint="eastAsia" w:asciiTheme="minorEastAsia" w:hAnsiTheme="minorEastAsia" w:eastAsiaTheme="minorEastAsia" w:cstheme="minorEastAsia"/>
          <w:b w:val="0"/>
          <w:bCs w:val="0"/>
          <w:color w:val="auto"/>
          <w:sz w:val="24"/>
          <w:szCs w:val="24"/>
          <w:highlight w:val="none"/>
        </w:rPr>
        <w:t>采购代理机构：</w:t>
      </w:r>
    </w:p>
    <w:p>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广西岳鑫项目管理咨询有限责任公司</w:t>
      </w:r>
    </w:p>
    <w:p>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昭平县天鹅塘路98号</w:t>
      </w:r>
    </w:p>
    <w:p>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赵崇明 周 丽</w:t>
      </w:r>
    </w:p>
    <w:p>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0774-6698858</w:t>
      </w:r>
    </w:p>
    <w:p>
      <w:pPr>
        <w:spacing w:line="390" w:lineRule="exact"/>
        <w:ind w:right="-192" w:firstLine="480"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30.1.2监督单位全称：</w:t>
      </w:r>
      <w:bookmarkStart w:id="82" w:name="_Toc14983"/>
      <w:r>
        <w:rPr>
          <w:rFonts w:hint="eastAsia" w:asciiTheme="minorEastAsia" w:hAnsiTheme="minorEastAsia" w:eastAsiaTheme="minorEastAsia" w:cstheme="minorEastAsia"/>
          <w:b w:val="0"/>
          <w:color w:val="auto"/>
          <w:kern w:val="2"/>
          <w:sz w:val="24"/>
          <w:szCs w:val="24"/>
          <w:highlight w:val="none"/>
          <w:lang w:val="en-US" w:eastAsia="zh-CN" w:bidi="ar-SA"/>
        </w:rPr>
        <w:t>昭平县政府采购服务中心，联系电话：0774-6689708</w:t>
      </w:r>
      <w:r>
        <w:rPr>
          <w:rFonts w:hint="eastAsia" w:asciiTheme="minorEastAsia" w:hAnsiTheme="minorEastAsia" w:eastAsiaTheme="minorEastAsia" w:cstheme="minorEastAsia"/>
          <w:b/>
          <w:color w:val="auto"/>
          <w:szCs w:val="21"/>
          <w:highlight w:val="none"/>
        </w:rPr>
        <w:br w:type="page"/>
      </w:r>
      <w:bookmarkStart w:id="83" w:name="_Toc373227552"/>
      <w:bookmarkStart w:id="84" w:name="_Toc351203480"/>
      <w:bookmarkStart w:id="85" w:name="_Toc430095341"/>
      <w:bookmarkStart w:id="86" w:name="_Toc296890982"/>
      <w:bookmarkStart w:id="87" w:name="_Toc296503025"/>
      <w:bookmarkStart w:id="88" w:name="_Toc389065255"/>
      <w:bookmarkStart w:id="89" w:name="_Toc440877583"/>
      <w:bookmarkStart w:id="90" w:name="_Toc373478199"/>
      <w:bookmarkStart w:id="91" w:name="_Toc439163592"/>
      <w:bookmarkStart w:id="92" w:name="_Toc406071080"/>
      <w:r>
        <w:rPr>
          <w:rFonts w:hint="eastAsia" w:asciiTheme="minorEastAsia" w:hAnsiTheme="minorEastAsia" w:eastAsiaTheme="minorEastAsia" w:cstheme="minorEastAsia"/>
          <w:b/>
          <w:color w:val="auto"/>
          <w:szCs w:val="21"/>
          <w:highlight w:val="none"/>
          <w:lang w:val="en-US" w:eastAsia="zh-CN"/>
        </w:rPr>
        <w:t xml:space="preserve">         </w:t>
      </w:r>
    </w:p>
    <w:p>
      <w:pPr>
        <w:pStyle w:val="4"/>
        <w:numPr>
          <w:ilvl w:val="0"/>
          <w:numId w:val="0"/>
        </w:numPr>
        <w:ind w:firstLine="3092" w:firstLineChars="700"/>
        <w:jc w:val="both"/>
        <w:rPr>
          <w:rFonts w:hint="eastAsia" w:ascii="宋体" w:hAnsi="宋体" w:eastAsia="宋体" w:cs="宋体"/>
          <w:color w:val="auto"/>
          <w:highlight w:val="none"/>
        </w:rPr>
      </w:pPr>
      <w:r>
        <w:rPr>
          <w:rStyle w:val="53"/>
          <w:rFonts w:hint="eastAsia" w:asciiTheme="minorEastAsia" w:hAnsiTheme="minorEastAsia" w:eastAsiaTheme="minorEastAsia" w:cstheme="minorEastAsia"/>
          <w:b/>
          <w:color w:val="auto"/>
          <w:highlight w:val="none"/>
        </w:rPr>
        <w:t xml:space="preserve">第三章  </w:t>
      </w:r>
      <w:bookmarkEnd w:id="82"/>
      <w:bookmarkEnd w:id="83"/>
      <w:bookmarkEnd w:id="84"/>
      <w:bookmarkEnd w:id="85"/>
      <w:bookmarkEnd w:id="86"/>
      <w:bookmarkEnd w:id="87"/>
      <w:bookmarkEnd w:id="88"/>
      <w:bookmarkEnd w:id="89"/>
      <w:bookmarkEnd w:id="90"/>
      <w:bookmarkEnd w:id="91"/>
      <w:bookmarkEnd w:id="92"/>
      <w:bookmarkStart w:id="93" w:name="_Toc19183"/>
      <w:bookmarkStart w:id="94" w:name="_Toc351203652"/>
      <w:r>
        <w:rPr>
          <w:rFonts w:hint="eastAsia" w:ascii="宋体" w:hAnsi="宋体" w:eastAsia="宋体" w:cs="宋体"/>
          <w:color w:val="auto"/>
          <w:highlight w:val="none"/>
        </w:rPr>
        <w:t>合同条款</w:t>
      </w:r>
      <w:bookmarkEnd w:id="93"/>
    </w:p>
    <w:p>
      <w:pPr>
        <w:pStyle w:val="4"/>
        <w:ind w:firstLine="3092" w:firstLineChars="700"/>
        <w:jc w:val="both"/>
        <w:rPr>
          <w:color w:val="auto"/>
          <w:highlight w:val="none"/>
        </w:rPr>
      </w:pPr>
      <w:bookmarkStart w:id="95" w:name="_Toc39866684"/>
      <w:bookmarkStart w:id="96" w:name="_Toc27495"/>
      <w:bookmarkStart w:id="97" w:name="_Toc256000032"/>
      <w:r>
        <w:rPr>
          <w:rFonts w:ascii="宋体" w:hAnsi="宋体" w:eastAsia="宋体" w:cs="宋体"/>
          <w:color w:val="auto"/>
          <w:sz w:val="44"/>
          <w:szCs w:val="44"/>
          <w:highlight w:val="none"/>
        </w:rPr>
        <w:t>第一节</w:t>
      </w:r>
      <w:r>
        <w:rPr>
          <w:rFonts w:hint="eastAsia" w:ascii="宋体" w:hAnsi="宋体" w:eastAsia="宋体" w:cs="宋体"/>
          <w:color w:val="auto"/>
          <w:sz w:val="44"/>
          <w:szCs w:val="44"/>
          <w:highlight w:val="none"/>
          <w:lang w:val="en-US" w:eastAsia="zh-CN"/>
        </w:rPr>
        <w:t xml:space="preserve">  </w:t>
      </w:r>
      <w:r>
        <w:rPr>
          <w:rFonts w:ascii="宋体" w:hAnsi="宋体" w:eastAsia="宋体" w:cs="宋体"/>
          <w:color w:val="auto"/>
          <w:sz w:val="44"/>
          <w:szCs w:val="44"/>
          <w:highlight w:val="none"/>
        </w:rPr>
        <w:t>通用合同条款</w:t>
      </w:r>
      <w:r>
        <w:rPr>
          <w:rFonts w:hint="eastAsia"/>
          <w:color w:val="auto"/>
          <w:highlight w:val="none"/>
          <w:vertAlign w:val="superscript"/>
        </w:rPr>
        <w:t>①</w:t>
      </w:r>
      <w:bookmarkEnd w:id="95"/>
      <w:bookmarkEnd w:id="96"/>
      <w:bookmarkEnd w:id="97"/>
    </w:p>
    <w:p>
      <w:pPr>
        <w:ind w:firstLine="800" w:firstLineChars="400"/>
        <w:rPr>
          <w:color w:val="auto"/>
          <w:sz w:val="20"/>
          <w:szCs w:val="16"/>
          <w:highlight w:val="none"/>
        </w:rPr>
      </w:pPr>
      <w:r>
        <w:rPr>
          <w:rFonts w:hint="eastAsia"/>
          <w:color w:val="auto"/>
          <w:sz w:val="20"/>
          <w:szCs w:val="16"/>
          <w:highlight w:val="none"/>
          <w:vertAlign w:val="superscript"/>
        </w:rPr>
        <w:t>①</w:t>
      </w:r>
      <w:r>
        <w:rPr>
          <w:rFonts w:hint="eastAsia"/>
          <w:color w:val="auto"/>
          <w:sz w:val="20"/>
          <w:szCs w:val="16"/>
          <w:highlight w:val="none"/>
        </w:rPr>
        <w:t>本部分不加修改地引用了国家九部委《标准施工招标文件》（</w:t>
      </w:r>
      <w:r>
        <w:rPr>
          <w:color w:val="auto"/>
          <w:sz w:val="20"/>
          <w:szCs w:val="16"/>
          <w:highlight w:val="none"/>
        </w:rPr>
        <w:t>2007</w:t>
      </w:r>
      <w:r>
        <w:rPr>
          <w:rFonts w:hint="eastAsia"/>
          <w:color w:val="auto"/>
          <w:sz w:val="20"/>
          <w:szCs w:val="16"/>
          <w:highlight w:val="none"/>
        </w:rPr>
        <w:t>年版）相关内容。</w:t>
      </w:r>
    </w:p>
    <w:p>
      <w:pPr>
        <w:jc w:val="center"/>
        <w:rPr>
          <w:rFonts w:ascii="黑体" w:hAnsi="黑体" w:eastAsia="黑体" w:cs="宋体"/>
          <w:color w:val="auto"/>
          <w:kern w:val="0"/>
          <w:sz w:val="32"/>
          <w:szCs w:val="32"/>
          <w:highlight w:val="none"/>
          <w:lang w:val="zh-CN"/>
        </w:rPr>
      </w:pPr>
      <w:bookmarkStart w:id="98" w:name="EBe4492df5c1fb463b91bc9a11a1a58b1e"/>
      <w:r>
        <w:rPr>
          <w:rFonts w:hint="eastAsia" w:ascii="黑体" w:hAnsi="黑体" w:eastAsia="黑体" w:cs="宋体"/>
          <w:color w:val="auto"/>
          <w:kern w:val="0"/>
          <w:sz w:val="32"/>
          <w:szCs w:val="32"/>
          <w:highlight w:val="none"/>
          <w:lang w:val="en-US" w:eastAsia="zh-CN"/>
        </w:rPr>
        <w:t xml:space="preserve"> </w:t>
      </w:r>
      <w:r>
        <w:rPr>
          <w:rFonts w:hint="eastAsia" w:ascii="黑体" w:hAnsi="黑体" w:eastAsia="黑体" w:cs="宋体"/>
          <w:color w:val="auto"/>
          <w:kern w:val="0"/>
          <w:sz w:val="32"/>
          <w:szCs w:val="32"/>
          <w:highlight w:val="none"/>
          <w:lang w:val="zh-CN"/>
        </w:rPr>
        <w:t>通用合同条款</w:t>
      </w:r>
    </w:p>
    <w:p>
      <w:pPr>
        <w:pStyle w:val="54"/>
        <w:keepNext/>
        <w:keepLines/>
        <w:pageBreakBefore w:val="0"/>
        <w:widowControl w:val="0"/>
        <w:kinsoku/>
        <w:wordWrap/>
        <w:overflowPunct/>
        <w:topLinePunct w:val="0"/>
        <w:autoSpaceDE/>
        <w:autoSpaceDN/>
        <w:bidi w:val="0"/>
        <w:adjustRightInd/>
        <w:snapToGrid/>
        <w:spacing w:before="360" w:after="240" w:line="260" w:lineRule="exact"/>
        <w:textAlignment w:val="auto"/>
        <w:outlineLvl w:val="2"/>
        <w:rPr>
          <w:rFonts w:ascii="Times New Roman" w:hAnsi="Times New Roman" w:eastAsia="黑体"/>
          <w:bCs/>
          <w:color w:val="auto"/>
          <w:kern w:val="44"/>
          <w:szCs w:val="21"/>
          <w:highlight w:val="none"/>
          <w:lang w:val="zh-CN"/>
        </w:rPr>
      </w:pPr>
      <w:bookmarkStart w:id="99" w:name="_Toc20378"/>
      <w:r>
        <w:rPr>
          <w:rFonts w:ascii="Times New Roman" w:hAnsi="Times New Roman" w:eastAsia="黑体"/>
          <w:bCs/>
          <w:color w:val="auto"/>
          <w:kern w:val="44"/>
          <w:szCs w:val="21"/>
          <w:highlight w:val="none"/>
          <w:lang w:val="zh-CN"/>
        </w:rPr>
        <w:t xml:space="preserve">1. </w:t>
      </w:r>
      <w:r>
        <w:rPr>
          <w:rFonts w:hint="eastAsia" w:ascii="Times New Roman" w:hAnsi="Times New Roman" w:eastAsia="黑体"/>
          <w:bCs/>
          <w:color w:val="auto"/>
          <w:kern w:val="44"/>
          <w:szCs w:val="21"/>
          <w:highlight w:val="none"/>
          <w:lang w:val="zh-CN"/>
        </w:rPr>
        <w:t>一般约定</w:t>
      </w:r>
      <w:bookmarkEnd w:id="99"/>
      <w:r>
        <w:rPr>
          <w:rFonts w:ascii="Times New Roman" w:hAnsi="Times New Roman" w:eastAsia="黑体"/>
          <w:bCs/>
          <w:color w:val="auto"/>
          <w:kern w:val="44"/>
          <w:szCs w:val="21"/>
          <w:highlight w:val="none"/>
          <w:lang w:val="zh-CN"/>
        </w:rPr>
        <w:tab/>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词语定义</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通用合同条款、专用合同条款中的下列词语应具有本款所赋予的含义。</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1.1.1 </w:t>
      </w:r>
      <w:r>
        <w:rPr>
          <w:rFonts w:hint="eastAsia" w:ascii="Times New Roman" w:hAnsi="Times New Roman" w:eastAsia="黑体"/>
          <w:color w:val="auto"/>
          <w:szCs w:val="21"/>
          <w:highlight w:val="none"/>
        </w:rPr>
        <w:t>合同</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合同文件（或称合同）：指合同协议书、中标通知书、投标函及投标函附录、专用合同条款、通用合同条款、技术标准和要求、图纸、已标价工程量清单，以及其他合同文件。</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合同协议书：指第</w:t>
      </w:r>
      <w:r>
        <w:rPr>
          <w:rFonts w:ascii="Times New Roman" w:hAnsi="Times New Roman"/>
          <w:color w:val="auto"/>
          <w:szCs w:val="21"/>
          <w:highlight w:val="none"/>
        </w:rPr>
        <w:t>1.5</w:t>
      </w:r>
      <w:r>
        <w:rPr>
          <w:rFonts w:hint="eastAsia" w:ascii="Times New Roman" w:hAnsi="Times New Roman"/>
          <w:color w:val="auto"/>
          <w:szCs w:val="21"/>
          <w:highlight w:val="none"/>
        </w:rPr>
        <w:t>款所指的合同协议书。</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中标通知书：指发包人通知投标人中标的函件。</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1.1.1.4 </w:t>
      </w:r>
      <w:r>
        <w:rPr>
          <w:rFonts w:hint="eastAsia" w:ascii="Times New Roman" w:hAnsi="Times New Roman"/>
          <w:color w:val="auto"/>
          <w:szCs w:val="21"/>
          <w:highlight w:val="none"/>
        </w:rPr>
        <w:t>投标函：指构成合同文件组成部分的由投标人填写并签署的投标函。</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1.1.1.5 </w:t>
      </w:r>
      <w:r>
        <w:rPr>
          <w:rFonts w:hint="eastAsia" w:ascii="Times New Roman" w:hAnsi="Times New Roman"/>
          <w:color w:val="auto"/>
          <w:szCs w:val="21"/>
          <w:highlight w:val="none"/>
        </w:rPr>
        <w:t>投标函附录：指附在投标函后构成合同文件的投标函附录。</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1.1.1.6 </w:t>
      </w:r>
      <w:r>
        <w:rPr>
          <w:rFonts w:hint="eastAsia" w:ascii="Times New Roman" w:hAnsi="Times New Roman"/>
          <w:color w:val="auto"/>
          <w:szCs w:val="21"/>
          <w:highlight w:val="none"/>
        </w:rPr>
        <w:t>技术标准和要求：指构成合同文件组成部分的名为技术标准和要求的文件，包括合同双方当事人约定对其所作的修改或补充。</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1.1.1.7 </w:t>
      </w:r>
      <w:r>
        <w:rPr>
          <w:rFonts w:hint="eastAsia" w:ascii="Times New Roman" w:hAnsi="Times New Roman"/>
          <w:color w:val="auto"/>
          <w:szCs w:val="21"/>
          <w:highlight w:val="none"/>
        </w:rPr>
        <w:t>图纸：指包含在合同中的工程图纸，以及由发包人按合同约定提供的任何补充和修改的图纸，包括配套的说明。</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1.1.1.8 </w:t>
      </w:r>
      <w:r>
        <w:rPr>
          <w:rFonts w:hint="eastAsia" w:ascii="Times New Roman" w:hAnsi="Times New Roman"/>
          <w:color w:val="auto"/>
          <w:szCs w:val="21"/>
          <w:highlight w:val="none"/>
        </w:rPr>
        <w:t>已标价工程量清单：指构成合同文件组成部分的由承包人按照规定的格式和要求填写并标明价格的工程量清单。</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1.1.1.9 </w:t>
      </w:r>
      <w:r>
        <w:rPr>
          <w:rFonts w:hint="eastAsia" w:ascii="Times New Roman" w:hAnsi="Times New Roman"/>
          <w:color w:val="auto"/>
          <w:szCs w:val="21"/>
          <w:highlight w:val="none"/>
        </w:rPr>
        <w:t>其他合同文件：指经合同双方当事人确认构成合同文件的其他文件。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1.1.2 </w:t>
      </w:r>
      <w:r>
        <w:rPr>
          <w:rFonts w:hint="eastAsia" w:ascii="Times New Roman" w:hAnsi="Times New Roman" w:eastAsia="黑体"/>
          <w:color w:val="auto"/>
          <w:szCs w:val="21"/>
          <w:highlight w:val="none"/>
        </w:rPr>
        <w:t>合同当事人和人员</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合同当事人：指发包人和（或）承包人。</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发包人：指专用合同条款中指明并与承包人在合同协议书中签字的当事人。</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1.1.2.3</w:t>
      </w:r>
      <w:r>
        <w:rPr>
          <w:rFonts w:hint="eastAsia" w:ascii="Times New Roman" w:hAnsi="Times New Roman"/>
          <w:color w:val="auto"/>
          <w:szCs w:val="21"/>
          <w:highlight w:val="none"/>
        </w:rPr>
        <w:t>承包人：指与发包人签订合同协议书的当事人。</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1.1.2.4</w:t>
      </w:r>
      <w:r>
        <w:rPr>
          <w:rFonts w:hint="eastAsia" w:ascii="Times New Roman" w:hAnsi="Times New Roman"/>
          <w:color w:val="auto"/>
          <w:szCs w:val="21"/>
          <w:highlight w:val="none"/>
        </w:rPr>
        <w:t>承包人项目经理：指承包人派驻施工场地的全权负责人。</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1.1.2.5</w:t>
      </w:r>
      <w:r>
        <w:rPr>
          <w:rFonts w:hint="eastAsia" w:ascii="Times New Roman" w:hAnsi="Times New Roman"/>
          <w:color w:val="auto"/>
          <w:szCs w:val="21"/>
          <w:highlight w:val="none"/>
        </w:rPr>
        <w:t>分包人：指从承包人处分包合同中某一部分工程，并与其签订分包合同的分包人。</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1.1.2.6</w:t>
      </w:r>
      <w:r>
        <w:rPr>
          <w:rFonts w:hint="eastAsia" w:ascii="Times New Roman" w:hAnsi="Times New Roman"/>
          <w:color w:val="auto"/>
          <w:szCs w:val="21"/>
          <w:highlight w:val="none"/>
        </w:rPr>
        <w:t>监理人：指在专用合同条款中指明的，受发包人委托对合同履行实施管理的法人或其他组织。</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1.1.2.7</w:t>
      </w:r>
      <w:r>
        <w:rPr>
          <w:rFonts w:hint="eastAsia" w:ascii="Times New Roman" w:hAnsi="Times New Roman"/>
          <w:color w:val="auto"/>
          <w:szCs w:val="21"/>
          <w:highlight w:val="none"/>
        </w:rPr>
        <w:t>总监理工程师（总监）：指由监理人委派常驻施工场地对合同履行实施管理的全权负责人。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1.1.3 </w:t>
      </w:r>
      <w:r>
        <w:rPr>
          <w:rFonts w:hint="eastAsia" w:ascii="Times New Roman" w:hAnsi="Times New Roman" w:eastAsia="黑体"/>
          <w:color w:val="auto"/>
          <w:szCs w:val="21"/>
          <w:highlight w:val="none"/>
        </w:rPr>
        <w:t>工程和设备</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1.1.3.1 </w:t>
      </w:r>
      <w:r>
        <w:rPr>
          <w:rFonts w:hint="eastAsia" w:ascii="Times New Roman" w:hAnsi="Times New Roman"/>
          <w:color w:val="auto"/>
          <w:szCs w:val="21"/>
          <w:highlight w:val="none"/>
        </w:rPr>
        <w:t>工程：指永久工程和（或）临时工程。</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1.1.3.2 </w:t>
      </w:r>
      <w:r>
        <w:rPr>
          <w:rFonts w:hint="eastAsia" w:ascii="Times New Roman" w:hAnsi="Times New Roman"/>
          <w:color w:val="auto"/>
          <w:szCs w:val="21"/>
          <w:highlight w:val="none"/>
        </w:rPr>
        <w:t>永久工程：指按合同约定建造并移交给发包人的工程，包括工程设备。</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1.1.3.3 </w:t>
      </w:r>
      <w:r>
        <w:rPr>
          <w:rFonts w:hint="eastAsia" w:ascii="Times New Roman" w:hAnsi="Times New Roman"/>
          <w:color w:val="auto"/>
          <w:szCs w:val="21"/>
          <w:highlight w:val="none"/>
        </w:rPr>
        <w:t>临时工程：指为完成合同约定的永久工程所修建的各类临时性工程，不包括施工设备。</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1.1.3.4 </w:t>
      </w:r>
      <w:r>
        <w:rPr>
          <w:rFonts w:hint="eastAsia" w:ascii="Times New Roman" w:hAnsi="Times New Roman"/>
          <w:color w:val="auto"/>
          <w:szCs w:val="21"/>
          <w:highlight w:val="none"/>
        </w:rPr>
        <w:t>单位工程：指专用合同条款中指明特定范围的永久工程。</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1.1.3.5 </w:t>
      </w:r>
      <w:r>
        <w:rPr>
          <w:rFonts w:hint="eastAsia" w:ascii="Times New Roman" w:hAnsi="Times New Roman"/>
          <w:color w:val="auto"/>
          <w:szCs w:val="21"/>
          <w:highlight w:val="none"/>
        </w:rPr>
        <w:t>工程设备：指构成或计划构成永久工程一部分的机电设备、金属结构设备、仪器装置及其他类似的设备和装置。</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1.1.3.6 </w:t>
      </w:r>
      <w:r>
        <w:rPr>
          <w:rFonts w:hint="eastAsia" w:ascii="Times New Roman" w:hAnsi="Times New Roman"/>
          <w:color w:val="auto"/>
          <w:szCs w:val="21"/>
          <w:highlight w:val="none"/>
        </w:rPr>
        <w:t>施工设备：指为完成合同约定的各项工作所需的设备、器具和其他物品，不包括临时工程和材料。</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1.1.3.7</w:t>
      </w:r>
      <w:r>
        <w:rPr>
          <w:rFonts w:hint="eastAsia" w:ascii="Times New Roman" w:hAnsi="Times New Roman"/>
          <w:color w:val="auto"/>
          <w:szCs w:val="21"/>
          <w:highlight w:val="none"/>
        </w:rPr>
        <w:t>临时设施：指为完成合同约定的各项工作所服务的临时性生产和生活设施。</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1.1.3.8 </w:t>
      </w:r>
      <w:r>
        <w:rPr>
          <w:rFonts w:hint="eastAsia" w:ascii="Times New Roman" w:hAnsi="Times New Roman"/>
          <w:color w:val="auto"/>
          <w:szCs w:val="21"/>
          <w:highlight w:val="none"/>
        </w:rPr>
        <w:t>承包人设备：指承包人自带的施工设备。</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1.1.3.9 </w:t>
      </w:r>
      <w:r>
        <w:rPr>
          <w:rFonts w:hint="eastAsia" w:ascii="Times New Roman" w:hAnsi="Times New Roman"/>
          <w:color w:val="auto"/>
          <w:szCs w:val="21"/>
          <w:highlight w:val="none"/>
        </w:rPr>
        <w:t>施工场地（或称工地、现场）：指用于合同工程施工的场所，以及在合同中指定作为施工场地组成部分的其他场所，包括永久占地和临时占地。</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1.1.3.10 </w:t>
      </w:r>
      <w:r>
        <w:rPr>
          <w:rFonts w:hint="eastAsia" w:ascii="Times New Roman" w:hAnsi="Times New Roman"/>
          <w:color w:val="auto"/>
          <w:szCs w:val="21"/>
          <w:highlight w:val="none"/>
        </w:rPr>
        <w:t>永久占地：指专用合同条款中指明为实施合同工程需永久占用的土地。</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1.1.3.11 </w:t>
      </w:r>
      <w:r>
        <w:rPr>
          <w:rFonts w:hint="eastAsia" w:ascii="Times New Roman" w:hAnsi="Times New Roman"/>
          <w:color w:val="auto"/>
          <w:szCs w:val="21"/>
          <w:highlight w:val="none"/>
        </w:rPr>
        <w:t>临时占地：指专用合同条款中指明为实施合同工程需临时占用的土地。</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1.1.4 </w:t>
      </w:r>
      <w:r>
        <w:rPr>
          <w:rFonts w:hint="eastAsia" w:ascii="Times New Roman" w:hAnsi="Times New Roman" w:eastAsia="黑体"/>
          <w:color w:val="auto"/>
          <w:szCs w:val="21"/>
          <w:highlight w:val="none"/>
        </w:rPr>
        <w:t>日期</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1.1.4.1 </w:t>
      </w:r>
      <w:r>
        <w:rPr>
          <w:rFonts w:hint="eastAsia" w:ascii="Times New Roman" w:hAnsi="Times New Roman"/>
          <w:color w:val="auto"/>
          <w:szCs w:val="21"/>
          <w:highlight w:val="none"/>
        </w:rPr>
        <w:t>开工通知：指监理人按第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款通知承包人开工的函件。</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1.1.4.2 </w:t>
      </w:r>
      <w:r>
        <w:rPr>
          <w:rFonts w:hint="eastAsia" w:ascii="Times New Roman" w:hAnsi="Times New Roman"/>
          <w:color w:val="auto"/>
          <w:szCs w:val="21"/>
          <w:highlight w:val="none"/>
        </w:rPr>
        <w:t>开工日期：指监理人按第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款发出的开工通知中写明的开工日期。</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1.1.4.3 </w:t>
      </w:r>
      <w:r>
        <w:rPr>
          <w:rFonts w:hint="eastAsia" w:ascii="Times New Roman" w:hAnsi="Times New Roman"/>
          <w:color w:val="auto"/>
          <w:szCs w:val="21"/>
          <w:highlight w:val="none"/>
        </w:rPr>
        <w:t>工期：指承包人在投标函中承诺的完成合同工程所需的期限，包括按第</w:t>
      </w:r>
      <w:r>
        <w:rPr>
          <w:rFonts w:ascii="Times New Roman" w:hAnsi="Times New Roman"/>
          <w:color w:val="auto"/>
          <w:szCs w:val="21"/>
          <w:highlight w:val="none"/>
        </w:rPr>
        <w:t>11.3</w:t>
      </w:r>
      <w:r>
        <w:rPr>
          <w:rFonts w:hint="eastAsia" w:ascii="Times New Roman" w:hAnsi="Times New Roman"/>
          <w:color w:val="auto"/>
          <w:szCs w:val="21"/>
          <w:highlight w:val="none"/>
        </w:rPr>
        <w:t>款、第</w:t>
      </w:r>
      <w:r>
        <w:rPr>
          <w:rFonts w:ascii="Times New Roman" w:hAnsi="Times New Roman"/>
          <w:color w:val="auto"/>
          <w:szCs w:val="21"/>
          <w:highlight w:val="none"/>
        </w:rPr>
        <w:t>11.4</w:t>
      </w:r>
      <w:r>
        <w:rPr>
          <w:rFonts w:hint="eastAsia" w:ascii="Times New Roman" w:hAnsi="Times New Roman"/>
          <w:color w:val="auto"/>
          <w:szCs w:val="21"/>
          <w:highlight w:val="none"/>
        </w:rPr>
        <w:t>款和第</w:t>
      </w:r>
      <w:r>
        <w:rPr>
          <w:rFonts w:ascii="Times New Roman" w:hAnsi="Times New Roman"/>
          <w:color w:val="auto"/>
          <w:szCs w:val="21"/>
          <w:highlight w:val="none"/>
        </w:rPr>
        <w:t>11.6</w:t>
      </w:r>
      <w:r>
        <w:rPr>
          <w:rFonts w:hint="eastAsia" w:ascii="Times New Roman" w:hAnsi="Times New Roman"/>
          <w:color w:val="auto"/>
          <w:szCs w:val="21"/>
          <w:highlight w:val="none"/>
        </w:rPr>
        <w:t>款约定所作的变更。</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1.1.4.4 </w:t>
      </w:r>
      <w:r>
        <w:rPr>
          <w:rFonts w:hint="eastAsia" w:ascii="Times New Roman" w:hAnsi="Times New Roman"/>
          <w:color w:val="auto"/>
          <w:szCs w:val="21"/>
          <w:highlight w:val="none"/>
        </w:rPr>
        <w:t>竣工日期：指第</w:t>
      </w:r>
      <w:r>
        <w:rPr>
          <w:rFonts w:ascii="Times New Roman" w:hAnsi="Times New Roman"/>
          <w:color w:val="auto"/>
          <w:szCs w:val="21"/>
          <w:highlight w:val="none"/>
        </w:rPr>
        <w:t>1.1.4.3</w:t>
      </w:r>
      <w:r>
        <w:rPr>
          <w:rFonts w:hint="eastAsia" w:ascii="Times New Roman" w:hAnsi="Times New Roman"/>
          <w:color w:val="auto"/>
          <w:szCs w:val="21"/>
          <w:highlight w:val="none"/>
        </w:rPr>
        <w:t>目约定工期届满时的日期。实际竣工日期以工程接收证书中写明的日期为准。</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1.1.4.5 </w:t>
      </w:r>
      <w:r>
        <w:rPr>
          <w:rFonts w:hint="eastAsia" w:ascii="Times New Roman" w:hAnsi="Times New Roman"/>
          <w:color w:val="auto"/>
          <w:szCs w:val="21"/>
          <w:highlight w:val="none"/>
        </w:rPr>
        <w:t>缺陷责任期：指履行第</w:t>
      </w:r>
      <w:r>
        <w:rPr>
          <w:rFonts w:ascii="Times New Roman" w:hAnsi="Times New Roman"/>
          <w:color w:val="auto"/>
          <w:szCs w:val="21"/>
          <w:highlight w:val="none"/>
        </w:rPr>
        <w:t>19.2</w:t>
      </w:r>
      <w:r>
        <w:rPr>
          <w:rFonts w:hint="eastAsia" w:ascii="Times New Roman" w:hAnsi="Times New Roman"/>
          <w:color w:val="auto"/>
          <w:szCs w:val="21"/>
          <w:highlight w:val="none"/>
        </w:rPr>
        <w:t>款约定的缺陷责任的期限，具体期限由专用合同条款约定，包括根据第</w:t>
      </w:r>
      <w:r>
        <w:rPr>
          <w:rFonts w:ascii="Times New Roman" w:hAnsi="Times New Roman"/>
          <w:color w:val="auto"/>
          <w:szCs w:val="21"/>
          <w:highlight w:val="none"/>
        </w:rPr>
        <w:t>19.3</w:t>
      </w:r>
      <w:r>
        <w:rPr>
          <w:rFonts w:hint="eastAsia" w:ascii="Times New Roman" w:hAnsi="Times New Roman"/>
          <w:color w:val="auto"/>
          <w:szCs w:val="21"/>
          <w:highlight w:val="none"/>
        </w:rPr>
        <w:t>款约定所作的延长。</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1.1.4.6 </w:t>
      </w:r>
      <w:r>
        <w:rPr>
          <w:rFonts w:hint="eastAsia" w:ascii="Times New Roman" w:hAnsi="Times New Roman"/>
          <w:color w:val="auto"/>
          <w:szCs w:val="21"/>
          <w:highlight w:val="none"/>
        </w:rPr>
        <w:t>基准日期：指投标截止时间前</w:t>
      </w:r>
      <w:r>
        <w:rPr>
          <w:rFonts w:ascii="Times New Roman" w:hAnsi="Times New Roman"/>
          <w:color w:val="auto"/>
          <w:szCs w:val="21"/>
          <w:highlight w:val="none"/>
        </w:rPr>
        <w:t>28</w:t>
      </w:r>
      <w:r>
        <w:rPr>
          <w:rFonts w:hint="eastAsia" w:ascii="Times New Roman" w:hAnsi="Times New Roman"/>
          <w:color w:val="auto"/>
          <w:szCs w:val="21"/>
          <w:highlight w:val="none"/>
        </w:rPr>
        <w:t>天的日期。</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1.1.4.7 </w:t>
      </w:r>
      <w:r>
        <w:rPr>
          <w:rFonts w:hint="eastAsia" w:ascii="Times New Roman" w:hAnsi="Times New Roman"/>
          <w:color w:val="auto"/>
          <w:szCs w:val="21"/>
          <w:highlight w:val="none"/>
        </w:rPr>
        <w:t>天：除特别指明外，指日历天。合同中按天计算时间的，开始当天不计入，从次日开始计算。期限最后一天的截止时间为当天</w:t>
      </w:r>
      <w:r>
        <w:rPr>
          <w:rFonts w:ascii="Times New Roman" w:hAnsi="Times New Roman"/>
          <w:color w:val="auto"/>
          <w:szCs w:val="21"/>
          <w:highlight w:val="none"/>
        </w:rPr>
        <w:t>24:00</w:t>
      </w:r>
      <w:r>
        <w:rPr>
          <w:rFonts w:hint="eastAsia" w:ascii="Times New Roman" w:hAnsi="Times New Roman"/>
          <w:color w:val="auto"/>
          <w:szCs w:val="21"/>
          <w:highlight w:val="none"/>
        </w:rPr>
        <w:t>。</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1.1.5 </w:t>
      </w:r>
      <w:r>
        <w:rPr>
          <w:rFonts w:hint="eastAsia" w:ascii="Times New Roman" w:hAnsi="Times New Roman" w:eastAsia="黑体"/>
          <w:color w:val="auto"/>
          <w:szCs w:val="21"/>
          <w:highlight w:val="none"/>
        </w:rPr>
        <w:t>合同价格和费用</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1.1.5.1 </w:t>
      </w:r>
      <w:r>
        <w:rPr>
          <w:rFonts w:hint="eastAsia" w:ascii="Times New Roman" w:hAnsi="Times New Roman"/>
          <w:color w:val="auto"/>
          <w:szCs w:val="21"/>
          <w:highlight w:val="none"/>
        </w:rPr>
        <w:t>签约合同价：指签订合同时合同协议书中写明的，包括了暂列金额、暂估价的合同总金额。</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1.1.5.2 </w:t>
      </w:r>
      <w:r>
        <w:rPr>
          <w:rFonts w:hint="eastAsia" w:ascii="Times New Roman" w:hAnsi="Times New Roman"/>
          <w:color w:val="auto"/>
          <w:szCs w:val="21"/>
          <w:highlight w:val="none"/>
        </w:rPr>
        <w:t>合同价格：指承包人按合同约定完成了包括缺陷责任期内的全部承包工作后，发包人应付给承包人的金额，包括在履行合同过程中按合同约定进行的变更和调整。</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1.1.5.3 </w:t>
      </w:r>
      <w:r>
        <w:rPr>
          <w:rFonts w:hint="eastAsia" w:ascii="Times New Roman" w:hAnsi="Times New Roman"/>
          <w:color w:val="auto"/>
          <w:szCs w:val="21"/>
          <w:highlight w:val="none"/>
        </w:rPr>
        <w:t>费用：指为履行合同所发生的或将要发生的所有合理开支，包括管理费和应分摊的其他费用，但不包括利润。</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1.1.5.4 </w:t>
      </w:r>
      <w:r>
        <w:rPr>
          <w:rFonts w:hint="eastAsia" w:ascii="Times New Roman" w:hAnsi="Times New Roman"/>
          <w:color w:val="auto"/>
          <w:szCs w:val="21"/>
          <w:highlight w:val="none"/>
        </w:rPr>
        <w:t>暂列金额：指已标价工程量清单中所列的暂列金额，用于在签订协议书时尚未确定或不可预见变更的施工及其所需材料、工程设备、服务等的金额，包括以计日工方式支付的金额。</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1.1.5.5</w:t>
      </w:r>
      <w:r>
        <w:rPr>
          <w:rFonts w:hint="eastAsia" w:ascii="Times New Roman" w:hAnsi="Times New Roman"/>
          <w:color w:val="auto"/>
          <w:szCs w:val="21"/>
          <w:highlight w:val="none"/>
        </w:rPr>
        <w:t>暂估价：指发包人在工程量清单中给定的用于支付必然发生但暂时不能确定价格的材料、工程设备以及专业工程的金额。</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1.1.5.6 </w:t>
      </w:r>
      <w:r>
        <w:rPr>
          <w:rFonts w:hint="eastAsia" w:ascii="Times New Roman" w:hAnsi="Times New Roman"/>
          <w:color w:val="auto"/>
          <w:szCs w:val="21"/>
          <w:highlight w:val="none"/>
        </w:rPr>
        <w:t>计日工：指对零星工作采取的一种计价方式，按合同中的计日工子目及其单价计价付款。</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1.1.5.7 </w:t>
      </w:r>
      <w:r>
        <w:rPr>
          <w:rFonts w:hint="eastAsia" w:ascii="Times New Roman" w:hAnsi="Times New Roman"/>
          <w:color w:val="auto"/>
          <w:szCs w:val="21"/>
          <w:highlight w:val="none"/>
        </w:rPr>
        <w:t>质量保证金（或称保留金）：指按第</w:t>
      </w:r>
      <w:r>
        <w:rPr>
          <w:rFonts w:ascii="Times New Roman" w:hAnsi="Times New Roman"/>
          <w:color w:val="auto"/>
          <w:szCs w:val="21"/>
          <w:highlight w:val="none"/>
        </w:rPr>
        <w:t>17.4.1</w:t>
      </w:r>
      <w:r>
        <w:rPr>
          <w:rFonts w:hint="eastAsia" w:ascii="Times New Roman" w:hAnsi="Times New Roman"/>
          <w:color w:val="auto"/>
          <w:szCs w:val="21"/>
          <w:highlight w:val="none"/>
        </w:rPr>
        <w:t>项约定用于保证在缺陷责任期内履行缺陷修复义务的金额。</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1.1.6 </w:t>
      </w:r>
      <w:r>
        <w:rPr>
          <w:rFonts w:hint="eastAsia" w:ascii="Times New Roman" w:hAnsi="Times New Roman" w:eastAsia="黑体"/>
          <w:color w:val="auto"/>
          <w:szCs w:val="21"/>
          <w:highlight w:val="none"/>
        </w:rPr>
        <w:t>其他</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ascii="Times New Roman" w:hAnsi="Times New Roman"/>
          <w:color w:val="auto"/>
          <w:szCs w:val="21"/>
          <w:highlight w:val="none"/>
        </w:rPr>
        <w:t xml:space="preserve">1.1.6.1 </w:t>
      </w:r>
      <w:r>
        <w:rPr>
          <w:rFonts w:hint="eastAsia" w:ascii="Times New Roman" w:hAnsi="Times New Roman"/>
          <w:color w:val="auto"/>
          <w:szCs w:val="21"/>
          <w:highlight w:val="none"/>
        </w:rPr>
        <w:t>书面形式：指合同文件、信函、电报、传真等可以有形地表现所载内容的形式。</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语言文字</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除专用术语外，合同使用的语言文字为中文。必要时专用术语应附有中文注释。</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法律</w:t>
      </w:r>
    </w:p>
    <w:p>
      <w:pPr>
        <w:pStyle w:val="54"/>
        <w:pageBreakBefore w:val="0"/>
        <w:widowControl w:val="0"/>
        <w:tabs>
          <w:tab w:val="left" w:pos="7020"/>
        </w:tabs>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适用于合同的法律包括中华人民共和国法律、行政法规、部门规章，以及工程所在地的地方法规、自治条例、单行条例和地方政府规章。</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合同文件的优先顺序</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组成合同的各项文件应互相解释，互为说明。除专用合同条款另有约定外，解释合同文件的优先顺序如下：</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1</w:t>
      </w:r>
      <w:r>
        <w:rPr>
          <w:rFonts w:hint="eastAsia" w:ascii="Times New Roman" w:hAnsi="Times New Roman"/>
          <w:color w:val="auto"/>
          <w:szCs w:val="21"/>
          <w:highlight w:val="none"/>
        </w:rPr>
        <w:t>）合同协议书；</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2</w:t>
      </w:r>
      <w:r>
        <w:rPr>
          <w:rFonts w:hint="eastAsia" w:ascii="Times New Roman" w:hAnsi="Times New Roman"/>
          <w:color w:val="auto"/>
          <w:szCs w:val="21"/>
          <w:highlight w:val="none"/>
        </w:rPr>
        <w:t>）中标通知书；</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3</w:t>
      </w:r>
      <w:r>
        <w:rPr>
          <w:rFonts w:hint="eastAsia" w:ascii="Times New Roman" w:hAnsi="Times New Roman"/>
          <w:color w:val="auto"/>
          <w:szCs w:val="21"/>
          <w:highlight w:val="none"/>
        </w:rPr>
        <w:t>）投标函及投标函附录；</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4</w:t>
      </w:r>
      <w:r>
        <w:rPr>
          <w:rFonts w:hint="eastAsia" w:ascii="Times New Roman" w:hAnsi="Times New Roman"/>
          <w:color w:val="auto"/>
          <w:szCs w:val="21"/>
          <w:highlight w:val="none"/>
        </w:rPr>
        <w:t>）专用合同条款；</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5</w:t>
      </w:r>
      <w:r>
        <w:rPr>
          <w:rFonts w:hint="eastAsia" w:ascii="Times New Roman" w:hAnsi="Times New Roman"/>
          <w:color w:val="auto"/>
          <w:szCs w:val="21"/>
          <w:highlight w:val="none"/>
        </w:rPr>
        <w:t>）通用合同条款；</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6</w:t>
      </w:r>
      <w:r>
        <w:rPr>
          <w:rFonts w:hint="eastAsia" w:ascii="Times New Roman" w:hAnsi="Times New Roman"/>
          <w:color w:val="auto"/>
          <w:szCs w:val="21"/>
          <w:highlight w:val="none"/>
        </w:rPr>
        <w:t>）技术标准和要求；</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7</w:t>
      </w:r>
      <w:r>
        <w:rPr>
          <w:rFonts w:hint="eastAsia" w:ascii="Times New Roman" w:hAnsi="Times New Roman"/>
          <w:color w:val="auto"/>
          <w:szCs w:val="21"/>
          <w:highlight w:val="none"/>
        </w:rPr>
        <w:t>）图纸；</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w:t>
      </w:r>
      <w:r>
        <w:rPr>
          <w:rFonts w:hint="eastAsia" w:ascii="Times New Roman" w:hAnsi="Times New Roman"/>
          <w:color w:val="auto"/>
          <w:szCs w:val="21"/>
          <w:highlight w:val="none"/>
        </w:rPr>
        <w:t>）已标价工程量清单；</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9</w:t>
      </w:r>
      <w:r>
        <w:rPr>
          <w:rFonts w:hint="eastAsia" w:ascii="Times New Roman" w:hAnsi="Times New Roman"/>
          <w:color w:val="auto"/>
          <w:szCs w:val="21"/>
          <w:highlight w:val="none"/>
        </w:rPr>
        <w:t>）其他合同文件。</w:t>
      </w:r>
      <w:r>
        <w:rPr>
          <w:rFonts w:ascii="Times New Roman" w:hAnsi="Times New Roman"/>
          <w:color w:val="auto"/>
          <w:szCs w:val="21"/>
          <w:highlight w:val="none"/>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合同协议书</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承包人按中标通知书规定的时间与发包人签订合同协议书。除法律另有规定或合同另有约定外，发包人和承包人的法定代表人或其委托代理人在合同协议书上签字并盖单位章后，合同生效。</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图纸和承包人文件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1.6.1 </w:t>
      </w:r>
      <w:r>
        <w:rPr>
          <w:rFonts w:hint="eastAsia" w:ascii="Times New Roman" w:hAnsi="Times New Roman" w:eastAsia="黑体"/>
          <w:color w:val="auto"/>
          <w:szCs w:val="21"/>
          <w:highlight w:val="none"/>
        </w:rPr>
        <w:t>图纸的提供</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除专用合同条款另有约定外，图纸应在合理的期限内按照合同约定的数量提供给承包人。由于发包人未按时提供图纸造成工期延误的，按第</w:t>
      </w:r>
      <w:r>
        <w:rPr>
          <w:rFonts w:ascii="Times New Roman" w:hAnsi="Times New Roman"/>
          <w:color w:val="auto"/>
          <w:szCs w:val="21"/>
          <w:highlight w:val="none"/>
        </w:rPr>
        <w:t>11.3</w:t>
      </w:r>
      <w:r>
        <w:rPr>
          <w:rFonts w:hint="eastAsia" w:ascii="Times New Roman" w:hAnsi="Times New Roman"/>
          <w:color w:val="auto"/>
          <w:szCs w:val="21"/>
          <w:highlight w:val="none"/>
        </w:rPr>
        <w:t>款的约定办理。</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1.6.2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承包人提供的文件</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按专用合同条款约定由承包人提供的文件，包括部分工程的大样图、加工图等，承包人应按约定的数量和期限报送监理人。监理人应在专用合同条款约定的期限内批复。</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1.6.3 </w:t>
      </w:r>
      <w:r>
        <w:rPr>
          <w:rFonts w:hint="eastAsia" w:ascii="Times New Roman" w:hAnsi="Times New Roman" w:eastAsia="黑体"/>
          <w:color w:val="auto"/>
          <w:szCs w:val="21"/>
          <w:highlight w:val="none"/>
        </w:rPr>
        <w:t>图纸的修改</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1.6.4 </w:t>
      </w:r>
      <w:r>
        <w:rPr>
          <w:rFonts w:hint="eastAsia" w:ascii="Times New Roman" w:hAnsi="Times New Roman" w:eastAsia="黑体"/>
          <w:color w:val="auto"/>
          <w:szCs w:val="21"/>
          <w:highlight w:val="none"/>
        </w:rPr>
        <w:t>图纸的错误</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承包人发现发包人提供的图纸存在明显错误或疏忽，应及时通知监理人。</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1.6.5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图纸和承包人文件的保管</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监理人和承包人均应在施工场地各保存一套完整的包含第</w:t>
      </w:r>
      <w:r>
        <w:rPr>
          <w:rFonts w:ascii="Times New Roman" w:hAnsi="Times New Roman"/>
          <w:color w:val="auto"/>
          <w:szCs w:val="21"/>
          <w:highlight w:val="none"/>
        </w:rPr>
        <w:t>1.6.1</w:t>
      </w:r>
      <w:r>
        <w:rPr>
          <w:rFonts w:hint="eastAsia" w:ascii="Times New Roman" w:hAnsi="Times New Roman"/>
          <w:color w:val="auto"/>
          <w:szCs w:val="21"/>
          <w:highlight w:val="none"/>
        </w:rPr>
        <w:t>项、第</w:t>
      </w:r>
      <w:r>
        <w:rPr>
          <w:rFonts w:ascii="Times New Roman" w:hAnsi="Times New Roman"/>
          <w:color w:val="auto"/>
          <w:szCs w:val="21"/>
          <w:highlight w:val="none"/>
        </w:rPr>
        <w:t>1.6.2</w:t>
      </w:r>
      <w:r>
        <w:rPr>
          <w:rFonts w:hint="eastAsia" w:ascii="Times New Roman" w:hAnsi="Times New Roman"/>
          <w:color w:val="auto"/>
          <w:szCs w:val="21"/>
          <w:highlight w:val="none"/>
        </w:rPr>
        <w:t>项、第</w:t>
      </w:r>
      <w:r>
        <w:rPr>
          <w:rFonts w:ascii="Times New Roman" w:hAnsi="Times New Roman"/>
          <w:color w:val="auto"/>
          <w:szCs w:val="21"/>
          <w:highlight w:val="none"/>
        </w:rPr>
        <w:t>1.6.3</w:t>
      </w:r>
      <w:r>
        <w:rPr>
          <w:rFonts w:hint="eastAsia" w:ascii="Times New Roman" w:hAnsi="Times New Roman"/>
          <w:color w:val="auto"/>
          <w:szCs w:val="21"/>
          <w:highlight w:val="none"/>
        </w:rPr>
        <w:t>项约定内容的图纸和承包人文件。</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联络</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1.7.1 </w:t>
      </w:r>
      <w:r>
        <w:rPr>
          <w:rFonts w:hint="eastAsia" w:ascii="Times New Roman" w:hAnsi="Times New Roman"/>
          <w:color w:val="auto"/>
          <w:szCs w:val="21"/>
          <w:highlight w:val="none"/>
        </w:rPr>
        <w:t>与合同有关的通知、批准、证明、证书、指示、要求、请求、同意、意见、确定和决定等，均应采用书面形式。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1.7.2 </w:t>
      </w:r>
      <w:r>
        <w:rPr>
          <w:rFonts w:hint="eastAsia" w:ascii="Times New Roman" w:hAnsi="Times New Roman"/>
          <w:color w:val="auto"/>
          <w:szCs w:val="21"/>
          <w:highlight w:val="none"/>
        </w:rPr>
        <w:t>第</w:t>
      </w:r>
      <w:r>
        <w:rPr>
          <w:rFonts w:ascii="Times New Roman" w:hAnsi="Times New Roman"/>
          <w:color w:val="auto"/>
          <w:szCs w:val="21"/>
          <w:highlight w:val="none"/>
        </w:rPr>
        <w:t>1.7.1</w:t>
      </w:r>
      <w:r>
        <w:rPr>
          <w:rFonts w:hint="eastAsia" w:ascii="Times New Roman" w:hAnsi="Times New Roman"/>
          <w:color w:val="auto"/>
          <w:szCs w:val="21"/>
          <w:highlight w:val="none"/>
        </w:rPr>
        <w:t>项中的通知、批准、证明、证书、指示、要求、请求、同意、意见、确定和决定等来往函件，均应在合同约定的期限内送达指定地点和接收人，并办理签收手续。</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转让</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除合同另有约定外，未经对方当事人同意，一方当事人不得将合同权利全部或部分转让给第三人，也不得全部或部分转移合同义务。</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严禁贿赂</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合同双方当事人不得以贿赂或变相贿赂的方式，谋取不当利益或损害对方权益。因贿赂造成对方损失的，行为人应赔偿损失，并承担相应的法律责任。</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1.10 </w:t>
      </w:r>
      <w:r>
        <w:rPr>
          <w:rFonts w:hint="eastAsia" w:ascii="Times New Roman" w:hAnsi="Times New Roman" w:eastAsia="黑体"/>
          <w:bCs/>
          <w:color w:val="auto"/>
          <w:kern w:val="44"/>
          <w:szCs w:val="21"/>
          <w:highlight w:val="none"/>
          <w:lang w:val="zh-CN"/>
        </w:rPr>
        <w:t>化石、文物</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1.10.1 </w:t>
      </w:r>
      <w:r>
        <w:rPr>
          <w:rFonts w:hint="eastAsia" w:ascii="Times New Roman" w:hAnsi="Times New Roman"/>
          <w:color w:val="auto"/>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1.10.2 </w:t>
      </w:r>
      <w:r>
        <w:rPr>
          <w:rFonts w:hint="eastAsia" w:ascii="Times New Roman" w:hAnsi="Times New Roman"/>
          <w:color w:val="auto"/>
          <w:szCs w:val="21"/>
          <w:highlight w:val="none"/>
        </w:rPr>
        <w:t>承包人发现文物后不及时报告或隐瞒不报，致使文物丢失或损坏的，应赔偿损失，并承担相应的法律责任。</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专利技术</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1.11.1 </w:t>
      </w:r>
      <w:r>
        <w:rPr>
          <w:rFonts w:hint="eastAsia" w:ascii="Times New Roman" w:hAnsi="Times New Roman"/>
          <w:color w:val="auto"/>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承包人在投标文件中采用专利技术的，专利技术的使用费包含在投标报价内。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承包人的技术秘密和声明需要保密的资料和信息，发包人和监理人不得为合同以外的目的泄露给他人。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1.12 </w:t>
      </w:r>
      <w:r>
        <w:rPr>
          <w:rFonts w:hint="eastAsia" w:ascii="Times New Roman" w:hAnsi="Times New Roman" w:eastAsia="黑体"/>
          <w:bCs/>
          <w:color w:val="auto"/>
          <w:kern w:val="44"/>
          <w:szCs w:val="21"/>
          <w:highlight w:val="none"/>
          <w:lang w:val="zh-CN"/>
        </w:rPr>
        <w:t>图纸和文件的保密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发包人提供的图纸和文件，未经发包人同意，承包人不得为合同以外的目的泄露给他人或公开发表与引用。</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承包人提供的文件，未经承包人同意，发包人和监理人不得为合同以外的目的泄露给他人或公开发表与引用。</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0" w:name="_Toc24285"/>
      <w:r>
        <w:rPr>
          <w:rFonts w:ascii="Times New Roman" w:hAnsi="Times New Roman" w:eastAsia="黑体"/>
          <w:bCs/>
          <w:color w:val="auto"/>
          <w:kern w:val="44"/>
          <w:szCs w:val="21"/>
          <w:highlight w:val="none"/>
          <w:lang w:val="zh-CN"/>
        </w:rPr>
        <w:t xml:space="preserve">2. </w:t>
      </w:r>
      <w:r>
        <w:rPr>
          <w:rFonts w:hint="eastAsia" w:ascii="Times New Roman" w:hAnsi="Times New Roman" w:eastAsia="黑体"/>
          <w:bCs/>
          <w:color w:val="auto"/>
          <w:kern w:val="44"/>
          <w:szCs w:val="21"/>
          <w:highlight w:val="none"/>
          <w:lang w:val="zh-CN"/>
        </w:rPr>
        <w:t>发包人义务</w:t>
      </w:r>
      <w:bookmarkEnd w:id="100"/>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遵守法律</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发包人在履行合同过程中应遵守法律，并保证承包人免于承担因发包人违反法律而引起的任何责任。</w:t>
      </w:r>
    </w:p>
    <w:p>
      <w:pPr>
        <w:pStyle w:val="54"/>
        <w:keepNext/>
        <w:keepLines/>
        <w:pageBreakBefore w:val="0"/>
        <w:widowControl w:val="0"/>
        <w:kinsoku/>
        <w:wordWrap/>
        <w:overflowPunct/>
        <w:topLinePunct w:val="0"/>
        <w:autoSpaceDE/>
        <w:autoSpaceDN/>
        <w:bidi w:val="0"/>
        <w:adjustRightInd/>
        <w:snapToGrid/>
        <w:spacing w:before="240" w:after="240" w:line="260" w:lineRule="exact"/>
        <w:jc w:val="lef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发出开工通知</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发包人应委托监理人按第</w:t>
      </w:r>
      <w:r>
        <w:rPr>
          <w:rFonts w:ascii="Times New Roman" w:hAnsi="Times New Roman"/>
          <w:color w:val="auto"/>
          <w:szCs w:val="21"/>
          <w:highlight w:val="none"/>
        </w:rPr>
        <w:t>11.1</w:t>
      </w:r>
      <w:r>
        <w:rPr>
          <w:rFonts w:hint="eastAsia" w:ascii="Times New Roman" w:hAnsi="Times New Roman"/>
          <w:color w:val="auto"/>
          <w:szCs w:val="21"/>
          <w:highlight w:val="none"/>
        </w:rPr>
        <w:t>款的约定向承包人发出开工通知。</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提供施工场地</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发包人应按专用合同条款约定向承包人提供施工场地，以及施工场地内地下管线和地下设施等有关资料，并保证资料的真实、准确、完整。</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协助承包人办理证件和批件</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发包人应协助承包人办理法律规定的有关施工证件和批件。</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2.5 </w:t>
      </w:r>
      <w:r>
        <w:rPr>
          <w:rFonts w:hint="eastAsia" w:ascii="Times New Roman" w:hAnsi="Times New Roman" w:eastAsia="黑体"/>
          <w:bCs/>
          <w:color w:val="auto"/>
          <w:kern w:val="44"/>
          <w:szCs w:val="21"/>
          <w:highlight w:val="none"/>
          <w:lang w:val="zh-CN"/>
        </w:rPr>
        <w:t>组织设计交底</w:t>
      </w:r>
    </w:p>
    <w:p>
      <w:pPr>
        <w:pStyle w:val="54"/>
        <w:pageBreakBefore w:val="0"/>
        <w:widowControl w:val="0"/>
        <w:kinsoku/>
        <w:wordWrap/>
        <w:overflowPunct/>
        <w:topLinePunct w:val="0"/>
        <w:autoSpaceDE/>
        <w:autoSpaceDN/>
        <w:bidi w:val="0"/>
        <w:adjustRightInd/>
        <w:snapToGrid/>
        <w:spacing w:line="260" w:lineRule="exact"/>
        <w:ind w:firstLine="405"/>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发包人应根据合同进度计划，组织设计单位向承包人进行设计交底。</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2.6 </w:t>
      </w:r>
      <w:r>
        <w:rPr>
          <w:rFonts w:hint="eastAsia" w:ascii="Times New Roman" w:hAnsi="Times New Roman" w:eastAsia="黑体"/>
          <w:bCs/>
          <w:color w:val="auto"/>
          <w:kern w:val="44"/>
          <w:szCs w:val="21"/>
          <w:highlight w:val="none"/>
          <w:lang w:val="zh-CN"/>
        </w:rPr>
        <w:t>支付合同价款</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发包人应按合同约定向承包人及时支付合同价款。</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2.7 </w:t>
      </w:r>
      <w:r>
        <w:rPr>
          <w:rFonts w:hint="eastAsia" w:ascii="Times New Roman" w:hAnsi="Times New Roman" w:eastAsia="黑体"/>
          <w:bCs/>
          <w:color w:val="auto"/>
          <w:kern w:val="44"/>
          <w:szCs w:val="21"/>
          <w:highlight w:val="none"/>
          <w:lang w:val="zh-CN"/>
        </w:rPr>
        <w:t>组织竣工验收</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发包人应按合同约定及时组织竣工验收。</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2.8 </w:t>
      </w:r>
      <w:r>
        <w:rPr>
          <w:rFonts w:hint="eastAsia" w:ascii="Times New Roman" w:hAnsi="Times New Roman" w:eastAsia="黑体"/>
          <w:bCs/>
          <w:color w:val="auto"/>
          <w:kern w:val="44"/>
          <w:szCs w:val="21"/>
          <w:highlight w:val="none"/>
          <w:lang w:val="zh-CN"/>
        </w:rPr>
        <w:t>其他义务</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发包人应履行合同约定的其他义务。</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1" w:name="_Toc5995"/>
      <w:r>
        <w:rPr>
          <w:rFonts w:ascii="Times New Roman" w:hAnsi="Times New Roman" w:eastAsia="黑体"/>
          <w:bCs/>
          <w:color w:val="auto"/>
          <w:kern w:val="44"/>
          <w:szCs w:val="21"/>
          <w:highlight w:val="none"/>
          <w:lang w:val="zh-CN"/>
        </w:rPr>
        <w:t xml:space="preserve">3. </w:t>
      </w:r>
      <w:r>
        <w:rPr>
          <w:rFonts w:hint="eastAsia" w:ascii="Times New Roman" w:hAnsi="Times New Roman" w:eastAsia="黑体"/>
          <w:bCs/>
          <w:color w:val="auto"/>
          <w:kern w:val="44"/>
          <w:szCs w:val="21"/>
          <w:highlight w:val="none"/>
          <w:lang w:val="zh-CN"/>
        </w:rPr>
        <w:t>监理人</w:t>
      </w:r>
      <w:bookmarkEnd w:id="101"/>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3.1 </w:t>
      </w:r>
      <w:r>
        <w:rPr>
          <w:rFonts w:hint="eastAsia" w:ascii="Times New Roman" w:hAnsi="Times New Roman" w:eastAsia="黑体"/>
          <w:bCs/>
          <w:color w:val="auto"/>
          <w:kern w:val="44"/>
          <w:szCs w:val="21"/>
          <w:highlight w:val="none"/>
          <w:lang w:val="zh-CN"/>
        </w:rPr>
        <w:t>监理人的职责和权力</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3.1.1 </w:t>
      </w:r>
      <w:r>
        <w:rPr>
          <w:rFonts w:hint="eastAsia" w:ascii="Times New Roman" w:hAnsi="Times New Roman"/>
          <w:color w:val="auto"/>
          <w:szCs w:val="21"/>
          <w:highlight w:val="none"/>
        </w:rPr>
        <w:t>监理人受发包人委托，享有合同约定的权力。监理人在行使某项权力前需要经发包人事先批准而通用合同条款没有指明的，应在专用合同条款中指明。</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3.1.2 </w:t>
      </w:r>
      <w:r>
        <w:rPr>
          <w:rFonts w:hint="eastAsia" w:ascii="Times New Roman" w:hAnsi="Times New Roman"/>
          <w:color w:val="auto"/>
          <w:szCs w:val="21"/>
          <w:highlight w:val="none"/>
        </w:rPr>
        <w:t>监理人发出的任何指示应视为已得到发包人的批准，但监理人无权免除或变更合同约定的发包人和承包人的权利、义务和责任。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3.1.3 </w:t>
      </w:r>
      <w:r>
        <w:rPr>
          <w:rFonts w:hint="eastAsia" w:ascii="Times New Roman" w:hAnsi="Times New Roman"/>
          <w:color w:val="auto"/>
          <w:szCs w:val="21"/>
          <w:highlight w:val="none"/>
        </w:rPr>
        <w:t>合同约定应由承包人承担的义务和责任，不因监理人对承包人提交文件的审查或批准，对工程、材料和设备的检查和检验，以及为实施监理作出的指示等职务行为而减轻或解除。</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3.2 </w:t>
      </w:r>
      <w:r>
        <w:rPr>
          <w:rFonts w:hint="eastAsia" w:ascii="Times New Roman" w:hAnsi="Times New Roman" w:eastAsia="黑体"/>
          <w:bCs/>
          <w:color w:val="auto"/>
          <w:kern w:val="44"/>
          <w:szCs w:val="21"/>
          <w:highlight w:val="none"/>
          <w:lang w:val="zh-CN"/>
        </w:rPr>
        <w:t>总监理工程师</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发包人应在发出开工通知前将总监理工程师的任命通知承包人。总监理工程师更换时，应在调离</w:t>
      </w:r>
      <w:r>
        <w:rPr>
          <w:rFonts w:ascii="Times New Roman" w:hAnsi="Times New Roman"/>
          <w:color w:val="auto"/>
          <w:szCs w:val="21"/>
          <w:highlight w:val="none"/>
        </w:rPr>
        <w:t>14</w:t>
      </w:r>
      <w:r>
        <w:rPr>
          <w:rFonts w:hint="eastAsia" w:ascii="Times New Roman" w:hAnsi="Times New Roman"/>
          <w:color w:val="auto"/>
          <w:szCs w:val="21"/>
          <w:highlight w:val="none"/>
        </w:rPr>
        <w:t>天前通知承包人。总监理工程师短期离开施工场地的，应委派代表代行其职责，并通知承包人。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3.3 </w:t>
      </w:r>
      <w:r>
        <w:rPr>
          <w:rFonts w:hint="eastAsia" w:ascii="Times New Roman" w:hAnsi="Times New Roman" w:eastAsia="黑体"/>
          <w:bCs/>
          <w:color w:val="auto"/>
          <w:kern w:val="44"/>
          <w:szCs w:val="21"/>
          <w:highlight w:val="none"/>
          <w:lang w:val="zh-CN"/>
        </w:rPr>
        <w:t>监理人员</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eastAsia" w:ascii="Times New Roman" w:hAnsi="Times New Roman"/>
          <w:color w:val="auto"/>
          <w:szCs w:val="21"/>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3.3.2 </w:t>
      </w:r>
      <w:r>
        <w:rPr>
          <w:rFonts w:hint="eastAsia" w:ascii="Times New Roman" w:hAnsi="Times New Roman"/>
          <w:color w:val="auto"/>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3.3.3 </w:t>
      </w:r>
      <w:r>
        <w:rPr>
          <w:rFonts w:hint="eastAsia" w:ascii="Times New Roman" w:hAnsi="Times New Roman"/>
          <w:color w:val="auto"/>
          <w:szCs w:val="21"/>
          <w:highlight w:val="none"/>
        </w:rPr>
        <w:t>承包人对总监理工程师授权的监理人员发出的指示有疑问的，可向总监理工程师提出书面异议，总监理工程师应在</w:t>
      </w:r>
      <w:r>
        <w:rPr>
          <w:rFonts w:ascii="Times New Roman" w:hAnsi="Times New Roman"/>
          <w:color w:val="auto"/>
          <w:szCs w:val="21"/>
          <w:highlight w:val="none"/>
        </w:rPr>
        <w:t>48</w:t>
      </w:r>
      <w:r>
        <w:rPr>
          <w:rFonts w:hint="eastAsia" w:ascii="Times New Roman" w:hAnsi="Times New Roman"/>
          <w:color w:val="auto"/>
          <w:szCs w:val="21"/>
          <w:highlight w:val="none"/>
        </w:rPr>
        <w:t>小时内对该指示予以确认、更改或撤销。</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3.3.4 </w:t>
      </w:r>
      <w:r>
        <w:rPr>
          <w:rFonts w:hint="eastAsia" w:ascii="Times New Roman" w:hAnsi="Times New Roman"/>
          <w:color w:val="auto"/>
          <w:szCs w:val="21"/>
          <w:highlight w:val="none"/>
        </w:rPr>
        <w:t>除专用合同条款另有约定外，总监理工程师不应将第</w:t>
      </w:r>
      <w:r>
        <w:rPr>
          <w:rFonts w:ascii="Times New Roman" w:hAnsi="Times New Roman"/>
          <w:color w:val="auto"/>
          <w:szCs w:val="21"/>
          <w:highlight w:val="none"/>
        </w:rPr>
        <w:t>3.5</w:t>
      </w:r>
      <w:r>
        <w:rPr>
          <w:rFonts w:hint="eastAsia" w:ascii="Times New Roman" w:hAnsi="Times New Roman"/>
          <w:color w:val="auto"/>
          <w:szCs w:val="21"/>
          <w:highlight w:val="none"/>
        </w:rPr>
        <w:t>款约定应由总监理工程师作出确定的权力授权或委托给其他监理人员。</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3.4 </w:t>
      </w:r>
      <w:r>
        <w:rPr>
          <w:rFonts w:hint="eastAsia" w:ascii="Times New Roman" w:hAnsi="Times New Roman" w:eastAsia="黑体"/>
          <w:bCs/>
          <w:color w:val="auto"/>
          <w:kern w:val="44"/>
          <w:szCs w:val="21"/>
          <w:highlight w:val="none"/>
          <w:lang w:val="zh-CN"/>
        </w:rPr>
        <w:t>监理人的指示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3.4.1 </w:t>
      </w:r>
      <w:r>
        <w:rPr>
          <w:rFonts w:hint="eastAsia" w:ascii="Times New Roman" w:hAnsi="Times New Roman"/>
          <w:color w:val="auto"/>
          <w:szCs w:val="21"/>
          <w:highlight w:val="none"/>
        </w:rPr>
        <w:t>监理人应按第</w:t>
      </w:r>
      <w:r>
        <w:rPr>
          <w:rFonts w:ascii="Times New Roman" w:hAnsi="Times New Roman"/>
          <w:color w:val="auto"/>
          <w:szCs w:val="21"/>
          <w:highlight w:val="none"/>
        </w:rPr>
        <w:t>3.1</w:t>
      </w:r>
      <w:r>
        <w:rPr>
          <w:rFonts w:hint="eastAsia" w:ascii="Times New Roman" w:hAnsi="Times New Roman"/>
          <w:color w:val="auto"/>
          <w:szCs w:val="21"/>
          <w:highlight w:val="none"/>
        </w:rPr>
        <w:t>款的约定向承包人发出指示，监理人的指示应盖有监理人授权的施工场地机构章，并由总监理工程师或总监理工程师按第</w:t>
      </w:r>
      <w:r>
        <w:rPr>
          <w:rFonts w:ascii="Times New Roman" w:hAnsi="Times New Roman"/>
          <w:color w:val="auto"/>
          <w:szCs w:val="21"/>
          <w:highlight w:val="none"/>
        </w:rPr>
        <w:t>3.3.1</w:t>
      </w:r>
      <w:r>
        <w:rPr>
          <w:rFonts w:hint="eastAsia" w:ascii="Times New Roman" w:hAnsi="Times New Roman"/>
          <w:color w:val="auto"/>
          <w:szCs w:val="21"/>
          <w:highlight w:val="none"/>
        </w:rPr>
        <w:t>项约定授权的监理人员签字。</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3.4.2 </w:t>
      </w:r>
      <w:r>
        <w:rPr>
          <w:rFonts w:hint="eastAsia" w:ascii="Times New Roman" w:hAnsi="Times New Roman"/>
          <w:color w:val="auto"/>
          <w:szCs w:val="21"/>
          <w:highlight w:val="none"/>
        </w:rPr>
        <w:t>承包人收到监理人按第</w:t>
      </w:r>
      <w:r>
        <w:rPr>
          <w:rFonts w:ascii="Times New Roman" w:hAnsi="Times New Roman"/>
          <w:color w:val="auto"/>
          <w:szCs w:val="21"/>
          <w:highlight w:val="none"/>
        </w:rPr>
        <w:t>3.4.1</w:t>
      </w:r>
      <w:r>
        <w:rPr>
          <w:rFonts w:hint="eastAsia" w:ascii="Times New Roman" w:hAnsi="Times New Roman"/>
          <w:color w:val="auto"/>
          <w:szCs w:val="21"/>
          <w:highlight w:val="none"/>
        </w:rPr>
        <w:t>项作出的指示后应遵照执行。指示构成变更的，应按第</w:t>
      </w:r>
      <w:r>
        <w:rPr>
          <w:rFonts w:ascii="Times New Roman" w:hAnsi="Times New Roman"/>
          <w:color w:val="auto"/>
          <w:szCs w:val="21"/>
          <w:highlight w:val="none"/>
        </w:rPr>
        <w:t>15</w:t>
      </w:r>
      <w:r>
        <w:rPr>
          <w:rFonts w:hint="eastAsia" w:ascii="Times New Roman" w:hAnsi="Times New Roman"/>
          <w:color w:val="auto"/>
          <w:szCs w:val="21"/>
          <w:highlight w:val="none"/>
        </w:rPr>
        <w:t>条处理。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3.4.3 </w:t>
      </w:r>
      <w:r>
        <w:rPr>
          <w:rFonts w:hint="eastAsia" w:ascii="Times New Roman" w:hAnsi="Times New Roman"/>
          <w:color w:val="auto"/>
          <w:szCs w:val="21"/>
          <w:highlight w:val="none"/>
        </w:rPr>
        <w:t>在紧急情况下，总监理工程师或被授权的监理人员可以当场签发临时书面指示，承包人应遵照执行。承包人应在收到上述临时书面指示后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小时内，向监理人发出书面确认函。监理人在收到书面确认函后</w:t>
      </w:r>
      <w:r>
        <w:rPr>
          <w:rFonts w:ascii="Times New Roman" w:hAnsi="Times New Roman"/>
          <w:color w:val="auto"/>
          <w:szCs w:val="21"/>
          <w:highlight w:val="none"/>
        </w:rPr>
        <w:t>24</w:t>
      </w:r>
      <w:r>
        <w:rPr>
          <w:rFonts w:hint="eastAsia" w:ascii="Times New Roman" w:hAnsi="Times New Roman"/>
          <w:color w:val="auto"/>
          <w:szCs w:val="21"/>
          <w:highlight w:val="none"/>
        </w:rPr>
        <w:t>小时内未予答复的，该书面确认函应被视为监理人的正式指示。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3.4.4 </w:t>
      </w:r>
      <w:r>
        <w:rPr>
          <w:rFonts w:hint="eastAsia" w:ascii="Times New Roman" w:hAnsi="Times New Roman"/>
          <w:color w:val="auto"/>
          <w:szCs w:val="21"/>
          <w:highlight w:val="none"/>
        </w:rPr>
        <w:t>除合同另有约定外，承包人只从总监理工程师或按第</w:t>
      </w:r>
      <w:r>
        <w:rPr>
          <w:rFonts w:ascii="Times New Roman" w:hAnsi="Times New Roman"/>
          <w:color w:val="auto"/>
          <w:szCs w:val="21"/>
          <w:highlight w:val="none"/>
        </w:rPr>
        <w:t>3.3.1</w:t>
      </w:r>
      <w:r>
        <w:rPr>
          <w:rFonts w:hint="eastAsia" w:ascii="Times New Roman" w:hAnsi="Times New Roman"/>
          <w:color w:val="auto"/>
          <w:szCs w:val="21"/>
          <w:highlight w:val="none"/>
        </w:rPr>
        <w:t>项被授权的监理人员处取得指示。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3.4.5 </w:t>
      </w:r>
      <w:r>
        <w:rPr>
          <w:rFonts w:hint="eastAsia" w:ascii="Times New Roman" w:hAnsi="Times New Roman"/>
          <w:color w:val="auto"/>
          <w:szCs w:val="21"/>
          <w:highlight w:val="none"/>
        </w:rPr>
        <w:t>由于监理人未能按合同约定发出指示、指示延误或指示错误而导致承包人费用增加和（或）工期延误的，由发包人承担赔偿责任。</w:t>
      </w:r>
      <w:r>
        <w:rPr>
          <w:rFonts w:ascii="Times New Roman" w:hAnsi="Times New Roman"/>
          <w:color w:val="auto"/>
          <w:szCs w:val="21"/>
          <w:highlight w:val="none"/>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3.5</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商定或确定</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3.5.1</w:t>
      </w:r>
      <w:r>
        <w:rPr>
          <w:rFonts w:hint="eastAsia" w:ascii="Times New Roman" w:hAnsi="Times New Roman"/>
          <w:color w:val="auto"/>
          <w:szCs w:val="21"/>
          <w:highlight w:val="none"/>
        </w:rPr>
        <w:t>合同约定总监理工程师应按照本款对任何事项进行商定或确定时，总监理工程师应与合同当事人协商，尽量达成一致。不能达成一致的，总监理工程师应认真研究后审慎确定。</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3.5.2 </w:t>
      </w:r>
      <w:r>
        <w:rPr>
          <w:rFonts w:hint="eastAsia" w:ascii="Times New Roman" w:hAnsi="Times New Roman"/>
          <w:color w:val="auto"/>
          <w:szCs w:val="21"/>
          <w:highlight w:val="none"/>
        </w:rPr>
        <w:t>总监理工程师应将商定或确定的事项通知合同当事人，并附详细依据。对总监理工程师的确定有异议的，</w:t>
      </w:r>
      <w:r>
        <w:rPr>
          <w:rFonts w:hint="eastAsia" w:ascii="Times New Roman" w:hAnsi="Times New Roman"/>
          <w:iCs/>
          <w:color w:val="auto"/>
          <w:szCs w:val="21"/>
          <w:highlight w:val="none"/>
        </w:rPr>
        <w:t>构成争议，</w:t>
      </w:r>
      <w:r>
        <w:rPr>
          <w:rFonts w:hint="eastAsia" w:ascii="Times New Roman" w:hAnsi="Times New Roman"/>
          <w:color w:val="auto"/>
          <w:szCs w:val="21"/>
          <w:highlight w:val="none"/>
        </w:rPr>
        <w:t>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条的约定处理。在争议解决前，双方应暂按总监理工程师的确定执行，按照第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条的约定对总监理工程师的确定作出修改的，按修改后的结果执行。</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2" w:name="_Toc11503"/>
      <w:r>
        <w:rPr>
          <w:rFonts w:ascii="Times New Roman" w:hAnsi="Times New Roman" w:eastAsia="黑体"/>
          <w:bCs/>
          <w:color w:val="auto"/>
          <w:kern w:val="44"/>
          <w:szCs w:val="21"/>
          <w:highlight w:val="none"/>
          <w:lang w:val="zh-CN"/>
        </w:rPr>
        <w:t xml:space="preserve">4. </w:t>
      </w:r>
      <w:r>
        <w:rPr>
          <w:rFonts w:hint="eastAsia" w:ascii="Times New Roman" w:hAnsi="Times New Roman" w:eastAsia="黑体"/>
          <w:bCs/>
          <w:color w:val="auto"/>
          <w:kern w:val="44"/>
          <w:szCs w:val="21"/>
          <w:highlight w:val="none"/>
          <w:lang w:val="zh-CN"/>
        </w:rPr>
        <w:t>承包人</w:t>
      </w:r>
      <w:bookmarkEnd w:id="102"/>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 </w:t>
      </w:r>
      <w:r>
        <w:rPr>
          <w:rFonts w:hint="eastAsia" w:ascii="Times New Roman" w:hAnsi="Times New Roman" w:eastAsia="黑体"/>
          <w:bCs/>
          <w:color w:val="auto"/>
          <w:kern w:val="44"/>
          <w:szCs w:val="21"/>
          <w:highlight w:val="none"/>
          <w:lang w:val="zh-CN"/>
        </w:rPr>
        <w:t>承包人的一般义务</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ascii="Times New Roman" w:hAnsi="Times New Roman"/>
          <w:color w:val="auto"/>
          <w:szCs w:val="21"/>
          <w:highlight w:val="none"/>
        </w:rPr>
        <w:t xml:space="preserve">4.1.1 </w:t>
      </w:r>
      <w:r>
        <w:rPr>
          <w:rFonts w:hint="eastAsia" w:ascii="Times New Roman" w:hAnsi="Times New Roman" w:eastAsia="黑体"/>
          <w:color w:val="auto"/>
          <w:szCs w:val="21"/>
          <w:highlight w:val="none"/>
        </w:rPr>
        <w:t>遵守法律</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承包人在履行合同过程中应遵守法律，并保证发包人免于承担因承包人违反法律而引起的任何责任。</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4.1.2 </w:t>
      </w:r>
      <w:r>
        <w:rPr>
          <w:rFonts w:hint="eastAsia" w:ascii="Times New Roman" w:hAnsi="Times New Roman" w:eastAsia="黑体"/>
          <w:color w:val="auto"/>
          <w:szCs w:val="21"/>
          <w:highlight w:val="none"/>
        </w:rPr>
        <w:t>依法纳税</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承包人应按有关法律规定纳税，应缴纳的税金包括在合同价格内。</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4.1.3 </w:t>
      </w:r>
      <w:r>
        <w:rPr>
          <w:rFonts w:hint="eastAsia" w:ascii="Times New Roman" w:hAnsi="Times New Roman" w:eastAsia="黑体"/>
          <w:color w:val="auto"/>
          <w:szCs w:val="21"/>
          <w:highlight w:val="none"/>
        </w:rPr>
        <w:t>完成各项承包工作</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承包人应按合同约定以及监理人根据第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ascii="Times New Roman" w:hAnsi="Times New Roman" w:eastAsia="黑体"/>
          <w:color w:val="auto"/>
          <w:szCs w:val="21"/>
          <w:highlight w:val="none"/>
        </w:rPr>
        <w:t xml:space="preserve">4.1.4 </w:t>
      </w:r>
      <w:r>
        <w:rPr>
          <w:rFonts w:hint="eastAsia" w:ascii="Times New Roman" w:hAnsi="Times New Roman" w:eastAsia="黑体"/>
          <w:color w:val="auto"/>
          <w:szCs w:val="21"/>
          <w:highlight w:val="none"/>
        </w:rPr>
        <w:t>对施工作业和施工方法的完备性负责</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承包人应按合同约定的工作内容和施工进度要求，编制施工组织设计和施工措施计划，并对所有施工作业和施工方法的完备性和安全可靠性负责。</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ascii="Times New Roman" w:hAnsi="Times New Roman"/>
          <w:color w:val="auto"/>
          <w:szCs w:val="21"/>
          <w:highlight w:val="none"/>
        </w:rPr>
        <w:t>4.1.5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保证工程施工和人员的安全</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承包人应按第</w:t>
      </w:r>
      <w:r>
        <w:rPr>
          <w:rFonts w:ascii="Times New Roman" w:hAnsi="Times New Roman"/>
          <w:color w:val="auto"/>
          <w:szCs w:val="21"/>
          <w:highlight w:val="none"/>
        </w:rPr>
        <w:t>9.2</w:t>
      </w:r>
      <w:r>
        <w:rPr>
          <w:rFonts w:hint="eastAsia" w:ascii="Times New Roman" w:hAnsi="Times New Roman"/>
          <w:color w:val="auto"/>
          <w:szCs w:val="21"/>
          <w:highlight w:val="none"/>
        </w:rPr>
        <w:t>款约定采取施工安全措施，确保工程及其人员、材料、设备和设施的安全，防止因工程施工造成的人身伤害和财产损失。</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4.1.6 </w:t>
      </w:r>
      <w:r>
        <w:rPr>
          <w:rFonts w:hint="eastAsia" w:ascii="Times New Roman" w:hAnsi="Times New Roman" w:eastAsia="黑体"/>
          <w:color w:val="auto"/>
          <w:szCs w:val="21"/>
          <w:highlight w:val="none"/>
        </w:rPr>
        <w:t>负责施工场地及其周边环境与生态的保护工作</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承包人应按照第</w:t>
      </w:r>
      <w:r>
        <w:rPr>
          <w:rFonts w:ascii="Times New Roman" w:hAnsi="Times New Roman"/>
          <w:color w:val="auto"/>
          <w:szCs w:val="21"/>
          <w:highlight w:val="none"/>
        </w:rPr>
        <w:t>9.4</w:t>
      </w:r>
      <w:r>
        <w:rPr>
          <w:rFonts w:hint="eastAsia" w:ascii="Times New Roman" w:hAnsi="Times New Roman"/>
          <w:color w:val="auto"/>
          <w:szCs w:val="21"/>
          <w:highlight w:val="none"/>
        </w:rPr>
        <w:t>款约定负责施工场地及其周边环境与生态的保护工作。</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4.1.7 </w:t>
      </w:r>
      <w:r>
        <w:rPr>
          <w:rFonts w:hint="eastAsia" w:ascii="Times New Roman" w:hAnsi="Times New Roman" w:eastAsia="黑体"/>
          <w:color w:val="auto"/>
          <w:szCs w:val="21"/>
          <w:highlight w:val="none"/>
        </w:rPr>
        <w:t>避免施工对公众与他人的利益造成损害</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ascii="Times New Roman" w:hAnsi="Times New Roman"/>
          <w:color w:val="auto"/>
          <w:szCs w:val="21"/>
          <w:highlight w:val="none"/>
        </w:rPr>
        <w:t xml:space="preserve">4.1.8 </w:t>
      </w:r>
      <w:r>
        <w:rPr>
          <w:rFonts w:hint="eastAsia" w:ascii="Times New Roman" w:hAnsi="Times New Roman" w:eastAsia="黑体"/>
          <w:color w:val="auto"/>
          <w:szCs w:val="21"/>
          <w:highlight w:val="none"/>
        </w:rPr>
        <w:t>为他人提供方便</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4.1.9 </w:t>
      </w:r>
      <w:r>
        <w:rPr>
          <w:rFonts w:hint="eastAsia" w:ascii="Times New Roman" w:hAnsi="Times New Roman" w:eastAsia="黑体"/>
          <w:color w:val="auto"/>
          <w:szCs w:val="21"/>
          <w:highlight w:val="none"/>
        </w:rPr>
        <w:t>工程的维护和照管</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4.1.10 </w:t>
      </w:r>
      <w:r>
        <w:rPr>
          <w:rFonts w:hint="eastAsia" w:ascii="Times New Roman" w:hAnsi="Times New Roman" w:eastAsia="黑体"/>
          <w:color w:val="auto"/>
          <w:szCs w:val="21"/>
          <w:highlight w:val="none"/>
        </w:rPr>
        <w:t>其他义务</w:t>
      </w:r>
    </w:p>
    <w:p>
      <w:pPr>
        <w:pStyle w:val="54"/>
        <w:pageBreakBefore w:val="0"/>
        <w:widowControl w:val="0"/>
        <w:kinsoku/>
        <w:wordWrap/>
        <w:overflowPunct/>
        <w:topLinePunct w:val="0"/>
        <w:autoSpaceDE/>
        <w:autoSpaceDN/>
        <w:bidi w:val="0"/>
        <w:adjustRightInd/>
        <w:snapToGrid/>
        <w:spacing w:line="260" w:lineRule="exact"/>
        <w:ind w:firstLine="409" w:firstLineChars="195"/>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承包人应履行合同约定的其他义务。</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4.2 </w:t>
      </w:r>
      <w:r>
        <w:rPr>
          <w:rFonts w:hint="eastAsia" w:ascii="Times New Roman" w:hAnsi="Times New Roman" w:eastAsia="黑体"/>
          <w:bCs/>
          <w:color w:val="auto"/>
          <w:kern w:val="44"/>
          <w:szCs w:val="21"/>
          <w:highlight w:val="none"/>
          <w:lang w:val="zh-CN"/>
        </w:rPr>
        <w:t>履约担保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承包人应保证其履约担保在发包人颁发工程接收证书前一直有效。发包人应在工程接收证书颁发后</w:t>
      </w:r>
      <w:r>
        <w:rPr>
          <w:rFonts w:ascii="Times New Roman" w:hAnsi="Times New Roman"/>
          <w:color w:val="auto"/>
          <w:szCs w:val="21"/>
          <w:highlight w:val="none"/>
        </w:rPr>
        <w:t>28</w:t>
      </w:r>
      <w:r>
        <w:rPr>
          <w:rFonts w:hint="eastAsia" w:ascii="Times New Roman" w:hAnsi="Times New Roman"/>
          <w:color w:val="auto"/>
          <w:szCs w:val="21"/>
          <w:highlight w:val="none"/>
        </w:rPr>
        <w:t>天内把履约担保退还给承包人。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4.3 </w:t>
      </w:r>
      <w:r>
        <w:rPr>
          <w:rFonts w:hint="eastAsia" w:ascii="Times New Roman" w:hAnsi="Times New Roman" w:eastAsia="黑体"/>
          <w:bCs/>
          <w:color w:val="auto"/>
          <w:kern w:val="44"/>
          <w:szCs w:val="21"/>
          <w:highlight w:val="none"/>
          <w:lang w:val="zh-CN"/>
        </w:rPr>
        <w:t>分包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4.3.1 </w:t>
      </w:r>
      <w:r>
        <w:rPr>
          <w:rFonts w:hint="eastAsia" w:ascii="Times New Roman" w:hAnsi="Times New Roman"/>
          <w:color w:val="auto"/>
          <w:szCs w:val="21"/>
          <w:highlight w:val="none"/>
        </w:rPr>
        <w:t>承包人不得将其承包的全部工程转包给第三人，或将其承包的全部工程肢解后以分包的名义转包给第三人。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4.3.2 </w:t>
      </w:r>
      <w:r>
        <w:rPr>
          <w:rFonts w:hint="eastAsia" w:ascii="Times New Roman" w:hAnsi="Times New Roman"/>
          <w:color w:val="auto"/>
          <w:szCs w:val="21"/>
          <w:highlight w:val="none"/>
        </w:rPr>
        <w:t>承包人不得将工程主体、关键性工作分包给第三人。除专用合同条款另有约定外，未经发包人同意，承包人不得将工程的其他部分或工作分包给第三人。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4.3.3</w:t>
      </w:r>
      <w:r>
        <w:rPr>
          <w:rFonts w:hint="eastAsia" w:ascii="Times New Roman" w:hAnsi="Times New Roman"/>
          <w:color w:val="auto"/>
          <w:szCs w:val="21"/>
          <w:highlight w:val="none"/>
        </w:rPr>
        <w:t>分包人的资格能力应与其分包工程的标准和规模相适应。</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4.3.4</w:t>
      </w:r>
      <w:r>
        <w:rPr>
          <w:rFonts w:hint="eastAsia" w:ascii="Times New Roman" w:hAnsi="Times New Roman"/>
          <w:color w:val="auto"/>
          <w:szCs w:val="21"/>
          <w:highlight w:val="none"/>
        </w:rPr>
        <w:t>按投标函附录约定分包工程的，承包人应向发包人和监理人提交分包合同副本。</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4.3.5</w:t>
      </w:r>
      <w:r>
        <w:rPr>
          <w:rFonts w:hint="eastAsia" w:ascii="Times New Roman" w:hAnsi="Times New Roman"/>
          <w:color w:val="auto"/>
          <w:szCs w:val="21"/>
          <w:highlight w:val="none"/>
        </w:rPr>
        <w:t>承包人应与分包人就分包工程向发包人承担连带责任。</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4.4</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联合体（本项目不适用）</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4.5 </w:t>
      </w:r>
      <w:r>
        <w:rPr>
          <w:rFonts w:hint="eastAsia" w:ascii="Times New Roman" w:hAnsi="Times New Roman" w:eastAsia="黑体"/>
          <w:bCs/>
          <w:color w:val="auto"/>
          <w:kern w:val="44"/>
          <w:szCs w:val="21"/>
          <w:highlight w:val="none"/>
          <w:lang w:val="zh-CN"/>
        </w:rPr>
        <w:t>承包人项目经理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4.5.1</w:t>
      </w:r>
      <w:r>
        <w:rPr>
          <w:rFonts w:hint="eastAsia" w:ascii="Times New Roman" w:hAnsi="Times New Roman"/>
          <w:color w:val="auto"/>
          <w:szCs w:val="21"/>
          <w:highlight w:val="none"/>
        </w:rPr>
        <w:t>承包人应按合同约定指派项目经理，并在约定的期限内到职。承包人更换项目经理应事先征得发包人同意，并应在更换</w:t>
      </w:r>
      <w:r>
        <w:rPr>
          <w:rFonts w:ascii="Times New Roman" w:hAnsi="Times New Roman"/>
          <w:color w:val="auto"/>
          <w:szCs w:val="21"/>
          <w:highlight w:val="none"/>
        </w:rPr>
        <w:t>14</w:t>
      </w:r>
      <w:r>
        <w:rPr>
          <w:rFonts w:hint="eastAsia" w:ascii="Times New Roman" w:hAnsi="Times New Roman"/>
          <w:color w:val="auto"/>
          <w:szCs w:val="21"/>
          <w:highlight w:val="none"/>
        </w:rPr>
        <w:t>天前通知发包人和监理人。承包人项目经理短期离开施工场地，应事先征得监理人同意，并委派代表代行其职责。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4.5.2 </w:t>
      </w:r>
      <w:r>
        <w:rPr>
          <w:rFonts w:hint="eastAsia" w:ascii="Times New Roman" w:hAnsi="Times New Roman"/>
          <w:color w:val="auto"/>
          <w:szCs w:val="21"/>
          <w:highlight w:val="none"/>
        </w:rPr>
        <w:t>承包人项目经理应按合同约定以及监理人按第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款作出的指示，负责组织合同工程的实施。在情况紧急且无法与监理人取得联系时，可采取保证工程和人员生命财产安全的紧急措施，并在采取措施后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小时内向监理人提交书面报告。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4.5.3</w:t>
      </w:r>
      <w:r>
        <w:rPr>
          <w:rFonts w:hint="eastAsia" w:ascii="Times New Roman" w:hAnsi="Times New Roman"/>
          <w:color w:val="auto"/>
          <w:szCs w:val="21"/>
          <w:highlight w:val="none"/>
        </w:rPr>
        <w:t>承包人为履行合同发出的一切函件均应盖有承包人授权的施工场地管理机构章，并由承包人项目经理或其授权代表签字。</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4.5.4 </w:t>
      </w:r>
      <w:r>
        <w:rPr>
          <w:rFonts w:hint="eastAsia" w:ascii="Times New Roman" w:hAnsi="Times New Roman"/>
          <w:color w:val="auto"/>
          <w:szCs w:val="21"/>
          <w:highlight w:val="none"/>
        </w:rPr>
        <w:t>承包人项目经理可以授权其下属人员履行其某项职责，但事先应将这些人员的姓名和授权范围通知监理人。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4.6 </w:t>
      </w:r>
      <w:r>
        <w:rPr>
          <w:rFonts w:hint="eastAsia" w:ascii="Times New Roman" w:hAnsi="Times New Roman" w:eastAsia="黑体"/>
          <w:bCs/>
          <w:color w:val="auto"/>
          <w:kern w:val="44"/>
          <w:szCs w:val="21"/>
          <w:highlight w:val="none"/>
          <w:lang w:val="zh-CN"/>
        </w:rPr>
        <w:t>承包人人员的管理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4.6.1 </w:t>
      </w:r>
      <w:r>
        <w:rPr>
          <w:rFonts w:hint="eastAsia" w:ascii="Times New Roman" w:hAnsi="Times New Roman"/>
          <w:color w:val="auto"/>
          <w:szCs w:val="21"/>
          <w:highlight w:val="none"/>
        </w:rPr>
        <w:t>承包人应在接到开工通知后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4.6.2 </w:t>
      </w:r>
      <w:r>
        <w:rPr>
          <w:rFonts w:hint="eastAsia" w:ascii="Times New Roman" w:hAnsi="Times New Roman"/>
          <w:color w:val="auto"/>
          <w:szCs w:val="21"/>
          <w:highlight w:val="none"/>
        </w:rPr>
        <w:t>为完成合同约定的各项工作，承包人应向施工场地派遣或雇佣足够数量的下列人员：</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）具有相应资格的专业技工和合格的普工；</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）具有相应施工经验的技术人员；</w:t>
      </w:r>
    </w:p>
    <w:p>
      <w:pPr>
        <w:pStyle w:val="54"/>
        <w:pageBreakBefore w:val="0"/>
        <w:widowControl w:val="0"/>
        <w:kinsoku/>
        <w:wordWrap/>
        <w:overflowPunct/>
        <w:topLinePunct w:val="0"/>
        <w:autoSpaceDE/>
        <w:autoSpaceDN/>
        <w:bidi w:val="0"/>
        <w:adjustRightInd/>
        <w:snapToGrid/>
        <w:spacing w:line="260" w:lineRule="exact"/>
        <w:ind w:firstLine="630" w:firstLineChars="3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）具有相应岗位资格的各级管理人员。</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4.6.3 </w:t>
      </w:r>
      <w:r>
        <w:rPr>
          <w:rFonts w:hint="eastAsia" w:ascii="Times New Roman" w:hAnsi="Times New Roman"/>
          <w:color w:val="auto"/>
          <w:szCs w:val="21"/>
          <w:highlight w:val="none"/>
        </w:rPr>
        <w:t>承包人安排在施工场地的主要管理人员和技术骨干应相对稳定。承包人更换主要管理人员和技术骨干时，应取得监理人的同意。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4.6.4 </w:t>
      </w:r>
      <w:r>
        <w:rPr>
          <w:rFonts w:hint="eastAsia" w:ascii="Times New Roman" w:hAnsi="Times New Roman"/>
          <w:color w:val="auto"/>
          <w:szCs w:val="21"/>
          <w:highlight w:val="none"/>
        </w:rPr>
        <w:t>特殊岗位的工作人员均应持有相应的资格证明，监理人有权随时检查。监理人认为有必要时，可进行现场考核。</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4.7 </w:t>
      </w:r>
      <w:r>
        <w:rPr>
          <w:rFonts w:hint="eastAsia" w:ascii="Times New Roman" w:hAnsi="Times New Roman" w:eastAsia="黑体"/>
          <w:bCs/>
          <w:color w:val="auto"/>
          <w:kern w:val="44"/>
          <w:szCs w:val="21"/>
          <w:highlight w:val="none"/>
          <w:lang w:val="zh-CN"/>
        </w:rPr>
        <w:t>撤换承包人项目经理和其他人员</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承包人应对其项目经理和其他人员进行有效管理。监理人要求撤换不能胜任本职工作、行为不端或玩忽职守的承包人项目经理和其他人员的，承包人应予以撤换。</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4.8 </w:t>
      </w:r>
      <w:r>
        <w:rPr>
          <w:rFonts w:hint="eastAsia" w:ascii="Times New Roman" w:hAnsi="Times New Roman" w:eastAsia="黑体"/>
          <w:bCs/>
          <w:color w:val="auto"/>
          <w:kern w:val="44"/>
          <w:szCs w:val="21"/>
          <w:highlight w:val="none"/>
          <w:lang w:val="zh-CN"/>
        </w:rPr>
        <w:t>保障承包人人员的合法权益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4.8.1 </w:t>
      </w:r>
      <w:r>
        <w:rPr>
          <w:rFonts w:hint="eastAsia" w:ascii="Times New Roman" w:hAnsi="Times New Roman"/>
          <w:color w:val="auto"/>
          <w:szCs w:val="21"/>
          <w:highlight w:val="none"/>
        </w:rPr>
        <w:t>承包人应与其雇佣的人员签订劳动合同，并按时发放工资。</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4.8.2 </w:t>
      </w:r>
      <w:r>
        <w:rPr>
          <w:rFonts w:hint="eastAsia" w:ascii="Times New Roman" w:hAnsi="Times New Roman"/>
          <w:color w:val="auto"/>
          <w:szCs w:val="21"/>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4.8.3 </w:t>
      </w:r>
      <w:r>
        <w:rPr>
          <w:rFonts w:hint="eastAsia" w:ascii="Times New Roman" w:hAnsi="Times New Roman"/>
          <w:color w:val="auto"/>
          <w:szCs w:val="21"/>
          <w:highlight w:val="none"/>
        </w:rPr>
        <w:t>承包人应为其雇佣人员提供必要的食宿条件，以及符合环境保护和卫生要求的生活环境，在远离城镇的施工场地，还应配备必要的伤病防治和急救的医务人员与医疗设施。</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4.8.4 </w:t>
      </w:r>
      <w:r>
        <w:rPr>
          <w:rFonts w:hint="eastAsia" w:ascii="Times New Roman" w:hAnsi="Times New Roman"/>
          <w:color w:val="auto"/>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4.8.5 </w:t>
      </w:r>
      <w:r>
        <w:rPr>
          <w:rFonts w:hint="eastAsia" w:ascii="Times New Roman" w:hAnsi="Times New Roman"/>
          <w:color w:val="auto"/>
          <w:szCs w:val="21"/>
          <w:highlight w:val="none"/>
        </w:rPr>
        <w:t>承包人应按有关法律规定和合同约定，为其雇佣人员办理保险。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4.8.6 </w:t>
      </w:r>
      <w:r>
        <w:rPr>
          <w:rFonts w:hint="eastAsia" w:ascii="Times New Roman" w:hAnsi="Times New Roman"/>
          <w:color w:val="auto"/>
          <w:szCs w:val="21"/>
          <w:highlight w:val="none"/>
        </w:rPr>
        <w:t>承包人应负责处理其雇佣人员因工伤亡事故的善后事宜。</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4.9 </w:t>
      </w:r>
      <w:r>
        <w:rPr>
          <w:rFonts w:hint="eastAsia" w:ascii="Times New Roman" w:hAnsi="Times New Roman" w:eastAsia="黑体"/>
          <w:bCs/>
          <w:color w:val="auto"/>
          <w:kern w:val="44"/>
          <w:szCs w:val="21"/>
          <w:highlight w:val="none"/>
          <w:lang w:val="zh-CN"/>
        </w:rPr>
        <w:t>工程价款应专款专用</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发包人按合同约定支付给承包人的各项价款应专用于合同工程。</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4.10 </w:t>
      </w:r>
      <w:r>
        <w:rPr>
          <w:rFonts w:hint="eastAsia" w:ascii="Times New Roman" w:hAnsi="Times New Roman" w:eastAsia="黑体"/>
          <w:bCs/>
          <w:color w:val="auto"/>
          <w:kern w:val="44"/>
          <w:szCs w:val="21"/>
          <w:highlight w:val="none"/>
          <w:lang w:val="zh-CN"/>
        </w:rPr>
        <w:t>承包人现场查勘</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4.10.1 </w:t>
      </w:r>
      <w:r>
        <w:rPr>
          <w:rFonts w:hint="eastAsia" w:ascii="Times New Roman" w:hAnsi="Times New Roman"/>
          <w:color w:val="auto"/>
          <w:szCs w:val="21"/>
          <w:highlight w:val="none"/>
        </w:rPr>
        <w:t>发包人应将其持有的现场地质勘探资料、水文气象资料提供给承包人，并对其准确性负责。但承包人应对其阅读上述有关资料后所作出的解释和推断负责。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4.10.2 </w:t>
      </w:r>
      <w:r>
        <w:rPr>
          <w:rFonts w:hint="eastAsia" w:ascii="Times New Roman" w:hAnsi="Times New Roman"/>
          <w:color w:val="auto"/>
          <w:szCs w:val="21"/>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4.11 </w:t>
      </w:r>
      <w:r>
        <w:rPr>
          <w:rFonts w:hint="eastAsia" w:ascii="Times New Roman" w:hAnsi="Times New Roman" w:eastAsia="黑体"/>
          <w:bCs/>
          <w:color w:val="auto"/>
          <w:kern w:val="44"/>
          <w:szCs w:val="21"/>
          <w:highlight w:val="none"/>
          <w:lang w:val="zh-CN"/>
        </w:rPr>
        <w:t>不利物质条件</w:t>
      </w:r>
    </w:p>
    <w:p>
      <w:pPr>
        <w:pStyle w:val="54"/>
        <w:pageBreakBefore w:val="0"/>
        <w:widowControl w:val="0"/>
        <w:kinsoku/>
        <w:wordWrap/>
        <w:overflowPunct/>
        <w:topLinePunct w:val="0"/>
        <w:autoSpaceDE/>
        <w:autoSpaceDN/>
        <w:bidi w:val="0"/>
        <w:adjustRightInd/>
        <w:snapToGrid/>
        <w:spacing w:line="260" w:lineRule="exact"/>
        <w:ind w:firstLine="420"/>
        <w:textAlignment w:val="auto"/>
        <w:rPr>
          <w:rFonts w:ascii="Times New Roman" w:hAnsi="Times New Roman"/>
          <w:color w:val="auto"/>
          <w:szCs w:val="21"/>
          <w:highlight w:val="none"/>
        </w:rPr>
      </w:pPr>
      <w:r>
        <w:rPr>
          <w:rFonts w:ascii="Times New Roman" w:hAnsi="Times New Roman"/>
          <w:color w:val="auto"/>
          <w:szCs w:val="21"/>
          <w:highlight w:val="none"/>
        </w:rPr>
        <w:t>4.11.1</w:t>
      </w:r>
      <w:r>
        <w:rPr>
          <w:rFonts w:hint="eastAsia" w:ascii="Times New Roman" w:hAnsi="Times New Roman"/>
          <w:color w:val="auto"/>
          <w:szCs w:val="21"/>
          <w:highlight w:val="none"/>
        </w:rPr>
        <w:t>不利物质条件，除专用合同条款另有约定外，是指承包人在施工场地遇到的不可预见的自然物质条件、非自然的物质障碍和污染物，包括地下和水文条件，但不包括气候条件。</w:t>
      </w:r>
    </w:p>
    <w:p>
      <w:pPr>
        <w:pStyle w:val="54"/>
        <w:pageBreakBefore w:val="0"/>
        <w:widowControl w:val="0"/>
        <w:kinsoku/>
        <w:wordWrap/>
        <w:overflowPunct/>
        <w:topLinePunct w:val="0"/>
        <w:autoSpaceDE/>
        <w:autoSpaceDN/>
        <w:bidi w:val="0"/>
        <w:adjustRightInd/>
        <w:snapToGrid/>
        <w:spacing w:line="260" w:lineRule="exact"/>
        <w:ind w:firstLine="420"/>
        <w:textAlignment w:val="auto"/>
        <w:rPr>
          <w:rFonts w:ascii="Times New Roman" w:hAnsi="Times New Roman"/>
          <w:iCs/>
          <w:color w:val="auto"/>
          <w:szCs w:val="21"/>
          <w:highlight w:val="none"/>
        </w:rPr>
      </w:pPr>
      <w:r>
        <w:rPr>
          <w:rFonts w:ascii="Times New Roman" w:hAnsi="Times New Roman"/>
          <w:iCs/>
          <w:color w:val="auto"/>
          <w:szCs w:val="21"/>
          <w:highlight w:val="none"/>
        </w:rPr>
        <w:t>4.11.2</w:t>
      </w:r>
      <w:r>
        <w:rPr>
          <w:rFonts w:hint="eastAsia" w:ascii="Times New Roman" w:hAnsi="Times New Roman"/>
          <w:iCs/>
          <w:color w:val="auto"/>
          <w:szCs w:val="21"/>
          <w:highlight w:val="none"/>
        </w:rPr>
        <w:t>承包人遇到不利物质条件时，应采取适应不利物质条件的合理措施继续施工，并及时通知监理人。监理人应当及时发出指示，指示构成变更的，按第</w:t>
      </w:r>
      <w:r>
        <w:rPr>
          <w:rFonts w:ascii="Times New Roman" w:hAnsi="Times New Roman"/>
          <w:iCs/>
          <w:color w:val="auto"/>
          <w:szCs w:val="21"/>
          <w:highlight w:val="none"/>
        </w:rPr>
        <w:t>15</w:t>
      </w:r>
      <w:r>
        <w:rPr>
          <w:rFonts w:hint="eastAsia" w:ascii="Times New Roman" w:hAnsi="Times New Roman"/>
          <w:iCs/>
          <w:color w:val="auto"/>
          <w:szCs w:val="21"/>
          <w:highlight w:val="none"/>
        </w:rPr>
        <w:t>条约定办理。监理人没有发出指示的，承包人因采取合理措施而增加的费用和（或）工期延误，由发包人承担。</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3" w:name="_Toc6224"/>
      <w:r>
        <w:rPr>
          <w:rFonts w:ascii="Times New Roman" w:hAnsi="Times New Roman" w:eastAsia="黑体"/>
          <w:bCs/>
          <w:color w:val="auto"/>
          <w:kern w:val="44"/>
          <w:szCs w:val="21"/>
          <w:highlight w:val="none"/>
          <w:lang w:val="zh-CN"/>
        </w:rPr>
        <w:t xml:space="preserve">5. </w:t>
      </w:r>
      <w:r>
        <w:rPr>
          <w:rFonts w:hint="eastAsia" w:ascii="Times New Roman" w:hAnsi="Times New Roman" w:eastAsia="黑体"/>
          <w:bCs/>
          <w:color w:val="auto"/>
          <w:kern w:val="44"/>
          <w:szCs w:val="21"/>
          <w:highlight w:val="none"/>
          <w:lang w:val="zh-CN"/>
        </w:rPr>
        <w:t>材料和工程设备</w:t>
      </w:r>
      <w:bookmarkEnd w:id="103"/>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5.1 </w:t>
      </w:r>
      <w:r>
        <w:rPr>
          <w:rFonts w:hint="eastAsia" w:ascii="Times New Roman" w:hAnsi="Times New Roman" w:eastAsia="黑体"/>
          <w:bCs/>
          <w:color w:val="auto"/>
          <w:kern w:val="44"/>
          <w:szCs w:val="21"/>
          <w:highlight w:val="none"/>
          <w:lang w:val="zh-CN"/>
        </w:rPr>
        <w:t>承包人提供的材料和工程设备</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5.1.1 </w:t>
      </w:r>
      <w:r>
        <w:rPr>
          <w:rFonts w:hint="eastAsia" w:ascii="Times New Roman" w:hAnsi="Times New Roman"/>
          <w:color w:val="auto"/>
          <w:szCs w:val="21"/>
          <w:highlight w:val="none"/>
        </w:rPr>
        <w:t>除专用合同条款另有约定外，承包人提供的材料和工程设备均由承包人负责采购、运输和保管。承包人应对其采购的材料和工程设备负责。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5.1.2 </w:t>
      </w:r>
      <w:r>
        <w:rPr>
          <w:rFonts w:hint="eastAsia" w:ascii="Times New Roman" w:hAnsi="Times New Roman"/>
          <w:color w:val="auto"/>
          <w:szCs w:val="21"/>
          <w:highlight w:val="none"/>
        </w:rPr>
        <w:t>承包人应按专用合同条款的约定，将各项材料和工程设备的供货人及品种、规格、数量和供货时间等报送监理人审批。承包人应向监理</w:t>
      </w:r>
      <w:r>
        <w:rPr>
          <w:rFonts w:hint="eastAsia" w:ascii="Times New Roman" w:hAnsi="Times New Roman"/>
          <w:iCs/>
          <w:color w:val="auto"/>
          <w:szCs w:val="21"/>
          <w:highlight w:val="none"/>
        </w:rPr>
        <w:t>人</w:t>
      </w:r>
      <w:r>
        <w:rPr>
          <w:rFonts w:hint="eastAsia" w:ascii="Times New Roman" w:hAnsi="Times New Roman"/>
          <w:color w:val="auto"/>
          <w:szCs w:val="21"/>
          <w:highlight w:val="none"/>
        </w:rPr>
        <w:t>提交其负责提供的材料和工程设备的质量证明文件，并满足合同约定的质量标准。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5.1.3</w:t>
      </w:r>
      <w:r>
        <w:rPr>
          <w:rFonts w:hint="eastAsia" w:ascii="Times New Roman" w:hAnsi="Times New Roman"/>
          <w:color w:val="auto"/>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5.2 </w:t>
      </w:r>
      <w:r>
        <w:rPr>
          <w:rFonts w:hint="eastAsia" w:ascii="Times New Roman" w:hAnsi="Times New Roman" w:eastAsia="黑体"/>
          <w:bCs/>
          <w:color w:val="auto"/>
          <w:kern w:val="44"/>
          <w:szCs w:val="21"/>
          <w:highlight w:val="none"/>
          <w:lang w:val="zh-CN"/>
        </w:rPr>
        <w:t>发包人提供的材料和工程设备（本项目发包人不提供的材料和工程设备）</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5.3 </w:t>
      </w:r>
      <w:r>
        <w:rPr>
          <w:rFonts w:hint="eastAsia" w:ascii="Times New Roman" w:hAnsi="Times New Roman" w:eastAsia="黑体"/>
          <w:bCs/>
          <w:color w:val="auto"/>
          <w:kern w:val="44"/>
          <w:szCs w:val="21"/>
          <w:highlight w:val="none"/>
          <w:lang w:val="zh-CN"/>
        </w:rPr>
        <w:t>材料和工程设备专用于合同工程</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5.3.1</w:t>
      </w:r>
      <w:r>
        <w:rPr>
          <w:rFonts w:hint="eastAsia" w:ascii="Times New Roman" w:hAnsi="Times New Roman"/>
          <w:color w:val="auto"/>
          <w:szCs w:val="21"/>
          <w:highlight w:val="none"/>
        </w:rPr>
        <w:t>运入施工场地的材料、工程设备，包括备品备件、安装专用工器具与随机资料，必须专用于合同工程，未经监理人同意，承包人不得运出施工场地或挪作他用。</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5.3.2 </w:t>
      </w:r>
      <w:r>
        <w:rPr>
          <w:rFonts w:hint="eastAsia" w:ascii="Times New Roman" w:hAnsi="Times New Roman"/>
          <w:color w:val="auto"/>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5.4 </w:t>
      </w:r>
      <w:r>
        <w:rPr>
          <w:rFonts w:hint="eastAsia" w:ascii="Times New Roman" w:hAnsi="Times New Roman" w:eastAsia="黑体"/>
          <w:bCs/>
          <w:color w:val="auto"/>
          <w:kern w:val="44"/>
          <w:szCs w:val="21"/>
          <w:highlight w:val="none"/>
          <w:lang w:val="zh-CN"/>
        </w:rPr>
        <w:t>禁止使用不合格的材料和工程设备</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5.4.1 </w:t>
      </w:r>
      <w:r>
        <w:rPr>
          <w:rFonts w:hint="eastAsia" w:ascii="Times New Roman" w:hAnsi="Times New Roman"/>
          <w:color w:val="auto"/>
          <w:szCs w:val="21"/>
          <w:highlight w:val="none"/>
        </w:rPr>
        <w:t>监理人有权拒绝承包人提供的不合格材料或工程设备，并要求承包人立即进行更换。监理人应在更换后再次进行检查和检验，由此增加的费用和（或）工期延误由承包人承担。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5.4.2 </w:t>
      </w:r>
      <w:r>
        <w:rPr>
          <w:rFonts w:hint="eastAsia" w:ascii="Times New Roman" w:hAnsi="Times New Roman"/>
          <w:color w:val="auto"/>
          <w:szCs w:val="21"/>
          <w:highlight w:val="none"/>
        </w:rPr>
        <w:t>监理人发现承包人使用了不合格的材料和工程设备，应即时发出指示要求承包人立即改正，并禁止在工程中继续使用不合格的材料和工程设备。</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5.4.3 </w:t>
      </w:r>
      <w:r>
        <w:rPr>
          <w:rFonts w:hint="eastAsia" w:ascii="Times New Roman" w:hAnsi="Times New Roman"/>
          <w:color w:val="auto"/>
          <w:szCs w:val="21"/>
          <w:highlight w:val="none"/>
        </w:rPr>
        <w:t>发包人提供的材料或工程设备不符合合同要求的，承包人有权拒绝，并可要求发包人更换，由此增加的费用和（或）工期延误由发包人承担。</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4" w:name="_Toc22036"/>
      <w:r>
        <w:rPr>
          <w:rFonts w:ascii="Times New Roman" w:hAnsi="Times New Roman" w:eastAsia="黑体"/>
          <w:bCs/>
          <w:color w:val="auto"/>
          <w:kern w:val="44"/>
          <w:szCs w:val="21"/>
          <w:highlight w:val="none"/>
          <w:lang w:val="zh-CN"/>
        </w:rPr>
        <w:t xml:space="preserve">6. </w:t>
      </w:r>
      <w:r>
        <w:rPr>
          <w:rFonts w:hint="eastAsia" w:ascii="Times New Roman" w:hAnsi="Times New Roman" w:eastAsia="黑体"/>
          <w:bCs/>
          <w:color w:val="auto"/>
          <w:kern w:val="44"/>
          <w:szCs w:val="21"/>
          <w:highlight w:val="none"/>
          <w:lang w:val="zh-CN"/>
        </w:rPr>
        <w:t>施工设备和临时设施</w:t>
      </w:r>
      <w:bookmarkEnd w:id="104"/>
      <w:r>
        <w:rPr>
          <w:rFonts w:ascii="Times New Roman" w:hAnsi="Times New Roman" w:eastAsia="黑体"/>
          <w:bCs/>
          <w:color w:val="auto"/>
          <w:kern w:val="44"/>
          <w:szCs w:val="21"/>
          <w:highlight w:val="none"/>
          <w:lang w:val="zh-CN"/>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6.1 </w:t>
      </w:r>
      <w:r>
        <w:rPr>
          <w:rFonts w:hint="eastAsia" w:ascii="Times New Roman" w:hAnsi="Times New Roman" w:eastAsia="黑体"/>
          <w:bCs/>
          <w:color w:val="auto"/>
          <w:kern w:val="44"/>
          <w:szCs w:val="21"/>
          <w:highlight w:val="none"/>
          <w:lang w:val="zh-CN"/>
        </w:rPr>
        <w:t>承包人提供的施工设备和临时设施</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6.1.1 </w:t>
      </w:r>
      <w:r>
        <w:rPr>
          <w:rFonts w:hint="eastAsia" w:ascii="Times New Roman" w:hAnsi="Times New Roman"/>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6.1.2 </w:t>
      </w:r>
      <w:r>
        <w:rPr>
          <w:rFonts w:hint="eastAsia" w:ascii="Times New Roman" w:hAnsi="Times New Roman"/>
          <w:color w:val="auto"/>
          <w:szCs w:val="21"/>
          <w:highlight w:val="none"/>
        </w:rPr>
        <w:t>除专用合同条款另有约定外，承包人应自行承担修建临时设施的费用，需要临时占地的，应由发包人办理申请手续并承担相应费用。</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6.2 </w:t>
      </w:r>
      <w:r>
        <w:rPr>
          <w:rFonts w:hint="eastAsia" w:ascii="Times New Roman" w:hAnsi="Times New Roman" w:eastAsia="黑体"/>
          <w:bCs/>
          <w:color w:val="auto"/>
          <w:kern w:val="44"/>
          <w:szCs w:val="21"/>
          <w:highlight w:val="none"/>
          <w:lang w:val="zh-CN"/>
        </w:rPr>
        <w:t>发包人提供的施工设备和临时设施（本项目发包人不提供的施工设备和临时设施）</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6.3 </w:t>
      </w:r>
      <w:r>
        <w:rPr>
          <w:rFonts w:hint="eastAsia" w:ascii="Times New Roman" w:hAnsi="Times New Roman" w:eastAsia="黑体"/>
          <w:bCs/>
          <w:color w:val="auto"/>
          <w:kern w:val="44"/>
          <w:szCs w:val="21"/>
          <w:highlight w:val="none"/>
          <w:lang w:val="zh-CN"/>
        </w:rPr>
        <w:t>要求承包人增加或更换施工设备</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6.4 </w:t>
      </w:r>
      <w:r>
        <w:rPr>
          <w:rFonts w:hint="eastAsia" w:ascii="Times New Roman" w:hAnsi="Times New Roman" w:eastAsia="黑体"/>
          <w:bCs/>
          <w:color w:val="auto"/>
          <w:kern w:val="44"/>
          <w:szCs w:val="21"/>
          <w:highlight w:val="none"/>
          <w:lang w:val="zh-CN"/>
        </w:rPr>
        <w:t>施工设备和临时设施专用于合同工程</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6.4.1</w:t>
      </w:r>
      <w:r>
        <w:rPr>
          <w:rFonts w:hint="eastAsia" w:ascii="Times New Roman" w:hAnsi="Times New Roman"/>
          <w:color w:val="auto"/>
          <w:szCs w:val="21"/>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6.4.2 </w:t>
      </w:r>
      <w:r>
        <w:rPr>
          <w:rFonts w:hint="eastAsia" w:ascii="Times New Roman" w:hAnsi="Times New Roman"/>
          <w:color w:val="auto"/>
          <w:szCs w:val="21"/>
          <w:highlight w:val="none"/>
        </w:rPr>
        <w:t>经监理人同意，承包人可根据合同进度计划撤走闲置的施工设备。</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5" w:name="_Toc20991"/>
      <w:r>
        <w:rPr>
          <w:rFonts w:ascii="Times New Roman" w:hAnsi="Times New Roman" w:eastAsia="黑体"/>
          <w:bCs/>
          <w:color w:val="auto"/>
          <w:kern w:val="44"/>
          <w:szCs w:val="21"/>
          <w:highlight w:val="none"/>
          <w:lang w:val="zh-CN"/>
        </w:rPr>
        <w:t xml:space="preserve">7. </w:t>
      </w:r>
      <w:r>
        <w:rPr>
          <w:rFonts w:hint="eastAsia" w:ascii="Times New Roman" w:hAnsi="Times New Roman" w:eastAsia="黑体"/>
          <w:bCs/>
          <w:color w:val="auto"/>
          <w:kern w:val="44"/>
          <w:szCs w:val="21"/>
          <w:highlight w:val="none"/>
          <w:lang w:val="zh-CN"/>
        </w:rPr>
        <w:t>交通运输</w:t>
      </w:r>
      <w:bookmarkEnd w:id="105"/>
      <w:r>
        <w:rPr>
          <w:rFonts w:ascii="Times New Roman" w:hAnsi="Times New Roman" w:eastAsia="黑体"/>
          <w:bCs/>
          <w:color w:val="auto"/>
          <w:kern w:val="44"/>
          <w:szCs w:val="21"/>
          <w:highlight w:val="none"/>
          <w:lang w:val="zh-CN"/>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7.1 </w:t>
      </w:r>
      <w:r>
        <w:rPr>
          <w:rFonts w:hint="eastAsia" w:ascii="Times New Roman" w:hAnsi="Times New Roman" w:eastAsia="黑体"/>
          <w:bCs/>
          <w:color w:val="auto"/>
          <w:kern w:val="44"/>
          <w:szCs w:val="21"/>
          <w:highlight w:val="none"/>
          <w:lang w:val="zh-CN"/>
        </w:rPr>
        <w:t>道路通行权和场外设施</w:t>
      </w:r>
    </w:p>
    <w:p>
      <w:pPr>
        <w:pStyle w:val="54"/>
        <w:pageBreakBefore w:val="0"/>
        <w:widowControl w:val="0"/>
        <w:kinsoku/>
        <w:wordWrap/>
        <w:overflowPunct/>
        <w:topLinePunct w:val="0"/>
        <w:autoSpaceDE/>
        <w:autoSpaceDN/>
        <w:bidi w:val="0"/>
        <w:adjustRightInd/>
        <w:snapToGrid/>
        <w:spacing w:line="260" w:lineRule="exact"/>
        <w:ind w:firstLine="420"/>
        <w:textAlignment w:val="auto"/>
        <w:rPr>
          <w:rFonts w:ascii="Times New Roman" w:hAnsi="Times New Roman"/>
          <w:i/>
          <w:color w:val="auto"/>
          <w:szCs w:val="21"/>
          <w:highlight w:val="none"/>
        </w:rPr>
      </w:pPr>
      <w:r>
        <w:rPr>
          <w:rFonts w:hint="eastAsia" w:ascii="Times New Roman" w:hAnsi="Times New Roman"/>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7.2 </w:t>
      </w:r>
      <w:r>
        <w:rPr>
          <w:rFonts w:hint="eastAsia" w:ascii="Times New Roman" w:hAnsi="Times New Roman" w:eastAsia="黑体"/>
          <w:bCs/>
          <w:color w:val="auto"/>
          <w:kern w:val="44"/>
          <w:szCs w:val="21"/>
          <w:highlight w:val="none"/>
          <w:lang w:val="zh-CN"/>
        </w:rPr>
        <w:t>场内施工道路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7.2.1 </w:t>
      </w:r>
      <w:r>
        <w:rPr>
          <w:rFonts w:hint="eastAsia" w:ascii="Times New Roman" w:hAnsi="Times New Roman"/>
          <w:color w:val="auto"/>
          <w:szCs w:val="21"/>
          <w:highlight w:val="none"/>
        </w:rPr>
        <w:t>除专用合同条款另有约定外，承包人应负责修建、维修、养护和管理施工所需的临时道路和交通设施，包括维修、养护和管理发包人提供的道路和交通设施，并承担相应费用。</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7.2.2 </w:t>
      </w:r>
      <w:r>
        <w:rPr>
          <w:rFonts w:hint="eastAsia" w:ascii="Times New Roman" w:hAnsi="Times New Roman"/>
          <w:color w:val="auto"/>
          <w:szCs w:val="21"/>
          <w:highlight w:val="none"/>
        </w:rPr>
        <w:t>除专用合同条款另有约定外，承包人修建的临时道路和交通设施应免费提供发包人和监理人使用。</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7.3 </w:t>
      </w:r>
      <w:r>
        <w:rPr>
          <w:rFonts w:hint="eastAsia" w:ascii="Times New Roman" w:hAnsi="Times New Roman" w:eastAsia="黑体"/>
          <w:bCs/>
          <w:color w:val="auto"/>
          <w:kern w:val="44"/>
          <w:szCs w:val="21"/>
          <w:highlight w:val="none"/>
          <w:lang w:val="zh-CN"/>
        </w:rPr>
        <w:t>场外交通</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7.3.1 </w:t>
      </w:r>
      <w:r>
        <w:rPr>
          <w:rFonts w:hint="eastAsia" w:ascii="Times New Roman" w:hAnsi="Times New Roman"/>
          <w:color w:val="auto"/>
          <w:szCs w:val="21"/>
          <w:highlight w:val="none"/>
        </w:rPr>
        <w:t>承包人车辆外出行驶所需的场外公共道路的通行费、养路费和税款等由承包人承担。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7.3.2 </w:t>
      </w:r>
      <w:r>
        <w:rPr>
          <w:rFonts w:hint="eastAsia" w:ascii="Times New Roman" w:hAnsi="Times New Roman"/>
          <w:color w:val="auto"/>
          <w:szCs w:val="21"/>
          <w:highlight w:val="none"/>
        </w:rPr>
        <w:t>承包人应遵守有关交通法规，严格按照道路和桥梁的限制荷重安全行驶，并服从交通管理部门的检查和监督。</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7.4 </w:t>
      </w:r>
      <w:r>
        <w:rPr>
          <w:rFonts w:hint="eastAsia" w:ascii="Times New Roman" w:hAnsi="Times New Roman" w:eastAsia="黑体"/>
          <w:bCs/>
          <w:color w:val="auto"/>
          <w:kern w:val="44"/>
          <w:szCs w:val="21"/>
          <w:highlight w:val="none"/>
          <w:lang w:val="zh-CN"/>
        </w:rPr>
        <w:t>超大件和超重件的运输</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7.5 </w:t>
      </w:r>
      <w:r>
        <w:rPr>
          <w:rFonts w:hint="eastAsia" w:ascii="Times New Roman" w:hAnsi="Times New Roman" w:eastAsia="黑体"/>
          <w:bCs/>
          <w:color w:val="auto"/>
          <w:kern w:val="44"/>
          <w:szCs w:val="21"/>
          <w:highlight w:val="none"/>
          <w:lang w:val="zh-CN"/>
        </w:rPr>
        <w:t>道路和桥梁的损坏责任</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因承包人运输造成施工场地内外公共道路和桥梁损坏的，由承包人承担修复损坏的全部费用和可能引起的赔偿。</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7.6 </w:t>
      </w:r>
      <w:r>
        <w:rPr>
          <w:rFonts w:hint="eastAsia" w:ascii="Times New Roman" w:hAnsi="Times New Roman" w:eastAsia="黑体"/>
          <w:bCs/>
          <w:color w:val="auto"/>
          <w:kern w:val="44"/>
          <w:szCs w:val="21"/>
          <w:highlight w:val="none"/>
          <w:lang w:val="zh-CN"/>
        </w:rPr>
        <w:t>水路和航空运输</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本条上述各款的内容适用于水路运输和航空运输，其中</w:t>
      </w:r>
      <w:r>
        <w:rPr>
          <w:rFonts w:ascii="Times New Roman" w:hAnsi="Times New Roman"/>
          <w:color w:val="auto"/>
          <w:szCs w:val="21"/>
          <w:highlight w:val="none"/>
        </w:rPr>
        <w:t>“</w:t>
      </w:r>
      <w:r>
        <w:rPr>
          <w:rFonts w:hint="eastAsia" w:ascii="Times New Roman" w:hAnsi="Times New Roman"/>
          <w:color w:val="auto"/>
          <w:szCs w:val="21"/>
          <w:highlight w:val="none"/>
        </w:rPr>
        <w:t>道路</w:t>
      </w:r>
      <w:r>
        <w:rPr>
          <w:rFonts w:ascii="Times New Roman" w:hAnsi="Times New Roman"/>
          <w:color w:val="auto"/>
          <w:szCs w:val="21"/>
          <w:highlight w:val="none"/>
        </w:rPr>
        <w:t>”</w:t>
      </w:r>
      <w:r>
        <w:rPr>
          <w:rFonts w:hint="eastAsia" w:ascii="Times New Roman" w:hAnsi="Times New Roman"/>
          <w:color w:val="auto"/>
          <w:szCs w:val="21"/>
          <w:highlight w:val="none"/>
        </w:rPr>
        <w:t>一词的涵义包括河道、航线、船闸、机场、码头、堤防以及水路或航空运输中其他相似结构物；</w:t>
      </w:r>
      <w:r>
        <w:rPr>
          <w:rFonts w:ascii="Times New Roman" w:hAnsi="Times New Roman"/>
          <w:color w:val="auto"/>
          <w:szCs w:val="21"/>
          <w:highlight w:val="none"/>
        </w:rPr>
        <w:t>“</w:t>
      </w:r>
      <w:r>
        <w:rPr>
          <w:rFonts w:hint="eastAsia" w:ascii="Times New Roman" w:hAnsi="Times New Roman"/>
          <w:color w:val="auto"/>
          <w:szCs w:val="21"/>
          <w:highlight w:val="none"/>
        </w:rPr>
        <w:t>车辆</w:t>
      </w:r>
      <w:r>
        <w:rPr>
          <w:rFonts w:ascii="Times New Roman" w:hAnsi="Times New Roman"/>
          <w:color w:val="auto"/>
          <w:szCs w:val="21"/>
          <w:highlight w:val="none"/>
        </w:rPr>
        <w:t>”</w:t>
      </w:r>
      <w:r>
        <w:rPr>
          <w:rFonts w:hint="eastAsia" w:ascii="Times New Roman" w:hAnsi="Times New Roman"/>
          <w:color w:val="auto"/>
          <w:szCs w:val="21"/>
          <w:highlight w:val="none"/>
        </w:rPr>
        <w:t>一词的涵义包括船舶和飞机等。</w:t>
      </w:r>
      <w:r>
        <w:rPr>
          <w:rFonts w:ascii="Times New Roman" w:hAnsi="Times New Roman"/>
          <w:color w:val="auto"/>
          <w:szCs w:val="21"/>
          <w:highlight w:val="none"/>
        </w:rPr>
        <w:t xml:space="preserve"> </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6" w:name="_Toc24523"/>
      <w:r>
        <w:rPr>
          <w:rFonts w:ascii="Times New Roman" w:hAnsi="Times New Roman" w:eastAsia="黑体"/>
          <w:bCs/>
          <w:color w:val="auto"/>
          <w:kern w:val="44"/>
          <w:szCs w:val="21"/>
          <w:highlight w:val="none"/>
          <w:lang w:val="zh-CN"/>
        </w:rPr>
        <w:t xml:space="preserve">8. </w:t>
      </w:r>
      <w:r>
        <w:rPr>
          <w:rFonts w:hint="eastAsia" w:ascii="Times New Roman" w:hAnsi="Times New Roman" w:eastAsia="黑体"/>
          <w:bCs/>
          <w:color w:val="auto"/>
          <w:kern w:val="44"/>
          <w:szCs w:val="21"/>
          <w:highlight w:val="none"/>
          <w:lang w:val="zh-CN"/>
        </w:rPr>
        <w:t>测量放线</w:t>
      </w:r>
      <w:bookmarkEnd w:id="106"/>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8.1 </w:t>
      </w:r>
      <w:r>
        <w:rPr>
          <w:rFonts w:hint="eastAsia" w:ascii="Times New Roman" w:hAnsi="Times New Roman" w:eastAsia="黑体"/>
          <w:bCs/>
          <w:color w:val="auto"/>
          <w:kern w:val="44"/>
          <w:szCs w:val="21"/>
          <w:highlight w:val="none"/>
          <w:lang w:val="zh-CN"/>
        </w:rPr>
        <w:t>施工控制网</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8.1.1</w:t>
      </w:r>
      <w:r>
        <w:rPr>
          <w:rFonts w:hint="eastAsia" w:ascii="Times New Roman" w:hAnsi="Times New Roman"/>
          <w:color w:val="auto"/>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8.1.2</w:t>
      </w:r>
      <w:r>
        <w:rPr>
          <w:rFonts w:hint="eastAsia" w:ascii="Times New Roman" w:hAnsi="Times New Roman"/>
          <w:color w:val="auto"/>
          <w:szCs w:val="21"/>
          <w:highlight w:val="none"/>
        </w:rPr>
        <w:t>承包人应负责管理施工控制网点。施工控制网点丢失或损坏的，承包人应及时修复。承包人应承担施工控制网点的管理与修复费用，并在工程竣工后将施工控制网点移交发包人。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8.2 </w:t>
      </w:r>
      <w:r>
        <w:rPr>
          <w:rFonts w:hint="eastAsia" w:ascii="Times New Roman" w:hAnsi="Times New Roman" w:eastAsia="黑体"/>
          <w:bCs/>
          <w:color w:val="auto"/>
          <w:kern w:val="44"/>
          <w:szCs w:val="21"/>
          <w:highlight w:val="none"/>
          <w:lang w:val="zh-CN"/>
        </w:rPr>
        <w:t>施工测量</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8.2.1</w:t>
      </w:r>
      <w:r>
        <w:rPr>
          <w:rFonts w:hint="eastAsia" w:ascii="Times New Roman" w:hAnsi="Times New Roman"/>
          <w:color w:val="auto"/>
          <w:szCs w:val="21"/>
          <w:highlight w:val="none"/>
        </w:rPr>
        <w:t>承包人应负责施工过程中的全部施工测量放线工作，并配置合格的人员、仪器、设备和其他物品。</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8.2.2</w:t>
      </w:r>
      <w:r>
        <w:rPr>
          <w:rFonts w:hint="eastAsia" w:ascii="Times New Roman" w:hAnsi="Times New Roman"/>
          <w:color w:val="auto"/>
          <w:szCs w:val="21"/>
          <w:highlight w:val="none"/>
        </w:rPr>
        <w:t>监理人可以指示承包人进行抽样复测，当复测中发现错误或出现超过合同约定的误差时，承包人应按监理人指示进行修正或补测，并承担相应的复测费用。</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8.3 </w:t>
      </w:r>
      <w:r>
        <w:rPr>
          <w:rFonts w:hint="eastAsia" w:ascii="Times New Roman" w:hAnsi="Times New Roman" w:eastAsia="黑体"/>
          <w:bCs/>
          <w:color w:val="auto"/>
          <w:kern w:val="44"/>
          <w:szCs w:val="21"/>
          <w:highlight w:val="none"/>
          <w:lang w:val="zh-CN"/>
        </w:rPr>
        <w:t>基准资料错误的责任</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hint="eastAsia" w:ascii="Times New Roman" w:hAnsi="Times New Roman"/>
          <w:color w:val="auto"/>
          <w:szCs w:val="21"/>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8.4 </w:t>
      </w:r>
      <w:r>
        <w:rPr>
          <w:rFonts w:hint="eastAsia" w:ascii="Times New Roman" w:hAnsi="Times New Roman" w:eastAsia="黑体"/>
          <w:bCs/>
          <w:color w:val="auto"/>
          <w:kern w:val="44"/>
          <w:szCs w:val="21"/>
          <w:highlight w:val="none"/>
          <w:lang w:val="zh-CN"/>
        </w:rPr>
        <w:t>监理人使用施工控制网</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监理人需要使用施工控制网的，承包人应提供必要的协助，发包人不再为此支付费用。</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7" w:name="_Toc3634"/>
      <w:r>
        <w:rPr>
          <w:rFonts w:ascii="Times New Roman" w:hAnsi="Times New Roman" w:eastAsia="黑体"/>
          <w:bCs/>
          <w:color w:val="auto"/>
          <w:kern w:val="44"/>
          <w:szCs w:val="21"/>
          <w:highlight w:val="none"/>
          <w:lang w:val="zh-CN"/>
        </w:rPr>
        <w:t xml:space="preserve">9. </w:t>
      </w:r>
      <w:r>
        <w:rPr>
          <w:rFonts w:hint="eastAsia" w:ascii="Times New Roman" w:hAnsi="Times New Roman" w:eastAsia="黑体"/>
          <w:bCs/>
          <w:color w:val="auto"/>
          <w:kern w:val="44"/>
          <w:szCs w:val="21"/>
          <w:highlight w:val="none"/>
          <w:lang w:val="zh-CN"/>
        </w:rPr>
        <w:t>施工安全、治安保卫和环境保护</w:t>
      </w:r>
      <w:bookmarkEnd w:id="107"/>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9.1 </w:t>
      </w:r>
      <w:r>
        <w:rPr>
          <w:rFonts w:hint="eastAsia" w:ascii="Times New Roman" w:hAnsi="Times New Roman" w:eastAsia="黑体"/>
          <w:bCs/>
          <w:color w:val="auto"/>
          <w:kern w:val="44"/>
          <w:szCs w:val="21"/>
          <w:highlight w:val="none"/>
          <w:lang w:val="zh-CN"/>
        </w:rPr>
        <w:t>发包人的施工安全责任</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ascii="Times New Roman" w:hAnsi="Times New Roman"/>
          <w:color w:val="auto"/>
          <w:szCs w:val="21"/>
          <w:highlight w:val="none"/>
        </w:rPr>
        <w:t>9.1.1</w:t>
      </w:r>
      <w:r>
        <w:rPr>
          <w:rFonts w:hint="eastAsia" w:ascii="Times New Roman" w:hAnsi="Times New Roman"/>
          <w:color w:val="auto"/>
          <w:szCs w:val="21"/>
          <w:highlight w:val="none"/>
        </w:rPr>
        <w:t>发包人应按合同约定履行安全职责，授权监理人按合同约定的安全工作内容监督、检查承包人安全工作的实施，组织承包人和有关单位进行安全检查。</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9.2 </w:t>
      </w:r>
      <w:r>
        <w:rPr>
          <w:rFonts w:hint="eastAsia" w:ascii="Times New Roman" w:hAnsi="Times New Roman" w:eastAsia="黑体"/>
          <w:bCs/>
          <w:color w:val="auto"/>
          <w:kern w:val="44"/>
          <w:szCs w:val="21"/>
          <w:highlight w:val="none"/>
          <w:lang w:val="zh-CN"/>
        </w:rPr>
        <w:t>承包人的施工安全责任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9.2.1 </w:t>
      </w:r>
      <w:r>
        <w:rPr>
          <w:rFonts w:hint="eastAsia" w:ascii="Times New Roman" w:hAnsi="Times New Roman"/>
          <w:color w:val="auto"/>
          <w:szCs w:val="21"/>
          <w:highlight w:val="none"/>
        </w:rPr>
        <w:t>承包人应按合同约定履行安全职责</w:t>
      </w:r>
      <w:r>
        <w:rPr>
          <w:rFonts w:ascii="Times New Roman" w:hAnsi="Times New Roman"/>
          <w:color w:val="auto"/>
          <w:szCs w:val="21"/>
          <w:highlight w:val="none"/>
        </w:rPr>
        <w:t>,</w:t>
      </w:r>
      <w:r>
        <w:rPr>
          <w:rFonts w:hint="eastAsia" w:ascii="Times New Roman" w:hAnsi="Times New Roman"/>
          <w:color w:val="auto"/>
          <w:szCs w:val="21"/>
          <w:highlight w:val="none"/>
        </w:rPr>
        <w:t>执行监理人有关安全工作的指示</w:t>
      </w:r>
      <w:r>
        <w:rPr>
          <w:rFonts w:ascii="Times New Roman" w:hAnsi="Times New Roman"/>
          <w:color w:val="auto"/>
          <w:szCs w:val="21"/>
          <w:highlight w:val="none"/>
        </w:rPr>
        <w:t>,</w:t>
      </w:r>
      <w:r>
        <w:rPr>
          <w:rFonts w:hint="eastAsia" w:ascii="Times New Roman" w:hAnsi="Times New Roman"/>
          <w:color w:val="auto"/>
          <w:szCs w:val="21"/>
          <w:highlight w:val="none"/>
        </w:rPr>
        <w:t>并在专用合同条款约定的期限内，按合同约定的安全工作内容，编制施工安全措施计划报送监理人审批。</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9.2.2 </w:t>
      </w:r>
      <w:r>
        <w:rPr>
          <w:rFonts w:hint="eastAsia" w:ascii="Times New Roman" w:hAnsi="Times New Roman"/>
          <w:color w:val="auto"/>
          <w:szCs w:val="21"/>
          <w:highlight w:val="none"/>
        </w:rPr>
        <w:t>承包人应加强施工作业安全管理，特别应加强易燃、易爆材料、火工器材、有毒与腐蚀性材料和其他危险品的管理，以及对爆破作业和地下工程施工等危险作业的管理。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9.2.3 </w:t>
      </w:r>
      <w:r>
        <w:rPr>
          <w:rFonts w:hint="eastAsia" w:ascii="Times New Roman" w:hAnsi="Times New Roman"/>
          <w:color w:val="auto"/>
          <w:szCs w:val="21"/>
          <w:highlight w:val="none"/>
        </w:rPr>
        <w:t>承包人应严格按照国家安全标准制定施工安全操作规程，配备必要的安全生产和劳动保护设施，加强对承包人人员的安全教育，并发放安全工作手册和劳动保护用具。</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9.2.4 </w:t>
      </w:r>
      <w:r>
        <w:rPr>
          <w:rFonts w:hint="eastAsia" w:ascii="Times New Roman" w:hAnsi="Times New Roman"/>
          <w:color w:val="auto"/>
          <w:szCs w:val="21"/>
          <w:highlight w:val="none"/>
        </w:rPr>
        <w:t>承包人应按监理人的指示制定应对灾害的紧急预案，报送监理人审批。承包人还应按预案做好安全检查，配置必要的救助物资和器材，切实保护好有关人员的人身和财产安全。</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9.2.5 </w:t>
      </w:r>
      <w:r>
        <w:rPr>
          <w:rFonts w:hint="eastAsia" w:ascii="Times New Roman" w:hAnsi="Times New Roman"/>
          <w:color w:val="auto"/>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9.2.6 </w:t>
      </w:r>
      <w:r>
        <w:rPr>
          <w:rFonts w:hint="eastAsia" w:ascii="Times New Roman" w:hAnsi="Times New Roman"/>
          <w:color w:val="auto"/>
          <w:szCs w:val="21"/>
          <w:highlight w:val="none"/>
        </w:rPr>
        <w:t>承包人应对其履行合同所雇佣的全部人员，包括分包人人员的工伤事故承担责任，但由于发包人原因造成承包人人员工伤事故的，应由发包人承担责任。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9.2.7 </w:t>
      </w:r>
      <w:r>
        <w:rPr>
          <w:rFonts w:hint="eastAsia" w:ascii="Times New Roman" w:hAnsi="Times New Roman"/>
          <w:color w:val="auto"/>
          <w:szCs w:val="21"/>
          <w:highlight w:val="none"/>
        </w:rPr>
        <w:t>由于承包人原因在施工场地内及其毗邻地带造成的第三者人员伤亡和财产损失，由承包人负责赔偿。</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9.3 </w:t>
      </w:r>
      <w:r>
        <w:rPr>
          <w:rFonts w:hint="eastAsia" w:ascii="Times New Roman" w:hAnsi="Times New Roman" w:eastAsia="黑体"/>
          <w:bCs/>
          <w:color w:val="auto"/>
          <w:kern w:val="44"/>
          <w:szCs w:val="21"/>
          <w:highlight w:val="none"/>
          <w:lang w:val="zh-CN"/>
        </w:rPr>
        <w:t>治安保卫</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9.3.1 </w:t>
      </w:r>
      <w:r>
        <w:rPr>
          <w:rFonts w:hint="eastAsia" w:ascii="Times New Roman" w:hAnsi="Times New Roman"/>
          <w:color w:val="auto"/>
          <w:szCs w:val="21"/>
          <w:highlight w:val="none"/>
        </w:rPr>
        <w:t>除合同另有约定外，发包人应与当地公安部门协商，在现场建立治安管理机构或联防组织，统一管理施工场地的治安保卫事项，履行合同工程的治安保卫职责。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9.3.2 </w:t>
      </w:r>
      <w:r>
        <w:rPr>
          <w:rFonts w:hint="eastAsia" w:ascii="Times New Roman" w:hAnsi="Times New Roman"/>
          <w:color w:val="auto"/>
          <w:szCs w:val="21"/>
          <w:highlight w:val="none"/>
        </w:rPr>
        <w:t>发包人和承包人除应协助现场治安管理机构或联防组织维护施工场地的社会治安外，还应做好包括生活区在内的各自管辖区的治安保卫工作。</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9.3.3 </w:t>
      </w:r>
      <w:r>
        <w:rPr>
          <w:rFonts w:hint="eastAsia" w:ascii="Times New Roman" w:hAnsi="Times New Roman"/>
          <w:color w:val="auto"/>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9.4 </w:t>
      </w:r>
      <w:r>
        <w:rPr>
          <w:rFonts w:hint="eastAsia" w:ascii="Times New Roman" w:hAnsi="Times New Roman" w:eastAsia="黑体"/>
          <w:bCs/>
          <w:color w:val="auto"/>
          <w:kern w:val="44"/>
          <w:szCs w:val="21"/>
          <w:highlight w:val="none"/>
          <w:lang w:val="zh-CN"/>
        </w:rPr>
        <w:t>环境保护</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9.4.1 </w:t>
      </w:r>
      <w:r>
        <w:rPr>
          <w:rFonts w:hint="eastAsia" w:ascii="Times New Roman" w:hAnsi="Times New Roman"/>
          <w:color w:val="auto"/>
          <w:szCs w:val="21"/>
          <w:highlight w:val="none"/>
        </w:rPr>
        <w:t>承包人在施工过程中，应遵守有关环境保护的法律，履行合同约定的环境保护义务，并对违反法律和合同约定义务所造成的环境破坏、人身伤害和财产损失负责。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9.4.2 </w:t>
      </w:r>
      <w:r>
        <w:rPr>
          <w:rFonts w:hint="eastAsia" w:ascii="Times New Roman" w:hAnsi="Times New Roman"/>
          <w:color w:val="auto"/>
          <w:szCs w:val="21"/>
          <w:highlight w:val="none"/>
        </w:rPr>
        <w:t>承包人应按合同约定的环保工作内容，编制施工环保措施计划，报送监理人审批。</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9.4.3 </w:t>
      </w:r>
      <w:r>
        <w:rPr>
          <w:rFonts w:hint="eastAsia" w:ascii="Times New Roman" w:hAnsi="Times New Roman"/>
          <w:color w:val="auto"/>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9.4.4 </w:t>
      </w:r>
      <w:r>
        <w:rPr>
          <w:rFonts w:hint="eastAsia" w:ascii="Times New Roman" w:hAnsi="Times New Roman"/>
          <w:color w:val="auto"/>
          <w:szCs w:val="21"/>
          <w:highlight w:val="none"/>
        </w:rPr>
        <w:t>承包人应按合同约定采取有效措施，对施工开挖的边坡及时进行支护</w:t>
      </w:r>
      <w:r>
        <w:rPr>
          <w:rFonts w:ascii="Times New Roman" w:hAnsi="Times New Roman"/>
          <w:color w:val="auto"/>
          <w:szCs w:val="21"/>
          <w:highlight w:val="none"/>
        </w:rPr>
        <w:t>,</w:t>
      </w:r>
      <w:r>
        <w:rPr>
          <w:rFonts w:hint="eastAsia" w:ascii="Times New Roman" w:hAnsi="Times New Roman"/>
          <w:color w:val="auto"/>
          <w:szCs w:val="21"/>
          <w:highlight w:val="none"/>
        </w:rPr>
        <w:t>维护排水设施，并进行水土保护，避免因施工造成的地质灾害。</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9.4.5 </w:t>
      </w:r>
      <w:r>
        <w:rPr>
          <w:rFonts w:hint="eastAsia" w:ascii="Times New Roman" w:hAnsi="Times New Roman"/>
          <w:color w:val="auto"/>
          <w:szCs w:val="21"/>
          <w:highlight w:val="none"/>
        </w:rPr>
        <w:t>承包人应按国家饮用水管理标准定期对饮用水源进行监测，防止施工活动污染饮用水源。</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9.4.6 </w:t>
      </w:r>
      <w:r>
        <w:rPr>
          <w:rFonts w:hint="eastAsia" w:ascii="Times New Roman" w:hAnsi="Times New Roman"/>
          <w:color w:val="auto"/>
          <w:szCs w:val="21"/>
          <w:highlight w:val="none"/>
        </w:rPr>
        <w:t>承包人应按合同约定，加强对噪声、粉尘、废气、废水和废油的控制，努力降低噪声，控制粉尘和废气浓度，做好废水和废油的治理和排放。</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9.5 </w:t>
      </w:r>
      <w:r>
        <w:rPr>
          <w:rFonts w:hint="eastAsia" w:ascii="Times New Roman" w:hAnsi="Times New Roman" w:eastAsia="黑体"/>
          <w:bCs/>
          <w:color w:val="auto"/>
          <w:kern w:val="44"/>
          <w:szCs w:val="21"/>
          <w:highlight w:val="none"/>
          <w:lang w:val="zh-CN"/>
        </w:rPr>
        <w:t>事故处理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8" w:name="_Toc9802"/>
      <w:r>
        <w:rPr>
          <w:rFonts w:ascii="Times New Roman" w:hAnsi="Times New Roman" w:eastAsia="黑体"/>
          <w:bCs/>
          <w:color w:val="auto"/>
          <w:kern w:val="44"/>
          <w:szCs w:val="21"/>
          <w:highlight w:val="none"/>
          <w:lang w:val="zh-CN"/>
        </w:rPr>
        <w:t xml:space="preserve">10. </w:t>
      </w:r>
      <w:r>
        <w:rPr>
          <w:rFonts w:hint="eastAsia" w:ascii="Times New Roman" w:hAnsi="Times New Roman" w:eastAsia="黑体"/>
          <w:bCs/>
          <w:color w:val="auto"/>
          <w:kern w:val="44"/>
          <w:szCs w:val="21"/>
          <w:highlight w:val="none"/>
          <w:lang w:val="zh-CN"/>
        </w:rPr>
        <w:t>进度计划</w:t>
      </w:r>
      <w:bookmarkEnd w:id="108"/>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10.1 </w:t>
      </w:r>
      <w:r>
        <w:rPr>
          <w:rFonts w:hint="eastAsia" w:ascii="Times New Roman" w:hAnsi="Times New Roman" w:eastAsia="黑体"/>
          <w:bCs/>
          <w:color w:val="auto"/>
          <w:kern w:val="44"/>
          <w:szCs w:val="21"/>
          <w:highlight w:val="none"/>
          <w:lang w:val="zh-CN"/>
        </w:rPr>
        <w:t>合同进度计划</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10.2 </w:t>
      </w:r>
      <w:r>
        <w:rPr>
          <w:rFonts w:hint="eastAsia" w:ascii="Times New Roman" w:hAnsi="Times New Roman" w:eastAsia="黑体"/>
          <w:bCs/>
          <w:color w:val="auto"/>
          <w:kern w:val="44"/>
          <w:szCs w:val="21"/>
          <w:highlight w:val="none"/>
          <w:lang w:val="zh-CN"/>
        </w:rPr>
        <w:t>合同进度计划的修订</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不论何种原因造成工程的实际进度与第</w:t>
      </w:r>
      <w:r>
        <w:rPr>
          <w:rFonts w:ascii="Times New Roman" w:hAnsi="Times New Roman"/>
          <w:color w:val="auto"/>
          <w:szCs w:val="21"/>
          <w:highlight w:val="none"/>
        </w:rPr>
        <w:t>10.1</w:t>
      </w:r>
      <w:r>
        <w:rPr>
          <w:rFonts w:hint="eastAsia" w:ascii="Times New Roman" w:hAnsi="Times New Roman"/>
          <w:color w:val="auto"/>
          <w:szCs w:val="21"/>
          <w:highlight w:val="none"/>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09" w:name="_Toc13316"/>
      <w:r>
        <w:rPr>
          <w:rFonts w:ascii="Times New Roman" w:hAnsi="Times New Roman" w:eastAsia="黑体"/>
          <w:bCs/>
          <w:color w:val="auto"/>
          <w:kern w:val="44"/>
          <w:szCs w:val="21"/>
          <w:highlight w:val="none"/>
          <w:lang w:val="zh-CN"/>
        </w:rPr>
        <w:t xml:space="preserve">11. </w:t>
      </w:r>
      <w:r>
        <w:rPr>
          <w:rFonts w:hint="eastAsia" w:ascii="Times New Roman" w:hAnsi="Times New Roman" w:eastAsia="黑体"/>
          <w:bCs/>
          <w:color w:val="auto"/>
          <w:kern w:val="44"/>
          <w:szCs w:val="21"/>
          <w:highlight w:val="none"/>
          <w:lang w:val="zh-CN"/>
        </w:rPr>
        <w:t>开工和竣工</w:t>
      </w:r>
      <w:bookmarkEnd w:id="109"/>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开工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监理人应在开工日期</w:t>
      </w:r>
      <w:r>
        <w:rPr>
          <w:rFonts w:ascii="Times New Roman" w:hAnsi="Times New Roman"/>
          <w:color w:val="auto"/>
          <w:szCs w:val="21"/>
          <w:highlight w:val="none"/>
        </w:rPr>
        <w:t>7</w:t>
      </w:r>
      <w:r>
        <w:rPr>
          <w:rFonts w:hint="eastAsia" w:ascii="Times New Roman" w:hAnsi="Times New Roman"/>
          <w:color w:val="auto"/>
          <w:szCs w:val="21"/>
          <w:highlight w:val="none"/>
        </w:rPr>
        <w:t>天前向承包人发出开工通知。监理人在发出开工通知前应获得发包人同意。工期自监理人发出的开工通知中载明的开工日期起计算。承包人应在开工日期后尽快施工。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承包人应按第</w:t>
      </w:r>
      <w:r>
        <w:rPr>
          <w:rFonts w:ascii="Times New Roman" w:hAnsi="Times New Roman"/>
          <w:color w:val="auto"/>
          <w:szCs w:val="21"/>
          <w:highlight w:val="none"/>
        </w:rPr>
        <w:t>10.1</w:t>
      </w:r>
      <w:r>
        <w:rPr>
          <w:rFonts w:hint="eastAsia" w:ascii="Times New Roman" w:hAnsi="Times New Roman"/>
          <w:color w:val="auto"/>
          <w:szCs w:val="21"/>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11.2</w:t>
      </w:r>
      <w:r>
        <w:rPr>
          <w:rFonts w:ascii="Times New Roman" w:hAnsi="Times New Roman" w:eastAsia="黑体"/>
          <w:bCs/>
          <w:color w:val="auto"/>
          <w:kern w:val="44"/>
          <w:szCs w:val="21"/>
          <w:highlight w:val="none"/>
          <w:lang w:val="zh-CN"/>
        </w:rPr>
        <w:tab/>
      </w:r>
      <w:r>
        <w:rPr>
          <w:rFonts w:ascii="Times New Roman" w:hAnsi="Times New Roman" w:eastAsia="黑体"/>
          <w:bCs/>
          <w:color w:val="auto"/>
          <w:kern w:val="44"/>
          <w:szCs w:val="21"/>
          <w:highlight w:val="none"/>
          <w:lang w:val="zh-CN"/>
        </w:rPr>
        <w:t xml:space="preserve"> </w:t>
      </w:r>
      <w:r>
        <w:rPr>
          <w:rFonts w:hint="eastAsia" w:ascii="Times New Roman" w:hAnsi="Times New Roman" w:eastAsia="黑体"/>
          <w:bCs/>
          <w:color w:val="auto"/>
          <w:kern w:val="44"/>
          <w:szCs w:val="21"/>
          <w:highlight w:val="none"/>
          <w:lang w:val="zh-CN"/>
        </w:rPr>
        <w:t>竣工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承包人应在第</w:t>
      </w:r>
      <w:r>
        <w:rPr>
          <w:rFonts w:ascii="Times New Roman" w:hAnsi="Times New Roman"/>
          <w:color w:val="auto"/>
          <w:szCs w:val="21"/>
          <w:highlight w:val="none"/>
        </w:rPr>
        <w:t>1.1.4.3</w:t>
      </w:r>
      <w:r>
        <w:rPr>
          <w:rFonts w:hint="eastAsia" w:ascii="Times New Roman" w:hAnsi="Times New Roman"/>
          <w:color w:val="auto"/>
          <w:szCs w:val="21"/>
          <w:highlight w:val="none"/>
        </w:rPr>
        <w:t>目约定的期限内完成合同工程。实际竣工日期在接收证书中写明。</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11.3 </w:t>
      </w:r>
      <w:r>
        <w:rPr>
          <w:rFonts w:hint="eastAsia" w:ascii="Times New Roman" w:hAnsi="Times New Roman" w:eastAsia="黑体"/>
          <w:bCs/>
          <w:color w:val="auto"/>
          <w:kern w:val="44"/>
          <w:szCs w:val="21"/>
          <w:highlight w:val="none"/>
          <w:lang w:val="zh-CN"/>
        </w:rPr>
        <w:t>发包人的工期延误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在履行合同过程中，由于发包人的下列原因造成工期延误的，承包人有权要求发包人延长工期和（或）增加费用，并支付合理利润。需要修订合同进度计划的，按照第</w:t>
      </w:r>
      <w:r>
        <w:rPr>
          <w:rFonts w:ascii="Times New Roman" w:hAnsi="Times New Roman"/>
          <w:color w:val="auto"/>
          <w:szCs w:val="21"/>
          <w:highlight w:val="none"/>
        </w:rPr>
        <w:t>10.2</w:t>
      </w:r>
      <w:r>
        <w:rPr>
          <w:rFonts w:hint="eastAsia" w:ascii="Times New Roman" w:hAnsi="Times New Roman"/>
          <w:color w:val="auto"/>
          <w:szCs w:val="21"/>
          <w:highlight w:val="none"/>
        </w:rPr>
        <w:t>款的约定办理。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）增加合同工作内容</w:t>
      </w:r>
      <w:r>
        <w:rPr>
          <w:rFonts w:ascii="Times New Roman" w:hAnsi="Times New Roman"/>
          <w:color w:val="auto"/>
          <w:szCs w:val="21"/>
          <w:highlight w:val="none"/>
        </w:rPr>
        <w:t>;</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）改变合同中任何一项工作的质量要求或其他特性；</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）发包人迟延提供材料、工程设备或变更交货地点的；</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）因发包人原因导致的暂停施工；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）提供图纸延误；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）未按合同约定及时支付预付款、进度款；</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）发包人造成工期延误的其他原因。</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11.4</w:t>
      </w:r>
      <w:r>
        <w:rPr>
          <w:rFonts w:hint="eastAsia" w:ascii="Times New Roman" w:hAnsi="Times New Roman" w:eastAsia="黑体"/>
          <w:bCs/>
          <w:color w:val="auto"/>
          <w:kern w:val="44"/>
          <w:szCs w:val="21"/>
          <w:highlight w:val="none"/>
          <w:lang w:val="zh-CN"/>
        </w:rPr>
        <w:t>异常恶劣的气候条件</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由于出现专用合同条款约定的异常恶劣气候的条件导致工期延误的，承包人有权要求发包人延长工期。</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11.5 </w:t>
      </w:r>
      <w:r>
        <w:rPr>
          <w:rFonts w:hint="eastAsia" w:ascii="Times New Roman" w:hAnsi="Times New Roman" w:eastAsia="黑体"/>
          <w:bCs/>
          <w:color w:val="auto"/>
          <w:kern w:val="44"/>
          <w:szCs w:val="21"/>
          <w:highlight w:val="none"/>
          <w:lang w:val="zh-CN"/>
        </w:rPr>
        <w:t>承包人的工期延误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11.6 </w:t>
      </w:r>
      <w:r>
        <w:rPr>
          <w:rFonts w:hint="eastAsia" w:ascii="Times New Roman" w:hAnsi="Times New Roman" w:eastAsia="黑体"/>
          <w:bCs/>
          <w:color w:val="auto"/>
          <w:kern w:val="44"/>
          <w:szCs w:val="21"/>
          <w:highlight w:val="none"/>
          <w:lang w:val="zh-CN"/>
        </w:rPr>
        <w:t>工期提前</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Pr>
          <w:rFonts w:ascii="Times New Roman" w:hAnsi="Times New Roman"/>
          <w:color w:val="auto"/>
          <w:szCs w:val="21"/>
          <w:highlight w:val="none"/>
        </w:rPr>
        <w:t xml:space="preserve"> </w:t>
      </w:r>
      <w:bookmarkStart w:id="110" w:name="_Toc2304"/>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暂停施工</w:t>
      </w:r>
      <w:bookmarkEnd w:id="110"/>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12.1 </w:t>
      </w:r>
      <w:r>
        <w:rPr>
          <w:rFonts w:hint="eastAsia" w:ascii="Times New Roman" w:hAnsi="Times New Roman" w:eastAsia="黑体"/>
          <w:bCs/>
          <w:color w:val="auto"/>
          <w:kern w:val="44"/>
          <w:szCs w:val="21"/>
          <w:highlight w:val="none"/>
          <w:lang w:val="zh-CN"/>
        </w:rPr>
        <w:t>承包人暂停施工的责任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因下列暂停施工增加的费用和（或）工期延误由承包人承担：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）承包人违约引起的暂停施工；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）由于承包人原因为工程合理施工和安全保障所必需的暂停施工；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）承包人擅自暂停施工；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）承包人其他原因引起的暂停施工；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）专用合同条款约定由承包人承担的其他暂停施工。</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12.2 </w:t>
      </w:r>
      <w:r>
        <w:rPr>
          <w:rFonts w:hint="eastAsia" w:ascii="Times New Roman" w:hAnsi="Times New Roman" w:eastAsia="黑体"/>
          <w:bCs/>
          <w:color w:val="auto"/>
          <w:kern w:val="44"/>
          <w:szCs w:val="21"/>
          <w:highlight w:val="none"/>
          <w:lang w:val="zh-CN"/>
        </w:rPr>
        <w:t>发包人暂停施工的责任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由于发包人原因引起的暂停施工造成工期延误的，承包人有权要求发包人延长工期和（或）增加费用，并支付合理利润。</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12.3 </w:t>
      </w:r>
      <w:r>
        <w:rPr>
          <w:rFonts w:hint="eastAsia" w:ascii="Times New Roman" w:hAnsi="Times New Roman" w:eastAsia="黑体"/>
          <w:bCs/>
          <w:color w:val="auto"/>
          <w:kern w:val="44"/>
          <w:szCs w:val="21"/>
          <w:highlight w:val="none"/>
          <w:lang w:val="zh-CN"/>
        </w:rPr>
        <w:t>监理人暂停施工指示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12.3.1 </w:t>
      </w:r>
      <w:r>
        <w:rPr>
          <w:rFonts w:hint="eastAsia" w:ascii="Times New Roman" w:hAnsi="Times New Roman"/>
          <w:color w:val="auto"/>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12.3.2 </w:t>
      </w:r>
      <w:r>
        <w:rPr>
          <w:rFonts w:hint="eastAsia" w:ascii="Times New Roman" w:hAnsi="Times New Roman"/>
          <w:color w:val="auto"/>
          <w:szCs w:val="21"/>
          <w:highlight w:val="none"/>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color w:val="auto"/>
          <w:szCs w:val="21"/>
          <w:highlight w:val="none"/>
        </w:rPr>
        <w:t>24</w:t>
      </w:r>
      <w:r>
        <w:rPr>
          <w:rFonts w:hint="eastAsia" w:ascii="Times New Roman" w:hAnsi="Times New Roman"/>
          <w:color w:val="auto"/>
          <w:szCs w:val="21"/>
          <w:highlight w:val="none"/>
        </w:rPr>
        <w:t>小时内予以答复，逾期未答复的，视为同意承包人的暂停施工请求。</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12.4 </w:t>
      </w:r>
      <w:r>
        <w:rPr>
          <w:rFonts w:hint="eastAsia" w:ascii="Times New Roman" w:hAnsi="Times New Roman" w:eastAsia="黑体"/>
          <w:bCs/>
          <w:color w:val="auto"/>
          <w:kern w:val="44"/>
          <w:szCs w:val="21"/>
          <w:highlight w:val="none"/>
          <w:lang w:val="zh-CN"/>
        </w:rPr>
        <w:t>暂停施工后的复工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12.4.1</w:t>
      </w:r>
      <w:r>
        <w:rPr>
          <w:rFonts w:hint="eastAsia" w:ascii="Times New Roman" w:hAnsi="Times New Roman"/>
          <w:color w:val="auto"/>
          <w:szCs w:val="21"/>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12.4.2</w:t>
      </w:r>
      <w:r>
        <w:rPr>
          <w:rFonts w:hint="eastAsia" w:ascii="Times New Roman" w:hAnsi="Times New Roman"/>
          <w:color w:val="auto"/>
          <w:szCs w:val="21"/>
          <w:highlight w:val="none"/>
        </w:rPr>
        <w:t>承包人无故拖延和拒绝复工的，由此增加的费用和工期延误由承包人承担；因发包人原因无法按时复工的，承包人有权要求发包人延长工期和（或）增加费用，并支付合理利润。</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12.5 </w:t>
      </w:r>
      <w:r>
        <w:rPr>
          <w:rFonts w:hint="eastAsia" w:ascii="Times New Roman" w:hAnsi="Times New Roman" w:eastAsia="黑体"/>
          <w:bCs/>
          <w:color w:val="auto"/>
          <w:kern w:val="44"/>
          <w:szCs w:val="21"/>
          <w:highlight w:val="none"/>
          <w:lang w:val="zh-CN"/>
        </w:rPr>
        <w:t>暂停施工持续</w:t>
      </w:r>
      <w:r>
        <w:rPr>
          <w:rFonts w:ascii="Times New Roman" w:hAnsi="Times New Roman" w:eastAsia="黑体"/>
          <w:bCs/>
          <w:color w:val="auto"/>
          <w:kern w:val="44"/>
          <w:szCs w:val="21"/>
          <w:highlight w:val="none"/>
          <w:lang w:val="zh-CN"/>
        </w:rPr>
        <w:t>56</w:t>
      </w:r>
      <w:r>
        <w:rPr>
          <w:rFonts w:hint="eastAsia" w:ascii="Times New Roman" w:hAnsi="Times New Roman" w:eastAsia="黑体"/>
          <w:bCs/>
          <w:color w:val="auto"/>
          <w:kern w:val="44"/>
          <w:szCs w:val="21"/>
          <w:highlight w:val="none"/>
          <w:lang w:val="zh-CN"/>
        </w:rPr>
        <w:t>天以上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12.5.1</w:t>
      </w:r>
      <w:r>
        <w:rPr>
          <w:rFonts w:hint="eastAsia" w:ascii="Times New Roman" w:hAnsi="Times New Roman"/>
          <w:color w:val="auto"/>
          <w:szCs w:val="21"/>
          <w:highlight w:val="none"/>
        </w:rPr>
        <w:t>监理人发出暂停施工指示后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天内未向承包人发出复工通知，除了该项停工属于第</w:t>
      </w:r>
      <w:r>
        <w:rPr>
          <w:rFonts w:ascii="Times New Roman" w:hAnsi="Times New Roman"/>
          <w:color w:val="auto"/>
          <w:szCs w:val="21"/>
          <w:highlight w:val="none"/>
        </w:rPr>
        <w:t>12.1</w:t>
      </w:r>
      <w:r>
        <w:rPr>
          <w:rFonts w:hint="eastAsia" w:ascii="Times New Roman" w:hAnsi="Times New Roman"/>
          <w:color w:val="auto"/>
          <w:szCs w:val="21"/>
          <w:highlight w:val="none"/>
        </w:rPr>
        <w:t>款的情况外，承包人可向监理人提交书面通知，要求监理人在收到书面通知后</w:t>
      </w:r>
      <w:r>
        <w:rPr>
          <w:rFonts w:ascii="Times New Roman" w:hAnsi="Times New Roman"/>
          <w:color w:val="auto"/>
          <w:szCs w:val="21"/>
          <w:highlight w:val="none"/>
        </w:rPr>
        <w:t>28</w:t>
      </w:r>
      <w:r>
        <w:rPr>
          <w:rFonts w:hint="eastAsia" w:ascii="Times New Roman" w:hAnsi="Times New Roman"/>
          <w:color w:val="auto"/>
          <w:szCs w:val="21"/>
          <w:highlight w:val="none"/>
        </w:rPr>
        <w:t>天内准许已暂停施工的工程或其中一部分工程继续施工。如监理人逾期不予批准，则承包人可以通知监理人，将工程受影响的部分视为按第</w:t>
      </w:r>
      <w:r>
        <w:rPr>
          <w:rFonts w:ascii="Times New Roman" w:hAnsi="Times New Roman"/>
          <w:color w:val="auto"/>
          <w:szCs w:val="21"/>
          <w:highlight w:val="none"/>
        </w:rPr>
        <w:t>15.1</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）项的可取消工作。如暂停施工影响到整个工程，可视为发包人违约，应按第</w:t>
      </w:r>
      <w:r>
        <w:rPr>
          <w:rFonts w:ascii="Times New Roman" w:hAnsi="Times New Roman"/>
          <w:color w:val="auto"/>
          <w:szCs w:val="21"/>
          <w:highlight w:val="none"/>
        </w:rPr>
        <w:t>22.2</w:t>
      </w:r>
      <w:r>
        <w:rPr>
          <w:rFonts w:hint="eastAsia" w:ascii="Times New Roman" w:hAnsi="Times New Roman"/>
          <w:color w:val="auto"/>
          <w:szCs w:val="21"/>
          <w:highlight w:val="none"/>
        </w:rPr>
        <w:t>款的约定办理。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12.5.2</w:t>
      </w:r>
      <w:r>
        <w:rPr>
          <w:rFonts w:hint="eastAsia" w:ascii="Times New Roman" w:hAnsi="Times New Roman"/>
          <w:color w:val="auto"/>
          <w:szCs w:val="21"/>
          <w:highlight w:val="none"/>
        </w:rPr>
        <w:t>由于承包人责任引起的暂停施工，如承包人在收到监理人暂停施工指示后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天内不认真采取有效的复工措施，造成工期延误，可视为承包人违约，应按第</w:t>
      </w:r>
      <w:r>
        <w:rPr>
          <w:rFonts w:ascii="Times New Roman" w:hAnsi="Times New Roman"/>
          <w:color w:val="auto"/>
          <w:szCs w:val="21"/>
          <w:highlight w:val="none"/>
        </w:rPr>
        <w:t>22.1</w:t>
      </w:r>
      <w:r>
        <w:rPr>
          <w:rFonts w:hint="eastAsia" w:ascii="Times New Roman" w:hAnsi="Times New Roman"/>
          <w:color w:val="auto"/>
          <w:szCs w:val="21"/>
          <w:highlight w:val="none"/>
        </w:rPr>
        <w:t>款的约定办理。</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1" w:name="_Toc20226"/>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工程质量</w:t>
      </w:r>
      <w:bookmarkEnd w:id="111"/>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13.1 </w:t>
      </w:r>
      <w:r>
        <w:rPr>
          <w:rFonts w:hint="eastAsia" w:ascii="Times New Roman" w:hAnsi="Times New Roman" w:eastAsia="黑体"/>
          <w:bCs/>
          <w:color w:val="auto"/>
          <w:kern w:val="44"/>
          <w:szCs w:val="21"/>
          <w:highlight w:val="none"/>
          <w:lang w:val="zh-CN"/>
        </w:rPr>
        <w:t>工程质量要求</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13.1.1 </w:t>
      </w:r>
      <w:r>
        <w:rPr>
          <w:rFonts w:hint="eastAsia" w:ascii="Times New Roman" w:hAnsi="Times New Roman"/>
          <w:color w:val="auto"/>
          <w:szCs w:val="21"/>
          <w:highlight w:val="none"/>
        </w:rPr>
        <w:t>工程质量验收按合同约定验收标准执行。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13.1.2 </w:t>
      </w:r>
      <w:r>
        <w:rPr>
          <w:rFonts w:hint="eastAsia" w:ascii="Times New Roman" w:hAnsi="Times New Roman"/>
          <w:color w:val="auto"/>
          <w:szCs w:val="21"/>
          <w:highlight w:val="none"/>
        </w:rPr>
        <w:t>因承包人原因造成工程质量达不到合同约定验收标准的，监理人有权要求承包人返工直至符合合同要求为止，由此造成的费用增加和（或）工期延误由承包人承担。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13.1.3 </w:t>
      </w:r>
      <w:r>
        <w:rPr>
          <w:rFonts w:hint="eastAsia" w:ascii="Times New Roman" w:hAnsi="Times New Roman"/>
          <w:color w:val="auto"/>
          <w:szCs w:val="21"/>
          <w:highlight w:val="none"/>
        </w:rPr>
        <w:t>因发包人原因造成工程质量达不到合同约定验收标准的，发包人应承担由于承包人返工造成的费用增加和（或）工期延误，并支付承包人合理利润。</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13.2 </w:t>
      </w:r>
      <w:r>
        <w:rPr>
          <w:rFonts w:hint="eastAsia" w:ascii="Times New Roman" w:hAnsi="Times New Roman" w:eastAsia="黑体"/>
          <w:bCs/>
          <w:color w:val="auto"/>
          <w:kern w:val="44"/>
          <w:szCs w:val="21"/>
          <w:highlight w:val="none"/>
          <w:lang w:val="zh-CN"/>
        </w:rPr>
        <w:t>承包人的质量管理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13.2.1 </w:t>
      </w:r>
      <w:r>
        <w:rPr>
          <w:rFonts w:hint="eastAsia" w:ascii="Times New Roman" w:hAnsi="Times New Roman"/>
          <w:color w:val="auto"/>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13.2.2 </w:t>
      </w:r>
      <w:r>
        <w:rPr>
          <w:rFonts w:hint="eastAsia" w:ascii="Times New Roman" w:hAnsi="Times New Roman"/>
          <w:color w:val="auto"/>
          <w:szCs w:val="21"/>
          <w:highlight w:val="none"/>
        </w:rPr>
        <w:t>承包人应加强对施工人员的质量教育和技术培训，定期考核施工人员的劳动技能，严格执行规范和操作规程。</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13.3 </w:t>
      </w:r>
      <w:r>
        <w:rPr>
          <w:rFonts w:hint="eastAsia" w:ascii="Times New Roman" w:hAnsi="Times New Roman" w:eastAsia="黑体"/>
          <w:bCs/>
          <w:color w:val="auto"/>
          <w:kern w:val="44"/>
          <w:szCs w:val="21"/>
          <w:highlight w:val="none"/>
          <w:lang w:val="zh-CN"/>
        </w:rPr>
        <w:t>承包人的质量检查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承包人应按合同约定对材料、工程设备以及工程的所有部位及其施工工艺进行全过程的质量检查和检验，并作详细记录，编制工程质量报表，报送监理人审查。</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13.4 </w:t>
      </w:r>
      <w:r>
        <w:rPr>
          <w:rFonts w:hint="eastAsia" w:ascii="Times New Roman" w:hAnsi="Times New Roman" w:eastAsia="黑体"/>
          <w:bCs/>
          <w:color w:val="auto"/>
          <w:kern w:val="44"/>
          <w:szCs w:val="21"/>
          <w:highlight w:val="none"/>
          <w:lang w:val="zh-CN"/>
        </w:rPr>
        <w:t>监理人的质量检查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13.5 </w:t>
      </w:r>
      <w:r>
        <w:rPr>
          <w:rFonts w:hint="eastAsia" w:ascii="Times New Roman" w:hAnsi="Times New Roman" w:eastAsia="黑体"/>
          <w:bCs/>
          <w:color w:val="auto"/>
          <w:kern w:val="44"/>
          <w:szCs w:val="21"/>
          <w:highlight w:val="none"/>
          <w:lang w:val="zh-CN"/>
        </w:rPr>
        <w:t>工程隐蔽部位覆盖前的检查</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13.5.1 </w:t>
      </w:r>
      <w:r>
        <w:rPr>
          <w:rFonts w:hint="eastAsia" w:ascii="Times New Roman" w:hAnsi="Times New Roman" w:eastAsia="黑体"/>
          <w:color w:val="auto"/>
          <w:szCs w:val="21"/>
          <w:highlight w:val="none"/>
        </w:rPr>
        <w:t>通知监理人检查</w:t>
      </w:r>
      <w:r>
        <w:rPr>
          <w:rFonts w:ascii="Times New Roman" w:hAnsi="Times New Roman" w:eastAsia="黑体"/>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13.5.2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监理人未到场检查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监理人未按第</w:t>
      </w:r>
      <w:r>
        <w:rPr>
          <w:rFonts w:ascii="Times New Roman" w:hAnsi="Times New Roman"/>
          <w:color w:val="auto"/>
          <w:szCs w:val="21"/>
          <w:highlight w:val="none"/>
        </w:rPr>
        <w:t>13.5.1</w:t>
      </w:r>
      <w:r>
        <w:rPr>
          <w:rFonts w:hint="eastAsia" w:ascii="Times New Roman" w:hAnsi="Times New Roman"/>
          <w:color w:val="auto"/>
          <w:szCs w:val="21"/>
          <w:highlight w:val="none"/>
        </w:rPr>
        <w:t>项约定的时间进行检查的，除监理人另有指示外，承包人可自行完成覆盖工作，并作相应记录报送监理人，监理人应签字确认。监理人事后对检查记录有疑问的，可按第</w:t>
      </w:r>
      <w:r>
        <w:rPr>
          <w:rFonts w:ascii="Times New Roman" w:hAnsi="Times New Roman"/>
          <w:color w:val="auto"/>
          <w:szCs w:val="21"/>
          <w:highlight w:val="none"/>
        </w:rPr>
        <w:t>13.5.3</w:t>
      </w:r>
      <w:r>
        <w:rPr>
          <w:rFonts w:hint="eastAsia" w:ascii="Times New Roman" w:hAnsi="Times New Roman"/>
          <w:color w:val="auto"/>
          <w:szCs w:val="21"/>
          <w:highlight w:val="none"/>
        </w:rPr>
        <w:t>项的约定重新检查。</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13.5.3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监理人重新检查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承包人按第</w:t>
      </w:r>
      <w:r>
        <w:rPr>
          <w:rFonts w:ascii="Times New Roman" w:hAnsi="Times New Roman"/>
          <w:color w:val="auto"/>
          <w:szCs w:val="21"/>
          <w:highlight w:val="none"/>
        </w:rPr>
        <w:t>13.5.1</w:t>
      </w:r>
      <w:r>
        <w:rPr>
          <w:rFonts w:hint="eastAsia" w:ascii="Times New Roman" w:hAnsi="Times New Roman"/>
          <w:color w:val="auto"/>
          <w:szCs w:val="21"/>
          <w:highlight w:val="none"/>
        </w:rPr>
        <w:t>项或</w:t>
      </w:r>
      <w:r>
        <w:rPr>
          <w:rFonts w:ascii="Times New Roman" w:hAnsi="Times New Roman"/>
          <w:color w:val="auto"/>
          <w:szCs w:val="21"/>
          <w:highlight w:val="none"/>
        </w:rPr>
        <w:t>13.5.2</w:t>
      </w:r>
      <w:r>
        <w:rPr>
          <w:rFonts w:hint="eastAsia" w:ascii="Times New Roman" w:hAnsi="Times New Roman"/>
          <w:color w:val="auto"/>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13.5.4 </w:t>
      </w:r>
      <w:r>
        <w:rPr>
          <w:rFonts w:hint="eastAsia" w:ascii="Times New Roman" w:hAnsi="Times New Roman" w:eastAsia="黑体"/>
          <w:color w:val="auto"/>
          <w:szCs w:val="21"/>
          <w:highlight w:val="none"/>
        </w:rPr>
        <w:t>承包人私自覆盖</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承包人未通知监理人到场检查，私自将工程隐蔽部位覆盖的，监理人有权指示承包人钻孔探测或揭开检查，由此增加的费用和（或）工期延误由承包人承担。</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13.6 </w:t>
      </w:r>
      <w:r>
        <w:rPr>
          <w:rFonts w:hint="eastAsia" w:ascii="Times New Roman" w:hAnsi="Times New Roman" w:eastAsia="黑体"/>
          <w:bCs/>
          <w:color w:val="auto"/>
          <w:kern w:val="44"/>
          <w:szCs w:val="21"/>
          <w:highlight w:val="none"/>
          <w:lang w:val="zh-CN"/>
        </w:rPr>
        <w:t>清除不合格工程</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13.6.1</w:t>
      </w:r>
      <w:r>
        <w:rPr>
          <w:rFonts w:hint="eastAsia" w:ascii="Times New Roman" w:hAnsi="Times New Roman"/>
          <w:color w:val="auto"/>
          <w:szCs w:val="21"/>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13.6.2</w:t>
      </w:r>
      <w:r>
        <w:rPr>
          <w:rFonts w:hint="eastAsia" w:ascii="Times New Roman" w:hAnsi="Times New Roman"/>
          <w:color w:val="auto"/>
          <w:szCs w:val="21"/>
          <w:highlight w:val="none"/>
        </w:rPr>
        <w:t>由于发包人提供的材料或工程设备不合格造成的工程不合格，需要承包人采取措施补救的，发包人应承担由此增加的费用和（或）工期延误，并支付承包人合理利润。</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2" w:name="_Toc12237"/>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试验和检验</w:t>
      </w:r>
      <w:bookmarkEnd w:id="112"/>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14.1 </w:t>
      </w:r>
      <w:r>
        <w:rPr>
          <w:rFonts w:hint="eastAsia" w:ascii="Times New Roman" w:hAnsi="Times New Roman" w:eastAsia="黑体"/>
          <w:bCs/>
          <w:color w:val="auto"/>
          <w:kern w:val="44"/>
          <w:szCs w:val="21"/>
          <w:highlight w:val="none"/>
          <w:lang w:val="zh-CN"/>
        </w:rPr>
        <w:t>材料、工程设备和工程的试验和检验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14.1.1 </w:t>
      </w:r>
      <w:r>
        <w:rPr>
          <w:rFonts w:hint="eastAsia" w:ascii="Times New Roman" w:hAnsi="Times New Roman"/>
          <w:color w:val="auto"/>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14.1.2 </w:t>
      </w:r>
      <w:r>
        <w:rPr>
          <w:rFonts w:hint="eastAsia" w:ascii="Times New Roman" w:hAnsi="Times New Roman"/>
          <w:color w:val="auto"/>
          <w:szCs w:val="21"/>
          <w:highlight w:val="none"/>
        </w:rPr>
        <w:t>监理人未按合同约定派员参加试验和检验的，除监理人另有指示外，承包人可自行试验和检验，并应立即将试验和检验结果报送监理人，监理人应签字确认。</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14.1.3 </w:t>
      </w:r>
      <w:r>
        <w:rPr>
          <w:rFonts w:hint="eastAsia" w:ascii="Times New Roman" w:hAnsi="Times New Roman"/>
          <w:color w:val="auto"/>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14.2 </w:t>
      </w:r>
      <w:r>
        <w:rPr>
          <w:rFonts w:hint="eastAsia" w:ascii="Times New Roman" w:hAnsi="Times New Roman" w:eastAsia="黑体"/>
          <w:bCs/>
          <w:color w:val="auto"/>
          <w:kern w:val="44"/>
          <w:szCs w:val="21"/>
          <w:highlight w:val="none"/>
          <w:lang w:val="zh-CN"/>
        </w:rPr>
        <w:t>现场材料试验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14.2.1 </w:t>
      </w:r>
      <w:r>
        <w:rPr>
          <w:rFonts w:hint="eastAsia" w:ascii="Times New Roman" w:hAnsi="Times New Roman"/>
          <w:color w:val="auto"/>
          <w:szCs w:val="21"/>
          <w:highlight w:val="none"/>
        </w:rPr>
        <w:t>承包人根据合同约定或监理人指示进行的现场材料试验，应由承包人提供试验场所、试验人员、试验设备器材以及其他必要的试验条件。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14.2.2 </w:t>
      </w:r>
      <w:r>
        <w:rPr>
          <w:rFonts w:hint="eastAsia" w:ascii="Times New Roman" w:hAnsi="Times New Roman"/>
          <w:color w:val="auto"/>
          <w:szCs w:val="21"/>
          <w:highlight w:val="none"/>
        </w:rPr>
        <w:t>监理人在必要时可以使用承包人的试验场所、试验设备器材以及其他试验条件，进行以工程质量检查为目的的复核性材料试验，承包人应予以协助。</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14.3 </w:t>
      </w:r>
      <w:r>
        <w:rPr>
          <w:rFonts w:hint="eastAsia" w:ascii="Times New Roman" w:hAnsi="Times New Roman" w:eastAsia="黑体"/>
          <w:bCs/>
          <w:color w:val="auto"/>
          <w:kern w:val="44"/>
          <w:szCs w:val="21"/>
          <w:highlight w:val="none"/>
          <w:lang w:val="zh-CN"/>
        </w:rPr>
        <w:t>现场工艺试验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3" w:name="_Toc12261"/>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变更</w:t>
      </w:r>
      <w:bookmarkEnd w:id="113"/>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15.1 </w:t>
      </w:r>
      <w:r>
        <w:rPr>
          <w:rFonts w:hint="eastAsia" w:ascii="Times New Roman" w:hAnsi="Times New Roman" w:eastAsia="黑体"/>
          <w:bCs/>
          <w:color w:val="auto"/>
          <w:kern w:val="44"/>
          <w:szCs w:val="21"/>
          <w:highlight w:val="none"/>
          <w:lang w:val="zh-CN"/>
        </w:rPr>
        <w:t>变更的范围和内容</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除专用合同条款另有约定外，在履行合同中发生以下情形之一，应按照本条规定进行变更。</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）取消合同中任何一项工作，但被取消的工作不能转由发包人或其他人实施；</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）改变合同中任何一项工作的质量或其他特性；</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）改变合同工程的基线、标高、位置或尺寸；</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）改变合同中任何一项工作的施工时间或改变已批准的施工工艺或顺序；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）为完成工程需要追加的额外工作。</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15.2 </w:t>
      </w:r>
      <w:r>
        <w:rPr>
          <w:rFonts w:hint="eastAsia" w:ascii="Times New Roman" w:hAnsi="Times New Roman" w:eastAsia="黑体"/>
          <w:bCs/>
          <w:color w:val="auto"/>
          <w:kern w:val="44"/>
          <w:szCs w:val="21"/>
          <w:highlight w:val="none"/>
          <w:lang w:val="zh-CN"/>
        </w:rPr>
        <w:t>变更权</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在履行合同过程中，经发包人同意，监理人可按第</w:t>
      </w:r>
      <w:r>
        <w:rPr>
          <w:rFonts w:ascii="Times New Roman" w:hAnsi="Times New Roman"/>
          <w:color w:val="auto"/>
          <w:szCs w:val="21"/>
          <w:highlight w:val="none"/>
        </w:rPr>
        <w:t>15.3</w:t>
      </w:r>
      <w:r>
        <w:rPr>
          <w:rFonts w:hint="eastAsia" w:ascii="Times New Roman" w:hAnsi="Times New Roman"/>
          <w:color w:val="auto"/>
          <w:szCs w:val="21"/>
          <w:highlight w:val="none"/>
        </w:rPr>
        <w:t>款约定的变更程序向承包人作出变更指示，承包人应遵照执行。没有监理人的变更指示，承包人不得擅自变更。</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15.3 </w:t>
      </w:r>
      <w:r>
        <w:rPr>
          <w:rFonts w:hint="eastAsia" w:ascii="Times New Roman" w:hAnsi="Times New Roman" w:eastAsia="黑体"/>
          <w:bCs/>
          <w:color w:val="auto"/>
          <w:kern w:val="44"/>
          <w:szCs w:val="21"/>
          <w:highlight w:val="none"/>
          <w:lang w:val="zh-CN"/>
        </w:rPr>
        <w:t>变更程序</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15.3.1 </w:t>
      </w:r>
      <w:r>
        <w:rPr>
          <w:rFonts w:hint="eastAsia" w:ascii="Times New Roman" w:hAnsi="Times New Roman" w:eastAsia="黑体"/>
          <w:color w:val="auto"/>
          <w:szCs w:val="21"/>
          <w:highlight w:val="none"/>
        </w:rPr>
        <w:t>变更的提出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）在合同履行过程中，可能发生第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Times New Roman" w:hAnsi="Times New Roman"/>
          <w:color w:val="auto"/>
          <w:szCs w:val="21"/>
          <w:highlight w:val="none"/>
        </w:rPr>
        <w:t>15.3.3</w:t>
      </w:r>
      <w:r>
        <w:rPr>
          <w:rFonts w:hint="eastAsia" w:ascii="Times New Roman" w:hAnsi="Times New Roman"/>
          <w:color w:val="auto"/>
          <w:szCs w:val="21"/>
          <w:highlight w:val="none"/>
        </w:rPr>
        <w:t>项约定发出变更指示。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）在合同履行过程中，发生第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款约定情形的，监理人应按照第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）承包人收到监理人按合同约定发出的图纸和文件，经检查认为其中存在第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color w:val="auto"/>
          <w:szCs w:val="21"/>
          <w:highlight w:val="none"/>
        </w:rPr>
        <w:t>14</w:t>
      </w:r>
      <w:r>
        <w:rPr>
          <w:rFonts w:hint="eastAsia" w:ascii="Times New Roman" w:hAnsi="Times New Roman"/>
          <w:color w:val="auto"/>
          <w:szCs w:val="21"/>
          <w:highlight w:val="none"/>
        </w:rPr>
        <w:t>天内作出变更指示。经研究后不同意作为变更的，应由监理人书面答复承包人。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）若承包人收到监理人的变更意向书后认为难以实施此项变更，应立即通知监理人，说明原因并附详细依据。监理人与承包人和发包人协商后确定撤销、改变或不改变原变更意向书。</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15.3.2 </w:t>
      </w:r>
      <w:r>
        <w:rPr>
          <w:rFonts w:hint="eastAsia" w:ascii="Times New Roman" w:hAnsi="Times New Roman" w:eastAsia="黑体"/>
          <w:color w:val="auto"/>
          <w:szCs w:val="21"/>
          <w:highlight w:val="none"/>
        </w:rPr>
        <w:t>变更估价</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）除专用合同条款对期限另有约定外，承包人应在收到变更指示或变更意向书后的</w:t>
      </w:r>
      <w:r>
        <w:rPr>
          <w:rFonts w:ascii="Times New Roman" w:hAnsi="Times New Roman"/>
          <w:color w:val="auto"/>
          <w:szCs w:val="21"/>
          <w:highlight w:val="none"/>
        </w:rPr>
        <w:t>14</w:t>
      </w:r>
      <w:r>
        <w:rPr>
          <w:rFonts w:hint="eastAsia" w:ascii="Times New Roman" w:hAnsi="Times New Roman"/>
          <w:color w:val="auto"/>
          <w:szCs w:val="21"/>
          <w:highlight w:val="none"/>
        </w:rPr>
        <w:t>天内，向监理人提交变更报价书，报价内容应根据第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款约定的估价原则，详细开列变更工作的价格组成及其依据，并附必要的施工方法说明和有关图纸。</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）变更工作影响工期的，承包人应提出调整工期的具体细节。监理人认为有必要时，可要求承包人提交要求提前或延长工期的施工进度计划及相应施工措施等详细资料。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）除专用合同条款对期限另有约定外，监理人收到承包人变更报价书后的</w:t>
      </w:r>
      <w:r>
        <w:rPr>
          <w:rFonts w:ascii="Times New Roman" w:hAnsi="Times New Roman"/>
          <w:color w:val="auto"/>
          <w:szCs w:val="21"/>
          <w:highlight w:val="none"/>
        </w:rPr>
        <w:t>14</w:t>
      </w:r>
      <w:r>
        <w:rPr>
          <w:rFonts w:hint="eastAsia" w:ascii="Times New Roman" w:hAnsi="Times New Roman"/>
          <w:color w:val="auto"/>
          <w:szCs w:val="21"/>
          <w:highlight w:val="none"/>
        </w:rPr>
        <w:t>天内，根据第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款约定的估价原则，按照第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款商定或确定变更价格。</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15.3.3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变更指示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）变更指示只能由监理人发出。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）变更指示应说明变更的目的、范围、变更内容以及变更的工程量及其进度和技术要求，并附有关图纸和文件。承包人收到变更指示后，应按变更指示进行变更工作。</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15.4 </w:t>
      </w:r>
      <w:r>
        <w:rPr>
          <w:rFonts w:hint="eastAsia" w:ascii="Times New Roman" w:hAnsi="Times New Roman" w:eastAsia="黑体"/>
          <w:bCs/>
          <w:color w:val="auto"/>
          <w:kern w:val="44"/>
          <w:szCs w:val="21"/>
          <w:highlight w:val="none"/>
          <w:lang w:val="zh-CN"/>
        </w:rPr>
        <w:t>变更的估价原则</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除专用合同条款另有约定外，因变更引起的价格调整按照本款约定处理。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15.4.1 </w:t>
      </w:r>
      <w:r>
        <w:rPr>
          <w:rFonts w:hint="eastAsia" w:ascii="Times New Roman" w:hAnsi="Times New Roman"/>
          <w:color w:val="auto"/>
          <w:szCs w:val="21"/>
          <w:highlight w:val="none"/>
        </w:rPr>
        <w:t>已标价工程量清单中有适用于变更工作的子目的，采用该子目的单价。</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15.4.2 </w:t>
      </w:r>
      <w:r>
        <w:rPr>
          <w:rFonts w:hint="eastAsia" w:ascii="Times New Roman" w:hAnsi="Times New Roman"/>
          <w:color w:val="auto"/>
          <w:szCs w:val="21"/>
          <w:highlight w:val="none"/>
        </w:rPr>
        <w:t>已标价工程量清单中无适用于变更工作的子目，但有类似子目的，可在合理范围内参照类似子目的单价，由监理人按第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15.4.3 </w:t>
      </w:r>
      <w:r>
        <w:rPr>
          <w:rFonts w:hint="eastAsia" w:ascii="Times New Roman" w:hAnsi="Times New Roman"/>
          <w:color w:val="auto"/>
          <w:szCs w:val="21"/>
          <w:highlight w:val="none"/>
        </w:rPr>
        <w:t>已标价工程量清单中无适用或类似子目的单价，可按照成本加利润的原则，由监理人按第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15.5 </w:t>
      </w:r>
      <w:r>
        <w:rPr>
          <w:rFonts w:hint="eastAsia" w:ascii="Times New Roman" w:hAnsi="Times New Roman" w:eastAsia="黑体"/>
          <w:bCs/>
          <w:color w:val="auto"/>
          <w:kern w:val="44"/>
          <w:szCs w:val="21"/>
          <w:highlight w:val="none"/>
          <w:lang w:val="zh-CN"/>
        </w:rPr>
        <w:t>承包人的合理化建议</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15.5.1 </w:t>
      </w:r>
      <w:r>
        <w:rPr>
          <w:rFonts w:hint="eastAsia" w:ascii="Times New Roman" w:hAnsi="Times New Roman"/>
          <w:color w:val="auto"/>
          <w:szCs w:val="21"/>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hint="eastAsia" w:ascii="Times New Roman" w:hAnsi="Times New Roman"/>
          <w:color w:val="auto"/>
          <w:szCs w:val="21"/>
          <w:highlight w:val="none"/>
        </w:rPr>
      </w:pPr>
      <w:r>
        <w:rPr>
          <w:rFonts w:ascii="Times New Roman" w:hAnsi="Times New Roman"/>
          <w:color w:val="auto"/>
          <w:szCs w:val="21"/>
          <w:highlight w:val="none"/>
        </w:rPr>
        <w:t xml:space="preserve">15.5.2 </w:t>
      </w:r>
      <w:r>
        <w:rPr>
          <w:rFonts w:hint="eastAsia" w:ascii="Times New Roman" w:hAnsi="Times New Roman"/>
          <w:color w:val="auto"/>
          <w:szCs w:val="21"/>
          <w:highlight w:val="none"/>
        </w:rPr>
        <w:t>承包人提出的合理化建议降低了合同价格、缩短了工期或者提高了工程经济效益的，发包人可按国家有关规定在专用合同条款中约定给予奖励</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15.6 </w:t>
      </w:r>
      <w:r>
        <w:rPr>
          <w:rFonts w:hint="eastAsia" w:ascii="Times New Roman" w:hAnsi="Times New Roman" w:eastAsia="黑体"/>
          <w:bCs/>
          <w:color w:val="auto"/>
          <w:kern w:val="44"/>
          <w:szCs w:val="21"/>
          <w:highlight w:val="none"/>
          <w:lang w:val="zh-CN"/>
        </w:rPr>
        <w:t>暂列金额（本项目无暂列金额）</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15.7 </w:t>
      </w:r>
      <w:r>
        <w:rPr>
          <w:rFonts w:hint="eastAsia" w:ascii="Times New Roman" w:hAnsi="Times New Roman" w:eastAsia="黑体"/>
          <w:bCs/>
          <w:color w:val="auto"/>
          <w:kern w:val="44"/>
          <w:szCs w:val="21"/>
          <w:highlight w:val="none"/>
          <w:lang w:val="zh-CN"/>
        </w:rPr>
        <w:t>计日工（本项目无计日工）</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15.8</w:t>
      </w:r>
      <w:r>
        <w:rPr>
          <w:rFonts w:hint="eastAsia" w:ascii="Times New Roman" w:hAnsi="Times New Roman" w:eastAsia="黑体"/>
          <w:bCs/>
          <w:color w:val="auto"/>
          <w:kern w:val="44"/>
          <w:szCs w:val="21"/>
          <w:highlight w:val="none"/>
          <w:lang w:val="zh-CN"/>
        </w:rPr>
        <w:t>暂估价（本项目无暂估价）</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rPr>
      </w:pPr>
      <w:bookmarkStart w:id="114" w:name="_Toc22367"/>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价格调整</w:t>
      </w:r>
      <w:bookmarkEnd w:id="114"/>
      <w:r>
        <w:rPr>
          <w:rFonts w:hint="eastAsia" w:ascii="Times New Roman" w:hAnsi="Times New Roman" w:eastAsia="黑体"/>
          <w:bCs/>
          <w:color w:val="auto"/>
          <w:kern w:val="44"/>
          <w:szCs w:val="21"/>
          <w:highlight w:val="none"/>
          <w:lang w:val="zh-CN"/>
        </w:rPr>
        <w:t>（本工程不作价格调整）</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5" w:name="_Toc31772"/>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计量与支付</w:t>
      </w:r>
      <w:bookmarkEnd w:id="115"/>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17.1 </w:t>
      </w:r>
      <w:r>
        <w:rPr>
          <w:rFonts w:hint="eastAsia" w:ascii="Times New Roman" w:hAnsi="Times New Roman" w:eastAsia="黑体"/>
          <w:bCs/>
          <w:color w:val="auto"/>
          <w:kern w:val="44"/>
          <w:szCs w:val="21"/>
          <w:highlight w:val="none"/>
          <w:lang w:val="zh-CN"/>
        </w:rPr>
        <w:t>计量</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17.1.1 </w:t>
      </w:r>
      <w:r>
        <w:rPr>
          <w:rFonts w:hint="eastAsia" w:ascii="Times New Roman" w:hAnsi="Times New Roman" w:eastAsia="黑体"/>
          <w:color w:val="auto"/>
          <w:szCs w:val="21"/>
          <w:highlight w:val="none"/>
        </w:rPr>
        <w:t>计量单位</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计量采用国家法定的计量单位。</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17.1.2 </w:t>
      </w:r>
      <w:r>
        <w:rPr>
          <w:rFonts w:hint="eastAsia" w:ascii="Times New Roman" w:hAnsi="Times New Roman" w:eastAsia="黑体"/>
          <w:color w:val="auto"/>
          <w:szCs w:val="21"/>
          <w:highlight w:val="none"/>
        </w:rPr>
        <w:t>计量方法</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工程量清单中的工程量计算规则应按有关国家标准、行业标准的规定，并在合同中约定执行。</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17.1.3 </w:t>
      </w:r>
      <w:r>
        <w:rPr>
          <w:rFonts w:hint="eastAsia" w:ascii="Times New Roman" w:hAnsi="Times New Roman" w:eastAsia="黑体"/>
          <w:color w:val="auto"/>
          <w:szCs w:val="21"/>
          <w:highlight w:val="none"/>
        </w:rPr>
        <w:t>计量周期</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除专用合同条款另有约定外，单价子目已完成工程量按月计量，总价子目的计量周期按批准的支付分解报告确定。</w:t>
      </w:r>
      <w:r>
        <w:rPr>
          <w:rFonts w:ascii="Times New Roman" w:hAnsi="Times New Roman"/>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17.1.4 </w:t>
      </w:r>
      <w:r>
        <w:rPr>
          <w:rFonts w:hint="eastAsia" w:ascii="Times New Roman" w:hAnsi="Times New Roman" w:eastAsia="黑体"/>
          <w:color w:val="auto"/>
          <w:szCs w:val="21"/>
          <w:highlight w:val="none"/>
        </w:rPr>
        <w:t>单价子目的计量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）已标价工程量清单中的单价子目工程量为估算工程量。结算工程量是承包人实际完成的，并按合同约定的计量方法进行计量的工程量。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）承包人对已完成的工程进行计量，向监理人提交进度付款申请单、已完成工程量报表和有关计量资料。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）监理人对承包人提交的工程量报表进行复核，以确定实际完成的工程量。对数量有异议的，可要求承包人按第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）监理人认为有必要时，可通知承包人共同进行联合测量、计量，承包人应遵照执行。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）监理人应在收到承包人提交的工程量报表后的</w:t>
      </w:r>
      <w:r>
        <w:rPr>
          <w:rFonts w:ascii="Times New Roman" w:hAnsi="Times New Roman"/>
          <w:color w:val="auto"/>
          <w:szCs w:val="21"/>
          <w:highlight w:val="none"/>
        </w:rPr>
        <w:t>7</w:t>
      </w:r>
      <w:r>
        <w:rPr>
          <w:rFonts w:hint="eastAsia" w:ascii="Times New Roman" w:hAnsi="Times New Roman"/>
          <w:color w:val="auto"/>
          <w:szCs w:val="21"/>
          <w:highlight w:val="none"/>
        </w:rPr>
        <w:t>天内进行复核，监理人未在约定时间内复核的，承包人提交的工程量报表中的工程量视为承包人实际完成的工程量，据此计算工程价款。</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17.1.5 </w:t>
      </w:r>
      <w:r>
        <w:rPr>
          <w:rFonts w:hint="eastAsia" w:ascii="Times New Roman" w:hAnsi="Times New Roman" w:eastAsia="黑体"/>
          <w:color w:val="auto"/>
          <w:szCs w:val="21"/>
          <w:highlight w:val="none"/>
        </w:rPr>
        <w:t>总价子目的计量</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除专用合同条款另有约定外，总价子目的分解和计量按照下述约定进行。</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）总价子目的计量和支付应以总价为基础，不因第</w:t>
      </w:r>
      <w:r>
        <w:rPr>
          <w:rFonts w:ascii="Times New Roman" w:hAnsi="Times New Roman"/>
          <w:color w:val="auto"/>
          <w:szCs w:val="21"/>
          <w:highlight w:val="none"/>
        </w:rPr>
        <w:t>16.1</w:t>
      </w:r>
      <w:r>
        <w:rPr>
          <w:rFonts w:hint="eastAsia" w:ascii="Times New Roman" w:hAnsi="Times New Roman"/>
          <w:color w:val="auto"/>
          <w:szCs w:val="21"/>
          <w:highlight w:val="none"/>
        </w:rPr>
        <w:t>款中的因素而进行调整。承包人实际完成的工程量，是进行工程目标管理和控制进度支付的依据。</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）监理人对承包人提交的上述资料进行复核，以确定分阶段实际完成的工程量和工程形象目标。对其有异议的，可要求承包人按第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）除按照第</w:t>
      </w:r>
      <w:r>
        <w:rPr>
          <w:rFonts w:ascii="Times New Roman" w:hAnsi="Times New Roman"/>
          <w:color w:val="auto"/>
          <w:szCs w:val="21"/>
          <w:highlight w:val="none"/>
        </w:rPr>
        <w:t>15</w:t>
      </w:r>
      <w:r>
        <w:rPr>
          <w:rFonts w:hint="eastAsia" w:ascii="Times New Roman" w:hAnsi="Times New Roman"/>
          <w:color w:val="auto"/>
          <w:szCs w:val="21"/>
          <w:highlight w:val="none"/>
        </w:rPr>
        <w:t>条约定的变更外，总价子目的工程量是承包人用于结算的最终工程量。</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hint="default" w:ascii="Times New Roman" w:hAnsi="Times New Roman" w:eastAsia="黑体"/>
          <w:bCs/>
          <w:color w:val="auto"/>
          <w:kern w:val="44"/>
          <w:szCs w:val="21"/>
          <w:highlight w:val="none"/>
          <w:lang w:val="en-US" w:eastAsia="zh-CN"/>
        </w:rPr>
      </w:pPr>
      <w:r>
        <w:rPr>
          <w:rFonts w:ascii="Times New Roman" w:hAnsi="Times New Roman" w:eastAsia="黑体"/>
          <w:bCs/>
          <w:color w:val="auto"/>
          <w:kern w:val="44"/>
          <w:szCs w:val="21"/>
          <w:highlight w:val="none"/>
          <w:lang w:val="zh-CN"/>
        </w:rPr>
        <w:t xml:space="preserve">17.2 </w:t>
      </w:r>
      <w:r>
        <w:rPr>
          <w:rFonts w:hint="eastAsia" w:ascii="Times New Roman" w:hAnsi="Times New Roman" w:eastAsia="黑体"/>
          <w:bCs/>
          <w:color w:val="auto"/>
          <w:kern w:val="44"/>
          <w:szCs w:val="21"/>
          <w:highlight w:val="none"/>
          <w:lang w:val="zh-CN"/>
        </w:rPr>
        <w:t>预付款：</w:t>
      </w:r>
      <w:r>
        <w:rPr>
          <w:rFonts w:hint="eastAsia" w:ascii="Times New Roman" w:hAnsi="Times New Roman" w:eastAsia="黑体"/>
          <w:bCs/>
          <w:color w:val="auto"/>
          <w:kern w:val="44"/>
          <w:szCs w:val="21"/>
          <w:highlight w:val="none"/>
          <w:lang w:val="en-US" w:eastAsia="zh-CN"/>
        </w:rPr>
        <w:t>合同金额的30%。</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17.3 </w:t>
      </w:r>
      <w:r>
        <w:rPr>
          <w:rFonts w:hint="eastAsia" w:ascii="Times New Roman" w:hAnsi="Times New Roman" w:eastAsia="黑体"/>
          <w:bCs/>
          <w:color w:val="auto"/>
          <w:kern w:val="44"/>
          <w:szCs w:val="21"/>
          <w:highlight w:val="none"/>
          <w:lang w:val="zh-CN"/>
        </w:rPr>
        <w:t>工程进度付款</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17.3.1 </w:t>
      </w:r>
      <w:r>
        <w:rPr>
          <w:rFonts w:hint="eastAsia" w:ascii="Times New Roman" w:hAnsi="Times New Roman" w:eastAsia="黑体"/>
          <w:color w:val="auto"/>
          <w:szCs w:val="21"/>
          <w:highlight w:val="none"/>
        </w:rPr>
        <w:t>付款周期</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付进度款支付方式：合同内进度款支付限额为已完成工程量的85%，工程变更部分进度款支付限额为已完成工程量的75%。</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17.3.2 </w:t>
      </w:r>
      <w:r>
        <w:rPr>
          <w:rFonts w:hint="eastAsia" w:ascii="Times New Roman" w:hAnsi="Times New Roman" w:eastAsia="黑体"/>
          <w:color w:val="auto"/>
          <w:szCs w:val="21"/>
          <w:highlight w:val="none"/>
        </w:rPr>
        <w:t>进度付款申请单</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）截至本次付款周期末已实施工程的价款；</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）根据第</w:t>
      </w:r>
      <w:r>
        <w:rPr>
          <w:rFonts w:ascii="Times New Roman" w:hAnsi="Times New Roman"/>
          <w:color w:val="auto"/>
          <w:szCs w:val="21"/>
          <w:highlight w:val="none"/>
        </w:rPr>
        <w:t>15</w:t>
      </w:r>
      <w:r>
        <w:rPr>
          <w:rFonts w:hint="eastAsia" w:ascii="Times New Roman" w:hAnsi="Times New Roman"/>
          <w:color w:val="auto"/>
          <w:szCs w:val="21"/>
          <w:highlight w:val="none"/>
        </w:rPr>
        <w:t>条应增加和扣减的变更金额；</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）根据第</w:t>
      </w:r>
      <w:r>
        <w:rPr>
          <w:rFonts w:ascii="Times New Roman" w:hAnsi="Times New Roman"/>
          <w:color w:val="auto"/>
          <w:szCs w:val="21"/>
          <w:highlight w:val="none"/>
        </w:rPr>
        <w:t>23</w:t>
      </w:r>
      <w:r>
        <w:rPr>
          <w:rFonts w:hint="eastAsia" w:ascii="Times New Roman" w:hAnsi="Times New Roman"/>
          <w:color w:val="auto"/>
          <w:szCs w:val="21"/>
          <w:highlight w:val="none"/>
        </w:rPr>
        <w:t>条应增加和扣减的索赔金额；</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）根据第</w:t>
      </w:r>
      <w:r>
        <w:rPr>
          <w:rFonts w:ascii="Times New Roman" w:hAnsi="Times New Roman"/>
          <w:color w:val="auto"/>
          <w:szCs w:val="21"/>
          <w:highlight w:val="none"/>
        </w:rPr>
        <w:t>17.2</w:t>
      </w:r>
      <w:r>
        <w:rPr>
          <w:rFonts w:hint="eastAsia" w:ascii="Times New Roman" w:hAnsi="Times New Roman"/>
          <w:color w:val="auto"/>
          <w:szCs w:val="21"/>
          <w:highlight w:val="none"/>
        </w:rPr>
        <w:t>款约定应支付的预付款和扣减的返还预付款；</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）根据第</w:t>
      </w:r>
      <w:r>
        <w:rPr>
          <w:rFonts w:ascii="Times New Roman" w:hAnsi="Times New Roman"/>
          <w:color w:val="auto"/>
          <w:szCs w:val="21"/>
          <w:highlight w:val="none"/>
        </w:rPr>
        <w:t>17.4.1</w:t>
      </w:r>
      <w:r>
        <w:rPr>
          <w:rFonts w:hint="eastAsia" w:ascii="Times New Roman" w:hAnsi="Times New Roman"/>
          <w:color w:val="auto"/>
          <w:szCs w:val="21"/>
          <w:highlight w:val="none"/>
        </w:rPr>
        <w:t>项约定应扣减的质量保证金；</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）根据合同应增加和扣减的其他金额。</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17.3.3 </w:t>
      </w:r>
      <w:r>
        <w:rPr>
          <w:rFonts w:hint="eastAsia" w:ascii="Times New Roman" w:hAnsi="Times New Roman" w:eastAsia="黑体"/>
          <w:color w:val="auto"/>
          <w:szCs w:val="21"/>
          <w:highlight w:val="none"/>
        </w:rPr>
        <w:t>进度付款证书和支付时间</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）监理人在收到承包人进度付款申请单以及相应的支持性证明文件后的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）发包人应在监理人收到进度付款申请单后的</w:t>
      </w:r>
      <w:r>
        <w:rPr>
          <w:rFonts w:ascii="Times New Roman" w:hAnsi="Times New Roman"/>
          <w:color w:val="auto"/>
          <w:szCs w:val="21"/>
          <w:highlight w:val="none"/>
        </w:rPr>
        <w:t>28</w:t>
      </w:r>
      <w:r>
        <w:rPr>
          <w:rFonts w:hint="eastAsia" w:ascii="Times New Roman" w:hAnsi="Times New Roman"/>
          <w:color w:val="auto"/>
          <w:szCs w:val="21"/>
          <w:highlight w:val="none"/>
        </w:rPr>
        <w:t>天内，将进度应付款支付给承包人。发包人不按期支付的，按专用合同条款的约定支付逾期付款违约金。</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）监理人出具进度付款证书，不应视为监理人已同意、批准或接受了承包人完成的该部分工作。</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）进度付款涉及政府投资资金的，按照国库集中支付等国家相关规定和专用合同条款的约定办理。</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17.3.4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工程进度付款的修正</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17.4 </w:t>
      </w:r>
      <w:r>
        <w:rPr>
          <w:rFonts w:hint="eastAsia" w:ascii="Times New Roman" w:hAnsi="Times New Roman" w:eastAsia="黑体"/>
          <w:bCs/>
          <w:color w:val="auto"/>
          <w:kern w:val="44"/>
          <w:szCs w:val="21"/>
          <w:highlight w:val="none"/>
          <w:lang w:val="zh-CN"/>
        </w:rPr>
        <w:t>质量保证金</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17.4.1 </w:t>
      </w:r>
      <w:r>
        <w:rPr>
          <w:rFonts w:hint="eastAsia" w:ascii="Times New Roman" w:hAnsi="Times New Roman"/>
          <w:color w:val="auto"/>
          <w:szCs w:val="21"/>
          <w:highlight w:val="none"/>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17.4.2 </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目约定的缺陷责任期满时，承包人向发包人申请到期应返还承包人剩余的质量保证金金额，发包人应在</w:t>
      </w:r>
      <w:r>
        <w:rPr>
          <w:rFonts w:ascii="Times New Roman" w:hAnsi="Times New Roman"/>
          <w:color w:val="auto"/>
          <w:szCs w:val="21"/>
          <w:highlight w:val="none"/>
        </w:rPr>
        <w:t>14</w:t>
      </w:r>
      <w:r>
        <w:rPr>
          <w:rFonts w:hint="eastAsia" w:ascii="Times New Roman" w:hAnsi="Times New Roman"/>
          <w:color w:val="auto"/>
          <w:szCs w:val="21"/>
          <w:highlight w:val="none"/>
        </w:rPr>
        <w:t>天内会同承包人按照合同约定的内容核实承包人是否完成缺陷责任。如无异议，发包人应当在核实后将剩余保证金返还承包人。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17.4.3</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目约定的缺陷责任期满时，承包人没有完成缺陷责任的，发包人有权扣留与未履行责任剩余工作所需金额相应的质量保证金余额，并有权根据第</w:t>
      </w:r>
      <w:r>
        <w:rPr>
          <w:rFonts w:ascii="Times New Roman" w:hAnsi="Times New Roman"/>
          <w:color w:val="auto"/>
          <w:szCs w:val="21"/>
          <w:highlight w:val="none"/>
        </w:rPr>
        <w:t>19.3</w:t>
      </w:r>
      <w:r>
        <w:rPr>
          <w:rFonts w:hint="eastAsia" w:ascii="Times New Roman" w:hAnsi="Times New Roman"/>
          <w:color w:val="auto"/>
          <w:szCs w:val="21"/>
          <w:highlight w:val="none"/>
        </w:rPr>
        <w:t>款约定要求延长缺陷责任期，直至完成剩余工作为止。</w:t>
      </w:r>
      <w:r>
        <w:rPr>
          <w:rFonts w:ascii="Times New Roman" w:hAnsi="Times New Roman"/>
          <w:color w:val="auto"/>
          <w:szCs w:val="21"/>
          <w:highlight w:val="none"/>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17.5 </w:t>
      </w:r>
      <w:r>
        <w:rPr>
          <w:rFonts w:hint="eastAsia" w:ascii="Times New Roman" w:hAnsi="Times New Roman" w:eastAsia="黑体"/>
          <w:bCs/>
          <w:color w:val="auto"/>
          <w:kern w:val="44"/>
          <w:szCs w:val="21"/>
          <w:highlight w:val="none"/>
          <w:lang w:val="zh-CN"/>
        </w:rPr>
        <w:t>竣工结算</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17.5.1 </w:t>
      </w:r>
      <w:r>
        <w:rPr>
          <w:rFonts w:hint="eastAsia" w:ascii="Times New Roman" w:hAnsi="Times New Roman" w:eastAsia="黑体"/>
          <w:color w:val="auto"/>
          <w:szCs w:val="21"/>
          <w:highlight w:val="none"/>
        </w:rPr>
        <w:t>竣工付款申请单</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r>
        <w:rPr>
          <w:rFonts w:hint="eastAsia" w:ascii="Times New Roman" w:hAnsi="Times New Roman"/>
          <w:color w:val="auto"/>
          <w:szCs w:val="21"/>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）监理人对竣工付款申请单有异议的，有权要求承包人进行修正和提供补充资料。经监理人和承包人协商后，由承包人向监理人提交修正后的竣工付款申请单。</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17.5.2 </w:t>
      </w:r>
      <w:r>
        <w:rPr>
          <w:rFonts w:hint="eastAsia" w:ascii="Times New Roman" w:hAnsi="Times New Roman" w:eastAsia="黑体"/>
          <w:color w:val="auto"/>
          <w:szCs w:val="21"/>
          <w:highlight w:val="none"/>
        </w:rPr>
        <w:t>竣工付款证书及支付时间</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）监理人在收到承包人提交的竣工付款申请单后的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Style w:val="54"/>
        <w:pageBreakBefore w:val="0"/>
        <w:widowControl w:val="0"/>
        <w:kinsoku/>
        <w:wordWrap/>
        <w:overflowPunct/>
        <w:topLinePunct w:val="0"/>
        <w:autoSpaceDE/>
        <w:autoSpaceDN/>
        <w:bidi w:val="0"/>
        <w:adjustRightInd/>
        <w:snapToGrid/>
        <w:spacing w:line="260" w:lineRule="exact"/>
        <w:ind w:firstLine="6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）发包人应在监理人出具竣工付款证书后的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pPr>
        <w:pStyle w:val="54"/>
        <w:pageBreakBefore w:val="0"/>
        <w:widowControl w:val="0"/>
        <w:kinsoku/>
        <w:wordWrap/>
        <w:overflowPunct/>
        <w:topLinePunct w:val="0"/>
        <w:autoSpaceDE/>
        <w:autoSpaceDN/>
        <w:bidi w:val="0"/>
        <w:adjustRightInd/>
        <w:snapToGrid/>
        <w:spacing w:line="260" w:lineRule="exact"/>
        <w:ind w:firstLine="6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）承包人对发包人签认的竣工付款证书有异议的，发包人可出具竣工付款申请单中承包人已同意部分的临时付款证书。存在争议的部分，按第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pPr>
        <w:pStyle w:val="54"/>
        <w:pageBreakBefore w:val="0"/>
        <w:widowControl w:val="0"/>
        <w:kinsoku/>
        <w:wordWrap/>
        <w:overflowPunct/>
        <w:topLinePunct w:val="0"/>
        <w:autoSpaceDE/>
        <w:autoSpaceDN/>
        <w:bidi w:val="0"/>
        <w:adjustRightInd/>
        <w:snapToGrid/>
        <w:spacing w:line="260" w:lineRule="exact"/>
        <w:ind w:firstLine="6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）竣工付款涉及政府投资资金的，按第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17.6 </w:t>
      </w:r>
      <w:r>
        <w:rPr>
          <w:rFonts w:hint="eastAsia" w:ascii="Times New Roman" w:hAnsi="Times New Roman" w:eastAsia="黑体"/>
          <w:bCs/>
          <w:color w:val="auto"/>
          <w:kern w:val="44"/>
          <w:szCs w:val="21"/>
          <w:highlight w:val="none"/>
          <w:lang w:val="zh-CN"/>
        </w:rPr>
        <w:t>最终结清</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17.6.1 </w:t>
      </w:r>
      <w:r>
        <w:rPr>
          <w:rFonts w:hint="eastAsia" w:ascii="Times New Roman" w:hAnsi="Times New Roman" w:eastAsia="黑体"/>
          <w:color w:val="auto"/>
          <w:szCs w:val="21"/>
          <w:highlight w:val="none"/>
        </w:rPr>
        <w:t>最终结清申请单</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）缺陷责任期终止证书签发后，承包人可按专用合同条款约定的份数和期限向监理人提交最终结清申请单，并提供相关证明材料。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）发包人对最终结清申请单内容有异议的，有权要求承包人进行修正和提供补充资料，由承包人向监理人提交修正后的最终结清申请单。</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17.6.2 </w:t>
      </w:r>
      <w:r>
        <w:rPr>
          <w:rFonts w:hint="eastAsia" w:ascii="Times New Roman" w:hAnsi="Times New Roman" w:eastAsia="黑体"/>
          <w:color w:val="auto"/>
          <w:szCs w:val="21"/>
          <w:highlight w:val="none"/>
        </w:rPr>
        <w:t>最终结清证书和支付时间</w:t>
      </w:r>
      <w:r>
        <w:rPr>
          <w:rFonts w:ascii="Times New Roman" w:hAnsi="Times New Roman"/>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）监理人收到承包人提交的最终结清申请单后的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天内，提出发包人应支付给承包人的价款送发包人审核并抄送承包人。发包人应在收到后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）发包人应在监理人出具最终结清证书后的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）承包人对发包人签认的最终结清证书有异议的，按第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）最终结清付款涉及政府投资资金的，按第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6" w:name="_Toc17688"/>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竣工验收</w:t>
      </w:r>
      <w:bookmarkEnd w:id="116"/>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18.1 </w:t>
      </w:r>
      <w:r>
        <w:rPr>
          <w:rFonts w:hint="eastAsia" w:ascii="Times New Roman" w:hAnsi="Times New Roman" w:eastAsia="黑体"/>
          <w:bCs/>
          <w:color w:val="auto"/>
          <w:kern w:val="44"/>
          <w:szCs w:val="21"/>
          <w:highlight w:val="none"/>
          <w:lang w:val="zh-CN"/>
        </w:rPr>
        <w:t>竣工验收的含义</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18.1.1 </w:t>
      </w:r>
      <w:r>
        <w:rPr>
          <w:rFonts w:hint="eastAsia" w:ascii="Times New Roman" w:hAnsi="Times New Roman"/>
          <w:color w:val="auto"/>
          <w:szCs w:val="21"/>
          <w:highlight w:val="none"/>
        </w:rPr>
        <w:t>竣工验收指承包人完成了全部合同工作后，发包人按合同要求进行的验收。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18.1.2 </w:t>
      </w:r>
      <w:r>
        <w:rPr>
          <w:rFonts w:hint="eastAsia" w:ascii="Times New Roman" w:hAnsi="Times New Roman"/>
          <w:color w:val="auto"/>
          <w:szCs w:val="21"/>
          <w:highlight w:val="none"/>
        </w:rPr>
        <w:t>国家验收是政府有关部门根据法律、规范、规程和政策要求，针对发包人全面组织实施的整个工程正式交付投运前的验收。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18.1.3 </w:t>
      </w:r>
      <w:r>
        <w:rPr>
          <w:rFonts w:hint="eastAsia" w:ascii="Times New Roman" w:hAnsi="Times New Roman"/>
          <w:color w:val="auto"/>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r>
        <w:rPr>
          <w:rFonts w:ascii="Times New Roman" w:hAnsi="Times New Roman"/>
          <w:color w:val="auto"/>
          <w:szCs w:val="21"/>
          <w:highlight w:val="none"/>
        </w:rPr>
        <w:t xml:space="preserve"> </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18.2 </w:t>
      </w:r>
      <w:r>
        <w:rPr>
          <w:rFonts w:hint="eastAsia" w:ascii="Times New Roman" w:hAnsi="Times New Roman" w:eastAsia="黑体"/>
          <w:bCs/>
          <w:color w:val="auto"/>
          <w:kern w:val="44"/>
          <w:szCs w:val="21"/>
          <w:highlight w:val="none"/>
          <w:lang w:val="zh-CN"/>
        </w:rPr>
        <w:t>竣工验收申请报告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当工程具备以下条件时，承包人即可向监理人报送竣工验收申请报告：</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）除监理人同意列入缺陷责任期内完成的尾工（甩项）工程和缺陷修补工作外，合同范围内的全部单位工程以及有关工作，包括合同要求的试验、试运行以及检验和验收均已完成，并符合合同要求；</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）已按合同约定的内容和份数备齐了符合要求的竣工资料；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）已按监理人的要求编制了在缺陷责任期内完成的尾工（甩项）工程和缺陷修补工作清单以及相应施工计划；</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）监理人要求在竣工验收前应完成的其他工作；</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）监理人要求提交的竣工验收资料清单。</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18.3 </w:t>
      </w:r>
      <w:r>
        <w:rPr>
          <w:rFonts w:hint="eastAsia" w:ascii="Times New Roman" w:hAnsi="Times New Roman" w:eastAsia="黑体"/>
          <w:bCs/>
          <w:color w:val="auto"/>
          <w:kern w:val="44"/>
          <w:szCs w:val="21"/>
          <w:highlight w:val="none"/>
          <w:lang w:val="zh-CN"/>
        </w:rPr>
        <w:t>验收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监理人收到承包人按第</w:t>
      </w:r>
      <w:r>
        <w:rPr>
          <w:rFonts w:ascii="Times New Roman" w:hAnsi="Times New Roman"/>
          <w:color w:val="auto"/>
          <w:szCs w:val="21"/>
          <w:highlight w:val="none"/>
        </w:rPr>
        <w:t>18.2</w:t>
      </w:r>
      <w:r>
        <w:rPr>
          <w:rFonts w:hint="eastAsia" w:ascii="Times New Roman" w:hAnsi="Times New Roman"/>
          <w:color w:val="auto"/>
          <w:szCs w:val="21"/>
          <w:highlight w:val="none"/>
        </w:rPr>
        <w:t>款约定提交的竣工验收申请报告后，应审查申请报告的各项内容，并按以下不同情况进行处理。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18.3.1 </w:t>
      </w:r>
      <w:r>
        <w:rPr>
          <w:rFonts w:hint="eastAsia" w:ascii="Times New Roman" w:hAnsi="Times New Roman"/>
          <w:color w:val="auto"/>
          <w:szCs w:val="21"/>
          <w:highlight w:val="none"/>
        </w:rPr>
        <w:t>监理人审查后认为尚不具备竣工验收条件的，应在收到竣工验收申请报告后的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天内通知承包人，指出在颁发接收证书前承包人还需进行的工作内容。承包人完成监理人通知的全部工作内容后，应再次提交竣工验收申请报告，直至监理人同意为止。</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18.3.2 </w:t>
      </w:r>
      <w:r>
        <w:rPr>
          <w:rFonts w:hint="eastAsia" w:ascii="Times New Roman" w:hAnsi="Times New Roman"/>
          <w:color w:val="auto"/>
          <w:szCs w:val="21"/>
          <w:highlight w:val="none"/>
        </w:rPr>
        <w:t>监理人审查后认为已具备竣工验收条件的，应在收到竣工验收申请报告后的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天内提请发包人进行工程验收。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18.3.3</w:t>
      </w:r>
      <w:r>
        <w:rPr>
          <w:rFonts w:hint="eastAsia" w:ascii="Times New Roman" w:hAnsi="Times New Roman"/>
          <w:color w:val="auto"/>
          <w:szCs w:val="21"/>
          <w:highlight w:val="none"/>
        </w:rPr>
        <w:t>发包人经过验收后同意接收工程的，应在监理人收到竣工验收申请报告后的</w:t>
      </w:r>
      <w:r>
        <w:rPr>
          <w:rFonts w:ascii="Times New Roman" w:hAnsi="Times New Roman"/>
          <w:color w:val="auto"/>
          <w:szCs w:val="21"/>
          <w:highlight w:val="none"/>
        </w:rPr>
        <w:t>56</w:t>
      </w:r>
      <w:r>
        <w:rPr>
          <w:rFonts w:hint="eastAsia" w:ascii="Times New Roman" w:hAnsi="Times New Roman"/>
          <w:color w:val="auto"/>
          <w:szCs w:val="21"/>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18.3.4 </w:t>
      </w:r>
      <w:r>
        <w:rPr>
          <w:rFonts w:hint="eastAsia" w:ascii="Times New Roman" w:hAnsi="Times New Roman"/>
          <w:color w:val="auto"/>
          <w:szCs w:val="21"/>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Times New Roman" w:hAnsi="Times New Roman"/>
          <w:color w:val="auto"/>
          <w:szCs w:val="21"/>
          <w:highlight w:val="none"/>
        </w:rPr>
        <w:t>18.3.1</w:t>
      </w:r>
      <w:r>
        <w:rPr>
          <w:rFonts w:hint="eastAsia" w:ascii="Times New Roman" w:hAnsi="Times New Roman"/>
          <w:color w:val="auto"/>
          <w:szCs w:val="21"/>
          <w:highlight w:val="none"/>
        </w:rPr>
        <w:t>项、第</w:t>
      </w:r>
      <w:r>
        <w:rPr>
          <w:rFonts w:ascii="Times New Roman" w:hAnsi="Times New Roman"/>
          <w:color w:val="auto"/>
          <w:szCs w:val="21"/>
          <w:highlight w:val="none"/>
        </w:rPr>
        <w:t>18.3.2</w:t>
      </w:r>
      <w:r>
        <w:rPr>
          <w:rFonts w:hint="eastAsia" w:ascii="Times New Roman" w:hAnsi="Times New Roman"/>
          <w:color w:val="auto"/>
          <w:szCs w:val="21"/>
          <w:highlight w:val="none"/>
        </w:rPr>
        <w:t>项和第</w:t>
      </w:r>
      <w:r>
        <w:rPr>
          <w:rFonts w:ascii="Times New Roman" w:hAnsi="Times New Roman"/>
          <w:color w:val="auto"/>
          <w:szCs w:val="21"/>
          <w:highlight w:val="none"/>
        </w:rPr>
        <w:t>18.3.3</w:t>
      </w:r>
      <w:r>
        <w:rPr>
          <w:rFonts w:hint="eastAsia" w:ascii="Times New Roman" w:hAnsi="Times New Roman"/>
          <w:color w:val="auto"/>
          <w:szCs w:val="21"/>
          <w:highlight w:val="none"/>
        </w:rPr>
        <w:t>项的约定进行。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18.3.5 </w:t>
      </w:r>
      <w:r>
        <w:rPr>
          <w:rFonts w:hint="eastAsia" w:ascii="Times New Roman" w:hAnsi="Times New Roman"/>
          <w:color w:val="auto"/>
          <w:szCs w:val="21"/>
          <w:highlight w:val="none"/>
        </w:rPr>
        <w:t>除专用合同条款另有约定外，经验收合格工程的实际竣工日期，以提交竣工验收申请报告的日期为准，并在工程接收证书中写明。</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18.3.6 </w:t>
      </w:r>
      <w:r>
        <w:rPr>
          <w:rFonts w:hint="eastAsia" w:ascii="Times New Roman" w:hAnsi="Times New Roman"/>
          <w:color w:val="auto"/>
          <w:szCs w:val="21"/>
          <w:highlight w:val="none"/>
        </w:rPr>
        <w:t>发包人在收到承包人竣工验收申请报告</w:t>
      </w:r>
      <w:r>
        <w:rPr>
          <w:rFonts w:ascii="Times New Roman" w:hAnsi="Times New Roman"/>
          <w:color w:val="auto"/>
          <w:szCs w:val="21"/>
          <w:highlight w:val="none"/>
        </w:rPr>
        <w:t>56</w:t>
      </w:r>
      <w:r>
        <w:rPr>
          <w:rFonts w:hint="eastAsia" w:ascii="Times New Roman" w:hAnsi="Times New Roman"/>
          <w:color w:val="auto"/>
          <w:szCs w:val="21"/>
          <w:highlight w:val="none"/>
        </w:rPr>
        <w:t>天后未进行验收的，视为验收合格，实际竣工日期以提交竣工验收申请报告的日期为准，但发包人由于不可抗力不能进行验收的除外。</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18.4 </w:t>
      </w:r>
      <w:r>
        <w:rPr>
          <w:rFonts w:hint="eastAsia" w:ascii="Times New Roman" w:hAnsi="Times New Roman" w:eastAsia="黑体"/>
          <w:bCs/>
          <w:color w:val="auto"/>
          <w:kern w:val="44"/>
          <w:szCs w:val="21"/>
          <w:highlight w:val="none"/>
          <w:lang w:val="zh-CN"/>
        </w:rPr>
        <w:t>单位工程验收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eastAsia="黑体"/>
          <w:color w:val="auto"/>
          <w:szCs w:val="21"/>
          <w:highlight w:val="none"/>
        </w:rPr>
        <w:t>18.4.1</w:t>
      </w:r>
      <w:r>
        <w:rPr>
          <w:rFonts w:hint="eastAsia" w:ascii="Times New Roman" w:hAnsi="Times New Roman"/>
          <w:color w:val="auto"/>
          <w:szCs w:val="21"/>
          <w:highlight w:val="none"/>
        </w:rPr>
        <w:t>发包人根据合同进度计划安排，在全部工程竣工前需要使用已经竣工的单位工程时，或承包人提出经发包人同意时，可进行单位工程验收。验收的程序可参照第</w:t>
      </w:r>
      <w:r>
        <w:rPr>
          <w:rFonts w:ascii="Times New Roman" w:hAnsi="Times New Roman"/>
          <w:color w:val="auto"/>
          <w:szCs w:val="21"/>
          <w:highlight w:val="none"/>
        </w:rPr>
        <w:t>18.2</w:t>
      </w:r>
      <w:r>
        <w:rPr>
          <w:rFonts w:hint="eastAsia" w:ascii="Times New Roman" w:hAnsi="Times New Roman"/>
          <w:color w:val="auto"/>
          <w:szCs w:val="21"/>
          <w:highlight w:val="none"/>
        </w:rPr>
        <w:t>款与第</w:t>
      </w:r>
      <w:r>
        <w:rPr>
          <w:rFonts w:ascii="Times New Roman" w:hAnsi="Times New Roman"/>
          <w:color w:val="auto"/>
          <w:szCs w:val="21"/>
          <w:highlight w:val="none"/>
        </w:rPr>
        <w:t>18.3</w:t>
      </w:r>
      <w:r>
        <w:rPr>
          <w:rFonts w:hint="eastAsia" w:ascii="Times New Roman" w:hAnsi="Times New Roman"/>
          <w:color w:val="auto"/>
          <w:szCs w:val="21"/>
          <w:highlight w:val="none"/>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18.4.2</w:t>
      </w:r>
      <w:r>
        <w:rPr>
          <w:rFonts w:hint="eastAsia" w:ascii="Times New Roman" w:hAnsi="Times New Roman"/>
          <w:color w:val="auto"/>
          <w:szCs w:val="21"/>
          <w:highlight w:val="none"/>
        </w:rPr>
        <w:t>发包人在全部工程竣工前，使用已接收的单位工程导致承包人费用增加的，发包人应承担由此增加的费用和（或）工期延误，并支付承包人合理利润。</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18.5</w:t>
      </w:r>
      <w:r>
        <w:rPr>
          <w:rFonts w:hint="eastAsia" w:ascii="Times New Roman" w:hAnsi="Times New Roman" w:eastAsia="黑体"/>
          <w:bCs/>
          <w:color w:val="auto"/>
          <w:kern w:val="44"/>
          <w:szCs w:val="21"/>
          <w:highlight w:val="none"/>
          <w:lang w:val="zh-CN"/>
        </w:rPr>
        <w:t>施工期运行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18.5.1 </w:t>
      </w:r>
      <w:r>
        <w:rPr>
          <w:rFonts w:hint="eastAsia" w:ascii="Times New Roman" w:hAnsi="Times New Roman"/>
          <w:color w:val="auto"/>
          <w:szCs w:val="21"/>
          <w:highlight w:val="none"/>
        </w:rPr>
        <w:t>施工期运行是指合同工程尚未全部竣工，其中某项或某几项单位工程或工程设备安装已竣工，根据专用合同条款约定，需要投入施工期运行的，经发包人按第</w:t>
      </w:r>
      <w:r>
        <w:rPr>
          <w:rFonts w:ascii="Times New Roman" w:hAnsi="Times New Roman"/>
          <w:color w:val="auto"/>
          <w:szCs w:val="21"/>
          <w:highlight w:val="none"/>
        </w:rPr>
        <w:t>18.4</w:t>
      </w:r>
      <w:r>
        <w:rPr>
          <w:rFonts w:hint="eastAsia" w:ascii="Times New Roman" w:hAnsi="Times New Roman"/>
          <w:color w:val="auto"/>
          <w:szCs w:val="21"/>
          <w:highlight w:val="none"/>
        </w:rPr>
        <w:t>款的约定验收合格，证明能确保安全后，才能在施工期投入运行。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18.5.2 </w:t>
      </w:r>
      <w:r>
        <w:rPr>
          <w:rFonts w:hint="eastAsia" w:ascii="Times New Roman" w:hAnsi="Times New Roman"/>
          <w:color w:val="auto"/>
          <w:szCs w:val="21"/>
          <w:highlight w:val="none"/>
        </w:rPr>
        <w:t>在施工期运行中发现工程或工程设备损坏或存在缺陷的，由承包人按第</w:t>
      </w:r>
      <w:r>
        <w:rPr>
          <w:rFonts w:ascii="Times New Roman" w:hAnsi="Times New Roman"/>
          <w:color w:val="auto"/>
          <w:szCs w:val="21"/>
          <w:highlight w:val="none"/>
        </w:rPr>
        <w:t>19.2</w:t>
      </w:r>
      <w:r>
        <w:rPr>
          <w:rFonts w:hint="eastAsia" w:ascii="Times New Roman" w:hAnsi="Times New Roman"/>
          <w:color w:val="auto"/>
          <w:szCs w:val="21"/>
          <w:highlight w:val="none"/>
        </w:rPr>
        <w:t>款约定进行修复。</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18.6 </w:t>
      </w:r>
      <w:r>
        <w:rPr>
          <w:rFonts w:hint="eastAsia" w:ascii="Times New Roman" w:hAnsi="Times New Roman" w:eastAsia="黑体"/>
          <w:bCs/>
          <w:color w:val="auto"/>
          <w:kern w:val="44"/>
          <w:szCs w:val="21"/>
          <w:highlight w:val="none"/>
          <w:lang w:val="zh-CN"/>
        </w:rPr>
        <w:t>试运行（本项目不适用）</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18.7 </w:t>
      </w:r>
      <w:r>
        <w:rPr>
          <w:rFonts w:hint="eastAsia" w:ascii="Times New Roman" w:hAnsi="Times New Roman" w:eastAsia="黑体"/>
          <w:bCs/>
          <w:color w:val="auto"/>
          <w:kern w:val="44"/>
          <w:szCs w:val="21"/>
          <w:highlight w:val="none"/>
          <w:lang w:val="zh-CN"/>
        </w:rPr>
        <w:t>竣工清场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18.7.1</w:t>
      </w:r>
      <w:r>
        <w:rPr>
          <w:rFonts w:hint="eastAsia" w:ascii="Times New Roman" w:hAnsi="Times New Roman"/>
          <w:color w:val="auto"/>
          <w:szCs w:val="21"/>
          <w:highlight w:val="none"/>
        </w:rPr>
        <w:t>除合同另有约定外，工程接收证书颁发后，承包人应按以下要求对施工场地进行清理，直至监理人检验合格为止。竣工清场费用由承包人承担。</w:t>
      </w:r>
    </w:p>
    <w:p>
      <w:pPr>
        <w:pStyle w:val="54"/>
        <w:pageBreakBefore w:val="0"/>
        <w:widowControl w:val="0"/>
        <w:kinsoku/>
        <w:wordWrap/>
        <w:overflowPunct/>
        <w:topLinePunct w:val="0"/>
        <w:autoSpaceDE/>
        <w:autoSpaceDN/>
        <w:bidi w:val="0"/>
        <w:adjustRightInd/>
        <w:snapToGrid/>
        <w:spacing w:line="260" w:lineRule="exact"/>
        <w:ind w:firstLine="569" w:firstLineChars="271"/>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）施工场地内残留的垃圾已全部清除出场；</w:t>
      </w:r>
    </w:p>
    <w:p>
      <w:pPr>
        <w:pStyle w:val="54"/>
        <w:pageBreakBefore w:val="0"/>
        <w:widowControl w:val="0"/>
        <w:kinsoku/>
        <w:wordWrap/>
        <w:overflowPunct/>
        <w:topLinePunct w:val="0"/>
        <w:autoSpaceDE/>
        <w:autoSpaceDN/>
        <w:bidi w:val="0"/>
        <w:adjustRightInd/>
        <w:snapToGrid/>
        <w:spacing w:line="260" w:lineRule="exact"/>
        <w:ind w:firstLine="569" w:firstLineChars="271"/>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）临时工程已拆除，场地已按合同要求进行清理、平整或复原；</w:t>
      </w:r>
    </w:p>
    <w:p>
      <w:pPr>
        <w:pStyle w:val="54"/>
        <w:pageBreakBefore w:val="0"/>
        <w:widowControl w:val="0"/>
        <w:kinsoku/>
        <w:wordWrap/>
        <w:overflowPunct/>
        <w:topLinePunct w:val="0"/>
        <w:autoSpaceDE/>
        <w:autoSpaceDN/>
        <w:bidi w:val="0"/>
        <w:adjustRightInd/>
        <w:snapToGrid/>
        <w:spacing w:line="260" w:lineRule="exact"/>
        <w:ind w:firstLine="569" w:firstLineChars="271"/>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）按合同约定应撤离的承包人设备和剩余的材料，包括废弃的施工设备和材料，已按计划撤离施工场地；</w:t>
      </w:r>
    </w:p>
    <w:p>
      <w:pPr>
        <w:pStyle w:val="54"/>
        <w:pageBreakBefore w:val="0"/>
        <w:widowControl w:val="0"/>
        <w:kinsoku/>
        <w:wordWrap/>
        <w:overflowPunct/>
        <w:topLinePunct w:val="0"/>
        <w:autoSpaceDE/>
        <w:autoSpaceDN/>
        <w:bidi w:val="0"/>
        <w:adjustRightInd/>
        <w:snapToGrid/>
        <w:spacing w:line="260" w:lineRule="exact"/>
        <w:ind w:firstLine="569" w:firstLineChars="271"/>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）工程建筑物周边及其附近道路、河道的施工堆积物，已按监理人指示全部清理；</w:t>
      </w:r>
    </w:p>
    <w:p>
      <w:pPr>
        <w:pStyle w:val="54"/>
        <w:pageBreakBefore w:val="0"/>
        <w:widowControl w:val="0"/>
        <w:kinsoku/>
        <w:wordWrap/>
        <w:overflowPunct/>
        <w:topLinePunct w:val="0"/>
        <w:autoSpaceDE/>
        <w:autoSpaceDN/>
        <w:bidi w:val="0"/>
        <w:adjustRightInd/>
        <w:snapToGrid/>
        <w:spacing w:line="260" w:lineRule="exact"/>
        <w:ind w:firstLine="569" w:firstLineChars="271"/>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）监理人指示的其他场地清理工作已全部完成。</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18.7.2</w:t>
      </w:r>
      <w:r>
        <w:rPr>
          <w:rFonts w:hint="eastAsia" w:ascii="Times New Roman" w:hAnsi="Times New Roman"/>
          <w:color w:val="auto"/>
          <w:szCs w:val="21"/>
          <w:highlight w:val="none"/>
        </w:rPr>
        <w:t>承包人未按监理人的要求恢复临时占地，或者场地清理未达到合同约定的，发包人有权委托其他人恢复或清理，所发生的金额从拟支付给承包人的款项中扣除。</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18.8</w:t>
      </w:r>
      <w:r>
        <w:rPr>
          <w:rFonts w:hint="eastAsia" w:ascii="Times New Roman" w:hAnsi="Times New Roman" w:eastAsia="黑体"/>
          <w:bCs/>
          <w:color w:val="auto"/>
          <w:kern w:val="44"/>
          <w:szCs w:val="21"/>
          <w:highlight w:val="none"/>
          <w:lang w:val="zh-CN"/>
        </w:rPr>
        <w:t>施工队伍的撤离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工程接收证书颁发后的</w:t>
      </w:r>
      <w:r>
        <w:rPr>
          <w:rFonts w:ascii="Times New Roman" w:hAnsi="Times New Roman"/>
          <w:color w:val="auto"/>
          <w:szCs w:val="21"/>
          <w:highlight w:val="none"/>
        </w:rPr>
        <w:t>56</w:t>
      </w:r>
      <w:r>
        <w:rPr>
          <w:rFonts w:hint="eastAsia" w:ascii="Times New Roman" w:hAnsi="Times New Roman"/>
          <w:color w:val="auto"/>
          <w:szCs w:val="21"/>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7" w:name="_Toc27265"/>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缺陷责任与保修责任</w:t>
      </w:r>
      <w:bookmarkEnd w:id="117"/>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19.1 </w:t>
      </w:r>
      <w:r>
        <w:rPr>
          <w:rFonts w:hint="eastAsia" w:ascii="Times New Roman" w:hAnsi="Times New Roman" w:eastAsia="黑体"/>
          <w:bCs/>
          <w:color w:val="auto"/>
          <w:kern w:val="44"/>
          <w:szCs w:val="21"/>
          <w:highlight w:val="none"/>
          <w:lang w:val="zh-CN"/>
        </w:rPr>
        <w:t>缺陷责任期的起算时间</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缺陷责任期自实际竣工日期起计算。在全部工程竣工验收前，已经发包人提前验收的单位工程，其缺陷责任期的起算日期相应提前。</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19.2 </w:t>
      </w:r>
      <w:r>
        <w:rPr>
          <w:rFonts w:hint="eastAsia" w:ascii="Times New Roman" w:hAnsi="Times New Roman" w:eastAsia="黑体"/>
          <w:bCs/>
          <w:color w:val="auto"/>
          <w:kern w:val="44"/>
          <w:szCs w:val="21"/>
          <w:highlight w:val="none"/>
          <w:lang w:val="zh-CN"/>
        </w:rPr>
        <w:t>缺陷责任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19.2.1 </w:t>
      </w:r>
      <w:r>
        <w:rPr>
          <w:rFonts w:hint="eastAsia" w:ascii="Times New Roman" w:hAnsi="Times New Roman"/>
          <w:color w:val="auto"/>
          <w:szCs w:val="21"/>
          <w:highlight w:val="none"/>
        </w:rPr>
        <w:t>承包人应在缺陷责任期内对已交付使用的工程承担缺陷责任。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19.2.2 </w:t>
      </w:r>
      <w:r>
        <w:rPr>
          <w:rFonts w:hint="eastAsia" w:ascii="Times New Roman" w:hAnsi="Times New Roman"/>
          <w:color w:val="auto"/>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19.2.3 </w:t>
      </w:r>
      <w:r>
        <w:rPr>
          <w:rFonts w:hint="eastAsia" w:ascii="Times New Roman" w:hAnsi="Times New Roman"/>
          <w:color w:val="auto"/>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19.2.4 </w:t>
      </w:r>
      <w:r>
        <w:rPr>
          <w:rFonts w:hint="eastAsia" w:ascii="Times New Roman" w:hAnsi="Times New Roman"/>
          <w:color w:val="auto"/>
          <w:szCs w:val="21"/>
          <w:highlight w:val="none"/>
        </w:rPr>
        <w:t>承包人不能在合理时间内修复缺陷的，发包人可自行修复或委托其他人修复，所需费用和利润的承担，按第</w:t>
      </w:r>
      <w:r>
        <w:rPr>
          <w:rFonts w:ascii="Times New Roman" w:hAnsi="Times New Roman"/>
          <w:color w:val="auto"/>
          <w:szCs w:val="21"/>
          <w:highlight w:val="none"/>
        </w:rPr>
        <w:t>19.2.3</w:t>
      </w:r>
      <w:r>
        <w:rPr>
          <w:rFonts w:hint="eastAsia" w:ascii="Times New Roman" w:hAnsi="Times New Roman"/>
          <w:color w:val="auto"/>
          <w:szCs w:val="21"/>
          <w:highlight w:val="none"/>
        </w:rPr>
        <w:t>项约定办理。</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19.3 </w:t>
      </w:r>
      <w:r>
        <w:rPr>
          <w:rFonts w:hint="eastAsia" w:ascii="Times New Roman" w:hAnsi="Times New Roman" w:eastAsia="黑体"/>
          <w:bCs/>
          <w:color w:val="auto"/>
          <w:kern w:val="44"/>
          <w:szCs w:val="21"/>
          <w:highlight w:val="none"/>
          <w:lang w:val="zh-CN"/>
        </w:rPr>
        <w:t>缺陷责任期的延长</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color w:val="auto"/>
          <w:szCs w:val="21"/>
          <w:highlight w:val="none"/>
        </w:rPr>
        <w:t>2</w:t>
      </w:r>
      <w:r>
        <w:rPr>
          <w:rFonts w:hint="eastAsia" w:ascii="Times New Roman" w:hAnsi="Times New Roman"/>
          <w:color w:val="auto"/>
          <w:szCs w:val="21"/>
          <w:highlight w:val="none"/>
        </w:rPr>
        <w:t>年。</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19.4 </w:t>
      </w:r>
      <w:r>
        <w:rPr>
          <w:rFonts w:hint="eastAsia" w:ascii="Times New Roman" w:hAnsi="Times New Roman" w:eastAsia="黑体"/>
          <w:bCs/>
          <w:color w:val="auto"/>
          <w:kern w:val="44"/>
          <w:szCs w:val="21"/>
          <w:highlight w:val="none"/>
          <w:lang w:val="zh-CN"/>
        </w:rPr>
        <w:t>进一步试验和试运行</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19.5 </w:t>
      </w:r>
      <w:r>
        <w:rPr>
          <w:rFonts w:hint="eastAsia" w:ascii="Times New Roman" w:hAnsi="Times New Roman" w:eastAsia="黑体"/>
          <w:bCs/>
          <w:color w:val="auto"/>
          <w:kern w:val="44"/>
          <w:szCs w:val="21"/>
          <w:highlight w:val="none"/>
          <w:lang w:val="zh-CN"/>
        </w:rPr>
        <w:t>承包人的进入权</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35"/>
        <w:textAlignment w:val="auto"/>
        <w:rPr>
          <w:rFonts w:ascii="Times New Roman" w:hAnsi="Times New Roman"/>
          <w:color w:val="auto"/>
          <w:szCs w:val="21"/>
          <w:highlight w:val="none"/>
        </w:rPr>
      </w:pPr>
      <w:r>
        <w:rPr>
          <w:rFonts w:hint="eastAsia" w:ascii="Times New Roman" w:hAnsi="Times New Roman"/>
          <w:color w:val="auto"/>
          <w:szCs w:val="21"/>
          <w:highlight w:val="none"/>
        </w:rPr>
        <w:t>缺陷责任期内承包人为缺陷修复工作需要，有权进入工程现场，但应遵守发包人的保安和保密规定。</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19.6 </w:t>
      </w:r>
      <w:r>
        <w:rPr>
          <w:rFonts w:hint="eastAsia" w:ascii="Times New Roman" w:hAnsi="Times New Roman" w:eastAsia="黑体"/>
          <w:bCs/>
          <w:color w:val="auto"/>
          <w:kern w:val="44"/>
          <w:szCs w:val="21"/>
          <w:highlight w:val="none"/>
          <w:lang w:val="zh-CN"/>
        </w:rPr>
        <w:t>缺陷责任期终止证书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目约定的缺陷责任期，包括根据第</w:t>
      </w:r>
      <w:r>
        <w:rPr>
          <w:rFonts w:ascii="Times New Roman" w:hAnsi="Times New Roman"/>
          <w:color w:val="auto"/>
          <w:szCs w:val="21"/>
          <w:highlight w:val="none"/>
        </w:rPr>
        <w:t>19.3</w:t>
      </w:r>
      <w:r>
        <w:rPr>
          <w:rFonts w:hint="eastAsia" w:ascii="Times New Roman" w:hAnsi="Times New Roman"/>
          <w:color w:val="auto"/>
          <w:szCs w:val="21"/>
          <w:highlight w:val="none"/>
        </w:rPr>
        <w:t>款延长的期限终止后</w:t>
      </w:r>
      <w:r>
        <w:rPr>
          <w:rFonts w:ascii="Times New Roman" w:hAnsi="Times New Roman"/>
          <w:color w:val="auto"/>
          <w:szCs w:val="21"/>
          <w:highlight w:val="none"/>
        </w:rPr>
        <w:t>14</w:t>
      </w:r>
      <w:r>
        <w:rPr>
          <w:rFonts w:hint="eastAsia" w:ascii="Times New Roman" w:hAnsi="Times New Roman"/>
          <w:color w:val="auto"/>
          <w:szCs w:val="21"/>
          <w:highlight w:val="none"/>
        </w:rPr>
        <w:t>天内，由监理人向承包人出具经发包人签认的缺陷责任期终止证书，并退还剩余的质量保证金。</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19.7 </w:t>
      </w:r>
      <w:r>
        <w:rPr>
          <w:rFonts w:hint="eastAsia" w:ascii="Times New Roman" w:hAnsi="Times New Roman" w:eastAsia="黑体"/>
          <w:bCs/>
          <w:color w:val="auto"/>
          <w:kern w:val="44"/>
          <w:szCs w:val="21"/>
          <w:highlight w:val="none"/>
          <w:lang w:val="zh-CN"/>
        </w:rPr>
        <w:t>保修责任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8" w:name="_Toc18267"/>
      <w:r>
        <w:rPr>
          <w:rFonts w:ascii="Times New Roman" w:hAnsi="Times New Roman" w:eastAsia="黑体"/>
          <w:bCs/>
          <w:color w:val="auto"/>
          <w:kern w:val="44"/>
          <w:szCs w:val="21"/>
          <w:highlight w:val="none"/>
          <w:lang w:val="zh-CN"/>
        </w:rPr>
        <w:t xml:space="preserve">20. </w:t>
      </w:r>
      <w:r>
        <w:rPr>
          <w:rFonts w:hint="eastAsia" w:ascii="Times New Roman" w:hAnsi="Times New Roman" w:eastAsia="黑体"/>
          <w:bCs/>
          <w:color w:val="auto"/>
          <w:kern w:val="44"/>
          <w:szCs w:val="21"/>
          <w:highlight w:val="none"/>
          <w:lang w:val="zh-CN"/>
        </w:rPr>
        <w:t>保险</w:t>
      </w:r>
      <w:bookmarkEnd w:id="118"/>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20.1</w:t>
      </w:r>
      <w:r>
        <w:rPr>
          <w:rFonts w:hint="eastAsia" w:ascii="Times New Roman" w:hAnsi="Times New Roman" w:eastAsia="黑体"/>
          <w:bCs/>
          <w:color w:val="auto"/>
          <w:kern w:val="44"/>
          <w:szCs w:val="21"/>
          <w:highlight w:val="none"/>
          <w:lang w:val="zh-CN"/>
        </w:rPr>
        <w:t>工程保险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20.2</w:t>
      </w:r>
      <w:r>
        <w:rPr>
          <w:rFonts w:hint="eastAsia" w:ascii="Times New Roman" w:hAnsi="Times New Roman" w:eastAsia="黑体"/>
          <w:bCs/>
          <w:color w:val="auto"/>
          <w:kern w:val="44"/>
          <w:szCs w:val="21"/>
          <w:highlight w:val="none"/>
          <w:lang w:val="zh-CN"/>
        </w:rPr>
        <w:t>人员工伤事故的保险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20.2.1 </w:t>
      </w:r>
      <w:r>
        <w:rPr>
          <w:rFonts w:hint="eastAsia" w:ascii="Times New Roman" w:hAnsi="Times New Roman" w:eastAsia="黑体"/>
          <w:color w:val="auto"/>
          <w:szCs w:val="21"/>
          <w:highlight w:val="none"/>
        </w:rPr>
        <w:t>承包人员工伤事故的保险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承包人应依照有关法律规定参加工伤保险，为其履行合同所雇用的全部人员，缴纳工伤保险费，并要求其分包人也进行此项保险。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20.2.2</w:t>
      </w:r>
      <w:r>
        <w:rPr>
          <w:rFonts w:hint="eastAsia" w:ascii="Times New Roman" w:hAnsi="Times New Roman" w:eastAsia="黑体"/>
          <w:color w:val="auto"/>
          <w:szCs w:val="21"/>
          <w:highlight w:val="none"/>
        </w:rPr>
        <w:t>发包人员工伤事故的保险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发包人应依照有关法律规定参加工伤保险，为其现场机构雇用的全部人员，缴纳工伤保险费，并要求其监理人也进行此项保险。</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20.3 </w:t>
      </w:r>
      <w:r>
        <w:rPr>
          <w:rFonts w:hint="eastAsia" w:ascii="Times New Roman" w:hAnsi="Times New Roman" w:eastAsia="黑体"/>
          <w:bCs/>
          <w:color w:val="auto"/>
          <w:kern w:val="44"/>
          <w:szCs w:val="21"/>
          <w:highlight w:val="none"/>
          <w:lang w:val="zh-CN"/>
        </w:rPr>
        <w:t>人身意外伤害险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20.3.1</w:t>
      </w:r>
      <w:r>
        <w:rPr>
          <w:rFonts w:hint="eastAsia" w:ascii="Times New Roman" w:hAnsi="Times New Roman"/>
          <w:color w:val="auto"/>
          <w:szCs w:val="21"/>
          <w:highlight w:val="none"/>
        </w:rPr>
        <w:t>发包人应在整个施工期间为其现场机构雇用的全部人员，投保人身意外伤害险，缴纳保险费，并要求其监理人也进行此项保险。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20.3.2 </w:t>
      </w:r>
      <w:r>
        <w:rPr>
          <w:rFonts w:hint="eastAsia" w:ascii="Times New Roman" w:hAnsi="Times New Roman"/>
          <w:color w:val="auto"/>
          <w:szCs w:val="21"/>
          <w:highlight w:val="none"/>
        </w:rPr>
        <w:t>承包人应在整个施工期间为其现场机构雇用的全部人员，投保人身意外伤害险，缴纳保险费，并要求其分包人也进行此项保险。</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19" w:name="_Toc7931"/>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不可抗力</w:t>
      </w:r>
      <w:bookmarkEnd w:id="119"/>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21.1 </w:t>
      </w:r>
      <w:r>
        <w:rPr>
          <w:rFonts w:hint="eastAsia" w:ascii="Times New Roman" w:hAnsi="Times New Roman" w:eastAsia="黑体"/>
          <w:bCs/>
          <w:color w:val="auto"/>
          <w:kern w:val="44"/>
          <w:szCs w:val="21"/>
          <w:highlight w:val="none"/>
          <w:lang w:val="zh-CN"/>
        </w:rPr>
        <w:t>不可抗力的确认</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21.1.1 </w:t>
      </w:r>
      <w:r>
        <w:rPr>
          <w:rFonts w:hint="eastAsia" w:ascii="Times New Roman" w:hAnsi="Times New Roman"/>
          <w:color w:val="auto"/>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21.1.2 </w:t>
      </w:r>
      <w:r>
        <w:rPr>
          <w:rFonts w:hint="eastAsia" w:ascii="Times New Roman" w:hAnsi="Times New Roman"/>
          <w:color w:val="auto"/>
          <w:szCs w:val="21"/>
          <w:highlight w:val="none"/>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款商定或确定。发生争议时，按第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21.2 </w:t>
      </w:r>
      <w:r>
        <w:rPr>
          <w:rFonts w:hint="eastAsia" w:ascii="Times New Roman" w:hAnsi="Times New Roman" w:eastAsia="黑体"/>
          <w:bCs/>
          <w:color w:val="auto"/>
          <w:kern w:val="44"/>
          <w:szCs w:val="21"/>
          <w:highlight w:val="none"/>
          <w:lang w:val="zh-CN"/>
        </w:rPr>
        <w:t>不可抗力的通知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21.2.1 </w:t>
      </w:r>
      <w:r>
        <w:rPr>
          <w:rFonts w:hint="eastAsia" w:ascii="Times New Roman" w:hAnsi="Times New Roman"/>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21.2.2 </w:t>
      </w:r>
      <w:r>
        <w:rPr>
          <w:rFonts w:hint="eastAsia" w:ascii="Times New Roman" w:hAnsi="Times New Roman"/>
          <w:color w:val="auto"/>
          <w:szCs w:val="21"/>
          <w:highlight w:val="none"/>
        </w:rPr>
        <w:t>如不可抗力持续发生，合同一方当事人应及时向合同另一方当事人和监理人提交中间报告，说明不可抗力和履行合同受阻的情况，并于不可抗力事件结束后</w:t>
      </w:r>
      <w:r>
        <w:rPr>
          <w:rFonts w:ascii="Times New Roman" w:hAnsi="Times New Roman"/>
          <w:color w:val="auto"/>
          <w:szCs w:val="21"/>
          <w:highlight w:val="none"/>
        </w:rPr>
        <w:t>28</w:t>
      </w:r>
      <w:r>
        <w:rPr>
          <w:rFonts w:hint="eastAsia" w:ascii="Times New Roman" w:hAnsi="Times New Roman"/>
          <w:color w:val="auto"/>
          <w:szCs w:val="21"/>
          <w:highlight w:val="none"/>
        </w:rPr>
        <w:t>天内提交最终报告及有关资料。</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21.3 </w:t>
      </w:r>
      <w:r>
        <w:rPr>
          <w:rFonts w:hint="eastAsia" w:ascii="Times New Roman" w:hAnsi="Times New Roman" w:eastAsia="黑体"/>
          <w:bCs/>
          <w:color w:val="auto"/>
          <w:kern w:val="44"/>
          <w:szCs w:val="21"/>
          <w:highlight w:val="none"/>
          <w:lang w:val="zh-CN"/>
        </w:rPr>
        <w:t>不可抗力后果及其处理</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21.3.1 </w:t>
      </w:r>
      <w:r>
        <w:rPr>
          <w:rFonts w:hint="eastAsia" w:ascii="Times New Roman" w:hAnsi="Times New Roman" w:eastAsia="黑体"/>
          <w:color w:val="auto"/>
          <w:szCs w:val="21"/>
          <w:highlight w:val="none"/>
        </w:rPr>
        <w:t>不可抗力造成损害的责任</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除专用合同条款另有约定外，不可抗力导致的人员伤亡、财产损失、费用增加和（或）工期延误等后果，由合同双方按以下原则承担：</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）永久工程，包括已运至施工场地的材料和工程设备的损害，以及因工程损害造成的第三者人员伤亡和财产损失由发包人承担；</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）承包人设备的损坏由承包人承担；</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）发包人和承包人各自承担其人员伤亡和其他财产损失及其相关费用；</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）承包人的停工损失由承包人承担，但停工期间应监理人要求照管工程和清理、修复工程的金额由发包人承担；</w:t>
      </w:r>
    </w:p>
    <w:p>
      <w:pPr>
        <w:pStyle w:val="54"/>
        <w:pageBreakBefore w:val="0"/>
        <w:widowControl w:val="0"/>
        <w:kinsoku/>
        <w:wordWrap/>
        <w:overflowPunct/>
        <w:topLinePunct w:val="0"/>
        <w:autoSpaceDE/>
        <w:autoSpaceDN/>
        <w:bidi w:val="0"/>
        <w:adjustRightInd/>
        <w:snapToGrid/>
        <w:spacing w:line="260" w:lineRule="exact"/>
        <w:textAlignment w:val="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）不能按期竣工的，应合理延长工期，承包人不需支付逾期竣工违约金。发包人要求赶工的，承包人应采取赶工措施，赶工费用由发包人承担。</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21.3.2 </w:t>
      </w:r>
      <w:r>
        <w:rPr>
          <w:rFonts w:hint="eastAsia" w:ascii="Times New Roman" w:hAnsi="Times New Roman" w:eastAsia="黑体"/>
          <w:color w:val="auto"/>
          <w:szCs w:val="21"/>
          <w:highlight w:val="none"/>
        </w:rPr>
        <w:t>延迟履行期间发生的不可抗力</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合同一方当事人延迟履行，在延迟履行期间发生不可抗力的，不免除其责任。</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21.3.3 </w:t>
      </w:r>
      <w:r>
        <w:rPr>
          <w:rFonts w:hint="eastAsia" w:ascii="Times New Roman" w:hAnsi="Times New Roman" w:eastAsia="黑体"/>
          <w:color w:val="auto"/>
          <w:szCs w:val="21"/>
          <w:highlight w:val="none"/>
        </w:rPr>
        <w:t>避免和减少不可抗力损失</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不可抗力发生后，发包人和承包人均应采取措施尽量避免和减少损失的扩大，任何一方没有采取有效措施导致损失扩大的，应对扩大的损失承担责任。</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21.3.4 </w:t>
      </w:r>
      <w:r>
        <w:rPr>
          <w:rFonts w:hint="eastAsia" w:ascii="Times New Roman" w:hAnsi="Times New Roman" w:eastAsia="黑体"/>
          <w:color w:val="auto"/>
          <w:szCs w:val="21"/>
          <w:highlight w:val="none"/>
        </w:rPr>
        <w:t>因不可抗力解除合同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合同一方当事人因不可抗力不能履行合同的，应当及时通知对方解除合同。合同解除后，承包人应按照第</w:t>
      </w:r>
      <w:r>
        <w:rPr>
          <w:rFonts w:ascii="Times New Roman" w:hAnsi="Times New Roman"/>
          <w:color w:val="auto"/>
          <w:szCs w:val="21"/>
          <w:highlight w:val="none"/>
        </w:rPr>
        <w:t>22.2.5</w:t>
      </w:r>
      <w:r>
        <w:rPr>
          <w:rFonts w:hint="eastAsia" w:ascii="Times New Roman" w:hAnsi="Times New Roman"/>
          <w:color w:val="auto"/>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color w:val="auto"/>
          <w:szCs w:val="21"/>
          <w:highlight w:val="none"/>
        </w:rPr>
        <w:t>22.2.4</w:t>
      </w:r>
      <w:r>
        <w:rPr>
          <w:rFonts w:hint="eastAsia" w:ascii="Times New Roman" w:hAnsi="Times New Roman"/>
          <w:color w:val="auto"/>
          <w:szCs w:val="21"/>
          <w:highlight w:val="none"/>
        </w:rPr>
        <w:t>项约定，由监理人按第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bookmarkStart w:id="120" w:name="_Toc3398"/>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违约</w:t>
      </w:r>
      <w:bookmarkEnd w:id="120"/>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22.1 </w:t>
      </w:r>
      <w:r>
        <w:rPr>
          <w:rFonts w:hint="eastAsia" w:ascii="Times New Roman" w:hAnsi="Times New Roman" w:eastAsia="黑体"/>
          <w:bCs/>
          <w:color w:val="auto"/>
          <w:kern w:val="44"/>
          <w:szCs w:val="21"/>
          <w:highlight w:val="none"/>
          <w:lang w:val="zh-CN"/>
        </w:rPr>
        <w:t>承包人违约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22.1.1 </w:t>
      </w:r>
      <w:r>
        <w:rPr>
          <w:rFonts w:hint="eastAsia" w:ascii="Times New Roman" w:hAnsi="Times New Roman" w:eastAsia="黑体"/>
          <w:color w:val="auto"/>
          <w:szCs w:val="21"/>
          <w:highlight w:val="none"/>
        </w:rPr>
        <w:t>承包人违约的情形</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在履行合同过程中发生的下列情况属承包人违约：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）承包人违反第</w:t>
      </w:r>
      <w:r>
        <w:rPr>
          <w:rFonts w:ascii="Times New Roman" w:hAnsi="Times New Roman"/>
          <w:color w:val="auto"/>
          <w:szCs w:val="21"/>
          <w:highlight w:val="none"/>
        </w:rPr>
        <w:t>1.8</w:t>
      </w:r>
      <w:r>
        <w:rPr>
          <w:rFonts w:hint="eastAsia" w:ascii="Times New Roman" w:hAnsi="Times New Roman"/>
          <w:color w:val="auto"/>
          <w:szCs w:val="21"/>
          <w:highlight w:val="none"/>
        </w:rPr>
        <w:t>款或第</w:t>
      </w:r>
      <w:r>
        <w:rPr>
          <w:rFonts w:ascii="Times New Roman" w:hAnsi="Times New Roman"/>
          <w:color w:val="auto"/>
          <w:szCs w:val="21"/>
          <w:highlight w:val="none"/>
        </w:rPr>
        <w:t>4.3</w:t>
      </w:r>
      <w:r>
        <w:rPr>
          <w:rFonts w:hint="eastAsia" w:ascii="Times New Roman" w:hAnsi="Times New Roman"/>
          <w:color w:val="auto"/>
          <w:szCs w:val="21"/>
          <w:highlight w:val="none"/>
        </w:rPr>
        <w:t>款的约定，私自将合同的全部或部分权利转让给其他人，或私自将合同的全部或部分义务转移给其他人；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）承包人违反第</w:t>
      </w:r>
      <w:r>
        <w:rPr>
          <w:rFonts w:ascii="Times New Roman" w:hAnsi="Times New Roman"/>
          <w:color w:val="auto"/>
          <w:szCs w:val="21"/>
          <w:highlight w:val="none"/>
        </w:rPr>
        <w:t>5.3</w:t>
      </w:r>
      <w:r>
        <w:rPr>
          <w:rFonts w:hint="eastAsia" w:ascii="Times New Roman" w:hAnsi="Times New Roman"/>
          <w:color w:val="auto"/>
          <w:szCs w:val="21"/>
          <w:highlight w:val="none"/>
        </w:rPr>
        <w:t>款或第</w:t>
      </w:r>
      <w:r>
        <w:rPr>
          <w:rFonts w:ascii="Times New Roman" w:hAnsi="Times New Roman"/>
          <w:color w:val="auto"/>
          <w:szCs w:val="21"/>
          <w:highlight w:val="none"/>
        </w:rPr>
        <w:t>6.4</w:t>
      </w:r>
      <w:r>
        <w:rPr>
          <w:rFonts w:hint="eastAsia" w:ascii="Times New Roman" w:hAnsi="Times New Roman"/>
          <w:color w:val="auto"/>
          <w:szCs w:val="21"/>
          <w:highlight w:val="none"/>
        </w:rPr>
        <w:t>款的约定，未经监理人批准，私自将已按合同约定进入施工场地的施工设备、临时设施或材料撤离施工场地；</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）承包人违反第</w:t>
      </w:r>
      <w:r>
        <w:rPr>
          <w:rFonts w:ascii="Times New Roman" w:hAnsi="Times New Roman"/>
          <w:color w:val="auto"/>
          <w:szCs w:val="21"/>
          <w:highlight w:val="none"/>
        </w:rPr>
        <w:t>5.4</w:t>
      </w:r>
      <w:r>
        <w:rPr>
          <w:rFonts w:hint="eastAsia" w:ascii="Times New Roman" w:hAnsi="Times New Roman"/>
          <w:color w:val="auto"/>
          <w:szCs w:val="21"/>
          <w:highlight w:val="none"/>
        </w:rPr>
        <w:t>款的约定使用了不合格材料或工程设备，工程质量达不到标准要求，又拒绝清除不合格工程；</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）承包人未能按合同进度计划及时完成合同约定的工作，已造成或预期造成工期延误；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）承包人在缺陷责任期内，未能对工程接收证书所列的缺陷清单的内容或缺陷责任期内发生的缺陷进行修复，而又拒绝按监理人指示再进行修补；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）承包人无法继续履行或明确表示不履行或实质上已停止履行合同；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）承包人不按合同约定履行义务的其他情况。</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22.1.2 </w:t>
      </w:r>
      <w:r>
        <w:rPr>
          <w:rFonts w:hint="eastAsia" w:ascii="Times New Roman" w:hAnsi="Times New Roman" w:eastAsia="黑体"/>
          <w:color w:val="auto"/>
          <w:szCs w:val="21"/>
          <w:highlight w:val="none"/>
        </w:rPr>
        <w:t>对承包人违约的处理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）承包人发生第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）目约定的违约情况时，发包人可通知承包人立即解除合同，并按有关法律处理。</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）承包人发生除第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）目约定以外的其他违约情况时，监理人可向承包人发出整改通知，要求其在指定的期限内改正。承包人应承担其违约所引起的费用增加和（或）工期延误。</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）经检查证明承包人已采取了有效措施纠正违约行为，具备复工条件的，可由监理人签发复工通知复工。</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22.1.3 </w:t>
      </w:r>
      <w:r>
        <w:rPr>
          <w:rFonts w:hint="eastAsia" w:ascii="Times New Roman" w:hAnsi="Times New Roman" w:eastAsia="黑体"/>
          <w:color w:val="auto"/>
          <w:szCs w:val="21"/>
          <w:highlight w:val="none"/>
        </w:rPr>
        <w:t>承包人违约解除合同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监理人发出整改通知</w:t>
      </w:r>
      <w:r>
        <w:rPr>
          <w:rFonts w:ascii="Times New Roman" w:hAnsi="Times New Roman"/>
          <w:color w:val="auto"/>
          <w:szCs w:val="21"/>
          <w:highlight w:val="none"/>
        </w:rPr>
        <w:t>28</w:t>
      </w:r>
      <w:r>
        <w:rPr>
          <w:rFonts w:hint="eastAsia" w:ascii="Times New Roman" w:hAnsi="Times New Roman"/>
          <w:color w:val="auto"/>
          <w:szCs w:val="21"/>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22.1.4 </w:t>
      </w:r>
      <w:r>
        <w:rPr>
          <w:rFonts w:hint="eastAsia" w:ascii="Times New Roman" w:hAnsi="Times New Roman" w:eastAsia="黑体"/>
          <w:color w:val="auto"/>
          <w:szCs w:val="21"/>
          <w:highlight w:val="none"/>
        </w:rPr>
        <w:t>合同解除后的估价、付款和结清</w:t>
      </w:r>
    </w:p>
    <w:p>
      <w:pPr>
        <w:pStyle w:val="54"/>
        <w:pageBreakBefore w:val="0"/>
        <w:widowControl w:val="0"/>
        <w:tabs>
          <w:tab w:val="left" w:pos="540"/>
        </w:tabs>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）合同解除后，监理人按第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款商定或确定承包人实际完成工作的价值，以及承包人已提供的材料、施工设备、工程设备和临时工程等的价值。</w:t>
      </w:r>
      <w:r>
        <w:rPr>
          <w:rFonts w:ascii="Times New Roman" w:hAnsi="Times New Roman"/>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）合同解除后，发包人应暂停对承包人的一切付款，查清各项付款和已扣款金额，包括承包人应支付的违约金。</w:t>
      </w:r>
      <w:r>
        <w:rPr>
          <w:rFonts w:ascii="Times New Roman" w:hAnsi="Times New Roman"/>
          <w:color w:val="auto"/>
          <w:szCs w:val="21"/>
          <w:highlight w:val="none"/>
        </w:rPr>
        <w:t xml:space="preserve"> </w:t>
      </w:r>
    </w:p>
    <w:p>
      <w:pPr>
        <w:pStyle w:val="54"/>
        <w:pageBreakBefore w:val="0"/>
        <w:widowControl w:val="0"/>
        <w:tabs>
          <w:tab w:val="left" w:pos="720"/>
        </w:tabs>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）合同解除后，发包人应按第</w:t>
      </w:r>
      <w:r>
        <w:rPr>
          <w:rFonts w:ascii="Times New Roman" w:hAnsi="Times New Roman"/>
          <w:color w:val="auto"/>
          <w:szCs w:val="21"/>
          <w:highlight w:val="none"/>
        </w:rPr>
        <w:t>23.4</w:t>
      </w:r>
      <w:r>
        <w:rPr>
          <w:rFonts w:hint="eastAsia" w:ascii="Times New Roman" w:hAnsi="Times New Roman"/>
          <w:color w:val="auto"/>
          <w:szCs w:val="21"/>
          <w:highlight w:val="none"/>
        </w:rPr>
        <w:t>款的约定向承包人索赔由于解除合同给发包人造成的损失。</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）合同双方确认上述往来款项后，出具最终结清付款证书，结清全部合同款项。</w:t>
      </w:r>
    </w:p>
    <w:p>
      <w:pPr>
        <w:pStyle w:val="54"/>
        <w:pageBreakBefore w:val="0"/>
        <w:widowControl w:val="0"/>
        <w:kinsoku/>
        <w:wordWrap/>
        <w:overflowPunct/>
        <w:topLinePunct w:val="0"/>
        <w:autoSpaceDE/>
        <w:autoSpaceDN/>
        <w:bidi w:val="0"/>
        <w:adjustRightInd/>
        <w:snapToGrid/>
        <w:spacing w:line="260" w:lineRule="exact"/>
        <w:ind w:right="25" w:rightChars="12"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）发包人和承包人未能就解除合同后的结清达成一致而形成争议的，按第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22.1.5 </w:t>
      </w:r>
      <w:r>
        <w:rPr>
          <w:rFonts w:hint="eastAsia" w:ascii="Times New Roman" w:hAnsi="Times New Roman" w:eastAsia="黑体"/>
          <w:color w:val="auto"/>
          <w:szCs w:val="21"/>
          <w:highlight w:val="none"/>
        </w:rPr>
        <w:t>协议利益的转让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因承包人违约解除合同的，发包人有权要求承包人将其为实施合同而签订的材料和设备的订货协议或任何服务协议利益转让给发包人，并在解除合同后的</w:t>
      </w:r>
      <w:r>
        <w:rPr>
          <w:rFonts w:ascii="Times New Roman" w:hAnsi="Times New Roman"/>
          <w:color w:val="auto"/>
          <w:szCs w:val="21"/>
          <w:highlight w:val="none"/>
        </w:rPr>
        <w:t>14</w:t>
      </w:r>
      <w:r>
        <w:rPr>
          <w:rFonts w:hint="eastAsia" w:ascii="Times New Roman" w:hAnsi="Times New Roman"/>
          <w:color w:val="auto"/>
          <w:szCs w:val="21"/>
          <w:highlight w:val="none"/>
        </w:rPr>
        <w:t>天内，依法办理转让手续。</w:t>
      </w:r>
      <w:r>
        <w:rPr>
          <w:rFonts w:ascii="Times New Roman" w:hAnsi="Times New Roman"/>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22.1.6 </w:t>
      </w:r>
      <w:r>
        <w:rPr>
          <w:rFonts w:hint="eastAsia" w:ascii="Times New Roman" w:hAnsi="Times New Roman" w:eastAsia="黑体"/>
          <w:color w:val="auto"/>
          <w:szCs w:val="21"/>
          <w:highlight w:val="none"/>
        </w:rPr>
        <w:t>紧急情况下无能力或不愿进行抢救</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22.2 </w:t>
      </w:r>
      <w:r>
        <w:rPr>
          <w:rFonts w:hint="eastAsia" w:ascii="Times New Roman" w:hAnsi="Times New Roman" w:eastAsia="黑体"/>
          <w:bCs/>
          <w:color w:val="auto"/>
          <w:kern w:val="44"/>
          <w:szCs w:val="21"/>
          <w:highlight w:val="none"/>
          <w:lang w:val="zh-CN"/>
        </w:rPr>
        <w:t>发包人违约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22.2.1</w:t>
      </w:r>
      <w:r>
        <w:rPr>
          <w:rFonts w:hint="eastAsia" w:ascii="Times New Roman" w:hAnsi="Times New Roman" w:eastAsia="黑体"/>
          <w:color w:val="auto"/>
          <w:szCs w:val="21"/>
          <w:highlight w:val="none"/>
        </w:rPr>
        <w:t>发包人违约的情形</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在履行合同过程中发生的下列情形，属发包人违约：</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）发包人未能按合同约定支付预付款或合同价款，或拖延、拒绝批准付款申请和支付凭证，导致付款延误的；</w:t>
      </w:r>
      <w:r>
        <w:rPr>
          <w:rFonts w:ascii="Times New Roman" w:hAnsi="Times New Roman"/>
          <w:color w:val="auto"/>
          <w:szCs w:val="21"/>
          <w:highlight w:val="none"/>
        </w:rPr>
        <w:t xml:space="preserve"> </w:t>
      </w:r>
    </w:p>
    <w:p>
      <w:pPr>
        <w:pStyle w:val="54"/>
        <w:pageBreakBefore w:val="0"/>
        <w:widowControl w:val="0"/>
        <w:tabs>
          <w:tab w:val="left" w:pos="720"/>
        </w:tabs>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）发包人原因造成停工的；</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）监理人无正当理由没有在约定期限内发出复工指示，导致承包人无法复工的；</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）发包人无法继续履行或明确表示不履行或实质上已停止履行合同的；</w:t>
      </w:r>
    </w:p>
    <w:p>
      <w:pPr>
        <w:pStyle w:val="54"/>
        <w:pageBreakBefore w:val="0"/>
        <w:widowControl w:val="0"/>
        <w:tabs>
          <w:tab w:val="left" w:pos="720"/>
        </w:tabs>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）发包人不履行合同约定其他义务的。</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color w:val="auto"/>
          <w:szCs w:val="21"/>
          <w:highlight w:val="none"/>
        </w:rPr>
        <w:t xml:space="preserve">22.2.2 </w:t>
      </w:r>
      <w:r>
        <w:rPr>
          <w:rFonts w:hint="eastAsia" w:ascii="Times New Roman" w:hAnsi="Times New Roman" w:eastAsia="黑体"/>
          <w:color w:val="auto"/>
          <w:szCs w:val="21"/>
          <w:highlight w:val="none"/>
        </w:rPr>
        <w:t>承包人有权暂停施工</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发包人发生除第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）目以外的违约情况时，承包人可向发包人发出通知，要求发包人采取有效措施纠正违约行为。发包人收到承包人通知后的</w:t>
      </w:r>
      <w:r>
        <w:rPr>
          <w:rFonts w:ascii="Times New Roman" w:hAnsi="Times New Roman"/>
          <w:color w:val="auto"/>
          <w:szCs w:val="21"/>
          <w:highlight w:val="none"/>
        </w:rPr>
        <w:t>28</w:t>
      </w:r>
      <w:r>
        <w:rPr>
          <w:rFonts w:hint="eastAsia" w:ascii="Times New Roman" w:hAnsi="Times New Roman"/>
          <w:color w:val="auto"/>
          <w:szCs w:val="21"/>
          <w:highlight w:val="none"/>
        </w:rPr>
        <w:t>天内仍不履行合同义务，承包人有权暂停施工，并通知监理人，发包人应承担由此增加的费用和（或）工期延误，并支付承包人合理利润。</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 xml:space="preserve">22.2.3 </w:t>
      </w:r>
      <w:r>
        <w:rPr>
          <w:rFonts w:hint="eastAsia" w:ascii="Times New Roman" w:hAnsi="Times New Roman" w:eastAsia="黑体"/>
          <w:color w:val="auto"/>
          <w:szCs w:val="21"/>
          <w:highlight w:val="none"/>
        </w:rPr>
        <w:t>发包人违约解除合同</w:t>
      </w:r>
      <w:r>
        <w:rPr>
          <w:rFonts w:ascii="Times New Roman" w:hAnsi="Times New Roman"/>
          <w:color w:val="auto"/>
          <w:szCs w:val="21"/>
          <w:highlight w:val="none"/>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）发生第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）目的违约情况时，承包人可书面通知发包人解除合同。</w:t>
      </w:r>
      <w:r>
        <w:rPr>
          <w:rFonts w:ascii="Times New Roman" w:hAnsi="Times New Roman"/>
          <w:color w:val="auto"/>
          <w:szCs w:val="21"/>
          <w:highlight w:val="none"/>
        </w:rPr>
        <w:t xml:space="preserve">   </w:t>
      </w:r>
    </w:p>
    <w:p>
      <w:pPr>
        <w:pStyle w:val="54"/>
        <w:pageBreakBefore w:val="0"/>
        <w:widowControl w:val="0"/>
        <w:tabs>
          <w:tab w:val="left" w:pos="720"/>
          <w:tab w:val="left" w:pos="900"/>
        </w:tabs>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）承包人按第</w:t>
      </w:r>
      <w:r>
        <w:rPr>
          <w:rFonts w:ascii="Times New Roman" w:hAnsi="Times New Roman"/>
          <w:color w:val="auto"/>
          <w:szCs w:val="21"/>
          <w:highlight w:val="none"/>
        </w:rPr>
        <w:t>22.2.2</w:t>
      </w:r>
      <w:r>
        <w:rPr>
          <w:rFonts w:hint="eastAsia" w:ascii="Times New Roman" w:hAnsi="Times New Roman"/>
          <w:color w:val="auto"/>
          <w:szCs w:val="21"/>
          <w:highlight w:val="none"/>
        </w:rPr>
        <w:t>项暂停施工</w:t>
      </w:r>
      <w:r>
        <w:rPr>
          <w:rFonts w:ascii="Times New Roman" w:hAnsi="Times New Roman"/>
          <w:color w:val="auto"/>
          <w:szCs w:val="21"/>
          <w:highlight w:val="none"/>
        </w:rPr>
        <w:t>28</w:t>
      </w:r>
      <w:r>
        <w:rPr>
          <w:rFonts w:hint="eastAsia" w:ascii="Times New Roman" w:hAnsi="Times New Roman"/>
          <w:color w:val="auto"/>
          <w:szCs w:val="21"/>
          <w:highlight w:val="none"/>
        </w:rPr>
        <w:t>天后，发包人仍不纠正违约行为的，承包人可向发包人发出解除合同通知。但承包人的这一行动不免除发包人承担的违约责任，也不影响承包人根据合同约定享有的索赔权利。</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color w:val="auto"/>
          <w:szCs w:val="21"/>
          <w:highlight w:val="none"/>
        </w:rPr>
      </w:pPr>
      <w:r>
        <w:rPr>
          <w:rFonts w:ascii="Times New Roman" w:hAnsi="Times New Roman"/>
          <w:color w:val="auto"/>
          <w:szCs w:val="21"/>
          <w:highlight w:val="none"/>
        </w:rPr>
        <w:t>22.2.4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解除合同后的付款</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因发包人违约解除合同的，发包人应在解除合同后</w:t>
      </w:r>
      <w:r>
        <w:rPr>
          <w:rFonts w:ascii="Times New Roman" w:hAnsi="Times New Roman"/>
          <w:color w:val="auto"/>
          <w:szCs w:val="21"/>
          <w:highlight w:val="none"/>
        </w:rPr>
        <w:t>28</w:t>
      </w:r>
      <w:r>
        <w:rPr>
          <w:rFonts w:hint="eastAsia" w:ascii="Times New Roman" w:hAnsi="Times New Roman"/>
          <w:color w:val="auto"/>
          <w:szCs w:val="21"/>
          <w:highlight w:val="none"/>
        </w:rPr>
        <w:t>天内向承包人支付下列金额，承包人应在此期限内及时向发包人提交要求支付下列金额的有关资料和凭证：</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）合同解除日以前所完成工作的价款；</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）承包人为该工程施工订购并已付款的材料、工程设备和其他物品的金额。发包人付还后，该材料、工程设备和其他物品归发包人所有；</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）承包人为完成工程所发生的，而发包人未支付的金额；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）承包人撤离施工场地以及遣散承包人人员的金额；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）由于解除合同应赔偿的承包人损失；</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）按合同约定在合同解除日前应支付给承包人的其他金额。</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发包人应按本项约定支付上述金额并退还质量保证金和履约担保，但有权要求承包人支付应偿还给发包人的各项金额。</w:t>
      </w:r>
    </w:p>
    <w:p>
      <w:pPr>
        <w:pStyle w:val="54"/>
        <w:pageBreakBefore w:val="0"/>
        <w:widowControl w:val="0"/>
        <w:kinsoku/>
        <w:wordWrap/>
        <w:overflowPunct/>
        <w:topLinePunct w:val="0"/>
        <w:autoSpaceDE/>
        <w:autoSpaceDN/>
        <w:bidi w:val="0"/>
        <w:adjustRightInd/>
        <w:snapToGrid/>
        <w:spacing w:line="260" w:lineRule="exact"/>
        <w:ind w:firstLine="411" w:firstLineChars="196"/>
        <w:textAlignment w:val="auto"/>
        <w:rPr>
          <w:rFonts w:ascii="Times New Roman" w:hAnsi="Times New Roman" w:eastAsia="黑体"/>
          <w:color w:val="auto"/>
          <w:szCs w:val="21"/>
          <w:highlight w:val="none"/>
        </w:rPr>
      </w:pPr>
      <w:r>
        <w:rPr>
          <w:rFonts w:ascii="Times New Roman" w:hAnsi="Times New Roman" w:eastAsia="黑体"/>
          <w:color w:val="auto"/>
          <w:szCs w:val="21"/>
          <w:highlight w:val="none"/>
        </w:rPr>
        <w:t xml:space="preserve">22.2.5 </w:t>
      </w:r>
      <w:r>
        <w:rPr>
          <w:rFonts w:hint="eastAsia" w:ascii="Times New Roman" w:hAnsi="Times New Roman" w:eastAsia="黑体"/>
          <w:color w:val="auto"/>
          <w:szCs w:val="21"/>
          <w:highlight w:val="none"/>
        </w:rPr>
        <w:t>解除合同后的承包人撤离</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color w:val="auto"/>
          <w:szCs w:val="21"/>
          <w:highlight w:val="none"/>
        </w:rPr>
        <w:t>18.7.1</w:t>
      </w:r>
      <w:r>
        <w:rPr>
          <w:rFonts w:hint="eastAsia" w:ascii="Times New Roman" w:hAnsi="Times New Roman"/>
          <w:color w:val="auto"/>
          <w:szCs w:val="21"/>
          <w:highlight w:val="none"/>
        </w:rPr>
        <w:t>项的约定，发包人应为承包人撤出提供必要条件。</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22.3</w:t>
      </w:r>
      <w:r>
        <w:rPr>
          <w:rFonts w:hint="eastAsia" w:ascii="Times New Roman" w:hAnsi="Times New Roman" w:eastAsia="黑体"/>
          <w:bCs/>
          <w:color w:val="auto"/>
          <w:kern w:val="44"/>
          <w:szCs w:val="21"/>
          <w:highlight w:val="none"/>
          <w:lang w:val="zh-CN"/>
        </w:rPr>
        <w:t>第三人造成的违约</w:t>
      </w:r>
    </w:p>
    <w:p>
      <w:pPr>
        <w:pStyle w:val="54"/>
        <w:pageBreakBefore w:val="0"/>
        <w:widowControl w:val="0"/>
        <w:kinsoku/>
        <w:wordWrap/>
        <w:overflowPunct/>
        <w:topLinePunct w:val="0"/>
        <w:autoSpaceDE/>
        <w:autoSpaceDN/>
        <w:bidi w:val="0"/>
        <w:adjustRightInd/>
        <w:snapToGrid/>
        <w:spacing w:line="260" w:lineRule="exact"/>
        <w:ind w:firstLine="390"/>
        <w:textAlignment w:val="auto"/>
        <w:rPr>
          <w:rFonts w:ascii="Times New Roman" w:hAnsi="Times New Roman"/>
          <w:color w:val="auto"/>
          <w:szCs w:val="21"/>
          <w:highlight w:val="none"/>
        </w:rPr>
      </w:pPr>
      <w:r>
        <w:rPr>
          <w:rFonts w:hint="eastAsia" w:ascii="Times New Roman" w:hAnsi="Times New Roman"/>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21" w:name="_Toc25553"/>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索赔</w:t>
      </w:r>
      <w:bookmarkEnd w:id="121"/>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23.1 </w:t>
      </w:r>
      <w:r>
        <w:rPr>
          <w:rFonts w:hint="eastAsia" w:ascii="Times New Roman" w:hAnsi="Times New Roman" w:eastAsia="黑体"/>
          <w:bCs/>
          <w:color w:val="auto"/>
          <w:kern w:val="44"/>
          <w:szCs w:val="21"/>
          <w:highlight w:val="none"/>
          <w:lang w:val="zh-CN"/>
        </w:rPr>
        <w:t>承包人索赔的提出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根据合同约定，承包人认为有权得到追加付款和（或）延长工期的，应按以下程序向发包人提出索赔：</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）承包人应在知道或应当知道索赔事件发生后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天内，向监理人递交索赔意向通知书，并说明发生索赔事件的事由。承包人未在前述</w:t>
      </w:r>
      <w:r>
        <w:rPr>
          <w:rFonts w:ascii="Times New Roman" w:hAnsi="Times New Roman"/>
          <w:color w:val="auto"/>
          <w:szCs w:val="21"/>
          <w:highlight w:val="none"/>
        </w:rPr>
        <w:t>28</w:t>
      </w:r>
      <w:r>
        <w:rPr>
          <w:rFonts w:hint="eastAsia" w:ascii="Times New Roman" w:hAnsi="Times New Roman"/>
          <w:color w:val="auto"/>
          <w:szCs w:val="21"/>
          <w:highlight w:val="none"/>
        </w:rPr>
        <w:t>天内发出索赔意向通知书的，丧失要求追加付款和（或）延长工期的权利；</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）承包人应在发出索赔意向通知书后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天内，向监理人正式递交索赔通知书。索赔通知书应详细说明索赔理由以及要求追加的付款金额和（或）延长的工期，并附必要的记录和证明材料；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）索赔事件具有连续影响的，承包人应按合理时间间隔继续递交延续索赔通知，说明连续影响的实际情况和记录，列出累计的追加付款金额和（或）工期延长天数；</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）在索赔事件影响结束后的</w:t>
      </w:r>
      <w:r>
        <w:rPr>
          <w:rFonts w:ascii="Times New Roman" w:hAnsi="Times New Roman"/>
          <w:color w:val="auto"/>
          <w:szCs w:val="21"/>
          <w:highlight w:val="none"/>
        </w:rPr>
        <w:t>28</w:t>
      </w:r>
      <w:r>
        <w:rPr>
          <w:rFonts w:hint="eastAsia" w:ascii="Times New Roman" w:hAnsi="Times New Roman"/>
          <w:color w:val="auto"/>
          <w:szCs w:val="21"/>
          <w:highlight w:val="none"/>
        </w:rPr>
        <w:t>天内，承包人应向监理人递交最终索赔通知书，说明最终要求索赔的追加付款金额和延长的工期，并附必要的记录和证明材料。</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23.2 </w:t>
      </w:r>
      <w:r>
        <w:rPr>
          <w:rFonts w:hint="eastAsia" w:ascii="Times New Roman" w:hAnsi="Times New Roman" w:eastAsia="黑体"/>
          <w:bCs/>
          <w:color w:val="auto"/>
          <w:kern w:val="44"/>
          <w:szCs w:val="21"/>
          <w:highlight w:val="none"/>
          <w:lang w:val="zh-CN"/>
        </w:rPr>
        <w:t>承包人索赔处理程序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）监理人收到承包人提交的索赔通知书后，应及时审查索赔通知书的内容、查验承包人的记录和证明材料，必要时监理人可要求承包人提交全部原始记录副本。</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）监理人应按第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款商定或确定追加的付款和（或）延长的工期，并在收到上述索赔通知书或有关索赔的进一步证明材料后的</w:t>
      </w:r>
      <w:r>
        <w:rPr>
          <w:rFonts w:ascii="Times New Roman" w:hAnsi="Times New Roman"/>
          <w:color w:val="auto"/>
          <w:szCs w:val="21"/>
          <w:highlight w:val="none"/>
        </w:rPr>
        <w:t>42</w:t>
      </w:r>
      <w:r>
        <w:rPr>
          <w:rFonts w:hint="eastAsia" w:ascii="Times New Roman" w:hAnsi="Times New Roman"/>
          <w:color w:val="auto"/>
          <w:szCs w:val="21"/>
          <w:highlight w:val="none"/>
        </w:rPr>
        <w:t>天内，将索赔处理结果答复承包人。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）承包人接受索赔处理结果的，发包人应在作出索赔处理结果答复后</w:t>
      </w:r>
      <w:r>
        <w:rPr>
          <w:rFonts w:ascii="Times New Roman" w:hAnsi="Times New Roman"/>
          <w:color w:val="auto"/>
          <w:szCs w:val="21"/>
          <w:highlight w:val="none"/>
        </w:rPr>
        <w:t>28</w:t>
      </w:r>
      <w:r>
        <w:rPr>
          <w:rFonts w:hint="eastAsia" w:ascii="Times New Roman" w:hAnsi="Times New Roman"/>
          <w:color w:val="auto"/>
          <w:szCs w:val="21"/>
          <w:highlight w:val="none"/>
        </w:rPr>
        <w:t>天内完成赔付。承包人不接受索赔处理结果的，按第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23.3 </w:t>
      </w:r>
      <w:r>
        <w:rPr>
          <w:rFonts w:hint="eastAsia" w:ascii="Times New Roman" w:hAnsi="Times New Roman" w:eastAsia="黑体"/>
          <w:bCs/>
          <w:color w:val="auto"/>
          <w:kern w:val="44"/>
          <w:szCs w:val="21"/>
          <w:highlight w:val="none"/>
          <w:lang w:val="zh-CN"/>
        </w:rPr>
        <w:t>承包人提出索赔的期限</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23.3.1 </w:t>
      </w:r>
      <w:r>
        <w:rPr>
          <w:rFonts w:hint="eastAsia" w:ascii="Times New Roman" w:hAnsi="Times New Roman"/>
          <w:color w:val="auto"/>
          <w:szCs w:val="21"/>
          <w:highlight w:val="none"/>
        </w:rPr>
        <w:t>承包人按第</w:t>
      </w:r>
      <w:r>
        <w:rPr>
          <w:rFonts w:ascii="Times New Roman" w:hAnsi="Times New Roman"/>
          <w:color w:val="auto"/>
          <w:szCs w:val="21"/>
          <w:highlight w:val="none"/>
        </w:rPr>
        <w:t>17.5</w:t>
      </w:r>
      <w:r>
        <w:rPr>
          <w:rFonts w:hint="eastAsia" w:ascii="Times New Roman" w:hAnsi="Times New Roman"/>
          <w:color w:val="auto"/>
          <w:szCs w:val="21"/>
          <w:highlight w:val="none"/>
        </w:rPr>
        <w:t>款的约定接受了竣工付款证书后，应被认为已无权再提出在合同工程接收证书颁发前所发生的任何索赔。</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23.3.2 </w:t>
      </w:r>
      <w:r>
        <w:rPr>
          <w:rFonts w:hint="eastAsia" w:ascii="Times New Roman" w:hAnsi="Times New Roman"/>
          <w:color w:val="auto"/>
          <w:szCs w:val="21"/>
          <w:highlight w:val="none"/>
        </w:rPr>
        <w:t>承包人按第</w:t>
      </w:r>
      <w:r>
        <w:rPr>
          <w:rFonts w:ascii="Times New Roman" w:hAnsi="Times New Roman"/>
          <w:color w:val="auto"/>
          <w:szCs w:val="21"/>
          <w:highlight w:val="none"/>
        </w:rPr>
        <w:t>17.6</w:t>
      </w:r>
      <w:r>
        <w:rPr>
          <w:rFonts w:hint="eastAsia" w:ascii="Times New Roman" w:hAnsi="Times New Roman"/>
          <w:color w:val="auto"/>
          <w:szCs w:val="21"/>
          <w:highlight w:val="none"/>
        </w:rPr>
        <w:t>款的约定提交的最终结清申请单中，只限于提出工程接收证书颁发后发生的索赔。提出索赔的期限自接受最终结清证书时终止。</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23.4 </w:t>
      </w:r>
      <w:r>
        <w:rPr>
          <w:rFonts w:hint="eastAsia" w:ascii="Times New Roman" w:hAnsi="Times New Roman" w:eastAsia="黑体"/>
          <w:bCs/>
          <w:color w:val="auto"/>
          <w:kern w:val="44"/>
          <w:szCs w:val="21"/>
          <w:highlight w:val="none"/>
          <w:lang w:val="zh-CN"/>
        </w:rPr>
        <w:t>发包人的索赔</w:t>
      </w:r>
      <w:r>
        <w:rPr>
          <w:rFonts w:ascii="Times New Roman" w:hAnsi="Times New Roman" w:eastAsia="黑体"/>
          <w:bCs/>
          <w:color w:val="auto"/>
          <w:kern w:val="44"/>
          <w:szCs w:val="21"/>
          <w:highlight w:val="none"/>
          <w:lang w:val="zh-CN"/>
        </w:rPr>
        <w:t xml:space="preserve">                            </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23.4.1 </w:t>
      </w:r>
      <w:r>
        <w:rPr>
          <w:rFonts w:hint="eastAsia" w:ascii="Times New Roman" w:hAnsi="Times New Roman"/>
          <w:color w:val="auto"/>
          <w:szCs w:val="21"/>
          <w:highlight w:val="none"/>
        </w:rPr>
        <w:t>发生索赔事件后，监理人应及时书面通知承包人，详细说明发包人有权得到的索赔金额和（或）延长缺陷责任期的细节和依据。发包人提出索赔的期限和要求与第</w:t>
      </w:r>
      <w:r>
        <w:rPr>
          <w:rFonts w:ascii="Times New Roman" w:hAnsi="Times New Roman"/>
          <w:color w:val="auto"/>
          <w:szCs w:val="21"/>
          <w:highlight w:val="none"/>
        </w:rPr>
        <w:t>23.3</w:t>
      </w:r>
      <w:r>
        <w:rPr>
          <w:rFonts w:hint="eastAsia" w:ascii="Times New Roman" w:hAnsi="Times New Roman"/>
          <w:color w:val="auto"/>
          <w:szCs w:val="21"/>
          <w:highlight w:val="none"/>
        </w:rPr>
        <w:t>款的约定相同，延长缺陷责任期的通知应在缺陷责任期届满前发出。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23.4.2 </w:t>
      </w:r>
      <w:r>
        <w:rPr>
          <w:rFonts w:hint="eastAsia" w:ascii="Times New Roman" w:hAnsi="Times New Roman"/>
          <w:color w:val="auto"/>
          <w:szCs w:val="21"/>
          <w:highlight w:val="none"/>
        </w:rPr>
        <w:t>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款商定或确定发包人从承包人处得到赔付的金额和（或）缺陷责任期的延长期。承包人应付给发包人的金额可从拟支付给承包人的合同价款中扣除，或由承包人以其他方式支付给发包人。</w:t>
      </w:r>
    </w:p>
    <w:p>
      <w:pPr>
        <w:pStyle w:val="54"/>
        <w:keepNext/>
        <w:keepLines/>
        <w:pageBreakBefore w:val="0"/>
        <w:widowControl w:val="0"/>
        <w:kinsoku/>
        <w:wordWrap/>
        <w:overflowPunct/>
        <w:topLinePunct w:val="0"/>
        <w:autoSpaceDE/>
        <w:autoSpaceDN/>
        <w:bidi w:val="0"/>
        <w:adjustRightInd/>
        <w:snapToGrid/>
        <w:spacing w:before="480" w:after="240" w:line="260" w:lineRule="exact"/>
        <w:textAlignment w:val="auto"/>
        <w:outlineLvl w:val="2"/>
        <w:rPr>
          <w:rFonts w:ascii="Times New Roman" w:hAnsi="Times New Roman" w:eastAsia="黑体"/>
          <w:bCs/>
          <w:color w:val="auto"/>
          <w:kern w:val="44"/>
          <w:szCs w:val="21"/>
          <w:highlight w:val="none"/>
          <w:lang w:val="zh-CN"/>
        </w:rPr>
      </w:pPr>
      <w:bookmarkStart w:id="122" w:name="_Toc14616"/>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争议的解决</w:t>
      </w:r>
      <w:bookmarkEnd w:id="122"/>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24.1 </w:t>
      </w:r>
      <w:r>
        <w:rPr>
          <w:rFonts w:hint="eastAsia" w:ascii="Times New Roman" w:hAnsi="Times New Roman" w:eastAsia="黑体"/>
          <w:bCs/>
          <w:color w:val="auto"/>
          <w:kern w:val="44"/>
          <w:szCs w:val="21"/>
          <w:highlight w:val="none"/>
          <w:lang w:val="zh-CN"/>
        </w:rPr>
        <w:t>争议的解决方式</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）向约定的仲裁委员会申请仲裁；</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）向有管辖权的人民法院提起诉讼。</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24.2 </w:t>
      </w:r>
      <w:r>
        <w:rPr>
          <w:rFonts w:hint="eastAsia" w:ascii="Times New Roman" w:hAnsi="Times New Roman" w:eastAsia="黑体"/>
          <w:bCs/>
          <w:color w:val="auto"/>
          <w:kern w:val="44"/>
          <w:szCs w:val="21"/>
          <w:highlight w:val="none"/>
          <w:lang w:val="zh-CN"/>
        </w:rPr>
        <w:t>友好解决</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在提请争议评审、仲裁或者诉讼前，以及在争议评审、仲裁或诉讼过程中，发包人和承包人均可共同努力友好协商解决争议。</w:t>
      </w:r>
    </w:p>
    <w:p>
      <w:pPr>
        <w:pStyle w:val="54"/>
        <w:keepNext/>
        <w:keepLines/>
        <w:pageBreakBefore w:val="0"/>
        <w:widowControl w:val="0"/>
        <w:kinsoku/>
        <w:wordWrap/>
        <w:overflowPunct/>
        <w:topLinePunct w:val="0"/>
        <w:autoSpaceDE/>
        <w:autoSpaceDN/>
        <w:bidi w:val="0"/>
        <w:adjustRightInd/>
        <w:snapToGrid/>
        <w:spacing w:before="240" w:after="240" w:line="260" w:lineRule="exact"/>
        <w:textAlignment w:val="auto"/>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24.3 </w:t>
      </w:r>
      <w:r>
        <w:rPr>
          <w:rFonts w:hint="eastAsia" w:ascii="Times New Roman" w:hAnsi="Times New Roman" w:eastAsia="黑体"/>
          <w:bCs/>
          <w:color w:val="auto"/>
          <w:kern w:val="44"/>
          <w:szCs w:val="21"/>
          <w:highlight w:val="none"/>
          <w:lang w:val="zh-CN"/>
        </w:rPr>
        <w:t>争议评审</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24.3.1</w:t>
      </w:r>
      <w:r>
        <w:rPr>
          <w:rFonts w:hint="eastAsia" w:ascii="Times New Roman" w:hAnsi="Times New Roman"/>
          <w:color w:val="auto"/>
          <w:szCs w:val="21"/>
          <w:highlight w:val="none"/>
        </w:rPr>
        <w:t>采用争议评审的，发包人和承包人应在开工日后的</w:t>
      </w:r>
      <w:r>
        <w:rPr>
          <w:rFonts w:ascii="Times New Roman" w:hAnsi="Times New Roman"/>
          <w:color w:val="auto"/>
          <w:szCs w:val="21"/>
          <w:highlight w:val="none"/>
        </w:rPr>
        <w:t>28</w:t>
      </w:r>
      <w:r>
        <w:rPr>
          <w:rFonts w:hint="eastAsia" w:ascii="Times New Roman" w:hAnsi="Times New Roman"/>
          <w:color w:val="auto"/>
          <w:szCs w:val="21"/>
          <w:highlight w:val="none"/>
        </w:rPr>
        <w:t>天内或在争议发生后，协商成立争议评审组。争议评审组由有合同管理和工程实践经验的专家组成。</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24.3.2 </w:t>
      </w:r>
      <w:r>
        <w:rPr>
          <w:rFonts w:hint="eastAsia" w:ascii="Times New Roman" w:hAnsi="Times New Roman"/>
          <w:color w:val="auto"/>
          <w:szCs w:val="21"/>
          <w:highlight w:val="none"/>
        </w:rPr>
        <w:t>合同双方的争议，应首先由申请人向争议评审组提交一份详细的评审申请报告，并附必要的文件、图纸和证明材料，申请人还应将上述报告的副本同时提交给被申请人和监理人。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24.3.3 </w:t>
      </w:r>
      <w:r>
        <w:rPr>
          <w:rFonts w:hint="eastAsia" w:ascii="Times New Roman" w:hAnsi="Times New Roman"/>
          <w:color w:val="auto"/>
          <w:szCs w:val="21"/>
          <w:highlight w:val="none"/>
        </w:rPr>
        <w:t>被申请人在收到申请人评审申请报告副本后的</w:t>
      </w:r>
      <w:r>
        <w:rPr>
          <w:rFonts w:ascii="Times New Roman" w:hAnsi="Times New Roman"/>
          <w:color w:val="auto"/>
          <w:szCs w:val="21"/>
          <w:highlight w:val="none"/>
        </w:rPr>
        <w:t>28</w:t>
      </w:r>
      <w:r>
        <w:rPr>
          <w:rFonts w:hint="eastAsia" w:ascii="Times New Roman" w:hAnsi="Times New Roman"/>
          <w:color w:val="auto"/>
          <w:szCs w:val="21"/>
          <w:highlight w:val="none"/>
        </w:rPr>
        <w:t>天内，向争议评审组提交一份答辩报告，并附证明材料。被申请人应将答辩报告的副本同时提交给申请人和监理人。</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24.3.4 </w:t>
      </w:r>
      <w:r>
        <w:rPr>
          <w:rFonts w:hint="eastAsia" w:ascii="Times New Roman" w:hAnsi="Times New Roman"/>
          <w:color w:val="auto"/>
          <w:szCs w:val="21"/>
          <w:highlight w:val="none"/>
        </w:rPr>
        <w:t>除专用合同条款另有约定外，争议评审组在收到合同双方报告后的</w:t>
      </w:r>
      <w:r>
        <w:rPr>
          <w:rFonts w:ascii="Times New Roman" w:hAnsi="Times New Roman"/>
          <w:color w:val="auto"/>
          <w:szCs w:val="21"/>
          <w:highlight w:val="none"/>
        </w:rPr>
        <w:t>14</w:t>
      </w:r>
      <w:r>
        <w:rPr>
          <w:rFonts w:hint="eastAsia" w:ascii="Times New Roman" w:hAnsi="Times New Roman"/>
          <w:color w:val="auto"/>
          <w:szCs w:val="21"/>
          <w:highlight w:val="none"/>
        </w:rPr>
        <w:t>天内，邀请双方代表和有关人员举行调查会，向双方调查争议细节；必要时争议评审组可要求双方进一步提供补充材料。</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24.3.5 </w:t>
      </w:r>
      <w:r>
        <w:rPr>
          <w:rFonts w:hint="eastAsia" w:ascii="Times New Roman" w:hAnsi="Times New Roman"/>
          <w:color w:val="auto"/>
          <w:szCs w:val="21"/>
          <w:highlight w:val="none"/>
        </w:rPr>
        <w:t>除专用合同条款另有约定外，在调查会结束后的</w:t>
      </w:r>
      <w:r>
        <w:rPr>
          <w:rFonts w:ascii="Times New Roman" w:hAnsi="Times New Roman"/>
          <w:color w:val="auto"/>
          <w:szCs w:val="21"/>
          <w:highlight w:val="none"/>
        </w:rPr>
        <w:t>14</w:t>
      </w:r>
      <w:r>
        <w:rPr>
          <w:rFonts w:hint="eastAsia" w:ascii="Times New Roman" w:hAnsi="Times New Roman"/>
          <w:color w:val="auto"/>
          <w:szCs w:val="21"/>
          <w:highlight w:val="none"/>
        </w:rPr>
        <w:t>天内，争议评审组应在不受任何干扰的情况下进行独立、公正的评审，作出书面评审意见，并说明理由。在争议评审期间，争议双方暂按总监理工程师的确定执行。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 xml:space="preserve">24.3.6 </w:t>
      </w:r>
      <w:r>
        <w:rPr>
          <w:rFonts w:hint="eastAsia" w:ascii="Times New Roman" w:hAnsi="Times New Roman"/>
          <w:color w:val="auto"/>
          <w:szCs w:val="21"/>
          <w:highlight w:val="none"/>
        </w:rPr>
        <w:t>发包人和承包人接受评审意见的，由监理人根据评审意见拟定执行协议，经争议双方签字后作为合同的补充文件，并遵照执行。</w:t>
      </w:r>
    </w:p>
    <w:p>
      <w:pPr>
        <w:pStyle w:val="54"/>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color w:val="auto"/>
          <w:sz w:val="44"/>
          <w:szCs w:val="44"/>
          <w:highlight w:val="none"/>
        </w:rPr>
      </w:pPr>
      <w:r>
        <w:rPr>
          <w:rFonts w:ascii="Times New Roman" w:hAnsi="Times New Roman"/>
          <w:color w:val="auto"/>
          <w:szCs w:val="21"/>
          <w:highlight w:val="none"/>
        </w:rPr>
        <w:t xml:space="preserve">24.3.7 </w:t>
      </w:r>
      <w:r>
        <w:rPr>
          <w:rFonts w:hint="eastAsia" w:ascii="Times New Roman" w:hAnsi="Times New Roman"/>
          <w:color w:val="auto"/>
          <w:szCs w:val="21"/>
          <w:highlight w:val="none"/>
        </w:rPr>
        <w:t>发包人或承包人不接受评审意见，并要求提交仲裁或提起诉讼的，应在收到评审意见后的</w:t>
      </w:r>
      <w:r>
        <w:rPr>
          <w:rFonts w:ascii="Times New Roman" w:hAnsi="Times New Roman"/>
          <w:color w:val="auto"/>
          <w:szCs w:val="21"/>
          <w:highlight w:val="none"/>
        </w:rPr>
        <w:t>14</w:t>
      </w:r>
      <w:r>
        <w:rPr>
          <w:rFonts w:hint="eastAsia" w:ascii="Times New Roman" w:hAnsi="Times New Roman"/>
          <w:color w:val="auto"/>
          <w:szCs w:val="21"/>
          <w:highlight w:val="none"/>
        </w:rPr>
        <w:t>天内将仲裁或起诉意向书面通知另一方，并抄送监理人，但在仲裁或诉讼结束前应暂按总监理工程师的确定执行。</w:t>
      </w:r>
      <w:bookmarkEnd w:id="98"/>
      <w:bookmarkStart w:id="123" w:name="_Toc256000033"/>
      <w:bookmarkStart w:id="124" w:name="_Toc14078"/>
      <w:bookmarkStart w:id="125" w:name="_Toc39866685"/>
    </w:p>
    <w:p>
      <w:pPr>
        <w:pStyle w:val="4"/>
        <w:spacing w:before="108"/>
        <w:jc w:val="center"/>
        <w:rPr>
          <w:rFonts w:ascii="宋体" w:hAnsi="宋体" w:eastAsia="宋体" w:cs="宋体"/>
          <w:color w:val="auto"/>
          <w:sz w:val="44"/>
          <w:szCs w:val="44"/>
          <w:highlight w:val="none"/>
        </w:rPr>
      </w:pPr>
    </w:p>
    <w:p>
      <w:pPr>
        <w:pStyle w:val="4"/>
        <w:spacing w:before="108"/>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第二节专用合同条款</w:t>
      </w:r>
      <w:bookmarkEnd w:id="123"/>
      <w:bookmarkEnd w:id="124"/>
      <w:bookmarkEnd w:id="125"/>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26" w:name="_Toc373227692"/>
      <w:bookmarkStart w:id="127" w:name="_Toc30061936"/>
      <w:bookmarkStart w:id="128" w:name="_Toc351203633"/>
      <w:bookmarkStart w:id="129" w:name="_Toc3882744"/>
      <w:bookmarkStart w:id="130" w:name="_Toc373478339"/>
      <w:bookmarkStart w:id="131" w:name="_Toc469010897"/>
      <w:bookmarkStart w:id="132" w:name="_Toc389065258"/>
      <w:bookmarkStart w:id="133" w:name="_Toc29964"/>
      <w:bookmarkStart w:id="134" w:name="EBcc537ae224c1498fb1393bf426d49d89"/>
      <w:r>
        <w:rPr>
          <w:rFonts w:hint="eastAsia" w:ascii="宋体" w:hAnsi="宋体" w:eastAsia="宋体" w:cs="宋体"/>
          <w:b/>
          <w:sz w:val="21"/>
          <w:szCs w:val="21"/>
        </w:rPr>
        <w:t>1</w:t>
      </w:r>
      <w:bookmarkStart w:id="135" w:name="_Toc297048342"/>
      <w:bookmarkStart w:id="136" w:name="_Toc296891196"/>
      <w:bookmarkStart w:id="137" w:name="_Toc292559361"/>
      <w:bookmarkStart w:id="138" w:name="_Toc296944495"/>
      <w:bookmarkStart w:id="139" w:name="_Toc296347155"/>
      <w:bookmarkStart w:id="140" w:name="_Toc296503156"/>
      <w:bookmarkStart w:id="141" w:name="_Toc296346657"/>
      <w:bookmarkStart w:id="142" w:name="_Toc296890984"/>
      <w:bookmarkStart w:id="143" w:name="_Toc292559866"/>
      <w:bookmarkStart w:id="144" w:name="_Toc297120456"/>
      <w:r>
        <w:rPr>
          <w:rFonts w:hint="eastAsia" w:ascii="宋体" w:hAnsi="宋体" w:eastAsia="宋体" w:cs="宋体"/>
          <w:b/>
          <w:sz w:val="21"/>
          <w:szCs w:val="21"/>
        </w:rPr>
        <w:t>. 一般约定</w:t>
      </w:r>
      <w:bookmarkEnd w:id="126"/>
      <w:bookmarkEnd w:id="127"/>
      <w:bookmarkEnd w:id="128"/>
      <w:bookmarkEnd w:id="129"/>
      <w:bookmarkEnd w:id="130"/>
      <w:bookmarkEnd w:id="131"/>
      <w:bookmarkEnd w:id="132"/>
      <w:bookmarkEnd w:id="133"/>
    </w:p>
    <w:bookmarkEnd w:id="135"/>
    <w:bookmarkEnd w:id="136"/>
    <w:bookmarkEnd w:id="137"/>
    <w:bookmarkEnd w:id="138"/>
    <w:bookmarkEnd w:id="139"/>
    <w:bookmarkEnd w:id="140"/>
    <w:bookmarkEnd w:id="141"/>
    <w:bookmarkEnd w:id="142"/>
    <w:bookmarkEnd w:id="143"/>
    <w:bookmarkEnd w:id="144"/>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45" w:name="_Toc469010898"/>
      <w:bookmarkStart w:id="146" w:name="_Toc3882745"/>
      <w:bookmarkStart w:id="147" w:name="_Toc389065259"/>
      <w:bookmarkStart w:id="148" w:name="_Toc373478340"/>
      <w:bookmarkStart w:id="149" w:name="_Toc30061937"/>
      <w:bookmarkStart w:id="150" w:name="_Toc373227693"/>
      <w:bookmarkStart w:id="151" w:name="_Toc26642"/>
      <w:r>
        <w:rPr>
          <w:rFonts w:hint="eastAsia" w:ascii="宋体" w:hAnsi="宋体" w:eastAsia="宋体" w:cs="宋体"/>
          <w:b/>
          <w:kern w:val="0"/>
          <w:sz w:val="21"/>
          <w:szCs w:val="21"/>
        </w:rPr>
        <w:t>1.1 词语定义</w:t>
      </w:r>
      <w:bookmarkEnd w:id="145"/>
      <w:bookmarkEnd w:id="146"/>
      <w:bookmarkEnd w:id="147"/>
      <w:bookmarkEnd w:id="148"/>
      <w:bookmarkEnd w:id="149"/>
      <w:bookmarkEnd w:id="150"/>
      <w:bookmarkEnd w:id="151"/>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1.1.1 合同</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1.1.1.10 其他合同文件包括：</w:t>
      </w:r>
      <w:r>
        <w:rPr>
          <w:rFonts w:hint="eastAsia" w:ascii="宋体" w:hAnsi="宋体" w:eastAsia="宋体" w:cs="宋体"/>
          <w:snapToGrid w:val="0"/>
          <w:color w:val="000000"/>
          <w:kern w:val="28"/>
          <w:sz w:val="21"/>
          <w:szCs w:val="21"/>
          <w:u w:val="single"/>
        </w:rPr>
        <w:t>合同履行中，发包人承包人有关工程的洽商、变更等书面协议或文件视为本合同的组成部分</w:t>
      </w:r>
      <w:r>
        <w:rPr>
          <w:rFonts w:hint="eastAsia" w:ascii="宋体" w:hAnsi="宋体" w:eastAsia="宋体" w:cs="宋体"/>
          <w:color w:val="000000"/>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合同当事人及其他相关方</w:t>
      </w:r>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sz w:val="21"/>
          <w:szCs w:val="21"/>
        </w:rPr>
      </w:pPr>
      <w:bookmarkStart w:id="152" w:name="_Toc30061938"/>
      <w:bookmarkStart w:id="153" w:name="_Toc3882746"/>
      <w:r>
        <w:rPr>
          <w:rFonts w:hint="eastAsia" w:ascii="宋体" w:hAnsi="宋体" w:eastAsia="宋体" w:cs="宋体"/>
          <w:sz w:val="21"/>
          <w:szCs w:val="21"/>
        </w:rPr>
        <w:t>1.1.2.4 监理人：</w:t>
      </w:r>
      <w:bookmarkEnd w:id="152"/>
      <w:bookmarkEnd w:id="153"/>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sz w:val="21"/>
          <w:szCs w:val="21"/>
        </w:rPr>
      </w:pPr>
      <w:bookmarkStart w:id="154" w:name="_Toc30061939"/>
      <w:bookmarkStart w:id="155" w:name="_Toc3882747"/>
      <w:r>
        <w:rPr>
          <w:rFonts w:hint="eastAsia" w:ascii="宋体" w:hAnsi="宋体" w:eastAsia="宋体" w:cs="宋体"/>
          <w:sz w:val="21"/>
          <w:szCs w:val="21"/>
        </w:rPr>
        <w:t>1.1.2.5 设计人：</w:t>
      </w:r>
      <w:bookmarkEnd w:id="154"/>
      <w:bookmarkEnd w:id="155"/>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工程和设备</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rPr>
      </w:pPr>
      <w:bookmarkStart w:id="156" w:name="_Toc373227694"/>
      <w:bookmarkStart w:id="157" w:name="_Toc469010899"/>
      <w:bookmarkStart w:id="158" w:name="_Toc389065260"/>
      <w:bookmarkStart w:id="159" w:name="_Toc373478341"/>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永久及临时占地、施工道路、工棚、施工办公生活区、加工场等</w:t>
      </w:r>
      <w:r>
        <w:rPr>
          <w:rFonts w:hint="eastAsia" w:ascii="宋体" w:hAnsi="宋体" w:eastAsia="宋体" w:cs="宋体"/>
          <w:color w:val="00000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施工图所示占地线范围，范围、坐标详见施工图</w:t>
      </w:r>
      <w:r>
        <w:rPr>
          <w:rFonts w:hint="eastAsia" w:ascii="宋体" w:hAnsi="宋体" w:eastAsia="宋体" w:cs="宋体"/>
          <w:color w:val="000000"/>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highlight w:val="magenta"/>
        </w:rPr>
      </w:pPr>
      <w:r>
        <w:rPr>
          <w:rFonts w:hint="eastAsia" w:ascii="宋体" w:hAnsi="宋体" w:eastAsia="宋体" w:cs="宋体"/>
          <w:color w:val="000000"/>
          <w:kern w:val="0"/>
          <w:sz w:val="21"/>
          <w:szCs w:val="21"/>
        </w:rPr>
        <w:t>1.1.3.10 临时占地包括：</w:t>
      </w:r>
      <w:r>
        <w:rPr>
          <w:rFonts w:hint="eastAsia" w:ascii="宋体" w:hAnsi="宋体" w:eastAsia="宋体" w:cs="宋体"/>
          <w:bCs/>
          <w:color w:val="000000"/>
          <w:sz w:val="21"/>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eastAsia="宋体" w:cs="宋体"/>
          <w:bCs/>
          <w:color w:val="000000"/>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60" w:name="_Toc3882748"/>
      <w:bookmarkStart w:id="161" w:name="_Toc30061940"/>
      <w:bookmarkStart w:id="162" w:name="_Toc24845"/>
      <w:r>
        <w:rPr>
          <w:rFonts w:hint="eastAsia" w:ascii="宋体" w:hAnsi="宋体" w:eastAsia="宋体" w:cs="宋体"/>
          <w:b/>
          <w:kern w:val="0"/>
          <w:sz w:val="21"/>
          <w:szCs w:val="21"/>
        </w:rPr>
        <w:t>1.3 法律</w:t>
      </w:r>
      <w:bookmarkEnd w:id="156"/>
      <w:bookmarkEnd w:id="157"/>
      <w:bookmarkEnd w:id="158"/>
      <w:bookmarkEnd w:id="159"/>
      <w:bookmarkEnd w:id="160"/>
      <w:bookmarkEnd w:id="161"/>
      <w:bookmarkEnd w:id="162"/>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color w:val="000000"/>
          <w:sz w:val="21"/>
          <w:szCs w:val="21"/>
          <w:u w:val="single"/>
        </w:rPr>
        <w:t>包括中华人民共和国法律、行政法规、部门规章，以及工程所在地的地方法规、自治条例、单行条例和地方政府规章</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63" w:name="_Toc373478342"/>
      <w:bookmarkStart w:id="164" w:name="_Toc3882749"/>
      <w:bookmarkStart w:id="165" w:name="_Toc373227695"/>
      <w:bookmarkStart w:id="166" w:name="_Toc469010900"/>
      <w:bookmarkStart w:id="167" w:name="_Toc10923"/>
      <w:bookmarkStart w:id="168" w:name="_Toc389065261"/>
      <w:bookmarkStart w:id="169" w:name="_Toc30061941"/>
      <w:r>
        <w:rPr>
          <w:rFonts w:hint="eastAsia" w:ascii="宋体" w:hAnsi="宋体" w:eastAsia="宋体" w:cs="宋体"/>
          <w:b/>
          <w:kern w:val="0"/>
          <w:sz w:val="21"/>
          <w:szCs w:val="21"/>
        </w:rPr>
        <w:t>1.4 标准和规范</w:t>
      </w:r>
      <w:bookmarkEnd w:id="163"/>
      <w:bookmarkEnd w:id="164"/>
      <w:bookmarkEnd w:id="165"/>
      <w:bookmarkEnd w:id="166"/>
      <w:bookmarkEnd w:id="167"/>
      <w:bookmarkEnd w:id="168"/>
      <w:bookmarkEnd w:id="169"/>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 适用于工程的标准规范包括：</w:t>
      </w:r>
      <w:r>
        <w:rPr>
          <w:rFonts w:hint="eastAsia" w:ascii="宋体" w:hAnsi="宋体" w:eastAsia="宋体" w:cs="宋体"/>
          <w:color w:val="000000"/>
          <w:sz w:val="21"/>
          <w:szCs w:val="21"/>
          <w:u w:val="single"/>
        </w:rPr>
        <w:t>现行国家、地方、部门有关标准规范</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1.4.2 发包人提供国外标准、规范的名称：</w:t>
      </w:r>
      <w:r>
        <w:rPr>
          <w:rFonts w:hint="eastAsia" w:ascii="宋体" w:hAnsi="宋体" w:eastAsia="宋体" w:cs="宋体"/>
          <w:sz w:val="21"/>
          <w:szCs w:val="21"/>
          <w:u w:val="single"/>
        </w:rPr>
        <w:t>/</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 发包人对工程的技术标准和功能要求的特殊要求：</w:t>
      </w:r>
      <w:r>
        <w:rPr>
          <w:rFonts w:hint="eastAsia" w:ascii="宋体" w:hAnsi="宋体" w:eastAsia="宋体" w:cs="宋体"/>
          <w:color w:val="000000"/>
          <w:sz w:val="21"/>
          <w:szCs w:val="21"/>
          <w:u w:val="single"/>
        </w:rPr>
        <w:t xml:space="preserve">  /  </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70" w:name="_Toc3882750"/>
      <w:bookmarkStart w:id="171" w:name="_Toc389065262"/>
      <w:bookmarkStart w:id="172" w:name="_Toc373478343"/>
      <w:bookmarkStart w:id="173" w:name="_Toc469010901"/>
      <w:bookmarkStart w:id="174" w:name="_Toc30061942"/>
      <w:bookmarkStart w:id="175" w:name="_Toc373227696"/>
      <w:bookmarkStart w:id="176" w:name="_Toc28691"/>
      <w:r>
        <w:rPr>
          <w:rFonts w:hint="eastAsia" w:ascii="宋体" w:hAnsi="宋体" w:eastAsia="宋体" w:cs="宋体"/>
          <w:b/>
          <w:kern w:val="0"/>
          <w:sz w:val="21"/>
          <w:szCs w:val="21"/>
        </w:rPr>
        <w:t>1.5 合同文件的优先顺序</w:t>
      </w:r>
      <w:bookmarkEnd w:id="170"/>
      <w:bookmarkEnd w:id="171"/>
      <w:bookmarkEnd w:id="172"/>
      <w:bookmarkEnd w:id="173"/>
      <w:bookmarkEnd w:id="174"/>
      <w:bookmarkEnd w:id="175"/>
      <w:bookmarkEnd w:id="176"/>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合同文件组成及优先顺序为：</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（1）合同协议书；</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（2）中标通知书（如果有）；</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（3）投标函及其附录（如果有）；</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（4）专用合同条款及其附件；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（5）通用合同条款；</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（6）标准、规范及有关技术文件；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（7）已标价工程量清单或预算书；</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（8）图纸；</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（9）其他合同文件。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10）《建设工程工程量清单计价规范（GB50500-2013）》及其广西实施细则及《关于建筑业实施营业税改征增值税后广西壮族自治区建设工程计价依据调整的通知》（桂建标〔2016〕17号）、《建设工程工程量清单计算规范（GB5854~50862-2013）》及其广西实施细则（修订本）。</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77" w:name="_Toc3882751"/>
      <w:bookmarkStart w:id="178" w:name="_Toc389065263"/>
      <w:bookmarkStart w:id="179" w:name="_Toc373478344"/>
      <w:bookmarkStart w:id="180" w:name="_Toc373227697"/>
      <w:bookmarkStart w:id="181" w:name="_Toc469010902"/>
      <w:bookmarkStart w:id="182" w:name="_Toc14661"/>
      <w:bookmarkStart w:id="183" w:name="_Toc30061943"/>
      <w:r>
        <w:rPr>
          <w:rFonts w:hint="eastAsia" w:ascii="宋体" w:hAnsi="宋体" w:eastAsia="宋体" w:cs="宋体"/>
          <w:b/>
          <w:kern w:val="0"/>
          <w:sz w:val="21"/>
          <w:szCs w:val="21"/>
        </w:rPr>
        <w:t>1.6 图纸和承包人文件</w:t>
      </w:r>
      <w:bookmarkEnd w:id="177"/>
      <w:bookmarkEnd w:id="178"/>
      <w:bookmarkEnd w:id="179"/>
      <w:bookmarkEnd w:id="180"/>
      <w:bookmarkEnd w:id="181"/>
      <w:bookmarkEnd w:id="182"/>
      <w:bookmarkEnd w:id="183"/>
      <w:r>
        <w:rPr>
          <w:rFonts w:hint="eastAsia" w:ascii="宋体" w:hAnsi="宋体" w:eastAsia="宋体" w:cs="宋体"/>
          <w:b/>
          <w:kern w:val="0"/>
          <w:sz w:val="21"/>
          <w:szCs w:val="21"/>
        </w:rPr>
        <w:tab/>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图纸的提供</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color w:val="000000"/>
          <w:sz w:val="21"/>
          <w:szCs w:val="21"/>
          <w:u w:val="single"/>
        </w:rPr>
        <w:t>合同生效后7天内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两</w:t>
      </w:r>
      <w:r>
        <w:rPr>
          <w:rFonts w:hint="eastAsia" w:ascii="宋体" w:hAnsi="宋体" w:eastAsia="宋体" w:cs="宋体"/>
          <w:color w:val="000000"/>
          <w:sz w:val="21"/>
          <w:szCs w:val="21"/>
          <w:u w:val="single"/>
        </w:rPr>
        <w:t>套，承包人需要增加图纸套数的，发包人应代为复制，复制费用由承包人承担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color w:val="000000"/>
          <w:sz w:val="21"/>
          <w:szCs w:val="21"/>
          <w:u w:val="single"/>
        </w:rPr>
        <w:t>建筑（若有）、道路（若有）、绿化（若有）、结构（若有）、给排水（若有）、电气（若有）、地质勘察报告及发包内容中的全部图纸。</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 承包人文件</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color w:val="000000"/>
          <w:sz w:val="21"/>
          <w:szCs w:val="21"/>
        </w:rPr>
        <w:t>包括必要的加工图和大样图，均不是合同计量与支付的依据文件。施工组织设计、专项施工方案、安全应急方案、进度报表、次月进度计划等</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承包人提供的文件的期限为：开工前7日；</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承包人提供的文件的数量为：提供施工组织设计和安全应急方案一式三份,专项工程实施前1个月提供专项施工方案一式三份,每月25日提供本月完成进度报表和次月进度计划一式三份；</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承包人提供的文件的形式为：书面及电子文件；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发包人审批承包人文件的期限：收到提供的文件后7天内，逾期不确认也不提出书面意见的，视为同意。</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1.6.5 现场图纸准备</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由承包方准备</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84" w:name="_Toc20707"/>
      <w:bookmarkStart w:id="185" w:name="_Toc469010903"/>
      <w:bookmarkStart w:id="186" w:name="_Toc373478345"/>
      <w:bookmarkStart w:id="187" w:name="_Toc373227698"/>
      <w:bookmarkStart w:id="188" w:name="_Toc3882752"/>
      <w:bookmarkStart w:id="189" w:name="_Toc30061944"/>
      <w:bookmarkStart w:id="190" w:name="_Toc389065264"/>
      <w:r>
        <w:rPr>
          <w:rFonts w:hint="eastAsia" w:ascii="宋体" w:hAnsi="宋体" w:eastAsia="宋体" w:cs="宋体"/>
          <w:b/>
          <w:kern w:val="0"/>
          <w:sz w:val="21"/>
          <w:szCs w:val="21"/>
        </w:rPr>
        <w:t>1.7 联络</w:t>
      </w:r>
      <w:bookmarkEnd w:id="184"/>
      <w:bookmarkEnd w:id="185"/>
      <w:bookmarkEnd w:id="186"/>
      <w:bookmarkEnd w:id="187"/>
      <w:bookmarkEnd w:id="188"/>
      <w:bookmarkEnd w:id="189"/>
      <w:bookmarkEnd w:id="190"/>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7</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业主派驻现场代表</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承包人施工现场项目部</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项目经理或委托代理人</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承包人文件送达的形式：</w:t>
      </w:r>
      <w:r>
        <w:rPr>
          <w:rFonts w:hint="eastAsia" w:ascii="宋体" w:hAnsi="宋体" w:eastAsia="宋体" w:cs="宋体"/>
          <w:kern w:val="0"/>
          <w:sz w:val="21"/>
          <w:szCs w:val="21"/>
          <w:u w:val="single"/>
        </w:rPr>
        <w:t xml:space="preserve">书面文件、电子文件、公证送达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监理人施工现场监理办公室</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总监理工程师</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91" w:name="_Toc469010904"/>
      <w:bookmarkStart w:id="192" w:name="_Toc389065265"/>
      <w:bookmarkStart w:id="193" w:name="_Toc373227699"/>
      <w:bookmarkStart w:id="194" w:name="_Toc12826"/>
      <w:bookmarkStart w:id="195" w:name="_Toc3882753"/>
      <w:bookmarkStart w:id="196" w:name="_Toc30061945"/>
      <w:bookmarkStart w:id="197" w:name="_Toc373478346"/>
      <w:r>
        <w:rPr>
          <w:rFonts w:hint="eastAsia" w:ascii="宋体" w:hAnsi="宋体" w:eastAsia="宋体" w:cs="宋体"/>
          <w:b/>
          <w:kern w:val="0"/>
          <w:sz w:val="21"/>
          <w:szCs w:val="21"/>
        </w:rPr>
        <w:t>1.10 交通运输</w:t>
      </w:r>
      <w:bookmarkEnd w:id="191"/>
      <w:bookmarkEnd w:id="192"/>
      <w:bookmarkEnd w:id="193"/>
      <w:bookmarkEnd w:id="194"/>
      <w:bookmarkEnd w:id="195"/>
      <w:bookmarkEnd w:id="196"/>
      <w:bookmarkEnd w:id="197"/>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bookmarkStart w:id="198" w:name="_Toc304295521"/>
      <w:bookmarkStart w:id="199" w:name="_Toc300934943"/>
      <w:bookmarkStart w:id="200" w:name="_Toc303539100"/>
      <w:bookmarkStart w:id="201" w:name="_Toc312677986"/>
      <w:bookmarkStart w:id="202" w:name="_Toc318581155"/>
      <w:r>
        <w:rPr>
          <w:rFonts w:hint="eastAsia" w:ascii="宋体" w:hAnsi="宋体" w:eastAsia="宋体" w:cs="宋体"/>
          <w:sz w:val="21"/>
          <w:szCs w:val="21"/>
        </w:rPr>
        <w:t>.10.1 出入现场的权利</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与施工无关的人员出入现场须经承发包双方同意。</w:t>
      </w:r>
    </w:p>
    <w:bookmarkEnd w:id="198"/>
    <w:bookmarkEnd w:id="199"/>
    <w:bookmarkEnd w:id="200"/>
    <w:bookmarkEnd w:id="201"/>
    <w:bookmarkEnd w:id="202"/>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bookmarkStart w:id="203" w:name="_Toc300934944"/>
      <w:bookmarkStart w:id="204" w:name="_Toc312677987"/>
      <w:bookmarkStart w:id="205" w:name="_Toc318581156"/>
      <w:bookmarkStart w:id="206" w:name="_Toc304295522"/>
      <w:bookmarkStart w:id="207" w:name="_Toc303539101"/>
      <w:r>
        <w:rPr>
          <w:rFonts w:hint="eastAsia" w:ascii="宋体" w:hAnsi="宋体" w:eastAsia="宋体" w:cs="宋体"/>
          <w:sz w:val="21"/>
          <w:szCs w:val="21"/>
        </w:rPr>
        <w:t>.10.3 场内交通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highlight w:val="red"/>
        </w:rPr>
      </w:pPr>
      <w:r>
        <w:rPr>
          <w:rFonts w:hint="eastAsia" w:ascii="宋体" w:hAnsi="宋体" w:eastAsia="宋体" w:cs="宋体"/>
          <w:kern w:val="0"/>
          <w:sz w:val="21"/>
          <w:szCs w:val="21"/>
        </w:rPr>
        <w:t>关于场外交通和场内交通的边界的约定：以征地红线为界限。</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关于发包人向承包人免费提供满足工程施工需要的场内道路和交通设施的约定：按经批准的施工组织设计规定，工程竣工后承包人须恢复</w:t>
      </w:r>
      <w:bookmarkEnd w:id="203"/>
      <w:bookmarkEnd w:id="204"/>
      <w:bookmarkEnd w:id="205"/>
      <w:bookmarkEnd w:id="206"/>
      <w:bookmarkEnd w:id="207"/>
      <w:bookmarkStart w:id="208" w:name="_Toc318581157"/>
      <w:r>
        <w:rPr>
          <w:rFonts w:hint="eastAsia" w:ascii="宋体" w:hAnsi="宋体" w:eastAsia="宋体" w:cs="宋体"/>
          <w:sz w:val="21"/>
          <w:szCs w:val="21"/>
        </w:rPr>
        <w:t>，施工现场内临时道路由承包人负责建设并承担相关费用。</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1.10.4 超大件和超重件的运输</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承包人</w:t>
      </w:r>
      <w:r>
        <w:rPr>
          <w:rFonts w:hint="eastAsia" w:ascii="宋体" w:hAnsi="宋体" w:eastAsia="宋体" w:cs="宋体"/>
          <w:sz w:val="21"/>
          <w:szCs w:val="21"/>
        </w:rPr>
        <w:t>承担。</w:t>
      </w:r>
    </w:p>
    <w:bookmarkEnd w:id="208"/>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09" w:name="_Toc373227700"/>
      <w:bookmarkStart w:id="210" w:name="_Toc3882754"/>
      <w:bookmarkStart w:id="211" w:name="_Toc389065266"/>
      <w:bookmarkStart w:id="212" w:name="_Toc373478347"/>
      <w:bookmarkStart w:id="213" w:name="_Toc20784"/>
      <w:bookmarkStart w:id="214" w:name="_Toc469010905"/>
      <w:bookmarkStart w:id="215" w:name="_Toc30061946"/>
      <w:r>
        <w:rPr>
          <w:rFonts w:hint="eastAsia" w:ascii="宋体" w:hAnsi="宋体" w:eastAsia="宋体" w:cs="宋体"/>
          <w:b/>
          <w:kern w:val="0"/>
          <w:sz w:val="21"/>
          <w:szCs w:val="21"/>
        </w:rPr>
        <w:t>1.11 知识产权</w:t>
      </w:r>
      <w:bookmarkEnd w:id="209"/>
      <w:bookmarkEnd w:id="210"/>
      <w:bookmarkEnd w:id="211"/>
      <w:bookmarkEnd w:id="212"/>
      <w:bookmarkEnd w:id="213"/>
      <w:bookmarkEnd w:id="214"/>
      <w:bookmarkEnd w:id="215"/>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sz w:val="21"/>
          <w:szCs w:val="21"/>
        </w:rPr>
      </w:pPr>
      <w:bookmarkStart w:id="216" w:name="_Toc30061947"/>
      <w:bookmarkStart w:id="217" w:name="_Toc3882755"/>
      <w:r>
        <w:rPr>
          <w:rFonts w:hint="eastAsia" w:ascii="宋体" w:hAnsi="宋体" w:eastAsia="宋体" w:cs="宋体"/>
          <w:sz w:val="21"/>
          <w:szCs w:val="21"/>
        </w:rPr>
        <w:t>1.11.1 关于发包人提供给承包人的图纸、发包人为实施工程自行编制或委托编制的技术规范以及反映发包人关于合同要求或其他类似性质的文件的著作权的归属：发包人。</w:t>
      </w:r>
      <w:bookmarkEnd w:id="216"/>
      <w:bookmarkEnd w:id="217"/>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关于发包人提供的上述文件的使用限制的要求：只能用于本工地，未经发包人同意不得向第三方提供图纸。</w:t>
      </w:r>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sz w:val="21"/>
          <w:szCs w:val="21"/>
        </w:rPr>
      </w:pPr>
      <w:bookmarkStart w:id="218" w:name="_Toc30061948"/>
      <w:bookmarkStart w:id="219" w:name="_Toc3882756"/>
      <w:r>
        <w:rPr>
          <w:rFonts w:hint="eastAsia" w:ascii="宋体" w:hAnsi="宋体" w:eastAsia="宋体" w:cs="宋体"/>
          <w:sz w:val="21"/>
          <w:szCs w:val="21"/>
        </w:rPr>
        <w:t>1.11.2 关于承包人为实施工程所编制文件的著作权的归属：承包人、发包人。</w:t>
      </w:r>
      <w:bookmarkEnd w:id="218"/>
      <w:bookmarkEnd w:id="219"/>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关于承包人提供的上述文件的使用限制的要求：只能用于本工地施工、保修，未经承包人同意不得向第三方提供。</w:t>
      </w:r>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kern w:val="0"/>
          <w:sz w:val="21"/>
          <w:szCs w:val="21"/>
        </w:rPr>
      </w:pPr>
      <w:bookmarkStart w:id="220" w:name="_Toc30061949"/>
      <w:bookmarkStart w:id="221" w:name="_Toc3882757"/>
      <w:r>
        <w:rPr>
          <w:rFonts w:hint="eastAsia" w:ascii="宋体" w:hAnsi="宋体" w:eastAsia="宋体" w:cs="宋体"/>
          <w:sz w:val="21"/>
          <w:szCs w:val="21"/>
        </w:rPr>
        <w:t>1.11.4 承包人在施工过程中所采用的专利、专有技术、技术秘密的使用费的承担方式：承包人负责</w:t>
      </w:r>
      <w:r>
        <w:rPr>
          <w:rFonts w:hint="eastAsia" w:ascii="宋体" w:hAnsi="宋体" w:eastAsia="宋体" w:cs="宋体"/>
          <w:kern w:val="0"/>
          <w:sz w:val="21"/>
          <w:szCs w:val="21"/>
        </w:rPr>
        <w:t>。</w:t>
      </w:r>
      <w:bookmarkEnd w:id="220"/>
      <w:bookmarkEnd w:id="221"/>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22" w:name="_Toc15086"/>
      <w:bookmarkStart w:id="223" w:name="_Toc389065267"/>
      <w:bookmarkStart w:id="224" w:name="_Toc373478348"/>
      <w:bookmarkStart w:id="225" w:name="_Toc30061950"/>
      <w:bookmarkStart w:id="226" w:name="_Toc3882758"/>
      <w:bookmarkStart w:id="227" w:name="_Toc469010906"/>
      <w:bookmarkStart w:id="228" w:name="_Toc373227701"/>
      <w:r>
        <w:rPr>
          <w:rFonts w:hint="eastAsia" w:ascii="宋体" w:hAnsi="宋体" w:eastAsia="宋体" w:cs="宋体"/>
          <w:b/>
          <w:kern w:val="0"/>
          <w:sz w:val="21"/>
          <w:szCs w:val="21"/>
        </w:rPr>
        <w:t>1.13工程量清单错误的修正</w:t>
      </w:r>
      <w:bookmarkEnd w:id="222"/>
      <w:bookmarkEnd w:id="223"/>
      <w:bookmarkEnd w:id="224"/>
      <w:bookmarkEnd w:id="225"/>
      <w:bookmarkEnd w:id="226"/>
      <w:bookmarkEnd w:id="227"/>
      <w:bookmarkEnd w:id="228"/>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出现工程量清单工程量偏差时，是否调整合同价格：☑是  □否</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允许调整合同价格的工程量偏差范围及其调整办法：</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按《建设工程工程量清单计价规范（GB50500-2013）》及其广西实施细则、《建设工程工程量清单计算规范（GB5854~50862-2013）》（修订本）及其广西实施细则等规定</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229" w:name="_Toc373227702"/>
      <w:bookmarkStart w:id="230" w:name="_Toc469010907"/>
      <w:bookmarkStart w:id="231" w:name="_Toc351203634"/>
      <w:bookmarkStart w:id="232" w:name="_Toc30061951"/>
      <w:bookmarkStart w:id="233" w:name="_Toc373478349"/>
      <w:bookmarkStart w:id="234" w:name="_Toc15136"/>
      <w:bookmarkStart w:id="235" w:name="_Toc3882759"/>
      <w:bookmarkStart w:id="236" w:name="_Toc389065268"/>
      <w:r>
        <w:rPr>
          <w:rFonts w:hint="eastAsia" w:ascii="宋体" w:hAnsi="宋体" w:eastAsia="宋体" w:cs="宋体"/>
          <w:b/>
          <w:sz w:val="21"/>
          <w:szCs w:val="21"/>
        </w:rPr>
        <w:t>2</w:t>
      </w:r>
      <w:bookmarkStart w:id="237" w:name="_Toc297120457"/>
      <w:bookmarkStart w:id="238" w:name="_Toc296944496"/>
      <w:bookmarkStart w:id="239" w:name="_Toc296347156"/>
      <w:bookmarkStart w:id="240" w:name="_Toc296346658"/>
      <w:bookmarkStart w:id="241" w:name="_Toc296890985"/>
      <w:bookmarkStart w:id="242" w:name="_Toc296503157"/>
      <w:bookmarkStart w:id="243" w:name="_Toc292559362"/>
      <w:bookmarkStart w:id="244" w:name="_Toc296891197"/>
      <w:bookmarkStart w:id="245" w:name="_Toc292559867"/>
      <w:bookmarkStart w:id="246" w:name="_Toc297048343"/>
      <w:r>
        <w:rPr>
          <w:rFonts w:hint="eastAsia" w:ascii="宋体" w:hAnsi="宋体" w:eastAsia="宋体" w:cs="宋体"/>
          <w:b/>
          <w:sz w:val="21"/>
          <w:szCs w:val="21"/>
        </w:rPr>
        <w:t>. 发包人</w:t>
      </w:r>
      <w:bookmarkEnd w:id="229"/>
      <w:bookmarkEnd w:id="230"/>
      <w:bookmarkEnd w:id="231"/>
      <w:bookmarkEnd w:id="232"/>
      <w:bookmarkEnd w:id="233"/>
      <w:bookmarkEnd w:id="234"/>
      <w:bookmarkEnd w:id="235"/>
      <w:bookmarkEnd w:id="236"/>
    </w:p>
    <w:bookmarkEnd w:id="237"/>
    <w:bookmarkEnd w:id="238"/>
    <w:bookmarkEnd w:id="239"/>
    <w:bookmarkEnd w:id="240"/>
    <w:bookmarkEnd w:id="241"/>
    <w:bookmarkEnd w:id="242"/>
    <w:bookmarkEnd w:id="243"/>
    <w:bookmarkEnd w:id="244"/>
    <w:bookmarkEnd w:id="245"/>
    <w:bookmarkEnd w:id="246"/>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47" w:name="_Toc2812"/>
      <w:bookmarkStart w:id="248" w:name="_Toc3882760"/>
      <w:bookmarkStart w:id="249" w:name="_Toc389065269"/>
      <w:bookmarkStart w:id="250" w:name="_Toc30061952"/>
      <w:bookmarkStart w:id="251" w:name="_Toc373227703"/>
      <w:bookmarkStart w:id="252" w:name="_Toc373478350"/>
      <w:bookmarkStart w:id="253" w:name="_Toc469010908"/>
      <w:r>
        <w:rPr>
          <w:rFonts w:hint="eastAsia" w:ascii="宋体" w:hAnsi="宋体" w:eastAsia="宋体" w:cs="宋体"/>
          <w:b/>
          <w:kern w:val="0"/>
          <w:sz w:val="21"/>
          <w:szCs w:val="21"/>
        </w:rPr>
        <w:t>2.2 发包人代表</w:t>
      </w:r>
      <w:bookmarkEnd w:id="247"/>
      <w:bookmarkEnd w:id="248"/>
      <w:bookmarkEnd w:id="249"/>
      <w:bookmarkEnd w:id="250"/>
      <w:bookmarkEnd w:id="251"/>
      <w:bookmarkEnd w:id="252"/>
      <w:bookmarkEnd w:id="253"/>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对工程进度、质量进行监督，办理中间交工工程验收手续，负责现场签证，解决由发包人授权处理的事宜</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54" w:name="_Toc469010909"/>
      <w:bookmarkStart w:id="255" w:name="_Toc389065270"/>
      <w:bookmarkStart w:id="256" w:name="_Toc373227704"/>
      <w:bookmarkStart w:id="257" w:name="_Toc3882761"/>
      <w:bookmarkStart w:id="258" w:name="_Toc20485"/>
      <w:bookmarkStart w:id="259" w:name="_Toc30061953"/>
      <w:bookmarkStart w:id="260" w:name="_Toc373478351"/>
      <w:r>
        <w:rPr>
          <w:rFonts w:hint="eastAsia" w:ascii="宋体" w:hAnsi="宋体" w:eastAsia="宋体" w:cs="宋体"/>
          <w:b/>
          <w:kern w:val="0"/>
          <w:sz w:val="21"/>
          <w:szCs w:val="21"/>
        </w:rPr>
        <w:t>2.4 施工现场、施工条件和基础资料的提供</w:t>
      </w:r>
      <w:bookmarkEnd w:id="254"/>
      <w:bookmarkEnd w:id="255"/>
      <w:bookmarkEnd w:id="256"/>
      <w:bookmarkEnd w:id="257"/>
      <w:bookmarkEnd w:id="258"/>
      <w:bookmarkEnd w:id="259"/>
      <w:bookmarkEnd w:id="260"/>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 提供施工现场</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关于发包人移交施工现场的期限要求：施工场地应当在监理人发出的开工通知中载明的开工日期前 7 天具备施工条件并移交给承包人。</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 提供施工条件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关于发包人应负责提供施工所需要的条件，包括：</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⑴ 施工场地具备施工条件的要求及完成的时间：开工3日前完成。</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⑵ 将施工所需的水、电线路接接至施工现场的时间、地点和供应要求：发包人按承包人的施工现场总平面布置图的要求于开工3日前将水、电接至施工现场。电讯线路的接通由承包人自费解决。水、电、通讯费用由承包人支付。若供电部门的原因造成停电，承包人必须自行解决施工用电，费用自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⑶ 施工场地与公共道路的通道开通时间和要求：本工程施工现场周围道路通畅。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⑷ 工程地质和地下管线资料的提供时间： 开工3日前提供，并保证资料的真实、准确和完整。</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⑸ 由发包人办理的施工所需证件、批件的名称：发包人办好施工许可证。</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⑹ 水准点和坐标控制点交验要求：开工3日前以书面形式交验，并于交付施工现场时，在现场实际交验，同时做交验记录，并保证资料的真实、准确和完整。</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⑺ 图纸会审和设计交底时间：开工3日前。</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⑻ 协调处理施工场地周围地下管线和邻近建筑物、构筑物（含文物保护建筑）、古树名木的保护工作：</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 施工中发现古墓、古建筑遗址等文物及化石或其他有考古、地质研究等价值的物品时，承包人应立即保护好现场并于4小时内以书面形式通知发包人，发包人应于收到书面通知后24小时内报告当地文物管理部门，发包人、承包人按文物管理部门的要求采取妥善保护措施。发包人承担由此发生的费用，顺延延误的工期。</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② 施工中发现影响施工的地下障碍物时，承包人应于8小时内以书面形式通知发包人，同时提出处置方案，发包人收到处置方案后24小时内予以认可或提出修正方案。发包人承担由此发生的费用，顺延延误的工期 。</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61" w:name="_Toc373478352"/>
      <w:bookmarkStart w:id="262" w:name="_Toc12607"/>
      <w:bookmarkStart w:id="263" w:name="_Toc373227705"/>
      <w:bookmarkStart w:id="264" w:name="_Toc3882762"/>
      <w:bookmarkStart w:id="265" w:name="_Toc30061954"/>
      <w:bookmarkStart w:id="266" w:name="_Toc469010910"/>
      <w:bookmarkStart w:id="267" w:name="_Toc389065271"/>
      <w:r>
        <w:rPr>
          <w:rFonts w:hint="eastAsia" w:ascii="宋体" w:hAnsi="宋体" w:eastAsia="宋体" w:cs="宋体"/>
          <w:b/>
          <w:kern w:val="0"/>
          <w:sz w:val="21"/>
          <w:szCs w:val="21"/>
        </w:rPr>
        <w:t>2.5 资金来源证明及支付担保</w:t>
      </w:r>
      <w:bookmarkEnd w:id="261"/>
      <w:bookmarkEnd w:id="262"/>
      <w:bookmarkEnd w:id="263"/>
      <w:bookmarkEnd w:id="264"/>
      <w:bookmarkEnd w:id="265"/>
      <w:bookmarkEnd w:id="266"/>
      <w:bookmarkEnd w:id="267"/>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发包人是否提供支付担保：否。</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发包人提供支付担保的形式：/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发包人提供的支付担保格式见合同附件2。</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268" w:name="_Toc20989"/>
      <w:bookmarkStart w:id="269" w:name="_Toc373478353"/>
      <w:bookmarkStart w:id="270" w:name="_Toc3882763"/>
      <w:bookmarkStart w:id="271" w:name="_Toc373227706"/>
      <w:bookmarkStart w:id="272" w:name="_Toc469010911"/>
      <w:bookmarkStart w:id="273" w:name="_Toc389065272"/>
      <w:bookmarkStart w:id="274" w:name="_Toc351203635"/>
      <w:bookmarkStart w:id="275" w:name="_Toc30061955"/>
      <w:r>
        <w:rPr>
          <w:rFonts w:hint="eastAsia" w:ascii="宋体" w:hAnsi="宋体" w:eastAsia="宋体" w:cs="宋体"/>
          <w:b/>
          <w:sz w:val="21"/>
          <w:szCs w:val="21"/>
        </w:rPr>
        <w:t>3</w:t>
      </w:r>
      <w:bookmarkStart w:id="276" w:name="_Toc297120458"/>
      <w:bookmarkStart w:id="277" w:name="_Toc296944497"/>
      <w:bookmarkStart w:id="278" w:name="_Toc296891198"/>
      <w:bookmarkStart w:id="279" w:name="_Toc292559363"/>
      <w:bookmarkStart w:id="280" w:name="_Toc297048344"/>
      <w:bookmarkStart w:id="281" w:name="_Toc296347157"/>
      <w:bookmarkStart w:id="282" w:name="_Toc296890986"/>
      <w:bookmarkStart w:id="283" w:name="_Toc296346659"/>
      <w:bookmarkStart w:id="284" w:name="_Toc292559868"/>
      <w:bookmarkStart w:id="285" w:name="_Toc296503158"/>
      <w:r>
        <w:rPr>
          <w:rFonts w:hint="eastAsia" w:ascii="宋体" w:hAnsi="宋体" w:eastAsia="宋体" w:cs="宋体"/>
          <w:b/>
          <w:sz w:val="21"/>
          <w:szCs w:val="21"/>
        </w:rPr>
        <w:t>. 承包人</w:t>
      </w:r>
      <w:bookmarkEnd w:id="268"/>
      <w:bookmarkEnd w:id="269"/>
      <w:bookmarkEnd w:id="270"/>
      <w:bookmarkEnd w:id="271"/>
      <w:bookmarkEnd w:id="272"/>
      <w:bookmarkEnd w:id="273"/>
      <w:bookmarkEnd w:id="274"/>
      <w:bookmarkEnd w:id="275"/>
    </w:p>
    <w:bookmarkEnd w:id="276"/>
    <w:bookmarkEnd w:id="277"/>
    <w:bookmarkEnd w:id="278"/>
    <w:bookmarkEnd w:id="279"/>
    <w:bookmarkEnd w:id="280"/>
    <w:bookmarkEnd w:id="281"/>
    <w:bookmarkEnd w:id="282"/>
    <w:bookmarkEnd w:id="283"/>
    <w:bookmarkEnd w:id="284"/>
    <w:bookmarkEnd w:id="285"/>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86" w:name="_Toc25134"/>
      <w:bookmarkStart w:id="287" w:name="_Toc3882764"/>
      <w:bookmarkStart w:id="288" w:name="_Toc373227707"/>
      <w:bookmarkStart w:id="289" w:name="_Toc30061956"/>
      <w:bookmarkStart w:id="290" w:name="_Toc469010912"/>
      <w:bookmarkStart w:id="291" w:name="_Toc389065273"/>
      <w:bookmarkStart w:id="292" w:name="_Toc373478354"/>
      <w:r>
        <w:rPr>
          <w:rFonts w:hint="eastAsia" w:ascii="宋体" w:hAnsi="宋体" w:eastAsia="宋体" w:cs="宋体"/>
          <w:b/>
          <w:kern w:val="0"/>
          <w:sz w:val="21"/>
          <w:szCs w:val="21"/>
        </w:rPr>
        <w:t>3.1 承包人的一般义务</w:t>
      </w:r>
      <w:bookmarkEnd w:id="286"/>
      <w:bookmarkEnd w:id="287"/>
      <w:bookmarkEnd w:id="288"/>
      <w:bookmarkEnd w:id="289"/>
      <w:bookmarkEnd w:id="290"/>
      <w:bookmarkEnd w:id="291"/>
      <w:bookmarkEnd w:id="292"/>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（9）承包人提交的竣工资料的内容：按照法律规定和合同约定编制竣工资料，完成竣工资料立卷及归档，并按如下约定的竣工资料的套数、内容、时间等要求移交发包人；</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承包人提交的竣工资料的内容：按竣工资料移交的有关规定办理。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承包人提交竣工资料份数：陆份。</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承包人提交的竣工资料的费用承担：由承包人承担。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承包人提交的竣工资料移交时间：竣工验收正式通过后15天内。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承包人提交的竣工资料形式要求：按竣工资料移交的有关规定办理。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（10）承包人应履行的其他义务：</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shd w:val="clear" w:color="FFFFFF" w:fill="D9D9D9"/>
        </w:rPr>
      </w:pPr>
      <w:r>
        <w:rPr>
          <w:rFonts w:hint="eastAsia" w:ascii="宋体" w:hAnsi="宋体" w:eastAsia="宋体" w:cs="宋体"/>
          <w:kern w:val="0"/>
          <w:sz w:val="21"/>
          <w:szCs w:val="21"/>
        </w:rPr>
        <w:t> ①取土场及弃土场由承包人自行解决，但不得违反相关管理规定，并承担相关费用。</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②全面完成合同约定的有关承包人的义务。</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293" w:name="_Toc373227708"/>
      <w:bookmarkStart w:id="294" w:name="_Toc23370"/>
      <w:bookmarkStart w:id="295" w:name="_Toc373478355"/>
      <w:bookmarkStart w:id="296" w:name="_Toc469010913"/>
      <w:bookmarkStart w:id="297" w:name="_Toc389065274"/>
      <w:bookmarkStart w:id="298" w:name="_Toc3882765"/>
      <w:bookmarkStart w:id="299" w:name="_Toc30061957"/>
      <w:r>
        <w:rPr>
          <w:rFonts w:hint="eastAsia" w:ascii="宋体" w:hAnsi="宋体" w:eastAsia="宋体" w:cs="宋体"/>
          <w:b/>
          <w:kern w:val="0"/>
          <w:sz w:val="21"/>
          <w:szCs w:val="21"/>
        </w:rPr>
        <w:t>3.2 项目经理</w:t>
      </w:r>
      <w:bookmarkEnd w:id="293"/>
      <w:bookmarkEnd w:id="294"/>
      <w:bookmarkEnd w:id="295"/>
      <w:bookmarkEnd w:id="296"/>
      <w:bookmarkEnd w:id="297"/>
      <w:bookmarkEnd w:id="298"/>
      <w:bookmarkEnd w:id="299"/>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sz w:val="21"/>
          <w:szCs w:val="21"/>
          <w:u w:val="single"/>
        </w:rPr>
        <w:t>项目经理每月在现场时间不得少于22日历天</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项目经理无权履行职责，由此影响工程进度或发生其它问题的，由承包人承担责任</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项目经理未经批准，擅自离开施工现场的违约责任：</w:t>
      </w:r>
      <w:r>
        <w:rPr>
          <w:rFonts w:hint="eastAsia" w:ascii="宋体" w:hAnsi="宋体" w:eastAsia="宋体" w:cs="宋体"/>
          <w:sz w:val="21"/>
          <w:szCs w:val="21"/>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eastAsia="宋体" w:cs="宋体"/>
          <w:color w:val="000000"/>
          <w:sz w:val="21"/>
          <w:szCs w:val="21"/>
          <w:u w:val="single"/>
        </w:rPr>
        <w:t>5000元/</w:t>
      </w:r>
      <w:r>
        <w:rPr>
          <w:rFonts w:hint="eastAsia" w:ascii="宋体" w:hAnsi="宋体" w:eastAsia="宋体" w:cs="宋体"/>
          <w:sz w:val="21"/>
          <w:szCs w:val="21"/>
          <w:u w:val="single"/>
        </w:rPr>
        <w:t>日（人民币）。</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3.2.3 承包人擅自更换项目经理的违约责任：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50000元/人•次（人民币）。</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3.2.4 承包人无正当理由拒绝更换项目经理的违约责任：因承包人项目经理不称职，发包人要求调换而未及时调换的，视为承包人违约，必须向发包人交纳处罚金50000元/人•次（人民币）</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300" w:name="_Toc469010914"/>
      <w:bookmarkStart w:id="301" w:name="_Toc373478356"/>
      <w:bookmarkStart w:id="302" w:name="_Toc12318"/>
      <w:bookmarkStart w:id="303" w:name="_Toc389065275"/>
      <w:bookmarkStart w:id="304" w:name="_Toc3882766"/>
      <w:bookmarkStart w:id="305" w:name="_Toc373227709"/>
      <w:bookmarkStart w:id="306" w:name="_Toc30061958"/>
      <w:r>
        <w:rPr>
          <w:rFonts w:hint="eastAsia" w:ascii="宋体" w:hAnsi="宋体" w:eastAsia="宋体" w:cs="宋体"/>
          <w:b/>
          <w:kern w:val="0"/>
          <w:sz w:val="21"/>
          <w:szCs w:val="21"/>
        </w:rPr>
        <w:t>3.3 承包人人员</w:t>
      </w:r>
      <w:bookmarkEnd w:id="300"/>
      <w:bookmarkEnd w:id="301"/>
      <w:bookmarkEnd w:id="302"/>
      <w:bookmarkEnd w:id="303"/>
      <w:bookmarkEnd w:id="304"/>
      <w:bookmarkEnd w:id="305"/>
      <w:bookmarkEnd w:id="306"/>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承包人提交项目管理机构及施工现场管理人员安排报告（格式见合同附件3）的期限：</w:t>
      </w:r>
      <w:r>
        <w:rPr>
          <w:rFonts w:hint="eastAsia" w:ascii="宋体" w:hAnsi="宋体" w:eastAsia="宋体" w:cs="宋体"/>
          <w:sz w:val="21"/>
          <w:szCs w:val="21"/>
          <w:u w:val="single"/>
        </w:rPr>
        <w:t>合同签订后14天内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3.3.3 承包人无正当理由拒绝撤换主要施工管理人员的违约责任：</w:t>
      </w:r>
      <w:bookmarkStart w:id="307" w:name="_Toc373478357"/>
      <w:bookmarkStart w:id="308" w:name="_Toc389065276"/>
      <w:bookmarkStart w:id="309" w:name="_Toc373227710"/>
      <w:bookmarkStart w:id="310" w:name="_Toc469010915"/>
      <w:r>
        <w:rPr>
          <w:rFonts w:hint="eastAsia" w:ascii="宋体" w:hAnsi="宋体" w:eastAsia="宋体" w:cs="宋体"/>
          <w:sz w:val="21"/>
          <w:szCs w:val="21"/>
          <w:u w:val="single"/>
        </w:rPr>
        <w:t>因承包人主要施工管理人员不称职，发包人要求调换而无正当理由拒绝撤换或未能及时调换完毕的，视为承包人违约，必须向发包人交纳处罚金，处罚标准：技术负责人30000元/人•次（人民币）；专业工程师20000元/人•次（人民币）。</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3.3.4 承包人主要施工管理人员离开施工现场的批准要求：应经发包人和监理工程师批准。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3.3.5 承包人擅自更换主要施工管理人员的违约责任：项目技术负责人、专职安全员及其承诺的其它在场管理人员未经发包人书面同意不准擅自更换，擅自更换项目技术负责人处30000元/人•次（人民币）违约金；擅自更换专职安全员处20000元/人•次（人民币）违约金；擅自更换其它在场管理人员处10000 元/人•次（人民币）违约金。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主要施工管理人员擅自离开施工现场的违约责任：未经发包人同意，项目技术负责人擅自离岗的，视为承包人违约，发包人有权处违约金30000元/人•次（人民币）；未经发包人同意，专职安全员擅自离岗的，视为承包人违约，发包人有权处违约金20000 元/人•次（人民币）；其它在场管理人员擅自离岗的，视为承包人违约，发包人有权处违约金10000 元/人•次（人民币）。</w:t>
      </w:r>
    </w:p>
    <w:p>
      <w:pPr>
        <w:pStyle w:val="54"/>
        <w:pageBreakBefore w:val="0"/>
        <w:widowControl w:val="0"/>
        <w:kinsoku/>
        <w:wordWrap/>
        <w:overflowPunct/>
        <w:topLinePunct w:val="0"/>
        <w:bidi w:val="0"/>
        <w:spacing w:line="260" w:lineRule="exact"/>
        <w:ind w:firstLine="420" w:firstLineChars="200"/>
        <w:textAlignment w:val="auto"/>
        <w:outlineLvl w:val="0"/>
        <w:rPr>
          <w:rFonts w:hint="eastAsia" w:ascii="宋体" w:hAnsi="宋体" w:eastAsia="宋体" w:cs="宋体"/>
          <w:sz w:val="21"/>
          <w:szCs w:val="21"/>
        </w:rPr>
      </w:pPr>
      <w:bookmarkStart w:id="311" w:name="_Toc30061959"/>
      <w:bookmarkStart w:id="312" w:name="_Toc3882767"/>
      <w:r>
        <w:rPr>
          <w:rFonts w:hint="eastAsia" w:ascii="宋体" w:hAnsi="宋体" w:eastAsia="宋体" w:cs="宋体"/>
          <w:sz w:val="21"/>
          <w:szCs w:val="21"/>
        </w:rPr>
        <w:t>3</w:t>
      </w:r>
      <w:bookmarkStart w:id="313" w:name="_Toc300934945"/>
      <w:bookmarkStart w:id="314" w:name="_Toc312677988"/>
      <w:bookmarkStart w:id="315" w:name="_Toc292559364"/>
      <w:bookmarkStart w:id="316" w:name="_Toc296347158"/>
      <w:bookmarkStart w:id="317" w:name="_Toc296346660"/>
      <w:bookmarkStart w:id="318" w:name="_Toc296503159"/>
      <w:bookmarkStart w:id="319" w:name="_Toc297120459"/>
      <w:bookmarkStart w:id="320" w:name="_Toc297048345"/>
      <w:bookmarkStart w:id="321" w:name="_Toc296890987"/>
      <w:bookmarkStart w:id="322" w:name="_Toc297216151"/>
      <w:bookmarkStart w:id="323" w:name="_Toc296891199"/>
      <w:bookmarkStart w:id="324" w:name="_Toc296944498"/>
      <w:bookmarkStart w:id="325" w:name="_Toc297123492"/>
      <w:bookmarkStart w:id="326" w:name="_Toc303539102"/>
      <w:bookmarkStart w:id="327" w:name="_Toc304295523"/>
      <w:bookmarkStart w:id="328" w:name="_Toc292559869"/>
      <w:r>
        <w:rPr>
          <w:rFonts w:hint="eastAsia" w:ascii="宋体" w:hAnsi="宋体" w:eastAsia="宋体" w:cs="宋体"/>
          <w:sz w:val="21"/>
          <w:szCs w:val="21"/>
        </w:rPr>
        <w:t>.5 分包</w:t>
      </w:r>
      <w:bookmarkEnd w:id="307"/>
      <w:bookmarkEnd w:id="308"/>
      <w:bookmarkEnd w:id="309"/>
      <w:bookmarkEnd w:id="310"/>
      <w:bookmarkEnd w:id="311"/>
      <w:bookmarkEnd w:id="312"/>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bookmarkStart w:id="329" w:name="_Toc373227711"/>
      <w:bookmarkStart w:id="330" w:name="_Toc389065277"/>
      <w:bookmarkStart w:id="331" w:name="_Toc373478358"/>
      <w:r>
        <w:rPr>
          <w:rFonts w:hint="eastAsia" w:ascii="宋体" w:hAnsi="宋体" w:eastAsia="宋体" w:cs="宋体"/>
          <w:sz w:val="21"/>
          <w:szCs w:val="21"/>
        </w:rPr>
        <w:t>3.5.1 分包的一般约定</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禁止分包的工程包括：本工程不得分包。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主体结构、关键性工作的范围：/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3.5.2 分包的确定</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允许分包的专业工程包括：/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其他关于分包的约定：</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（2）在相关分包合同签订并报送有关建设行政主管部门备案后7天内，承包人应当将一份副本提交给监理人，承包人应保障分包工作不得再次分包。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（3）未经承包人和监理人审批同意的分包工程和分包人，承包人有权拒绝验收分包工程和支付相应款项，由此引起的发包人费用增加和(或)延误的工期由发包人承担。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（4）承包人有以下情况之一者，发包人有权解除合同，并视情况扣除其履约保证金：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①个人承包工程，包括本人单位及外单位人员承包，发包人不承认其个人拥有任何资质等级及营业许可资格。没收全部履约保证金。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②几个人联合承包工程，就地组织暗分包队伍，不具备完成本工程的技术、机械能力，被发包人判定为没有能力履行的承包人。没收全部履约保证金。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③就地转包全部的工程，以谋取高额转让费、管理费的承包人。没收全部履约保证金。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3.5.4 分包合同价款</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332" w:name="_Toc31132"/>
      <w:bookmarkStart w:id="333" w:name="_Toc30061960"/>
      <w:bookmarkStart w:id="334" w:name="_Toc3882768"/>
      <w:bookmarkStart w:id="335" w:name="_Toc469010916"/>
      <w:r>
        <w:rPr>
          <w:rFonts w:hint="eastAsia" w:ascii="宋体" w:hAnsi="宋体" w:eastAsia="宋体" w:cs="宋体"/>
          <w:b/>
          <w:kern w:val="0"/>
          <w:sz w:val="21"/>
          <w:szCs w:val="21"/>
        </w:rPr>
        <w:t>3.6 工程照管与成品、半成品保护</w:t>
      </w:r>
      <w:bookmarkEnd w:id="329"/>
      <w:bookmarkEnd w:id="330"/>
      <w:bookmarkEnd w:id="331"/>
      <w:bookmarkEnd w:id="332"/>
      <w:bookmarkEnd w:id="333"/>
      <w:bookmarkEnd w:id="334"/>
      <w:bookmarkEnd w:id="335"/>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从承包人进场到工程竣工验收合格并交付发包人后</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bCs/>
          <w:kern w:val="0"/>
          <w:sz w:val="21"/>
          <w:szCs w:val="21"/>
          <w:highlight w:val="yellow"/>
        </w:rPr>
      </w:pPr>
      <w:bookmarkStart w:id="336" w:name="_Toc389065278"/>
      <w:bookmarkStart w:id="337" w:name="_Toc373478359"/>
      <w:bookmarkStart w:id="338" w:name="_Toc373227712"/>
      <w:bookmarkStart w:id="339" w:name="_Toc30061961"/>
      <w:bookmarkStart w:id="340" w:name="_Toc3882769"/>
      <w:bookmarkStart w:id="341" w:name="_Toc469010917"/>
      <w:bookmarkStart w:id="342" w:name="_Toc27620"/>
      <w:r>
        <w:rPr>
          <w:rFonts w:hint="eastAsia" w:ascii="宋体" w:hAnsi="宋体" w:eastAsia="宋体" w:cs="宋体"/>
          <w:b/>
          <w:bCs/>
          <w:kern w:val="0"/>
          <w:sz w:val="21"/>
          <w:szCs w:val="21"/>
        </w:rPr>
        <w:t>3.7 履约</w:t>
      </w:r>
      <w:bookmarkEnd w:id="336"/>
      <w:bookmarkEnd w:id="337"/>
      <w:bookmarkEnd w:id="338"/>
      <w:r>
        <w:rPr>
          <w:rFonts w:hint="eastAsia" w:ascii="宋体" w:hAnsi="宋体" w:eastAsia="宋体" w:cs="宋体"/>
          <w:b/>
          <w:bCs/>
          <w:kern w:val="0"/>
          <w:sz w:val="21"/>
          <w:szCs w:val="21"/>
        </w:rPr>
        <w:t>保证金</w:t>
      </w:r>
      <w:bookmarkEnd w:id="339"/>
      <w:bookmarkEnd w:id="340"/>
      <w:bookmarkEnd w:id="341"/>
      <w:bookmarkEnd w:id="342"/>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highlight w:val="red"/>
          <w:u w:val="single"/>
        </w:rPr>
      </w:pPr>
      <w:bookmarkStart w:id="343" w:name="_Toc469010918"/>
      <w:bookmarkStart w:id="344" w:name="_Toc3882770"/>
      <w:bookmarkStart w:id="345" w:name="_Toc373478360"/>
      <w:bookmarkStart w:id="346" w:name="_Toc373227713"/>
      <w:bookmarkStart w:id="347" w:name="_Toc30061962"/>
      <w:bookmarkStart w:id="348" w:name="_Toc351203636"/>
      <w:bookmarkStart w:id="349" w:name="_Toc29876"/>
      <w:bookmarkStart w:id="350" w:name="_Toc389065279"/>
      <w:r>
        <w:rPr>
          <w:rFonts w:hint="eastAsia" w:ascii="宋体" w:hAnsi="宋体" w:eastAsia="宋体" w:cs="宋体"/>
          <w:kern w:val="0"/>
          <w:sz w:val="21"/>
          <w:szCs w:val="21"/>
        </w:rPr>
        <w:t>承包人是否提供履约担保：</w:t>
      </w:r>
      <w:r>
        <w:rPr>
          <w:rFonts w:hint="eastAsia" w:ascii="宋体" w:hAnsi="宋体" w:eastAsia="宋体" w:cs="宋体"/>
          <w:kern w:val="0"/>
          <w:sz w:val="21"/>
          <w:szCs w:val="21"/>
          <w:u w:val="single"/>
        </w:rPr>
        <w:t xml:space="preserve">  否  </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4</w:t>
      </w:r>
      <w:bookmarkStart w:id="351" w:name="_Toc296347161"/>
      <w:bookmarkStart w:id="352" w:name="_Toc296944501"/>
      <w:bookmarkStart w:id="353" w:name="_Toc292559366"/>
      <w:bookmarkStart w:id="354" w:name="_Toc296346663"/>
      <w:bookmarkStart w:id="355" w:name="_Toc297048348"/>
      <w:bookmarkStart w:id="356" w:name="_Toc296891202"/>
      <w:bookmarkStart w:id="357" w:name="_Toc297120462"/>
      <w:bookmarkStart w:id="358" w:name="_Toc292559871"/>
      <w:bookmarkStart w:id="359" w:name="_Toc267251413"/>
      <w:bookmarkStart w:id="360" w:name="_Toc296503162"/>
      <w:bookmarkStart w:id="361" w:name="_Toc296890990"/>
      <w:r>
        <w:rPr>
          <w:rFonts w:hint="eastAsia" w:ascii="宋体" w:hAnsi="宋体" w:eastAsia="宋体" w:cs="宋体"/>
          <w:b/>
          <w:sz w:val="21"/>
          <w:szCs w:val="21"/>
        </w:rPr>
        <w:t>. 监</w:t>
      </w:r>
      <w:bookmarkEnd w:id="351"/>
      <w:bookmarkEnd w:id="352"/>
      <w:bookmarkEnd w:id="353"/>
      <w:bookmarkEnd w:id="354"/>
      <w:bookmarkEnd w:id="355"/>
      <w:bookmarkEnd w:id="356"/>
      <w:bookmarkEnd w:id="357"/>
      <w:bookmarkEnd w:id="358"/>
      <w:bookmarkEnd w:id="359"/>
      <w:bookmarkEnd w:id="360"/>
      <w:bookmarkEnd w:id="361"/>
      <w:r>
        <w:rPr>
          <w:rFonts w:hint="eastAsia" w:ascii="宋体" w:hAnsi="宋体" w:eastAsia="宋体" w:cs="宋体"/>
          <w:b/>
          <w:sz w:val="21"/>
          <w:szCs w:val="21"/>
        </w:rPr>
        <w:t>理人</w:t>
      </w:r>
      <w:bookmarkEnd w:id="343"/>
      <w:bookmarkEnd w:id="344"/>
      <w:bookmarkEnd w:id="345"/>
      <w:bookmarkEnd w:id="346"/>
      <w:bookmarkEnd w:id="347"/>
      <w:bookmarkEnd w:id="348"/>
      <w:bookmarkEnd w:id="349"/>
      <w:bookmarkEnd w:id="350"/>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362" w:name="_Toc3882771"/>
      <w:bookmarkStart w:id="363" w:name="_Toc389065280"/>
      <w:bookmarkStart w:id="364" w:name="_Toc30061963"/>
      <w:bookmarkStart w:id="365" w:name="_Toc373227714"/>
      <w:bookmarkStart w:id="366" w:name="_Toc373478361"/>
      <w:bookmarkStart w:id="367" w:name="_Toc6008"/>
      <w:bookmarkStart w:id="368" w:name="_Toc469010919"/>
      <w:r>
        <w:rPr>
          <w:rFonts w:hint="eastAsia" w:ascii="宋体" w:hAnsi="宋体" w:eastAsia="宋体" w:cs="宋体"/>
          <w:b/>
          <w:kern w:val="0"/>
          <w:sz w:val="21"/>
          <w:szCs w:val="21"/>
        </w:rPr>
        <w:t>4.1 监理人的一般规定</w:t>
      </w:r>
      <w:bookmarkEnd w:id="362"/>
      <w:bookmarkEnd w:id="363"/>
      <w:bookmarkEnd w:id="364"/>
      <w:bookmarkEnd w:id="365"/>
      <w:bookmarkEnd w:id="366"/>
      <w:bookmarkEnd w:id="367"/>
      <w:bookmarkEnd w:id="368"/>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关于监理人的监理内容：详见监理合同。</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关于监理人的监理权限：详见监理合同。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关于监理人在施工现场的办公场所、生活场所的提供和费用承担的约定：详见监理合同，由承包人提供。</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369" w:name="_Toc389065281"/>
      <w:bookmarkStart w:id="370" w:name="_Toc8961"/>
      <w:bookmarkStart w:id="371" w:name="_Toc469010920"/>
      <w:bookmarkStart w:id="372" w:name="_Toc373227715"/>
      <w:bookmarkStart w:id="373" w:name="_Toc30061964"/>
      <w:bookmarkStart w:id="374" w:name="_Toc373478362"/>
      <w:bookmarkStart w:id="375" w:name="_Toc3882772"/>
      <w:r>
        <w:rPr>
          <w:rFonts w:hint="eastAsia" w:ascii="宋体" w:hAnsi="宋体" w:eastAsia="宋体" w:cs="宋体"/>
          <w:b/>
          <w:kern w:val="0"/>
          <w:sz w:val="21"/>
          <w:szCs w:val="21"/>
        </w:rPr>
        <w:t>4.2 监理人员</w:t>
      </w:r>
      <w:bookmarkEnd w:id="369"/>
      <w:bookmarkEnd w:id="370"/>
      <w:bookmarkEnd w:id="371"/>
      <w:bookmarkEnd w:id="372"/>
      <w:bookmarkEnd w:id="373"/>
      <w:bookmarkEnd w:id="374"/>
      <w:bookmarkEnd w:id="375"/>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总监理工程师：</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376" w:name="_Toc30061965"/>
      <w:bookmarkStart w:id="377" w:name="_Toc373227716"/>
      <w:bookmarkStart w:id="378" w:name="_Toc469010921"/>
      <w:bookmarkStart w:id="379" w:name="_Toc25244"/>
      <w:bookmarkStart w:id="380" w:name="_Toc3882773"/>
      <w:bookmarkStart w:id="381" w:name="_Toc389065282"/>
      <w:bookmarkStart w:id="382" w:name="_Toc373478363"/>
      <w:r>
        <w:rPr>
          <w:rFonts w:hint="eastAsia" w:ascii="宋体" w:hAnsi="宋体" w:eastAsia="宋体" w:cs="宋体"/>
          <w:b/>
          <w:kern w:val="0"/>
          <w:sz w:val="21"/>
          <w:szCs w:val="21"/>
        </w:rPr>
        <w:t>4.4 商定或确定</w:t>
      </w:r>
      <w:bookmarkEnd w:id="376"/>
      <w:bookmarkEnd w:id="377"/>
      <w:bookmarkEnd w:id="378"/>
      <w:bookmarkEnd w:id="379"/>
      <w:bookmarkEnd w:id="380"/>
      <w:bookmarkEnd w:id="381"/>
      <w:bookmarkEnd w:id="382"/>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bookmarkStart w:id="383" w:name="_Toc267251418"/>
      <w:r>
        <w:rPr>
          <w:rFonts w:hint="eastAsia" w:ascii="宋体" w:hAnsi="宋体" w:eastAsia="宋体" w:cs="宋体"/>
          <w:sz w:val="21"/>
          <w:szCs w:val="21"/>
        </w:rPr>
        <w:t>在发包人和承包人不能通过协商达成一致意见时，发包人授权监理人对以下事项进行确定：</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（1）工程质量的鉴定、验收；</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（2）中间验收</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384" w:name="_Toc373478364"/>
      <w:bookmarkStart w:id="385" w:name="_Toc373227717"/>
      <w:bookmarkStart w:id="386" w:name="_Toc351203637"/>
      <w:bookmarkStart w:id="387" w:name="_Toc389065283"/>
      <w:bookmarkStart w:id="388" w:name="_Toc3882774"/>
      <w:bookmarkStart w:id="389" w:name="_Toc30061966"/>
      <w:bookmarkStart w:id="390" w:name="_Toc1052"/>
      <w:bookmarkStart w:id="391" w:name="_Toc469010922"/>
      <w:r>
        <w:rPr>
          <w:rFonts w:hint="eastAsia" w:ascii="宋体" w:hAnsi="宋体" w:eastAsia="宋体" w:cs="宋体"/>
          <w:b/>
          <w:sz w:val="21"/>
          <w:szCs w:val="21"/>
        </w:rPr>
        <w:t>5</w:t>
      </w:r>
      <w:bookmarkEnd w:id="383"/>
      <w:bookmarkStart w:id="392" w:name="_Toc296890991"/>
      <w:bookmarkStart w:id="393" w:name="_Toc292559872"/>
      <w:bookmarkStart w:id="394" w:name="_Toc297120463"/>
      <w:bookmarkStart w:id="395" w:name="_Toc296347162"/>
      <w:bookmarkStart w:id="396" w:name="_Toc296944502"/>
      <w:bookmarkStart w:id="397" w:name="_Toc296346664"/>
      <w:bookmarkStart w:id="398" w:name="_Toc296891203"/>
      <w:bookmarkStart w:id="399" w:name="_Toc297048349"/>
      <w:bookmarkStart w:id="400" w:name="_Toc292559367"/>
      <w:bookmarkStart w:id="401" w:name="_Toc296503163"/>
      <w:r>
        <w:rPr>
          <w:rFonts w:hint="eastAsia" w:ascii="宋体" w:hAnsi="宋体" w:eastAsia="宋体" w:cs="宋体"/>
          <w:b/>
          <w:sz w:val="21"/>
          <w:szCs w:val="21"/>
        </w:rPr>
        <w:t>. 工程质量</w:t>
      </w:r>
      <w:bookmarkEnd w:id="384"/>
      <w:bookmarkEnd w:id="385"/>
      <w:bookmarkEnd w:id="386"/>
      <w:bookmarkEnd w:id="387"/>
      <w:bookmarkEnd w:id="388"/>
      <w:bookmarkEnd w:id="389"/>
      <w:bookmarkEnd w:id="390"/>
      <w:bookmarkEnd w:id="391"/>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02" w:name="_Toc389065284"/>
      <w:bookmarkStart w:id="403" w:name="_Toc373227718"/>
      <w:bookmarkStart w:id="404" w:name="_Toc30061967"/>
      <w:bookmarkStart w:id="405" w:name="_Toc10712"/>
      <w:bookmarkStart w:id="406" w:name="_Toc469010923"/>
      <w:bookmarkStart w:id="407" w:name="_Toc3882775"/>
      <w:bookmarkStart w:id="408" w:name="_Toc373478365"/>
      <w:r>
        <w:rPr>
          <w:rFonts w:hint="eastAsia" w:ascii="宋体" w:hAnsi="宋体" w:eastAsia="宋体" w:cs="宋体"/>
          <w:b/>
          <w:kern w:val="0"/>
          <w:sz w:val="21"/>
          <w:szCs w:val="21"/>
        </w:rPr>
        <w:t>5.1 质量要求</w:t>
      </w:r>
      <w:bookmarkEnd w:id="402"/>
      <w:bookmarkEnd w:id="403"/>
      <w:bookmarkEnd w:id="404"/>
      <w:bookmarkEnd w:id="405"/>
      <w:bookmarkEnd w:id="406"/>
      <w:bookmarkEnd w:id="407"/>
      <w:bookmarkEnd w:id="408"/>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5</w:t>
      </w:r>
      <w:bookmarkStart w:id="409" w:name="_Toc297216155"/>
      <w:bookmarkStart w:id="410" w:name="_Toc303539106"/>
      <w:bookmarkStart w:id="411" w:name="_Toc304295527"/>
      <w:bookmarkStart w:id="412" w:name="_Toc318581164"/>
      <w:bookmarkStart w:id="413" w:name="_Toc297123496"/>
      <w:bookmarkStart w:id="414" w:name="_Toc300934949"/>
      <w:bookmarkStart w:id="415" w:name="_Toc312677997"/>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5.3 隐蔽工程检查</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bCs/>
          <w:sz w:val="21"/>
          <w:szCs w:val="21"/>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w:t>
      </w:r>
      <w:r>
        <w:rPr>
          <w:rFonts w:hint="eastAsia" w:ascii="宋体" w:hAnsi="宋体" w:eastAsia="宋体" w:cs="宋体"/>
          <w:sz w:val="21"/>
          <w:szCs w:val="21"/>
        </w:rPr>
        <w:t>小时提交书面延期要求。</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416" w:name="_Toc389065285"/>
      <w:bookmarkStart w:id="417" w:name="_Toc22622"/>
      <w:bookmarkStart w:id="418" w:name="_Toc351203638"/>
      <w:bookmarkStart w:id="419" w:name="_Toc30061968"/>
      <w:bookmarkStart w:id="420" w:name="_Toc3882776"/>
      <w:bookmarkStart w:id="421" w:name="_Toc373478366"/>
      <w:bookmarkStart w:id="422" w:name="_Toc373227719"/>
      <w:bookmarkStart w:id="423" w:name="_Toc469010924"/>
      <w:r>
        <w:rPr>
          <w:rFonts w:hint="eastAsia" w:ascii="宋体" w:hAnsi="宋体" w:eastAsia="宋体" w:cs="宋体"/>
          <w:b/>
          <w:sz w:val="21"/>
          <w:szCs w:val="21"/>
        </w:rPr>
        <w:t>6. 安全文明施工与环境保护</w:t>
      </w:r>
      <w:bookmarkEnd w:id="416"/>
      <w:bookmarkEnd w:id="417"/>
      <w:bookmarkEnd w:id="418"/>
      <w:bookmarkEnd w:id="419"/>
      <w:bookmarkEnd w:id="420"/>
      <w:bookmarkEnd w:id="421"/>
      <w:bookmarkEnd w:id="422"/>
      <w:bookmarkEnd w:id="423"/>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24" w:name="_Toc29264"/>
      <w:bookmarkStart w:id="425" w:name="_Toc373478367"/>
      <w:bookmarkStart w:id="426" w:name="_Toc389065286"/>
      <w:bookmarkStart w:id="427" w:name="_Toc30061969"/>
      <w:bookmarkStart w:id="428" w:name="_Toc373227720"/>
      <w:bookmarkStart w:id="429" w:name="_Toc3882777"/>
      <w:bookmarkStart w:id="430" w:name="_Toc469010925"/>
      <w:r>
        <w:rPr>
          <w:rFonts w:hint="eastAsia" w:ascii="宋体" w:hAnsi="宋体" w:eastAsia="宋体" w:cs="宋体"/>
          <w:b/>
          <w:kern w:val="0"/>
          <w:sz w:val="21"/>
          <w:szCs w:val="21"/>
        </w:rPr>
        <w:t>6.1 安全文明施工</w:t>
      </w:r>
      <w:bookmarkEnd w:id="424"/>
      <w:bookmarkEnd w:id="425"/>
      <w:bookmarkEnd w:id="426"/>
      <w:bookmarkEnd w:id="427"/>
      <w:bookmarkEnd w:id="428"/>
      <w:bookmarkEnd w:id="429"/>
      <w:bookmarkEnd w:id="430"/>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项目安全生产的达标目标及相应事项的约定：要求达到《建筑施工安全检查标准》（JGJ59-2011）的标准和符合《广西壮族自治区建设工程安全文明施工费使用管理细则》（桂建质〔2015〕16号）的要求；</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关于安全文明施工奖项的约定： /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6.1.4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关于编制施工场地治安管理计划的约定：执行通用条款6.1.4。</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6.1.5 文明施工</w:t>
      </w:r>
    </w:p>
    <w:p>
      <w:pPr>
        <w:pStyle w:val="54"/>
        <w:pageBreakBefore w:val="0"/>
        <w:widowControl w:val="0"/>
        <w:kinsoku/>
        <w:wordWrap/>
        <w:overflowPunct/>
        <w:topLinePunct w:val="0"/>
        <w:bidi w:val="0"/>
        <w:snapToGrid w:val="0"/>
        <w:spacing w:line="2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合同当事人对文明施工的要求：</w:t>
      </w:r>
      <w:r>
        <w:rPr>
          <w:rFonts w:hint="eastAsia" w:ascii="宋体" w:hAnsi="宋体" w:eastAsia="宋体" w:cs="宋体"/>
          <w:color w:val="000000"/>
          <w:sz w:val="21"/>
          <w:szCs w:val="21"/>
          <w:u w:val="single"/>
        </w:rPr>
        <w:t>要求达到《建筑施工安全检查标准》（JGJ59-2011）的标准和符合</w:t>
      </w:r>
      <w:r>
        <w:rPr>
          <w:rFonts w:hint="eastAsia" w:ascii="宋体" w:hAnsi="宋体" w:eastAsia="宋体" w:cs="宋体"/>
          <w:color w:val="000000"/>
          <w:kern w:val="0"/>
          <w:sz w:val="21"/>
          <w:szCs w:val="21"/>
          <w:u w:val="single"/>
        </w:rPr>
        <w:t>《广西壮族自治区建设工程安全文明施工费使用管理细则》（桂建质〔2015〕16号）</w:t>
      </w:r>
      <w:r>
        <w:rPr>
          <w:rFonts w:hint="eastAsia" w:ascii="宋体" w:hAnsi="宋体" w:eastAsia="宋体" w:cs="宋体"/>
          <w:color w:val="000000"/>
          <w:sz w:val="21"/>
          <w:szCs w:val="21"/>
          <w:u w:val="single"/>
        </w:rPr>
        <w:t>的要求</w:t>
      </w:r>
      <w:r>
        <w:rPr>
          <w:rFonts w:hint="eastAsia" w:ascii="宋体" w:hAnsi="宋体" w:eastAsia="宋体" w:cs="宋体"/>
          <w:color w:val="00000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pPr>
        <w:pStyle w:val="54"/>
        <w:pageBreakBefore w:val="0"/>
        <w:widowControl w:val="0"/>
        <w:kinsoku/>
        <w:wordWrap/>
        <w:overflowPunct/>
        <w:topLinePunct w:val="0"/>
        <w:bidi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（2）使用要求：专款专用。具体按《广西壮族自治区建设工程安全文明施工费使用管理细则》（桂建质〔2015〕16号）和贺州市相关规定执行。</w:t>
      </w:r>
    </w:p>
    <w:p>
      <w:pPr>
        <w:pStyle w:val="54"/>
        <w:pageBreakBefore w:val="0"/>
        <w:widowControl w:val="0"/>
        <w:kinsoku/>
        <w:wordWrap/>
        <w:overflowPunct/>
        <w:topLinePunct w:val="0"/>
        <w:bidi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（3）支付约定：按《关于印发&lt;贺州市建设工程安全文明施工费使用管理规定&gt;的通知》（贺住建发〔2016〕196号）文件执行</w:t>
      </w:r>
    </w:p>
    <w:p>
      <w:pPr>
        <w:pStyle w:val="54"/>
        <w:pageBreakBefore w:val="0"/>
        <w:widowControl w:val="0"/>
        <w:kinsoku/>
        <w:wordWrap/>
        <w:overflowPunct/>
        <w:topLinePunct w:val="0"/>
        <w:bidi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（4）工程施工完成后安全生产费用尚有结余的，结余部分由建设单位收回。</w:t>
      </w:r>
    </w:p>
    <w:p>
      <w:pPr>
        <w:pStyle w:val="54"/>
        <w:pageBreakBefore w:val="0"/>
        <w:widowControl w:val="0"/>
        <w:kinsoku/>
        <w:wordWrap/>
        <w:overflowPunct/>
        <w:topLinePunct w:val="0"/>
        <w:bidi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（5）施工单位将安全生产费用使用情况定期报告建设单位和监理单位，并提供相应的材料接受建设行政主管部门对此事项监管。    </w:t>
      </w:r>
      <w:bookmarkStart w:id="431" w:name="_Toc373227721"/>
      <w:bookmarkStart w:id="432" w:name="_Toc373478368"/>
      <w:bookmarkStart w:id="433" w:name="_Toc389065287"/>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r>
        <w:rPr>
          <w:rFonts w:hint="eastAsia" w:ascii="宋体" w:hAnsi="宋体" w:eastAsia="宋体" w:cs="宋体"/>
          <w:b/>
          <w:kern w:val="0"/>
          <w:sz w:val="21"/>
          <w:szCs w:val="21"/>
        </w:rPr>
        <w:t>6.3 环境保护</w:t>
      </w:r>
      <w:bookmarkEnd w:id="431"/>
      <w:bookmarkEnd w:id="432"/>
      <w:bookmarkEnd w:id="433"/>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因施工需要，经发包人批准，由承包人办理有关施工场地交通、环卫和施工噪音管理等手续，费用由承包人负责。</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经过城市道路的施工车辆，必须按交警、城管、运输等部门相关规定执行。由于施工车辆造成的道路、环境等污染，其责任和费用均由承包人承担。</w:t>
      </w:r>
    </w:p>
    <w:bookmarkEnd w:id="409"/>
    <w:bookmarkEnd w:id="410"/>
    <w:bookmarkEnd w:id="411"/>
    <w:bookmarkEnd w:id="412"/>
    <w:bookmarkEnd w:id="413"/>
    <w:bookmarkEnd w:id="414"/>
    <w:bookmarkEnd w:id="415"/>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434" w:name="_Toc30061970"/>
      <w:bookmarkStart w:id="435" w:name="_Toc373227722"/>
      <w:bookmarkStart w:id="436" w:name="_Toc351203639"/>
      <w:bookmarkStart w:id="437" w:name="_Toc389065288"/>
      <w:bookmarkStart w:id="438" w:name="_Toc3882778"/>
      <w:bookmarkStart w:id="439" w:name="_Toc469010926"/>
      <w:bookmarkStart w:id="440" w:name="_Toc26077"/>
      <w:bookmarkStart w:id="441" w:name="_Toc373478369"/>
      <w:r>
        <w:rPr>
          <w:rFonts w:hint="eastAsia" w:ascii="宋体" w:hAnsi="宋体" w:eastAsia="宋体" w:cs="宋体"/>
          <w:b/>
          <w:sz w:val="21"/>
          <w:szCs w:val="21"/>
        </w:rPr>
        <w:t>7. 工期和进度</w:t>
      </w:r>
      <w:bookmarkEnd w:id="434"/>
      <w:bookmarkEnd w:id="435"/>
      <w:bookmarkEnd w:id="436"/>
      <w:bookmarkEnd w:id="437"/>
      <w:bookmarkEnd w:id="438"/>
      <w:bookmarkEnd w:id="439"/>
      <w:bookmarkEnd w:id="440"/>
      <w:bookmarkEnd w:id="441"/>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42" w:name="_Toc373227723"/>
      <w:bookmarkStart w:id="443" w:name="_Toc30061971"/>
      <w:bookmarkStart w:id="444" w:name="_Toc389065289"/>
      <w:bookmarkStart w:id="445" w:name="_Toc28984"/>
      <w:bookmarkStart w:id="446" w:name="_Toc3882779"/>
      <w:bookmarkStart w:id="447" w:name="_Toc469010927"/>
      <w:bookmarkStart w:id="448" w:name="_Toc373478370"/>
      <w:r>
        <w:rPr>
          <w:rFonts w:hint="eastAsia" w:ascii="宋体" w:hAnsi="宋体" w:eastAsia="宋体" w:cs="宋体"/>
          <w:b/>
          <w:kern w:val="0"/>
          <w:sz w:val="21"/>
          <w:szCs w:val="21"/>
        </w:rPr>
        <w:t>7.1 施工组织设计</w:t>
      </w:r>
      <w:bookmarkEnd w:id="442"/>
      <w:bookmarkEnd w:id="443"/>
      <w:bookmarkEnd w:id="444"/>
      <w:bookmarkEnd w:id="445"/>
      <w:bookmarkEnd w:id="446"/>
      <w:bookmarkEnd w:id="447"/>
      <w:bookmarkEnd w:id="448"/>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7.1.1 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按行业管理有关要求</w:t>
      </w:r>
      <w:r>
        <w:rPr>
          <w:rFonts w:hint="eastAsia" w:ascii="宋体" w:hAnsi="宋体" w:eastAsia="宋体" w:cs="宋体"/>
          <w:sz w:val="21"/>
          <w:szCs w:val="21"/>
        </w:rPr>
        <w:t>。</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 xml:space="preserve">7.1.2 </w:t>
      </w:r>
      <w:r>
        <w:rPr>
          <w:rFonts w:hint="eastAsia" w:ascii="宋体" w:hAnsi="宋体" w:eastAsia="宋体" w:cs="宋体"/>
          <w:kern w:val="0"/>
          <w:sz w:val="21"/>
          <w:szCs w:val="21"/>
        </w:rPr>
        <w:t>施工组织设计的提交和修改</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49" w:name="_Toc373227724"/>
      <w:bookmarkStart w:id="450" w:name="_Toc24211"/>
      <w:bookmarkStart w:id="451" w:name="_Toc389065290"/>
      <w:bookmarkStart w:id="452" w:name="_Toc30061972"/>
      <w:bookmarkStart w:id="453" w:name="_Toc469010928"/>
      <w:bookmarkStart w:id="454" w:name="_Toc373478371"/>
      <w:bookmarkStart w:id="455" w:name="_Toc3882780"/>
      <w:r>
        <w:rPr>
          <w:rFonts w:hint="eastAsia" w:ascii="宋体" w:hAnsi="宋体" w:eastAsia="宋体" w:cs="宋体"/>
          <w:b/>
          <w:kern w:val="0"/>
          <w:sz w:val="21"/>
          <w:szCs w:val="21"/>
        </w:rPr>
        <w:t>7</w:t>
      </w:r>
      <w:bookmarkStart w:id="456" w:name="_Toc303539123"/>
      <w:bookmarkStart w:id="457" w:name="_Toc304295541"/>
      <w:bookmarkStart w:id="458" w:name="_Toc297216173"/>
      <w:bookmarkStart w:id="459" w:name="_Toc312678005"/>
      <w:bookmarkStart w:id="460" w:name="_Toc297123514"/>
      <w:bookmarkStart w:id="461" w:name="_Toc312677479"/>
      <w:bookmarkStart w:id="462" w:name="_Toc300934966"/>
      <w:r>
        <w:rPr>
          <w:rFonts w:hint="eastAsia" w:ascii="宋体" w:hAnsi="宋体" w:eastAsia="宋体" w:cs="宋体"/>
          <w:b/>
          <w:kern w:val="0"/>
          <w:sz w:val="21"/>
          <w:szCs w:val="21"/>
        </w:rPr>
        <w:t>.2 施工进度计划</w:t>
      </w:r>
      <w:bookmarkEnd w:id="449"/>
      <w:bookmarkEnd w:id="450"/>
      <w:bookmarkEnd w:id="451"/>
      <w:bookmarkEnd w:id="452"/>
      <w:bookmarkEnd w:id="453"/>
      <w:bookmarkEnd w:id="454"/>
      <w:bookmarkEnd w:id="455"/>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7.2.2 施工进度计划的修订</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63" w:name="_Toc373478372"/>
      <w:bookmarkStart w:id="464" w:name="_Toc3882781"/>
      <w:bookmarkStart w:id="465" w:name="_Toc30061973"/>
      <w:bookmarkStart w:id="466" w:name="_Toc373227725"/>
      <w:bookmarkStart w:id="467" w:name="_Toc25584"/>
      <w:bookmarkStart w:id="468" w:name="_Toc389065291"/>
      <w:bookmarkStart w:id="469" w:name="_Toc469010929"/>
      <w:r>
        <w:rPr>
          <w:rFonts w:hint="eastAsia" w:ascii="宋体" w:hAnsi="宋体" w:eastAsia="宋体" w:cs="宋体"/>
          <w:b/>
          <w:kern w:val="0"/>
          <w:sz w:val="21"/>
          <w:szCs w:val="21"/>
        </w:rPr>
        <w:t>7.3 开工</w:t>
      </w:r>
      <w:bookmarkEnd w:id="463"/>
      <w:bookmarkEnd w:id="464"/>
      <w:bookmarkEnd w:id="465"/>
      <w:bookmarkEnd w:id="466"/>
      <w:bookmarkEnd w:id="467"/>
      <w:bookmarkEnd w:id="468"/>
      <w:bookmarkEnd w:id="469"/>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7.3.1 开工准备</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开工许可证发出前</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开工许可证发出14天内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7.3.2 开工通知</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因发包人原因造成监理人未能在计划开工日期之日起</w:t>
      </w:r>
      <w:r>
        <w:rPr>
          <w:rFonts w:hint="eastAsia" w:ascii="宋体" w:hAnsi="宋体" w:eastAsia="宋体" w:cs="宋体"/>
          <w:sz w:val="21"/>
          <w:szCs w:val="21"/>
          <w:u w:val="single"/>
        </w:rPr>
        <w:t>90</w:t>
      </w:r>
      <w:r>
        <w:rPr>
          <w:rFonts w:hint="eastAsia" w:ascii="宋体" w:hAnsi="宋体" w:eastAsia="宋体" w:cs="宋体"/>
          <w:sz w:val="21"/>
          <w:szCs w:val="21"/>
        </w:rPr>
        <w:t>天内发出开工通知的，承包人有权提出价格调整要求，或者解除合同。</w:t>
      </w:r>
    </w:p>
    <w:bookmarkEnd w:id="456"/>
    <w:bookmarkEnd w:id="457"/>
    <w:bookmarkEnd w:id="458"/>
    <w:bookmarkEnd w:id="459"/>
    <w:bookmarkEnd w:id="460"/>
    <w:bookmarkEnd w:id="461"/>
    <w:bookmarkEnd w:id="462"/>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70" w:name="_Toc469010930"/>
      <w:bookmarkStart w:id="471" w:name="_Toc14462"/>
      <w:bookmarkStart w:id="472" w:name="_Toc30061974"/>
      <w:bookmarkStart w:id="473" w:name="_Toc3882782"/>
      <w:bookmarkStart w:id="474" w:name="_Toc373227726"/>
      <w:bookmarkStart w:id="475" w:name="_Toc389065292"/>
      <w:bookmarkStart w:id="476" w:name="_Toc373478373"/>
      <w:r>
        <w:rPr>
          <w:rFonts w:hint="eastAsia" w:ascii="宋体" w:hAnsi="宋体" w:eastAsia="宋体" w:cs="宋体"/>
          <w:b/>
          <w:kern w:val="0"/>
          <w:sz w:val="21"/>
          <w:szCs w:val="21"/>
        </w:rPr>
        <w:t>7.4 测量放线</w:t>
      </w:r>
      <w:bookmarkEnd w:id="470"/>
      <w:bookmarkEnd w:id="471"/>
      <w:bookmarkEnd w:id="472"/>
      <w:bookmarkEnd w:id="473"/>
      <w:bookmarkEnd w:id="474"/>
      <w:bookmarkEnd w:id="475"/>
      <w:bookmarkEnd w:id="476"/>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开工许可证发出后3天内</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477" w:name="_Toc26135"/>
      <w:bookmarkStart w:id="478" w:name="_Toc389065293"/>
      <w:bookmarkStart w:id="479" w:name="_Toc373478374"/>
      <w:bookmarkStart w:id="480" w:name="_Toc30061975"/>
      <w:bookmarkStart w:id="481" w:name="_Toc373227727"/>
      <w:bookmarkStart w:id="482" w:name="_Toc469010931"/>
      <w:bookmarkStart w:id="483" w:name="_Toc3882783"/>
      <w:r>
        <w:rPr>
          <w:rFonts w:hint="eastAsia" w:ascii="宋体" w:hAnsi="宋体" w:eastAsia="宋体" w:cs="宋体"/>
          <w:b/>
          <w:kern w:val="0"/>
          <w:sz w:val="21"/>
          <w:szCs w:val="21"/>
        </w:rPr>
        <w:t>7</w:t>
      </w:r>
      <w:bookmarkStart w:id="484" w:name="_Toc312677484"/>
      <w:bookmarkStart w:id="485" w:name="_Toc312678010"/>
      <w:bookmarkStart w:id="486" w:name="_Toc297216175"/>
      <w:bookmarkStart w:id="487" w:name="_Toc303539125"/>
      <w:bookmarkStart w:id="488" w:name="_Toc297123516"/>
      <w:bookmarkStart w:id="489" w:name="_Toc304295546"/>
      <w:bookmarkStart w:id="490" w:name="_Toc300934968"/>
      <w:r>
        <w:rPr>
          <w:rFonts w:hint="eastAsia" w:ascii="宋体" w:hAnsi="宋体" w:eastAsia="宋体" w:cs="宋体"/>
          <w:b/>
          <w:kern w:val="0"/>
          <w:sz w:val="21"/>
          <w:szCs w:val="21"/>
        </w:rPr>
        <w:t>.5 工期延误</w:t>
      </w:r>
      <w:bookmarkEnd w:id="477"/>
      <w:bookmarkEnd w:id="478"/>
      <w:bookmarkEnd w:id="479"/>
      <w:bookmarkEnd w:id="480"/>
      <w:bookmarkEnd w:id="481"/>
      <w:bookmarkEnd w:id="482"/>
      <w:bookmarkEnd w:id="483"/>
    </w:p>
    <w:bookmarkEnd w:id="484"/>
    <w:bookmarkEnd w:id="485"/>
    <w:bookmarkEnd w:id="486"/>
    <w:bookmarkEnd w:id="487"/>
    <w:bookmarkEnd w:id="488"/>
    <w:bookmarkEnd w:id="489"/>
    <w:bookmarkEnd w:id="490"/>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工期按时顺延。⑤施工期间如因停电、停水连续8小时以上或一周内间歇性停水、停电累计8小时（含8小时）影响正常施工的。⑥政府指令性停工。⑦在施工过程中遇到地下障碍物、溶洞、岩石、文物或地下管线的。</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 8 \* GB3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8</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因发包人未能及时确认变更价格或甲供材料提供延误的。⑨发包人未能按约定日期支付工程预付款、进度款，致使施工不能正常进行。⑩非承包人的责任造成的工期延误其他情形</w:t>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w:t>
      </w:r>
      <w:bookmarkStart w:id="491" w:name="_Toc312677486"/>
      <w:bookmarkStart w:id="492" w:name="_Toc312678012"/>
      <w:bookmarkStart w:id="493" w:name="_Toc318581169"/>
      <w:bookmarkStart w:id="494" w:name="_Toc303539127"/>
      <w:bookmarkStart w:id="495" w:name="_Toc297123518"/>
      <w:bookmarkStart w:id="496" w:name="_Toc300934970"/>
      <w:bookmarkStart w:id="497" w:name="_Toc304295548"/>
      <w:bookmarkStart w:id="498" w:name="_Toc297216177"/>
      <w:r>
        <w:rPr>
          <w:rFonts w:hint="eastAsia" w:ascii="宋体" w:hAnsi="宋体" w:eastAsia="宋体" w:cs="宋体"/>
          <w:sz w:val="21"/>
          <w:szCs w:val="21"/>
        </w:rPr>
        <w:t>.5.2 因承包人原因导致工期延误</w:t>
      </w:r>
    </w:p>
    <w:bookmarkEnd w:id="491"/>
    <w:bookmarkEnd w:id="492"/>
    <w:bookmarkEnd w:id="493"/>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双方约定经监理工程师确认，工期相应顺延的情况：</w:t>
      </w:r>
      <w:r>
        <w:rPr>
          <w:rFonts w:hint="eastAsia" w:ascii="宋体" w:hAnsi="宋体" w:eastAsia="宋体" w:cs="宋体"/>
          <w:sz w:val="21"/>
          <w:szCs w:val="21"/>
          <w:u w:val="single"/>
        </w:rPr>
        <w:t>当地政策变化引起的延误；建设项目停、缓建；不可预见的地下障碍物和地下文物的处理；属不可抗拒的自然灾害；因发包人原因造成的延误。</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rPr>
        <w:t>由于承包人原因引起的过失或违约造成的延误，责任在承包人，由承包人承担费用，不顺延工期</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因</w:t>
      </w:r>
      <w:bookmarkStart w:id="499" w:name="_Toc312678013"/>
      <w:bookmarkStart w:id="500" w:name="_Toc318581170"/>
      <w:bookmarkStart w:id="501" w:name="_Toc312677487"/>
      <w:r>
        <w:rPr>
          <w:rFonts w:hint="eastAsia" w:ascii="宋体" w:hAnsi="宋体" w:eastAsia="宋体" w:cs="宋体"/>
          <w:sz w:val="21"/>
          <w:szCs w:val="21"/>
        </w:rPr>
        <w:t>承包人原因造成工期延误，逾期竣工违约金的计算方法为：</w:t>
      </w:r>
      <w:r>
        <w:rPr>
          <w:rFonts w:hint="eastAsia" w:ascii="宋体" w:hAnsi="宋体" w:eastAsia="宋体" w:cs="宋体"/>
          <w:color w:val="000000"/>
          <w:sz w:val="21"/>
          <w:szCs w:val="21"/>
          <w:u w:val="single"/>
        </w:rPr>
        <w:t>承包人不能按合同约定的时间竣工，承包人应承担违约责任。应向发包人支付误期赔偿费（每天赔偿金</w:t>
      </w:r>
      <w:r>
        <w:rPr>
          <w:rFonts w:hint="eastAsia" w:ascii="宋体" w:hAnsi="宋体" w:eastAsia="宋体" w:cs="宋体"/>
          <w:sz w:val="21"/>
          <w:szCs w:val="21"/>
          <w:u w:val="single"/>
        </w:rPr>
        <w:t>额为合同价款的万分之三），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sz w:val="21"/>
          <w:szCs w:val="21"/>
        </w:rPr>
        <w:t>。</w:t>
      </w:r>
    </w:p>
    <w:bookmarkEnd w:id="494"/>
    <w:bookmarkEnd w:id="495"/>
    <w:bookmarkEnd w:id="496"/>
    <w:bookmarkEnd w:id="497"/>
    <w:bookmarkEnd w:id="498"/>
    <w:bookmarkEnd w:id="499"/>
    <w:bookmarkEnd w:id="500"/>
    <w:bookmarkEnd w:id="501"/>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502" w:name="_Toc312678014"/>
      <w:bookmarkStart w:id="503" w:name="_Toc318581171"/>
      <w:r>
        <w:rPr>
          <w:rFonts w:hint="eastAsia" w:ascii="宋体" w:hAnsi="宋体" w:eastAsia="宋体" w:cs="宋体"/>
          <w:sz w:val="21"/>
          <w:szCs w:val="21"/>
        </w:rPr>
        <w:t>期竣工违约金的上限：</w:t>
      </w:r>
      <w:r>
        <w:rPr>
          <w:rFonts w:hint="eastAsia" w:ascii="宋体" w:hAnsi="宋体" w:eastAsia="宋体" w:cs="宋体"/>
          <w:sz w:val="21"/>
          <w:szCs w:val="21"/>
          <w:u w:val="single"/>
        </w:rPr>
        <w:t>合同价款的2%</w:t>
      </w:r>
      <w:r>
        <w:rPr>
          <w:rFonts w:hint="eastAsia" w:ascii="宋体" w:hAnsi="宋体" w:eastAsia="宋体" w:cs="宋体"/>
          <w:sz w:val="21"/>
          <w:szCs w:val="21"/>
        </w:rPr>
        <w:t>。</w:t>
      </w:r>
    </w:p>
    <w:bookmarkEnd w:id="502"/>
    <w:bookmarkEnd w:id="503"/>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504" w:name="_Toc389065294"/>
      <w:bookmarkStart w:id="505" w:name="_Toc373478375"/>
      <w:bookmarkStart w:id="506" w:name="_Toc30061976"/>
      <w:bookmarkStart w:id="507" w:name="_Toc3882784"/>
      <w:bookmarkStart w:id="508" w:name="_Toc373227728"/>
      <w:r>
        <w:rPr>
          <w:rFonts w:hint="eastAsia" w:ascii="宋体" w:hAnsi="宋体" w:eastAsia="宋体" w:cs="宋体"/>
          <w:b/>
          <w:kern w:val="0"/>
          <w:sz w:val="21"/>
          <w:szCs w:val="21"/>
        </w:rPr>
        <w:t>7</w:t>
      </w:r>
      <w:bookmarkStart w:id="509" w:name="_Toc297123519"/>
      <w:bookmarkStart w:id="510" w:name="_Toc303539128"/>
      <w:bookmarkStart w:id="511" w:name="_Toc300934971"/>
      <w:bookmarkStart w:id="512" w:name="_Toc304295549"/>
      <w:bookmarkStart w:id="513" w:name="_Toc312678015"/>
      <w:bookmarkStart w:id="514" w:name="_Toc297216178"/>
      <w:r>
        <w:rPr>
          <w:rFonts w:hint="eastAsia" w:ascii="宋体" w:hAnsi="宋体" w:eastAsia="宋体" w:cs="宋体"/>
          <w:b/>
          <w:kern w:val="0"/>
          <w:sz w:val="21"/>
          <w:szCs w:val="21"/>
        </w:rPr>
        <w:t>.6 不</w:t>
      </w:r>
      <w:bookmarkEnd w:id="509"/>
      <w:bookmarkEnd w:id="510"/>
      <w:bookmarkEnd w:id="511"/>
      <w:bookmarkEnd w:id="512"/>
      <w:bookmarkEnd w:id="513"/>
      <w:bookmarkEnd w:id="514"/>
      <w:r>
        <w:rPr>
          <w:rFonts w:hint="eastAsia" w:ascii="宋体" w:hAnsi="宋体" w:eastAsia="宋体" w:cs="宋体"/>
          <w:b/>
          <w:kern w:val="0"/>
          <w:sz w:val="21"/>
          <w:szCs w:val="21"/>
        </w:rPr>
        <w:t>利物质条件</w:t>
      </w:r>
      <w:bookmarkEnd w:id="504"/>
      <w:bookmarkEnd w:id="505"/>
      <w:bookmarkEnd w:id="506"/>
      <w:bookmarkEnd w:id="507"/>
      <w:bookmarkEnd w:id="508"/>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bookmarkStart w:id="515" w:name="_Toc312678016"/>
      <w:bookmarkStart w:id="516" w:name="_Toc300934972"/>
      <w:bookmarkStart w:id="517" w:name="_Toc304295550"/>
      <w:bookmarkStart w:id="518" w:name="_Toc297123520"/>
      <w:bookmarkStart w:id="519" w:name="_Toc297216179"/>
      <w:bookmarkStart w:id="520" w:name="_Toc303539129"/>
      <w:bookmarkStart w:id="521" w:name="_Toc318581172"/>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气象台发布的黄色预警及以上天气、恶劣的霜冻与冰冻天气</w:t>
      </w:r>
      <w:r>
        <w:rPr>
          <w:rFonts w:hint="eastAsia" w:ascii="宋体" w:hAnsi="宋体" w:eastAsia="宋体" w:cs="宋体"/>
          <w:sz w:val="21"/>
          <w:szCs w:val="21"/>
        </w:rPr>
        <w:t>。</w:t>
      </w:r>
    </w:p>
    <w:bookmarkEnd w:id="515"/>
    <w:bookmarkEnd w:id="516"/>
    <w:bookmarkEnd w:id="517"/>
    <w:bookmarkEnd w:id="518"/>
    <w:bookmarkEnd w:id="519"/>
    <w:bookmarkEnd w:id="520"/>
    <w:bookmarkEnd w:id="521"/>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522" w:name="_Toc3882785"/>
      <w:bookmarkStart w:id="523" w:name="_Toc4085"/>
      <w:bookmarkStart w:id="524" w:name="_Toc469010932"/>
      <w:bookmarkStart w:id="525" w:name="_Toc30061977"/>
      <w:bookmarkStart w:id="526" w:name="_Toc373227729"/>
      <w:bookmarkStart w:id="527" w:name="_Toc373478376"/>
      <w:bookmarkStart w:id="528" w:name="_Toc389065295"/>
      <w:r>
        <w:rPr>
          <w:rFonts w:hint="eastAsia" w:ascii="宋体" w:hAnsi="宋体" w:eastAsia="宋体" w:cs="宋体"/>
          <w:b/>
          <w:kern w:val="0"/>
          <w:sz w:val="21"/>
          <w:szCs w:val="21"/>
        </w:rPr>
        <w:t>7</w:t>
      </w:r>
      <w:bookmarkStart w:id="529" w:name="_Toc304295551"/>
      <w:bookmarkStart w:id="530" w:name="_Toc303539130"/>
      <w:bookmarkStart w:id="531" w:name="_Toc297123521"/>
      <w:bookmarkStart w:id="532" w:name="_Toc300934973"/>
      <w:bookmarkStart w:id="533" w:name="_Toc297216180"/>
      <w:bookmarkStart w:id="534" w:name="_Toc312678017"/>
      <w:r>
        <w:rPr>
          <w:rFonts w:hint="eastAsia" w:ascii="宋体" w:hAnsi="宋体" w:eastAsia="宋体" w:cs="宋体"/>
          <w:b/>
          <w:kern w:val="0"/>
          <w:sz w:val="21"/>
          <w:szCs w:val="21"/>
        </w:rPr>
        <w:t>.7 异常恶劣的气候条件</w:t>
      </w:r>
      <w:bookmarkEnd w:id="522"/>
      <w:bookmarkEnd w:id="523"/>
      <w:bookmarkEnd w:id="524"/>
      <w:bookmarkEnd w:id="525"/>
      <w:bookmarkEnd w:id="526"/>
      <w:bookmarkEnd w:id="527"/>
      <w:bookmarkEnd w:id="528"/>
    </w:p>
    <w:bookmarkEnd w:id="529"/>
    <w:bookmarkEnd w:id="530"/>
    <w:bookmarkEnd w:id="531"/>
    <w:bookmarkEnd w:id="532"/>
    <w:bookmarkEnd w:id="533"/>
    <w:bookmarkEnd w:id="534"/>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中雨级及以上的雨天；持续2天38度的高温天气；持续2天零度以下的低温天气；25年以上未发生过的洪水； 8级及以上的地震；8级及以上的大风</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535" w:name="_Toc30061978"/>
      <w:bookmarkStart w:id="536" w:name="_Toc469010933"/>
      <w:bookmarkStart w:id="537" w:name="_Toc373227730"/>
      <w:bookmarkStart w:id="538" w:name="_Toc7439"/>
      <w:bookmarkStart w:id="539" w:name="_Toc3882786"/>
      <w:bookmarkStart w:id="540" w:name="_Toc389065296"/>
      <w:bookmarkStart w:id="541" w:name="_Toc373478377"/>
      <w:r>
        <w:rPr>
          <w:rFonts w:hint="eastAsia" w:ascii="宋体" w:hAnsi="宋体" w:eastAsia="宋体" w:cs="宋体"/>
          <w:b/>
          <w:kern w:val="0"/>
          <w:sz w:val="21"/>
          <w:szCs w:val="21"/>
        </w:rPr>
        <w:t>7.9 提前竣工</w:t>
      </w:r>
      <w:bookmarkEnd w:id="535"/>
      <w:bookmarkEnd w:id="536"/>
      <w:bookmarkEnd w:id="537"/>
      <w:bookmarkEnd w:id="538"/>
      <w:bookmarkEnd w:id="539"/>
      <w:bookmarkEnd w:id="540"/>
      <w:bookmarkEnd w:id="541"/>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7.9.2提前竣工（赶工）增加费的计算方法：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542" w:name="_Toc3882787"/>
      <w:bookmarkStart w:id="543" w:name="_Toc373478378"/>
      <w:bookmarkStart w:id="544" w:name="_Toc351203640"/>
      <w:bookmarkStart w:id="545" w:name="_Toc469010934"/>
      <w:bookmarkStart w:id="546" w:name="_Toc373227731"/>
      <w:bookmarkStart w:id="547" w:name="_Toc389065297"/>
      <w:bookmarkStart w:id="548" w:name="_Toc11665"/>
      <w:bookmarkStart w:id="549" w:name="_Toc30061979"/>
      <w:r>
        <w:rPr>
          <w:rFonts w:hint="eastAsia" w:ascii="宋体" w:hAnsi="宋体" w:eastAsia="宋体" w:cs="宋体"/>
          <w:b/>
          <w:sz w:val="21"/>
          <w:szCs w:val="21"/>
        </w:rPr>
        <w:t>8. 材料与设备</w:t>
      </w:r>
      <w:bookmarkEnd w:id="542"/>
      <w:bookmarkEnd w:id="543"/>
      <w:bookmarkEnd w:id="544"/>
      <w:bookmarkEnd w:id="545"/>
      <w:bookmarkEnd w:id="546"/>
      <w:bookmarkEnd w:id="547"/>
      <w:bookmarkEnd w:id="548"/>
      <w:bookmarkEnd w:id="549"/>
    </w:p>
    <w:bookmarkEnd w:id="392"/>
    <w:bookmarkEnd w:id="393"/>
    <w:bookmarkEnd w:id="394"/>
    <w:bookmarkEnd w:id="395"/>
    <w:bookmarkEnd w:id="396"/>
    <w:bookmarkEnd w:id="397"/>
    <w:bookmarkEnd w:id="398"/>
    <w:bookmarkEnd w:id="399"/>
    <w:bookmarkEnd w:id="400"/>
    <w:bookmarkEnd w:id="401"/>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550" w:name="_Toc3882788"/>
      <w:bookmarkStart w:id="551" w:name="_Toc30061980"/>
      <w:bookmarkStart w:id="552" w:name="_Toc3275"/>
      <w:bookmarkStart w:id="553" w:name="_Toc373478379"/>
      <w:bookmarkStart w:id="554" w:name="_Toc469010935"/>
      <w:bookmarkStart w:id="555" w:name="_Toc373227732"/>
      <w:bookmarkStart w:id="556" w:name="_Toc389065298"/>
      <w:r>
        <w:rPr>
          <w:rFonts w:hint="eastAsia" w:ascii="宋体" w:hAnsi="宋体" w:eastAsia="宋体" w:cs="宋体"/>
          <w:b/>
          <w:kern w:val="0"/>
          <w:sz w:val="21"/>
          <w:szCs w:val="21"/>
        </w:rPr>
        <w:t>8.2 承包人采购材料与工程设备</w:t>
      </w:r>
      <w:bookmarkEnd w:id="550"/>
      <w:bookmarkEnd w:id="551"/>
      <w:bookmarkEnd w:id="552"/>
      <w:bookmarkEnd w:id="553"/>
      <w:bookmarkEnd w:id="554"/>
      <w:bookmarkEnd w:id="555"/>
      <w:bookmarkEnd w:id="556"/>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除已标价工程量清单《发包人提供主要材料和工程设备一览表》（表-21）中明确的材料、工程设备外，由承包人负责材料和工程设备的采购、运输和保管。《</w:t>
      </w:r>
      <w:r>
        <w:rPr>
          <w:rFonts w:hint="eastAsia" w:ascii="宋体" w:hAnsi="宋体" w:eastAsia="宋体" w:cs="宋体"/>
          <w:sz w:val="21"/>
          <w:szCs w:val="21"/>
        </w:rPr>
        <w:t>承包人提供主要材料和工程设备一览表》</w:t>
      </w:r>
      <w:r>
        <w:rPr>
          <w:rFonts w:hint="eastAsia" w:ascii="宋体" w:hAnsi="宋体" w:eastAsia="宋体" w:cs="宋体"/>
          <w:kern w:val="0"/>
          <w:sz w:val="21"/>
          <w:szCs w:val="21"/>
        </w:rPr>
        <w:t>（表-22）见已标价工程量清单。如发包人招标时提供的《承包人提供主要材料和设备一览表》中的主要按材料和设备缺项、漏项，经发包人及相关部门审核确认后予以调整。</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557" w:name="_Toc373227733"/>
      <w:bookmarkStart w:id="558" w:name="_Toc21582"/>
      <w:bookmarkStart w:id="559" w:name="_Toc389065299"/>
      <w:bookmarkStart w:id="560" w:name="_Toc469010936"/>
      <w:bookmarkStart w:id="561" w:name="_Toc3882789"/>
      <w:bookmarkStart w:id="562" w:name="_Toc373478380"/>
      <w:bookmarkStart w:id="563" w:name="_Toc30061981"/>
      <w:r>
        <w:rPr>
          <w:rFonts w:hint="eastAsia" w:ascii="宋体" w:hAnsi="宋体" w:eastAsia="宋体" w:cs="宋体"/>
          <w:b/>
          <w:kern w:val="0"/>
          <w:sz w:val="21"/>
          <w:szCs w:val="21"/>
        </w:rPr>
        <w:t>8</w:t>
      </w:r>
      <w:bookmarkStart w:id="564" w:name="_Toc292559372"/>
      <w:bookmarkStart w:id="565" w:name="_Toc292559877"/>
      <w:bookmarkStart w:id="566" w:name="_Toc280868654"/>
      <w:bookmarkStart w:id="567" w:name="_Toc297216186"/>
      <w:bookmarkStart w:id="568" w:name="_Toc312677493"/>
      <w:bookmarkStart w:id="569" w:name="_Toc304295556"/>
      <w:bookmarkStart w:id="570" w:name="_Toc297123527"/>
      <w:bookmarkStart w:id="571" w:name="_Toc296890995"/>
      <w:bookmarkStart w:id="572" w:name="_Toc296944506"/>
      <w:bookmarkStart w:id="573" w:name="_Toc297120467"/>
      <w:bookmarkStart w:id="574" w:name="_Toc300934979"/>
      <w:bookmarkStart w:id="575" w:name="_Toc296347166"/>
      <w:bookmarkStart w:id="576" w:name="_Toc303539136"/>
      <w:bookmarkStart w:id="577" w:name="_Toc296346668"/>
      <w:bookmarkStart w:id="578" w:name="_Toc296503167"/>
      <w:bookmarkStart w:id="579" w:name="_Toc297048353"/>
      <w:bookmarkStart w:id="580" w:name="_Toc296891207"/>
      <w:bookmarkStart w:id="581" w:name="_Toc312678019"/>
      <w:bookmarkStart w:id="582" w:name="_Toc280868656"/>
      <w:bookmarkStart w:id="583" w:name="_Toc267251424"/>
      <w:bookmarkStart w:id="584" w:name="_Toc280868655"/>
      <w:r>
        <w:rPr>
          <w:rFonts w:hint="eastAsia" w:ascii="宋体" w:hAnsi="宋体" w:eastAsia="宋体" w:cs="宋体"/>
          <w:b/>
          <w:kern w:val="0"/>
          <w:sz w:val="21"/>
          <w:szCs w:val="21"/>
        </w:rPr>
        <w:t>.4 材料与工程设备的保管与使用</w:t>
      </w:r>
      <w:bookmarkEnd w:id="557"/>
      <w:bookmarkEnd w:id="558"/>
      <w:bookmarkEnd w:id="559"/>
      <w:bookmarkEnd w:id="560"/>
      <w:bookmarkEnd w:id="561"/>
      <w:bookmarkEnd w:id="562"/>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8</w:t>
      </w:r>
      <w:bookmarkStart w:id="585" w:name="_Toc292559373"/>
      <w:bookmarkStart w:id="586" w:name="_Toc292559878"/>
      <w:bookmarkStart w:id="587" w:name="_Toc296891208"/>
      <w:bookmarkStart w:id="588" w:name="_Toc312678020"/>
      <w:bookmarkStart w:id="589" w:name="_Toc297123528"/>
      <w:bookmarkStart w:id="590" w:name="_Toc297048354"/>
      <w:bookmarkStart w:id="591" w:name="_Toc297216187"/>
      <w:bookmarkStart w:id="592" w:name="_Toc296944507"/>
      <w:bookmarkStart w:id="593" w:name="_Toc296503168"/>
      <w:bookmarkStart w:id="594" w:name="_Toc318581173"/>
      <w:bookmarkStart w:id="595" w:name="_Toc312677494"/>
      <w:bookmarkStart w:id="596" w:name="_Toc296347167"/>
      <w:bookmarkStart w:id="597" w:name="_Toc296890996"/>
      <w:bookmarkStart w:id="598" w:name="_Toc303539137"/>
      <w:bookmarkStart w:id="599" w:name="_Toc304295557"/>
      <w:bookmarkStart w:id="600" w:name="_Toc297120468"/>
      <w:bookmarkStart w:id="601" w:name="_Toc296346669"/>
      <w:bookmarkStart w:id="602" w:name="_Toc300934980"/>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承包人负责</w:t>
      </w:r>
      <w:r>
        <w:rPr>
          <w:rFonts w:hint="eastAsia" w:ascii="宋体" w:hAnsi="宋体" w:eastAsia="宋体" w:cs="宋体"/>
          <w:sz w:val="21"/>
          <w:szCs w:val="21"/>
        </w:rPr>
        <w:t>。</w:t>
      </w:r>
    </w:p>
    <w:bookmarkEnd w:id="585"/>
    <w:bookmarkEnd w:id="586"/>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603" w:name="_Toc389065300"/>
      <w:bookmarkStart w:id="604" w:name="_Toc469010937"/>
      <w:bookmarkStart w:id="605" w:name="_Toc373478381"/>
      <w:bookmarkStart w:id="606" w:name="_Toc18397"/>
      <w:bookmarkStart w:id="607" w:name="_Toc30061982"/>
      <w:bookmarkStart w:id="608" w:name="_Toc373227734"/>
      <w:bookmarkStart w:id="609" w:name="_Toc3882790"/>
      <w:r>
        <w:rPr>
          <w:rFonts w:hint="eastAsia" w:ascii="宋体" w:hAnsi="宋体" w:eastAsia="宋体" w:cs="宋体"/>
          <w:b/>
          <w:kern w:val="0"/>
          <w:sz w:val="21"/>
          <w:szCs w:val="21"/>
        </w:rPr>
        <w:t>8.6 样品</w:t>
      </w:r>
      <w:bookmarkEnd w:id="603"/>
      <w:bookmarkEnd w:id="604"/>
      <w:bookmarkEnd w:id="605"/>
      <w:bookmarkEnd w:id="606"/>
      <w:bookmarkEnd w:id="607"/>
      <w:bookmarkEnd w:id="608"/>
      <w:bookmarkEnd w:id="609"/>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8.6.1 样品的报送与封存</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主要材料涉及品种、款式、颜色等方面内容的，承包人应提交准备合格的材料样品送发包人选定。</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610" w:name="_Toc373227735"/>
      <w:bookmarkStart w:id="611" w:name="_Toc25050"/>
      <w:bookmarkStart w:id="612" w:name="_Toc469010938"/>
      <w:bookmarkStart w:id="613" w:name="_Toc3882791"/>
      <w:bookmarkStart w:id="614" w:name="_Toc389065301"/>
      <w:bookmarkStart w:id="615" w:name="_Toc373478382"/>
      <w:bookmarkStart w:id="616" w:name="_Toc30061983"/>
      <w:r>
        <w:rPr>
          <w:rFonts w:hint="eastAsia" w:ascii="宋体" w:hAnsi="宋体" w:eastAsia="宋体" w:cs="宋体"/>
          <w:b/>
          <w:kern w:val="0"/>
          <w:sz w:val="21"/>
          <w:szCs w:val="21"/>
        </w:rPr>
        <w:t>8.8 施工设备和临时设施</w:t>
      </w:r>
      <w:bookmarkEnd w:id="610"/>
      <w:bookmarkEnd w:id="611"/>
      <w:bookmarkEnd w:id="612"/>
      <w:bookmarkEnd w:id="613"/>
      <w:bookmarkEnd w:id="614"/>
      <w:bookmarkEnd w:id="615"/>
      <w:bookmarkEnd w:id="616"/>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关于修建临时设施费用承担的约定：</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①承包人的临时用地（含项目部驻地等）租用费、临时用地的环保、恢复、临时用地的青苗补偿及地面附着物拆除等费用均由承包人负责，以上费用在投标报价中综合考虑。</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②承包人负责合同实施期间其合同段内临时交通道路和交通设施的修建、维修、养护和交通管理工作，并承担一切费用。</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8.8.2 发包人提供的施工设备和临时设施</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发包人提供的施工设备和临时设施：</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发包人提供的施工设备和临时设施的运行、维护、拆除、清运费用的承担人：</w:t>
      </w:r>
      <w:r>
        <w:rPr>
          <w:rFonts w:hint="eastAsia" w:ascii="宋体" w:hAnsi="宋体" w:eastAsia="宋体" w:cs="宋体"/>
          <w:sz w:val="21"/>
          <w:szCs w:val="21"/>
          <w:u w:val="single"/>
        </w:rPr>
        <w:t>承包人</w:t>
      </w:r>
      <w:r>
        <w:rPr>
          <w:rFonts w:hint="eastAsia" w:ascii="宋体" w:hAnsi="宋体" w:eastAsia="宋体" w:cs="宋体"/>
          <w:sz w:val="21"/>
          <w:szCs w:val="21"/>
        </w:rPr>
        <w:t>。</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617" w:name="_Toc469010939"/>
      <w:bookmarkStart w:id="618" w:name="_Toc373478383"/>
      <w:bookmarkStart w:id="619" w:name="_Toc389065302"/>
      <w:bookmarkStart w:id="620" w:name="_Toc373227736"/>
      <w:bookmarkStart w:id="621" w:name="_Toc30061984"/>
      <w:bookmarkStart w:id="622" w:name="_Toc3882792"/>
      <w:bookmarkStart w:id="623" w:name="_Toc351203641"/>
      <w:bookmarkStart w:id="624" w:name="_Toc32025"/>
      <w:r>
        <w:rPr>
          <w:rFonts w:hint="eastAsia" w:ascii="宋体" w:hAnsi="宋体" w:eastAsia="宋体" w:cs="宋体"/>
          <w:b/>
          <w:sz w:val="21"/>
          <w:szCs w:val="21"/>
        </w:rPr>
        <w:t>9</w:t>
      </w:r>
      <w:bookmarkEnd w:id="582"/>
      <w:bookmarkEnd w:id="583"/>
      <w:bookmarkEnd w:id="584"/>
      <w:bookmarkStart w:id="625" w:name="_Toc312678021"/>
      <w:bookmarkStart w:id="626" w:name="_Toc300934982"/>
      <w:bookmarkStart w:id="627" w:name="_Toc312677495"/>
      <w:bookmarkStart w:id="628" w:name="_Toc304295559"/>
      <w:bookmarkStart w:id="629" w:name="_Toc303539139"/>
      <w:bookmarkStart w:id="630" w:name="_Toc297216192"/>
      <w:bookmarkStart w:id="631" w:name="_Toc297123533"/>
      <w:bookmarkStart w:id="632" w:name="_Toc267251427"/>
      <w:bookmarkStart w:id="633" w:name="_Toc296944512"/>
      <w:bookmarkStart w:id="634" w:name="_Toc292559883"/>
      <w:bookmarkStart w:id="635" w:name="_Toc297120473"/>
      <w:bookmarkStart w:id="636" w:name="_Toc296503173"/>
      <w:bookmarkStart w:id="637" w:name="_Toc267251428"/>
      <w:bookmarkStart w:id="638" w:name="_Toc296891213"/>
      <w:bookmarkStart w:id="639" w:name="_Toc292559378"/>
      <w:bookmarkStart w:id="640" w:name="_Toc296891001"/>
      <w:bookmarkStart w:id="641" w:name="_Toc297048359"/>
      <w:bookmarkStart w:id="642" w:name="_Toc296346674"/>
      <w:bookmarkStart w:id="643" w:name="_Toc296347172"/>
      <w:r>
        <w:rPr>
          <w:rFonts w:hint="eastAsia" w:ascii="宋体" w:hAnsi="宋体" w:eastAsia="宋体" w:cs="宋体"/>
          <w:b/>
          <w:sz w:val="21"/>
          <w:szCs w:val="21"/>
        </w:rPr>
        <w:t>. 试验与检验</w:t>
      </w:r>
      <w:bookmarkEnd w:id="617"/>
      <w:bookmarkEnd w:id="618"/>
      <w:bookmarkEnd w:id="619"/>
      <w:bookmarkEnd w:id="620"/>
      <w:bookmarkEnd w:id="621"/>
      <w:bookmarkEnd w:id="622"/>
      <w:bookmarkEnd w:id="623"/>
      <w:bookmarkEnd w:id="624"/>
    </w:p>
    <w:bookmarkEnd w:id="625"/>
    <w:bookmarkEnd w:id="626"/>
    <w:bookmarkEnd w:id="627"/>
    <w:bookmarkEnd w:id="628"/>
    <w:bookmarkEnd w:id="629"/>
    <w:bookmarkEnd w:id="630"/>
    <w:bookmarkEnd w:id="631"/>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644" w:name="_Toc389065303"/>
      <w:bookmarkStart w:id="645" w:name="_Toc23078"/>
      <w:bookmarkStart w:id="646" w:name="_Toc30061985"/>
      <w:bookmarkStart w:id="647" w:name="_Toc469010940"/>
      <w:bookmarkStart w:id="648" w:name="_Toc373227737"/>
      <w:bookmarkStart w:id="649" w:name="_Toc373478384"/>
      <w:bookmarkStart w:id="650" w:name="_Toc3882793"/>
      <w:r>
        <w:rPr>
          <w:rFonts w:hint="eastAsia" w:ascii="宋体" w:hAnsi="宋体" w:eastAsia="宋体" w:cs="宋体"/>
          <w:b/>
          <w:kern w:val="0"/>
          <w:sz w:val="21"/>
          <w:szCs w:val="21"/>
        </w:rPr>
        <w:t>9</w:t>
      </w:r>
      <w:bookmarkStart w:id="651" w:name="_Toc300934983"/>
      <w:bookmarkStart w:id="652" w:name="_Toc312677496"/>
      <w:bookmarkStart w:id="653" w:name="_Toc297123534"/>
      <w:bookmarkStart w:id="654" w:name="_Toc304295560"/>
      <w:bookmarkStart w:id="655" w:name="_Toc303539140"/>
      <w:bookmarkStart w:id="656" w:name="_Toc312678022"/>
      <w:bookmarkStart w:id="657" w:name="_Toc297216193"/>
      <w:r>
        <w:rPr>
          <w:rFonts w:hint="eastAsia" w:ascii="宋体" w:hAnsi="宋体" w:eastAsia="宋体" w:cs="宋体"/>
          <w:b/>
          <w:kern w:val="0"/>
          <w:sz w:val="21"/>
          <w:szCs w:val="21"/>
        </w:rPr>
        <w:t>.1 试验设备与试验人员</w:t>
      </w:r>
      <w:bookmarkEnd w:id="644"/>
      <w:bookmarkEnd w:id="645"/>
      <w:bookmarkEnd w:id="646"/>
      <w:bookmarkEnd w:id="647"/>
      <w:bookmarkEnd w:id="648"/>
      <w:bookmarkEnd w:id="649"/>
      <w:bookmarkEnd w:id="650"/>
    </w:p>
    <w:bookmarkEnd w:id="651"/>
    <w:bookmarkEnd w:id="652"/>
    <w:bookmarkEnd w:id="653"/>
    <w:bookmarkEnd w:id="654"/>
    <w:bookmarkEnd w:id="655"/>
    <w:bookmarkEnd w:id="656"/>
    <w:bookmarkEnd w:id="657"/>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w:t>
      </w:r>
      <w:bookmarkStart w:id="658" w:name="_Toc312677497"/>
      <w:bookmarkStart w:id="659" w:name="_Toc300934984"/>
      <w:bookmarkStart w:id="660" w:name="_Toc297123535"/>
      <w:bookmarkStart w:id="661" w:name="_Toc312678023"/>
      <w:bookmarkStart w:id="662" w:name="_Toc303539141"/>
      <w:bookmarkStart w:id="663" w:name="_Toc304295561"/>
      <w:bookmarkStart w:id="664" w:name="_Toc297216194"/>
      <w:bookmarkStart w:id="665" w:name="_Toc318581174"/>
      <w:r>
        <w:rPr>
          <w:rFonts w:hint="eastAsia" w:ascii="宋体" w:hAnsi="宋体" w:eastAsia="宋体" w:cs="宋体"/>
          <w:sz w:val="21"/>
          <w:szCs w:val="21"/>
        </w:rPr>
        <w:t>.1.2 试验设备</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施工现场需要配置的试验场所：</w:t>
      </w:r>
      <w:bookmarkEnd w:id="658"/>
      <w:bookmarkEnd w:id="659"/>
      <w:bookmarkEnd w:id="660"/>
      <w:bookmarkEnd w:id="661"/>
      <w:bookmarkEnd w:id="662"/>
      <w:bookmarkEnd w:id="663"/>
      <w:bookmarkEnd w:id="664"/>
      <w:bookmarkStart w:id="666" w:name="_Toc297216195"/>
      <w:bookmarkStart w:id="667" w:name="_Toc312678024"/>
      <w:bookmarkStart w:id="668" w:name="_Toc300934985"/>
      <w:bookmarkStart w:id="669" w:name="_Toc303539142"/>
      <w:bookmarkStart w:id="670" w:name="_Toc304295562"/>
      <w:bookmarkStart w:id="671" w:name="_Toc297123536"/>
      <w:bookmarkStart w:id="672" w:name="_Toc312677498"/>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673" w:name="_Toc14165"/>
      <w:bookmarkStart w:id="674" w:name="_Toc3882794"/>
      <w:bookmarkStart w:id="675" w:name="_Toc469010941"/>
      <w:bookmarkStart w:id="676" w:name="_Toc30061986"/>
      <w:bookmarkStart w:id="677" w:name="_Toc373478385"/>
      <w:bookmarkStart w:id="678" w:name="_Toc373227738"/>
      <w:bookmarkStart w:id="679" w:name="_Toc389065304"/>
      <w:r>
        <w:rPr>
          <w:rFonts w:hint="eastAsia" w:ascii="宋体" w:hAnsi="宋体" w:eastAsia="宋体" w:cs="宋体"/>
          <w:b/>
          <w:kern w:val="0"/>
          <w:sz w:val="21"/>
          <w:szCs w:val="21"/>
        </w:rPr>
        <w:t>9.4 现场工艺试验</w:t>
      </w:r>
      <w:bookmarkEnd w:id="673"/>
      <w:bookmarkEnd w:id="674"/>
      <w:bookmarkEnd w:id="675"/>
      <w:bookmarkEnd w:id="676"/>
      <w:bookmarkEnd w:id="677"/>
      <w:bookmarkEnd w:id="678"/>
      <w:bookmarkEnd w:id="679"/>
      <w:r>
        <w:rPr>
          <w:rFonts w:hint="eastAsia" w:ascii="宋体" w:hAnsi="宋体" w:eastAsia="宋体" w:cs="宋体"/>
          <w:b/>
          <w:kern w:val="0"/>
          <w:sz w:val="21"/>
          <w:szCs w:val="21"/>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680" w:name="_Toc180"/>
      <w:bookmarkStart w:id="681" w:name="_Toc469010942"/>
      <w:bookmarkStart w:id="682" w:name="_Toc3882795"/>
      <w:bookmarkStart w:id="683" w:name="_Toc30061987"/>
      <w:r>
        <w:rPr>
          <w:rFonts w:hint="eastAsia" w:ascii="宋体" w:hAnsi="宋体" w:eastAsia="宋体" w:cs="宋体"/>
          <w:b/>
          <w:kern w:val="0"/>
          <w:sz w:val="21"/>
          <w:szCs w:val="21"/>
        </w:rPr>
        <w:t>9.5 检验费用</w:t>
      </w:r>
      <w:bookmarkEnd w:id="680"/>
      <w:bookmarkEnd w:id="681"/>
      <w:bookmarkEnd w:id="682"/>
      <w:bookmarkEnd w:id="683"/>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根据《建设工程质量检测管理办法》（建设部令第141号）以及</w:t>
      </w:r>
      <w:r>
        <w:rPr>
          <w:rFonts w:hint="eastAsia" w:ascii="宋体" w:hAnsi="宋体" w:eastAsia="宋体" w:cs="宋体"/>
          <w:bCs/>
          <w:sz w:val="21"/>
          <w:szCs w:val="21"/>
        </w:rPr>
        <w:t>《广西壮族自治区建设工程质量检测管理规定》（桂建管〔2013〕11号）</w:t>
      </w:r>
      <w:r>
        <w:rPr>
          <w:rFonts w:hint="eastAsia" w:ascii="宋体" w:hAnsi="宋体" w:eastAsia="宋体" w:cs="宋体"/>
          <w:sz w:val="21"/>
          <w:szCs w:val="21"/>
        </w:rPr>
        <w:t>规定，工程质量检测业务由发包人委托有相应资质的检测机构检测。费用由发包人直接支付给检测机构，不计入合同价款内。检验试验配合费按费用定额规定计取，计入本合同价款内。</w:t>
      </w:r>
    </w:p>
    <w:bookmarkEnd w:id="665"/>
    <w:bookmarkEnd w:id="666"/>
    <w:bookmarkEnd w:id="667"/>
    <w:bookmarkEnd w:id="668"/>
    <w:bookmarkEnd w:id="669"/>
    <w:bookmarkEnd w:id="670"/>
    <w:bookmarkEnd w:id="671"/>
    <w:bookmarkEnd w:id="672"/>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684" w:name="_Toc30061988"/>
      <w:bookmarkStart w:id="685" w:name="_Toc389065305"/>
      <w:bookmarkStart w:id="686" w:name="_Toc351203642"/>
      <w:bookmarkStart w:id="687" w:name="_Toc373227739"/>
      <w:bookmarkStart w:id="688" w:name="_Toc373478386"/>
      <w:bookmarkStart w:id="689" w:name="_Toc3882796"/>
      <w:bookmarkStart w:id="690" w:name="_Toc469010943"/>
      <w:bookmarkStart w:id="691" w:name="_Toc2051"/>
      <w:r>
        <w:rPr>
          <w:rFonts w:hint="eastAsia" w:ascii="宋体" w:hAnsi="宋体" w:eastAsia="宋体" w:cs="宋体"/>
          <w:b/>
          <w:sz w:val="21"/>
          <w:szCs w:val="21"/>
        </w:rPr>
        <w:t>1</w:t>
      </w:r>
      <w:bookmarkEnd w:id="632"/>
      <w:bookmarkEnd w:id="633"/>
      <w:bookmarkEnd w:id="634"/>
      <w:bookmarkEnd w:id="635"/>
      <w:bookmarkEnd w:id="636"/>
      <w:bookmarkEnd w:id="637"/>
      <w:bookmarkEnd w:id="638"/>
      <w:bookmarkEnd w:id="639"/>
      <w:bookmarkEnd w:id="640"/>
      <w:bookmarkEnd w:id="641"/>
      <w:bookmarkEnd w:id="642"/>
      <w:bookmarkEnd w:id="643"/>
      <w:bookmarkStart w:id="692" w:name="_Toc297048379"/>
      <w:bookmarkStart w:id="693" w:name="_Toc304295566"/>
      <w:bookmarkStart w:id="694" w:name="_Toc292559903"/>
      <w:bookmarkStart w:id="695" w:name="_Toc296346694"/>
      <w:bookmarkStart w:id="696" w:name="_Toc303539146"/>
      <w:bookmarkStart w:id="697" w:name="_Toc296944532"/>
      <w:bookmarkStart w:id="698" w:name="_Toc297120493"/>
      <w:bookmarkStart w:id="699" w:name="_Toc297123540"/>
      <w:bookmarkStart w:id="700" w:name="_Toc296891233"/>
      <w:bookmarkStart w:id="701" w:name="_Toc296891021"/>
      <w:bookmarkStart w:id="702" w:name="_Toc296347192"/>
      <w:bookmarkStart w:id="703" w:name="_Toc300934989"/>
      <w:bookmarkStart w:id="704" w:name="_Toc297216199"/>
      <w:bookmarkStart w:id="705" w:name="_Toc292559398"/>
      <w:bookmarkStart w:id="706" w:name="_Toc296503193"/>
      <w:bookmarkStart w:id="707" w:name="_Toc312678025"/>
      <w:bookmarkStart w:id="708" w:name="_Toc312677499"/>
      <w:bookmarkStart w:id="709" w:name="_Toc267251437"/>
      <w:bookmarkStart w:id="710" w:name="_Toc267251433"/>
      <w:bookmarkStart w:id="711" w:name="_Toc267251439"/>
      <w:bookmarkStart w:id="712" w:name="_Toc267251435"/>
      <w:bookmarkStart w:id="713" w:name="_Toc267251441"/>
      <w:bookmarkStart w:id="714" w:name="_Toc267251440"/>
      <w:bookmarkStart w:id="715" w:name="_Toc267251442"/>
      <w:r>
        <w:rPr>
          <w:rFonts w:hint="eastAsia" w:ascii="宋体" w:hAnsi="宋体" w:eastAsia="宋体" w:cs="宋体"/>
          <w:b/>
          <w:sz w:val="21"/>
          <w:szCs w:val="21"/>
        </w:rPr>
        <w:t>0. 变更</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bookmarkEnd w:id="707"/>
    <w:bookmarkEnd w:id="708"/>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716" w:name="_Toc3882797"/>
      <w:bookmarkStart w:id="717" w:name="_Toc389065306"/>
      <w:bookmarkStart w:id="718" w:name="_Toc30061989"/>
      <w:bookmarkStart w:id="719" w:name="_Toc469010944"/>
      <w:bookmarkStart w:id="720" w:name="_Toc373227740"/>
      <w:bookmarkStart w:id="721" w:name="_Toc373478387"/>
      <w:bookmarkStart w:id="722" w:name="_Toc30017"/>
      <w:r>
        <w:rPr>
          <w:rFonts w:hint="eastAsia" w:ascii="宋体" w:hAnsi="宋体" w:eastAsia="宋体" w:cs="宋体"/>
          <w:b/>
          <w:kern w:val="0"/>
          <w:sz w:val="21"/>
          <w:szCs w:val="21"/>
        </w:rPr>
        <w:t>1</w:t>
      </w:r>
      <w:bookmarkStart w:id="723" w:name="_Toc296347193"/>
      <w:bookmarkStart w:id="724" w:name="_Toc312678026"/>
      <w:bookmarkStart w:id="725" w:name="_Toc297048380"/>
      <w:bookmarkStart w:id="726" w:name="_Toc300934990"/>
      <w:bookmarkStart w:id="727" w:name="_Toc312677500"/>
      <w:bookmarkStart w:id="728" w:name="_Toc292559399"/>
      <w:bookmarkStart w:id="729" w:name="_Toc297216200"/>
      <w:bookmarkStart w:id="730" w:name="_Toc296891022"/>
      <w:bookmarkStart w:id="731" w:name="_Toc297120494"/>
      <w:bookmarkStart w:id="732" w:name="_Toc304295567"/>
      <w:bookmarkStart w:id="733" w:name="_Toc296944533"/>
      <w:bookmarkStart w:id="734" w:name="_Toc296346695"/>
      <w:bookmarkStart w:id="735" w:name="_Toc303539147"/>
      <w:bookmarkStart w:id="736" w:name="_Toc296891234"/>
      <w:bookmarkStart w:id="737" w:name="_Toc297123541"/>
      <w:bookmarkStart w:id="738" w:name="_Toc292559904"/>
      <w:bookmarkStart w:id="739" w:name="_Toc296503194"/>
      <w:r>
        <w:rPr>
          <w:rFonts w:hint="eastAsia" w:ascii="宋体" w:hAnsi="宋体" w:eastAsia="宋体" w:cs="宋体"/>
          <w:b/>
          <w:kern w:val="0"/>
          <w:sz w:val="21"/>
          <w:szCs w:val="21"/>
        </w:rPr>
        <w:t>0.1 变更的范围</w:t>
      </w:r>
      <w:bookmarkEnd w:id="716"/>
      <w:bookmarkEnd w:id="717"/>
      <w:bookmarkEnd w:id="718"/>
      <w:bookmarkEnd w:id="719"/>
      <w:bookmarkEnd w:id="720"/>
      <w:bookmarkEnd w:id="721"/>
      <w:bookmarkEnd w:id="722"/>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设计变更、施工变更或施工过程中出现新增项目等均属工程变更（所有工程变更须经设计及监理审核确认，最后经发包人书面批准后方能有效）</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740" w:name="_Toc469010945"/>
      <w:bookmarkStart w:id="741" w:name="_Toc23479"/>
      <w:bookmarkStart w:id="742" w:name="_Toc373478388"/>
      <w:bookmarkStart w:id="743" w:name="_Toc373227741"/>
      <w:bookmarkStart w:id="744" w:name="_Toc389065307"/>
      <w:bookmarkStart w:id="745" w:name="_Toc30061990"/>
      <w:bookmarkStart w:id="746" w:name="_Toc3882798"/>
      <w:r>
        <w:rPr>
          <w:rFonts w:hint="eastAsia" w:ascii="宋体" w:hAnsi="宋体" w:eastAsia="宋体" w:cs="宋体"/>
          <w:b/>
          <w:kern w:val="0"/>
          <w:sz w:val="21"/>
          <w:szCs w:val="21"/>
        </w:rPr>
        <w:t>10.3 变更程序</w:t>
      </w:r>
      <w:bookmarkEnd w:id="740"/>
      <w:bookmarkEnd w:id="741"/>
      <w:bookmarkEnd w:id="742"/>
      <w:bookmarkEnd w:id="743"/>
      <w:bookmarkEnd w:id="744"/>
      <w:bookmarkEnd w:id="745"/>
      <w:bookmarkEnd w:id="746"/>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bookmarkStart w:id="747" w:name="_Toc3882799"/>
      <w:bookmarkStart w:id="748" w:name="_Toc30061991"/>
      <w:r>
        <w:rPr>
          <w:rFonts w:hint="eastAsia" w:ascii="宋体" w:hAnsi="宋体" w:eastAsia="宋体" w:cs="宋体"/>
          <w:sz w:val="21"/>
          <w:szCs w:val="21"/>
        </w:rPr>
        <w:t>10.3.1 国有投资项目：</w:t>
      </w:r>
      <w:bookmarkEnd w:id="747"/>
      <w:bookmarkEnd w:id="748"/>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⑴设计变更和工程签证，按各市政府或相关部门的规定办理。属不可抗力（自然灾害、突发事件等）造成变更的，按特事特办原则予以办理。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⑵建设单位在实施项目过程中，若发生单价变动，由建设单位、监理单位、施工单位及其他相关单位共同商定并签字确认。</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⑶ 当合同规定的合同价款调整情况发生后，承包人未在规定时间内通知发包人，或者未在规定时间内提出调整报告，发包人可以根据有关资料，决定是否调整和调整的金额，并书面通知承包人。</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10.3.2 非国有投资项目：</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749" w:name="_Toc373478389"/>
      <w:bookmarkStart w:id="750" w:name="_Toc373227742"/>
      <w:bookmarkStart w:id="751" w:name="_Toc389065308"/>
      <w:bookmarkStart w:id="752" w:name="_Toc3882800"/>
      <w:bookmarkStart w:id="753" w:name="_Toc30061992"/>
      <w:bookmarkStart w:id="754" w:name="_Toc469010946"/>
      <w:bookmarkStart w:id="755" w:name="_Toc14001"/>
      <w:r>
        <w:rPr>
          <w:rFonts w:hint="eastAsia" w:ascii="宋体" w:hAnsi="宋体" w:eastAsia="宋体" w:cs="宋体"/>
          <w:b/>
          <w:kern w:val="0"/>
          <w:sz w:val="21"/>
          <w:szCs w:val="21"/>
        </w:rPr>
        <w:t>10.4 变更估价</w:t>
      </w:r>
      <w:bookmarkEnd w:id="749"/>
      <w:bookmarkEnd w:id="750"/>
      <w:bookmarkEnd w:id="751"/>
      <w:bookmarkEnd w:id="752"/>
      <w:bookmarkEnd w:id="753"/>
      <w:bookmarkEnd w:id="754"/>
      <w:bookmarkEnd w:id="755"/>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10.4.1 变更估价原则</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关于变更估价的约定: </w:t>
      </w:r>
      <w:bookmarkStart w:id="756" w:name="_Toc251051742"/>
      <w:bookmarkStart w:id="757" w:name="_Toc373227743"/>
      <w:bookmarkStart w:id="758" w:name="_Toc389065309"/>
      <w:bookmarkStart w:id="759" w:name="_Toc373478390"/>
      <w:r>
        <w:rPr>
          <w:rFonts w:hint="eastAsia" w:ascii="宋体" w:hAnsi="宋体" w:eastAsia="宋体" w:cs="宋体"/>
          <w:bCs/>
          <w:color w:val="000000"/>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系数</w:t>
      </w:r>
      <w:r>
        <w:rPr>
          <w:rFonts w:hint="eastAsia" w:ascii="宋体" w:hAnsi="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按中标价/招标控制价的下浮比例)计算，其中材料价格按施工期间的《贺州市建设工程造价信息》相应价格信息进行计算《贺州市建设工程造价信息》没有相应价格信息的按市场价计算；无定额可套的，由发包人、承包人、监理三方共同协商确定且不在下浮范围之内。对于国有资产投资的项目，新增项目的单价必须经财政或审计有关部门审定</w:t>
      </w:r>
      <w:bookmarkEnd w:id="756"/>
      <w:r>
        <w:rPr>
          <w:rFonts w:hint="eastAsia" w:ascii="宋体" w:hAnsi="宋体" w:eastAsia="宋体" w:cs="宋体"/>
          <w:color w:val="000000"/>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760" w:name="_Toc469010947"/>
      <w:bookmarkStart w:id="761" w:name="_Toc30061993"/>
      <w:bookmarkStart w:id="762" w:name="_Toc28641"/>
      <w:bookmarkStart w:id="763" w:name="_Toc3882801"/>
      <w:r>
        <w:rPr>
          <w:rFonts w:hint="eastAsia" w:ascii="宋体" w:hAnsi="宋体" w:eastAsia="宋体" w:cs="宋体"/>
          <w:b/>
          <w:kern w:val="0"/>
          <w:sz w:val="21"/>
          <w:szCs w:val="21"/>
        </w:rPr>
        <w:t>1</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Start w:id="764" w:name="_Toc296944536"/>
      <w:bookmarkStart w:id="765" w:name="_Toc297048383"/>
      <w:bookmarkStart w:id="766" w:name="_Toc292559402"/>
      <w:bookmarkStart w:id="767" w:name="_Toc297120497"/>
      <w:bookmarkStart w:id="768" w:name="_Toc292559907"/>
      <w:bookmarkStart w:id="769" w:name="_Toc296346698"/>
      <w:bookmarkStart w:id="770" w:name="_Toc303539150"/>
      <w:bookmarkStart w:id="771" w:name="_Toc300934993"/>
      <w:bookmarkStart w:id="772" w:name="_Toc296891237"/>
      <w:bookmarkStart w:id="773" w:name="_Toc296347196"/>
      <w:bookmarkStart w:id="774" w:name="_Toc296891025"/>
      <w:bookmarkStart w:id="775" w:name="_Toc296503197"/>
      <w:bookmarkStart w:id="776" w:name="_Toc297216203"/>
      <w:bookmarkStart w:id="777" w:name="_Toc297123544"/>
      <w:bookmarkStart w:id="778" w:name="_Toc312677503"/>
      <w:bookmarkStart w:id="779" w:name="_Toc312678029"/>
      <w:bookmarkStart w:id="780" w:name="_Toc304295570"/>
      <w:r>
        <w:rPr>
          <w:rFonts w:hint="eastAsia" w:ascii="宋体" w:hAnsi="宋体" w:eastAsia="宋体" w:cs="宋体"/>
          <w:b/>
          <w:kern w:val="0"/>
          <w:sz w:val="21"/>
          <w:szCs w:val="21"/>
        </w:rPr>
        <w:t>0.5 承</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Start w:id="781" w:name="_Toc296944542"/>
      <w:bookmarkStart w:id="782" w:name="_Toc297123545"/>
      <w:bookmarkStart w:id="783" w:name="_Toc296347202"/>
      <w:bookmarkStart w:id="784" w:name="_Toc296503203"/>
      <w:bookmarkStart w:id="785" w:name="_Toc296891243"/>
      <w:bookmarkStart w:id="786" w:name="_Toc297216204"/>
      <w:bookmarkStart w:id="787" w:name="_Toc292559408"/>
      <w:bookmarkStart w:id="788" w:name="_Toc300934994"/>
      <w:bookmarkStart w:id="789" w:name="_Toc297048389"/>
      <w:bookmarkStart w:id="790" w:name="_Toc292559913"/>
      <w:bookmarkStart w:id="791" w:name="_Toc303539151"/>
      <w:bookmarkStart w:id="792" w:name="_Toc296891031"/>
      <w:bookmarkStart w:id="793" w:name="_Toc296346704"/>
      <w:bookmarkStart w:id="794" w:name="_Toc297120503"/>
      <w:r>
        <w:rPr>
          <w:rFonts w:hint="eastAsia" w:ascii="宋体" w:hAnsi="宋体" w:eastAsia="宋体" w:cs="宋体"/>
          <w:b/>
          <w:kern w:val="0"/>
          <w:sz w:val="21"/>
          <w:szCs w:val="21"/>
        </w:rPr>
        <w:t>包人的合理化建议</w:t>
      </w:r>
      <w:bookmarkEnd w:id="757"/>
      <w:bookmarkEnd w:id="758"/>
      <w:bookmarkEnd w:id="759"/>
      <w:bookmarkEnd w:id="760"/>
      <w:bookmarkEnd w:id="761"/>
      <w:bookmarkEnd w:id="762"/>
      <w:bookmarkEnd w:id="763"/>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color w:val="000000"/>
          <w:sz w:val="21"/>
          <w:szCs w:val="21"/>
          <w:u w:val="single"/>
        </w:rPr>
        <w:t>提交合理化建议后14天内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Cs/>
          <w:color w:val="000000"/>
          <w:sz w:val="21"/>
          <w:szCs w:val="21"/>
          <w:u w:val="single"/>
        </w:rPr>
        <w:t>审批完毕并报送发包人，发现其中存在技术上的缺陷，应通知承包人修改，逾期视为已确认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color w:val="000000"/>
          <w:sz w:val="21"/>
          <w:szCs w:val="21"/>
          <w:u w:val="single"/>
        </w:rPr>
        <w:t>提交合理化建议后14天内审批完毕，逾期视为已确认。</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承</w:t>
      </w:r>
      <w:bookmarkStart w:id="795" w:name="_Toc296944543"/>
      <w:bookmarkStart w:id="796" w:name="_Toc296347203"/>
      <w:bookmarkStart w:id="797" w:name="_Toc297216205"/>
      <w:bookmarkStart w:id="798" w:name="_Toc304295571"/>
      <w:bookmarkStart w:id="799" w:name="_Toc296891244"/>
      <w:bookmarkStart w:id="800" w:name="_Toc312677504"/>
      <w:bookmarkStart w:id="801" w:name="_Toc312678030"/>
      <w:bookmarkStart w:id="802" w:name="_Toc297123546"/>
      <w:bookmarkStart w:id="803" w:name="_Toc303539152"/>
      <w:bookmarkStart w:id="804" w:name="_Toc300934995"/>
      <w:bookmarkStart w:id="805" w:name="_Toc297048390"/>
      <w:bookmarkStart w:id="806" w:name="_Toc292559914"/>
      <w:bookmarkStart w:id="807" w:name="_Toc297120504"/>
      <w:bookmarkStart w:id="808" w:name="_Toc296891032"/>
      <w:bookmarkStart w:id="809" w:name="_Toc318581175"/>
      <w:bookmarkStart w:id="810" w:name="_Toc292559409"/>
      <w:bookmarkStart w:id="811" w:name="_Toc296346705"/>
      <w:bookmarkStart w:id="812" w:name="_Toc296503204"/>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813" w:name="_Toc373478391"/>
      <w:bookmarkStart w:id="814" w:name="_Toc18025"/>
      <w:bookmarkStart w:id="815" w:name="_Toc30061994"/>
      <w:bookmarkStart w:id="816" w:name="_Toc469010948"/>
      <w:bookmarkStart w:id="817" w:name="_Toc389065310"/>
      <w:bookmarkStart w:id="818" w:name="_Toc373227744"/>
      <w:bookmarkStart w:id="819" w:name="_Toc3882802"/>
      <w:r>
        <w:rPr>
          <w:rFonts w:hint="eastAsia" w:ascii="宋体" w:hAnsi="宋体" w:eastAsia="宋体" w:cs="宋体"/>
          <w:b/>
          <w:kern w:val="0"/>
          <w:sz w:val="21"/>
          <w:szCs w:val="21"/>
        </w:rPr>
        <w:t>1</w:t>
      </w:r>
      <w:bookmarkStart w:id="820" w:name="_Toc296346700"/>
      <w:bookmarkStart w:id="821" w:name="_Toc296944538"/>
      <w:bookmarkStart w:id="822" w:name="_Toc296891239"/>
      <w:bookmarkStart w:id="823" w:name="_Toc297120499"/>
      <w:bookmarkStart w:id="824" w:name="_Toc297123548"/>
      <w:bookmarkStart w:id="825" w:name="_Toc297216207"/>
      <w:bookmarkStart w:id="826" w:name="_Toc300934997"/>
      <w:bookmarkStart w:id="827" w:name="_Toc292559404"/>
      <w:bookmarkStart w:id="828" w:name="_Toc296347198"/>
      <w:bookmarkStart w:id="829" w:name="_Toc303539154"/>
      <w:bookmarkStart w:id="830" w:name="_Toc312677507"/>
      <w:bookmarkStart w:id="831" w:name="_Toc312678033"/>
      <w:bookmarkStart w:id="832" w:name="_Toc297048385"/>
      <w:bookmarkStart w:id="833" w:name="_Toc304295574"/>
      <w:bookmarkStart w:id="834" w:name="_Toc296891027"/>
      <w:bookmarkStart w:id="835" w:name="_Toc296503199"/>
      <w:bookmarkStart w:id="836" w:name="_Toc292559909"/>
      <w:r>
        <w:rPr>
          <w:rFonts w:hint="eastAsia" w:ascii="宋体" w:hAnsi="宋体" w:eastAsia="宋体" w:cs="宋体"/>
          <w:b/>
          <w:kern w:val="0"/>
          <w:sz w:val="21"/>
          <w:szCs w:val="21"/>
        </w:rPr>
        <w:t>0.7 暂估价</w:t>
      </w:r>
      <w:bookmarkEnd w:id="813"/>
      <w:bookmarkEnd w:id="814"/>
      <w:bookmarkEnd w:id="815"/>
      <w:bookmarkEnd w:id="816"/>
      <w:bookmarkEnd w:id="817"/>
      <w:bookmarkEnd w:id="818"/>
      <w:bookmarkEnd w:id="819"/>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bookmarkStart w:id="837" w:name="_Toc373227745"/>
      <w:bookmarkStart w:id="838" w:name="_Toc373478392"/>
      <w:bookmarkStart w:id="839" w:name="_Toc469010949"/>
      <w:bookmarkStart w:id="840" w:name="_Toc389065311"/>
      <w:r>
        <w:rPr>
          <w:rFonts w:hint="eastAsia" w:ascii="宋体" w:hAnsi="宋体" w:eastAsia="宋体" w:cs="宋体"/>
          <w:kern w:val="0"/>
          <w:sz w:val="21"/>
          <w:szCs w:val="21"/>
        </w:rPr>
        <w:t>暂</w:t>
      </w:r>
      <w:bookmarkStart w:id="841" w:name="_Toc318581176"/>
      <w:bookmarkStart w:id="842" w:name="_Toc312677508"/>
      <w:bookmarkStart w:id="843" w:name="_Toc312678034"/>
      <w:r>
        <w:rPr>
          <w:rFonts w:hint="eastAsia" w:ascii="宋体" w:hAnsi="宋体" w:eastAsia="宋体" w:cs="宋体"/>
          <w:kern w:val="0"/>
          <w:sz w:val="21"/>
          <w:szCs w:val="21"/>
        </w:rPr>
        <w:t>估价材料和工程设备的明细详见已标价工程量清单《</w:t>
      </w:r>
      <w:r>
        <w:rPr>
          <w:rFonts w:hint="eastAsia" w:ascii="宋体" w:hAnsi="宋体" w:eastAsia="宋体" w:cs="宋体"/>
          <w:sz w:val="21"/>
          <w:szCs w:val="21"/>
        </w:rPr>
        <w:t>材料（工程设备）暂估价格及调整表》</w:t>
      </w:r>
      <w:r>
        <w:rPr>
          <w:rFonts w:hint="eastAsia" w:ascii="宋体" w:hAnsi="宋体" w:eastAsia="宋体" w:cs="宋体"/>
          <w:kern w:val="0"/>
          <w:sz w:val="21"/>
          <w:szCs w:val="21"/>
        </w:rPr>
        <w:t>（表12-2）和《</w:t>
      </w:r>
      <w:r>
        <w:rPr>
          <w:rFonts w:hint="eastAsia" w:ascii="宋体" w:hAnsi="宋体" w:eastAsia="宋体" w:cs="宋体"/>
          <w:sz w:val="21"/>
          <w:szCs w:val="21"/>
        </w:rPr>
        <w:t>专业工程暂估价表》（</w:t>
      </w:r>
      <w:r>
        <w:rPr>
          <w:rFonts w:hint="eastAsia" w:ascii="宋体" w:hAnsi="宋体" w:eastAsia="宋体" w:cs="宋体"/>
          <w:kern w:val="0"/>
          <w:sz w:val="21"/>
          <w:szCs w:val="21"/>
        </w:rPr>
        <w:t>表12-3）。</w:t>
      </w:r>
    </w:p>
    <w:bookmarkEnd w:id="841"/>
    <w:bookmarkEnd w:id="842"/>
    <w:bookmarkEnd w:id="843"/>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bookmarkStart w:id="844" w:name="_Toc312678035"/>
      <w:bookmarkStart w:id="845" w:name="_Toc318581177"/>
      <w:bookmarkStart w:id="846" w:name="_Toc312677509"/>
      <w:r>
        <w:rPr>
          <w:rFonts w:hint="eastAsia" w:ascii="宋体" w:hAnsi="宋体" w:eastAsia="宋体" w:cs="宋体"/>
          <w:sz w:val="21"/>
          <w:szCs w:val="21"/>
        </w:rPr>
        <w:t>0.7.1 依法必须招标的暂估价项目</w:t>
      </w:r>
    </w:p>
    <w:bookmarkEnd w:id="844"/>
    <w:bookmarkEnd w:id="845"/>
    <w:bookmarkEnd w:id="846"/>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2 </w:t>
      </w:r>
      <w:r>
        <w:rPr>
          <w:rFonts w:hint="eastAsia" w:ascii="宋体" w:hAnsi="宋体" w:eastAsia="宋体" w:cs="宋体"/>
          <w:sz w:val="21"/>
          <w:szCs w:val="21"/>
        </w:rPr>
        <w:t>种方式确定。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第1种方式：对于依法必须招标的暂估价项目，由承包人招标，对该暂估价项目的确认和批准按照以下约定执行：</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1</w:t>
      </w:r>
      <w:r>
        <w:rPr>
          <w:rFonts w:hint="eastAsia" w:ascii="宋体" w:hAnsi="宋体" w:eastAsia="宋体" w:cs="宋体"/>
          <w:sz w:val="21"/>
          <w:szCs w:val="21"/>
        </w:rPr>
        <w:t xml:space="preserve"> 种方式确定。</w:t>
      </w:r>
      <w:r>
        <w:rPr>
          <w:rFonts w:hint="eastAsia" w:ascii="宋体" w:hAnsi="宋体" w:eastAsia="宋体" w:cs="宋体"/>
          <w:kern w:val="0"/>
          <w:sz w:val="21"/>
          <w:szCs w:val="21"/>
        </w:rPr>
        <w:t>第1种方式：对于不属于依法必须招标的暂估价项目，按本项约定确认和批准：</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第2种方式：承包人按照第10.7.1项【依法必须招标的暂估价项目】约定的第1种方式确定暂估价项目。</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承包人直接实施的暂估价项目的约定：</w:t>
      </w:r>
      <w:r>
        <w:rPr>
          <w:rFonts w:hint="eastAsia" w:ascii="宋体" w:hAnsi="宋体" w:eastAsia="宋体" w:cs="宋体"/>
          <w:kern w:val="0"/>
          <w:sz w:val="21"/>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847" w:name="_Toc23353"/>
      <w:bookmarkStart w:id="848" w:name="_Toc3882803"/>
      <w:bookmarkStart w:id="849" w:name="_Toc30061995"/>
      <w:r>
        <w:rPr>
          <w:rFonts w:hint="eastAsia" w:ascii="宋体" w:hAnsi="宋体" w:eastAsia="宋体" w:cs="宋体"/>
          <w:b/>
          <w:kern w:val="0"/>
          <w:sz w:val="21"/>
          <w:szCs w:val="21"/>
        </w:rPr>
        <w:t>10.8 暂列金额</w:t>
      </w:r>
      <w:bookmarkEnd w:id="837"/>
      <w:bookmarkEnd w:id="838"/>
      <w:bookmarkEnd w:id="839"/>
      <w:bookmarkEnd w:id="840"/>
      <w:bookmarkEnd w:id="847"/>
      <w:bookmarkEnd w:id="848"/>
      <w:bookmarkEnd w:id="849"/>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（1）已签约合同价中的暂列金额由发包人掌握使用。 </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（2）发包人按照规定所作支付后，暂列金额如有余额归发包人</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850" w:name="_Toc373227746"/>
      <w:bookmarkStart w:id="851" w:name="_Toc351203643"/>
      <w:bookmarkStart w:id="852" w:name="_Toc373478393"/>
      <w:bookmarkStart w:id="853" w:name="_Toc30061996"/>
      <w:bookmarkStart w:id="854" w:name="_Toc3882804"/>
      <w:bookmarkStart w:id="855" w:name="_Toc389065312"/>
      <w:bookmarkStart w:id="856" w:name="_Toc469010950"/>
      <w:bookmarkStart w:id="857" w:name="_Toc14209"/>
      <w:r>
        <w:rPr>
          <w:rFonts w:hint="eastAsia" w:ascii="宋体" w:hAnsi="宋体" w:eastAsia="宋体" w:cs="宋体"/>
          <w:b/>
          <w:sz w:val="21"/>
          <w:szCs w:val="21"/>
        </w:rPr>
        <w:t>11. 价格调整</w:t>
      </w:r>
      <w:bookmarkEnd w:id="850"/>
      <w:bookmarkEnd w:id="851"/>
      <w:bookmarkEnd w:id="852"/>
      <w:bookmarkEnd w:id="853"/>
      <w:bookmarkEnd w:id="854"/>
      <w:bookmarkEnd w:id="855"/>
      <w:bookmarkEnd w:id="856"/>
      <w:bookmarkEnd w:id="857"/>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858" w:name="_Toc30061997"/>
      <w:bookmarkStart w:id="859" w:name="_Toc3882805"/>
      <w:bookmarkStart w:id="860" w:name="_Toc389065313"/>
      <w:bookmarkStart w:id="861" w:name="_Toc469010951"/>
      <w:bookmarkStart w:id="862" w:name="_Toc26291"/>
      <w:bookmarkStart w:id="863" w:name="_Toc373227747"/>
      <w:bookmarkStart w:id="864" w:name="_Toc373478394"/>
      <w:bookmarkStart w:id="865" w:name="_Toc312678039"/>
      <w:bookmarkStart w:id="866" w:name="_Toc297123550"/>
      <w:bookmarkStart w:id="867" w:name="_Toc303539157"/>
      <w:bookmarkStart w:id="868" w:name="_Toc297048387"/>
      <w:bookmarkStart w:id="869" w:name="_Toc296503201"/>
      <w:bookmarkStart w:id="870" w:name="_Toc297120501"/>
      <w:bookmarkStart w:id="871" w:name="_Toc296346702"/>
      <w:bookmarkStart w:id="872" w:name="_Toc296891029"/>
      <w:bookmarkStart w:id="873" w:name="_Toc292559911"/>
      <w:bookmarkStart w:id="874" w:name="_Toc292559406"/>
      <w:bookmarkStart w:id="875" w:name="_Toc300935000"/>
      <w:bookmarkStart w:id="876" w:name="_Toc297216209"/>
      <w:bookmarkStart w:id="877" w:name="_Toc296944540"/>
      <w:bookmarkStart w:id="878" w:name="_Toc296347200"/>
      <w:bookmarkStart w:id="879" w:name="_Toc304295577"/>
      <w:bookmarkStart w:id="880" w:name="_Toc296891241"/>
      <w:r>
        <w:rPr>
          <w:rFonts w:hint="eastAsia" w:ascii="宋体" w:hAnsi="宋体" w:eastAsia="宋体" w:cs="宋体"/>
          <w:b/>
          <w:kern w:val="0"/>
          <w:sz w:val="21"/>
          <w:szCs w:val="21"/>
        </w:rPr>
        <w:t>11.1 市场价格波动引起的调整</w:t>
      </w:r>
      <w:bookmarkEnd w:id="858"/>
      <w:bookmarkEnd w:id="859"/>
      <w:bookmarkEnd w:id="860"/>
      <w:bookmarkEnd w:id="861"/>
      <w:bookmarkEnd w:id="862"/>
      <w:bookmarkEnd w:id="863"/>
      <w:bookmarkEnd w:id="864"/>
    </w:p>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rPr>
        <w:t>物价波动引起合同价格变化的。合同履行期间材料单价涨幅以基准价格为基础超过5%时，或材料单价跌幅以在已标价工程量清单或预算书中载明的主要材料、工程设备单价为基础超过5%时，其超过部分据实调整；关于基准价格的约定：</w:t>
      </w:r>
      <w:r>
        <w:rPr>
          <w:rFonts w:hint="eastAsia" w:ascii="宋体" w:hAnsi="宋体" w:eastAsia="宋体" w:cs="宋体"/>
          <w:color w:val="000000"/>
          <w:kern w:val="0"/>
          <w:sz w:val="21"/>
          <w:szCs w:val="21"/>
          <w:u w:val="single"/>
        </w:rPr>
        <w:t>招标的工程以招标控制价确定的市场价格确定为基期材料价格</w:t>
      </w:r>
      <w:r>
        <w:rPr>
          <w:rFonts w:hint="eastAsia" w:ascii="宋体" w:hAnsi="宋体" w:eastAsia="宋体" w:cs="宋体"/>
          <w:color w:val="000000"/>
          <w:sz w:val="21"/>
          <w:szCs w:val="21"/>
          <w:u w:val="single"/>
        </w:rPr>
        <w:t>；人工、机械费按照我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r>
        <w:rPr>
          <w:rFonts w:hint="eastAsia" w:ascii="宋体" w:hAnsi="宋体" w:eastAsia="宋体" w:cs="宋体"/>
          <w:color w:val="00000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2  </w:t>
      </w:r>
      <w:r>
        <w:rPr>
          <w:rFonts w:hint="eastAsia" w:ascii="宋体" w:hAnsi="宋体" w:eastAsia="宋体" w:cs="宋体"/>
          <w:sz w:val="21"/>
          <w:szCs w:val="21"/>
        </w:rPr>
        <w:t xml:space="preserve"> 种</w:t>
      </w:r>
      <w:r>
        <w:rPr>
          <w:rFonts w:hint="eastAsia" w:ascii="宋体" w:hAnsi="宋体" w:eastAsia="宋体" w:cs="宋体"/>
          <w:color w:val="000000"/>
          <w:sz w:val="21"/>
          <w:szCs w:val="21"/>
        </w:rPr>
        <w:t>方式对合同价格进行调整：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第1种方式：采用价格指数进行价格调整。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第2种方式：采用造价信息进行价格调整。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允许调整的主要材料和设备、基期价格、风险系数、投标报价：详见《承包人提供主要材料和设备一览表》，如发包人招标时提供的《承包人提供主要材料和设备一览表》中的主要按材料和设备缺项、漏项，经发包人及相关部门审核确认后予以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（2）主要材料和设备确认价：</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按施工期间《</w:t>
      </w:r>
      <w:r>
        <w:rPr>
          <w:rFonts w:hint="eastAsia" w:ascii="宋体" w:hAnsi="宋体" w:eastAsia="宋体" w:cs="宋体"/>
          <w:sz w:val="21"/>
          <w:szCs w:val="21"/>
          <w:u w:val="single"/>
        </w:rPr>
        <w:t>贺州</w:t>
      </w:r>
      <w:r>
        <w:rPr>
          <w:rFonts w:hint="eastAsia" w:ascii="宋体" w:hAnsi="宋体" w:eastAsia="宋体" w:cs="宋体"/>
          <w:sz w:val="21"/>
          <w:szCs w:val="21"/>
        </w:rPr>
        <w:t>市建设工程造价信息》加权平均计算，信息价没有的按通用条款规定确定。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（3）价差计算方法：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③承包人在《承包人提供主要材料和设备一览表》中载明的材料和设备单价等于基准单价的：合同履行期间材料和设备单价涨跌幅以基准单价为基础超过约定的风险范围时，其超过部分据实调整。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第3种方式：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bookmarkEnd w:id="709"/>
    <w:bookmarkEnd w:id="710"/>
    <w:bookmarkEnd w:id="711"/>
    <w:bookmarkEnd w:id="712"/>
    <w:bookmarkEnd w:id="713"/>
    <w:bookmarkEnd w:id="714"/>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881" w:name="_Toc297048391"/>
      <w:bookmarkStart w:id="882" w:name="_Toc296503205"/>
      <w:bookmarkStart w:id="883" w:name="_Toc297120505"/>
      <w:bookmarkStart w:id="884" w:name="_Toc296346706"/>
      <w:bookmarkStart w:id="885" w:name="_Toc296891245"/>
      <w:bookmarkStart w:id="886" w:name="_Toc292559915"/>
      <w:bookmarkStart w:id="887" w:name="_Toc292559410"/>
      <w:bookmarkStart w:id="888" w:name="_Toc296891033"/>
      <w:bookmarkStart w:id="889" w:name="_Toc296347204"/>
      <w:bookmarkStart w:id="890" w:name="_Toc296944544"/>
      <w:bookmarkStart w:id="891" w:name="_Toc4206"/>
      <w:bookmarkStart w:id="892" w:name="_Toc351203644"/>
      <w:bookmarkStart w:id="893" w:name="_Toc373227748"/>
      <w:bookmarkStart w:id="894" w:name="_Toc373478395"/>
      <w:bookmarkStart w:id="895" w:name="_Toc469010952"/>
      <w:bookmarkStart w:id="896" w:name="_Toc3882806"/>
      <w:bookmarkStart w:id="897" w:name="_Toc30061998"/>
      <w:bookmarkStart w:id="898" w:name="_Toc303539159"/>
      <w:bookmarkStart w:id="899" w:name="_Toc297216211"/>
      <w:bookmarkStart w:id="900" w:name="_Toc300935002"/>
      <w:bookmarkStart w:id="901" w:name="_Toc312678040"/>
      <w:bookmarkStart w:id="902" w:name="_Toc304295579"/>
      <w:bookmarkStart w:id="903" w:name="_Toc297123552"/>
      <w:r>
        <w:rPr>
          <w:rFonts w:hint="eastAsia" w:ascii="宋体" w:hAnsi="宋体" w:eastAsia="宋体" w:cs="宋体"/>
          <w:b/>
          <w:sz w:val="21"/>
          <w:szCs w:val="21"/>
        </w:rPr>
        <w:t xml:space="preserve">12. </w:t>
      </w:r>
      <w:bookmarkEnd w:id="881"/>
      <w:bookmarkEnd w:id="882"/>
      <w:bookmarkEnd w:id="883"/>
      <w:bookmarkEnd w:id="884"/>
      <w:bookmarkEnd w:id="885"/>
      <w:bookmarkEnd w:id="886"/>
      <w:bookmarkEnd w:id="887"/>
      <w:bookmarkEnd w:id="888"/>
      <w:bookmarkEnd w:id="889"/>
      <w:bookmarkEnd w:id="890"/>
      <w:r>
        <w:rPr>
          <w:rFonts w:hint="eastAsia" w:ascii="宋体" w:hAnsi="宋体" w:eastAsia="宋体" w:cs="宋体"/>
          <w:b/>
          <w:sz w:val="21"/>
          <w:szCs w:val="21"/>
        </w:rPr>
        <w:t>合同价格、计量与支付</w:t>
      </w:r>
      <w:bookmarkEnd w:id="891"/>
      <w:bookmarkEnd w:id="892"/>
      <w:bookmarkEnd w:id="893"/>
      <w:bookmarkEnd w:id="894"/>
      <w:bookmarkEnd w:id="895"/>
      <w:bookmarkEnd w:id="896"/>
      <w:bookmarkEnd w:id="897"/>
    </w:p>
    <w:bookmarkEnd w:id="898"/>
    <w:bookmarkEnd w:id="899"/>
    <w:bookmarkEnd w:id="900"/>
    <w:bookmarkEnd w:id="901"/>
    <w:bookmarkEnd w:id="902"/>
    <w:bookmarkEnd w:id="903"/>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904" w:name="_Toc292559916"/>
      <w:bookmarkStart w:id="905" w:name="_Toc292559411"/>
      <w:bookmarkStart w:id="906" w:name="_Toc267251461"/>
      <w:bookmarkStart w:id="907" w:name="_Toc297048392"/>
      <w:bookmarkStart w:id="908" w:name="_Toc296944545"/>
      <w:bookmarkStart w:id="909" w:name="_Toc296891034"/>
      <w:bookmarkStart w:id="910" w:name="_Toc296503206"/>
      <w:bookmarkStart w:id="911" w:name="_Toc296346707"/>
      <w:bookmarkStart w:id="912" w:name="_Toc296891246"/>
      <w:bookmarkStart w:id="913" w:name="_Toc296347205"/>
      <w:bookmarkStart w:id="914" w:name="_Toc297120506"/>
      <w:bookmarkStart w:id="915" w:name="_Toc373227749"/>
      <w:bookmarkStart w:id="916" w:name="_Toc3882807"/>
      <w:bookmarkStart w:id="917" w:name="_Toc373478396"/>
      <w:bookmarkStart w:id="918" w:name="_Toc469010953"/>
      <w:bookmarkStart w:id="919" w:name="_Toc389065314"/>
      <w:bookmarkStart w:id="920" w:name="_Toc30061999"/>
      <w:bookmarkStart w:id="921" w:name="_Toc8953"/>
      <w:bookmarkStart w:id="922" w:name="_Toc312678041"/>
      <w:bookmarkStart w:id="923" w:name="_Toc300935003"/>
      <w:bookmarkStart w:id="924" w:name="_Toc303539160"/>
      <w:bookmarkStart w:id="925" w:name="_Toc304295580"/>
      <w:bookmarkStart w:id="926" w:name="_Toc297216212"/>
      <w:bookmarkStart w:id="927" w:name="_Toc297123553"/>
      <w:r>
        <w:rPr>
          <w:rFonts w:hint="eastAsia" w:ascii="宋体" w:hAnsi="宋体" w:eastAsia="宋体" w:cs="宋体"/>
          <w:b/>
          <w:kern w:val="0"/>
          <w:sz w:val="21"/>
          <w:szCs w:val="21"/>
        </w:rPr>
        <w:t>12.1 合</w:t>
      </w:r>
      <w:bookmarkEnd w:id="904"/>
      <w:bookmarkEnd w:id="905"/>
      <w:bookmarkEnd w:id="906"/>
      <w:r>
        <w:rPr>
          <w:rFonts w:hint="eastAsia" w:ascii="宋体" w:hAnsi="宋体" w:eastAsia="宋体" w:cs="宋体"/>
          <w:b/>
          <w:kern w:val="0"/>
          <w:sz w:val="21"/>
          <w:szCs w:val="21"/>
        </w:rPr>
        <w:t>同价</w:t>
      </w:r>
      <w:bookmarkEnd w:id="907"/>
      <w:bookmarkEnd w:id="908"/>
      <w:bookmarkEnd w:id="909"/>
      <w:bookmarkEnd w:id="910"/>
      <w:bookmarkEnd w:id="911"/>
      <w:bookmarkEnd w:id="912"/>
      <w:bookmarkEnd w:id="913"/>
      <w:bookmarkEnd w:id="914"/>
      <w:r>
        <w:rPr>
          <w:rFonts w:hint="eastAsia" w:ascii="宋体" w:hAnsi="宋体" w:eastAsia="宋体" w:cs="宋体"/>
          <w:b/>
          <w:kern w:val="0"/>
          <w:sz w:val="21"/>
          <w:szCs w:val="21"/>
        </w:rPr>
        <w:t>格形式</w:t>
      </w:r>
      <w:bookmarkEnd w:id="915"/>
      <w:bookmarkEnd w:id="916"/>
      <w:bookmarkEnd w:id="917"/>
      <w:bookmarkEnd w:id="918"/>
      <w:bookmarkEnd w:id="919"/>
      <w:bookmarkEnd w:id="920"/>
      <w:bookmarkEnd w:id="921"/>
    </w:p>
    <w:bookmarkEnd w:id="922"/>
    <w:bookmarkEnd w:id="923"/>
    <w:bookmarkEnd w:id="924"/>
    <w:bookmarkEnd w:id="925"/>
    <w:bookmarkEnd w:id="926"/>
    <w:bookmarkEnd w:id="927"/>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auto"/>
          <w:sz w:val="21"/>
          <w:szCs w:val="21"/>
        </w:rPr>
      </w:pPr>
      <w:bookmarkStart w:id="928" w:name="_Toc373227750"/>
      <w:bookmarkStart w:id="929" w:name="_Toc389065315"/>
      <w:bookmarkStart w:id="930" w:name="_Toc373478397"/>
      <w:bookmarkStart w:id="931" w:name="_Toc297120507"/>
      <w:bookmarkStart w:id="932" w:name="_Toc297123554"/>
      <w:bookmarkStart w:id="933" w:name="_Toc292559412"/>
      <w:bookmarkStart w:id="934" w:name="_Toc292559917"/>
      <w:bookmarkStart w:id="935" w:name="_Toc296944546"/>
      <w:bookmarkStart w:id="936" w:name="_Toc297048393"/>
      <w:bookmarkStart w:id="937" w:name="_Toc296891035"/>
      <w:bookmarkStart w:id="938" w:name="_Toc300935004"/>
      <w:bookmarkStart w:id="939" w:name="_Toc296347206"/>
      <w:bookmarkStart w:id="940" w:name="_Toc296346708"/>
      <w:bookmarkStart w:id="941" w:name="_Toc296503207"/>
      <w:bookmarkStart w:id="942" w:name="_Toc297216213"/>
      <w:bookmarkStart w:id="943" w:name="_Toc304295581"/>
      <w:bookmarkStart w:id="944" w:name="_Toc312678042"/>
      <w:bookmarkStart w:id="945" w:name="_Toc303539161"/>
      <w:bookmarkStart w:id="946" w:name="_Toc296891247"/>
      <w:r>
        <w:rPr>
          <w:rFonts w:hint="eastAsia" w:ascii="宋体" w:hAnsi="宋体" w:eastAsia="宋体" w:cs="宋体"/>
          <w:sz w:val="21"/>
          <w:szCs w:val="21"/>
        </w:rPr>
        <w:t>本工程采用固定综合单价合同价格形式。合同价格包含增值税，</w:t>
      </w:r>
      <w:r>
        <w:rPr>
          <w:rFonts w:hint="eastAsia" w:ascii="宋体" w:hAnsi="宋体" w:eastAsia="宋体" w:cs="宋体"/>
          <w:color w:val="auto"/>
          <w:sz w:val="21"/>
          <w:szCs w:val="21"/>
        </w:rPr>
        <w:t>本工程计价时采用的增值税计税方法为：</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一般计税法   </w:t>
      </w:r>
      <w:r>
        <w:rPr>
          <w:rFonts w:hint="eastAsia" w:ascii="宋体" w:hAnsi="宋体" w:cs="宋体"/>
          <w:color w:val="auto"/>
          <w:sz w:val="21"/>
          <w:szCs w:val="21"/>
          <w:lang w:eastAsia="zh-CN"/>
        </w:rPr>
        <w:t>□</w:t>
      </w:r>
      <w:r>
        <w:rPr>
          <w:rFonts w:hint="eastAsia" w:ascii="宋体" w:hAnsi="宋体" w:eastAsia="宋体" w:cs="宋体"/>
          <w:color w:val="auto"/>
          <w:sz w:val="21"/>
          <w:szCs w:val="21"/>
        </w:rPr>
        <w:t>简易计税法。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（1）单价合同。</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采用综合单价合同方式时，工程量按建设单位、监理单位、施工单位三方确认的竣工图结算。</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除工程变更、项目特征不符、工程量清单缺项漏项、政策性调整、工程量偏差、价格变动风险以外的其他风险因素</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①工程变更：按10.4.1变更估价原则的约定调整。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②政策性调整：按自治区建设行政主管部门颁布的文件执行。</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③材料价格风险：按11.1的约定调整。</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④其它：</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（2）总价合同。</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color w:val="FF0000"/>
          <w:sz w:val="21"/>
          <w:szCs w:val="21"/>
        </w:rPr>
      </w:pPr>
      <w:bookmarkStart w:id="947" w:name="_Toc3882808"/>
      <w:bookmarkStart w:id="948" w:name="_Toc469010954"/>
      <w:bookmarkStart w:id="949" w:name="_Toc30062000"/>
      <w:bookmarkStart w:id="950" w:name="_Toc23317"/>
      <w:r>
        <w:rPr>
          <w:rFonts w:hint="eastAsia" w:ascii="宋体" w:hAnsi="宋体" w:eastAsia="宋体" w:cs="宋体"/>
          <w:b/>
          <w:color w:val="FF0000"/>
          <w:kern w:val="0"/>
          <w:sz w:val="21"/>
          <w:szCs w:val="21"/>
        </w:rPr>
        <w:t>12.2 预付款</w:t>
      </w:r>
      <w:bookmarkEnd w:id="928"/>
      <w:bookmarkEnd w:id="929"/>
      <w:bookmarkEnd w:id="930"/>
      <w:bookmarkEnd w:id="947"/>
      <w:bookmarkEnd w:id="948"/>
      <w:bookmarkEnd w:id="949"/>
      <w:bookmarkEnd w:id="950"/>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FF0000"/>
          <w:sz w:val="21"/>
          <w:szCs w:val="21"/>
        </w:rPr>
      </w:pPr>
      <w:bookmarkStart w:id="951" w:name="_Toc3882809"/>
      <w:bookmarkStart w:id="952" w:name="_Toc373227751"/>
      <w:bookmarkStart w:id="953" w:name="_Toc18102"/>
      <w:bookmarkStart w:id="954" w:name="_Toc389065316"/>
      <w:bookmarkStart w:id="955" w:name="_Toc373478398"/>
      <w:bookmarkStart w:id="956" w:name="_Toc469010955"/>
      <w:bookmarkStart w:id="957" w:name="_Toc30062001"/>
      <w:r>
        <w:rPr>
          <w:rFonts w:hint="eastAsia" w:ascii="宋体" w:hAnsi="宋体" w:eastAsia="宋体" w:cs="宋体"/>
          <w:color w:val="FF0000"/>
          <w:sz w:val="21"/>
          <w:szCs w:val="21"/>
        </w:rPr>
        <w:t>12.2.1 预付款的支付</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预付款支付比例或金额：合同价款的30%。</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预付款支付期限：</w:t>
      </w:r>
      <w:r>
        <w:rPr>
          <w:rFonts w:hint="eastAsia" w:ascii="宋体" w:hAnsi="宋体" w:cs="宋体"/>
          <w:color w:val="FF0000"/>
          <w:sz w:val="21"/>
          <w:szCs w:val="21"/>
          <w:lang w:val="en-US" w:eastAsia="zh-CN"/>
        </w:rPr>
        <w:t>合同签订</w:t>
      </w:r>
      <w:r>
        <w:rPr>
          <w:rFonts w:hint="eastAsia" w:ascii="宋体" w:hAnsi="宋体" w:eastAsia="宋体" w:cs="宋体"/>
          <w:color w:val="FF0000"/>
          <w:sz w:val="21"/>
          <w:szCs w:val="21"/>
        </w:rPr>
        <w:t>后</w:t>
      </w:r>
      <w:r>
        <w:rPr>
          <w:rFonts w:hint="eastAsia" w:ascii="宋体" w:hAnsi="宋体" w:cs="宋体"/>
          <w:color w:val="FF0000"/>
          <w:sz w:val="21"/>
          <w:szCs w:val="21"/>
          <w:lang w:val="en-US" w:eastAsia="zh-CN"/>
        </w:rPr>
        <w:t>10个工作日内</w:t>
      </w:r>
      <w:r>
        <w:rPr>
          <w:rFonts w:hint="eastAsia" w:ascii="宋体" w:hAnsi="宋体" w:eastAsia="宋体" w:cs="宋体"/>
          <w:color w:val="FF0000"/>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预付款扣回的方式：工程预付款应从每期支付给承包人的工程进度款中按预付款同比例扣回，直至合同累计完成金额达到签约合同价的80%时全部扣完。</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r>
        <w:rPr>
          <w:rFonts w:hint="eastAsia" w:ascii="宋体" w:hAnsi="宋体" w:eastAsia="宋体" w:cs="宋体"/>
          <w:b/>
          <w:kern w:val="0"/>
          <w:sz w:val="21"/>
          <w:szCs w:val="21"/>
        </w:rPr>
        <w:t>12.3 计量</w:t>
      </w:r>
      <w:bookmarkEnd w:id="951"/>
      <w:bookmarkEnd w:id="952"/>
      <w:bookmarkEnd w:id="953"/>
      <w:bookmarkEnd w:id="954"/>
      <w:bookmarkEnd w:id="955"/>
      <w:bookmarkEnd w:id="956"/>
      <w:bookmarkEnd w:id="957"/>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12.3.1 计量原则</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rPr>
        <w:t>工程的计量均以《建设工程工程量清单计价规范》（GB50500－2013）和及其广西壮族自治区实施细则、《建设工程工程量清单计算规范》（GB50854~50862－2013）及其广西实施细则（修订本）、本工程补充项目清单为准。</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12.3.2 计量周期</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每月25日前，承包人需提供施工月报。</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12.3.3 单价合同的计量</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关于单价合同计量的约定：</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工程量清单所列的工程量，不能作为承包人按合同履行其责任依据，实际施工中发生的工程量增加或减少并不影响承包人履行合同的责任，工程结算以完成的实际工程量为准。</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color w:val="FF0000"/>
          <w:kern w:val="0"/>
          <w:sz w:val="21"/>
          <w:szCs w:val="21"/>
        </w:rPr>
      </w:pPr>
      <w:bookmarkStart w:id="958" w:name="_Toc3882810"/>
      <w:bookmarkStart w:id="959" w:name="_Toc469010956"/>
      <w:bookmarkStart w:id="960" w:name="_Toc24170"/>
      <w:bookmarkStart w:id="961" w:name="_Toc389065317"/>
      <w:bookmarkStart w:id="962" w:name="_Toc30062002"/>
      <w:bookmarkStart w:id="963" w:name="_Toc373227752"/>
      <w:bookmarkStart w:id="964" w:name="_Toc373478399"/>
      <w:r>
        <w:rPr>
          <w:rFonts w:hint="eastAsia" w:ascii="宋体" w:hAnsi="宋体" w:eastAsia="宋体" w:cs="宋体"/>
          <w:b/>
          <w:color w:val="FF0000"/>
          <w:kern w:val="0"/>
          <w:sz w:val="21"/>
          <w:szCs w:val="21"/>
        </w:rPr>
        <w:t>12.4 工程进度款支付</w:t>
      </w:r>
      <w:bookmarkEnd w:id="958"/>
      <w:bookmarkEnd w:id="959"/>
      <w:bookmarkEnd w:id="960"/>
      <w:bookmarkEnd w:id="961"/>
      <w:bookmarkEnd w:id="962"/>
      <w:bookmarkEnd w:id="963"/>
      <w:bookmarkEnd w:id="964"/>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FF0000"/>
          <w:sz w:val="21"/>
          <w:szCs w:val="21"/>
        </w:rPr>
      </w:pPr>
      <w:bookmarkStart w:id="965" w:name="_Toc297048397"/>
      <w:bookmarkStart w:id="966" w:name="_Toc296891039"/>
      <w:bookmarkStart w:id="967" w:name="_Toc297123556"/>
      <w:bookmarkStart w:id="968" w:name="_Toc296347210"/>
      <w:bookmarkStart w:id="969" w:name="_Toc292559921"/>
      <w:bookmarkStart w:id="970" w:name="_Toc300935006"/>
      <w:bookmarkStart w:id="971" w:name="_Toc297120511"/>
      <w:bookmarkStart w:id="972" w:name="_Toc296346712"/>
      <w:bookmarkStart w:id="973" w:name="_Toc303539163"/>
      <w:bookmarkStart w:id="974" w:name="_Toc296891251"/>
      <w:bookmarkStart w:id="975" w:name="_Toc296944550"/>
      <w:bookmarkStart w:id="976" w:name="_Toc297216215"/>
      <w:bookmarkStart w:id="977" w:name="_Toc292559416"/>
      <w:bookmarkStart w:id="978" w:name="_Toc296503211"/>
      <w:r>
        <w:rPr>
          <w:rFonts w:hint="eastAsia" w:ascii="宋体" w:hAnsi="宋体" w:eastAsia="宋体" w:cs="宋体"/>
          <w:color w:val="FF0000"/>
          <w:sz w:val="21"/>
          <w:szCs w:val="21"/>
        </w:rPr>
        <w:t>12.4.1 付款周期</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关于付款周期的约定：</w:t>
      </w:r>
      <w:r>
        <w:rPr>
          <w:rFonts w:hint="eastAsia" w:ascii="宋体" w:hAnsi="宋体" w:eastAsia="宋体" w:cs="宋体"/>
          <w:bCs/>
          <w:color w:val="FF0000"/>
          <w:sz w:val="21"/>
          <w:szCs w:val="21"/>
          <w:u w:val="single"/>
        </w:rPr>
        <w:t>工程付进度款支付方式：合同内进度款支付限额为已完成工程量的85%，工程变更部分进度款支付限额为已完成工程量的75%。</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12.4.2 进度付款申请单的编制</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关于进度付款申请单编制的约定：</w:t>
      </w:r>
      <w:r>
        <w:rPr>
          <w:rFonts w:hint="eastAsia" w:ascii="宋体" w:hAnsi="宋体" w:eastAsia="宋体" w:cs="宋体"/>
          <w:sz w:val="21"/>
          <w:szCs w:val="21"/>
          <w:u w:val="single"/>
        </w:rPr>
        <w:t>承包人应在每个计量周期到期后的7天内向发包人提交已完工程进度款支付申请一式陆份，详细说明此周期自己认为有权得到的款额，包括分包人已完工程的价款，按有关规定编制</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Fonts w:hint="eastAsia" w:ascii="宋体" w:hAnsi="宋体" w:eastAsia="宋体" w:cs="宋体"/>
          <w:sz w:val="21"/>
          <w:szCs w:val="21"/>
        </w:rPr>
        <w:t>2.4.3 进度付款申请单的提交</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b/>
          <w:bCs/>
          <w:sz w:val="21"/>
          <w:szCs w:val="21"/>
          <w:u w:val="single"/>
        </w:rPr>
      </w:pPr>
      <w:r>
        <w:rPr>
          <w:rFonts w:hint="eastAsia" w:ascii="宋体" w:hAnsi="宋体" w:eastAsia="宋体" w:cs="宋体"/>
          <w:sz w:val="21"/>
          <w:szCs w:val="21"/>
        </w:rPr>
        <w:t>（1）单价合同进度付款申请单提交的约定：</w:t>
      </w:r>
      <w:r>
        <w:rPr>
          <w:rFonts w:hint="eastAsia" w:ascii="宋体" w:hAnsi="宋体" w:eastAsia="宋体" w:cs="宋体"/>
          <w:bCs/>
          <w:sz w:val="21"/>
          <w:szCs w:val="21"/>
          <w:u w:val="single"/>
        </w:rPr>
        <w:t>承包人应在每个计量周期到期后的7天内向发包人提交已完工程进度款支付申请一式陆份，详细说明此周期自己认为有权得到的款额，包括分包人已完工程的价款，按有关规定编制，同时提供经监理审核批准的施工过程中的相关资料。</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12.4.4 进度款审核和支付</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收到申请7天内完成审核并报送发包人， 如未在收到相关资料后的5个天内进行审批或提出异议的，视为对承包人提交审批进度款的认可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收到监理审查并确认后报送7天内完成审批并签发进度款支付证书</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审查并确认后14天内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进度款支付方式：</w:t>
      </w:r>
      <w:r>
        <w:rPr>
          <w:rFonts w:hint="eastAsia" w:ascii="宋体" w:hAnsi="宋体" w:eastAsia="宋体" w:cs="宋体"/>
          <w:sz w:val="21"/>
          <w:szCs w:val="21"/>
          <w:u w:val="single"/>
        </w:rPr>
        <w:t>银行转账</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trike/>
          <w:sz w:val="21"/>
          <w:szCs w:val="21"/>
        </w:rPr>
      </w:pPr>
      <w:r>
        <w:rPr>
          <w:rFonts w:hint="eastAsia" w:ascii="宋体" w:hAnsi="宋体" w:eastAsia="宋体" w:cs="宋体"/>
          <w:kern w:val="0"/>
          <w:sz w:val="21"/>
          <w:szCs w:val="21"/>
          <w:u w:val="single"/>
        </w:rPr>
        <w:t>支付至承包人指定账户，其他付款方式承包人均不予认可</w:t>
      </w:r>
      <w:r>
        <w:rPr>
          <w:rFonts w:hint="eastAsia" w:ascii="宋体" w:hAnsi="宋体" w:eastAsia="宋体" w:cs="宋体"/>
          <w:sz w:val="21"/>
          <w:szCs w:val="21"/>
        </w:rPr>
        <w:t>。</w:t>
      </w:r>
    </w:p>
    <w:p>
      <w:pPr>
        <w:pStyle w:val="54"/>
        <w:pageBreakBefore w:val="0"/>
        <w:widowControl w:val="0"/>
        <w:tabs>
          <w:tab w:val="center" w:pos="4153"/>
          <w:tab w:val="right" w:pos="8306"/>
        </w:tabs>
        <w:kinsoku/>
        <w:wordWrap/>
        <w:overflowPunct/>
        <w:topLinePunct w:val="0"/>
        <w:bidi w:val="0"/>
        <w:snapToGrid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工程款支付账户：</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sz w:val="21"/>
          <w:szCs w:val="21"/>
          <w:u w:val="single"/>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pStyle w:val="54"/>
        <w:pageBreakBefore w:val="0"/>
        <w:widowControl w:val="0"/>
        <w:kinsoku/>
        <w:wordWrap/>
        <w:overflowPunct/>
        <w:topLinePunct w:val="0"/>
        <w:bidi w:val="0"/>
        <w:adjustRightInd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 农民工工资支付</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发包人依据工程进度，按与承包人约定的农民工支付比例，将工程人工费分账支付到承包人的农民工工资专户，工程完工时发包人向承包人农民工工资专户支付的完工工程量的人工费支付比例不低于100%，其余工程进度款项由发包人支付到承包人的单位基本户。</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3）凡未向付款单位提供农民工工资专户的，或者请款单位在申请工程进度款时未将人工费单列的，付款单位有权拒绝支付工程进度款。</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4）农民工工资使用要求：专款专用，除发放工人工资外，不得用于其他用途。</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5）承包人将农民工工资支付情况定期报告发包人和监理单位，并提供相应的材料接受建设行政主管部门和劳动保障行政主管部门对此事项监管。</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6）农民工工资支付专用账户：</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专用账户名称：</w:t>
      </w:r>
      <w:r>
        <w:rPr>
          <w:rFonts w:hint="eastAsia" w:ascii="宋体" w:hAnsi="宋体" w:eastAsia="宋体" w:cs="宋体"/>
          <w:sz w:val="21"/>
          <w:szCs w:val="21"/>
          <w:u w:val="single"/>
        </w:rPr>
        <w:t xml:space="preserve">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专用账号：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专用账户开户银行名称：</w:t>
      </w:r>
      <w:r>
        <w:rPr>
          <w:rFonts w:hint="eastAsia" w:ascii="宋体" w:hAnsi="宋体" w:eastAsia="宋体" w:cs="宋体"/>
          <w:sz w:val="21"/>
          <w:szCs w:val="21"/>
          <w:u w:val="single"/>
        </w:rPr>
        <w:t xml:space="preserve">         </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7）双方约定工程款中农民工工资比例为</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w:t>
      </w:r>
      <w:r>
        <w:rPr>
          <w:rFonts w:hint="eastAsia" w:ascii="宋体" w:hAnsi="宋体" w:eastAsia="宋体" w:cs="宋体"/>
          <w:sz w:val="21"/>
          <w:szCs w:val="21"/>
        </w:rPr>
        <w:t>，甲方支付工程进度款时，按照上述比例将农民工资转至乙方农民工工资专用账户，乙方按月足额支付农民工工资，同时承诺不得将农民工工资专用款挪做其它用途，否则将承担后果及法律责任。</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12.4.6 支付分解表的编制</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2. 总价合同支付分解表的编制与审批：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3. 单价合同的总价项目支付分解表的编制与审批：总价项目不采用支付分解表的方式计算，而按《建设工程工程量清单计价规范（GB50500-2013）广西壮族自治区实施细则》的规定执行。</w:t>
      </w:r>
    </w:p>
    <w:bookmarkEnd w:id="715"/>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979" w:name="_Toc30062003"/>
      <w:bookmarkStart w:id="980" w:name="_Toc469010957"/>
      <w:bookmarkStart w:id="981" w:name="_Toc351203645"/>
      <w:bookmarkStart w:id="982" w:name="_Toc373227753"/>
      <w:bookmarkStart w:id="983" w:name="_Toc3882811"/>
      <w:bookmarkStart w:id="984" w:name="_Toc373478400"/>
      <w:bookmarkStart w:id="985" w:name="_Toc389065318"/>
      <w:bookmarkStart w:id="986" w:name="_Toc296891259"/>
      <w:bookmarkStart w:id="987" w:name="_Toc296346720"/>
      <w:bookmarkStart w:id="988" w:name="_Toc292559424"/>
      <w:bookmarkStart w:id="989" w:name="_Toc304295593"/>
      <w:bookmarkStart w:id="990" w:name="_Toc296503219"/>
      <w:bookmarkStart w:id="991" w:name="_Toc312678053"/>
      <w:bookmarkStart w:id="992" w:name="_Toc296891047"/>
      <w:bookmarkStart w:id="993" w:name="_Toc300935015"/>
      <w:bookmarkStart w:id="994" w:name="_Toc297120519"/>
      <w:bookmarkStart w:id="995" w:name="_Toc292559929"/>
      <w:bookmarkStart w:id="996" w:name="_Toc296347218"/>
      <w:bookmarkStart w:id="997" w:name="_Toc297216223"/>
      <w:bookmarkStart w:id="998" w:name="_Toc297123564"/>
      <w:bookmarkStart w:id="999" w:name="_Toc296944558"/>
      <w:bookmarkStart w:id="1000" w:name="_Toc303539172"/>
      <w:bookmarkStart w:id="1001" w:name="_Toc297048405"/>
      <w:r>
        <w:rPr>
          <w:rFonts w:hint="eastAsia" w:ascii="宋体" w:hAnsi="宋体" w:eastAsia="宋体" w:cs="宋体"/>
          <w:b/>
          <w:sz w:val="21"/>
          <w:szCs w:val="21"/>
        </w:rPr>
        <w:t>13. 验收和工程试车</w:t>
      </w:r>
      <w:bookmarkEnd w:id="979"/>
      <w:bookmarkEnd w:id="980"/>
      <w:bookmarkEnd w:id="981"/>
      <w:bookmarkEnd w:id="982"/>
      <w:bookmarkEnd w:id="983"/>
      <w:bookmarkEnd w:id="984"/>
      <w:bookmarkEnd w:id="985"/>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02" w:name="_Toc3882812"/>
      <w:bookmarkStart w:id="1003" w:name="_Toc373227754"/>
      <w:bookmarkStart w:id="1004" w:name="_Toc373478401"/>
      <w:bookmarkStart w:id="1005" w:name="_Toc469010958"/>
      <w:bookmarkStart w:id="1006" w:name="_Toc5635"/>
      <w:bookmarkStart w:id="1007" w:name="_Toc30062004"/>
      <w:bookmarkStart w:id="1008" w:name="_Toc389065319"/>
      <w:r>
        <w:rPr>
          <w:rFonts w:hint="eastAsia" w:ascii="宋体" w:hAnsi="宋体" w:eastAsia="宋体" w:cs="宋体"/>
          <w:b/>
          <w:kern w:val="0"/>
          <w:sz w:val="21"/>
          <w:szCs w:val="21"/>
        </w:rPr>
        <w:t>13.1 分部分项工程验收</w:t>
      </w:r>
      <w:bookmarkEnd w:id="1002"/>
      <w:bookmarkEnd w:id="1003"/>
      <w:bookmarkEnd w:id="1004"/>
      <w:bookmarkEnd w:id="1005"/>
      <w:bookmarkEnd w:id="1006"/>
      <w:bookmarkEnd w:id="1007"/>
      <w:bookmarkEnd w:id="1008"/>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09" w:name="_Toc3882813"/>
      <w:bookmarkStart w:id="1010" w:name="_Toc373478402"/>
      <w:bookmarkStart w:id="1011" w:name="_Toc14645"/>
      <w:bookmarkStart w:id="1012" w:name="_Toc469010959"/>
      <w:bookmarkStart w:id="1013" w:name="_Toc373227755"/>
      <w:bookmarkStart w:id="1014" w:name="_Toc389065320"/>
      <w:bookmarkStart w:id="1015" w:name="_Toc30062005"/>
      <w:bookmarkStart w:id="1016" w:name="_Toc297123565"/>
      <w:bookmarkStart w:id="1017" w:name="_Toc296944562"/>
      <w:bookmarkStart w:id="1018" w:name="_Toc300935016"/>
      <w:bookmarkStart w:id="1019" w:name="_Toc296503223"/>
      <w:bookmarkStart w:id="1020" w:name="_Toc296891051"/>
      <w:bookmarkStart w:id="1021" w:name="_Toc296346724"/>
      <w:bookmarkStart w:id="1022" w:name="_Toc312678056"/>
      <w:bookmarkStart w:id="1023" w:name="_Toc297216224"/>
      <w:bookmarkStart w:id="1024" w:name="_Toc292559933"/>
      <w:bookmarkStart w:id="1025" w:name="_Toc296891263"/>
      <w:bookmarkStart w:id="1026" w:name="_Toc296347222"/>
      <w:bookmarkStart w:id="1027" w:name="_Toc297120523"/>
      <w:bookmarkStart w:id="1028" w:name="_Toc297048409"/>
      <w:bookmarkStart w:id="1029" w:name="_Toc292559428"/>
      <w:bookmarkStart w:id="1030" w:name="_Toc304295596"/>
      <w:bookmarkStart w:id="1031" w:name="_Toc303539173"/>
      <w:bookmarkStart w:id="1032" w:name="_Toc267251472"/>
      <w:bookmarkStart w:id="1033" w:name="_Toc267251476"/>
      <w:bookmarkStart w:id="1034" w:name="_Toc267251471"/>
      <w:bookmarkStart w:id="1035" w:name="_Toc267251475"/>
      <w:bookmarkStart w:id="1036" w:name="_Toc267251470"/>
      <w:bookmarkStart w:id="1037" w:name="_Toc267251473"/>
      <w:bookmarkStart w:id="1038" w:name="_Toc267251474"/>
      <w:r>
        <w:rPr>
          <w:rFonts w:hint="eastAsia" w:ascii="宋体" w:hAnsi="宋体" w:eastAsia="宋体" w:cs="宋体"/>
          <w:b/>
          <w:kern w:val="0"/>
          <w:sz w:val="21"/>
          <w:szCs w:val="21"/>
        </w:rPr>
        <w:t>13.2 竣工验收</w:t>
      </w:r>
      <w:bookmarkEnd w:id="1009"/>
      <w:bookmarkEnd w:id="1010"/>
      <w:bookmarkEnd w:id="1011"/>
      <w:bookmarkEnd w:id="1012"/>
      <w:bookmarkEnd w:id="1013"/>
      <w:bookmarkEnd w:id="1014"/>
      <w:bookmarkEnd w:id="1015"/>
    </w:p>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bookmarkStart w:id="1039" w:name="_Toc280868704"/>
      <w:bookmarkStart w:id="1040" w:name="_Toc280868705"/>
      <w:bookmarkStart w:id="1041" w:name="_Toc280868706"/>
      <w:bookmarkStart w:id="1042" w:name="_Toc280868707"/>
      <w:bookmarkStart w:id="1043" w:name="_Toc280868708"/>
      <w:bookmarkStart w:id="1044" w:name="_Toc280868709"/>
      <w:r>
        <w:rPr>
          <w:rFonts w:hint="eastAsia" w:ascii="宋体" w:hAnsi="宋体" w:eastAsia="宋体" w:cs="宋体"/>
          <w:sz w:val="21"/>
          <w:szCs w:val="21"/>
        </w:rPr>
        <w:t>13.2.1竣工验收条件</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1"/>
          <w:szCs w:val="21"/>
          <w:u w:val="single"/>
        </w:rPr>
        <w:t>按工程所在地建设行政主管部门（或）城市建设档案管理机构有关施工资料的要求</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竣工验收资料的份数：</w:t>
      </w:r>
      <w:r>
        <w:rPr>
          <w:rFonts w:hint="eastAsia" w:ascii="宋体" w:hAnsi="宋体" w:eastAsia="宋体" w:cs="宋体"/>
          <w:sz w:val="21"/>
          <w:szCs w:val="21"/>
          <w:u w:val="single"/>
        </w:rPr>
        <w:t>承包人应在竣工后30天内按照建设行政主管部门及发包人的要求提供有关竣工资料，其套数除满足各政府部门存档案需要外还需另提供两套原件由发包人存档备用</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承包人提供竣工图的约定：</w:t>
      </w:r>
      <w:r>
        <w:rPr>
          <w:rFonts w:hint="eastAsia" w:ascii="宋体" w:hAnsi="宋体" w:eastAsia="宋体" w:cs="宋体"/>
          <w:bCs/>
          <w:sz w:val="21"/>
          <w:szCs w:val="21"/>
          <w:u w:val="single"/>
        </w:rPr>
        <w:t>竣工验收正式通过后5天（工程造价在500万元以下含500万元）、10天（工程造价在500万元至1000万元之间含1000万元）、15天（工程造价在1000万元以上），提供竣工图的数量分别为2套、4套、6套。</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13.2.2竣工验收程序</w:t>
      </w:r>
    </w:p>
    <w:bookmarkEnd w:id="1039"/>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按工程所在地建设行政主管部门的规定，经验收合格的工程，实际竣工日期为承包人按照提交竣工验收申请报告或按照本款重新提交竣工验收申请报告的日期（以两者中时间在后者为准）</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p>
    <w:bookmarkEnd w:id="1040"/>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13.2.5移交、接收全部与部分工程</w:t>
      </w:r>
    </w:p>
    <w:bookmarkEnd w:id="1041"/>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竣工验收合格之日起14天内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End w:id="1042"/>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Start w:id="1045" w:name="_Toc24393"/>
      <w:bookmarkStart w:id="1046" w:name="_Toc3882814"/>
      <w:bookmarkStart w:id="1047" w:name="_Toc373227756"/>
      <w:bookmarkStart w:id="1048" w:name="_Toc389065321"/>
      <w:bookmarkStart w:id="1049" w:name="_Toc469010960"/>
      <w:bookmarkStart w:id="1050" w:name="_Toc373478403"/>
      <w:bookmarkStart w:id="1051" w:name="_Toc30062006"/>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r>
        <w:rPr>
          <w:rFonts w:hint="eastAsia" w:ascii="宋体" w:hAnsi="宋体" w:eastAsia="宋体" w:cs="宋体"/>
          <w:b/>
          <w:kern w:val="0"/>
          <w:sz w:val="21"/>
          <w:szCs w:val="21"/>
        </w:rPr>
        <w:t>13.3 工程试车</w:t>
      </w:r>
      <w:bookmarkEnd w:id="1045"/>
      <w:bookmarkEnd w:id="1046"/>
      <w:bookmarkEnd w:id="1047"/>
      <w:bookmarkEnd w:id="1048"/>
      <w:bookmarkEnd w:id="1049"/>
      <w:bookmarkEnd w:id="1050"/>
      <w:bookmarkEnd w:id="1051"/>
    </w:p>
    <w:bookmarkEnd w:id="1043"/>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kern w:val="0"/>
          <w:sz w:val="21"/>
          <w:szCs w:val="21"/>
        </w:rPr>
      </w:pPr>
      <w:bookmarkStart w:id="1052" w:name="_Toc3882815"/>
      <w:bookmarkStart w:id="1053" w:name="_Toc30062007"/>
      <w:r>
        <w:rPr>
          <w:rFonts w:hint="eastAsia" w:ascii="宋体" w:hAnsi="宋体" w:eastAsia="宋体" w:cs="宋体"/>
          <w:kern w:val="0"/>
          <w:sz w:val="21"/>
          <w:szCs w:val="21"/>
        </w:rPr>
        <w:t>13.3.1 试车程序</w:t>
      </w:r>
      <w:bookmarkEnd w:id="1052"/>
      <w:bookmarkEnd w:id="1053"/>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工程试车内容：</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（1）工程设备安装具备单机无负荷试运行条件，由承包人组织试运行，费用由承包人承担。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（2）工程设备安装具备无负荷联动试运行条件，由发包人组织试运行，费用由发包人承担。</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（3）投料试运行应在工程竣工验收后由发包人负责，如发包人要求在工程竣工验收前进行或需要承包人配合时，应征得承包人同意，另行签订补充协议。</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54" w:name="_Toc373227757"/>
      <w:bookmarkStart w:id="1055" w:name="_Toc12737"/>
      <w:bookmarkStart w:id="1056" w:name="_Toc3882816"/>
      <w:bookmarkStart w:id="1057" w:name="_Toc469010961"/>
      <w:bookmarkStart w:id="1058" w:name="_Toc389065322"/>
      <w:bookmarkStart w:id="1059" w:name="_Toc373478404"/>
      <w:bookmarkStart w:id="1060" w:name="_Toc30062008"/>
      <w:r>
        <w:rPr>
          <w:rFonts w:hint="eastAsia" w:ascii="宋体" w:hAnsi="宋体" w:eastAsia="宋体" w:cs="宋体"/>
          <w:b/>
          <w:kern w:val="0"/>
          <w:sz w:val="21"/>
          <w:szCs w:val="21"/>
        </w:rPr>
        <w:t>13.6 竣工退场</w:t>
      </w:r>
      <w:bookmarkEnd w:id="1054"/>
      <w:bookmarkEnd w:id="1055"/>
      <w:bookmarkEnd w:id="1056"/>
      <w:bookmarkEnd w:id="1057"/>
      <w:bookmarkEnd w:id="1058"/>
      <w:bookmarkEnd w:id="1059"/>
      <w:bookmarkEnd w:id="1060"/>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kern w:val="0"/>
          <w:sz w:val="21"/>
          <w:szCs w:val="21"/>
        </w:rPr>
      </w:pPr>
      <w:bookmarkStart w:id="1061" w:name="_Toc3882817"/>
      <w:bookmarkStart w:id="1062" w:name="_Toc30062009"/>
      <w:r>
        <w:rPr>
          <w:rFonts w:hint="eastAsia" w:ascii="宋体" w:hAnsi="宋体" w:eastAsia="宋体" w:cs="宋体"/>
          <w:kern w:val="0"/>
          <w:sz w:val="21"/>
          <w:szCs w:val="21"/>
        </w:rPr>
        <w:t>13.6.1 竣工退场</w:t>
      </w:r>
      <w:bookmarkEnd w:id="1061"/>
      <w:bookmarkEnd w:id="1062"/>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在竣工验收合格或合同解除之日起15天内，承包人应将除为安全需要以外的所有其它物资、机具、设备和设施，全部撤离现场</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063" w:name="_Toc3882818"/>
      <w:bookmarkStart w:id="1064" w:name="_Toc30062010"/>
      <w:bookmarkStart w:id="1065" w:name="_Toc389065323"/>
      <w:bookmarkStart w:id="1066" w:name="_Toc373478405"/>
      <w:bookmarkStart w:id="1067" w:name="_Toc373227758"/>
      <w:bookmarkStart w:id="1068" w:name="_Toc20781"/>
      <w:bookmarkStart w:id="1069" w:name="_Toc351203646"/>
      <w:bookmarkStart w:id="1070" w:name="_Toc469010962"/>
      <w:r>
        <w:rPr>
          <w:rFonts w:hint="eastAsia" w:ascii="宋体" w:hAnsi="宋体" w:eastAsia="宋体" w:cs="宋体"/>
          <w:b/>
          <w:sz w:val="21"/>
          <w:szCs w:val="21"/>
        </w:rPr>
        <w:t>14. 竣工结算</w:t>
      </w:r>
      <w:bookmarkEnd w:id="1063"/>
      <w:bookmarkEnd w:id="1064"/>
      <w:bookmarkEnd w:id="1065"/>
      <w:bookmarkEnd w:id="1066"/>
      <w:bookmarkEnd w:id="1067"/>
      <w:bookmarkEnd w:id="1068"/>
      <w:bookmarkEnd w:id="1069"/>
      <w:bookmarkEnd w:id="1070"/>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71" w:name="_Toc469010963"/>
      <w:bookmarkStart w:id="1072" w:name="_Toc30062011"/>
      <w:bookmarkStart w:id="1073" w:name="_Toc373478406"/>
      <w:bookmarkStart w:id="1074" w:name="_Toc3882819"/>
      <w:bookmarkStart w:id="1075" w:name="_Toc16290"/>
      <w:bookmarkStart w:id="1076" w:name="_Toc389065324"/>
      <w:bookmarkStart w:id="1077" w:name="_Toc373227759"/>
      <w:r>
        <w:rPr>
          <w:rFonts w:hint="eastAsia" w:ascii="宋体" w:hAnsi="宋体" w:eastAsia="宋体" w:cs="宋体"/>
          <w:b/>
          <w:kern w:val="0"/>
          <w:sz w:val="21"/>
          <w:szCs w:val="21"/>
        </w:rPr>
        <w:t>14.1 竣工付款申请</w:t>
      </w:r>
      <w:bookmarkEnd w:id="1071"/>
      <w:bookmarkEnd w:id="1072"/>
      <w:bookmarkEnd w:id="1073"/>
      <w:bookmarkEnd w:id="1074"/>
      <w:bookmarkEnd w:id="1075"/>
      <w:bookmarkEnd w:id="1076"/>
      <w:bookmarkEnd w:id="1077"/>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color w:val="FF0000"/>
          <w:sz w:val="21"/>
          <w:szCs w:val="21"/>
          <w:u w:val="single"/>
        </w:rPr>
      </w:pPr>
      <w:r>
        <w:rPr>
          <w:rFonts w:hint="eastAsia" w:ascii="宋体" w:hAnsi="宋体" w:eastAsia="宋体" w:cs="宋体"/>
          <w:sz w:val="21"/>
          <w:szCs w:val="21"/>
        </w:rPr>
        <w:t>承包人提交竣工付款申请单的期限：</w:t>
      </w:r>
      <w:r>
        <w:rPr>
          <w:rFonts w:hint="eastAsia" w:ascii="宋体" w:hAnsi="宋体" w:eastAsia="宋体" w:cs="宋体"/>
          <w:sz w:val="21"/>
          <w:szCs w:val="21"/>
          <w:u w:val="single"/>
        </w:rPr>
        <w:t>审计报告发出后14天内提交6份竣工付款申请单。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rPr>
        <w:t>竣工结算审计总价、已支付工程价款、应扣留质量保修金、应支付的竣工付款金额等</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78" w:name="_Toc3882820"/>
      <w:bookmarkStart w:id="1079" w:name="_Toc389065325"/>
      <w:bookmarkStart w:id="1080" w:name="_Toc6793"/>
      <w:bookmarkStart w:id="1081" w:name="_Toc30062012"/>
      <w:bookmarkStart w:id="1082" w:name="_Toc373478407"/>
      <w:bookmarkStart w:id="1083" w:name="_Toc373227760"/>
      <w:bookmarkStart w:id="1084" w:name="_Toc469010964"/>
      <w:r>
        <w:rPr>
          <w:rFonts w:hint="eastAsia" w:ascii="宋体" w:hAnsi="宋体" w:eastAsia="宋体" w:cs="宋体"/>
          <w:b/>
          <w:kern w:val="0"/>
          <w:sz w:val="21"/>
          <w:szCs w:val="21"/>
        </w:rPr>
        <w:t>14.2 竣工结算审核</w:t>
      </w:r>
      <w:bookmarkEnd w:id="1078"/>
      <w:bookmarkEnd w:id="1079"/>
      <w:bookmarkEnd w:id="1080"/>
      <w:bookmarkEnd w:id="1081"/>
      <w:bookmarkEnd w:id="1082"/>
      <w:bookmarkEnd w:id="1083"/>
      <w:bookmarkEnd w:id="1084"/>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发包人审批竣工付款申请单的期限：</w:t>
      </w:r>
    </w:p>
    <w:tbl>
      <w:tblPr>
        <w:tblStyle w:val="19"/>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0"/>
            <w:vAlign w:val="center"/>
          </w:tcPr>
          <w:p>
            <w:pPr>
              <w:pStyle w:val="54"/>
              <w:pageBreakBefore w:val="0"/>
              <w:widowControl w:val="0"/>
              <w:kinsoku/>
              <w:wordWrap/>
              <w:overflowPunct/>
              <w:topLinePunct w:val="0"/>
              <w:bidi w:val="0"/>
              <w:spacing w:line="260" w:lineRule="exact"/>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2466"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工程竣工结算报告金额</w:t>
            </w:r>
          </w:p>
        </w:tc>
        <w:tc>
          <w:tcPr>
            <w:tcW w:w="5967"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2466"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500万元以下</w:t>
            </w:r>
          </w:p>
        </w:tc>
        <w:tc>
          <w:tcPr>
            <w:tcW w:w="5967"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2466"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500万元-2000万元</w:t>
            </w:r>
          </w:p>
        </w:tc>
        <w:tc>
          <w:tcPr>
            <w:tcW w:w="5967"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2466"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2000万元-5000万元</w:t>
            </w:r>
          </w:p>
        </w:tc>
        <w:tc>
          <w:tcPr>
            <w:tcW w:w="5967"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2466"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5000万元以上</w:t>
            </w:r>
          </w:p>
        </w:tc>
        <w:tc>
          <w:tcPr>
            <w:tcW w:w="5967" w:type="dxa"/>
            <w:noWrap w:val="0"/>
            <w:vAlign w:val="center"/>
          </w:tcPr>
          <w:p>
            <w:pPr>
              <w:pStyle w:val="54"/>
              <w:pageBreakBefore w:val="0"/>
              <w:widowControl w:val="0"/>
              <w:kinsoku/>
              <w:wordWrap/>
              <w:overflowPunct/>
              <w:topLinePunct w:val="0"/>
              <w:bidi w:val="0"/>
              <w:spacing w:line="26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从接到竣工结算报告和完整的竣工结算资料之日起60天</w:t>
            </w:r>
          </w:p>
        </w:tc>
      </w:tr>
    </w:tbl>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bookmarkStart w:id="1085" w:name="_Toc389065326"/>
      <w:bookmarkStart w:id="1086" w:name="_Toc373478408"/>
      <w:bookmarkStart w:id="1087" w:name="_Toc469010965"/>
      <w:bookmarkStart w:id="1088" w:name="_Toc373227761"/>
      <w:r>
        <w:rPr>
          <w:rFonts w:hint="eastAsia" w:ascii="宋体" w:hAnsi="宋体" w:eastAsia="宋体" w:cs="宋体"/>
          <w:bCs/>
          <w:sz w:val="21"/>
          <w:szCs w:val="21"/>
        </w:rPr>
        <w:t>发包人不按时对账耽误时间时，审查时间应相应顺延</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缺陷责任期终止证书颁发后28天内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先由监理复核，报发包人审核，最后由有关部门审定</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1、在项目审计时，承包人送审总价与审定总价相比，工程造价审减或审增小于5%(含5%)，由发包人承担全部审计费用{含基本编制费和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shd w:val="clear" w:color="FFFFFF" w:fill="D9D9D9"/>
        </w:rPr>
      </w:pPr>
      <w:r>
        <w:rPr>
          <w:rFonts w:hint="eastAsia" w:ascii="宋体" w:hAnsi="宋体" w:eastAsia="宋体" w:cs="宋体"/>
          <w:sz w:val="21"/>
          <w:szCs w:val="21"/>
          <w:lang w:val="en-US" w:eastAsia="zh-CN"/>
        </w:rPr>
        <w:t>2、在项目审计时，承包人送审总价与审定总价相比，工程造价审减或审增大于5%(不含5%)，由承包人承担超出部分审计费用{含基本编制费和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089" w:name="_Toc3882821"/>
      <w:bookmarkStart w:id="1090" w:name="_Toc30062013"/>
      <w:bookmarkStart w:id="1091" w:name="_Toc12718"/>
      <w:r>
        <w:rPr>
          <w:rFonts w:hint="eastAsia" w:ascii="宋体" w:hAnsi="宋体" w:eastAsia="宋体" w:cs="宋体"/>
          <w:b/>
          <w:kern w:val="0"/>
          <w:sz w:val="21"/>
          <w:szCs w:val="21"/>
        </w:rPr>
        <w:t>14.4 最终结清</w:t>
      </w:r>
      <w:bookmarkEnd w:id="1085"/>
      <w:bookmarkEnd w:id="1086"/>
      <w:bookmarkEnd w:id="1087"/>
      <w:bookmarkEnd w:id="1088"/>
      <w:bookmarkEnd w:id="1089"/>
      <w:bookmarkEnd w:id="1090"/>
      <w:bookmarkEnd w:id="1091"/>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14.4.1 最终结清申请单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10份</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缺陷责任期终止证书颁发后7天内</w:t>
      </w:r>
      <w:r>
        <w:rPr>
          <w:rFonts w:hint="eastAsia" w:ascii="宋体" w:hAnsi="宋体" w:eastAsia="宋体" w:cs="宋体"/>
          <w:sz w:val="21"/>
          <w:szCs w:val="21"/>
        </w:rPr>
        <w:t xml:space="preserve">。 </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sz w:val="21"/>
          <w:szCs w:val="21"/>
        </w:rPr>
      </w:pPr>
      <w:bookmarkStart w:id="1092" w:name="_Toc30062014"/>
      <w:bookmarkStart w:id="1093" w:name="_Toc3882822"/>
      <w:r>
        <w:rPr>
          <w:rFonts w:hint="eastAsia" w:ascii="宋体" w:hAnsi="宋体" w:eastAsia="宋体" w:cs="宋体"/>
          <w:sz w:val="21"/>
          <w:szCs w:val="21"/>
        </w:rPr>
        <w:t>14.4.2 最终结清证书和支付</w:t>
      </w:r>
      <w:bookmarkEnd w:id="1092"/>
      <w:bookmarkEnd w:id="1093"/>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收到最终结清申请单30天内</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审批后30天内</w:t>
      </w:r>
      <w:r>
        <w:rPr>
          <w:rFonts w:hint="eastAsia" w:ascii="宋体" w:hAnsi="宋体" w:eastAsia="宋体" w:cs="宋体"/>
          <w:sz w:val="21"/>
          <w:szCs w:val="21"/>
        </w:rPr>
        <w:t>。</w:t>
      </w:r>
    </w:p>
    <w:bookmarkEnd w:id="1032"/>
    <w:bookmarkEnd w:id="1033"/>
    <w:bookmarkEnd w:id="1034"/>
    <w:bookmarkEnd w:id="1035"/>
    <w:bookmarkEnd w:id="1036"/>
    <w:bookmarkEnd w:id="1037"/>
    <w:bookmarkEnd w:id="1038"/>
    <w:bookmarkEnd w:id="1044"/>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094" w:name="_Toc469010966"/>
      <w:bookmarkStart w:id="1095" w:name="_Toc30062015"/>
      <w:bookmarkStart w:id="1096" w:name="_Toc373478409"/>
      <w:bookmarkStart w:id="1097" w:name="_Toc389065327"/>
      <w:bookmarkStart w:id="1098" w:name="_Toc3882823"/>
      <w:bookmarkStart w:id="1099" w:name="_Toc373227762"/>
      <w:bookmarkStart w:id="1100" w:name="_Toc25758"/>
      <w:bookmarkStart w:id="1101" w:name="_Toc351203647"/>
      <w:bookmarkStart w:id="1102" w:name="_Toc267251483"/>
      <w:bookmarkStart w:id="1103" w:name="_Toc267251482"/>
      <w:bookmarkStart w:id="1104" w:name="_Toc267251484"/>
      <w:bookmarkStart w:id="1105" w:name="_Toc267251485"/>
      <w:bookmarkStart w:id="1106" w:name="_Toc267251488"/>
      <w:bookmarkStart w:id="1107" w:name="_Toc267251490"/>
      <w:bookmarkStart w:id="1108" w:name="_Toc267251486"/>
      <w:bookmarkStart w:id="1109" w:name="_Toc267251489"/>
      <w:bookmarkStart w:id="1110" w:name="_Toc267251491"/>
      <w:bookmarkStart w:id="1111" w:name="_Toc267251502"/>
      <w:bookmarkStart w:id="1112" w:name="_Toc267251492"/>
      <w:bookmarkStart w:id="1113" w:name="_Toc267251497"/>
      <w:bookmarkStart w:id="1114" w:name="_Toc267251503"/>
      <w:bookmarkStart w:id="1115" w:name="_Toc267251498"/>
      <w:bookmarkStart w:id="1116" w:name="_Toc267251496"/>
      <w:bookmarkStart w:id="1117" w:name="_Toc267251493"/>
      <w:bookmarkStart w:id="1118" w:name="_Toc267251494"/>
      <w:bookmarkStart w:id="1119" w:name="_Toc267251499"/>
      <w:bookmarkStart w:id="1120" w:name="_Toc267251501"/>
      <w:bookmarkStart w:id="1121" w:name="_Toc267251495"/>
      <w:bookmarkStart w:id="1122" w:name="_Toc267251507"/>
      <w:bookmarkStart w:id="1123" w:name="_Toc267251506"/>
      <w:bookmarkStart w:id="1124" w:name="_Toc267251504"/>
      <w:bookmarkStart w:id="1125" w:name="_Toc267251508"/>
      <w:bookmarkStart w:id="1126" w:name="_Toc267251513"/>
      <w:bookmarkStart w:id="1127" w:name="_Toc267251510"/>
      <w:bookmarkStart w:id="1128" w:name="_Toc267251515"/>
      <w:bookmarkStart w:id="1129" w:name="_Toc267251514"/>
      <w:bookmarkStart w:id="1130" w:name="_Toc267251511"/>
      <w:bookmarkStart w:id="1131" w:name="_Toc267251509"/>
      <w:r>
        <w:rPr>
          <w:rFonts w:hint="eastAsia" w:ascii="宋体" w:hAnsi="宋体" w:eastAsia="宋体" w:cs="宋体"/>
          <w:b/>
          <w:sz w:val="21"/>
          <w:szCs w:val="21"/>
        </w:rPr>
        <w:t>15. 缺陷责任期与保修</w:t>
      </w:r>
      <w:bookmarkEnd w:id="1094"/>
      <w:bookmarkEnd w:id="1095"/>
      <w:bookmarkEnd w:id="1096"/>
      <w:bookmarkEnd w:id="1097"/>
      <w:bookmarkEnd w:id="1098"/>
      <w:bookmarkEnd w:id="1099"/>
      <w:bookmarkEnd w:id="1100"/>
      <w:bookmarkEnd w:id="1101"/>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32" w:name="_Toc21221"/>
      <w:bookmarkStart w:id="1133" w:name="_Toc3882824"/>
      <w:bookmarkStart w:id="1134" w:name="_Toc373478410"/>
      <w:bookmarkStart w:id="1135" w:name="_Toc469010967"/>
      <w:bookmarkStart w:id="1136" w:name="_Toc389065328"/>
      <w:bookmarkStart w:id="1137" w:name="_Toc373227763"/>
      <w:bookmarkStart w:id="1138" w:name="_Toc30062016"/>
      <w:r>
        <w:rPr>
          <w:rFonts w:hint="eastAsia" w:ascii="宋体" w:hAnsi="宋体" w:eastAsia="宋体" w:cs="宋体"/>
          <w:b/>
          <w:kern w:val="0"/>
          <w:sz w:val="21"/>
          <w:szCs w:val="21"/>
        </w:rPr>
        <w:t>15.2 缺陷责任期</w:t>
      </w:r>
      <w:bookmarkEnd w:id="1102"/>
      <w:bookmarkEnd w:id="1132"/>
      <w:bookmarkEnd w:id="1133"/>
      <w:bookmarkEnd w:id="1134"/>
      <w:bookmarkEnd w:id="1135"/>
      <w:bookmarkEnd w:id="1136"/>
      <w:bookmarkEnd w:id="1137"/>
      <w:bookmarkEnd w:id="1138"/>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工程缺陷责任期为24个月，缺陷责任期自工程竣工验收合格之日起计算。单位工程先于全部工程进行验收，单位工程缺陷责任期自单位工程验收合格之日起算</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39" w:name="_Toc469010968"/>
      <w:bookmarkStart w:id="1140" w:name="_Toc373227764"/>
      <w:bookmarkStart w:id="1141" w:name="_Toc3882825"/>
      <w:bookmarkStart w:id="1142" w:name="_Toc30062017"/>
      <w:bookmarkStart w:id="1143" w:name="_Toc25151"/>
      <w:bookmarkStart w:id="1144" w:name="_Toc389065329"/>
      <w:bookmarkStart w:id="1145" w:name="_Toc373478411"/>
      <w:r>
        <w:rPr>
          <w:rFonts w:hint="eastAsia" w:ascii="宋体" w:hAnsi="宋体" w:eastAsia="宋体" w:cs="宋体"/>
          <w:b/>
          <w:kern w:val="0"/>
          <w:sz w:val="21"/>
          <w:szCs w:val="21"/>
        </w:rPr>
        <w:t>15.3 质量保证金</w:t>
      </w:r>
      <w:bookmarkEnd w:id="1139"/>
      <w:bookmarkEnd w:id="1140"/>
      <w:bookmarkEnd w:id="1141"/>
      <w:bookmarkEnd w:id="1142"/>
      <w:bookmarkEnd w:id="1143"/>
      <w:bookmarkEnd w:id="1144"/>
      <w:bookmarkEnd w:id="1145"/>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保修金金额为工程结算价的3%，保修金金额的暂扣方式：由发包人在工程结算款里扣除</w:t>
      </w:r>
      <w:r>
        <w:rPr>
          <w:rFonts w:hint="eastAsia" w:ascii="宋体" w:hAnsi="宋体" w:eastAsia="宋体" w:cs="宋体"/>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15.3.1 承包人提供质量保证金的方式</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（1）质量保证金保函，保证金额为：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bCs/>
          <w:sz w:val="21"/>
          <w:szCs w:val="21"/>
        </w:rPr>
        <w:t>发包人按工程价款结算总额的</w:t>
      </w:r>
      <w:r>
        <w:rPr>
          <w:rFonts w:hint="eastAsia" w:ascii="宋体" w:hAnsi="宋体" w:eastAsia="宋体" w:cs="宋体"/>
          <w:bCs/>
          <w:sz w:val="21"/>
          <w:szCs w:val="21"/>
          <w:u w:val="single"/>
        </w:rPr>
        <w:t xml:space="preserve">3 </w:t>
      </w:r>
      <w:r>
        <w:rPr>
          <w:rFonts w:hint="eastAsia" w:ascii="宋体" w:hAnsi="宋体" w:eastAsia="宋体" w:cs="宋体"/>
          <w:bCs/>
          <w:sz w:val="21"/>
          <w:szCs w:val="21"/>
        </w:rPr>
        <w:t>%预留工程质量保修金，待缺陷责任期满后申请核退</w:t>
      </w:r>
      <w:r>
        <w:rPr>
          <w:rFonts w:hint="eastAsia" w:ascii="宋体" w:hAnsi="宋体" w:eastAsia="宋体" w:cs="宋体"/>
          <w:kern w:val="0"/>
          <w:sz w:val="21"/>
          <w:szCs w:val="21"/>
        </w:rPr>
        <w:t>；</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（3）其他方式：</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sz w:val="21"/>
          <w:szCs w:val="21"/>
        </w:rPr>
      </w:pPr>
      <w:bookmarkStart w:id="1146" w:name="_Toc30062018"/>
      <w:bookmarkStart w:id="1147" w:name="_Toc3882826"/>
      <w:r>
        <w:rPr>
          <w:rFonts w:hint="eastAsia" w:ascii="宋体" w:hAnsi="宋体" w:eastAsia="宋体" w:cs="宋体"/>
          <w:sz w:val="21"/>
          <w:szCs w:val="21"/>
        </w:rPr>
        <w:t>15.3.2 质量保证金的扣留</w:t>
      </w:r>
      <w:bookmarkEnd w:id="1146"/>
      <w:bookmarkEnd w:id="1147"/>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（1）在支付工程进度款时逐次扣留，在此情形下，质量保证金的计算基数不包括预付款的支付、扣回以及价格调整的金额；</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（2）工程竣工结算时一次性扣留质量保证金；</w:t>
      </w:r>
    </w:p>
    <w:p>
      <w:pPr>
        <w:pStyle w:val="54"/>
        <w:pageBreakBefore w:val="0"/>
        <w:widowControl w:val="0"/>
        <w:kinsoku/>
        <w:wordWrap/>
        <w:overflowPunct/>
        <w:topLinePunct w:val="0"/>
        <w:autoSpaceDE w:val="0"/>
        <w:autoSpaceDN w:val="0"/>
        <w:bidi w:val="0"/>
        <w:adjustRightInd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（3）其他扣留方式:</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发包人在竣工验收合格之日起二年（</w:t>
      </w:r>
      <w:r>
        <w:rPr>
          <w:rFonts w:hint="eastAsia" w:ascii="宋体" w:hAnsi="宋体" w:eastAsia="宋体" w:cs="宋体"/>
          <w:bCs/>
          <w:sz w:val="21"/>
          <w:szCs w:val="21"/>
          <w:u w:val="single"/>
        </w:rPr>
        <w:t>缺陷责任</w:t>
      </w:r>
      <w:r>
        <w:rPr>
          <w:rFonts w:hint="eastAsia" w:ascii="宋体" w:hAnsi="宋体" w:eastAsia="宋体" w:cs="宋体"/>
          <w:sz w:val="21"/>
          <w:szCs w:val="21"/>
          <w:u w:val="single"/>
        </w:rPr>
        <w:t>期满）后14天内一次性返还承包人（无息）。质量保修金的返还，并不能免除承包人按照合同约定应承担的质量保修责任和应履行的质量保修义务</w:t>
      </w:r>
      <w:r>
        <w:rPr>
          <w:rFonts w:hint="eastAsia" w:ascii="宋体" w:hAnsi="宋体" w:eastAsia="宋体" w:cs="宋体"/>
          <w:sz w:val="21"/>
          <w:szCs w:val="21"/>
        </w:rPr>
        <w:t>。</w:t>
      </w:r>
    </w:p>
    <w:bookmarkEnd w:id="1103"/>
    <w:bookmarkEnd w:id="1104"/>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48" w:name="_Toc3882827"/>
      <w:bookmarkStart w:id="1149" w:name="_Toc373478412"/>
      <w:bookmarkStart w:id="1150" w:name="_Toc373227765"/>
      <w:bookmarkStart w:id="1151" w:name="_Toc469010969"/>
      <w:bookmarkStart w:id="1152" w:name="_Toc5967"/>
      <w:bookmarkStart w:id="1153" w:name="_Toc389065330"/>
      <w:bookmarkStart w:id="1154" w:name="_Toc30062019"/>
      <w:r>
        <w:rPr>
          <w:rFonts w:hint="eastAsia" w:ascii="宋体" w:hAnsi="宋体" w:eastAsia="宋体" w:cs="宋体"/>
          <w:b/>
          <w:kern w:val="0"/>
          <w:sz w:val="21"/>
          <w:szCs w:val="21"/>
        </w:rPr>
        <w:t>15.4 保修</w:t>
      </w:r>
      <w:bookmarkEnd w:id="1148"/>
      <w:bookmarkEnd w:id="1149"/>
      <w:bookmarkEnd w:id="1150"/>
      <w:bookmarkEnd w:id="1151"/>
      <w:bookmarkEnd w:id="1152"/>
      <w:bookmarkEnd w:id="1153"/>
      <w:bookmarkEnd w:id="1154"/>
    </w:p>
    <w:bookmarkEnd w:id="1105"/>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15.4.1 保修责任</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按国家有关规定</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sz w:val="21"/>
          <w:szCs w:val="21"/>
        </w:rPr>
        <w:t>工程保修书具体内容见合同附件8。</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sz w:val="21"/>
          <w:szCs w:val="21"/>
        </w:rPr>
      </w:pPr>
      <w:bookmarkStart w:id="1155" w:name="_Toc30062020"/>
      <w:bookmarkStart w:id="1156" w:name="_Toc3882828"/>
      <w:r>
        <w:rPr>
          <w:rFonts w:hint="eastAsia" w:ascii="宋体" w:hAnsi="宋体" w:eastAsia="宋体" w:cs="宋体"/>
          <w:sz w:val="21"/>
          <w:szCs w:val="21"/>
        </w:rPr>
        <w:t>15.4.3 修复通知</w:t>
      </w:r>
      <w:bookmarkEnd w:id="1155"/>
      <w:bookmarkEnd w:id="1156"/>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48小时内</w:t>
      </w:r>
      <w:r>
        <w:rPr>
          <w:rFonts w:hint="eastAsia" w:ascii="宋体" w:hAnsi="宋体" w:eastAsia="宋体" w:cs="宋体"/>
          <w:kern w:val="0"/>
          <w:sz w:val="21"/>
          <w:szCs w:val="21"/>
        </w:rPr>
        <w:t>。</w:t>
      </w:r>
    </w:p>
    <w:bookmarkEnd w:id="1106"/>
    <w:bookmarkEnd w:id="1107"/>
    <w:bookmarkEnd w:id="1108"/>
    <w:bookmarkEnd w:id="1109"/>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157" w:name="_Toc30062021"/>
      <w:bookmarkStart w:id="1158" w:name="_Toc351203648"/>
      <w:bookmarkStart w:id="1159" w:name="_Toc469010970"/>
      <w:bookmarkStart w:id="1160" w:name="_Toc373227766"/>
      <w:bookmarkStart w:id="1161" w:name="_Toc389065331"/>
      <w:bookmarkStart w:id="1162" w:name="_Toc14772"/>
      <w:bookmarkStart w:id="1163" w:name="_Toc373478413"/>
      <w:bookmarkStart w:id="1164" w:name="_Toc3882829"/>
      <w:bookmarkStart w:id="1165" w:name="_Toc280868717"/>
      <w:bookmarkStart w:id="1166" w:name="_Toc280868718"/>
      <w:r>
        <w:rPr>
          <w:rFonts w:hint="eastAsia" w:ascii="宋体" w:hAnsi="宋体" w:eastAsia="宋体" w:cs="宋体"/>
          <w:b/>
          <w:sz w:val="21"/>
          <w:szCs w:val="21"/>
        </w:rPr>
        <w:t>16. 违约</w:t>
      </w:r>
      <w:bookmarkEnd w:id="1157"/>
      <w:bookmarkEnd w:id="1158"/>
      <w:bookmarkEnd w:id="1159"/>
      <w:bookmarkEnd w:id="1160"/>
      <w:bookmarkEnd w:id="1161"/>
      <w:bookmarkEnd w:id="1162"/>
      <w:bookmarkEnd w:id="1163"/>
      <w:bookmarkEnd w:id="1164"/>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67" w:name="_Toc373478414"/>
      <w:bookmarkStart w:id="1168" w:name="_Toc3316"/>
      <w:bookmarkStart w:id="1169" w:name="_Toc469010971"/>
      <w:bookmarkStart w:id="1170" w:name="_Toc373227767"/>
      <w:bookmarkStart w:id="1171" w:name="_Toc389065332"/>
      <w:bookmarkStart w:id="1172" w:name="_Toc3882830"/>
      <w:bookmarkStart w:id="1173" w:name="_Toc30062022"/>
      <w:r>
        <w:rPr>
          <w:rFonts w:hint="eastAsia" w:ascii="宋体" w:hAnsi="宋体" w:eastAsia="宋体" w:cs="宋体"/>
          <w:b/>
          <w:kern w:val="0"/>
          <w:sz w:val="21"/>
          <w:szCs w:val="21"/>
        </w:rPr>
        <w:t>16.1 发包人违约</w:t>
      </w:r>
      <w:bookmarkEnd w:id="1167"/>
      <w:bookmarkEnd w:id="1168"/>
      <w:bookmarkEnd w:id="1169"/>
      <w:bookmarkEnd w:id="1170"/>
      <w:bookmarkEnd w:id="1171"/>
      <w:bookmarkEnd w:id="1172"/>
      <w:bookmarkEnd w:id="1173"/>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16.1.1发包人违约的情形</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kern w:val="0"/>
          <w:sz w:val="21"/>
          <w:szCs w:val="21"/>
        </w:rPr>
      </w:pPr>
      <w:bookmarkStart w:id="1174" w:name="_Toc30062023"/>
      <w:bookmarkStart w:id="1175" w:name="_Toc3882831"/>
      <w:r>
        <w:rPr>
          <w:rFonts w:hint="eastAsia" w:ascii="宋体" w:hAnsi="宋体" w:eastAsia="宋体" w:cs="宋体"/>
          <w:kern w:val="0"/>
          <w:sz w:val="21"/>
          <w:szCs w:val="21"/>
        </w:rPr>
        <w:t>16.1.2 发包人违约的责任</w:t>
      </w:r>
      <w:bookmarkEnd w:id="1174"/>
      <w:bookmarkEnd w:id="1175"/>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kern w:val="0"/>
          <w:sz w:val="21"/>
          <w:szCs w:val="21"/>
          <w:u w:val="single"/>
        </w:rPr>
        <w:t>按银行同期基准利率赔偿</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76" w:name="_Toc9819"/>
      <w:bookmarkStart w:id="1177" w:name="_Toc469010972"/>
      <w:bookmarkStart w:id="1178" w:name="_Toc389065333"/>
      <w:bookmarkStart w:id="1179" w:name="_Toc373227768"/>
      <w:bookmarkStart w:id="1180" w:name="_Toc373478415"/>
      <w:bookmarkStart w:id="1181" w:name="_Toc30062024"/>
      <w:bookmarkStart w:id="1182" w:name="_Toc3882832"/>
      <w:r>
        <w:rPr>
          <w:rFonts w:hint="eastAsia" w:ascii="宋体" w:hAnsi="宋体" w:eastAsia="宋体" w:cs="宋体"/>
          <w:b/>
          <w:kern w:val="0"/>
          <w:sz w:val="21"/>
          <w:szCs w:val="21"/>
        </w:rPr>
        <w:t>16.2 承包人违约</w:t>
      </w:r>
      <w:bookmarkEnd w:id="1176"/>
      <w:bookmarkEnd w:id="1177"/>
      <w:bookmarkEnd w:id="1178"/>
      <w:bookmarkEnd w:id="1179"/>
      <w:bookmarkEnd w:id="1180"/>
      <w:bookmarkEnd w:id="1181"/>
      <w:bookmarkEnd w:id="1182"/>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kern w:val="0"/>
          <w:sz w:val="21"/>
          <w:szCs w:val="21"/>
        </w:rPr>
      </w:pPr>
      <w:bookmarkStart w:id="1183" w:name="_Toc30062025"/>
      <w:bookmarkStart w:id="1184" w:name="_Toc3882833"/>
      <w:r>
        <w:rPr>
          <w:rFonts w:hint="eastAsia" w:ascii="宋体" w:hAnsi="宋体" w:eastAsia="宋体" w:cs="宋体"/>
          <w:kern w:val="0"/>
          <w:sz w:val="21"/>
          <w:szCs w:val="21"/>
        </w:rPr>
        <w:t>16.2.1 承包人违约的情形</w:t>
      </w:r>
      <w:bookmarkEnd w:id="1183"/>
      <w:bookmarkEnd w:id="1184"/>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kern w:val="0"/>
          <w:sz w:val="21"/>
          <w:szCs w:val="21"/>
        </w:rPr>
      </w:pPr>
      <w:bookmarkStart w:id="1185" w:name="_Toc30062026"/>
      <w:bookmarkStart w:id="1186" w:name="_Toc3882834"/>
      <w:r>
        <w:rPr>
          <w:rFonts w:hint="eastAsia" w:ascii="宋体" w:hAnsi="宋体" w:eastAsia="宋体" w:cs="宋体"/>
          <w:kern w:val="0"/>
          <w:sz w:val="21"/>
          <w:szCs w:val="21"/>
        </w:rPr>
        <w:t>16.2.2承包人违约的责任</w:t>
      </w:r>
      <w:bookmarkEnd w:id="1185"/>
      <w:bookmarkEnd w:id="1186"/>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（2）承包人有本合同通用条款第16.2.1（6）条情形的，或经监理人检验认为修复质量不合格而承包人拒绝再进行修补的，发包人将扣除承包人全部质量保修金。</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承包人应按国家有关劳动法规定按时支付农民工工资，并在施工现场张贴发放民工工资的告示三天。民工工资发放后，应提请监理单位及业主现场代表核实，然后提交《关于已支付民工工资的承诺书》给发包人，作为下期工程进度款支付的必备材料。按自治区住房城乡建设厅・人力资源社会保障厅《关于印发广西壮族自治区建筑工人实名制管理办法实施细则(试行)》的通知(桂建发(2019)9号)文件精神，将实施实名制管理所产生的费用列入安全文明施工费和管理费，每月按照工程进度将建筑工人工资按时足额支付至施工企业在银行开设的工资专用账户，对农民工工资保障金的使用做出承诺。如发包人发现承包人有拖欠民工工资的现象，发包人在承包人兑现民工工资前暂停支付工程进度款，发包人有权从承包人申请的工程进度款中直接支付拖欠的农民工工资。同时由于承包人不及时支付民工工资引起上访、纠纷等事件，给发包方造成不良影响或导致声誉受损或受到有关部门处罚的，造成经济损失由承包方承担。</w:t>
      </w:r>
    </w:p>
    <w:p>
      <w:pPr>
        <w:pStyle w:val="54"/>
        <w:pageBreakBefore w:val="0"/>
        <w:widowControl w:val="0"/>
        <w:kinsoku/>
        <w:wordWrap/>
        <w:overflowPunct/>
        <w:topLinePunct w:val="0"/>
        <w:bidi w:val="0"/>
        <w:spacing w:line="260" w:lineRule="exact"/>
        <w:ind w:firstLine="420" w:firstLineChars="200"/>
        <w:jc w:val="left"/>
        <w:textAlignment w:val="auto"/>
        <w:outlineLvl w:val="0"/>
        <w:rPr>
          <w:rFonts w:hint="eastAsia" w:ascii="宋体" w:hAnsi="宋体" w:eastAsia="宋体" w:cs="宋体"/>
          <w:sz w:val="21"/>
          <w:szCs w:val="21"/>
        </w:rPr>
      </w:pPr>
      <w:bookmarkStart w:id="1187" w:name="_Toc3882835"/>
      <w:bookmarkStart w:id="1188" w:name="_Toc30062027"/>
      <w:r>
        <w:rPr>
          <w:rFonts w:hint="eastAsia" w:ascii="宋体" w:hAnsi="宋体" w:eastAsia="宋体" w:cs="宋体"/>
          <w:sz w:val="21"/>
          <w:szCs w:val="21"/>
        </w:rPr>
        <w:t>16.2.3 因承包人违约解除合同</w:t>
      </w:r>
      <w:bookmarkEnd w:id="1187"/>
      <w:bookmarkEnd w:id="1188"/>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承包人有违反以下情况之一的，发包人有权解除合同，并没收其全部履约保证金</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(1)承包人无正当理由不按开工通知的要求及时进场组织施工和不按签订协议书时商定的进度计划有效地开展施工准备，造成工期延误的；</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(2)承包人违反本合同通用条款第3.5条规定私自将合同或合同的任何部分或任何权利转让给其他人，或私自将工程或工程的一部分分包出去的；</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(3)未经监理人批准，承包人私自将已按投标文件承诺进入工地的工程设备、施工设备、临时工程或材料撤离工地的；</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(4)由于承包人原因拒绝按合同进度计划及时完成合同规定的工程，而又未采取有效措施赶上进度，造成工期严重延误的；</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(5)承包人否认合同有效或拒绝履行合同规定的承包人义务，或由于法律、财务等原因导致承包人无法继续履行或实质上已停止履行合同的义务的；</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(6)合同签订之日起十五日内，承包人无法按合同规定及投标文件的承诺进场经监理工程师认可的全部人员和机械的。</w:t>
      </w:r>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双方协商</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189" w:name="_Toc30062028"/>
      <w:bookmarkStart w:id="1190" w:name="_Toc351203649"/>
      <w:bookmarkStart w:id="1191" w:name="_Toc6499"/>
      <w:bookmarkStart w:id="1192" w:name="_Toc373227769"/>
      <w:bookmarkStart w:id="1193" w:name="_Toc373478416"/>
      <w:bookmarkStart w:id="1194" w:name="_Toc389065334"/>
      <w:bookmarkStart w:id="1195" w:name="_Toc469010973"/>
      <w:bookmarkStart w:id="1196" w:name="_Toc3882836"/>
      <w:r>
        <w:rPr>
          <w:rFonts w:hint="eastAsia" w:ascii="宋体" w:hAnsi="宋体" w:eastAsia="宋体" w:cs="宋体"/>
          <w:b/>
          <w:sz w:val="21"/>
          <w:szCs w:val="21"/>
        </w:rPr>
        <w:t>17. 不可抗力</w:t>
      </w:r>
      <w:bookmarkEnd w:id="1189"/>
      <w:bookmarkEnd w:id="1190"/>
      <w:bookmarkEnd w:id="1191"/>
      <w:bookmarkEnd w:id="1192"/>
      <w:bookmarkEnd w:id="1193"/>
      <w:bookmarkEnd w:id="1194"/>
      <w:bookmarkEnd w:id="1195"/>
      <w:bookmarkEnd w:id="1196"/>
      <w:r>
        <w:rPr>
          <w:rFonts w:hint="eastAsia" w:ascii="宋体" w:hAnsi="宋体" w:eastAsia="宋体" w:cs="宋体"/>
          <w:b/>
          <w:sz w:val="21"/>
          <w:szCs w:val="21"/>
        </w:rPr>
        <w:t xml:space="preserve"> </w:t>
      </w:r>
      <w:bookmarkEnd w:id="1165"/>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197" w:name="_Toc3882837"/>
      <w:bookmarkStart w:id="1198" w:name="_Toc22660"/>
      <w:bookmarkStart w:id="1199" w:name="_Toc469010974"/>
      <w:bookmarkStart w:id="1200" w:name="_Toc373478417"/>
      <w:bookmarkStart w:id="1201" w:name="_Toc30062029"/>
      <w:bookmarkStart w:id="1202" w:name="_Toc389065335"/>
      <w:bookmarkStart w:id="1203" w:name="_Toc373227770"/>
      <w:r>
        <w:rPr>
          <w:rFonts w:hint="eastAsia" w:ascii="宋体" w:hAnsi="宋体" w:eastAsia="宋体" w:cs="宋体"/>
          <w:b/>
          <w:kern w:val="0"/>
          <w:sz w:val="21"/>
          <w:szCs w:val="21"/>
        </w:rPr>
        <w:t>17.1 不可抗力的确认</w:t>
      </w:r>
      <w:bookmarkEnd w:id="1197"/>
      <w:bookmarkEnd w:id="1198"/>
      <w:bookmarkEnd w:id="1199"/>
      <w:bookmarkEnd w:id="1200"/>
      <w:bookmarkEnd w:id="1201"/>
      <w:bookmarkEnd w:id="1202"/>
      <w:bookmarkEnd w:id="1203"/>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包括战争、恐怖活动、动乱、瘟疫、空中飞行物体坠落或其他非发包人承包人责任造成的爆炸、火灾，以及地震、洪涝等自然灾害</w:t>
      </w:r>
      <w:r>
        <w:rPr>
          <w:rFonts w:hint="eastAsia" w:ascii="宋体" w:hAnsi="宋体" w:eastAsia="宋体" w:cs="宋体"/>
          <w:kern w:val="0"/>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204" w:name="_Toc469010975"/>
      <w:bookmarkStart w:id="1205" w:name="_Toc30062030"/>
      <w:bookmarkStart w:id="1206" w:name="_Toc4260"/>
      <w:bookmarkStart w:id="1207" w:name="_Toc3882838"/>
      <w:bookmarkStart w:id="1208" w:name="_Toc389065336"/>
      <w:bookmarkStart w:id="1209" w:name="_Toc373478418"/>
      <w:bookmarkStart w:id="1210" w:name="_Toc373227771"/>
      <w:r>
        <w:rPr>
          <w:rFonts w:hint="eastAsia" w:ascii="宋体" w:hAnsi="宋体" w:eastAsia="宋体" w:cs="宋体"/>
          <w:b/>
          <w:kern w:val="0"/>
          <w:sz w:val="21"/>
          <w:szCs w:val="21"/>
        </w:rPr>
        <w:t>17.4 因不可抗力解除合同</w:t>
      </w:r>
      <w:bookmarkEnd w:id="1204"/>
      <w:bookmarkEnd w:id="1205"/>
      <w:bookmarkEnd w:id="1206"/>
      <w:bookmarkEnd w:id="1207"/>
      <w:bookmarkEnd w:id="1208"/>
      <w:bookmarkEnd w:id="1209"/>
      <w:bookmarkEnd w:id="1210"/>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90</w:t>
      </w:r>
      <w:r>
        <w:rPr>
          <w:rFonts w:hint="eastAsia" w:ascii="宋体" w:hAnsi="宋体" w:eastAsia="宋体" w:cs="宋体"/>
          <w:sz w:val="21"/>
          <w:szCs w:val="21"/>
        </w:rPr>
        <w:t>天内完成款项的支付。</w:t>
      </w:r>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211" w:name="_Toc30062031"/>
      <w:bookmarkStart w:id="1212" w:name="_Toc389065337"/>
      <w:bookmarkStart w:id="1213" w:name="_Toc373227772"/>
      <w:bookmarkStart w:id="1214" w:name="_Toc373478419"/>
      <w:bookmarkStart w:id="1215" w:name="_Toc3882839"/>
      <w:bookmarkStart w:id="1216" w:name="_Toc351203650"/>
      <w:bookmarkStart w:id="1217" w:name="_Toc469010976"/>
      <w:bookmarkStart w:id="1218" w:name="_Toc3372"/>
      <w:r>
        <w:rPr>
          <w:rFonts w:hint="eastAsia" w:ascii="宋体" w:hAnsi="宋体" w:eastAsia="宋体" w:cs="宋体"/>
          <w:b/>
          <w:sz w:val="21"/>
          <w:szCs w:val="21"/>
        </w:rPr>
        <w:t>18. 保险</w:t>
      </w:r>
      <w:bookmarkEnd w:id="1211"/>
      <w:bookmarkEnd w:id="1212"/>
      <w:bookmarkEnd w:id="1213"/>
      <w:bookmarkEnd w:id="1214"/>
      <w:bookmarkEnd w:id="1215"/>
      <w:bookmarkEnd w:id="1216"/>
      <w:bookmarkEnd w:id="1217"/>
      <w:bookmarkEnd w:id="1218"/>
    </w:p>
    <w:bookmarkEnd w:id="1166"/>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219" w:name="_Toc3882840"/>
      <w:bookmarkStart w:id="1220" w:name="_Toc469010977"/>
      <w:bookmarkStart w:id="1221" w:name="_Toc22666"/>
      <w:bookmarkStart w:id="1222" w:name="_Toc373478420"/>
      <w:bookmarkStart w:id="1223" w:name="_Toc373227773"/>
      <w:bookmarkStart w:id="1224" w:name="_Toc30062032"/>
      <w:bookmarkStart w:id="1225" w:name="_Toc389065338"/>
      <w:r>
        <w:rPr>
          <w:rFonts w:hint="eastAsia" w:ascii="宋体" w:hAnsi="宋体" w:eastAsia="宋体" w:cs="宋体"/>
          <w:b/>
          <w:kern w:val="0"/>
          <w:sz w:val="21"/>
          <w:szCs w:val="21"/>
        </w:rPr>
        <w:t>18.1 工程保险</w:t>
      </w:r>
      <w:bookmarkEnd w:id="1219"/>
      <w:bookmarkEnd w:id="1220"/>
      <w:bookmarkEnd w:id="1221"/>
      <w:bookmarkEnd w:id="1222"/>
      <w:bookmarkEnd w:id="1223"/>
      <w:bookmarkEnd w:id="1224"/>
      <w:bookmarkEnd w:id="1225"/>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关于工程保险的特别约定：</w:t>
      </w:r>
      <w:r>
        <w:rPr>
          <w:rFonts w:hint="eastAsia" w:ascii="宋体" w:hAnsi="宋体" w:eastAsia="宋体" w:cs="宋体"/>
          <w:color w:val="000000"/>
          <w:sz w:val="21"/>
          <w:szCs w:val="21"/>
          <w:u w:val="single"/>
        </w:rPr>
        <w:t>建设工程</w:t>
      </w:r>
      <w:r>
        <w:rPr>
          <w:rFonts w:hint="eastAsia" w:ascii="宋体" w:hAnsi="宋体" w:eastAsia="宋体" w:cs="宋体"/>
          <w:bCs/>
          <w:color w:val="000000"/>
          <w:sz w:val="21"/>
          <w:szCs w:val="21"/>
          <w:u w:val="single"/>
        </w:rPr>
        <w:t>一切险和第三方责任险</w:t>
      </w:r>
      <w:r>
        <w:rPr>
          <w:rFonts w:hint="eastAsia" w:ascii="宋体" w:hAnsi="宋体" w:eastAsia="宋体" w:cs="宋体"/>
          <w:kern w:val="0"/>
          <w:sz w:val="21"/>
          <w:szCs w:val="21"/>
        </w:rPr>
        <w:t>。</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18.1.1投保</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（1）投保人：承包人。</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保内容：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（3）保险费率：由投保人与合同双方同意的保险人商定。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（4）保险金额：由投保人与合同双方同意的保险人商定。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（5）保险期限：保险种类包括一切险和第三方责任险，保险期从工程开工之日起到工程竣工验收之日，如若项目延期，投标单位必须无条件办理延期手续并承担一切费用, 如故意或疏忽而没有投保、少投保或漏投保，造成的后果由承包人负全部责任。</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18.1.2第三者责任险</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保险金额：承包人必须为从事危险作业的职工办理意外伤害保险，并为施工场地内承包人的自有人员生命财产，支付保险费用。保险合同约定的保险责任范围应当包括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保险费率由承包人与发包人同意的保险人商定，相关保险费由承包人承担。</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226" w:name="_Toc30062033"/>
      <w:bookmarkStart w:id="1227" w:name="_Toc389065339"/>
      <w:bookmarkStart w:id="1228" w:name="_Toc25722"/>
      <w:bookmarkStart w:id="1229" w:name="_Toc373478421"/>
      <w:bookmarkStart w:id="1230" w:name="_Toc3882841"/>
      <w:bookmarkStart w:id="1231" w:name="_Toc469010978"/>
      <w:bookmarkStart w:id="1232" w:name="_Toc373227774"/>
      <w:r>
        <w:rPr>
          <w:rFonts w:hint="eastAsia" w:ascii="宋体" w:hAnsi="宋体" w:eastAsia="宋体" w:cs="宋体"/>
          <w:b/>
          <w:kern w:val="0"/>
          <w:sz w:val="21"/>
          <w:szCs w:val="21"/>
        </w:rPr>
        <w:t>18.3 其他保险</w:t>
      </w:r>
      <w:bookmarkEnd w:id="1226"/>
      <w:bookmarkEnd w:id="1227"/>
      <w:bookmarkEnd w:id="1228"/>
      <w:bookmarkEnd w:id="1229"/>
      <w:bookmarkEnd w:id="1230"/>
      <w:bookmarkEnd w:id="1231"/>
      <w:bookmarkEnd w:id="1232"/>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bCs/>
          <w:sz w:val="21"/>
          <w:szCs w:val="21"/>
          <w:u w:val="single"/>
        </w:rPr>
      </w:pPr>
      <w:r>
        <w:rPr>
          <w:rFonts w:hint="eastAsia" w:ascii="宋体" w:hAnsi="宋体" w:eastAsia="宋体" w:cs="宋体"/>
          <w:sz w:val="21"/>
          <w:szCs w:val="21"/>
        </w:rPr>
        <w:t>关于其他保险的约定：</w:t>
      </w:r>
      <w:r>
        <w:rPr>
          <w:rFonts w:hint="eastAsia" w:ascii="宋体" w:hAnsi="宋体" w:eastAsia="宋体" w:cs="宋体"/>
          <w:bCs/>
          <w:sz w:val="21"/>
          <w:szCs w:val="21"/>
          <w:u w:val="single"/>
        </w:rPr>
        <w:t>按工程所在地建设行政主管部门有关规定。</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bCs/>
          <w:sz w:val="21"/>
          <w:szCs w:val="21"/>
          <w:u w:val="single"/>
        </w:rPr>
        <w:t>承包人是否应为其施工设备等办理财产保险： 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ascii="宋体" w:hAnsi="宋体" w:eastAsia="宋体" w:cs="宋体"/>
          <w:sz w:val="21"/>
          <w:szCs w:val="21"/>
        </w:rPr>
        <w:t>。</w:t>
      </w:r>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233" w:name="_Toc389065340"/>
      <w:bookmarkStart w:id="1234" w:name="_Toc3882842"/>
      <w:bookmarkStart w:id="1235" w:name="_Toc373478422"/>
      <w:bookmarkStart w:id="1236" w:name="_Toc9151"/>
      <w:bookmarkStart w:id="1237" w:name="_Toc373227775"/>
      <w:bookmarkStart w:id="1238" w:name="_Toc469010979"/>
      <w:bookmarkStart w:id="1239" w:name="_Toc30062034"/>
      <w:r>
        <w:rPr>
          <w:rFonts w:hint="eastAsia" w:ascii="宋体" w:hAnsi="宋体" w:eastAsia="宋体" w:cs="宋体"/>
          <w:b/>
          <w:kern w:val="0"/>
          <w:sz w:val="21"/>
          <w:szCs w:val="21"/>
        </w:rPr>
        <w:t>18.7 通知义务</w:t>
      </w:r>
      <w:bookmarkEnd w:id="1233"/>
      <w:bookmarkEnd w:id="1234"/>
      <w:bookmarkEnd w:id="1235"/>
      <w:bookmarkEnd w:id="1236"/>
      <w:bookmarkEnd w:id="1237"/>
      <w:bookmarkEnd w:id="1238"/>
      <w:bookmarkEnd w:id="1239"/>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承包人向发包人提交各项保险生效的证据和保险单副本的期限：各项保险生效 3天内</w:t>
      </w:r>
      <w:r>
        <w:rPr>
          <w:rFonts w:hint="eastAsia" w:ascii="宋体" w:hAnsi="宋体" w:eastAsia="宋体" w:cs="宋体"/>
          <w:sz w:val="21"/>
          <w:szCs w:val="21"/>
        </w:rPr>
        <w:t>。</w:t>
      </w:r>
    </w:p>
    <w:bookmarkEnd w:id="1110"/>
    <w:bookmarkEnd w:id="1111"/>
    <w:bookmarkEnd w:id="1112"/>
    <w:bookmarkEnd w:id="1113"/>
    <w:bookmarkEnd w:id="1114"/>
    <w:bookmarkEnd w:id="1115"/>
    <w:bookmarkEnd w:id="1116"/>
    <w:bookmarkEnd w:id="1117"/>
    <w:bookmarkEnd w:id="1118"/>
    <w:bookmarkEnd w:id="1119"/>
    <w:bookmarkEnd w:id="1120"/>
    <w:bookmarkEnd w:id="1121"/>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240" w:name="_Toc373227776"/>
      <w:bookmarkStart w:id="1241" w:name="_Toc389065341"/>
      <w:bookmarkStart w:id="1242" w:name="_Toc373478423"/>
      <w:bookmarkStart w:id="1243" w:name="_Toc469010980"/>
      <w:bookmarkStart w:id="1244" w:name="_Toc3882843"/>
      <w:bookmarkStart w:id="1245" w:name="_Toc30062035"/>
      <w:bookmarkStart w:id="1246" w:name="_Toc351203651"/>
      <w:bookmarkStart w:id="1247" w:name="_Toc29991"/>
      <w:r>
        <w:rPr>
          <w:rFonts w:hint="eastAsia" w:ascii="宋体" w:hAnsi="宋体" w:eastAsia="宋体" w:cs="宋体"/>
          <w:b/>
          <w:sz w:val="21"/>
          <w:szCs w:val="21"/>
        </w:rPr>
        <w:t>20. 争议解决</w:t>
      </w:r>
      <w:bookmarkEnd w:id="1122"/>
      <w:bookmarkEnd w:id="1123"/>
      <w:bookmarkEnd w:id="1124"/>
      <w:bookmarkEnd w:id="1240"/>
      <w:bookmarkEnd w:id="1241"/>
      <w:bookmarkEnd w:id="1242"/>
      <w:bookmarkEnd w:id="1243"/>
      <w:bookmarkEnd w:id="1244"/>
      <w:bookmarkEnd w:id="1245"/>
      <w:bookmarkEnd w:id="1246"/>
      <w:bookmarkEnd w:id="1247"/>
    </w:p>
    <w:p>
      <w:pPr>
        <w:pStyle w:val="54"/>
        <w:keepNext/>
        <w:keepLines/>
        <w:pageBreakBefore w:val="0"/>
        <w:widowControl w:val="0"/>
        <w:kinsoku/>
        <w:wordWrap/>
        <w:overflowPunct/>
        <w:topLinePunct w:val="0"/>
        <w:bidi w:val="0"/>
        <w:spacing w:before="260" w:after="260" w:line="260" w:lineRule="exact"/>
        <w:ind w:firstLine="422" w:firstLineChars="200"/>
        <w:textAlignment w:val="auto"/>
        <w:outlineLvl w:val="2"/>
        <w:rPr>
          <w:rFonts w:hint="eastAsia" w:ascii="宋体" w:hAnsi="宋体" w:eastAsia="宋体" w:cs="宋体"/>
          <w:b/>
          <w:kern w:val="0"/>
          <w:sz w:val="21"/>
          <w:szCs w:val="21"/>
        </w:rPr>
      </w:pPr>
      <w:bookmarkStart w:id="1248" w:name="_Toc3882844"/>
      <w:bookmarkStart w:id="1249" w:name="_Toc373478425"/>
      <w:bookmarkStart w:id="1250" w:name="_Toc373227778"/>
      <w:bookmarkStart w:id="1251" w:name="_Toc469010982"/>
      <w:bookmarkStart w:id="1252" w:name="_Toc27133"/>
      <w:bookmarkStart w:id="1253" w:name="_Toc30062036"/>
      <w:bookmarkStart w:id="1254" w:name="_Toc389065343"/>
      <w:r>
        <w:rPr>
          <w:rFonts w:hint="eastAsia" w:ascii="宋体" w:hAnsi="宋体" w:eastAsia="宋体" w:cs="宋体"/>
          <w:b/>
          <w:kern w:val="0"/>
          <w:sz w:val="21"/>
          <w:szCs w:val="21"/>
        </w:rPr>
        <w:t>20.4 仲裁或诉讼</w:t>
      </w:r>
      <w:bookmarkEnd w:id="1125"/>
      <w:bookmarkEnd w:id="1248"/>
      <w:bookmarkEnd w:id="1249"/>
      <w:bookmarkEnd w:id="1250"/>
      <w:bookmarkEnd w:id="1251"/>
      <w:bookmarkEnd w:id="1252"/>
      <w:bookmarkEnd w:id="1253"/>
      <w:bookmarkEnd w:id="1254"/>
    </w:p>
    <w:p>
      <w:pPr>
        <w:pStyle w:val="54"/>
        <w:pageBreakBefore w:val="0"/>
        <w:widowControl w:val="0"/>
        <w:kinsoku/>
        <w:wordWrap/>
        <w:overflowPunct/>
        <w:topLinePunct w:val="0"/>
        <w:bidi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仲裁委员会按照该会仲裁规则进行仲裁，仲裁裁决是终局的，对合同双方均有约束力。</w:t>
      </w:r>
    </w:p>
    <w:p>
      <w:pPr>
        <w:pStyle w:val="54"/>
        <w:pageBreakBefore w:val="0"/>
        <w:widowControl w:val="0"/>
        <w:kinsoku/>
        <w:wordWrap/>
        <w:overflowPunct/>
        <w:topLinePunct w:val="0"/>
        <w:bidi w:val="0"/>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昭平县</w:t>
      </w:r>
      <w:r>
        <w:rPr>
          <w:rFonts w:hint="eastAsia" w:ascii="宋体" w:hAnsi="宋体" w:eastAsia="宋体" w:cs="宋体"/>
          <w:sz w:val="21"/>
          <w:szCs w:val="21"/>
        </w:rPr>
        <w:t>人民法院起诉。</w:t>
      </w:r>
      <w:bookmarkEnd w:id="1126"/>
      <w:bookmarkEnd w:id="1127"/>
      <w:bookmarkEnd w:id="1128"/>
      <w:bookmarkEnd w:id="1129"/>
      <w:bookmarkEnd w:id="1130"/>
      <w:bookmarkEnd w:id="1131"/>
    </w:p>
    <w:p>
      <w:pPr>
        <w:pStyle w:val="54"/>
        <w:keepNext/>
        <w:keepLines/>
        <w:pageBreakBefore w:val="0"/>
        <w:widowControl w:val="0"/>
        <w:kinsoku/>
        <w:wordWrap/>
        <w:overflowPunct/>
        <w:topLinePunct w:val="0"/>
        <w:bidi w:val="0"/>
        <w:spacing w:before="60" w:after="60" w:line="260" w:lineRule="exact"/>
        <w:ind w:firstLine="422" w:firstLineChars="200"/>
        <w:textAlignment w:val="auto"/>
        <w:outlineLvl w:val="1"/>
        <w:rPr>
          <w:rFonts w:hint="eastAsia" w:ascii="宋体" w:hAnsi="宋体" w:eastAsia="宋体" w:cs="宋体"/>
          <w:b/>
          <w:sz w:val="21"/>
          <w:szCs w:val="21"/>
        </w:rPr>
      </w:pPr>
      <w:bookmarkStart w:id="1255" w:name="_Toc3882845"/>
      <w:bookmarkStart w:id="1256" w:name="_Toc19520"/>
      <w:bookmarkStart w:id="1257" w:name="_Toc30062037"/>
      <w:bookmarkStart w:id="1258" w:name="_Toc373478426"/>
      <w:bookmarkStart w:id="1259" w:name="_Toc373227779"/>
      <w:bookmarkStart w:id="1260" w:name="_Toc389065344"/>
      <w:bookmarkStart w:id="1261" w:name="_Toc469010983"/>
      <w:r>
        <w:rPr>
          <w:rFonts w:hint="eastAsia" w:ascii="宋体" w:hAnsi="宋体" w:eastAsia="宋体" w:cs="宋体"/>
          <w:b/>
          <w:sz w:val="21"/>
          <w:szCs w:val="21"/>
        </w:rPr>
        <w:t>21. 补充条款</w:t>
      </w:r>
      <w:bookmarkEnd w:id="1255"/>
      <w:bookmarkEnd w:id="1256"/>
      <w:bookmarkEnd w:id="1257"/>
      <w:bookmarkEnd w:id="1258"/>
      <w:bookmarkEnd w:id="1259"/>
      <w:bookmarkEnd w:id="1260"/>
      <w:bookmarkEnd w:id="1261"/>
    </w:p>
    <w:p>
      <w:pPr>
        <w:pStyle w:val="54"/>
        <w:pageBreakBefore w:val="0"/>
        <w:widowControl w:val="0"/>
        <w:kinsoku/>
        <w:wordWrap/>
        <w:overflowPunct/>
        <w:topLinePunct w:val="0"/>
        <w:bidi w:val="0"/>
        <w:spacing w:line="260" w:lineRule="exact"/>
        <w:ind w:firstLine="420" w:firstLineChars="200"/>
        <w:textAlignment w:val="auto"/>
        <w:rPr>
          <w:rStyle w:val="21"/>
          <w:rFonts w:hint="eastAsia" w:ascii="宋体" w:hAnsi="宋体" w:eastAsia="宋体" w:cs="宋体"/>
          <w:spacing w:val="5"/>
          <w:sz w:val="21"/>
          <w:szCs w:val="21"/>
        </w:rPr>
      </w:pPr>
      <w:r>
        <w:rPr>
          <w:rFonts w:hint="eastAsia" w:ascii="宋体" w:hAnsi="宋体" w:eastAsia="宋体" w:cs="宋体"/>
          <w:sz w:val="21"/>
          <w:szCs w:val="21"/>
        </w:rPr>
        <w:t>21.1 承包人必须及时支付农民工工资，若有拖欠，按相关法律法规规定处理。禁止使用童工。</w:t>
      </w:r>
    </w:p>
    <w:p>
      <w:pPr>
        <w:pStyle w:val="54"/>
        <w:pageBreakBefore w:val="0"/>
        <w:widowControl w:val="0"/>
        <w:kinsoku/>
        <w:wordWrap/>
        <w:overflowPunct/>
        <w:topLinePunct w:val="0"/>
        <w:bidi w:val="0"/>
        <w:spacing w:before="156" w:line="260" w:lineRule="exact"/>
        <w:ind w:left="41"/>
        <w:textAlignment w:val="auto"/>
        <w:rPr>
          <w:rStyle w:val="21"/>
          <w:rFonts w:ascii="黑体" w:hAnsi="黑体" w:eastAsia="黑体" w:cs="黑体"/>
          <w:sz w:val="27"/>
          <w:szCs w:val="27"/>
        </w:rPr>
      </w:pPr>
      <w:r>
        <w:rPr>
          <w:rStyle w:val="21"/>
          <w:rFonts w:ascii="黑体" w:hAnsi="黑体" w:eastAsia="黑体" w:cs="黑体"/>
          <w:spacing w:val="5"/>
          <w:sz w:val="27"/>
          <w:szCs w:val="27"/>
        </w:rPr>
        <w:t>附件</w:t>
      </w:r>
    </w:p>
    <w:p>
      <w:pPr>
        <w:pStyle w:val="54"/>
        <w:pageBreakBefore w:val="0"/>
        <w:widowControl w:val="0"/>
        <w:kinsoku/>
        <w:wordWrap/>
        <w:overflowPunct/>
        <w:topLinePunct w:val="0"/>
        <w:bidi w:val="0"/>
        <w:spacing w:before="148" w:line="260" w:lineRule="exact"/>
        <w:ind w:left="40"/>
        <w:textAlignment w:val="auto"/>
        <w:rPr>
          <w:rStyle w:val="21"/>
          <w:rFonts w:ascii="宋体" w:hAnsi="宋体" w:eastAsia="宋体" w:cs="宋体"/>
          <w:szCs w:val="21"/>
        </w:rPr>
      </w:pPr>
      <w:r>
        <w:rPr>
          <w:rStyle w:val="21"/>
          <w:rFonts w:ascii="宋体" w:hAnsi="宋体" w:eastAsia="宋体" w:cs="宋体"/>
          <w:spacing w:val="-2"/>
          <w:szCs w:val="21"/>
        </w:rPr>
        <w:t xml:space="preserve">附件 </w:t>
      </w:r>
      <w:r>
        <w:rPr>
          <w:rStyle w:val="21"/>
          <w:rFonts w:hint="eastAsia" w:ascii="宋体" w:hAnsi="宋体" w:cs="宋体"/>
          <w:spacing w:val="-2"/>
          <w:szCs w:val="21"/>
          <w:lang w:val="en-US" w:eastAsia="zh-CN"/>
        </w:rPr>
        <w:t>1</w:t>
      </w:r>
      <w:r>
        <w:rPr>
          <w:rStyle w:val="21"/>
          <w:rFonts w:ascii="宋体" w:hAnsi="宋体" w:eastAsia="宋体" w:cs="宋体"/>
          <w:spacing w:val="-2"/>
          <w:szCs w:val="21"/>
        </w:rPr>
        <w:t>：承包人主要施工管理人员表</w:t>
      </w:r>
    </w:p>
    <w:p>
      <w:pPr>
        <w:pStyle w:val="54"/>
        <w:pageBreakBefore w:val="0"/>
        <w:widowControl w:val="0"/>
        <w:kinsoku/>
        <w:wordWrap/>
        <w:overflowPunct/>
        <w:topLinePunct w:val="0"/>
        <w:bidi w:val="0"/>
        <w:spacing w:before="164" w:line="260" w:lineRule="exact"/>
        <w:ind w:left="40"/>
        <w:textAlignment w:val="auto"/>
        <w:rPr>
          <w:rStyle w:val="21"/>
          <w:rFonts w:ascii="宋体" w:hAnsi="宋体" w:eastAsia="宋体" w:cs="宋体"/>
          <w:szCs w:val="21"/>
        </w:rPr>
      </w:pPr>
      <w:r>
        <w:rPr>
          <w:rStyle w:val="21"/>
          <w:rFonts w:ascii="宋体" w:hAnsi="宋体" w:eastAsia="宋体" w:cs="宋体"/>
          <w:spacing w:val="-2"/>
          <w:szCs w:val="21"/>
        </w:rPr>
        <w:t>附</w:t>
      </w:r>
      <w:r>
        <w:rPr>
          <w:rStyle w:val="21"/>
          <w:rFonts w:ascii="宋体" w:hAnsi="宋体" w:eastAsia="宋体" w:cs="宋体"/>
          <w:spacing w:val="-1"/>
          <w:szCs w:val="21"/>
        </w:rPr>
        <w:t xml:space="preserve">件 </w:t>
      </w:r>
      <w:r>
        <w:rPr>
          <w:rStyle w:val="21"/>
          <w:rFonts w:hint="eastAsia" w:ascii="宋体" w:hAnsi="宋体" w:cs="宋体"/>
          <w:spacing w:val="-1"/>
          <w:szCs w:val="21"/>
          <w:lang w:val="en-US" w:eastAsia="zh-CN"/>
        </w:rPr>
        <w:t>2</w:t>
      </w:r>
      <w:r>
        <w:rPr>
          <w:rStyle w:val="21"/>
          <w:rFonts w:ascii="宋体" w:hAnsi="宋体" w:eastAsia="宋体" w:cs="宋体"/>
          <w:spacing w:val="-1"/>
          <w:szCs w:val="21"/>
        </w:rPr>
        <w:t>：承包人用于本工程施工的机械设备表</w:t>
      </w:r>
    </w:p>
    <w:p>
      <w:pPr>
        <w:pStyle w:val="54"/>
        <w:pageBreakBefore w:val="0"/>
        <w:widowControl w:val="0"/>
        <w:kinsoku/>
        <w:wordWrap/>
        <w:overflowPunct/>
        <w:topLinePunct w:val="0"/>
        <w:bidi w:val="0"/>
        <w:spacing w:before="226" w:line="260" w:lineRule="exact"/>
        <w:ind w:left="40"/>
        <w:textAlignment w:val="auto"/>
        <w:rPr>
          <w:rStyle w:val="21"/>
          <w:rFonts w:hint="eastAsia" w:ascii="宋体" w:hAnsi="宋体" w:eastAsia="宋体" w:cs="宋体"/>
          <w:spacing w:val="-2"/>
          <w:szCs w:val="21"/>
        </w:rPr>
      </w:pPr>
      <w:r>
        <w:rPr>
          <w:rStyle w:val="21"/>
          <w:rFonts w:ascii="宋体" w:hAnsi="宋体" w:eastAsia="宋体" w:cs="宋体"/>
          <w:spacing w:val="-2"/>
          <w:szCs w:val="21"/>
        </w:rPr>
        <w:t xml:space="preserve">附件 </w:t>
      </w:r>
      <w:r>
        <w:rPr>
          <w:rStyle w:val="21"/>
          <w:rFonts w:hint="eastAsia" w:ascii="宋体" w:hAnsi="宋体" w:eastAsia="宋体" w:cs="宋体"/>
          <w:spacing w:val="-2"/>
          <w:szCs w:val="21"/>
          <w:lang w:val="en-US" w:eastAsia="zh-CN"/>
        </w:rPr>
        <w:t>3</w:t>
      </w:r>
      <w:r>
        <w:rPr>
          <w:rStyle w:val="21"/>
          <w:rFonts w:ascii="宋体" w:hAnsi="宋体" w:eastAsia="宋体" w:cs="宋体"/>
          <w:spacing w:val="-2"/>
          <w:szCs w:val="21"/>
        </w:rPr>
        <w:t>：工程质</w:t>
      </w:r>
      <w:r>
        <w:rPr>
          <w:rStyle w:val="21"/>
          <w:rFonts w:ascii="宋体" w:hAnsi="宋体" w:eastAsia="宋体" w:cs="宋体"/>
          <w:spacing w:val="-1"/>
          <w:szCs w:val="21"/>
        </w:rPr>
        <w:t>量保修书</w:t>
      </w:r>
    </w:p>
    <w:p>
      <w:pPr>
        <w:pStyle w:val="54"/>
        <w:pageBreakBefore w:val="0"/>
        <w:widowControl w:val="0"/>
        <w:kinsoku/>
        <w:wordWrap/>
        <w:overflowPunct/>
        <w:topLinePunct w:val="0"/>
        <w:bidi w:val="0"/>
        <w:spacing w:before="148" w:line="260" w:lineRule="exact"/>
        <w:ind w:left="40"/>
        <w:textAlignment w:val="auto"/>
        <w:rPr>
          <w:rStyle w:val="21"/>
          <w:rFonts w:hint="eastAsia" w:ascii="宋体" w:hAnsi="宋体" w:eastAsia="宋体" w:cs="宋体"/>
          <w:spacing w:val="-2"/>
          <w:szCs w:val="21"/>
        </w:rPr>
      </w:pPr>
      <w:r>
        <w:rPr>
          <w:rStyle w:val="21"/>
          <w:rFonts w:hint="eastAsia" w:ascii="宋体" w:hAnsi="宋体" w:eastAsia="宋体" w:cs="宋体"/>
          <w:spacing w:val="-2"/>
          <w:szCs w:val="21"/>
        </w:rPr>
        <w:t>附件</w:t>
      </w:r>
      <w:r>
        <w:rPr>
          <w:rStyle w:val="21"/>
          <w:rFonts w:hint="eastAsia" w:ascii="宋体" w:hAnsi="宋体" w:eastAsia="宋体" w:cs="宋体"/>
          <w:spacing w:val="-2"/>
          <w:szCs w:val="21"/>
          <w:lang w:val="en-US" w:eastAsia="zh-CN"/>
        </w:rPr>
        <w:t xml:space="preserve"> 4</w:t>
      </w:r>
      <w:r>
        <w:rPr>
          <w:rStyle w:val="21"/>
          <w:rFonts w:hint="eastAsia" w:ascii="宋体" w:hAnsi="宋体" w:eastAsia="宋体" w:cs="宋体"/>
          <w:spacing w:val="-2"/>
          <w:szCs w:val="21"/>
        </w:rPr>
        <w:t>：廉政合同</w:t>
      </w:r>
    </w:p>
    <w:p>
      <w:pPr>
        <w:pStyle w:val="54"/>
        <w:pageBreakBefore w:val="0"/>
        <w:widowControl w:val="0"/>
        <w:kinsoku/>
        <w:wordWrap/>
        <w:overflowPunct/>
        <w:topLinePunct w:val="0"/>
        <w:bidi w:val="0"/>
        <w:spacing w:before="226" w:line="260" w:lineRule="exact"/>
        <w:ind w:left="40"/>
        <w:textAlignment w:val="auto"/>
        <w:rPr>
          <w:rStyle w:val="21"/>
          <w:rFonts w:hint="eastAsia" w:ascii="宋体" w:hAnsi="宋体" w:eastAsia="宋体" w:cs="宋体"/>
          <w:spacing w:val="-2"/>
          <w:szCs w:val="21"/>
        </w:rPr>
      </w:pPr>
    </w:p>
    <w:p>
      <w:pPr>
        <w:pStyle w:val="54"/>
        <w:spacing w:before="226" w:line="224" w:lineRule="auto"/>
        <w:ind w:left="40"/>
        <w:rPr>
          <w:rStyle w:val="21"/>
          <w:rFonts w:hint="eastAsia" w:ascii="宋体" w:hAnsi="宋体" w:eastAsia="宋体" w:cs="宋体"/>
          <w:spacing w:val="-2"/>
          <w:szCs w:val="21"/>
        </w:rPr>
      </w:pPr>
    </w:p>
    <w:p>
      <w:pPr>
        <w:pStyle w:val="54"/>
        <w:spacing w:line="246" w:lineRule="auto"/>
        <w:rPr>
          <w:rStyle w:val="21"/>
          <w:rFonts w:ascii="Arial" w:hAnsi="Calibri" w:eastAsia="宋体" w:cs="Times New Roman"/>
        </w:rPr>
      </w:pPr>
    </w:p>
    <w:p>
      <w:pPr>
        <w:pStyle w:val="54"/>
        <w:spacing w:line="246" w:lineRule="auto"/>
        <w:rPr>
          <w:rStyle w:val="21"/>
          <w:rFonts w:ascii="Arial" w:hAnsi="Calibri" w:eastAsia="宋体" w:cs="Times New Roman"/>
        </w:rPr>
      </w:pPr>
    </w:p>
    <w:p>
      <w:pPr>
        <w:pStyle w:val="54"/>
        <w:spacing w:line="246" w:lineRule="auto"/>
        <w:rPr>
          <w:rStyle w:val="21"/>
          <w:rFonts w:ascii="Arial" w:hAnsi="Calibri" w:eastAsia="宋体" w:cs="Times New Roman"/>
        </w:rPr>
      </w:pPr>
    </w:p>
    <w:p>
      <w:pPr>
        <w:pStyle w:val="54"/>
        <w:spacing w:line="246" w:lineRule="auto"/>
        <w:rPr>
          <w:rStyle w:val="21"/>
          <w:rFonts w:ascii="Arial" w:hAnsi="Calibri" w:eastAsia="宋体" w:cs="Times New Roman"/>
        </w:rPr>
      </w:pPr>
    </w:p>
    <w:p>
      <w:pPr>
        <w:pStyle w:val="54"/>
        <w:spacing w:line="246" w:lineRule="auto"/>
        <w:rPr>
          <w:rStyle w:val="21"/>
          <w:rFonts w:ascii="Arial" w:hAnsi="Calibri" w:eastAsia="宋体" w:cs="Times New Roman"/>
        </w:rPr>
      </w:pPr>
    </w:p>
    <w:p>
      <w:pPr>
        <w:pStyle w:val="54"/>
        <w:spacing w:line="246" w:lineRule="auto"/>
        <w:rPr>
          <w:rStyle w:val="21"/>
          <w:rFonts w:ascii="Arial" w:hAnsi="Calibri" w:eastAsia="宋体" w:cs="Times New Roman"/>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rPr>
          <w:rStyle w:val="21"/>
          <w:rFonts w:ascii="仿宋" w:hAnsi="仿宋" w:eastAsia="仿宋" w:cs="仿宋"/>
          <w:spacing w:val="-15"/>
          <w:sz w:val="30"/>
          <w:szCs w:val="30"/>
        </w:rPr>
      </w:pPr>
    </w:p>
    <w:p>
      <w:pPr>
        <w:pStyle w:val="54"/>
        <w:spacing w:before="98" w:line="220" w:lineRule="auto"/>
        <w:ind w:left="76"/>
        <w:rPr>
          <w:rStyle w:val="21"/>
          <w:rFonts w:ascii="仿宋" w:hAnsi="仿宋" w:eastAsia="仿宋" w:cs="仿宋"/>
          <w:spacing w:val="-15"/>
          <w:sz w:val="30"/>
          <w:szCs w:val="30"/>
        </w:rPr>
      </w:pPr>
    </w:p>
    <w:p>
      <w:pPr>
        <w:pStyle w:val="54"/>
        <w:spacing w:before="98" w:line="220" w:lineRule="auto"/>
        <w:ind w:left="76"/>
        <w:rPr>
          <w:rStyle w:val="21"/>
          <w:rFonts w:hint="default" w:ascii="宋体" w:hAnsi="宋体" w:eastAsia="宋体" w:cs="宋体"/>
          <w:spacing w:val="-23"/>
          <w:sz w:val="28"/>
          <w:szCs w:val="28"/>
          <w:lang w:val="en-US" w:eastAsia="zh-CN"/>
        </w:rPr>
      </w:pPr>
      <w:r>
        <w:rPr>
          <w:rStyle w:val="21"/>
          <w:rFonts w:ascii="仿宋" w:hAnsi="仿宋" w:eastAsia="仿宋" w:cs="仿宋"/>
          <w:spacing w:val="-15"/>
          <w:sz w:val="30"/>
          <w:szCs w:val="30"/>
        </w:rPr>
        <w:t>附件 1：</w:t>
      </w:r>
      <w:r>
        <w:rPr>
          <w:rStyle w:val="21"/>
          <w:rFonts w:ascii="黑体" w:hAnsi="黑体" w:eastAsia="黑体" w:cs="黑体"/>
          <w:spacing w:val="17"/>
          <w:sz w:val="28"/>
          <w:szCs w:val="28"/>
        </w:rPr>
        <w:t>承</w:t>
      </w:r>
      <w:r>
        <w:rPr>
          <w:rStyle w:val="21"/>
          <w:rFonts w:ascii="黑体" w:hAnsi="黑体" w:eastAsia="黑体" w:cs="黑体"/>
          <w:spacing w:val="15"/>
          <w:sz w:val="28"/>
          <w:szCs w:val="28"/>
        </w:rPr>
        <w:t>包人主要施工管理人员表</w:t>
      </w:r>
    </w:p>
    <w:p>
      <w:pPr>
        <w:pStyle w:val="54"/>
        <w:spacing w:line="104" w:lineRule="exact"/>
        <w:rPr>
          <w:rStyle w:val="21"/>
          <w:rFonts w:ascii="Calibri" w:hAnsi="Calibri" w:eastAsia="宋体" w:cs="Times New Roman"/>
        </w:rPr>
      </w:pPr>
    </w:p>
    <w:p>
      <w:pPr>
        <w:pStyle w:val="54"/>
        <w:spacing w:line="256" w:lineRule="auto"/>
        <w:rPr>
          <w:rStyle w:val="21"/>
          <w:rFonts w:ascii="Arial" w:hAnsi="Calibri" w:eastAsia="宋体" w:cs="Times New Roman"/>
        </w:rPr>
      </w:pPr>
    </w:p>
    <w:tbl>
      <w:tblPr>
        <w:tblStyle w:val="19"/>
        <w:tblpPr w:leftFromText="180" w:rightFromText="180" w:vertAnchor="text" w:horzAnchor="page" w:tblpX="1307" w:tblpY="214"/>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26"/>
        <w:gridCol w:w="1138"/>
        <w:gridCol w:w="1123"/>
        <w:gridCol w:w="4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880" w:type="dxa"/>
            <w:tcBorders>
              <w:top w:val="single" w:color="000000" w:sz="2" w:space="0"/>
              <w:bottom w:val="single" w:color="000000" w:sz="2" w:space="0"/>
            </w:tcBorders>
            <w:noWrap w:val="0"/>
            <w:vAlign w:val="top"/>
          </w:tcPr>
          <w:p>
            <w:pPr>
              <w:pStyle w:val="54"/>
              <w:spacing w:before="120" w:line="219" w:lineRule="auto"/>
              <w:ind w:left="384"/>
              <w:rPr>
                <w:rStyle w:val="21"/>
                <w:rFonts w:ascii="仿宋" w:hAnsi="仿宋" w:eastAsia="仿宋" w:cs="仿宋"/>
                <w:sz w:val="24"/>
                <w:szCs w:val="24"/>
              </w:rPr>
            </w:pPr>
            <w:r>
              <w:rPr>
                <w:rStyle w:val="21"/>
                <w:rFonts w:ascii="仿宋" w:hAnsi="仿宋" w:eastAsia="仿宋" w:cs="仿宋"/>
                <w:spacing w:val="9"/>
                <w:sz w:val="24"/>
                <w:szCs w:val="24"/>
              </w:rPr>
              <w:t xml:space="preserve">名    </w:t>
            </w:r>
            <w:r>
              <w:rPr>
                <w:rStyle w:val="21"/>
                <w:rFonts w:ascii="仿宋" w:hAnsi="仿宋" w:eastAsia="仿宋" w:cs="仿宋"/>
                <w:spacing w:val="8"/>
                <w:sz w:val="24"/>
                <w:szCs w:val="24"/>
              </w:rPr>
              <w:t>称</w:t>
            </w:r>
          </w:p>
        </w:tc>
        <w:tc>
          <w:tcPr>
            <w:tcW w:w="1426" w:type="dxa"/>
            <w:tcBorders>
              <w:top w:val="single" w:color="000000" w:sz="2" w:space="0"/>
              <w:bottom w:val="single" w:color="000000" w:sz="2" w:space="0"/>
            </w:tcBorders>
            <w:noWrap w:val="0"/>
            <w:vAlign w:val="top"/>
          </w:tcPr>
          <w:p>
            <w:pPr>
              <w:pStyle w:val="54"/>
              <w:spacing w:before="120" w:line="223" w:lineRule="auto"/>
              <w:ind w:left="434"/>
              <w:rPr>
                <w:rStyle w:val="21"/>
                <w:rFonts w:ascii="仿宋" w:hAnsi="仿宋" w:eastAsia="仿宋" w:cs="仿宋"/>
                <w:sz w:val="24"/>
                <w:szCs w:val="24"/>
              </w:rPr>
            </w:pPr>
            <w:r>
              <w:rPr>
                <w:rStyle w:val="21"/>
                <w:rFonts w:ascii="仿宋" w:hAnsi="仿宋" w:eastAsia="仿宋" w:cs="仿宋"/>
                <w:spacing w:val="2"/>
                <w:sz w:val="24"/>
                <w:szCs w:val="24"/>
              </w:rPr>
              <w:t>姓名</w:t>
            </w:r>
          </w:p>
        </w:tc>
        <w:tc>
          <w:tcPr>
            <w:tcW w:w="1138" w:type="dxa"/>
            <w:tcBorders>
              <w:top w:val="single" w:color="000000" w:sz="2" w:space="0"/>
              <w:bottom w:val="single" w:color="000000" w:sz="2" w:space="0"/>
            </w:tcBorders>
            <w:noWrap w:val="0"/>
            <w:vAlign w:val="top"/>
          </w:tcPr>
          <w:p>
            <w:pPr>
              <w:pStyle w:val="54"/>
              <w:spacing w:before="94" w:line="218" w:lineRule="auto"/>
              <w:ind w:left="264"/>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务</w:t>
            </w:r>
          </w:p>
        </w:tc>
        <w:tc>
          <w:tcPr>
            <w:tcW w:w="1123" w:type="dxa"/>
            <w:tcBorders>
              <w:top w:val="single" w:color="000000" w:sz="2" w:space="0"/>
              <w:bottom w:val="single" w:color="000000" w:sz="2" w:space="0"/>
            </w:tcBorders>
            <w:noWrap w:val="0"/>
            <w:vAlign w:val="top"/>
          </w:tcPr>
          <w:p>
            <w:pPr>
              <w:pStyle w:val="54"/>
              <w:spacing w:before="94" w:line="218" w:lineRule="auto"/>
              <w:ind w:left="250"/>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称</w:t>
            </w:r>
          </w:p>
        </w:tc>
        <w:tc>
          <w:tcPr>
            <w:tcW w:w="4270" w:type="dxa"/>
            <w:tcBorders>
              <w:top w:val="single" w:color="000000" w:sz="2" w:space="0"/>
              <w:bottom w:val="single" w:color="000000" w:sz="2" w:space="0"/>
            </w:tcBorders>
            <w:noWrap w:val="0"/>
            <w:vAlign w:val="top"/>
          </w:tcPr>
          <w:p>
            <w:pPr>
              <w:pStyle w:val="54"/>
              <w:spacing w:before="94" w:line="218" w:lineRule="auto"/>
              <w:ind w:left="1161"/>
              <w:rPr>
                <w:rStyle w:val="21"/>
                <w:rFonts w:ascii="仿宋" w:hAnsi="仿宋" w:eastAsia="仿宋" w:cs="仿宋"/>
                <w:sz w:val="28"/>
                <w:szCs w:val="28"/>
              </w:rPr>
            </w:pPr>
            <w:r>
              <w:rPr>
                <w:rStyle w:val="21"/>
                <w:rFonts w:ascii="仿宋" w:hAnsi="仿宋" w:eastAsia="仿宋" w:cs="仿宋"/>
                <w:spacing w:val="14"/>
                <w:sz w:val="28"/>
                <w:szCs w:val="28"/>
              </w:rPr>
              <w:t>计</w:t>
            </w:r>
            <w:r>
              <w:rPr>
                <w:rStyle w:val="21"/>
                <w:rFonts w:ascii="仿宋" w:hAnsi="仿宋" w:eastAsia="仿宋" w:cs="仿宋"/>
                <w:spacing w:val="11"/>
                <w:sz w:val="28"/>
                <w:szCs w:val="28"/>
              </w:rPr>
              <w:t>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837" w:type="dxa"/>
            <w:gridSpan w:val="5"/>
            <w:tcBorders>
              <w:top w:val="single" w:color="000000" w:sz="2" w:space="0"/>
              <w:bottom w:val="single" w:color="000000" w:sz="2" w:space="0"/>
            </w:tcBorders>
            <w:noWrap w:val="0"/>
            <w:vAlign w:val="top"/>
          </w:tcPr>
          <w:p>
            <w:pPr>
              <w:pStyle w:val="54"/>
              <w:spacing w:before="112" w:line="221" w:lineRule="auto"/>
              <w:ind w:left="4063"/>
              <w:rPr>
                <w:rStyle w:val="21"/>
                <w:rFonts w:ascii="仿宋" w:hAnsi="仿宋" w:eastAsia="仿宋" w:cs="仿宋"/>
                <w:sz w:val="24"/>
                <w:szCs w:val="24"/>
              </w:rPr>
            </w:pPr>
            <w:r>
              <w:rPr>
                <w:rStyle w:val="21"/>
                <w:rFonts w:ascii="仿宋" w:hAnsi="仿宋" w:eastAsia="仿宋" w:cs="仿宋"/>
                <w:spacing w:val="13"/>
                <w:sz w:val="24"/>
                <w:szCs w:val="24"/>
              </w:rPr>
              <w:t>一</w:t>
            </w:r>
            <w:r>
              <w:rPr>
                <w:rStyle w:val="21"/>
                <w:rFonts w:ascii="仿宋" w:hAnsi="仿宋" w:eastAsia="仿宋" w:cs="仿宋"/>
                <w:spacing w:val="12"/>
                <w:sz w:val="24"/>
                <w:szCs w:val="24"/>
              </w:rPr>
              <w:t>、总部人员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pPr>
              <w:pStyle w:val="54"/>
              <w:spacing w:before="113"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项目主</w:t>
            </w:r>
            <w:r>
              <w:rPr>
                <w:rStyle w:val="21"/>
                <w:rFonts w:ascii="仿宋" w:hAnsi="仿宋" w:eastAsia="仿宋" w:cs="仿宋"/>
                <w:spacing w:val="9"/>
                <w:sz w:val="24"/>
                <w:szCs w:val="24"/>
              </w:rPr>
              <w:t>管</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pPr>
              <w:pStyle w:val="54"/>
              <w:spacing w:line="440" w:lineRule="auto"/>
              <w:rPr>
                <w:rStyle w:val="21"/>
                <w:rFonts w:ascii="Arial" w:hAnsi="Calibri" w:eastAsia="宋体" w:cs="Times New Roman"/>
                <w:sz w:val="20"/>
                <w:szCs w:val="21"/>
              </w:rPr>
            </w:pPr>
          </w:p>
          <w:p>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9837" w:type="dxa"/>
            <w:gridSpan w:val="5"/>
            <w:tcBorders>
              <w:top w:val="single" w:color="000000" w:sz="2" w:space="0"/>
              <w:bottom w:val="single" w:color="000000" w:sz="2" w:space="0"/>
            </w:tcBorders>
            <w:noWrap w:val="0"/>
            <w:vAlign w:val="top"/>
          </w:tcPr>
          <w:p>
            <w:pPr>
              <w:pStyle w:val="54"/>
              <w:spacing w:before="114" w:line="221" w:lineRule="auto"/>
              <w:ind w:left="4068"/>
              <w:rPr>
                <w:rStyle w:val="21"/>
                <w:rFonts w:ascii="仿宋" w:hAnsi="仿宋" w:eastAsia="仿宋" w:cs="仿宋"/>
                <w:sz w:val="24"/>
                <w:szCs w:val="24"/>
              </w:rPr>
            </w:pPr>
            <w:r>
              <w:rPr>
                <w:rStyle w:val="21"/>
                <w:rFonts w:ascii="仿宋" w:hAnsi="仿宋" w:eastAsia="仿宋" w:cs="仿宋"/>
                <w:spacing w:val="14"/>
                <w:sz w:val="24"/>
                <w:szCs w:val="24"/>
              </w:rPr>
              <w:t>二</w:t>
            </w:r>
            <w:r>
              <w:rPr>
                <w:rStyle w:val="21"/>
                <w:rFonts w:ascii="仿宋" w:hAnsi="仿宋" w:eastAsia="仿宋" w:cs="仿宋"/>
                <w:spacing w:val="11"/>
                <w:sz w:val="24"/>
                <w:szCs w:val="24"/>
              </w:rPr>
              <w:t>、现场人员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pPr>
              <w:pStyle w:val="54"/>
              <w:spacing w:before="99"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项目经</w:t>
            </w:r>
            <w:r>
              <w:rPr>
                <w:rStyle w:val="21"/>
                <w:rFonts w:ascii="仿宋" w:hAnsi="仿宋" w:eastAsia="仿宋" w:cs="仿宋"/>
                <w:spacing w:val="9"/>
                <w:sz w:val="24"/>
                <w:szCs w:val="24"/>
              </w:rPr>
              <w:t>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pPr>
              <w:pStyle w:val="54"/>
              <w:spacing w:before="113" w:line="222" w:lineRule="auto"/>
              <w:ind w:left="240"/>
              <w:rPr>
                <w:rStyle w:val="21"/>
                <w:rFonts w:ascii="仿宋" w:hAnsi="仿宋" w:eastAsia="仿宋" w:cs="仿宋"/>
                <w:sz w:val="24"/>
                <w:szCs w:val="24"/>
              </w:rPr>
            </w:pPr>
            <w:r>
              <w:rPr>
                <w:rStyle w:val="21"/>
                <w:rFonts w:ascii="仿宋" w:hAnsi="仿宋" w:eastAsia="仿宋" w:cs="仿宋"/>
                <w:spacing w:val="14"/>
                <w:sz w:val="24"/>
                <w:szCs w:val="24"/>
              </w:rPr>
              <w:t>项</w:t>
            </w:r>
            <w:r>
              <w:rPr>
                <w:rStyle w:val="21"/>
                <w:rFonts w:ascii="仿宋" w:hAnsi="仿宋" w:eastAsia="仿宋" w:cs="仿宋"/>
                <w:spacing w:val="11"/>
                <w:sz w:val="24"/>
                <w:szCs w:val="24"/>
              </w:rPr>
              <w:t>目副经理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pPr>
              <w:pStyle w:val="54"/>
              <w:spacing w:before="113" w:line="221" w:lineRule="auto"/>
              <w:ind w:left="240"/>
              <w:rPr>
                <w:rStyle w:val="21"/>
                <w:rFonts w:ascii="仿宋" w:hAnsi="仿宋" w:eastAsia="仿宋" w:cs="仿宋"/>
                <w:sz w:val="24"/>
                <w:szCs w:val="24"/>
              </w:rPr>
            </w:pPr>
            <w:r>
              <w:rPr>
                <w:rStyle w:val="21"/>
                <w:rFonts w:ascii="仿宋" w:hAnsi="仿宋" w:eastAsia="仿宋" w:cs="仿宋"/>
                <w:spacing w:val="14"/>
                <w:sz w:val="24"/>
                <w:szCs w:val="24"/>
              </w:rPr>
              <w:t>技</w:t>
            </w:r>
            <w:r>
              <w:rPr>
                <w:rStyle w:val="21"/>
                <w:rFonts w:ascii="仿宋" w:hAnsi="仿宋" w:eastAsia="仿宋" w:cs="仿宋"/>
                <w:spacing w:val="11"/>
                <w:sz w:val="24"/>
                <w:szCs w:val="24"/>
              </w:rPr>
              <w:t>术负责人</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pPr>
              <w:pStyle w:val="54"/>
              <w:spacing w:before="114"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造</w:t>
            </w:r>
            <w:r>
              <w:rPr>
                <w:rStyle w:val="21"/>
                <w:rFonts w:ascii="仿宋" w:hAnsi="仿宋" w:eastAsia="仿宋" w:cs="仿宋"/>
                <w:spacing w:val="10"/>
                <w:sz w:val="24"/>
                <w:szCs w:val="24"/>
              </w:rPr>
              <w:t>价管理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pPr>
              <w:pStyle w:val="54"/>
              <w:spacing w:line="442" w:lineRule="auto"/>
              <w:rPr>
                <w:rStyle w:val="21"/>
                <w:rFonts w:ascii="Arial" w:hAnsi="Calibri" w:eastAsia="宋体" w:cs="Times New Roman"/>
                <w:sz w:val="20"/>
                <w:szCs w:val="21"/>
              </w:rPr>
            </w:pPr>
          </w:p>
          <w:p>
            <w:pPr>
              <w:pStyle w:val="54"/>
              <w:spacing w:before="88" w:line="222" w:lineRule="auto"/>
              <w:ind w:left="389"/>
              <w:rPr>
                <w:rStyle w:val="21"/>
                <w:rFonts w:ascii="仿宋" w:hAnsi="仿宋" w:eastAsia="仿宋" w:cs="仿宋"/>
                <w:sz w:val="24"/>
                <w:szCs w:val="24"/>
              </w:rPr>
            </w:pPr>
            <w:r>
              <w:rPr>
                <w:rStyle w:val="21"/>
                <w:rFonts w:ascii="仿宋" w:hAnsi="仿宋" w:eastAsia="仿宋" w:cs="仿宋"/>
                <w:spacing w:val="10"/>
                <w:sz w:val="24"/>
                <w:szCs w:val="24"/>
              </w:rPr>
              <w:t>质</w:t>
            </w:r>
            <w:r>
              <w:rPr>
                <w:rStyle w:val="21"/>
                <w:rFonts w:ascii="仿宋" w:hAnsi="仿宋" w:eastAsia="仿宋" w:cs="仿宋"/>
                <w:spacing w:val="8"/>
                <w:sz w:val="24"/>
                <w:szCs w:val="24"/>
              </w:rPr>
              <w:t>量管理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pPr>
              <w:pStyle w:val="54"/>
              <w:spacing w:before="117" w:line="218" w:lineRule="auto"/>
              <w:ind w:left="382"/>
              <w:rPr>
                <w:rStyle w:val="21"/>
                <w:rFonts w:ascii="仿宋" w:hAnsi="仿宋" w:eastAsia="仿宋" w:cs="仿宋"/>
                <w:sz w:val="24"/>
                <w:szCs w:val="24"/>
              </w:rPr>
            </w:pPr>
            <w:r>
              <w:rPr>
                <w:rStyle w:val="21"/>
                <w:rFonts w:ascii="仿宋" w:hAnsi="仿宋" w:eastAsia="仿宋" w:cs="仿宋"/>
                <w:spacing w:val="11"/>
                <w:sz w:val="24"/>
                <w:szCs w:val="24"/>
              </w:rPr>
              <w:t>材</w:t>
            </w:r>
            <w:r>
              <w:rPr>
                <w:rStyle w:val="21"/>
                <w:rFonts w:ascii="仿宋" w:hAnsi="仿宋" w:eastAsia="仿宋" w:cs="仿宋"/>
                <w:spacing w:val="10"/>
                <w:sz w:val="24"/>
                <w:szCs w:val="24"/>
              </w:rPr>
              <w:t>料管理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pPr>
              <w:pStyle w:val="54"/>
              <w:spacing w:before="101"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计</w:t>
            </w:r>
            <w:r>
              <w:rPr>
                <w:rStyle w:val="21"/>
                <w:rFonts w:ascii="仿宋" w:hAnsi="仿宋" w:eastAsia="仿宋" w:cs="仿宋"/>
                <w:spacing w:val="10"/>
                <w:sz w:val="24"/>
                <w:szCs w:val="24"/>
              </w:rPr>
              <w:t>划管理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pPr>
              <w:pStyle w:val="54"/>
              <w:spacing w:line="444" w:lineRule="auto"/>
              <w:rPr>
                <w:rStyle w:val="21"/>
                <w:rFonts w:ascii="Arial" w:hAnsi="Calibri" w:eastAsia="宋体" w:cs="Times New Roman"/>
                <w:sz w:val="20"/>
                <w:szCs w:val="21"/>
              </w:rPr>
            </w:pPr>
          </w:p>
          <w:p>
            <w:pPr>
              <w:pStyle w:val="54"/>
              <w:spacing w:before="87" w:line="222" w:lineRule="auto"/>
              <w:ind w:left="386"/>
              <w:rPr>
                <w:rStyle w:val="21"/>
                <w:rFonts w:ascii="仿宋" w:hAnsi="仿宋" w:eastAsia="仿宋" w:cs="仿宋"/>
                <w:sz w:val="24"/>
                <w:szCs w:val="24"/>
              </w:rPr>
            </w:pPr>
            <w:r>
              <w:rPr>
                <w:rStyle w:val="21"/>
                <w:rFonts w:ascii="仿宋" w:hAnsi="仿宋" w:eastAsia="仿宋" w:cs="仿宋"/>
                <w:spacing w:val="10"/>
                <w:sz w:val="24"/>
                <w:szCs w:val="24"/>
              </w:rPr>
              <w:t>安</w:t>
            </w:r>
            <w:r>
              <w:rPr>
                <w:rStyle w:val="21"/>
                <w:rFonts w:ascii="仿宋" w:hAnsi="仿宋" w:eastAsia="仿宋" w:cs="仿宋"/>
                <w:spacing w:val="9"/>
                <w:sz w:val="24"/>
                <w:szCs w:val="24"/>
              </w:rPr>
              <w:t>全管理</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80" w:type="dxa"/>
            <w:vMerge w:val="continue"/>
            <w:tcBorders>
              <w:bottom w:val="single" w:color="000000" w:sz="2" w:space="0"/>
            </w:tcBorders>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pPr>
              <w:pStyle w:val="54"/>
              <w:spacing w:line="282" w:lineRule="auto"/>
              <w:rPr>
                <w:rStyle w:val="21"/>
                <w:rFonts w:ascii="Arial" w:hAnsi="Calibri" w:eastAsia="宋体" w:cs="Times New Roman"/>
                <w:sz w:val="20"/>
                <w:szCs w:val="21"/>
              </w:rPr>
            </w:pPr>
          </w:p>
          <w:p>
            <w:pPr>
              <w:pStyle w:val="54"/>
              <w:spacing w:line="283" w:lineRule="auto"/>
              <w:rPr>
                <w:rStyle w:val="21"/>
                <w:rFonts w:ascii="Arial" w:hAnsi="Calibri" w:eastAsia="宋体" w:cs="Times New Roman"/>
                <w:sz w:val="20"/>
                <w:szCs w:val="21"/>
              </w:rPr>
            </w:pPr>
          </w:p>
          <w:p>
            <w:pPr>
              <w:pStyle w:val="54"/>
              <w:spacing w:line="283" w:lineRule="auto"/>
              <w:rPr>
                <w:rStyle w:val="21"/>
                <w:rFonts w:ascii="Arial" w:hAnsi="Calibri" w:eastAsia="宋体" w:cs="Times New Roman"/>
                <w:sz w:val="20"/>
                <w:szCs w:val="21"/>
              </w:rPr>
            </w:pPr>
          </w:p>
          <w:p>
            <w:pPr>
              <w:pStyle w:val="54"/>
              <w:spacing w:line="283" w:lineRule="auto"/>
              <w:rPr>
                <w:rStyle w:val="21"/>
                <w:rFonts w:ascii="Arial" w:hAnsi="Calibri" w:eastAsia="宋体" w:cs="Times New Roman"/>
                <w:sz w:val="20"/>
                <w:szCs w:val="21"/>
              </w:rPr>
            </w:pPr>
          </w:p>
          <w:p>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880" w:type="dxa"/>
            <w:vMerge w:val="continue"/>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880" w:type="dxa"/>
            <w:vMerge w:val="continue"/>
            <w:tcBorders>
              <w:bottom w:val="single" w:color="000000" w:sz="2" w:space="0"/>
            </w:tcBorders>
            <w:noWrap w:val="0"/>
            <w:vAlign w:val="top"/>
          </w:tcPr>
          <w:p>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pPr>
              <w:pStyle w:val="54"/>
              <w:rPr>
                <w:rStyle w:val="21"/>
                <w:rFonts w:ascii="Arial" w:hAnsi="Calibri" w:eastAsia="宋体" w:cs="Times New Roman"/>
                <w:sz w:val="20"/>
                <w:szCs w:val="21"/>
              </w:rPr>
            </w:pPr>
          </w:p>
        </w:tc>
      </w:tr>
    </w:tbl>
    <w:p>
      <w:pPr>
        <w:pStyle w:val="54"/>
        <w:spacing w:before="98" w:line="220" w:lineRule="auto"/>
        <w:rPr>
          <w:rStyle w:val="21"/>
          <w:rFonts w:ascii="仿宋" w:hAnsi="仿宋" w:eastAsia="仿宋" w:cs="仿宋"/>
          <w:spacing w:val="-15"/>
          <w:sz w:val="30"/>
          <w:szCs w:val="30"/>
        </w:rPr>
      </w:pPr>
    </w:p>
    <w:p>
      <w:pPr>
        <w:pStyle w:val="54"/>
        <w:spacing w:before="98" w:line="220" w:lineRule="auto"/>
        <w:rPr>
          <w:rStyle w:val="21"/>
          <w:rFonts w:ascii="仿宋" w:hAnsi="仿宋" w:eastAsia="仿宋" w:cs="仿宋"/>
          <w:spacing w:val="-15"/>
          <w:sz w:val="30"/>
          <w:szCs w:val="30"/>
        </w:rPr>
      </w:pPr>
    </w:p>
    <w:p>
      <w:pPr>
        <w:pStyle w:val="54"/>
        <w:spacing w:before="98" w:line="220" w:lineRule="auto"/>
        <w:rPr>
          <w:rStyle w:val="21"/>
          <w:rFonts w:ascii="仿宋" w:hAnsi="仿宋" w:eastAsia="仿宋" w:cs="仿宋"/>
          <w:spacing w:val="-15"/>
          <w:sz w:val="30"/>
          <w:szCs w:val="30"/>
        </w:rPr>
      </w:pPr>
    </w:p>
    <w:p>
      <w:pPr>
        <w:pStyle w:val="54"/>
        <w:spacing w:before="98" w:line="220" w:lineRule="auto"/>
        <w:rPr>
          <w:rStyle w:val="21"/>
          <w:rFonts w:ascii="仿宋" w:hAnsi="仿宋" w:eastAsia="仿宋" w:cs="仿宋"/>
          <w:spacing w:val="-15"/>
          <w:sz w:val="30"/>
          <w:szCs w:val="30"/>
        </w:rPr>
      </w:pPr>
    </w:p>
    <w:p>
      <w:pPr>
        <w:pStyle w:val="54"/>
        <w:spacing w:before="98" w:line="220" w:lineRule="auto"/>
        <w:rPr>
          <w:rStyle w:val="21"/>
          <w:rFonts w:ascii="仿宋" w:hAnsi="仿宋" w:eastAsia="仿宋" w:cs="仿宋"/>
          <w:spacing w:val="-15"/>
          <w:sz w:val="30"/>
          <w:szCs w:val="30"/>
        </w:rPr>
      </w:pPr>
    </w:p>
    <w:p>
      <w:pPr>
        <w:pStyle w:val="54"/>
        <w:spacing w:before="98" w:line="220" w:lineRule="auto"/>
        <w:rPr>
          <w:rStyle w:val="21"/>
          <w:rFonts w:ascii="黑体" w:hAnsi="黑体" w:eastAsia="黑体" w:cs="黑体"/>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2</w:t>
      </w:r>
      <w:r>
        <w:rPr>
          <w:rStyle w:val="21"/>
          <w:rFonts w:ascii="仿宋" w:hAnsi="仿宋" w:eastAsia="仿宋" w:cs="仿宋"/>
          <w:spacing w:val="-15"/>
          <w:sz w:val="30"/>
          <w:szCs w:val="30"/>
        </w:rPr>
        <w:t>：</w:t>
      </w:r>
      <w:r>
        <w:rPr>
          <w:rStyle w:val="21"/>
          <w:rFonts w:ascii="黑体" w:hAnsi="黑体" w:eastAsia="黑体" w:cs="黑体"/>
          <w:spacing w:val="26"/>
          <w:sz w:val="28"/>
          <w:szCs w:val="28"/>
        </w:rPr>
        <w:t>承</w:t>
      </w:r>
      <w:r>
        <w:rPr>
          <w:rStyle w:val="21"/>
          <w:rFonts w:ascii="黑体" w:hAnsi="黑体" w:eastAsia="黑体" w:cs="黑体"/>
          <w:spacing w:val="15"/>
          <w:sz w:val="28"/>
          <w:szCs w:val="28"/>
        </w:rPr>
        <w:t>包人用于本工程施工的机械设备表</w:t>
      </w:r>
    </w:p>
    <w:tbl>
      <w:tblPr>
        <w:tblStyle w:val="19"/>
        <w:tblpPr w:leftFromText="180" w:rightFromText="180" w:vertAnchor="text" w:horzAnchor="page" w:tblpX="1217" w:tblpY="99"/>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25"/>
        <w:gridCol w:w="850"/>
        <w:gridCol w:w="1052"/>
        <w:gridCol w:w="878"/>
        <w:gridCol w:w="1023"/>
        <w:gridCol w:w="1483"/>
        <w:gridCol w:w="1023"/>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6" w:hRule="atLeast"/>
        </w:trPr>
        <w:tc>
          <w:tcPr>
            <w:tcW w:w="1174" w:type="dxa"/>
            <w:tcBorders>
              <w:top w:val="single" w:color="000000" w:sz="2" w:space="0"/>
              <w:bottom w:val="single" w:color="000000" w:sz="2" w:space="0"/>
            </w:tcBorders>
            <w:noWrap w:val="0"/>
            <w:vAlign w:val="top"/>
          </w:tcPr>
          <w:p>
            <w:pPr>
              <w:pStyle w:val="54"/>
              <w:spacing w:line="246" w:lineRule="auto"/>
              <w:rPr>
                <w:rStyle w:val="21"/>
                <w:rFonts w:ascii="Arial" w:hAnsi="Calibri" w:eastAsia="宋体" w:cs="Times New Roman"/>
              </w:rPr>
            </w:pPr>
          </w:p>
          <w:p>
            <w:pPr>
              <w:pStyle w:val="54"/>
              <w:spacing w:before="88" w:line="221" w:lineRule="auto"/>
              <w:ind w:left="310"/>
              <w:rPr>
                <w:rStyle w:val="21"/>
                <w:rFonts w:ascii="仿宋" w:hAnsi="仿宋" w:eastAsia="仿宋" w:cs="仿宋"/>
                <w:sz w:val="27"/>
                <w:szCs w:val="27"/>
              </w:rPr>
            </w:pPr>
            <w:r>
              <w:rPr>
                <w:rStyle w:val="21"/>
                <w:rFonts w:ascii="仿宋" w:hAnsi="仿宋" w:eastAsia="仿宋" w:cs="仿宋"/>
                <w:spacing w:val="2"/>
                <w:sz w:val="27"/>
                <w:szCs w:val="27"/>
              </w:rPr>
              <w:t>序号</w:t>
            </w:r>
          </w:p>
        </w:tc>
        <w:tc>
          <w:tcPr>
            <w:tcW w:w="1425" w:type="dxa"/>
            <w:tcBorders>
              <w:top w:val="single" w:color="000000" w:sz="2" w:space="0"/>
              <w:bottom w:val="single" w:color="000000" w:sz="2" w:space="0"/>
            </w:tcBorders>
            <w:noWrap w:val="0"/>
            <w:vAlign w:val="top"/>
          </w:tcPr>
          <w:p>
            <w:pPr>
              <w:pStyle w:val="54"/>
              <w:spacing w:before="105" w:line="447" w:lineRule="exact"/>
              <w:ind w:left="145"/>
              <w:rPr>
                <w:rStyle w:val="21"/>
                <w:rFonts w:ascii="仿宋" w:hAnsi="仿宋" w:eastAsia="仿宋" w:cs="仿宋"/>
                <w:sz w:val="27"/>
                <w:szCs w:val="27"/>
              </w:rPr>
            </w:pPr>
            <w:r>
              <w:rPr>
                <w:rStyle w:val="21"/>
                <w:rFonts w:ascii="仿宋" w:hAnsi="仿宋" w:eastAsia="仿宋" w:cs="仿宋"/>
                <w:spacing w:val="11"/>
                <w:position w:val="13"/>
                <w:sz w:val="27"/>
                <w:szCs w:val="27"/>
              </w:rPr>
              <w:t>机</w:t>
            </w:r>
            <w:r>
              <w:rPr>
                <w:rStyle w:val="21"/>
                <w:rFonts w:ascii="仿宋" w:hAnsi="仿宋" w:eastAsia="仿宋" w:cs="仿宋"/>
                <w:spacing w:val="10"/>
                <w:position w:val="13"/>
                <w:sz w:val="27"/>
                <w:szCs w:val="27"/>
              </w:rPr>
              <w:t>械或设</w:t>
            </w:r>
          </w:p>
          <w:p>
            <w:pPr>
              <w:pStyle w:val="54"/>
              <w:spacing w:line="219" w:lineRule="auto"/>
              <w:ind w:left="292"/>
              <w:rPr>
                <w:rStyle w:val="21"/>
                <w:rFonts w:ascii="仿宋" w:hAnsi="仿宋" w:eastAsia="仿宋" w:cs="仿宋"/>
                <w:sz w:val="27"/>
                <w:szCs w:val="27"/>
              </w:rPr>
            </w:pPr>
            <w:r>
              <w:rPr>
                <w:rStyle w:val="21"/>
                <w:rFonts w:ascii="仿宋" w:hAnsi="仿宋" w:eastAsia="仿宋" w:cs="仿宋"/>
                <w:spacing w:val="8"/>
                <w:sz w:val="27"/>
                <w:szCs w:val="27"/>
              </w:rPr>
              <w:t>备</w:t>
            </w:r>
            <w:r>
              <w:rPr>
                <w:rStyle w:val="21"/>
                <w:rFonts w:ascii="仿宋" w:hAnsi="仿宋" w:eastAsia="仿宋" w:cs="仿宋"/>
                <w:spacing w:val="6"/>
                <w:sz w:val="27"/>
                <w:szCs w:val="27"/>
              </w:rPr>
              <w:t>名称</w:t>
            </w:r>
          </w:p>
        </w:tc>
        <w:tc>
          <w:tcPr>
            <w:tcW w:w="850" w:type="dxa"/>
            <w:tcBorders>
              <w:top w:val="single" w:color="000000" w:sz="2" w:space="0"/>
              <w:bottom w:val="single" w:color="000000" w:sz="2" w:space="0"/>
            </w:tcBorders>
            <w:noWrap w:val="0"/>
            <w:vAlign w:val="top"/>
          </w:tcPr>
          <w:p>
            <w:pPr>
              <w:pStyle w:val="54"/>
              <w:spacing w:before="105" w:line="447" w:lineRule="exact"/>
              <w:ind w:left="133"/>
              <w:rPr>
                <w:rStyle w:val="21"/>
                <w:rFonts w:ascii="仿宋" w:hAnsi="仿宋" w:eastAsia="仿宋" w:cs="仿宋"/>
                <w:sz w:val="27"/>
                <w:szCs w:val="27"/>
              </w:rPr>
            </w:pPr>
            <w:r>
              <w:rPr>
                <w:rStyle w:val="21"/>
                <w:rFonts w:ascii="仿宋" w:hAnsi="仿宋" w:eastAsia="仿宋" w:cs="仿宋"/>
                <w:spacing w:val="2"/>
                <w:position w:val="13"/>
                <w:sz w:val="27"/>
                <w:szCs w:val="27"/>
              </w:rPr>
              <w:t>规格</w:t>
            </w:r>
          </w:p>
          <w:p>
            <w:pPr>
              <w:pStyle w:val="54"/>
              <w:spacing w:before="1" w:line="221" w:lineRule="auto"/>
              <w:ind w:left="147"/>
              <w:rPr>
                <w:rStyle w:val="21"/>
                <w:rFonts w:ascii="仿宋" w:hAnsi="仿宋" w:eastAsia="仿宋" w:cs="仿宋"/>
                <w:sz w:val="27"/>
                <w:szCs w:val="27"/>
              </w:rPr>
            </w:pPr>
            <w:r>
              <w:rPr>
                <w:rStyle w:val="21"/>
                <w:rFonts w:ascii="仿宋" w:hAnsi="仿宋" w:eastAsia="仿宋" w:cs="仿宋"/>
                <w:spacing w:val="-3"/>
                <w:sz w:val="27"/>
                <w:szCs w:val="27"/>
              </w:rPr>
              <w:t>型</w:t>
            </w:r>
            <w:r>
              <w:rPr>
                <w:rStyle w:val="21"/>
                <w:rFonts w:ascii="仿宋" w:hAnsi="仿宋" w:eastAsia="仿宋" w:cs="仿宋"/>
                <w:spacing w:val="-2"/>
                <w:sz w:val="27"/>
                <w:szCs w:val="27"/>
              </w:rPr>
              <w:t>号</w:t>
            </w:r>
          </w:p>
        </w:tc>
        <w:tc>
          <w:tcPr>
            <w:tcW w:w="1052" w:type="dxa"/>
            <w:tcBorders>
              <w:top w:val="single" w:color="000000" w:sz="2" w:space="0"/>
              <w:bottom w:val="single" w:color="000000" w:sz="2" w:space="0"/>
            </w:tcBorders>
            <w:noWrap w:val="0"/>
            <w:vAlign w:val="top"/>
          </w:tcPr>
          <w:p>
            <w:pPr>
              <w:pStyle w:val="54"/>
              <w:spacing w:line="247" w:lineRule="auto"/>
              <w:rPr>
                <w:rStyle w:val="21"/>
                <w:rFonts w:ascii="Arial" w:hAnsi="Calibri" w:eastAsia="宋体" w:cs="Times New Roman"/>
              </w:rPr>
            </w:pPr>
          </w:p>
          <w:p>
            <w:pPr>
              <w:pStyle w:val="54"/>
              <w:spacing w:before="88" w:line="221" w:lineRule="auto"/>
              <w:ind w:left="234"/>
              <w:rPr>
                <w:rStyle w:val="21"/>
                <w:rFonts w:ascii="仿宋" w:hAnsi="仿宋" w:eastAsia="仿宋" w:cs="仿宋"/>
                <w:sz w:val="27"/>
                <w:szCs w:val="27"/>
              </w:rPr>
            </w:pPr>
            <w:r>
              <w:rPr>
                <w:rStyle w:val="21"/>
                <w:rFonts w:ascii="仿宋" w:hAnsi="仿宋" w:eastAsia="仿宋" w:cs="仿宋"/>
                <w:spacing w:val="2"/>
                <w:sz w:val="27"/>
                <w:szCs w:val="27"/>
              </w:rPr>
              <w:t>数量</w:t>
            </w:r>
          </w:p>
        </w:tc>
        <w:tc>
          <w:tcPr>
            <w:tcW w:w="878" w:type="dxa"/>
            <w:tcBorders>
              <w:top w:val="single" w:color="000000" w:sz="2" w:space="0"/>
              <w:bottom w:val="single" w:color="000000" w:sz="2" w:space="0"/>
            </w:tcBorders>
            <w:noWrap w:val="0"/>
            <w:vAlign w:val="top"/>
          </w:tcPr>
          <w:p>
            <w:pPr>
              <w:pStyle w:val="54"/>
              <w:spacing w:line="247" w:lineRule="auto"/>
              <w:rPr>
                <w:rStyle w:val="21"/>
                <w:rFonts w:ascii="Arial" w:hAnsi="Calibri" w:eastAsia="宋体" w:cs="Times New Roman"/>
              </w:rPr>
            </w:pPr>
          </w:p>
          <w:p>
            <w:pPr>
              <w:pStyle w:val="54"/>
              <w:spacing w:before="87" w:line="222" w:lineRule="auto"/>
              <w:ind w:left="165"/>
              <w:rPr>
                <w:rStyle w:val="21"/>
                <w:rFonts w:ascii="仿宋" w:hAnsi="仿宋" w:eastAsia="仿宋" w:cs="仿宋"/>
                <w:sz w:val="27"/>
                <w:szCs w:val="27"/>
              </w:rPr>
            </w:pPr>
            <w:r>
              <w:rPr>
                <w:rStyle w:val="21"/>
                <w:rFonts w:ascii="仿宋" w:hAnsi="仿宋" w:eastAsia="仿宋" w:cs="仿宋"/>
                <w:spacing w:val="1"/>
                <w:sz w:val="27"/>
                <w:szCs w:val="27"/>
              </w:rPr>
              <w:t>产</w:t>
            </w:r>
            <w:r>
              <w:rPr>
                <w:rStyle w:val="21"/>
                <w:rFonts w:ascii="仿宋" w:hAnsi="仿宋" w:eastAsia="仿宋" w:cs="仿宋"/>
                <w:sz w:val="27"/>
                <w:szCs w:val="27"/>
              </w:rPr>
              <w:t>地</w:t>
            </w:r>
          </w:p>
        </w:tc>
        <w:tc>
          <w:tcPr>
            <w:tcW w:w="1023" w:type="dxa"/>
            <w:tcBorders>
              <w:top w:val="single" w:color="000000" w:sz="2" w:space="0"/>
              <w:bottom w:val="single" w:color="000000" w:sz="2" w:space="0"/>
            </w:tcBorders>
            <w:noWrap w:val="0"/>
            <w:vAlign w:val="top"/>
          </w:tcPr>
          <w:p>
            <w:pPr>
              <w:pStyle w:val="54"/>
              <w:spacing w:before="105" w:line="447" w:lineRule="exact"/>
              <w:ind w:left="238"/>
              <w:rPr>
                <w:rStyle w:val="21"/>
                <w:rFonts w:ascii="仿宋" w:hAnsi="仿宋" w:eastAsia="仿宋" w:cs="仿宋"/>
                <w:sz w:val="27"/>
                <w:szCs w:val="27"/>
              </w:rPr>
            </w:pPr>
            <w:r>
              <w:rPr>
                <w:rStyle w:val="21"/>
                <w:rFonts w:ascii="仿宋" w:hAnsi="仿宋" w:eastAsia="仿宋" w:cs="仿宋"/>
                <w:spacing w:val="1"/>
                <w:position w:val="13"/>
                <w:sz w:val="27"/>
                <w:szCs w:val="27"/>
              </w:rPr>
              <w:t>制造</w:t>
            </w:r>
          </w:p>
          <w:p>
            <w:pPr>
              <w:pStyle w:val="54"/>
              <w:spacing w:line="220" w:lineRule="auto"/>
              <w:ind w:left="243"/>
              <w:rPr>
                <w:rStyle w:val="21"/>
                <w:rFonts w:ascii="仿宋" w:hAnsi="仿宋" w:eastAsia="仿宋" w:cs="仿宋"/>
                <w:sz w:val="27"/>
                <w:szCs w:val="27"/>
              </w:rPr>
            </w:pPr>
            <w:r>
              <w:rPr>
                <w:rStyle w:val="21"/>
                <w:rFonts w:ascii="仿宋" w:hAnsi="仿宋" w:eastAsia="仿宋" w:cs="仿宋"/>
                <w:spacing w:val="-1"/>
                <w:sz w:val="27"/>
                <w:szCs w:val="27"/>
              </w:rPr>
              <w:t>年</w:t>
            </w:r>
            <w:r>
              <w:rPr>
                <w:rStyle w:val="21"/>
                <w:rFonts w:ascii="仿宋" w:hAnsi="仿宋" w:eastAsia="仿宋" w:cs="仿宋"/>
                <w:sz w:val="27"/>
                <w:szCs w:val="27"/>
              </w:rPr>
              <w:t>份</w:t>
            </w:r>
          </w:p>
        </w:tc>
        <w:tc>
          <w:tcPr>
            <w:tcW w:w="1483" w:type="dxa"/>
            <w:tcBorders>
              <w:top w:val="single" w:color="000000" w:sz="2" w:space="0"/>
              <w:bottom w:val="single" w:color="000000" w:sz="2" w:space="0"/>
            </w:tcBorders>
            <w:noWrap w:val="0"/>
            <w:vAlign w:val="top"/>
          </w:tcPr>
          <w:p>
            <w:pPr>
              <w:pStyle w:val="54"/>
              <w:spacing w:before="106" w:line="221" w:lineRule="auto"/>
              <w:ind w:left="179"/>
              <w:rPr>
                <w:rStyle w:val="21"/>
                <w:rFonts w:ascii="仿宋" w:hAnsi="仿宋" w:eastAsia="仿宋" w:cs="仿宋"/>
                <w:sz w:val="27"/>
                <w:szCs w:val="27"/>
              </w:rPr>
            </w:pPr>
            <w:r>
              <w:rPr>
                <w:rStyle w:val="21"/>
                <w:rFonts w:ascii="仿宋" w:hAnsi="仿宋" w:eastAsia="仿宋" w:cs="仿宋"/>
                <w:spacing w:val="11"/>
                <w:sz w:val="27"/>
                <w:szCs w:val="27"/>
              </w:rPr>
              <w:t>额</w:t>
            </w:r>
            <w:r>
              <w:rPr>
                <w:rStyle w:val="21"/>
                <w:rFonts w:ascii="仿宋" w:hAnsi="仿宋" w:eastAsia="仿宋" w:cs="仿宋"/>
                <w:spacing w:val="10"/>
                <w:sz w:val="27"/>
                <w:szCs w:val="27"/>
              </w:rPr>
              <w:t>定功率</w:t>
            </w:r>
          </w:p>
          <w:p>
            <w:pPr>
              <w:pStyle w:val="54"/>
              <w:spacing w:before="123" w:line="222" w:lineRule="auto"/>
              <w:ind w:left="282"/>
              <w:rPr>
                <w:rStyle w:val="21"/>
                <w:rFonts w:ascii="仿宋" w:hAnsi="仿宋" w:eastAsia="仿宋" w:cs="仿宋"/>
                <w:sz w:val="27"/>
                <w:szCs w:val="27"/>
              </w:rPr>
            </w:pPr>
            <w:r>
              <w:rPr>
                <w:rStyle w:val="21"/>
                <w:rFonts w:ascii="仿宋" w:hAnsi="仿宋" w:eastAsia="仿宋" w:cs="仿宋"/>
                <w:spacing w:val="66"/>
                <w:sz w:val="27"/>
                <w:szCs w:val="27"/>
              </w:rPr>
              <w:t>(</w:t>
            </w:r>
            <w:r>
              <w:rPr>
                <w:rStyle w:val="21"/>
                <w:rFonts w:ascii="Times New Roman" w:hAnsi="Times New Roman" w:eastAsia="Times New Roman" w:cs="Times New Roman"/>
                <w:sz w:val="27"/>
                <w:szCs w:val="27"/>
              </w:rPr>
              <w:t>kW</w:t>
            </w:r>
            <w:r>
              <w:rPr>
                <w:rStyle w:val="21"/>
                <w:rFonts w:ascii="仿宋" w:hAnsi="仿宋" w:eastAsia="仿宋" w:cs="仿宋"/>
                <w:spacing w:val="65"/>
                <w:sz w:val="27"/>
                <w:szCs w:val="27"/>
              </w:rPr>
              <w:t>)</w:t>
            </w:r>
          </w:p>
        </w:tc>
        <w:tc>
          <w:tcPr>
            <w:tcW w:w="1023" w:type="dxa"/>
            <w:tcBorders>
              <w:top w:val="single" w:color="000000" w:sz="2" w:space="0"/>
              <w:bottom w:val="single" w:color="000000" w:sz="2" w:space="0"/>
            </w:tcBorders>
            <w:noWrap w:val="0"/>
            <w:vAlign w:val="top"/>
          </w:tcPr>
          <w:p>
            <w:pPr>
              <w:pStyle w:val="54"/>
              <w:spacing w:before="105" w:line="447" w:lineRule="exact"/>
              <w:ind w:left="256"/>
              <w:rPr>
                <w:rStyle w:val="21"/>
                <w:rFonts w:ascii="仿宋" w:hAnsi="仿宋" w:eastAsia="仿宋" w:cs="仿宋"/>
                <w:sz w:val="27"/>
                <w:szCs w:val="27"/>
              </w:rPr>
            </w:pPr>
            <w:r>
              <w:rPr>
                <w:rStyle w:val="21"/>
                <w:rFonts w:ascii="仿宋" w:hAnsi="仿宋" w:eastAsia="仿宋" w:cs="仿宋"/>
                <w:spacing w:val="-4"/>
                <w:position w:val="12"/>
                <w:sz w:val="27"/>
                <w:szCs w:val="27"/>
              </w:rPr>
              <w:t>生</w:t>
            </w:r>
            <w:r>
              <w:rPr>
                <w:rStyle w:val="21"/>
                <w:rFonts w:ascii="仿宋" w:hAnsi="仿宋" w:eastAsia="仿宋" w:cs="仿宋"/>
                <w:spacing w:val="-3"/>
                <w:position w:val="12"/>
                <w:sz w:val="27"/>
                <w:szCs w:val="27"/>
              </w:rPr>
              <w:t>产</w:t>
            </w:r>
          </w:p>
          <w:p>
            <w:pPr>
              <w:pStyle w:val="54"/>
              <w:spacing w:before="1" w:line="219" w:lineRule="auto"/>
              <w:ind w:left="256"/>
              <w:rPr>
                <w:rStyle w:val="21"/>
                <w:rFonts w:ascii="仿宋" w:hAnsi="仿宋" w:eastAsia="仿宋" w:cs="仿宋"/>
                <w:sz w:val="27"/>
                <w:szCs w:val="27"/>
              </w:rPr>
            </w:pPr>
            <w:r>
              <w:rPr>
                <w:rStyle w:val="21"/>
                <w:rFonts w:ascii="仿宋" w:hAnsi="仿宋" w:eastAsia="仿宋" w:cs="仿宋"/>
                <w:spacing w:val="-4"/>
                <w:sz w:val="27"/>
                <w:szCs w:val="27"/>
              </w:rPr>
              <w:t>能</w:t>
            </w:r>
            <w:r>
              <w:rPr>
                <w:rStyle w:val="21"/>
                <w:rFonts w:ascii="仿宋" w:hAnsi="仿宋" w:eastAsia="仿宋" w:cs="仿宋"/>
                <w:spacing w:val="-3"/>
                <w:sz w:val="27"/>
                <w:szCs w:val="27"/>
              </w:rPr>
              <w:t>力</w:t>
            </w:r>
          </w:p>
        </w:tc>
        <w:tc>
          <w:tcPr>
            <w:tcW w:w="929" w:type="dxa"/>
            <w:tcBorders>
              <w:top w:val="single" w:color="000000" w:sz="2" w:space="0"/>
              <w:bottom w:val="single" w:color="000000" w:sz="2" w:space="0"/>
            </w:tcBorders>
            <w:noWrap w:val="0"/>
            <w:vAlign w:val="top"/>
          </w:tcPr>
          <w:p>
            <w:pPr>
              <w:pStyle w:val="54"/>
              <w:spacing w:line="246" w:lineRule="auto"/>
              <w:rPr>
                <w:rStyle w:val="21"/>
                <w:rFonts w:ascii="Arial" w:hAnsi="Calibri" w:eastAsia="宋体" w:cs="Times New Roman"/>
              </w:rPr>
            </w:pPr>
          </w:p>
          <w:p>
            <w:pPr>
              <w:pStyle w:val="54"/>
              <w:spacing w:before="88" w:line="223" w:lineRule="auto"/>
              <w:ind w:left="185"/>
              <w:rPr>
                <w:rStyle w:val="21"/>
                <w:rFonts w:ascii="仿宋" w:hAnsi="仿宋" w:eastAsia="仿宋" w:cs="仿宋"/>
                <w:sz w:val="27"/>
                <w:szCs w:val="27"/>
              </w:rPr>
            </w:pPr>
            <w:r>
              <w:rPr>
                <w:rStyle w:val="21"/>
                <w:rFonts w:ascii="仿宋" w:hAnsi="仿宋" w:eastAsia="仿宋" w:cs="仿宋"/>
                <w:spacing w:val="1"/>
                <w:sz w:val="27"/>
                <w:szCs w:val="27"/>
              </w:rPr>
              <w:t>备</w:t>
            </w:r>
            <w:r>
              <w:rPr>
                <w:rStyle w:val="21"/>
                <w:rFonts w:ascii="仿宋" w:hAnsi="仿宋" w:eastAsia="仿宋" w:cs="仿宋"/>
                <w:sz w:val="27"/>
                <w:szCs w:val="2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6"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174"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pPr>
              <w:pStyle w:val="54"/>
              <w:rPr>
                <w:rStyle w:val="21"/>
                <w:rFonts w:ascii="Arial" w:hAnsi="Calibri" w:eastAsia="宋体" w:cs="Times New Roman"/>
              </w:rPr>
            </w:pPr>
          </w:p>
        </w:tc>
      </w:tr>
    </w:tbl>
    <w:p>
      <w:pPr>
        <w:pStyle w:val="54"/>
        <w:spacing w:line="103" w:lineRule="exact"/>
        <w:rPr>
          <w:rStyle w:val="21"/>
          <w:rFonts w:ascii="Calibri" w:hAnsi="Calibri" w:eastAsia="宋体" w:cs="Times New Roman"/>
        </w:rPr>
      </w:pPr>
    </w:p>
    <w:p>
      <w:pPr>
        <w:pStyle w:val="54"/>
        <w:spacing w:before="85" w:line="220"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仿宋" w:hAnsi="仿宋" w:eastAsia="仿宋" w:cs="仿宋"/>
          <w:spacing w:val="-15"/>
          <w:sz w:val="30"/>
          <w:szCs w:val="30"/>
        </w:rPr>
      </w:pPr>
    </w:p>
    <w:p>
      <w:pPr>
        <w:pStyle w:val="54"/>
        <w:spacing w:line="259" w:lineRule="auto"/>
        <w:rPr>
          <w:rStyle w:val="21"/>
          <w:rFonts w:ascii="Arial" w:hAnsi="Calibri" w:eastAsia="宋体" w:cs="Times New Roman"/>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3</w:t>
      </w:r>
      <w:r>
        <w:rPr>
          <w:rStyle w:val="21"/>
          <w:rFonts w:ascii="仿宋" w:hAnsi="仿宋" w:eastAsia="仿宋" w:cs="仿宋"/>
          <w:spacing w:val="-15"/>
          <w:sz w:val="30"/>
          <w:szCs w:val="30"/>
        </w:rPr>
        <w:t>：</w:t>
      </w:r>
    </w:p>
    <w:p>
      <w:pPr>
        <w:pStyle w:val="52"/>
        <w:spacing w:before="120" w:beforeLines="50" w:after="120" w:afterLines="50" w:line="440" w:lineRule="exact"/>
        <w:jc w:val="center"/>
        <w:rPr>
          <w:rFonts w:hint="eastAsia" w:ascii="宋体" w:hAnsi="宋体"/>
          <w:sz w:val="28"/>
          <w:szCs w:val="28"/>
        </w:rPr>
      </w:pPr>
      <w:r>
        <w:rPr>
          <w:rFonts w:hint="eastAsia" w:ascii="宋体" w:hAnsi="宋体"/>
          <w:sz w:val="28"/>
          <w:szCs w:val="28"/>
        </w:rPr>
        <w:t>工程质量保修书</w:t>
      </w:r>
    </w:p>
    <w:p>
      <w:pPr>
        <w:pStyle w:val="52"/>
        <w:spacing w:before="120" w:beforeLines="50" w:after="120" w:afterLines="50" w:line="440" w:lineRule="exact"/>
        <w:jc w:val="center"/>
        <w:rPr>
          <w:rFonts w:hint="eastAsia" w:ascii="宋体" w:hAnsi="宋体"/>
          <w:sz w:val="32"/>
          <w:szCs w:val="32"/>
        </w:rPr>
      </w:pPr>
      <w:r>
        <w:rPr>
          <w:rFonts w:hint="eastAsia" w:ascii="宋体" w:hAnsi="宋体"/>
          <w:sz w:val="32"/>
          <w:szCs w:val="32"/>
        </w:rPr>
        <w:t xml:space="preserve"> </w:t>
      </w:r>
    </w:p>
    <w:p>
      <w:pPr>
        <w:pStyle w:val="52"/>
        <w:spacing w:line="440" w:lineRule="exact"/>
        <w:ind w:firstLine="420" w:firstLineChars="200"/>
        <w:rPr>
          <w:rFonts w:hint="eastAsia" w:ascii="宋体" w:hAnsi="宋体"/>
          <w:szCs w:val="21"/>
        </w:rPr>
      </w:pPr>
      <w:r>
        <w:rPr>
          <w:rFonts w:hint="eastAsia" w:ascii="宋体" w:hAnsi="宋体"/>
        </w:rPr>
        <w:t>发包人（全称）：</w:t>
      </w:r>
      <w:r>
        <w:rPr>
          <w:rFonts w:hint="eastAsia" w:ascii="宋体" w:hAnsi="宋体"/>
          <w:u w:val="single"/>
        </w:rPr>
        <w:t xml:space="preserve">         </w:t>
      </w:r>
      <w:r>
        <w:rPr>
          <w:rFonts w:hint="eastAsia" w:ascii="宋体" w:hAnsi="宋体"/>
        </w:rPr>
        <w:t xml:space="preserve"> </w:t>
      </w:r>
    </w:p>
    <w:p>
      <w:pPr>
        <w:pStyle w:val="52"/>
        <w:spacing w:line="440" w:lineRule="exact"/>
        <w:ind w:firstLine="420" w:firstLineChars="200"/>
        <w:rPr>
          <w:rFonts w:hint="eastAsia" w:ascii="宋体" w:hAnsi="宋体"/>
        </w:rPr>
      </w:pPr>
      <w:r>
        <w:rPr>
          <w:rFonts w:hint="eastAsia" w:ascii="宋体" w:hAnsi="宋体"/>
        </w:rPr>
        <w:t>承包人（全称）：</w:t>
      </w:r>
      <w:r>
        <w:rPr>
          <w:rFonts w:hint="eastAsia" w:ascii="宋体" w:hAnsi="宋体"/>
          <w:u w:val="single"/>
        </w:rPr>
        <w:t xml:space="preserve">               </w:t>
      </w:r>
      <w:r>
        <w:rPr>
          <w:rFonts w:hint="eastAsia" w:ascii="宋体" w:hAnsi="宋体"/>
        </w:rPr>
        <w:t xml:space="preserve"> </w:t>
      </w:r>
    </w:p>
    <w:p>
      <w:pPr>
        <w:pStyle w:val="52"/>
        <w:spacing w:line="440" w:lineRule="exact"/>
        <w:rPr>
          <w:rFonts w:hint="eastAsia" w:ascii="宋体" w:hAnsi="宋体"/>
        </w:rPr>
      </w:pPr>
      <w:r>
        <w:rPr>
          <w:rFonts w:hint="eastAsia" w:ascii="宋体" w:hAnsi="宋体"/>
        </w:rPr>
        <w:t xml:space="preserve"> </w:t>
      </w:r>
    </w:p>
    <w:p>
      <w:pPr>
        <w:pStyle w:val="52"/>
        <w:spacing w:line="360" w:lineRule="auto"/>
        <w:ind w:firstLine="420" w:firstLineChars="200"/>
        <w:rPr>
          <w:rFonts w:hint="eastAsia" w:ascii="宋体" w:hAnsi="宋体"/>
        </w:rPr>
      </w:pPr>
      <w:r>
        <w:rPr>
          <w:rFonts w:hint="eastAsia" w:ascii="宋体" w:hAnsi="宋体"/>
        </w:rPr>
        <w:t>发包人和承包人根据《中华人民共和国建筑法》和《建设工程质量管理条例》，经协商一致就</w:t>
      </w:r>
      <w:r>
        <w:rPr>
          <w:rFonts w:hint="eastAsia" w:ascii="宋体" w:hAnsi="宋体"/>
          <w:u w:val="single"/>
        </w:rPr>
        <w:t xml:space="preserve">             </w:t>
      </w:r>
      <w:r>
        <w:rPr>
          <w:rFonts w:hint="eastAsia" w:ascii="宋体" w:hAnsi="宋体"/>
        </w:rPr>
        <w:t>（工程全称）签订工程质量保修书。</w:t>
      </w:r>
    </w:p>
    <w:p>
      <w:pPr>
        <w:pStyle w:val="52"/>
        <w:spacing w:line="360" w:lineRule="auto"/>
        <w:ind w:firstLine="420" w:firstLineChars="200"/>
        <w:rPr>
          <w:rFonts w:hint="eastAsia" w:ascii="宋体" w:hAnsi="宋体"/>
        </w:rPr>
      </w:pPr>
      <w:r>
        <w:rPr>
          <w:rFonts w:hint="eastAsia" w:ascii="宋体" w:hAnsi="宋体"/>
        </w:rPr>
        <w:t>一、工程质量保修范围和内容</w:t>
      </w:r>
    </w:p>
    <w:p>
      <w:pPr>
        <w:pStyle w:val="52"/>
        <w:spacing w:line="360" w:lineRule="auto"/>
        <w:ind w:firstLine="420" w:firstLineChars="200"/>
        <w:rPr>
          <w:rFonts w:hint="eastAsia" w:ascii="宋体" w:hAnsi="宋体"/>
        </w:rPr>
      </w:pPr>
      <w:r>
        <w:rPr>
          <w:rFonts w:hint="eastAsia" w:ascii="宋体" w:hAnsi="宋体"/>
        </w:rPr>
        <w:t>承包人在质量保修期内，按照有关法律规定和合同约定，承担工程质量保修责任。</w:t>
      </w:r>
    </w:p>
    <w:p>
      <w:pPr>
        <w:pStyle w:val="52"/>
        <w:spacing w:line="360" w:lineRule="auto"/>
        <w:ind w:firstLine="420"/>
        <w:rPr>
          <w:rFonts w:hint="eastAsia" w:ascii="宋体" w:hAnsi="宋体"/>
        </w:rPr>
      </w:pPr>
      <w:r>
        <w:rPr>
          <w:rFonts w:hint="eastAsia" w:ascii="宋体" w:hAnsi="宋体"/>
        </w:rPr>
        <w:t>质量保修范围包括地基基础工程、主体结构工程，屋面防水工程、有防水要求的卫生间、房间和外墙面的防渗漏，供热与供冷系统，电气管线、给排水管道、设备安装和装修工程，以及双方约定的其他项目。具体保修的内</w:t>
      </w:r>
      <w:r>
        <w:rPr>
          <w:rFonts w:hint="eastAsia" w:ascii="宋体" w:hAnsi="宋体"/>
          <w:color w:val="auto"/>
        </w:rPr>
        <w:t>容，双方约定如下：</w:t>
      </w:r>
      <w:r>
        <w:rPr>
          <w:rFonts w:hint="eastAsia" w:ascii="宋体" w:hAnsi="宋体"/>
          <w:color w:val="auto"/>
          <w:u w:val="single"/>
          <w:lang w:val="en-US" w:eastAsia="zh-CN"/>
        </w:rPr>
        <w:t xml:space="preserve">                        </w:t>
      </w:r>
      <w:r>
        <w:rPr>
          <w:rFonts w:hint="eastAsia" w:ascii="宋体" w:hAnsi="宋体"/>
          <w:color w:val="auto"/>
        </w:rPr>
        <w:t>。</w:t>
      </w:r>
    </w:p>
    <w:p>
      <w:pPr>
        <w:pStyle w:val="52"/>
        <w:spacing w:line="360" w:lineRule="auto"/>
        <w:ind w:firstLine="420"/>
        <w:rPr>
          <w:rFonts w:hint="eastAsia" w:ascii="宋体" w:hAnsi="宋体"/>
        </w:rPr>
      </w:pPr>
      <w:r>
        <w:rPr>
          <w:rFonts w:hint="eastAsia" w:ascii="宋体" w:hAnsi="宋体"/>
        </w:rPr>
        <w:t>二、质量保修期</w:t>
      </w:r>
    </w:p>
    <w:p>
      <w:pPr>
        <w:pStyle w:val="52"/>
        <w:spacing w:line="360" w:lineRule="auto"/>
        <w:ind w:firstLine="420"/>
        <w:rPr>
          <w:rFonts w:hint="eastAsia" w:ascii="宋体" w:hAnsi="宋体"/>
        </w:rPr>
      </w:pPr>
      <w:r>
        <w:rPr>
          <w:rFonts w:hint="eastAsia" w:ascii="宋体" w:hAnsi="宋体"/>
        </w:rPr>
        <w:t>根据《建设工程质量管理条例》及有关规定，工程的质量保修期如下：</w:t>
      </w:r>
    </w:p>
    <w:p>
      <w:pPr>
        <w:pStyle w:val="52"/>
        <w:spacing w:line="360" w:lineRule="auto"/>
        <w:ind w:firstLine="420"/>
        <w:rPr>
          <w:rFonts w:hint="eastAsia" w:ascii="宋体" w:hAnsi="宋体"/>
        </w:rPr>
      </w:pPr>
      <w:r>
        <w:rPr>
          <w:rFonts w:hint="eastAsia" w:ascii="宋体" w:hAnsi="宋体"/>
        </w:rPr>
        <w:t>1．地基基础工程和主体结构工程为设计文件规定的工程合理使用年限；</w:t>
      </w:r>
    </w:p>
    <w:p>
      <w:pPr>
        <w:pStyle w:val="52"/>
        <w:spacing w:line="360" w:lineRule="auto"/>
        <w:ind w:firstLine="420"/>
        <w:rPr>
          <w:rFonts w:hint="eastAsia" w:ascii="宋体" w:hAnsi="宋体"/>
        </w:rPr>
      </w:pPr>
      <w:r>
        <w:rPr>
          <w:rFonts w:hint="eastAsia" w:ascii="宋体" w:hAnsi="宋体"/>
        </w:rPr>
        <w:t>2．屋面防水工程、有防水要求的卫生间、房间和外墙面的防渗为</w:t>
      </w:r>
      <w:r>
        <w:rPr>
          <w:rFonts w:hint="eastAsia" w:ascii="宋体" w:hAnsi="宋体"/>
          <w:u w:val="single"/>
        </w:rPr>
        <w:t xml:space="preserve">    </w:t>
      </w:r>
      <w:r>
        <w:rPr>
          <w:rFonts w:hint="eastAsia" w:ascii="宋体" w:hAnsi="宋体"/>
        </w:rPr>
        <w:t>年；</w:t>
      </w:r>
    </w:p>
    <w:p>
      <w:pPr>
        <w:pStyle w:val="52"/>
        <w:spacing w:line="360" w:lineRule="auto"/>
        <w:ind w:firstLine="420"/>
        <w:rPr>
          <w:rFonts w:hint="eastAsia" w:ascii="宋体" w:hAnsi="宋体"/>
        </w:rPr>
      </w:pPr>
      <w:r>
        <w:rPr>
          <w:rFonts w:hint="eastAsia" w:ascii="宋体" w:hAnsi="宋体"/>
        </w:rPr>
        <w:t>3．装修工程为</w:t>
      </w:r>
      <w:r>
        <w:rPr>
          <w:rFonts w:hint="eastAsia" w:ascii="宋体" w:hAnsi="宋体"/>
          <w:u w:val="single"/>
        </w:rPr>
        <w:t xml:space="preserve">    </w:t>
      </w:r>
      <w:r>
        <w:rPr>
          <w:rFonts w:hint="eastAsia" w:ascii="宋体" w:hAnsi="宋体"/>
        </w:rPr>
        <w:t>年；</w:t>
      </w:r>
    </w:p>
    <w:p>
      <w:pPr>
        <w:pStyle w:val="52"/>
        <w:spacing w:line="360" w:lineRule="auto"/>
        <w:ind w:firstLine="420"/>
        <w:rPr>
          <w:rFonts w:hint="eastAsia" w:ascii="宋体" w:hAnsi="宋体"/>
        </w:rPr>
      </w:pPr>
      <w:r>
        <w:rPr>
          <w:rFonts w:hint="eastAsia" w:ascii="宋体" w:hAnsi="宋体"/>
        </w:rPr>
        <w:t>4．电气管线、给排水管道、设备安装工程为</w:t>
      </w:r>
      <w:r>
        <w:rPr>
          <w:rFonts w:hint="eastAsia" w:ascii="宋体" w:hAnsi="宋体"/>
          <w:u w:val="single"/>
        </w:rPr>
        <w:t xml:space="preserve">    </w:t>
      </w:r>
      <w:r>
        <w:rPr>
          <w:rFonts w:hint="eastAsia" w:ascii="宋体" w:hAnsi="宋体"/>
        </w:rPr>
        <w:t>年；</w:t>
      </w:r>
    </w:p>
    <w:p>
      <w:pPr>
        <w:pStyle w:val="52"/>
        <w:spacing w:line="360" w:lineRule="auto"/>
        <w:ind w:firstLine="420"/>
        <w:rPr>
          <w:rFonts w:hint="eastAsia" w:ascii="宋体" w:hAnsi="宋体"/>
        </w:rPr>
      </w:pPr>
      <w:r>
        <w:rPr>
          <w:rFonts w:hint="eastAsia" w:ascii="宋体" w:hAnsi="宋体"/>
        </w:rPr>
        <w:t>5．供热与供冷系统为</w:t>
      </w:r>
      <w:r>
        <w:rPr>
          <w:rFonts w:hint="eastAsia" w:ascii="宋体" w:hAnsi="宋体"/>
          <w:u w:val="single"/>
        </w:rPr>
        <w:t xml:space="preserve">     </w:t>
      </w:r>
      <w:r>
        <w:rPr>
          <w:rFonts w:hint="eastAsia" w:ascii="宋体" w:hAnsi="宋体"/>
        </w:rPr>
        <w:t>个采暖期、供冷期；</w:t>
      </w:r>
    </w:p>
    <w:p>
      <w:pPr>
        <w:pStyle w:val="52"/>
        <w:spacing w:line="360" w:lineRule="auto"/>
        <w:ind w:firstLine="420"/>
        <w:rPr>
          <w:rFonts w:hint="eastAsia" w:ascii="宋体" w:hAnsi="宋体"/>
        </w:rPr>
      </w:pPr>
      <w:r>
        <w:rPr>
          <w:rFonts w:hint="eastAsia" w:ascii="宋体" w:hAnsi="宋体"/>
        </w:rPr>
        <w:t>6．住宅小区内的给排水设施、道路等配套工程为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w:t>
      </w:r>
    </w:p>
    <w:p>
      <w:pPr>
        <w:pStyle w:val="52"/>
        <w:spacing w:line="360" w:lineRule="auto"/>
        <w:ind w:firstLine="420"/>
        <w:rPr>
          <w:rFonts w:hint="eastAsia" w:ascii="宋体" w:hAnsi="宋体"/>
        </w:rPr>
      </w:pPr>
      <w:r>
        <w:rPr>
          <w:rFonts w:hint="eastAsia" w:ascii="宋体" w:hAnsi="宋体"/>
        </w:rPr>
        <w:t>7．其他项目保修期限约定如下：</w:t>
      </w:r>
    </w:p>
    <w:p>
      <w:pPr>
        <w:pStyle w:val="52"/>
        <w:spacing w:line="360" w:lineRule="auto"/>
        <w:ind w:firstLine="420"/>
        <w:rPr>
          <w:rFonts w:hint="eastAsia" w:ascii="宋体" w:hAnsi="宋体"/>
        </w:rPr>
      </w:pPr>
      <w:r>
        <w:rPr>
          <w:rFonts w:hint="eastAsia" w:ascii="宋体" w:hAnsi="宋体"/>
          <w:u w:val="single"/>
        </w:rPr>
        <w:t xml:space="preserve">                                                                    </w:t>
      </w:r>
      <w:r>
        <w:rPr>
          <w:rFonts w:hint="eastAsia" w:ascii="宋体" w:hAnsi="宋体"/>
        </w:rPr>
        <w:t>。</w:t>
      </w:r>
    </w:p>
    <w:p>
      <w:pPr>
        <w:pStyle w:val="52"/>
        <w:spacing w:line="360" w:lineRule="auto"/>
        <w:ind w:firstLine="420"/>
        <w:rPr>
          <w:rFonts w:hint="eastAsia" w:ascii="宋体" w:hAnsi="宋体"/>
        </w:rPr>
      </w:pPr>
      <w:r>
        <w:rPr>
          <w:rFonts w:hint="eastAsia" w:ascii="宋体" w:hAnsi="宋体"/>
        </w:rPr>
        <w:t>质量保修期自工程竣工验收合格之日起计算。</w:t>
      </w:r>
    </w:p>
    <w:p>
      <w:pPr>
        <w:pStyle w:val="52"/>
        <w:spacing w:line="360" w:lineRule="auto"/>
        <w:ind w:firstLine="420"/>
        <w:rPr>
          <w:rFonts w:hint="eastAsia" w:ascii="宋体" w:hAnsi="宋体"/>
        </w:rPr>
      </w:pPr>
      <w:r>
        <w:rPr>
          <w:rFonts w:hint="eastAsia" w:ascii="宋体" w:hAnsi="宋体"/>
        </w:rPr>
        <w:t>三、缺陷责任期</w:t>
      </w:r>
    </w:p>
    <w:p>
      <w:pPr>
        <w:pStyle w:val="52"/>
        <w:spacing w:line="360" w:lineRule="auto"/>
        <w:ind w:firstLine="420"/>
        <w:rPr>
          <w:rFonts w:hint="eastAsia" w:ascii="宋体" w:hAnsi="宋体"/>
        </w:rPr>
      </w:pPr>
      <w:r>
        <w:rPr>
          <w:rFonts w:hint="eastAsia" w:ascii="宋体" w:hAnsi="宋体"/>
        </w:rPr>
        <w:t>工程缺陷责任期为</w:t>
      </w:r>
      <w:r>
        <w:rPr>
          <w:rFonts w:hint="eastAsia" w:ascii="宋体" w:hAnsi="宋体"/>
          <w:u w:val="single"/>
        </w:rPr>
        <w:t xml:space="preserve"> 24 </w:t>
      </w:r>
      <w:r>
        <w:rPr>
          <w:rFonts w:hint="eastAsia" w:ascii="宋体" w:hAnsi="宋体"/>
        </w:rPr>
        <w:t>个月（最长不超过24个月），缺陷责任期自工程竣工验收合格之日起计算。单位工程先于全部工程进行验收，单位工程缺陷责任期自单位工程验收合格之日起算。</w:t>
      </w:r>
    </w:p>
    <w:p>
      <w:pPr>
        <w:pStyle w:val="52"/>
        <w:spacing w:line="360" w:lineRule="auto"/>
        <w:ind w:firstLine="420"/>
        <w:rPr>
          <w:rFonts w:hint="eastAsia" w:ascii="宋体" w:hAnsi="宋体"/>
        </w:rPr>
      </w:pPr>
      <w:r>
        <w:rPr>
          <w:rFonts w:hint="eastAsia" w:ascii="宋体" w:hAnsi="宋体"/>
        </w:rPr>
        <w:t>缺陷责任期终止后，发包人应退还剩余的质量保证金。</w:t>
      </w:r>
    </w:p>
    <w:p>
      <w:pPr>
        <w:pStyle w:val="52"/>
        <w:spacing w:line="360" w:lineRule="auto"/>
        <w:ind w:firstLine="420"/>
        <w:rPr>
          <w:rFonts w:hint="eastAsia" w:ascii="宋体" w:hAnsi="宋体"/>
        </w:rPr>
      </w:pPr>
      <w:r>
        <w:rPr>
          <w:rFonts w:hint="eastAsia" w:ascii="宋体" w:hAnsi="宋体"/>
        </w:rPr>
        <w:t>四、质量保修责任</w:t>
      </w:r>
    </w:p>
    <w:p>
      <w:pPr>
        <w:pStyle w:val="52"/>
        <w:spacing w:line="360" w:lineRule="auto"/>
        <w:ind w:left="105" w:leftChars="50" w:firstLine="430" w:firstLineChars="205"/>
        <w:rPr>
          <w:rFonts w:hint="eastAsia" w:ascii="宋体" w:hAnsi="宋体"/>
        </w:rPr>
      </w:pPr>
      <w:r>
        <w:rPr>
          <w:rFonts w:hint="eastAsia" w:ascii="宋体" w:hAnsi="宋体"/>
        </w:rPr>
        <w:t>1．属于保修范围、内容的项目，承包人应当在接到保修通知之日起</w:t>
      </w:r>
      <w:r>
        <w:rPr>
          <w:rFonts w:hint="eastAsia" w:ascii="宋体" w:hAnsi="宋体"/>
          <w:u w:val="single"/>
        </w:rPr>
        <w:t xml:space="preserve">   7   </w:t>
      </w:r>
      <w:r>
        <w:rPr>
          <w:rFonts w:hint="eastAsia" w:ascii="宋体" w:hAnsi="宋体"/>
        </w:rPr>
        <w:t>天内派人保修。承包人不在约定期限内派人保修的，发包人可以委托他人修理，修理费用从质量保修金内扣除。</w:t>
      </w:r>
    </w:p>
    <w:p>
      <w:pPr>
        <w:pStyle w:val="52"/>
        <w:spacing w:line="360" w:lineRule="auto"/>
        <w:ind w:firstLine="420"/>
        <w:rPr>
          <w:rFonts w:hint="eastAsia" w:ascii="宋体" w:hAnsi="宋体"/>
        </w:rPr>
      </w:pPr>
      <w:r>
        <w:rPr>
          <w:rFonts w:hint="eastAsia" w:ascii="宋体" w:hAnsi="宋体"/>
        </w:rPr>
        <w:t>2．发生紧急事故需抢修的，承包人在接到事故通知后，应当立即到达事故现场抢修。</w:t>
      </w:r>
    </w:p>
    <w:p>
      <w:pPr>
        <w:pStyle w:val="52"/>
        <w:spacing w:line="360" w:lineRule="auto"/>
        <w:ind w:firstLine="420"/>
        <w:rPr>
          <w:rFonts w:hint="eastAsia" w:ascii="宋体" w:hAnsi="宋体"/>
        </w:rPr>
      </w:pPr>
      <w:r>
        <w:rPr>
          <w:rFonts w:hint="eastAsia" w:ascii="宋体" w:hAnsi="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52"/>
        <w:spacing w:line="360" w:lineRule="auto"/>
        <w:ind w:firstLine="420"/>
        <w:rPr>
          <w:rFonts w:hint="eastAsia" w:ascii="宋体" w:hAnsi="宋体"/>
        </w:rPr>
      </w:pPr>
      <w:r>
        <w:rPr>
          <w:rFonts w:hint="eastAsia" w:ascii="宋体" w:hAnsi="宋体"/>
        </w:rPr>
        <w:t>4．质量保修完成后，由发包人组织验收。</w:t>
      </w:r>
    </w:p>
    <w:p>
      <w:pPr>
        <w:pStyle w:val="52"/>
        <w:spacing w:line="360" w:lineRule="auto"/>
        <w:ind w:firstLine="420"/>
        <w:rPr>
          <w:rFonts w:hint="eastAsia" w:ascii="宋体" w:hAnsi="宋体"/>
        </w:rPr>
      </w:pPr>
      <w:r>
        <w:rPr>
          <w:rFonts w:hint="eastAsia" w:ascii="宋体" w:hAnsi="宋体"/>
        </w:rPr>
        <w:t>五、保修费用</w:t>
      </w:r>
    </w:p>
    <w:p>
      <w:pPr>
        <w:pStyle w:val="52"/>
        <w:spacing w:line="360" w:lineRule="auto"/>
        <w:ind w:firstLine="420"/>
        <w:rPr>
          <w:rFonts w:hint="eastAsia" w:ascii="宋体" w:hAnsi="宋体"/>
        </w:rPr>
      </w:pPr>
      <w:r>
        <w:rPr>
          <w:rFonts w:hint="eastAsia" w:ascii="宋体" w:hAnsi="宋体"/>
        </w:rPr>
        <w:t>保修费用由造成质量缺陷的责任方承担。</w:t>
      </w:r>
    </w:p>
    <w:p>
      <w:pPr>
        <w:pStyle w:val="52"/>
        <w:spacing w:line="360" w:lineRule="auto"/>
        <w:ind w:firstLine="420"/>
        <w:rPr>
          <w:rFonts w:hint="eastAsia" w:ascii="宋体" w:hAnsi="宋体"/>
        </w:rPr>
      </w:pPr>
      <w:r>
        <w:rPr>
          <w:rFonts w:hint="eastAsia" w:ascii="宋体" w:hAnsi="宋体"/>
        </w:rPr>
        <w:t xml:space="preserve">六、双方约定的其他工程质量保修事项： </w:t>
      </w:r>
    </w:p>
    <w:p>
      <w:pPr>
        <w:pStyle w:val="52"/>
        <w:spacing w:line="360" w:lineRule="auto"/>
        <w:ind w:firstLine="420" w:firstLineChars="200"/>
        <w:jc w:val="left"/>
        <w:rPr>
          <w:rFonts w:hint="eastAsia" w:ascii="宋体" w:hAnsi="宋体"/>
        </w:rPr>
      </w:pPr>
      <w:r>
        <w:rPr>
          <w:rFonts w:hint="eastAsia" w:ascii="宋体" w:hAnsi="宋体"/>
          <w:u w:val="single"/>
        </w:rPr>
        <w:t xml:space="preserve">                                                                          </w:t>
      </w:r>
      <w:r>
        <w:rPr>
          <w:rFonts w:hint="eastAsia" w:ascii="宋体" w:hAnsi="宋体"/>
        </w:rPr>
        <w:t>。</w:t>
      </w:r>
    </w:p>
    <w:p>
      <w:pPr>
        <w:pStyle w:val="52"/>
        <w:spacing w:line="360" w:lineRule="auto"/>
        <w:ind w:firstLine="399" w:firstLineChars="190"/>
        <w:rPr>
          <w:rFonts w:hint="eastAsia" w:ascii="宋体" w:hAnsi="宋体"/>
        </w:rPr>
      </w:pPr>
      <w:r>
        <w:rPr>
          <w:rFonts w:hint="eastAsia" w:ascii="宋体" w:hAnsi="宋体"/>
        </w:rPr>
        <w:t>工程质量保修书由发包人、承包人在工程竣工验收前共同签署，作为施工合同附件，其有效期限至保修期满。</w:t>
      </w:r>
    </w:p>
    <w:p>
      <w:pPr>
        <w:pStyle w:val="52"/>
        <w:spacing w:line="360" w:lineRule="auto"/>
        <w:ind w:firstLine="420"/>
        <w:rPr>
          <w:rFonts w:hint="eastAsia" w:ascii="宋体" w:hAnsi="宋体"/>
        </w:rPr>
      </w:pPr>
      <w:r>
        <w:rPr>
          <w:rFonts w:hint="eastAsia" w:ascii="宋体" w:hAnsi="宋体"/>
        </w:rPr>
        <w:t xml:space="preserve"> </w:t>
      </w:r>
    </w:p>
    <w:p>
      <w:pPr>
        <w:pStyle w:val="59"/>
        <w:rPr>
          <w:rFonts w:hint="eastAsia" w:ascii="Calibri" w:hAnsi="Calibri"/>
        </w:rPr>
      </w:pPr>
      <w:r>
        <w:t xml:space="preserve"> </w:t>
      </w:r>
    </w:p>
    <w:p>
      <w:pPr>
        <w:pStyle w:val="52"/>
        <w:spacing w:before="240" w:beforeLines="100" w:line="360" w:lineRule="auto"/>
        <w:ind w:left="-850" w:leftChars="-405" w:right="-1331" w:rightChars="-634" w:firstLine="840" w:firstLineChars="400"/>
        <w:rPr>
          <w:rFonts w:ascii="宋体" w:hAnsi="宋体"/>
        </w:rPr>
      </w:pPr>
      <w:r>
        <w:rPr>
          <w:rFonts w:hint="eastAsia" w:ascii="宋体" w:hAnsi="宋体"/>
        </w:rPr>
        <w:t>发包人：  （盖章）                              承包人：  （盖章）</w:t>
      </w:r>
    </w:p>
    <w:p>
      <w:pPr>
        <w:pStyle w:val="52"/>
        <w:spacing w:line="360" w:lineRule="auto"/>
        <w:ind w:left="-850" w:leftChars="-405" w:right="-1331" w:rightChars="-634" w:firstLine="840" w:firstLineChars="400"/>
        <w:rPr>
          <w:rFonts w:hint="eastAsia"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 xml:space="preserve">                    地  址：</w:t>
      </w:r>
      <w:r>
        <w:rPr>
          <w:rFonts w:hint="eastAsia" w:ascii="宋体" w:hAnsi="宋体"/>
          <w:u w:val="single"/>
        </w:rPr>
        <w:t xml:space="preserve">                      </w:t>
      </w:r>
    </w:p>
    <w:p>
      <w:pPr>
        <w:pStyle w:val="52"/>
        <w:spacing w:line="360" w:lineRule="auto"/>
        <w:ind w:left="-850" w:leftChars="-405" w:right="-1331" w:rightChars="-634" w:firstLine="1680" w:firstLineChars="800"/>
        <w:rPr>
          <w:rFonts w:hint="eastAsia" w:ascii="宋体" w:hAnsi="宋体"/>
          <w:u w:val="single"/>
        </w:rPr>
      </w:pPr>
      <w:r>
        <w:rPr>
          <w:rFonts w:hint="eastAsia" w:ascii="宋体" w:hAnsi="宋体"/>
        </w:rPr>
        <w:t xml:space="preserve">           </w:t>
      </w:r>
    </w:p>
    <w:p>
      <w:pPr>
        <w:pStyle w:val="52"/>
        <w:spacing w:line="360" w:lineRule="auto"/>
        <w:ind w:left="-850" w:leftChars="-405" w:right="-1331" w:rightChars="-634" w:firstLine="840" w:firstLineChars="400"/>
        <w:rPr>
          <w:rFonts w:hint="eastAsia" w:ascii="宋体" w:hAnsi="宋体"/>
        </w:rPr>
      </w:pPr>
      <w:r>
        <w:rPr>
          <w:rFonts w:hint="eastAsia" w:ascii="宋体" w:hAnsi="宋体"/>
        </w:rPr>
        <w:t>法定代表人或其委托代理人：                      法定代表人或其委托代理人：</w:t>
      </w:r>
    </w:p>
    <w:p>
      <w:pPr>
        <w:pStyle w:val="52"/>
        <w:spacing w:line="360" w:lineRule="auto"/>
        <w:ind w:right="-1331" w:rightChars="-634" w:firstLine="1155" w:firstLineChars="550"/>
        <w:rPr>
          <w:rFonts w:hint="eastAsia" w:ascii="宋体" w:hAnsi="宋体"/>
        </w:rPr>
      </w:pPr>
      <w:r>
        <w:rPr>
          <w:rFonts w:hint="eastAsia" w:ascii="宋体" w:hAnsi="宋体"/>
        </w:rPr>
        <w:t>（签字或盖章）                                  （签字或盖章）</w:t>
      </w:r>
    </w:p>
    <w:p>
      <w:pPr>
        <w:pStyle w:val="52"/>
        <w:spacing w:line="360" w:lineRule="auto"/>
        <w:ind w:left="-850" w:leftChars="-405" w:right="-1331" w:rightChars="-634" w:firstLine="840" w:firstLineChars="400"/>
        <w:rPr>
          <w:rFonts w:hint="eastAsia" w:ascii="宋体" w:hAnsi="宋体"/>
        </w:rPr>
      </w:pPr>
      <w:r>
        <w:rPr>
          <w:rFonts w:hint="eastAsia" w:ascii="宋体" w:hAnsi="宋体"/>
        </w:rPr>
        <w:t>电  话：</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p>
    <w:p>
      <w:pPr>
        <w:pStyle w:val="52"/>
        <w:spacing w:line="360" w:lineRule="auto"/>
        <w:ind w:left="-850" w:leftChars="-405" w:right="-1331" w:rightChars="-634" w:firstLine="840" w:firstLineChars="400"/>
        <w:rPr>
          <w:rFonts w:hint="eastAsia" w:ascii="宋体" w:hAnsi="宋体"/>
        </w:rPr>
      </w:pPr>
      <w:r>
        <w:rPr>
          <w:rFonts w:hint="eastAsia" w:ascii="宋体" w:hAnsi="宋体"/>
        </w:rPr>
        <w:t>传  真：</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p>
    <w:p>
      <w:pPr>
        <w:pStyle w:val="52"/>
        <w:spacing w:line="360" w:lineRule="auto"/>
        <w:ind w:left="-141" w:leftChars="-67" w:right="-1331" w:rightChars="-634" w:firstLine="105" w:firstLineChars="50"/>
        <w:rPr>
          <w:rFonts w:hint="eastAsia"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w:t>
      </w:r>
      <w:r>
        <w:rPr>
          <w:rFonts w:hint="eastAsia" w:ascii="宋体" w:hAnsi="宋体"/>
          <w:u w:val="single"/>
        </w:rPr>
        <w:t xml:space="preserve">                           </w:t>
      </w:r>
    </w:p>
    <w:p>
      <w:pPr>
        <w:pStyle w:val="52"/>
        <w:spacing w:line="360" w:lineRule="auto"/>
        <w:ind w:left="-850" w:leftChars="-405" w:right="-1331" w:rightChars="-634" w:firstLine="840" w:firstLineChars="400"/>
        <w:rPr>
          <w:rFonts w:hint="eastAsia" w:ascii="宋体" w:hAnsi="宋体"/>
          <w:bCs/>
          <w:sz w:val="18"/>
          <w:szCs w:val="18"/>
        </w:rPr>
      </w:pPr>
      <w:r>
        <w:rPr>
          <w:rFonts w:hint="eastAsia" w:ascii="宋体" w:hAnsi="宋体"/>
        </w:rPr>
        <w:t>账  号：</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p>
    <w:p>
      <w:pPr>
        <w:pStyle w:val="52"/>
        <w:spacing w:line="360" w:lineRule="auto"/>
        <w:ind w:left="-850" w:leftChars="-405" w:right="-1331" w:rightChars="-634" w:firstLine="840" w:firstLineChars="400"/>
        <w:rPr>
          <w:rFonts w:hint="eastAsia" w:ascii="宋体" w:hAnsi="宋体"/>
          <w:szCs w:val="21"/>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pPr>
        <w:pStyle w:val="54"/>
        <w:spacing w:line="260" w:lineRule="auto"/>
        <w:rPr>
          <w:rStyle w:val="21"/>
          <w:rFonts w:ascii="Arial" w:hAnsi="Calibri" w:eastAsia="宋体" w:cs="Times New Roman"/>
          <w:b/>
          <w:bCs/>
        </w:rPr>
      </w:pPr>
    </w:p>
    <w:p>
      <w:pPr>
        <w:pStyle w:val="54"/>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5" w:lineRule="auto"/>
        <w:rPr>
          <w:rStyle w:val="21"/>
          <w:rFonts w:ascii="Arial" w:hAnsi="Calibri" w:eastAsia="宋体" w:cs="Times New Roman"/>
        </w:rPr>
      </w:pPr>
    </w:p>
    <w:p>
      <w:pPr>
        <w:pStyle w:val="54"/>
        <w:spacing w:line="256" w:lineRule="auto"/>
        <w:rPr>
          <w:rStyle w:val="21"/>
          <w:rFonts w:ascii="Arial" w:hAnsi="Calibri" w:eastAsia="宋体" w:cs="Times New Roman"/>
        </w:rPr>
      </w:pPr>
    </w:p>
    <w:p>
      <w:pPr>
        <w:pStyle w:val="54"/>
        <w:spacing w:before="98" w:line="220" w:lineRule="auto"/>
        <w:rPr>
          <w:rStyle w:val="21"/>
          <w:rFonts w:ascii="仿宋" w:hAnsi="仿宋" w:eastAsia="仿宋" w:cs="仿宋"/>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4</w:t>
      </w:r>
      <w:r>
        <w:rPr>
          <w:rStyle w:val="21"/>
          <w:rFonts w:ascii="仿宋" w:hAnsi="仿宋" w:eastAsia="仿宋" w:cs="仿宋"/>
          <w:spacing w:val="-15"/>
          <w:sz w:val="30"/>
          <w:szCs w:val="30"/>
        </w:rPr>
        <w:t>：</w:t>
      </w:r>
    </w:p>
    <w:p>
      <w:pPr>
        <w:pStyle w:val="6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廉政合同</w:t>
      </w:r>
    </w:p>
    <w:p>
      <w:pPr>
        <w:pStyle w:val="6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根据国家有关工程建设、廉政建设的规定，为做好工程建设中的党风廉政建设，保证工程建设高效优质，保证建设资金的安全和有效使用以及投资效益，建设工程的项目法人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（以下简称“甲方”）与施工单位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（以下简称“乙方”），特订立如下合同。</w:t>
      </w:r>
      <w:bookmarkStart w:id="1262" w:name="_Toc419363880"/>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1.甲乙双方的权利和义务</w:t>
      </w:r>
      <w:bookmarkEnd w:id="1262"/>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（1）严格遵守党和国家的有关法律法规及中纪委监察部的有关规定。</w:t>
      </w:r>
    </w:p>
    <w:p>
      <w:pPr>
        <w:pStyle w:val="60"/>
        <w:snapToGrid w:val="0"/>
        <w:spacing w:line="360" w:lineRule="auto"/>
        <w:ind w:firstLine="41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8"/>
          <w:sz w:val="21"/>
          <w:szCs w:val="21"/>
        </w:rPr>
        <w:t>（2）</w:t>
      </w:r>
      <w:r>
        <w:rPr>
          <w:rFonts w:hint="eastAsia" w:asciiTheme="minorEastAsia" w:hAnsiTheme="minorEastAsia" w:eastAsiaTheme="minorEastAsia" w:cstheme="minorEastAsia"/>
          <w:color w:val="auto"/>
          <w:sz w:val="21"/>
          <w:szCs w:val="21"/>
        </w:rPr>
        <w:t>严格执行</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工程的合同文件，自觉按合同办事。</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（3）双方的业务活动坚持公开、公正、诚信、透明的原则（法律认定的商业秘密和合同文件另有规定除外），不得损害国家和集体利益，违反工程建设管理规章制度。</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（4）建立健全廉政制度，开展廉政教育，设立廉政告示牌，公布举报电话，监督并认真查处违法违纪行为。</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（5）发现对方在业务活动中有违反廉政规定的行为，有及时提醒对方纠正的权利及义务。</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（6）发现对方严重违反本合同义务条款的行为，有向其上级有关部门举报、建议给予处理并要求告知处理结果的权利。</w:t>
      </w:r>
      <w:bookmarkStart w:id="1263" w:name="_Toc419363881"/>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2.甲方的义务</w:t>
      </w:r>
      <w:bookmarkEnd w:id="1263"/>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（1）甲方及其工作人员不得索要或接受乙方的礼金、有价证券和贵重物品，不得在乙方报销任何应由甲方或甲方工作人员个人支付的费用等。</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（2）甲方工作人员不得参加乙方安排的超标准宴请和娱乐活动；不得接受乙方提供的通讯工具、交通工具和高档办公用品等。</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（3）甲方及其工作人员不得要求或者接受乙方为其住房装修、婚丧嫁娶活动、配偶子女的工作安排以及出国出境、旅游等提供方便等。</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（4）甲方工作人及其配偶、子女不得从事与甲方工程有关的材料设备供应、工程分包、劳务等经济活动等。</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（5）甲方及其工作人员不得以任何理由向乙方推荐分包单位或推销材料，不得要求乙方购买合同规定外的材料和设备。</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（6）甲方工作人员要秉公办事，不准营私舞弊，不准利用职权从事各种个人有偿中介活动和安排个人施工队伍。</w:t>
      </w:r>
      <w:bookmarkStart w:id="1264" w:name="_Toc419363882"/>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3.乙方义务</w:t>
      </w:r>
      <w:bookmarkEnd w:id="1264"/>
    </w:p>
    <w:p>
      <w:pPr>
        <w:pStyle w:val="60"/>
        <w:snapToGrid w:val="0"/>
        <w:spacing w:line="36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（1）乙方不得以任何理由向甲方及其工作人员行贿或馈赠礼金、有价证券、贵重礼品。</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（2）乙方不得以任何名义为甲方及其工作人员报销应由甲方单位或个人支付的任何费用。</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（3）乙方不得以任何理由安排甲方工作人员参加超标准宴请及娱乐活动。</w:t>
      </w:r>
    </w:p>
    <w:p>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（4）乙方不得为甲方单位和个人购置或提供通讯工具、交通工具和高档办公用品等。</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4.违约责任</w:t>
      </w:r>
    </w:p>
    <w:p>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（1）甲方及其工作人员违反本合同第一、二条，按管理权限，依据有关规定给予党纪、政纪或组织处理；涉嫌犯罪的，移交司法机关追究刑事责任；给乙方单位造成经济损失的，应予以赔偿。</w:t>
      </w:r>
    </w:p>
    <w:p>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6.本合同有效期为甲乙双签署之日起至该工程项目竣工验收后止。</w:t>
      </w:r>
    </w:p>
    <w:p>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7.本合同作为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工程施工合同的附件，与工程施工合同具有同等的法律效力。</w:t>
      </w:r>
    </w:p>
    <w:p>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8.本合同作为主合同附件。由双方法定代表人或其授权的代理人签署与加盖公章后生效，全部工程竣工验收后失效。</w:t>
      </w:r>
    </w:p>
    <w:p>
      <w:pPr>
        <w:pStyle w:val="60"/>
        <w:spacing w:line="360" w:lineRule="auto"/>
        <w:rPr>
          <w:rFonts w:hint="eastAsia" w:asciiTheme="minorEastAsia" w:hAnsiTheme="minorEastAsia" w:eastAsiaTheme="minorEastAsia" w:cstheme="minorEastAsia"/>
          <w:color w:val="auto"/>
          <w:sz w:val="21"/>
          <w:szCs w:val="21"/>
        </w:rPr>
      </w:pPr>
    </w:p>
    <w:tbl>
      <w:tblPr>
        <w:tblStyle w:val="19"/>
        <w:tblW w:w="8886" w:type="dxa"/>
        <w:tblInd w:w="0" w:type="dxa"/>
        <w:tblLayout w:type="fixed"/>
        <w:tblCellMar>
          <w:top w:w="0" w:type="dxa"/>
          <w:left w:w="108" w:type="dxa"/>
          <w:bottom w:w="0" w:type="dxa"/>
          <w:right w:w="108" w:type="dxa"/>
        </w:tblCellMar>
      </w:tblPr>
      <w:tblGrid>
        <w:gridCol w:w="4443"/>
        <w:gridCol w:w="4443"/>
      </w:tblGrid>
      <w:tr>
        <w:tblPrEx>
          <w:tblLayout w:type="fixed"/>
          <w:tblCellMar>
            <w:top w:w="0" w:type="dxa"/>
            <w:left w:w="108" w:type="dxa"/>
            <w:bottom w:w="0" w:type="dxa"/>
            <w:right w:w="108" w:type="dxa"/>
          </w:tblCellMar>
        </w:tblPrEx>
        <w:trPr>
          <w:trHeight w:val="716" w:hRule="atLeast"/>
        </w:trPr>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发包人（公章）：  </w:t>
            </w:r>
          </w:p>
        </w:tc>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承包人（公章）：  </w:t>
            </w:r>
          </w:p>
        </w:tc>
      </w:tr>
      <w:tr>
        <w:tblPrEx>
          <w:tblLayout w:type="fixed"/>
          <w:tblCellMar>
            <w:top w:w="0" w:type="dxa"/>
            <w:left w:w="108" w:type="dxa"/>
            <w:bottom w:w="0" w:type="dxa"/>
            <w:right w:w="108" w:type="dxa"/>
          </w:tblCellMar>
        </w:tblPrEx>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r>
      <w:tr>
        <w:tblPrEx>
          <w:tblLayout w:type="fixed"/>
          <w:tblCellMar>
            <w:top w:w="0" w:type="dxa"/>
            <w:left w:w="108" w:type="dxa"/>
            <w:bottom w:w="0" w:type="dxa"/>
            <w:right w:w="108" w:type="dxa"/>
          </w:tblCellMar>
        </w:tblPrEx>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r>
      <w:tr>
        <w:tblPrEx>
          <w:tblLayout w:type="fixed"/>
          <w:tblCellMar>
            <w:top w:w="0" w:type="dxa"/>
            <w:left w:w="108" w:type="dxa"/>
            <w:bottom w:w="0" w:type="dxa"/>
            <w:right w:w="108" w:type="dxa"/>
          </w:tblCellMar>
        </w:tblPrEx>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固定电话：</w:t>
            </w:r>
          </w:p>
        </w:tc>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移动电话： </w:t>
            </w:r>
          </w:p>
        </w:tc>
      </w:tr>
      <w:tr>
        <w:tblPrEx>
          <w:tblLayout w:type="fixed"/>
          <w:tblCellMar>
            <w:top w:w="0" w:type="dxa"/>
            <w:left w:w="108" w:type="dxa"/>
            <w:bottom w:w="0" w:type="dxa"/>
            <w:right w:w="108" w:type="dxa"/>
          </w:tblCellMar>
        </w:tblPrEx>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c>
          <w:tcPr>
            <w:tcW w:w="4443" w:type="dxa"/>
            <w:noWrap w:val="0"/>
            <w:vAlign w:val="center"/>
          </w:tcPr>
          <w:p>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r>
    </w:tbl>
    <w:p>
      <w:pPr>
        <w:pStyle w:val="52"/>
        <w:autoSpaceDE w:val="0"/>
        <w:autoSpaceDN w:val="0"/>
        <w:spacing w:line="326" w:lineRule="auto"/>
        <w:ind w:left="1084" w:right="389" w:hanging="660"/>
        <w:rPr>
          <w:rFonts w:ascii="宋体" w:hAnsi="宋体" w:cs="宋体"/>
          <w:color w:val="auto"/>
          <w:kern w:val="0"/>
          <w:sz w:val="24"/>
          <w:szCs w:val="24"/>
          <w:highlight w:val="none"/>
          <w:lang w:bidi="zh-CN"/>
        </w:rPr>
      </w:pPr>
    </w:p>
    <w:bookmarkEnd w:id="134"/>
    <w:p>
      <w:pPr>
        <w:rPr>
          <w:rFonts w:hint="eastAsia"/>
          <w:color w:val="auto"/>
          <w:sz w:val="20"/>
          <w:highlight w:val="none"/>
        </w:rPr>
      </w:pPr>
    </w:p>
    <w:p>
      <w:pPr>
        <w:rPr>
          <w:color w:val="auto"/>
          <w:highlight w:val="none"/>
        </w:rPr>
      </w:pPr>
    </w:p>
    <w:p>
      <w:pPr>
        <w:pStyle w:val="8"/>
        <w:spacing w:before="27"/>
        <w:rPr>
          <w:rFonts w:ascii="Times New Roman"/>
          <w:color w:val="auto"/>
          <w:sz w:val="19"/>
          <w:highlight w:val="none"/>
        </w:rPr>
      </w:pPr>
      <w:r>
        <w:rPr>
          <w:rFonts w:ascii="Times New Roman"/>
          <w:b/>
          <w:color w:val="auto"/>
          <w:highlight w:val="none"/>
          <w:u w:val="single"/>
        </w:rPr>
        <w:br w:type="page"/>
      </w:r>
    </w:p>
    <w:p>
      <w:pPr>
        <w:spacing w:before="41"/>
        <w:ind w:left="2659"/>
        <w:outlineLvl w:val="1"/>
        <w:rPr>
          <w:rFonts w:hint="eastAsia"/>
          <w:b/>
          <w:color w:val="auto"/>
          <w:sz w:val="44"/>
          <w:szCs w:val="44"/>
          <w:highlight w:val="none"/>
        </w:rPr>
      </w:pPr>
      <w:bookmarkStart w:id="1265" w:name="_Toc256000034"/>
      <w:bookmarkStart w:id="1266" w:name="_Toc25536"/>
      <w:bookmarkStart w:id="1267" w:name="_Toc39866686"/>
    </w:p>
    <w:p>
      <w:pPr>
        <w:spacing w:before="41"/>
        <w:ind w:left="2659"/>
        <w:outlineLvl w:val="1"/>
        <w:rPr>
          <w:b/>
          <w:color w:val="auto"/>
          <w:sz w:val="44"/>
          <w:szCs w:val="44"/>
          <w:highlight w:val="none"/>
        </w:rPr>
      </w:pPr>
      <w:r>
        <w:rPr>
          <w:rFonts w:hint="eastAsia"/>
          <w:b/>
          <w:color w:val="auto"/>
          <w:sz w:val="44"/>
          <w:szCs w:val="44"/>
          <w:highlight w:val="none"/>
        </w:rPr>
        <w:t>第三节合同附件格式</w:t>
      </w:r>
      <w:bookmarkEnd w:id="1265"/>
      <w:bookmarkEnd w:id="1266"/>
      <w:bookmarkEnd w:id="1267"/>
    </w:p>
    <w:p>
      <w:pPr>
        <w:rPr>
          <w:color w:val="auto"/>
          <w:highlight w:val="none"/>
        </w:rPr>
      </w:pPr>
      <w:bookmarkStart w:id="1268" w:name="EB7ab065c8226b403aacbdb9e32a656d2d"/>
    </w:p>
    <w:p>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p>
    <w:p>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bookmarkStart w:id="1269" w:name="_Toc351203481"/>
    </w:p>
    <w:p>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一、工程概况</w:t>
      </w:r>
      <w:bookmarkEnd w:id="1269"/>
    </w:p>
    <w:p>
      <w:pPr>
        <w:pStyle w:val="65"/>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color w:val="000000"/>
          <w:sz w:val="21"/>
          <w:szCs w:val="21"/>
        </w:rPr>
        <w:t>1. 工程名称：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2. 工程地点：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3. 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4. 资金来源：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5. 工程内容：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群体工程应附《承包人承揽工程项目一览表》（附件1）。</w:t>
      </w:r>
    </w:p>
    <w:p>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6. 工程承包范围：</w:t>
      </w:r>
      <w:r>
        <w:rPr>
          <w:rFonts w:hint="eastAsia" w:ascii="宋体" w:hAnsi="宋体" w:eastAsia="宋体" w:cs="宋体"/>
          <w:color w:val="000000"/>
          <w:sz w:val="21"/>
          <w:szCs w:val="21"/>
          <w:u w:val="single"/>
        </w:rPr>
        <w:t xml:space="preserve">          </w:t>
      </w:r>
      <w:r>
        <w:rPr>
          <w:rFonts w:hint="eastAsia" w:ascii="宋体" w:hAnsi="宋体" w:eastAsia="宋体" w:cs="宋体"/>
          <w:bCs/>
          <w:sz w:val="21"/>
          <w:szCs w:val="21"/>
        </w:rPr>
        <w:t>。</w:t>
      </w:r>
    </w:p>
    <w:p>
      <w:pPr>
        <w:pStyle w:val="65"/>
        <w:spacing w:line="360" w:lineRule="auto"/>
        <w:ind w:firstLine="407" w:firstLineChars="193"/>
        <w:outlineLvl w:val="0"/>
        <w:rPr>
          <w:rFonts w:hint="eastAsia" w:ascii="宋体" w:hAnsi="宋体" w:eastAsia="宋体" w:cs="宋体"/>
          <w:b/>
          <w:bCs/>
          <w:color w:val="000000"/>
          <w:sz w:val="21"/>
          <w:szCs w:val="21"/>
        </w:rPr>
      </w:pPr>
      <w:bookmarkStart w:id="1270" w:name="_Toc351203482"/>
      <w:r>
        <w:rPr>
          <w:rFonts w:hint="eastAsia" w:ascii="宋体" w:hAnsi="宋体" w:eastAsia="宋体" w:cs="宋体"/>
          <w:b/>
          <w:bCs/>
          <w:color w:val="000000"/>
          <w:sz w:val="21"/>
          <w:szCs w:val="21"/>
        </w:rPr>
        <w:t>二、合同工期</w:t>
      </w:r>
      <w:bookmarkEnd w:id="1270"/>
    </w:p>
    <w:p>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日。（具体以发包人书面通知为准）</w:t>
      </w:r>
    </w:p>
    <w:p>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天。工期总日历天数与根据前述计划开竣工日期计算的工期天数不一致的，以工期总日历天数为准。</w:t>
      </w:r>
    </w:p>
    <w:p>
      <w:pPr>
        <w:pStyle w:val="65"/>
        <w:spacing w:line="360" w:lineRule="auto"/>
        <w:ind w:firstLine="459"/>
        <w:outlineLvl w:val="0"/>
        <w:rPr>
          <w:rFonts w:hint="eastAsia" w:ascii="宋体" w:hAnsi="宋体" w:eastAsia="宋体" w:cs="宋体"/>
          <w:b/>
          <w:bCs/>
          <w:color w:val="000000"/>
          <w:sz w:val="21"/>
          <w:szCs w:val="21"/>
        </w:rPr>
      </w:pPr>
      <w:bookmarkStart w:id="1271" w:name="_Toc351203483"/>
      <w:r>
        <w:rPr>
          <w:rFonts w:hint="eastAsia" w:ascii="宋体" w:hAnsi="宋体" w:eastAsia="宋体" w:cs="宋体"/>
          <w:b/>
          <w:bCs/>
          <w:color w:val="000000"/>
          <w:sz w:val="21"/>
          <w:szCs w:val="21"/>
        </w:rPr>
        <w:t>三、质量标准</w:t>
      </w:r>
      <w:bookmarkEnd w:id="1271"/>
    </w:p>
    <w:p>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工程质量符合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标准。</w:t>
      </w:r>
    </w:p>
    <w:p>
      <w:pPr>
        <w:pStyle w:val="65"/>
        <w:spacing w:line="360" w:lineRule="auto"/>
        <w:ind w:firstLine="459"/>
        <w:outlineLvl w:val="0"/>
        <w:rPr>
          <w:rFonts w:hint="eastAsia" w:ascii="宋体" w:hAnsi="宋体" w:eastAsia="宋体" w:cs="宋体"/>
          <w:b/>
          <w:bCs/>
          <w:color w:val="000000"/>
          <w:sz w:val="21"/>
          <w:szCs w:val="21"/>
        </w:rPr>
      </w:pPr>
      <w:bookmarkStart w:id="1272" w:name="_Toc351203484"/>
      <w:r>
        <w:rPr>
          <w:rFonts w:hint="eastAsia" w:ascii="宋体" w:hAnsi="宋体" w:eastAsia="宋体" w:cs="宋体"/>
          <w:b/>
          <w:bCs/>
          <w:color w:val="000000"/>
          <w:sz w:val="21"/>
          <w:szCs w:val="21"/>
        </w:rPr>
        <w:t>四、签约合同价与合同价格形式</w:t>
      </w:r>
      <w:bookmarkEnd w:id="1272"/>
    </w:p>
    <w:p>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1. 签约合同价为：</w:t>
      </w:r>
    </w:p>
    <w:p>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pStyle w:val="65"/>
        <w:spacing w:line="360" w:lineRule="auto"/>
        <w:ind w:left="420" w:leftChars="200"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元）。</w:t>
      </w:r>
    </w:p>
    <w:p>
      <w:pPr>
        <w:pStyle w:val="65"/>
        <w:numPr>
          <w:ilvl w:val="0"/>
          <w:numId w:val="7"/>
        </w:num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合同价格形式：</w:t>
      </w:r>
      <w:r>
        <w:rPr>
          <w:rFonts w:hint="eastAsia" w:ascii="宋体" w:hAnsi="宋体" w:eastAsia="宋体" w:cs="宋体"/>
          <w:color w:val="000000"/>
          <w:sz w:val="21"/>
          <w:szCs w:val="21"/>
          <w:u w:val="single"/>
        </w:rPr>
        <w:t xml:space="preserve"> 固定综合单价   </w:t>
      </w:r>
      <w:r>
        <w:rPr>
          <w:rFonts w:hint="eastAsia" w:ascii="宋体" w:hAnsi="宋体" w:eastAsia="宋体" w:cs="宋体"/>
          <w:color w:val="000000"/>
          <w:sz w:val="21"/>
          <w:szCs w:val="21"/>
        </w:rPr>
        <w:t>。</w:t>
      </w:r>
    </w:p>
    <w:p>
      <w:pPr>
        <w:pStyle w:val="65"/>
        <w:numPr>
          <w:ilvl w:val="0"/>
          <w:numId w:val="7"/>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本项目采用</w:t>
      </w:r>
      <w:r>
        <w:rPr>
          <w:rFonts w:hint="eastAsia" w:ascii="宋体" w:hAnsi="宋体" w:eastAsia="宋体" w:cs="宋体"/>
          <w:color w:val="auto"/>
          <w:sz w:val="21"/>
          <w:szCs w:val="21"/>
          <w:lang w:val="en-US" w:eastAsia="zh-CN"/>
        </w:rPr>
        <w:t>一般</w:t>
      </w:r>
      <w:r>
        <w:rPr>
          <w:rFonts w:hint="eastAsia" w:ascii="宋体" w:hAnsi="宋体" w:eastAsia="宋体" w:cs="宋体"/>
          <w:color w:val="auto"/>
          <w:sz w:val="21"/>
          <w:szCs w:val="21"/>
        </w:rPr>
        <w:t>计税法。</w:t>
      </w:r>
    </w:p>
    <w:p>
      <w:pPr>
        <w:pStyle w:val="65"/>
        <w:spacing w:line="360" w:lineRule="auto"/>
        <w:ind w:firstLine="422" w:firstLineChars="200"/>
        <w:outlineLvl w:val="0"/>
        <w:rPr>
          <w:rFonts w:hint="eastAsia" w:ascii="宋体" w:hAnsi="宋体" w:eastAsia="宋体" w:cs="宋体"/>
          <w:b/>
          <w:bCs/>
          <w:color w:val="000000"/>
          <w:sz w:val="21"/>
          <w:szCs w:val="21"/>
        </w:rPr>
      </w:pPr>
      <w:bookmarkStart w:id="1273" w:name="_Toc351203485"/>
      <w:r>
        <w:rPr>
          <w:rFonts w:hint="eastAsia" w:ascii="宋体" w:hAnsi="宋体" w:eastAsia="宋体" w:cs="宋体"/>
          <w:b/>
          <w:bCs/>
          <w:sz w:val="21"/>
          <w:szCs w:val="21"/>
        </w:rPr>
        <w:t>五、</w:t>
      </w:r>
      <w:bookmarkEnd w:id="1273"/>
      <w:r>
        <w:rPr>
          <w:rFonts w:hint="eastAsia" w:ascii="宋体" w:hAnsi="宋体" w:eastAsia="宋体" w:cs="宋体"/>
          <w:b/>
          <w:bCs/>
          <w:sz w:val="21"/>
          <w:szCs w:val="21"/>
        </w:rPr>
        <w:t>项目经理</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65"/>
        <w:spacing w:line="360" w:lineRule="auto"/>
        <w:ind w:firstLine="422" w:firstLineChars="200"/>
        <w:outlineLvl w:val="0"/>
        <w:rPr>
          <w:rFonts w:hint="eastAsia" w:ascii="宋体" w:hAnsi="宋体" w:eastAsia="宋体" w:cs="宋体"/>
          <w:b/>
          <w:bCs/>
          <w:color w:val="000000"/>
          <w:sz w:val="21"/>
          <w:szCs w:val="21"/>
        </w:rPr>
      </w:pPr>
      <w:bookmarkStart w:id="1274" w:name="_Toc351203486"/>
      <w:r>
        <w:rPr>
          <w:rFonts w:hint="eastAsia" w:ascii="宋体" w:hAnsi="宋体" w:eastAsia="宋体" w:cs="宋体"/>
          <w:b/>
          <w:bCs/>
          <w:color w:val="000000"/>
          <w:sz w:val="21"/>
          <w:szCs w:val="21"/>
        </w:rPr>
        <w:t>六、合同文件构成</w:t>
      </w:r>
      <w:bookmarkEnd w:id="1274"/>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本协议书与下列文件一起构成合同文件：</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rPr>
        <w:t>通知书（如有）；</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（2）投标函及其附录（如有）； </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（6）已标价工程量清单或预算书；</w:t>
      </w:r>
    </w:p>
    <w:p>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（7）图纸；</w:t>
      </w:r>
    </w:p>
    <w:p>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（8）其他合同文件：在合同订立及履行过程中形成的与合同有关的文件均构成合同文件组成部分。</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w:t>
      </w:r>
      <w:r>
        <w:rPr>
          <w:rFonts w:hint="eastAsia" w:ascii="宋体" w:hAnsi="宋体" w:eastAsia="宋体" w:cs="宋体"/>
          <w:sz w:val="21"/>
          <w:szCs w:val="21"/>
        </w:rPr>
        <w:t>（违反招标文件实质性内容的约定除外）</w:t>
      </w:r>
      <w:r>
        <w:rPr>
          <w:rFonts w:hint="eastAsia" w:ascii="宋体" w:hAnsi="宋体" w:eastAsia="宋体" w:cs="宋体"/>
          <w:color w:val="000000"/>
          <w:sz w:val="21"/>
          <w:szCs w:val="21"/>
        </w:rPr>
        <w:t>。专用合同条款及其附件须经合同当事人签字或盖章。未经承包人书面授权，承包人的分支机构及个人无权直接与发包人签订本工程有关的合同性文件。与本工程有关的合同性文件如构成对合同内容的变更或修改，均加盖承包人的法人印章或法人专用合同章确认，否则承包人不予认可，对承包人不发生法律效力，仍按本合同约定执行。</w:t>
      </w:r>
    </w:p>
    <w:p>
      <w:pPr>
        <w:pStyle w:val="65"/>
        <w:autoSpaceDE w:val="0"/>
        <w:autoSpaceDN w:val="0"/>
        <w:adjustRightInd w:val="0"/>
        <w:spacing w:line="360" w:lineRule="auto"/>
        <w:ind w:firstLine="422" w:firstLineChars="200"/>
        <w:jc w:val="left"/>
        <w:outlineLvl w:val="0"/>
        <w:rPr>
          <w:rFonts w:hint="eastAsia" w:ascii="宋体" w:hAnsi="宋体" w:eastAsia="宋体" w:cs="宋体"/>
          <w:b/>
          <w:bCs/>
          <w:color w:val="000000"/>
          <w:sz w:val="21"/>
          <w:szCs w:val="21"/>
        </w:rPr>
      </w:pPr>
      <w:bookmarkStart w:id="1275" w:name="_Toc351203487"/>
      <w:r>
        <w:rPr>
          <w:rFonts w:hint="eastAsia" w:ascii="宋体" w:hAnsi="宋体" w:eastAsia="宋体" w:cs="宋体"/>
          <w:b/>
          <w:bCs/>
          <w:color w:val="000000"/>
          <w:sz w:val="21"/>
          <w:szCs w:val="21"/>
        </w:rPr>
        <w:t>七、承诺</w:t>
      </w:r>
      <w:bookmarkEnd w:id="1275"/>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发包人承诺按照法律规定履行项目审批手续、筹集工程建设资金并按照合同约定的期限和方式支付合同价款。</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承包人承诺按照法律规定及合同约定组织完成工程施工，确保工程质量和安全，不进行转包及违法分包，并在缺陷责任期及保修期内承担相应的工程维修责任。</w:t>
      </w:r>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发包人和承包人通过招投标形式签订合同的，双方理解并承诺不再就同一工程另行签订与合同实质性内容相背离的协议。</w:t>
      </w:r>
      <w:bookmarkStart w:id="1276" w:name="_Toc351203488"/>
    </w:p>
    <w:p>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八、词语含义</w:t>
      </w:r>
      <w:bookmarkEnd w:id="1276"/>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本协议书中词语含义与第二部分通用合同条款中赋予的含义相同。</w:t>
      </w:r>
    </w:p>
    <w:p>
      <w:pPr>
        <w:pStyle w:val="65"/>
        <w:spacing w:line="360" w:lineRule="auto"/>
        <w:ind w:firstLine="422" w:firstLineChars="200"/>
        <w:outlineLvl w:val="0"/>
        <w:rPr>
          <w:rFonts w:hint="eastAsia" w:ascii="宋体" w:hAnsi="宋体" w:eastAsia="宋体" w:cs="宋体"/>
          <w:b/>
          <w:bCs/>
          <w:color w:val="000000"/>
          <w:sz w:val="21"/>
          <w:szCs w:val="21"/>
        </w:rPr>
      </w:pPr>
      <w:bookmarkStart w:id="1277" w:name="_Toc351203489"/>
      <w:r>
        <w:rPr>
          <w:rFonts w:hint="eastAsia" w:ascii="宋体" w:hAnsi="宋体" w:eastAsia="宋体" w:cs="宋体"/>
          <w:b/>
          <w:bCs/>
          <w:color w:val="000000"/>
          <w:sz w:val="21"/>
          <w:szCs w:val="21"/>
        </w:rPr>
        <w:t>九、签订时间</w:t>
      </w:r>
      <w:bookmarkEnd w:id="1277"/>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日签订。</w:t>
      </w:r>
    </w:p>
    <w:p>
      <w:pPr>
        <w:pStyle w:val="65"/>
        <w:spacing w:line="360" w:lineRule="auto"/>
        <w:ind w:firstLine="422" w:firstLineChars="200"/>
        <w:outlineLvl w:val="0"/>
        <w:rPr>
          <w:rFonts w:hint="eastAsia" w:ascii="宋体" w:hAnsi="宋体" w:eastAsia="宋体" w:cs="宋体"/>
          <w:b/>
          <w:bCs/>
          <w:color w:val="000000"/>
          <w:sz w:val="21"/>
          <w:szCs w:val="21"/>
        </w:rPr>
      </w:pPr>
      <w:bookmarkStart w:id="1278" w:name="_Toc351203490"/>
      <w:r>
        <w:rPr>
          <w:rFonts w:hint="eastAsia" w:ascii="宋体" w:hAnsi="宋体" w:eastAsia="宋体" w:cs="宋体"/>
          <w:b/>
          <w:bCs/>
          <w:color w:val="000000"/>
          <w:sz w:val="21"/>
          <w:szCs w:val="21"/>
        </w:rPr>
        <w:t>十、签订地点</w:t>
      </w:r>
      <w:bookmarkEnd w:id="1278"/>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签订。</w:t>
      </w:r>
    </w:p>
    <w:p>
      <w:pPr>
        <w:pStyle w:val="65"/>
        <w:spacing w:line="360" w:lineRule="auto"/>
        <w:ind w:firstLine="422" w:firstLineChars="200"/>
        <w:outlineLvl w:val="0"/>
        <w:rPr>
          <w:rFonts w:hint="eastAsia" w:ascii="宋体" w:hAnsi="宋体" w:eastAsia="宋体" w:cs="宋体"/>
          <w:b/>
          <w:bCs/>
          <w:color w:val="000000"/>
          <w:sz w:val="21"/>
          <w:szCs w:val="21"/>
        </w:rPr>
      </w:pPr>
      <w:bookmarkStart w:id="1279" w:name="_Toc351203491"/>
      <w:r>
        <w:rPr>
          <w:rFonts w:hint="eastAsia" w:ascii="宋体" w:hAnsi="宋体" w:eastAsia="宋体" w:cs="宋体"/>
          <w:b/>
          <w:bCs/>
          <w:color w:val="000000"/>
          <w:sz w:val="21"/>
          <w:szCs w:val="21"/>
        </w:rPr>
        <w:t>十一、补充协议</w:t>
      </w:r>
      <w:bookmarkEnd w:id="1279"/>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合同未尽事宜，合同当事人另行签订补充协议，补充协议是合同的</w:t>
      </w:r>
    </w:p>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组成部分。</w:t>
      </w:r>
    </w:p>
    <w:p>
      <w:pPr>
        <w:pStyle w:val="65"/>
        <w:spacing w:line="360" w:lineRule="auto"/>
        <w:ind w:firstLine="422" w:firstLineChars="200"/>
        <w:outlineLvl w:val="0"/>
        <w:rPr>
          <w:rFonts w:hint="eastAsia" w:ascii="宋体" w:hAnsi="宋体" w:eastAsia="宋体" w:cs="宋体"/>
          <w:b/>
          <w:bCs/>
          <w:color w:val="000000"/>
          <w:sz w:val="21"/>
          <w:szCs w:val="21"/>
        </w:rPr>
      </w:pPr>
      <w:bookmarkStart w:id="1280" w:name="_Toc351203492"/>
      <w:r>
        <w:rPr>
          <w:rFonts w:hint="eastAsia" w:ascii="宋体" w:hAnsi="宋体" w:eastAsia="宋体" w:cs="宋体"/>
          <w:b/>
          <w:bCs/>
          <w:color w:val="000000"/>
          <w:sz w:val="21"/>
          <w:szCs w:val="21"/>
        </w:rPr>
        <w:t>十二、合同生效</w:t>
      </w:r>
      <w:bookmarkEnd w:id="1280"/>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本合同自</w:t>
      </w:r>
      <w:r>
        <w:rPr>
          <w:rFonts w:hint="eastAsia" w:ascii="宋体" w:hAnsi="宋体" w:eastAsia="宋体" w:cs="宋体"/>
          <w:color w:val="000000"/>
          <w:sz w:val="21"/>
          <w:szCs w:val="21"/>
          <w:u w:val="single"/>
        </w:rPr>
        <w:t xml:space="preserve"> 双方加盖单位公章（或合同专用章）、法定代表人签字或盖章之日起 </w:t>
      </w:r>
      <w:r>
        <w:rPr>
          <w:rFonts w:hint="eastAsia" w:ascii="宋体" w:hAnsi="宋体" w:eastAsia="宋体" w:cs="宋体"/>
          <w:color w:val="000000"/>
          <w:sz w:val="21"/>
          <w:szCs w:val="21"/>
        </w:rPr>
        <w:t>生效。</w:t>
      </w:r>
    </w:p>
    <w:p>
      <w:pPr>
        <w:pStyle w:val="65"/>
        <w:spacing w:line="360" w:lineRule="auto"/>
        <w:ind w:firstLine="422" w:firstLineChars="200"/>
        <w:outlineLvl w:val="0"/>
        <w:rPr>
          <w:rFonts w:hint="eastAsia" w:ascii="宋体" w:hAnsi="宋体" w:eastAsia="宋体" w:cs="宋体"/>
          <w:b/>
          <w:bCs/>
          <w:color w:val="000000"/>
          <w:sz w:val="21"/>
          <w:szCs w:val="21"/>
        </w:rPr>
      </w:pPr>
      <w:bookmarkStart w:id="1281" w:name="_Toc351203493"/>
      <w:r>
        <w:rPr>
          <w:rFonts w:hint="eastAsia" w:ascii="宋体" w:hAnsi="宋体" w:eastAsia="宋体" w:cs="宋体"/>
          <w:b/>
          <w:bCs/>
          <w:color w:val="000000"/>
          <w:sz w:val="21"/>
          <w:szCs w:val="21"/>
        </w:rPr>
        <w:t>十三、合同份数</w:t>
      </w:r>
      <w:bookmarkEnd w:id="1281"/>
    </w:p>
    <w:p>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份，均具有同等法律效力，发包人执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份，承包人执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tbl>
      <w:tblPr>
        <w:tblStyle w:val="19"/>
        <w:tblW w:w="8886" w:type="dxa"/>
        <w:tblInd w:w="0" w:type="dxa"/>
        <w:tblLayout w:type="fixed"/>
        <w:tblCellMar>
          <w:top w:w="0" w:type="dxa"/>
          <w:left w:w="108" w:type="dxa"/>
          <w:bottom w:w="0" w:type="dxa"/>
          <w:right w:w="108" w:type="dxa"/>
        </w:tblCellMar>
      </w:tblPr>
      <w:tblGrid>
        <w:gridCol w:w="4443"/>
        <w:gridCol w:w="4443"/>
      </w:tblGrid>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p>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p>
          <w:p>
            <w:pPr>
              <w:pStyle w:val="65"/>
              <w:spacing w:line="360" w:lineRule="auto"/>
              <w:rPr>
                <w:rFonts w:hint="eastAsia" w:ascii="宋体" w:hAnsi="宋体" w:eastAsia="宋体" w:cs="宋体"/>
                <w:color w:val="000000"/>
                <w:sz w:val="21"/>
                <w:szCs w:val="21"/>
              </w:rPr>
            </w:pP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承包人（公章）：</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sz w:val="21"/>
                <w:szCs w:val="21"/>
              </w:rPr>
              <w:t xml:space="preserve"> </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4443" w:type="dxa"/>
            <w:noWrap w:val="0"/>
            <w:vAlign w:val="center"/>
          </w:tcPr>
          <w:p>
            <w:pPr>
              <w:pStyle w:val="65"/>
              <w:spacing w:line="360" w:lineRule="auto"/>
              <w:ind w:right="-153" w:rightChars="-73"/>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r>
      <w:tr>
        <w:tblPrEx>
          <w:tblLayout w:type="fixed"/>
          <w:tblCellMar>
            <w:top w:w="0" w:type="dxa"/>
            <w:left w:w="108" w:type="dxa"/>
            <w:bottom w:w="0" w:type="dxa"/>
            <w:right w:w="108" w:type="dxa"/>
          </w:tblCellMar>
        </w:tblPrEx>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4443" w:type="dxa"/>
            <w:noWrap w:val="0"/>
            <w:vAlign w:val="center"/>
          </w:tcPr>
          <w:p>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r>
    </w:tbl>
    <w:p>
      <w:pPr>
        <w:pStyle w:val="57"/>
        <w:widowControl/>
        <w:jc w:val="left"/>
        <w:rPr>
          <w:rFonts w:hint="eastAsia" w:hAnsi="宋体" w:cs="宋体"/>
          <w:color w:val="auto"/>
          <w:szCs w:val="21"/>
          <w:highlight w:val="none"/>
        </w:rPr>
      </w:pPr>
      <w:r>
        <w:rPr>
          <w:rFonts w:ascii="宋体" w:hAnsi="宋体" w:cs="宋体"/>
          <w:color w:val="auto"/>
          <w:kern w:val="0"/>
          <w:sz w:val="8"/>
          <w:szCs w:val="24"/>
          <w:highlight w:val="none"/>
          <w:lang w:val="zh-CN" w:bidi="zh-CN"/>
        </w:rPr>
        <w:br w:type="page"/>
      </w:r>
      <w:bookmarkEnd w:id="1268"/>
    </w:p>
    <w:bookmarkEnd w:id="94"/>
    <w:p>
      <w:pPr>
        <w:pStyle w:val="35"/>
        <w:rPr>
          <w:rFonts w:hint="eastAsia" w:asciiTheme="minorEastAsia" w:hAnsiTheme="minorEastAsia" w:eastAsiaTheme="minorEastAsia" w:cstheme="minorEastAsia"/>
          <w:color w:val="auto"/>
          <w:highlight w:val="none"/>
        </w:rPr>
      </w:pPr>
      <w:bookmarkStart w:id="1282" w:name="_Toc440877586"/>
      <w:bookmarkStart w:id="1283" w:name="_Toc430095344"/>
    </w:p>
    <w:p>
      <w:pPr>
        <w:pStyle w:val="3"/>
        <w:numPr>
          <w:ilvl w:val="0"/>
          <w:numId w:val="8"/>
        </w:numPr>
        <w:bidi w:val="0"/>
        <w:spacing w:line="240" w:lineRule="auto"/>
        <w:jc w:val="center"/>
        <w:rPr>
          <w:rFonts w:hint="eastAsia" w:asciiTheme="minorEastAsia" w:hAnsiTheme="minorEastAsia" w:eastAsiaTheme="minorEastAsia" w:cstheme="minorEastAsia"/>
          <w:color w:val="auto"/>
          <w:highlight w:val="none"/>
          <w:lang w:val="en-US" w:eastAsia="zh-CN"/>
        </w:rPr>
      </w:pPr>
      <w:bookmarkStart w:id="1284" w:name="_Toc462"/>
      <w:r>
        <w:rPr>
          <w:rFonts w:hint="eastAsia" w:asciiTheme="minorEastAsia" w:hAnsiTheme="minorEastAsia" w:eastAsiaTheme="minorEastAsia" w:cstheme="minorEastAsia"/>
          <w:color w:val="auto"/>
          <w:highlight w:val="none"/>
          <w:lang w:val="en-US" w:eastAsia="zh-CN"/>
        </w:rPr>
        <w:t>工程量清单</w:t>
      </w:r>
      <w:bookmarkEnd w:id="1284"/>
    </w:p>
    <w:p>
      <w:pPr>
        <w:pStyle w:val="35"/>
        <w:numPr>
          <w:ilvl w:val="0"/>
          <w:numId w:val="9"/>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编制依据</w:t>
      </w:r>
      <w:r>
        <w:rPr>
          <w:rFonts w:hint="eastAsia" w:asciiTheme="minorEastAsia" w:hAnsiTheme="minorEastAsia" w:eastAsiaTheme="minorEastAsia" w:cstheme="minorEastAsia"/>
          <w:color w:val="auto"/>
          <w:sz w:val="24"/>
          <w:szCs w:val="24"/>
          <w:highlight w:val="none"/>
          <w:lang w:eastAsia="zh-CN"/>
        </w:rPr>
        <w:t>：</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、《建设工程工程量清单计价规范（GB50500-2013）》，《建设工程工程量清单计价规范（GB50500-2013）广西壮族自治区实施细则》；</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、《建设工程工程量计价规范》(GB50854~50862-2013)、《建设工程工程量计价规范》(GB50854~50862-2013)广西壮族自治区实施细则》（修订本）；</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、2013年《广西建筑装饰装修工程消耗量定额》、2013年《广西建筑装饰装修工程费用定额》</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、2015年《广西安装工程消耗量定额》、2015年《广西建筑安装工程费用定额》</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、2022年《广西市政工程消耗量定额》、2022年《广西市政工程费用定额》</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、2021年《广西园林绿化工程消耗量定额》、2021年《广西园林绿化工程费用定额》</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、2021年《广西仿古建筑工程消耗量定额》、2021年《广西仿古建筑工程费用定额》</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、2013年《广西壮族自治区建筑装饰装修工程人工材料配合比机械台班参考价》。</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、桂建标[2018]19号《关于调整建设工程人工工资工资单价的通知》。</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、广西壮族自治区住房和城乡建设厅印发的桂建标[2023]7号《关于调整建设工程定额人工费及有关费率的通知》。</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三、其他需要说明的问题</w:t>
      </w:r>
    </w:p>
    <w:p>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1、信息价选用《贺州市建设工程造价信息》2025年第2期，信息价没有的按同期的其它地市信息价。</w:t>
      </w:r>
    </w:p>
    <w:p>
      <w:pPr>
        <w:pStyle w:val="13"/>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szCs w:val="24"/>
          <w:highlight w:val="none"/>
          <w:lang w:eastAsia="zh-CN"/>
        </w:rPr>
        <w:t>2、安全文明施工增加费按规定计取；管理费、利润按中限值计取，取费按一般计税法；</w:t>
      </w:r>
    </w:p>
    <w:bookmarkEnd w:id="1282"/>
    <w:bookmarkEnd w:id="1283"/>
    <w:p>
      <w:pPr>
        <w:rPr>
          <w:rFonts w:hint="eastAsia" w:asciiTheme="minorEastAsia" w:hAnsiTheme="minorEastAsia" w:eastAsiaTheme="minorEastAsia" w:cstheme="minorEastAsia"/>
          <w:color w:val="auto"/>
          <w:highlight w:val="none"/>
          <w:lang w:val="en-US" w:eastAsia="zh-CN"/>
        </w:rPr>
      </w:pPr>
      <w:bookmarkStart w:id="1285" w:name="_Toc21503"/>
    </w:p>
    <w:p>
      <w:pPr>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p>
    <w:p>
      <w:pPr>
        <w:ind w:firstLine="3253" w:firstLineChars="900"/>
        <w:rPr>
          <w:rFonts w:hint="eastAsia" w:asciiTheme="minorEastAsia" w:hAnsiTheme="minorEastAsia" w:eastAsiaTheme="minorEastAsia" w:cstheme="minorEastAsia"/>
          <w:b/>
          <w:bCs/>
          <w:color w:val="auto"/>
          <w:sz w:val="36"/>
          <w:szCs w:val="36"/>
          <w:highlight w:val="none"/>
          <w:lang w:val="en-US" w:eastAsia="zh-CN"/>
        </w:rPr>
      </w:pPr>
    </w:p>
    <w:p>
      <w:pPr>
        <w:ind w:firstLine="3253" w:firstLineChars="900"/>
        <w:rPr>
          <w:rFonts w:hint="eastAsia" w:asciiTheme="minorEastAsia" w:hAnsiTheme="minorEastAsia" w:eastAsiaTheme="minorEastAsia" w:cstheme="minorEastAsia"/>
          <w:b/>
          <w:bCs/>
          <w:color w:val="auto"/>
          <w:sz w:val="36"/>
          <w:szCs w:val="36"/>
          <w:highlight w:val="none"/>
          <w:lang w:val="en-US" w:eastAsia="zh-CN"/>
        </w:rPr>
      </w:pPr>
    </w:p>
    <w:p>
      <w:pPr>
        <w:ind w:firstLine="3253" w:firstLineChars="900"/>
        <w:rPr>
          <w:rFonts w:hint="eastAsia" w:asciiTheme="minorEastAsia" w:hAnsiTheme="minorEastAsia" w:eastAsiaTheme="minorEastAsia" w:cstheme="minorEastAsia"/>
          <w:b/>
          <w:bCs/>
          <w:color w:val="auto"/>
          <w:sz w:val="36"/>
          <w:szCs w:val="36"/>
          <w:highlight w:val="none"/>
          <w:lang w:val="en-US" w:eastAsia="zh-CN"/>
        </w:rPr>
      </w:pPr>
    </w:p>
    <w:p>
      <w:pPr>
        <w:ind w:firstLine="3253" w:firstLineChars="90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 xml:space="preserve">第五章 </w:t>
      </w:r>
      <w:r>
        <w:rPr>
          <w:rFonts w:hint="eastAsia" w:asciiTheme="minorEastAsia" w:hAnsiTheme="minorEastAsia" w:eastAsiaTheme="minorEastAsia" w:cstheme="minorEastAsia"/>
          <w:b/>
          <w:bCs/>
          <w:color w:val="auto"/>
          <w:sz w:val="36"/>
          <w:szCs w:val="36"/>
          <w:highlight w:val="none"/>
        </w:rPr>
        <w:t xml:space="preserve"> </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图</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纸</w:t>
      </w:r>
      <w:bookmarkEnd w:id="1285"/>
    </w:p>
    <w:p>
      <w:pPr>
        <w:numPr>
          <w:ilvl w:val="0"/>
          <w:numId w:val="0"/>
        </w:numPr>
        <w:spacing w:line="400" w:lineRule="exact"/>
        <w:ind w:leftChars="0"/>
        <w:jc w:val="both"/>
        <w:rPr>
          <w:rFonts w:hint="eastAsia" w:asciiTheme="minorEastAsia" w:hAnsiTheme="minorEastAsia" w:eastAsiaTheme="minorEastAsia" w:cstheme="minorEastAsia"/>
          <w:b/>
          <w:color w:val="auto"/>
          <w:sz w:val="32"/>
          <w:szCs w:val="32"/>
          <w:highlight w:val="none"/>
        </w:rPr>
      </w:pPr>
    </w:p>
    <w:p>
      <w:pPr>
        <w:numPr>
          <w:ilvl w:val="0"/>
          <w:numId w:val="0"/>
        </w:numPr>
        <w:spacing w:line="400" w:lineRule="exact"/>
        <w:ind w:left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w:t>
      </w:r>
      <w:r>
        <w:rPr>
          <w:rFonts w:ascii="宋体" w:hAnsi="宋体" w:eastAsia="宋体" w:cs="宋体"/>
          <w:b/>
          <w:bCs/>
          <w:spacing w:val="3"/>
          <w:sz w:val="35"/>
          <w:szCs w:val="35"/>
        </w:rPr>
        <w:t>另册发放</w:t>
      </w:r>
      <w:r>
        <w:rPr>
          <w:rFonts w:hint="eastAsia" w:asciiTheme="minorEastAsia" w:hAnsiTheme="minorEastAsia" w:eastAsiaTheme="minorEastAsia" w:cstheme="minorEastAsia"/>
          <w:b/>
          <w:color w:val="auto"/>
          <w:sz w:val="32"/>
          <w:szCs w:val="32"/>
          <w:highlight w:val="none"/>
        </w:rPr>
        <w:t>）</w:t>
      </w:r>
    </w:p>
    <w:p>
      <w:pPr>
        <w:spacing w:line="336" w:lineRule="auto"/>
        <w:ind w:right="-153" w:rightChars="-73"/>
        <w:jc w:val="center"/>
        <w:rPr>
          <w:rStyle w:val="53"/>
          <w:rFonts w:hint="eastAsia" w:asciiTheme="minorEastAsia" w:hAnsiTheme="minorEastAsia" w:eastAsiaTheme="minorEastAsia" w:cstheme="minorEastAsia"/>
          <w:color w:val="auto"/>
          <w:highlight w:val="none"/>
        </w:rPr>
      </w:pPr>
      <w:bookmarkStart w:id="1286" w:name="_Toc24668"/>
      <w:bookmarkStart w:id="1287" w:name="_Toc440877587"/>
      <w:bookmarkStart w:id="1288" w:name="_Toc430095345"/>
    </w:p>
    <w:p>
      <w:pPr>
        <w:spacing w:line="336" w:lineRule="auto"/>
        <w:ind w:right="-153" w:rightChars="-73"/>
        <w:jc w:val="center"/>
        <w:rPr>
          <w:rStyle w:val="53"/>
          <w:rFonts w:hint="eastAsia" w:asciiTheme="minorEastAsia" w:hAnsiTheme="minorEastAsia" w:eastAsiaTheme="minorEastAsia" w:cstheme="minorEastAsia"/>
          <w:color w:val="auto"/>
          <w:highlight w:val="none"/>
        </w:rPr>
      </w:pPr>
    </w:p>
    <w:p>
      <w:pPr>
        <w:spacing w:line="336" w:lineRule="auto"/>
        <w:ind w:right="-153" w:rightChars="-73"/>
        <w:jc w:val="center"/>
        <w:rPr>
          <w:rFonts w:hint="eastAsia" w:asciiTheme="minorEastAsia" w:hAnsiTheme="minorEastAsia" w:eastAsiaTheme="minorEastAsia" w:cstheme="minorEastAsia"/>
          <w:b/>
          <w:color w:val="auto"/>
          <w:sz w:val="32"/>
          <w:szCs w:val="32"/>
          <w:highlight w:val="none"/>
        </w:rPr>
      </w:pPr>
      <w:r>
        <w:rPr>
          <w:rStyle w:val="53"/>
          <w:rFonts w:hint="eastAsia" w:asciiTheme="minorEastAsia" w:hAnsiTheme="minorEastAsia" w:eastAsiaTheme="minorEastAsia" w:cstheme="minorEastAsia"/>
          <w:color w:val="auto"/>
          <w:highlight w:val="none"/>
        </w:rPr>
        <w:t>第六章  技术标准和要求</w:t>
      </w:r>
      <w:bookmarkEnd w:id="1286"/>
    </w:p>
    <w:p>
      <w:pPr>
        <w:jc w:val="center"/>
        <w:outlineLvl w:val="0"/>
        <w:rPr>
          <w:rFonts w:hint="eastAsia" w:asciiTheme="minorEastAsia" w:hAnsiTheme="minorEastAsia" w:eastAsiaTheme="minorEastAsia" w:cstheme="minorEastAsia"/>
          <w:color w:val="auto"/>
          <w:sz w:val="24"/>
          <w:szCs w:val="24"/>
          <w:highlight w:val="none"/>
        </w:rPr>
      </w:pPr>
    </w:p>
    <w:p>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szCs w:val="24"/>
          <w:highlight w:val="none"/>
        </w:rPr>
        <w:t>本工程采用的技术规范采用现行施工规范、验评标准及强制性标准条文。</w:t>
      </w:r>
      <w:r>
        <w:rPr>
          <w:rFonts w:hint="eastAsia" w:asciiTheme="minorEastAsia" w:hAnsiTheme="minorEastAsia" w:eastAsiaTheme="minorEastAsia" w:cstheme="minorEastAsia"/>
          <w:b/>
          <w:color w:val="auto"/>
          <w:sz w:val="32"/>
          <w:szCs w:val="32"/>
          <w:highlight w:val="none"/>
        </w:rPr>
        <w:br w:type="page"/>
      </w:r>
      <w:bookmarkStart w:id="1289" w:name="_Toc13925"/>
    </w:p>
    <w:p>
      <w:pPr>
        <w:jc w:val="center"/>
        <w:outlineLvl w:val="0"/>
        <w:rPr>
          <w:rFonts w:hint="eastAsia" w:asciiTheme="minorEastAsia" w:hAnsiTheme="minorEastAsia" w:eastAsiaTheme="minorEastAsia" w:cstheme="minorEastAsia"/>
          <w:b/>
          <w:color w:val="auto"/>
          <w:sz w:val="32"/>
          <w:szCs w:val="32"/>
          <w:highlight w:val="none"/>
        </w:rPr>
      </w:pPr>
    </w:p>
    <w:p>
      <w:pPr>
        <w:jc w:val="center"/>
        <w:outlineLvl w:val="0"/>
        <w:rPr>
          <w:rFonts w:hint="eastAsia" w:asciiTheme="minorEastAsia" w:hAnsiTheme="minorEastAsia" w:eastAsiaTheme="minorEastAsia" w:cstheme="minorEastAsia"/>
          <w:b/>
          <w:color w:val="auto"/>
          <w:kern w:val="44"/>
          <w:sz w:val="28"/>
          <w:szCs w:val="28"/>
          <w:highlight w:val="none"/>
        </w:rPr>
      </w:pPr>
      <w:r>
        <w:rPr>
          <w:rStyle w:val="53"/>
          <w:rFonts w:hint="eastAsia" w:asciiTheme="minorEastAsia" w:hAnsiTheme="minorEastAsia" w:eastAsiaTheme="minorEastAsia" w:cstheme="minorEastAsia"/>
          <w:color w:val="auto"/>
          <w:highlight w:val="none"/>
        </w:rPr>
        <w:t xml:space="preserve">第七章  </w:t>
      </w:r>
      <w:r>
        <w:rPr>
          <w:rStyle w:val="53"/>
          <w:rFonts w:hint="eastAsia" w:asciiTheme="minorEastAsia" w:hAnsiTheme="minorEastAsia" w:eastAsiaTheme="minorEastAsia" w:cstheme="minorEastAsia"/>
          <w:color w:val="auto"/>
          <w:highlight w:val="none"/>
          <w:lang w:eastAsia="zh-CN"/>
        </w:rPr>
        <w:t>《响应文件》</w:t>
      </w:r>
      <w:r>
        <w:rPr>
          <w:rStyle w:val="53"/>
          <w:rFonts w:hint="eastAsia" w:asciiTheme="minorEastAsia" w:hAnsiTheme="minorEastAsia" w:eastAsiaTheme="minorEastAsia" w:cstheme="minorEastAsia"/>
          <w:color w:val="auto"/>
          <w:highlight w:val="none"/>
        </w:rPr>
        <w:t>（格式）</w:t>
      </w:r>
      <w:bookmarkEnd w:id="1287"/>
      <w:bookmarkEnd w:id="1288"/>
      <w:bookmarkEnd w:id="1289"/>
    </w:p>
    <w:p>
      <w:pPr>
        <w:jc w:val="center"/>
        <w:rPr>
          <w:rFonts w:hint="eastAsia" w:asciiTheme="minorEastAsia" w:hAnsiTheme="minorEastAsia" w:eastAsiaTheme="minorEastAsia" w:cstheme="minorEastAsia"/>
          <w:b/>
          <w:color w:val="auto"/>
          <w:kern w:val="44"/>
          <w:sz w:val="28"/>
          <w:szCs w:val="28"/>
          <w:highlight w:val="none"/>
        </w:rPr>
      </w:pPr>
    </w:p>
    <w:p>
      <w:pPr>
        <w:jc w:val="center"/>
        <w:rPr>
          <w:rFonts w:hint="eastAsia" w:asciiTheme="minorEastAsia" w:hAnsiTheme="minorEastAsia" w:eastAsiaTheme="minorEastAsia" w:cstheme="minorEastAsia"/>
          <w:b/>
          <w:color w:val="auto"/>
          <w:kern w:val="44"/>
          <w:sz w:val="28"/>
          <w:szCs w:val="28"/>
          <w:highlight w:val="none"/>
        </w:rPr>
      </w:pPr>
    </w:p>
    <w:p>
      <w:pPr>
        <w:jc w:val="center"/>
        <w:rPr>
          <w:rFonts w:hint="eastAsia" w:asciiTheme="minorEastAsia" w:hAnsiTheme="minorEastAsia" w:eastAsiaTheme="minorEastAsia" w:cstheme="minorEastAsia"/>
          <w:b/>
          <w:color w:val="auto"/>
          <w:kern w:val="44"/>
          <w:sz w:val="28"/>
          <w:szCs w:val="28"/>
          <w:highlight w:val="none"/>
        </w:rPr>
      </w:pPr>
    </w:p>
    <w:p>
      <w:pPr>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rPr>
        <w:t>第一节 封面格式</w:t>
      </w: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pPr>
        <w:widowControl/>
        <w:kinsoku w:val="0"/>
        <w:autoSpaceDE w:val="0"/>
        <w:autoSpaceDN w:val="0"/>
        <w:adjustRightInd w:val="0"/>
        <w:snapToGrid w:val="0"/>
        <w:spacing w:before="143" w:line="240" w:lineRule="auto"/>
        <w:ind w:firstLine="3812" w:firstLineChars="1664"/>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26"/>
          <w:kern w:val="0"/>
          <w:sz w:val="28"/>
          <w:szCs w:val="28"/>
          <w:highlight w:val="none"/>
        </w:rPr>
        <w:t>响</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应</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文</w:t>
      </w:r>
      <w:r>
        <w:rPr>
          <w:rFonts w:hint="eastAsia" w:asciiTheme="minorEastAsia" w:hAnsiTheme="minorEastAsia" w:eastAsiaTheme="minorEastAsia" w:cstheme="minorEastAsia"/>
          <w:b/>
          <w:bCs/>
          <w:snapToGrid w:val="0"/>
          <w:color w:val="auto"/>
          <w:spacing w:val="14"/>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件</w:t>
      </w: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before="104"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position w:val="42"/>
          <w:sz w:val="28"/>
          <w:szCs w:val="28"/>
          <w:highlight w:val="none"/>
        </w:rPr>
        <w:t>项目名称：</w:t>
      </w:r>
    </w:p>
    <w:p>
      <w:pPr>
        <w:widowControl/>
        <w:kinsoku w:val="0"/>
        <w:autoSpaceDE w:val="0"/>
        <w:autoSpaceDN w:val="0"/>
        <w:adjustRightInd w:val="0"/>
        <w:snapToGrid w:val="0"/>
        <w:spacing w:before="1"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sz w:val="28"/>
          <w:szCs w:val="28"/>
          <w:highlight w:val="none"/>
        </w:rPr>
        <w:t>项目编号：</w:t>
      </w:r>
    </w:p>
    <w:p>
      <w:pPr>
        <w:widowControl/>
        <w:kinsoku w:val="0"/>
        <w:autoSpaceDE w:val="0"/>
        <w:autoSpaceDN w:val="0"/>
        <w:adjustRightInd w:val="0"/>
        <w:snapToGrid w:val="0"/>
        <w:spacing w:before="104"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r>
        <w:rPr>
          <w:rFonts w:hint="eastAsia" w:asciiTheme="minorEastAsia" w:hAnsiTheme="minorEastAsia" w:eastAsiaTheme="minorEastAsia" w:cstheme="minorEastAsia"/>
          <w:b/>
          <w:bCs/>
          <w:snapToGrid w:val="0"/>
          <w:color w:val="auto"/>
          <w:spacing w:val="-12"/>
          <w:kern w:val="0"/>
          <w:sz w:val="28"/>
          <w:szCs w:val="28"/>
          <w:highlight w:val="none"/>
        </w:rPr>
        <w:t>供应商名称：</w:t>
      </w:r>
      <w:r>
        <w:rPr>
          <w:rFonts w:hint="eastAsia" w:asciiTheme="minorEastAsia" w:hAnsiTheme="minorEastAsia" w:eastAsiaTheme="minorEastAsia" w:cstheme="minorEastAsia"/>
          <w:b/>
          <w:bCs/>
          <w:snapToGrid w:val="0"/>
          <w:color w:val="auto"/>
          <w:spacing w:val="-12"/>
          <w:kern w:val="0"/>
          <w:sz w:val="28"/>
          <w:szCs w:val="28"/>
          <w:highlight w:val="none"/>
          <w:lang w:val="en-US" w:eastAsia="zh-CN"/>
        </w:rPr>
        <w:t xml:space="preserve">                  （公章或电子CA签章）</w:t>
      </w:r>
    </w:p>
    <w:p>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p>
    <w:p>
      <w:pPr>
        <w:keepNext/>
        <w:keepLines/>
        <w:kinsoku w:val="0"/>
        <w:autoSpaceDE w:val="0"/>
        <w:autoSpaceDN w:val="0"/>
        <w:adjustRightInd w:val="0"/>
        <w:snapToGrid w:val="0"/>
        <w:spacing w:before="280" w:after="290" w:line="376" w:lineRule="auto"/>
        <w:jc w:val="left"/>
        <w:textAlignment w:val="baseline"/>
        <w:outlineLvl w:val="9"/>
        <w:rPr>
          <w:rFonts w:hint="eastAsia" w:asciiTheme="minorEastAsia" w:hAnsiTheme="minorEastAsia" w:eastAsiaTheme="minorEastAsia" w:cstheme="minorEastAsia"/>
          <w:b/>
          <w:bCs/>
          <w:snapToGrid w:val="0"/>
          <w:color w:val="auto"/>
          <w:kern w:val="0"/>
          <w:sz w:val="28"/>
          <w:szCs w:val="28"/>
          <w:highlight w:val="none"/>
        </w:rPr>
      </w:pPr>
    </w:p>
    <w:p>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r>
        <w:rPr>
          <w:rFonts w:hint="eastAsia" w:asciiTheme="minorEastAsia" w:hAnsiTheme="minorEastAsia" w:eastAsiaTheme="minorEastAsia" w:cstheme="minorEastAsia"/>
          <w:b/>
          <w:bCs/>
          <w:snapToGrid w:val="0"/>
          <w:color w:val="auto"/>
          <w:spacing w:val="-2"/>
          <w:kern w:val="0"/>
          <w:sz w:val="28"/>
          <w:szCs w:val="28"/>
          <w:highlight w:val="none"/>
        </w:rPr>
        <w:t>首次响应文件提交截止时间前不得解密</w:t>
      </w:r>
    </w:p>
    <w:p>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p>
    <w:p>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年</w:t>
      </w:r>
      <w:r>
        <w:rPr>
          <w:rFonts w:hint="eastAsia" w:asciiTheme="minorEastAsia" w:hAnsiTheme="minorEastAsia" w:eastAsiaTheme="minorEastAsia" w:cstheme="minorEastAsia"/>
          <w:b/>
          <w:bCs/>
          <w:snapToGrid w:val="0"/>
          <w:color w:val="auto"/>
          <w:spacing w:val="7"/>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月</w:t>
      </w:r>
      <w:r>
        <w:rPr>
          <w:rFonts w:hint="eastAsia" w:asciiTheme="minorEastAsia" w:hAnsiTheme="minorEastAsia" w:eastAsiaTheme="minorEastAsia" w:cstheme="minorEastAsia"/>
          <w:b/>
          <w:bCs/>
          <w:snapToGrid w:val="0"/>
          <w:color w:val="auto"/>
          <w:spacing w:val="16"/>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日</w:t>
      </w:r>
    </w:p>
    <w:p>
      <w:pPr>
        <w:spacing w:line="240" w:lineRule="auto"/>
        <w:rPr>
          <w:rFonts w:hint="eastAsia" w:asciiTheme="minorEastAsia" w:hAnsiTheme="minorEastAsia" w:eastAsiaTheme="minorEastAsia" w:cstheme="minorEastAsia"/>
          <w:b/>
          <w:bCs/>
          <w:color w:val="auto"/>
          <w:sz w:val="28"/>
          <w:szCs w:val="28"/>
          <w:highlight w:val="none"/>
        </w:rPr>
        <w:sectPr>
          <w:headerReference r:id="rId8" w:type="default"/>
          <w:footerReference r:id="rId9" w:type="default"/>
          <w:pgSz w:w="11906" w:h="16838"/>
          <w:pgMar w:top="850" w:right="850" w:bottom="850" w:left="1134" w:header="704" w:footer="952" w:gutter="0"/>
          <w:pgNumType w:fmt="decimal" w:start="1"/>
          <w:cols w:space="720" w:num="1"/>
        </w:sectPr>
      </w:pPr>
    </w:p>
    <w:p>
      <w:pPr>
        <w:jc w:val="both"/>
        <w:rPr>
          <w:rFonts w:hint="eastAsia" w:asciiTheme="minorEastAsia" w:hAnsiTheme="minorEastAsia" w:eastAsiaTheme="minorEastAsia" w:cstheme="minorEastAsia"/>
          <w:color w:val="auto"/>
          <w:sz w:val="28"/>
          <w:szCs w:val="28"/>
          <w:highlight w:val="none"/>
          <w:u w:val="single"/>
        </w:rPr>
      </w:pPr>
    </w:p>
    <w:p>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 xml:space="preserve">第二节  </w:t>
      </w:r>
      <w:r>
        <w:rPr>
          <w:rFonts w:hint="eastAsia" w:asciiTheme="minorEastAsia" w:hAnsiTheme="minorEastAsia" w:eastAsiaTheme="minorEastAsia" w:cstheme="minorEastAsia"/>
          <w:b/>
          <w:color w:val="auto"/>
          <w:kern w:val="44"/>
          <w:sz w:val="28"/>
          <w:szCs w:val="28"/>
          <w:highlight w:val="none"/>
        </w:rPr>
        <w:t>资格证明文件格式</w:t>
      </w: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pStyle w:val="35"/>
        <w:rPr>
          <w:rFonts w:hint="eastAsia" w:asciiTheme="minorEastAsia" w:hAnsiTheme="minorEastAsia" w:eastAsiaTheme="minorEastAsia" w:cstheme="minorEastAsia"/>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pPr>
        <w:jc w:val="both"/>
        <w:rPr>
          <w:rFonts w:hint="eastAsia" w:asciiTheme="minorEastAsia" w:hAnsiTheme="minorEastAsia" w:eastAsiaTheme="minorEastAsia" w:cstheme="minorEastAsia"/>
          <w:color w:val="auto"/>
          <w:sz w:val="28"/>
          <w:szCs w:val="28"/>
          <w:highlight w:val="none"/>
          <w:u w:val="single"/>
        </w:rPr>
      </w:pP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  格  证  明  文  件（封面）</w:t>
      </w: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pStyle w:val="35"/>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pPr>
        <w:spacing w:line="336" w:lineRule="auto"/>
        <w:ind w:right="-153" w:rightChars="-73"/>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（2）政府采购供应商信用承诺函；</w:t>
      </w:r>
    </w:p>
    <w:p>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（3）有效的企业资质证书副本扫描件；</w:t>
      </w:r>
    </w:p>
    <w:p>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（4）有效的安全生产许可证副本扫描件；</w:t>
      </w:r>
    </w:p>
    <w:p>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val="en-US" w:eastAsia="zh-CN"/>
        </w:rPr>
        <w:fldChar w:fldCharType="begin"/>
      </w:r>
      <w:r>
        <w:rPr>
          <w:rFonts w:hint="eastAsia" w:asciiTheme="minorEastAsia" w:hAnsiTheme="minorEastAsia" w:eastAsiaTheme="minorEastAsia" w:cstheme="minorEastAsia"/>
          <w:bCs/>
          <w:color w:val="auto"/>
          <w:sz w:val="24"/>
          <w:szCs w:val="24"/>
          <w:highlight w:val="none"/>
          <w:lang w:val="en-US" w:eastAsia="zh-CN"/>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sz w:val="24"/>
          <w:szCs w:val="24"/>
          <w:highlight w:val="none"/>
          <w:lang w:val="en-US" w:eastAsia="zh-CN"/>
        </w:rPr>
        <w:fldChar w:fldCharType="separate"/>
      </w:r>
      <w:r>
        <w:rPr>
          <w:rFonts w:hint="eastAsia" w:asciiTheme="minorEastAsia" w:hAnsiTheme="minorEastAsia" w:eastAsiaTheme="minorEastAsia" w:cstheme="minorEastAsia"/>
          <w:bCs/>
          <w:color w:val="auto"/>
          <w:sz w:val="24"/>
          <w:szCs w:val="24"/>
          <w:highlight w:val="none"/>
          <w:lang w:val="en-US" w:eastAsia="zh-CN"/>
        </w:rPr>
        <w:t>拟派往本项目项目经理</w:t>
      </w:r>
      <w:r>
        <w:rPr>
          <w:rFonts w:hint="eastAsia" w:asciiTheme="minorEastAsia" w:hAnsiTheme="minorEastAsia" w:eastAsiaTheme="minorEastAsia" w:cstheme="minorEastAsia"/>
          <w:bCs/>
          <w:color w:val="auto"/>
          <w:sz w:val="24"/>
          <w:szCs w:val="24"/>
          <w:highlight w:val="none"/>
          <w:lang w:val="en-US" w:eastAsia="zh-CN"/>
        </w:rPr>
        <w:fldChar w:fldCharType="end"/>
      </w:r>
      <w:r>
        <w:rPr>
          <w:rFonts w:hint="eastAsia" w:asciiTheme="minorEastAsia" w:hAnsiTheme="minorEastAsia" w:eastAsiaTheme="minorEastAsia" w:cstheme="minorEastAsia"/>
          <w:bCs/>
          <w:color w:val="auto"/>
          <w:sz w:val="24"/>
          <w:szCs w:val="24"/>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p>
    <w:p>
      <w:pPr>
        <w:pStyle w:val="36"/>
        <w:ind w:left="0" w:leftChars="0" w:firstLine="0" w:firstLineChars="0"/>
        <w:rPr>
          <w:rFonts w:hint="eastAsia"/>
          <w:b w:val="0"/>
          <w:bCs w:val="0"/>
          <w:sz w:val="24"/>
          <w:szCs w:val="24"/>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（6）法定代表人身份证明书及授权委托书（委托代理时必须提供，同时加盖单位电子公章）</w:t>
      </w:r>
    </w:p>
    <w:p>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（7）本项目属于专门面向中小企业采购的项目，中小企业声明函（或监狱企业的证明文件或残疾人福利性单位声明函）必须提供；</w:t>
      </w:r>
    </w:p>
    <w:p>
      <w:pPr>
        <w:pStyle w:val="35"/>
        <w:rPr>
          <w:rFonts w:hint="eastAsia" w:asciiTheme="minorEastAsia" w:hAnsiTheme="minorEastAsia" w:eastAsiaTheme="minorEastAsia" w:cstheme="minorEastAsia"/>
          <w:b/>
          <w:bCs/>
          <w:color w:val="auto"/>
          <w:sz w:val="24"/>
          <w:highlight w:val="none"/>
        </w:rPr>
      </w:pPr>
    </w:p>
    <w:p>
      <w:pPr>
        <w:pStyle w:val="36"/>
        <w:rPr>
          <w:rFonts w:hint="eastAsia" w:asciiTheme="minorEastAsia" w:hAnsiTheme="minorEastAsia" w:eastAsiaTheme="minorEastAsia" w:cstheme="minorEastAsia"/>
          <w:b/>
          <w:bCs/>
          <w:color w:val="auto"/>
          <w:sz w:val="24"/>
          <w:highlight w:val="none"/>
        </w:rPr>
      </w:pPr>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正文格式自拟</w:t>
      </w:r>
    </w:p>
    <w:p>
      <w:pPr>
        <w:spacing w:line="48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color w:val="auto"/>
          <w:sz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highlight w:val="none"/>
        </w:rPr>
        <w:t>。</w:t>
      </w:r>
    </w:p>
    <w:p>
      <w:pPr>
        <w:spacing w:before="78" w:line="219" w:lineRule="auto"/>
        <w:rPr>
          <w:rFonts w:hint="eastAsia" w:asciiTheme="minorEastAsia" w:hAnsiTheme="minorEastAsia" w:eastAsiaTheme="minorEastAsia" w:cstheme="minorEastAsia"/>
          <w:b/>
          <w:color w:val="auto"/>
          <w:sz w:val="24"/>
          <w:highlight w:val="none"/>
          <w:u w:val="single"/>
          <w:lang w:val="en-US" w:eastAsia="zh-CN"/>
        </w:rPr>
      </w:pPr>
      <w:r>
        <w:rPr>
          <w:rFonts w:hint="eastAsia" w:asciiTheme="minorEastAsia" w:hAnsiTheme="minorEastAsia" w:eastAsiaTheme="minorEastAsia" w:cstheme="minorEastAsia"/>
          <w:b/>
          <w:color w:val="auto"/>
          <w:sz w:val="24"/>
          <w:highlight w:val="none"/>
          <w:u w:val="single"/>
          <w:lang w:val="en-US" w:eastAsia="zh-CN"/>
        </w:rPr>
        <w:t>以上材料属于复印件的扫描件的，必须加盖供应商电子公章，否则响应文件按无效响应处理。</w:t>
      </w:r>
    </w:p>
    <w:p>
      <w:pPr>
        <w:spacing w:before="78" w:line="219" w:lineRule="auto"/>
        <w:rPr>
          <w:rFonts w:hint="eastAsia" w:asciiTheme="minorEastAsia" w:hAnsiTheme="minorEastAsia" w:eastAsiaTheme="minorEastAsia" w:cstheme="minorEastAsia"/>
          <w:b/>
          <w:color w:val="auto"/>
          <w:sz w:val="24"/>
          <w:highlight w:val="none"/>
          <w:u w:val="single"/>
          <w:lang w:val="en-US" w:eastAsia="zh-CN"/>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rPr>
          <w:rFonts w:ascii="宋体" w:hAnsi="宋体" w:eastAsia="宋体" w:cs="宋体"/>
          <w:spacing w:val="4"/>
          <w:sz w:val="24"/>
          <w:szCs w:val="24"/>
        </w:rPr>
      </w:pPr>
    </w:p>
    <w:p>
      <w:pPr>
        <w:spacing w:before="78" w:line="219" w:lineRule="auto"/>
        <w:jc w:val="center"/>
        <w:rPr>
          <w:rFonts w:ascii="宋体" w:hAnsi="宋体" w:eastAsia="宋体" w:cs="宋体"/>
          <w:spacing w:val="4"/>
          <w:sz w:val="24"/>
          <w:szCs w:val="24"/>
        </w:rPr>
      </w:pPr>
      <w:r>
        <w:rPr>
          <w:rFonts w:ascii="宋体" w:hAnsi="宋体" w:eastAsia="宋体" w:cs="宋体"/>
          <w:b/>
          <w:bCs/>
          <w:spacing w:val="-3"/>
          <w:sz w:val="28"/>
          <w:szCs w:val="28"/>
        </w:rPr>
        <w:t>政府采购供应商信用承诺函</w:t>
      </w:r>
    </w:p>
    <w:p>
      <w:pPr>
        <w:spacing w:before="78" w:line="219"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4"/>
          <w:sz w:val="24"/>
          <w:szCs w:val="24"/>
          <w:u w:val="single" w:color="auto"/>
        </w:rPr>
        <w:t>采购人或采购代理机构）</w:t>
      </w:r>
    </w:p>
    <w:p>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rPr>
        <w:t xml:space="preserve"> </w:t>
      </w:r>
    </w:p>
    <w:p>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ab/>
      </w:r>
      <w:r>
        <w:rPr>
          <w:rFonts w:ascii="宋体" w:hAnsi="宋体" w:eastAsia="宋体" w:cs="宋体"/>
          <w:sz w:val="24"/>
          <w:szCs w:val="24"/>
        </w:rPr>
        <w:t xml:space="preserve"> </w:t>
      </w:r>
    </w:p>
    <w:p>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pPr>
        <w:spacing w:before="38" w:line="344" w:lineRule="auto"/>
        <w:ind w:firstLine="600"/>
        <w:jc w:val="both"/>
        <w:rPr>
          <w:rFonts w:ascii="宋体" w:hAnsi="宋体" w:eastAsia="宋体" w:cs="宋体"/>
          <w:sz w:val="24"/>
          <w:szCs w:val="24"/>
        </w:rPr>
      </w:pPr>
      <w:r>
        <w:rPr>
          <w:rFonts w:ascii="宋体" w:hAnsi="宋体" w:eastAsia="宋体" w:cs="宋体"/>
          <w:spacing w:val="1"/>
          <w:sz w:val="24"/>
          <w:szCs w:val="24"/>
        </w:rPr>
        <w:t>我单位自愿参加本次政府采购活动，严格遵守《中华人民共和国政府采购法》及相</w:t>
      </w:r>
      <w:r>
        <w:rPr>
          <w:rFonts w:ascii="宋体" w:hAnsi="宋体" w:eastAsia="宋体" w:cs="宋体"/>
          <w:spacing w:val="-6"/>
          <w:sz w:val="24"/>
          <w:szCs w:val="24"/>
        </w:rPr>
        <w:t>关法律法规，依法诚信经营，无条件遵守本次政府采购活动的</w:t>
      </w:r>
      <w:r>
        <w:rPr>
          <w:rFonts w:ascii="宋体" w:hAnsi="宋体" w:eastAsia="宋体" w:cs="宋体"/>
          <w:spacing w:val="-7"/>
          <w:sz w:val="24"/>
          <w:szCs w:val="24"/>
        </w:rPr>
        <w:t>各项规定。我单位郑重承诺，</w:t>
      </w:r>
      <w:r>
        <w:rPr>
          <w:rFonts w:ascii="宋体" w:hAnsi="宋体" w:eastAsia="宋体" w:cs="宋体"/>
          <w:spacing w:val="-1"/>
          <w:sz w:val="24"/>
          <w:szCs w:val="24"/>
        </w:rPr>
        <w:t>本单位符合《中华人民共和国政府采购法》第二十二条规定的条件：</w:t>
      </w:r>
    </w:p>
    <w:p>
      <w:pPr>
        <w:spacing w:before="35" w:line="339" w:lineRule="auto"/>
        <w:ind w:left="602" w:right="2078" w:firstLine="14"/>
        <w:rPr>
          <w:rFonts w:ascii="宋体" w:hAnsi="宋体" w:eastAsia="宋体" w:cs="宋体"/>
          <w:sz w:val="24"/>
          <w:szCs w:val="24"/>
        </w:rPr>
      </w:pPr>
      <w:r>
        <w:rPr>
          <w:rFonts w:ascii="宋体" w:hAnsi="宋体" w:eastAsia="宋体" w:cs="宋体"/>
          <w:spacing w:val="-2"/>
          <w:sz w:val="24"/>
          <w:szCs w:val="24"/>
        </w:rPr>
        <w:t>1.我单位具有符合采购文件资格要求独立</w:t>
      </w:r>
      <w:r>
        <w:rPr>
          <w:rFonts w:ascii="宋体" w:hAnsi="宋体" w:eastAsia="宋体" w:cs="宋体"/>
          <w:spacing w:val="-3"/>
          <w:sz w:val="24"/>
          <w:szCs w:val="24"/>
        </w:rPr>
        <w:t>承担民事责任的能力。</w:t>
      </w:r>
      <w:r>
        <w:rPr>
          <w:rFonts w:ascii="宋体" w:hAnsi="宋体" w:eastAsia="宋体" w:cs="宋体"/>
          <w:sz w:val="24"/>
          <w:szCs w:val="24"/>
        </w:rPr>
        <w:t xml:space="preserve"> </w:t>
      </w:r>
    </w:p>
    <w:p>
      <w:pPr>
        <w:spacing w:before="35" w:line="339" w:lineRule="auto"/>
        <w:ind w:left="602" w:right="2078" w:firstLine="14"/>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pPr>
        <w:spacing w:before="38" w:line="341" w:lineRule="auto"/>
        <w:ind w:left="599" w:right="158" w:firstLine="5"/>
        <w:rPr>
          <w:rFonts w:ascii="宋体" w:hAnsi="宋体" w:eastAsia="宋体" w:cs="宋体"/>
          <w:sz w:val="24"/>
          <w:szCs w:val="24"/>
        </w:rPr>
      </w:pPr>
      <w:r>
        <w:rPr>
          <w:rFonts w:ascii="宋体" w:hAnsi="宋体" w:eastAsia="宋体" w:cs="宋体"/>
          <w:spacing w:val="-1"/>
          <w:sz w:val="24"/>
          <w:szCs w:val="24"/>
        </w:rPr>
        <w:t>3.我单位具有符合采购文件资格要求的依</w:t>
      </w:r>
      <w:r>
        <w:rPr>
          <w:rFonts w:ascii="宋体" w:hAnsi="宋体" w:eastAsia="宋体" w:cs="宋体"/>
          <w:spacing w:val="-2"/>
          <w:sz w:val="24"/>
          <w:szCs w:val="24"/>
        </w:rPr>
        <w:t>法缴纳税收和社会保障记录的良好记录。</w:t>
      </w:r>
      <w:r>
        <w:rPr>
          <w:rFonts w:ascii="宋体" w:hAnsi="宋体" w:eastAsia="宋体" w:cs="宋体"/>
          <w:sz w:val="24"/>
          <w:szCs w:val="24"/>
        </w:rPr>
        <w:t xml:space="preserve"> </w:t>
      </w:r>
    </w:p>
    <w:p>
      <w:pPr>
        <w:spacing w:before="38" w:line="341" w:lineRule="auto"/>
        <w:ind w:left="599" w:right="158" w:firstLine="5"/>
        <w:rPr>
          <w:rFonts w:ascii="宋体" w:hAnsi="宋体" w:eastAsia="宋体" w:cs="宋体"/>
          <w:sz w:val="24"/>
          <w:szCs w:val="24"/>
        </w:rPr>
      </w:pPr>
      <w:r>
        <w:rPr>
          <w:rFonts w:ascii="宋体" w:hAnsi="宋体" w:eastAsia="宋体" w:cs="宋体"/>
          <w:sz w:val="24"/>
          <w:szCs w:val="24"/>
        </w:rPr>
        <w:t>4.我单位具有符合采购文件资格要求履行合同所必需的</w:t>
      </w:r>
      <w:r>
        <w:rPr>
          <w:rFonts w:ascii="宋体" w:hAnsi="宋体" w:eastAsia="宋体" w:cs="宋体"/>
          <w:spacing w:val="-1"/>
          <w:sz w:val="24"/>
          <w:szCs w:val="24"/>
        </w:rPr>
        <w:t>设备和专业技术能力。</w:t>
      </w:r>
    </w:p>
    <w:p>
      <w:pPr>
        <w:spacing w:before="33" w:line="219" w:lineRule="auto"/>
        <w:ind w:left="60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pPr>
        <w:spacing w:before="176" w:line="219" w:lineRule="auto"/>
        <w:ind w:left="600"/>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pPr>
        <w:pStyle w:val="8"/>
        <w:spacing w:line="276" w:lineRule="auto"/>
      </w:pPr>
    </w:p>
    <w:p>
      <w:pPr>
        <w:pStyle w:val="8"/>
        <w:spacing w:line="277" w:lineRule="auto"/>
      </w:pPr>
    </w:p>
    <w:p>
      <w:pPr>
        <w:spacing w:before="78" w:line="219" w:lineRule="auto"/>
        <w:ind w:left="2400"/>
        <w:rPr>
          <w:rFonts w:ascii="宋体" w:hAnsi="宋体" w:eastAsia="宋体" w:cs="宋体"/>
          <w:sz w:val="24"/>
          <w:szCs w:val="24"/>
        </w:rPr>
      </w:pPr>
      <w:r>
        <w:rPr>
          <w:rFonts w:ascii="宋体" w:hAnsi="宋体" w:eastAsia="宋体" w:cs="宋体"/>
          <w:spacing w:val="-2"/>
          <w:sz w:val="24"/>
          <w:szCs w:val="24"/>
        </w:rPr>
        <w:t>供应商（CA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61" w:line="363" w:lineRule="auto"/>
        <w:ind w:left="2440" w:right="62" w:hanging="40"/>
        <w:rPr>
          <w:rFonts w:ascii="宋体" w:hAnsi="宋体" w:eastAsia="宋体" w:cs="宋体"/>
          <w:spacing w:val="1"/>
          <w:sz w:val="24"/>
          <w:szCs w:val="24"/>
        </w:rPr>
      </w:pPr>
      <w:r>
        <w:rPr>
          <w:rFonts w:ascii="宋体" w:hAnsi="宋体" w:eastAsia="宋体" w:cs="宋体"/>
          <w:spacing w:val="-2"/>
          <w:sz w:val="24"/>
          <w:szCs w:val="24"/>
        </w:rPr>
        <w:t>法定代表人或委托代理人（签字或个人</w:t>
      </w:r>
      <w:r>
        <w:rPr>
          <w:rFonts w:ascii="宋体" w:hAnsi="宋体" w:eastAsia="宋体" w:cs="宋体"/>
          <w:spacing w:val="-51"/>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pacing w:val="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 xml:space="preserve"> </w:t>
      </w:r>
    </w:p>
    <w:p>
      <w:pPr>
        <w:spacing w:before="161" w:line="363" w:lineRule="auto"/>
        <w:ind w:left="2440" w:right="62"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7"/>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pPr>
        <w:pStyle w:val="8"/>
        <w:spacing w:line="291" w:lineRule="auto"/>
      </w:pPr>
    </w:p>
    <w:p>
      <w:pPr>
        <w:spacing w:before="72" w:line="373" w:lineRule="auto"/>
        <w:ind w:left="5" w:right="58" w:firstLine="543"/>
        <w:rPr>
          <w:rFonts w:ascii="宋体" w:hAnsi="宋体" w:eastAsia="宋体" w:cs="宋体"/>
          <w:b/>
          <w:bCs/>
          <w:sz w:val="21"/>
          <w:szCs w:val="21"/>
        </w:rPr>
      </w:pPr>
      <w:r>
        <w:rPr>
          <w:rFonts w:ascii="宋体" w:hAnsi="宋体" w:eastAsia="宋体" w:cs="宋体"/>
          <w:b/>
          <w:bCs/>
          <w:spacing w:val="-1"/>
          <w:sz w:val="21"/>
          <w:szCs w:val="21"/>
        </w:rPr>
        <w:t>注：1.供应商须在投标（响应）文件中按此模板</w:t>
      </w:r>
      <w:r>
        <w:rPr>
          <w:rFonts w:ascii="宋体" w:hAnsi="宋体" w:eastAsia="宋体" w:cs="宋体"/>
          <w:b/>
          <w:bCs/>
          <w:spacing w:val="-2"/>
          <w:sz w:val="21"/>
          <w:szCs w:val="21"/>
        </w:rPr>
        <w:t>提供承诺函，未提供视为未实质性响应招标</w:t>
      </w:r>
      <w:r>
        <w:rPr>
          <w:rFonts w:ascii="宋体" w:hAnsi="宋体" w:eastAsia="宋体" w:cs="宋体"/>
          <w:b/>
          <w:bCs/>
          <w:sz w:val="21"/>
          <w:szCs w:val="21"/>
        </w:rPr>
        <w:t xml:space="preserve"> </w:t>
      </w:r>
      <w:r>
        <w:rPr>
          <w:rFonts w:ascii="宋体" w:hAnsi="宋体" w:eastAsia="宋体" w:cs="宋体"/>
          <w:b/>
          <w:bCs/>
          <w:spacing w:val="-1"/>
          <w:sz w:val="21"/>
          <w:szCs w:val="21"/>
        </w:rPr>
        <w:t>（采购）文件要求，按无效投标（响应）处理。</w:t>
      </w:r>
    </w:p>
    <w:p>
      <w:pPr>
        <w:numPr>
          <w:ilvl w:val="0"/>
          <w:numId w:val="0"/>
        </w:numPr>
        <w:spacing w:line="480" w:lineRule="auto"/>
        <w:ind w:firstLine="832" w:firstLineChars="400"/>
        <w:rPr>
          <w:rFonts w:hint="eastAsia" w:asciiTheme="minorEastAsia" w:hAnsiTheme="minorEastAsia" w:eastAsiaTheme="minorEastAsia" w:cstheme="minorEastAsia"/>
          <w:b/>
          <w:bCs/>
          <w:color w:val="auto"/>
          <w:sz w:val="21"/>
          <w:szCs w:val="21"/>
          <w:highlight w:val="none"/>
          <w:u w:val="single"/>
          <w:lang w:val="en-US" w:eastAsia="zh-CN"/>
        </w:rPr>
      </w:pPr>
      <w:r>
        <w:rPr>
          <w:rFonts w:ascii="宋体" w:hAnsi="宋体" w:eastAsia="宋体" w:cs="宋体"/>
          <w:b/>
          <w:bCs/>
          <w:spacing w:val="-1"/>
          <w:sz w:val="21"/>
          <w:szCs w:val="21"/>
        </w:rPr>
        <w:t>2.供应商的法定代表人（其他组织的为负责</w:t>
      </w:r>
      <w:r>
        <w:rPr>
          <w:rFonts w:ascii="宋体" w:hAnsi="宋体" w:eastAsia="宋体" w:cs="宋体"/>
          <w:b/>
          <w:bCs/>
          <w:spacing w:val="-2"/>
          <w:sz w:val="21"/>
          <w:szCs w:val="21"/>
        </w:rPr>
        <w:t>人）或者授权代表的签名或盖章应真实、有效，如由授权代表签名或盖章的，应提供“法定代表人授权书”</w:t>
      </w:r>
    </w:p>
    <w:p>
      <w:pPr>
        <w:pStyle w:val="35"/>
        <w:widowControl w:val="0"/>
        <w:numPr>
          <w:ilvl w:val="0"/>
          <w:numId w:val="0"/>
        </w:numPr>
        <w:autoSpaceDE w:val="0"/>
        <w:autoSpaceDN w:val="0"/>
        <w:adjustRightInd w:val="0"/>
        <w:rPr>
          <w:rFonts w:hint="eastAsia" w:asciiTheme="minorEastAsia" w:hAnsiTheme="minorEastAsia" w:eastAsiaTheme="minorEastAsia" w:cstheme="minorEastAsia"/>
          <w:color w:val="auto"/>
          <w:highlight w:val="none"/>
          <w:lang w:val="en-US" w:eastAsia="zh-CN"/>
        </w:rPr>
      </w:pPr>
    </w:p>
    <w:p>
      <w:pPr>
        <w:pStyle w:val="36"/>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p>
    <w:p>
      <w:pPr>
        <w:rPr>
          <w:rFonts w:hint="eastAsia"/>
          <w:lang w:val="en-US" w:eastAsia="zh-CN"/>
        </w:rPr>
      </w:pPr>
    </w:p>
    <w:p>
      <w:pPr>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8"/>
          <w:szCs w:val="28"/>
          <w:highlight w:val="none"/>
          <w:lang w:val="en-US" w:eastAsia="zh-CN"/>
        </w:rPr>
        <w:t>附1、</w:t>
      </w:r>
      <w:r>
        <w:rPr>
          <w:rFonts w:hint="eastAsia" w:asciiTheme="minorEastAsia" w:hAnsiTheme="minorEastAsia" w:eastAsiaTheme="minorEastAsia" w:cstheme="minorEastAsia"/>
          <w:b/>
          <w:color w:val="auto"/>
          <w:kern w:val="0"/>
          <w:sz w:val="28"/>
          <w:szCs w:val="28"/>
          <w:highlight w:val="none"/>
        </w:rPr>
        <w:t>法定代表人身份证明书</w:t>
      </w:r>
      <w:r>
        <w:rPr>
          <w:rFonts w:hint="eastAsia" w:asciiTheme="minorEastAsia" w:hAnsiTheme="minorEastAsia" w:eastAsiaTheme="minorEastAsia" w:cstheme="minorEastAsia"/>
          <w:b/>
          <w:color w:val="auto"/>
          <w:sz w:val="28"/>
          <w:szCs w:val="28"/>
          <w:highlight w:val="none"/>
        </w:rPr>
        <w:t>（格式）</w:t>
      </w:r>
    </w:p>
    <w:p>
      <w:pPr>
        <w:autoSpaceDE w:val="0"/>
        <w:autoSpaceDN w:val="0"/>
        <w:adjustRightInd w:val="0"/>
        <w:rPr>
          <w:rFonts w:hint="eastAsia" w:asciiTheme="minorEastAsia" w:hAnsiTheme="minorEastAsia" w:eastAsiaTheme="minorEastAsia" w:cstheme="minorEastAsia"/>
          <w:b/>
          <w:color w:val="auto"/>
          <w:kern w:val="0"/>
          <w:szCs w:val="21"/>
          <w:highlight w:val="none"/>
        </w:rPr>
      </w:pPr>
    </w:p>
    <w:p>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单位性质：</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经营期限：</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姓名：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性别：</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职务：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系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名称）的法定代表人。</w:t>
      </w:r>
    </w:p>
    <w:p>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特此证明。</w:t>
      </w:r>
    </w:p>
    <w:p>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pPr>
        <w:autoSpaceDE w:val="0"/>
        <w:autoSpaceDN w:val="0"/>
        <w:adjustRightInd w:val="0"/>
        <w:spacing w:line="360" w:lineRule="auto"/>
        <w:ind w:firstLine="3600" w:firstLineChars="15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（公章</w:t>
      </w:r>
      <w:r>
        <w:rPr>
          <w:rFonts w:hint="eastAsia" w:asciiTheme="minorEastAsia" w:hAnsiTheme="minorEastAsia" w:eastAsiaTheme="minorEastAsia" w:cstheme="minorEastAsia"/>
          <w:color w:val="auto"/>
          <w:kern w:val="0"/>
          <w:sz w:val="24"/>
          <w:szCs w:val="24"/>
          <w:highlight w:val="none"/>
          <w:lang w:val="en-US" w:eastAsia="zh-CN"/>
        </w:rPr>
        <w:t>或</w:t>
      </w:r>
      <w:r>
        <w:rPr>
          <w:rFonts w:hint="eastAsia" w:asciiTheme="minorEastAsia" w:hAnsiTheme="minorEastAsia" w:eastAsiaTheme="minorEastAsia" w:cstheme="minorEastAsia"/>
          <w:color w:val="auto"/>
          <w:kern w:val="0"/>
          <w:sz w:val="24"/>
          <w:szCs w:val="24"/>
          <w:highlight w:val="none"/>
          <w:lang w:eastAsia="zh-CN"/>
        </w:rPr>
        <w:t>电子CA签章</w:t>
      </w:r>
      <w:r>
        <w:rPr>
          <w:rFonts w:hint="eastAsia" w:asciiTheme="minorEastAsia" w:hAnsiTheme="minorEastAsia" w:eastAsiaTheme="minorEastAsia" w:cstheme="minorEastAsia"/>
          <w:color w:val="auto"/>
          <w:kern w:val="0"/>
          <w:sz w:val="24"/>
          <w:szCs w:val="24"/>
          <w:highlight w:val="none"/>
        </w:rPr>
        <w:t>）</w:t>
      </w:r>
    </w:p>
    <w:p>
      <w:pPr>
        <w:autoSpaceDE w:val="0"/>
        <w:autoSpaceDN w:val="0"/>
        <w:adjustRightInd w:val="0"/>
        <w:spacing w:line="360" w:lineRule="auto"/>
        <w:ind w:firstLine="4320" w:firstLineChars="18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pPr>
        <w:autoSpaceDE w:val="0"/>
        <w:autoSpaceDN w:val="0"/>
        <w:adjustRightInd w:val="0"/>
        <w:spacing w:line="240" w:lineRule="exact"/>
        <w:ind w:firstLine="352" w:firstLineChars="147"/>
        <w:jc w:val="left"/>
        <w:rPr>
          <w:rFonts w:hint="eastAsia" w:asciiTheme="minorEastAsia" w:hAnsiTheme="minorEastAsia" w:eastAsiaTheme="minorEastAsia" w:cstheme="minorEastAsia"/>
          <w:b/>
          <w:color w:val="auto"/>
          <w:sz w:val="24"/>
          <w:szCs w:val="24"/>
          <w:highlight w:val="none"/>
        </w:rPr>
      </w:pPr>
    </w:p>
    <w:p>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pPr>
        <w:autoSpaceDE w:val="0"/>
        <w:autoSpaceDN w:val="0"/>
        <w:adjustRightInd w:val="0"/>
        <w:spacing w:line="360" w:lineRule="auto"/>
        <w:ind w:firstLine="352" w:firstLineChars="147"/>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color w:val="auto"/>
          <w:sz w:val="24"/>
          <w:szCs w:val="24"/>
          <w:highlight w:val="none"/>
        </w:rPr>
        <w:t>附：法定代表人二代居民身份证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color w:val="auto"/>
          <w:sz w:val="24"/>
          <w:szCs w:val="24"/>
          <w:highlight w:val="none"/>
          <w:lang w:eastAsia="zh-CN"/>
        </w:rPr>
        <w:t>扫描件</w:t>
      </w:r>
    </w:p>
    <w:p>
      <w:pPr>
        <w:autoSpaceDE w:val="0"/>
        <w:autoSpaceDN w:val="0"/>
        <w:adjustRightInd w:val="0"/>
        <w:spacing w:line="240" w:lineRule="exact"/>
        <w:ind w:firstLine="4620" w:firstLineChars="2200"/>
        <w:jc w:val="left"/>
        <w:rPr>
          <w:rFonts w:hint="eastAsia" w:asciiTheme="minorEastAsia" w:hAnsiTheme="minorEastAsia" w:eastAsiaTheme="minorEastAsia" w:cstheme="minorEastAsia"/>
          <w:color w:val="auto"/>
          <w:kern w:val="0"/>
          <w:szCs w:val="21"/>
          <w:highlight w:val="none"/>
        </w:rPr>
      </w:pPr>
    </w:p>
    <w:p>
      <w:pPr>
        <w:autoSpaceDE w:val="0"/>
        <w:autoSpaceDN w:val="0"/>
        <w:adjustRightInd w:val="0"/>
        <w:jc w:val="center"/>
        <w:rPr>
          <w:rFonts w:hint="eastAsia" w:asciiTheme="minorEastAsia" w:hAnsiTheme="minorEastAsia" w:eastAsiaTheme="minorEastAsia" w:cstheme="minorEastAsia"/>
          <w:b/>
          <w:color w:val="auto"/>
          <w:szCs w:val="21"/>
          <w:highlight w:val="none"/>
        </w:rPr>
      </w:pPr>
    </w:p>
    <w:p>
      <w:pPr>
        <w:autoSpaceDE w:val="0"/>
        <w:autoSpaceDN w:val="0"/>
        <w:adjustRightInd w:val="0"/>
        <w:jc w:val="both"/>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附2</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kern w:val="0"/>
          <w:sz w:val="28"/>
          <w:szCs w:val="28"/>
          <w:highlight w:val="none"/>
        </w:rPr>
        <w:t>授权委托书</w:t>
      </w:r>
      <w:r>
        <w:rPr>
          <w:rFonts w:hint="eastAsia" w:asciiTheme="minorEastAsia" w:hAnsiTheme="minorEastAsia" w:eastAsiaTheme="minorEastAsia" w:cstheme="minorEastAsia"/>
          <w:b/>
          <w:color w:val="auto"/>
          <w:sz w:val="28"/>
          <w:szCs w:val="28"/>
          <w:highlight w:val="none"/>
        </w:rPr>
        <w:t>（格式）</w:t>
      </w:r>
    </w:p>
    <w:p>
      <w:pPr>
        <w:autoSpaceDE w:val="0"/>
        <w:autoSpaceDN w:val="0"/>
        <w:adjustRightInd w:val="0"/>
        <w:ind w:firstLine="3045" w:firstLineChars="1450"/>
        <w:rPr>
          <w:rFonts w:hint="eastAsia" w:asciiTheme="minorEastAsia" w:hAnsiTheme="minorEastAsia" w:eastAsiaTheme="minorEastAsia" w:cstheme="minorEastAsia"/>
          <w:b/>
          <w:color w:val="auto"/>
          <w:kern w:val="0"/>
          <w:szCs w:val="21"/>
          <w:highlight w:val="none"/>
        </w:rPr>
      </w:pPr>
    </w:p>
    <w:p>
      <w:pPr>
        <w:autoSpaceDE w:val="0"/>
        <w:autoSpaceDN w:val="0"/>
        <w:adjustRightInd w:val="0"/>
        <w:spacing w:line="360" w:lineRule="auto"/>
        <w:ind w:firstLine="525" w:firstLineChars="250"/>
        <w:jc w:val="left"/>
        <w:rPr>
          <w:rFonts w:hint="eastAsia" w:asciiTheme="minorEastAsia" w:hAnsiTheme="minorEastAsia" w:eastAsiaTheme="minorEastAsia" w:cstheme="minorEastAsia"/>
          <w:color w:val="auto"/>
          <w:kern w:val="0"/>
          <w:szCs w:val="21"/>
          <w:highlight w:val="none"/>
        </w:rPr>
      </w:pPr>
    </w:p>
    <w:p>
      <w:pPr>
        <w:spacing w:line="360" w:lineRule="auto"/>
        <w:ind w:firstLine="470" w:firstLineChars="19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磋商供应商</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rPr>
        <w:t xml:space="preserve">      （单位名称）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为我公司签署</w:t>
      </w:r>
      <w:r>
        <w:rPr>
          <w:rFonts w:hint="eastAsia" w:asciiTheme="minorEastAsia" w:hAnsiTheme="minorEastAsia" w:eastAsiaTheme="minorEastAsia" w:cstheme="minorEastAsia"/>
          <w:color w:val="auto"/>
          <w:sz w:val="24"/>
          <w:szCs w:val="24"/>
          <w:highlight w:val="none"/>
          <w:u w:val="single"/>
        </w:rPr>
        <w:t xml:space="preserve">                    （项目名称及项目编号）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的法定代表人授权委托代理人，我承认代理人全权代表我所签署的本工程的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代理人无转委托权，特此委托。</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p>
      <w:pPr>
        <w:wordWrap w:val="0"/>
        <w:spacing w:line="360" w:lineRule="auto"/>
        <w:ind w:left="2699"/>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right="124" w:firstLine="4560" w:firstLineChars="1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（公章</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lang w:eastAsia="zh-CN"/>
        </w:rPr>
        <w:t>电子CA签章</w:t>
      </w:r>
      <w:r>
        <w:rPr>
          <w:rFonts w:hint="eastAsia" w:asciiTheme="minorEastAsia" w:hAnsiTheme="minorEastAsia" w:eastAsiaTheme="minorEastAsia" w:cstheme="minorEastAsia"/>
          <w:color w:val="auto"/>
          <w:sz w:val="24"/>
          <w:szCs w:val="24"/>
          <w:highlight w:val="none"/>
          <w:u w:val="single"/>
        </w:rPr>
        <w:t>）</w:t>
      </w:r>
    </w:p>
    <w:p>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（手写签名</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rPr>
        <w:t>电子签名）</w:t>
      </w:r>
    </w:p>
    <w:p>
      <w:pPr>
        <w:spacing w:line="360" w:lineRule="auto"/>
        <w:ind w:left="2699" w:firstLine="1440" w:firstLineChars="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附：委托代理人二代居民身份证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bCs/>
          <w:color w:val="auto"/>
          <w:sz w:val="24"/>
          <w:szCs w:val="24"/>
          <w:highlight w:val="none"/>
          <w:lang w:eastAsia="zh-CN"/>
        </w:rPr>
        <w:t>扫描件</w:t>
      </w:r>
      <w:r>
        <w:rPr>
          <w:rFonts w:hint="eastAsia" w:asciiTheme="minorEastAsia" w:hAnsiTheme="minorEastAsia" w:eastAsiaTheme="minorEastAsia" w:cstheme="minorEastAsia"/>
          <w:b/>
          <w:bCs/>
          <w:color w:val="auto"/>
          <w:sz w:val="24"/>
          <w:szCs w:val="24"/>
          <w:highlight w:val="none"/>
        </w:rPr>
        <w:t>。</w:t>
      </w:r>
    </w:p>
    <w:p>
      <w:pPr>
        <w:ind w:firstLine="420" w:firstLineChars="200"/>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bCs/>
          <w:color w:val="auto"/>
          <w:sz w:val="24"/>
          <w:highlight w:val="none"/>
        </w:rPr>
      </w:pPr>
    </w:p>
    <w:p>
      <w:pPr>
        <w:pStyle w:val="35"/>
        <w:rPr>
          <w:rFonts w:hint="eastAsia" w:asciiTheme="minorEastAsia" w:hAnsiTheme="minorEastAsia" w:eastAsiaTheme="minorEastAsia" w:cstheme="minorEastAsia"/>
          <w:b/>
          <w:bCs/>
          <w:color w:val="auto"/>
          <w:sz w:val="24"/>
          <w:highlight w:val="none"/>
        </w:rPr>
      </w:pPr>
    </w:p>
    <w:p>
      <w:pPr>
        <w:ind w:firstLine="315" w:firstLineChars="150"/>
        <w:rPr>
          <w:rFonts w:hint="eastAsia" w:asciiTheme="minorEastAsia" w:hAnsiTheme="minorEastAsia" w:eastAsiaTheme="minorEastAsia" w:cstheme="minorEastAsia"/>
          <w:bCs/>
          <w:color w:val="auto"/>
          <w:szCs w:val="21"/>
          <w:highlight w:val="none"/>
          <w:lang w:val="en-US" w:eastAsia="zh-CN"/>
        </w:rPr>
      </w:pPr>
    </w:p>
    <w:p>
      <w:pPr>
        <w:rPr>
          <w:rFonts w:hint="eastAsia" w:asciiTheme="minorEastAsia" w:hAnsiTheme="minorEastAsia" w:eastAsiaTheme="minorEastAsia" w:cstheme="minorEastAsia"/>
          <w:bCs/>
          <w:color w:val="auto"/>
          <w:szCs w:val="21"/>
          <w:highlight w:val="none"/>
        </w:rPr>
      </w:pPr>
    </w:p>
    <w:p>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附件3：中小企业声明函（格式）</w:t>
      </w:r>
    </w:p>
    <w:p>
      <w:pPr>
        <w:spacing w:before="65" w:line="381" w:lineRule="auto"/>
        <w:ind w:right="13" w:firstLine="419"/>
        <w:jc w:val="both"/>
        <w:rPr>
          <w:rFonts w:hint="eastAsia" w:asciiTheme="minorEastAsia" w:hAnsiTheme="minorEastAsia" w:eastAsiaTheme="minorEastAsia" w:cstheme="minorEastAsia"/>
          <w:color w:val="auto"/>
          <w:kern w:val="2"/>
          <w:sz w:val="21"/>
          <w:szCs w:val="21"/>
          <w:highlight w:val="none"/>
          <w:lang w:val="en-US" w:eastAsia="zh-CN" w:bidi="ar-SA"/>
        </w:rPr>
      </w:pPr>
    </w:p>
    <w:p>
      <w:pPr>
        <w:spacing w:before="65" w:line="381" w:lineRule="auto"/>
        <w:ind w:right="13" w:firstLine="419"/>
        <w:jc w:val="both"/>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本</w:t>
      </w:r>
      <w:r>
        <w:rPr>
          <w:rFonts w:hint="eastAsia" w:ascii="宋体" w:hAnsi="宋体" w:eastAsia="宋体" w:cs="宋体"/>
          <w:spacing w:val="6"/>
          <w:sz w:val="24"/>
          <w:szCs w:val="24"/>
        </w:rPr>
        <w:t>公司（联合体）郑重声明，根据《政府采购</w:t>
      </w:r>
      <w:r>
        <w:rPr>
          <w:rFonts w:hint="eastAsia" w:ascii="宋体" w:hAnsi="宋体" w:eastAsia="宋体" w:cs="宋体"/>
          <w:spacing w:val="5"/>
          <w:sz w:val="24"/>
          <w:szCs w:val="24"/>
        </w:rPr>
        <w:t>促进中小企业发展管理办法》（财库﹝2020﹞46号</w:t>
      </w:r>
      <w:r>
        <w:rPr>
          <w:rFonts w:hint="eastAsia" w:ascii="宋体" w:hAnsi="宋体" w:eastAsia="宋体" w:cs="宋体"/>
          <w:spacing w:val="10"/>
          <w:sz w:val="24"/>
          <w:szCs w:val="24"/>
        </w:rPr>
        <w:t>的规定，本公司（联合体）参加</w:t>
      </w:r>
      <w:r>
        <w:rPr>
          <w:rFonts w:hint="eastAsia" w:ascii="宋体" w:hAnsi="宋体" w:eastAsia="宋体" w:cs="宋体"/>
          <w:spacing w:val="-96"/>
          <w:sz w:val="24"/>
          <w:szCs w:val="24"/>
        </w:rPr>
        <w:t xml:space="preserve"> </w:t>
      </w:r>
      <w:r>
        <w:rPr>
          <w:rFonts w:hint="eastAsia" w:ascii="宋体" w:hAnsi="宋体" w:eastAsia="宋体" w:cs="宋体"/>
          <w:spacing w:val="10"/>
          <w:sz w:val="24"/>
          <w:szCs w:val="24"/>
          <w:u w:val="single" w:color="auto"/>
        </w:rPr>
        <w:t xml:space="preserve"> （单位名称） </w:t>
      </w:r>
      <w:r>
        <w:rPr>
          <w:rFonts w:hint="eastAsia" w:ascii="宋体" w:hAnsi="宋体" w:eastAsia="宋体" w:cs="宋体"/>
          <w:spacing w:val="-74"/>
          <w:sz w:val="24"/>
          <w:szCs w:val="24"/>
        </w:rPr>
        <w:t xml:space="preserve"> </w:t>
      </w:r>
      <w:r>
        <w:rPr>
          <w:rFonts w:hint="eastAsia" w:ascii="宋体" w:hAnsi="宋体" w:eastAsia="宋体" w:cs="宋体"/>
          <w:spacing w:val="10"/>
          <w:sz w:val="24"/>
          <w:szCs w:val="24"/>
        </w:rPr>
        <w:t>的</w:t>
      </w:r>
      <w:r>
        <w:rPr>
          <w:rFonts w:hint="eastAsia" w:ascii="宋体" w:hAnsi="宋体" w:eastAsia="宋体" w:cs="宋体"/>
          <w:spacing w:val="10"/>
          <w:sz w:val="24"/>
          <w:szCs w:val="24"/>
          <w:u w:val="single" w:color="auto"/>
        </w:rPr>
        <w:t xml:space="preserve"> （项目名称） </w:t>
      </w:r>
      <w:r>
        <w:rPr>
          <w:rFonts w:hint="eastAsia" w:ascii="宋体" w:hAnsi="宋体" w:eastAsia="宋体" w:cs="宋体"/>
          <w:spacing w:val="-92"/>
          <w:sz w:val="24"/>
          <w:szCs w:val="24"/>
        </w:rPr>
        <w:t xml:space="preserve"> </w:t>
      </w:r>
      <w:r>
        <w:rPr>
          <w:rFonts w:hint="eastAsia" w:ascii="宋体" w:hAnsi="宋体" w:eastAsia="宋体" w:cs="宋体"/>
          <w:spacing w:val="10"/>
          <w:sz w:val="24"/>
          <w:szCs w:val="24"/>
        </w:rPr>
        <w:t>采购活</w:t>
      </w:r>
      <w:r>
        <w:rPr>
          <w:rFonts w:hint="eastAsia" w:ascii="宋体" w:hAnsi="宋体" w:eastAsia="宋体" w:cs="宋体"/>
          <w:spacing w:val="9"/>
          <w:sz w:val="24"/>
          <w:szCs w:val="24"/>
        </w:rPr>
        <w:t>动，工程的施工单位全部为</w:t>
      </w:r>
      <w:r>
        <w:rPr>
          <w:rFonts w:hint="eastAsia" w:ascii="宋体" w:hAnsi="宋体" w:eastAsia="宋体" w:cs="宋体"/>
          <w:spacing w:val="10"/>
          <w:sz w:val="24"/>
          <w:szCs w:val="24"/>
        </w:rPr>
        <w:t>符合政策要求的中小企业（或者：服务全部由符合政策要求的中小企业承接）</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。相关企业（含联合体</w:t>
      </w:r>
      <w:r>
        <w:rPr>
          <w:rFonts w:hint="eastAsia" w:ascii="宋体" w:hAnsi="宋体" w:eastAsia="宋体" w:cs="宋体"/>
          <w:spacing w:val="9"/>
          <w:sz w:val="24"/>
          <w:szCs w:val="24"/>
        </w:rPr>
        <w:t>中的中小企业、签订分包意向协议的中小企业）的具体情况如下：</w:t>
      </w:r>
    </w:p>
    <w:p>
      <w:pPr>
        <w:spacing w:before="30" w:line="338" w:lineRule="auto"/>
        <w:ind w:left="1" w:right="48" w:firstLine="432"/>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 xml:space="preserve"> （标的名称</w:t>
      </w:r>
      <w:r>
        <w:rPr>
          <w:rFonts w:hint="eastAsia" w:ascii="宋体" w:hAnsi="宋体" w:eastAsia="宋体" w:cs="宋体"/>
          <w:spacing w:val="-15"/>
          <w:sz w:val="24"/>
          <w:szCs w:val="24"/>
          <w:u w:val="single" w:color="auto"/>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 xml:space="preserve"> （采购文件中明确的所属行业</w:t>
      </w:r>
      <w:r>
        <w:rPr>
          <w:rFonts w:hint="eastAsia" w:ascii="宋体" w:hAnsi="宋体" w:eastAsia="宋体" w:cs="宋体"/>
          <w:spacing w:val="-15"/>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5"/>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pPr>
        <w:spacing w:before="161" w:line="338" w:lineRule="auto"/>
        <w:ind w:left="1" w:right="48" w:firstLine="420"/>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color="auto"/>
        </w:rPr>
        <w:t xml:space="preserve"> （标的名称</w:t>
      </w:r>
      <w:r>
        <w:rPr>
          <w:rFonts w:hint="eastAsia" w:ascii="宋体" w:hAnsi="宋体" w:eastAsia="宋体" w:cs="宋体"/>
          <w:spacing w:val="-17"/>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color="auto"/>
        </w:rPr>
        <w:t xml:space="preserve"> （采购文件中明确的所属行</w:t>
      </w:r>
      <w:r>
        <w:rPr>
          <w:rFonts w:hint="eastAsia" w:ascii="宋体" w:hAnsi="宋体" w:eastAsia="宋体" w:cs="宋体"/>
          <w:spacing w:val="5"/>
          <w:sz w:val="24"/>
          <w:szCs w:val="24"/>
          <w:u w:val="single" w:color="auto"/>
        </w:rPr>
        <w:t>业</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7"/>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pPr>
        <w:pStyle w:val="8"/>
        <w:spacing w:line="249" w:lineRule="auto"/>
        <w:rPr>
          <w:rFonts w:hint="eastAsia" w:ascii="宋体" w:hAnsi="宋体" w:eastAsia="宋体" w:cs="宋体"/>
          <w:sz w:val="24"/>
          <w:szCs w:val="24"/>
        </w:rPr>
      </w:pPr>
    </w:p>
    <w:p>
      <w:pPr>
        <w:spacing w:before="65" w:line="84" w:lineRule="exact"/>
        <w:ind w:left="424"/>
        <w:rPr>
          <w:rFonts w:hint="eastAsia" w:ascii="宋体" w:hAnsi="宋体" w:eastAsia="宋体" w:cs="宋体"/>
          <w:sz w:val="24"/>
          <w:szCs w:val="24"/>
        </w:rPr>
      </w:pPr>
      <w:r>
        <w:rPr>
          <w:rFonts w:hint="eastAsia" w:ascii="宋体" w:hAnsi="宋体" w:eastAsia="宋体" w:cs="宋体"/>
          <w:spacing w:val="3"/>
          <w:position w:val="1"/>
          <w:sz w:val="24"/>
          <w:szCs w:val="24"/>
        </w:rPr>
        <w:t>...</w:t>
      </w:r>
    </w:p>
    <w:p>
      <w:pPr>
        <w:spacing w:before="183" w:line="373" w:lineRule="auto"/>
        <w:ind w:left="6" w:right="100" w:firstLine="436"/>
        <w:rPr>
          <w:rFonts w:hint="eastAsia" w:ascii="宋体" w:hAnsi="宋体" w:eastAsia="宋体" w:cs="宋体"/>
          <w:sz w:val="24"/>
          <w:szCs w:val="24"/>
        </w:rPr>
      </w:pPr>
      <w:r>
        <w:rPr>
          <w:rFonts w:hint="eastAsia" w:ascii="宋体" w:hAnsi="宋体" w:eastAsia="宋体" w:cs="宋体"/>
          <w:spacing w:val="11"/>
          <w:sz w:val="24"/>
          <w:szCs w:val="24"/>
        </w:rPr>
        <w:t>以上企业，不属于大企业的分支机构，不存在控股股东</w:t>
      </w:r>
      <w:r>
        <w:rPr>
          <w:rFonts w:hint="eastAsia" w:ascii="宋体" w:hAnsi="宋体" w:eastAsia="宋体" w:cs="宋体"/>
          <w:spacing w:val="10"/>
          <w:sz w:val="24"/>
          <w:szCs w:val="24"/>
        </w:rPr>
        <w:t>为大企业的情形，也不存在与大企业的负</w:t>
      </w:r>
      <w:r>
        <w:rPr>
          <w:rFonts w:hint="eastAsia" w:ascii="宋体" w:hAnsi="宋体" w:eastAsia="宋体" w:cs="宋体"/>
          <w:spacing w:val="7"/>
          <w:sz w:val="24"/>
          <w:szCs w:val="24"/>
        </w:rPr>
        <w:t>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16" w:firstLineChars="200"/>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pacing w:val="9"/>
          <w:sz w:val="24"/>
          <w:szCs w:val="24"/>
        </w:rPr>
        <w:t>本企业对上述声明内容的真实性负责。如有虚假，将依法承担相应责</w:t>
      </w:r>
      <w:r>
        <w:rPr>
          <w:rFonts w:hint="eastAsia" w:ascii="宋体" w:hAnsi="宋体" w:eastAsia="宋体" w:cs="宋体"/>
          <w:color w:val="auto"/>
          <w:kern w:val="2"/>
          <w:sz w:val="24"/>
          <w:szCs w:val="24"/>
          <w:highlight w:val="none"/>
          <w:lang w:val="en-US" w:eastAsia="zh-CN" w:bidi="ar-SA"/>
        </w:rPr>
        <w:t>任。</w:t>
      </w:r>
    </w:p>
    <w:p>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80" w:firstLineChars="20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pPr>
        <w:widowControl w:val="0"/>
        <w:spacing w:line="400" w:lineRule="exact"/>
        <w:ind w:left="1120" w:hanging="11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企业名称（公章或电子CA签章）：</w:t>
      </w:r>
    </w:p>
    <w:p>
      <w:pPr>
        <w:widowControl w:val="0"/>
        <w:spacing w:line="400" w:lineRule="exact"/>
        <w:ind w:left="1120" w:hanging="1120"/>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w:t>
      </w: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1.从业人员、营业收入、资产总额填报上一年度数据，无上一年度数据的新成立公司可不填报。</w:t>
      </w: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 xml:space="preserve">2.参加政府采购活动的小型、微型企业应当提供《中小企业声明函》。成交供应商的《中小企业声明函》随成交结果一并公告。 </w:t>
      </w:r>
    </w:p>
    <w:p>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br w:type="page"/>
      </w: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附件4：监狱企业证明文件</w:t>
      </w:r>
    </w:p>
    <w:p>
      <w:pPr>
        <w:widowControl w:val="0"/>
        <w:spacing w:line="400" w:lineRule="exact"/>
        <w:ind w:firstLine="420" w:firstLineChars="200"/>
        <w:jc w:val="both"/>
        <w:rPr>
          <w:rFonts w:hint="eastAsia" w:asciiTheme="minorEastAsia" w:hAnsiTheme="minorEastAsia" w:eastAsiaTheme="minorEastAsia" w:cstheme="minorEastAsia"/>
          <w:b w:val="0"/>
          <w:bCs/>
          <w:color w:val="auto"/>
          <w:kern w:val="2"/>
          <w:sz w:val="21"/>
          <w:szCs w:val="21"/>
          <w:highlight w:val="none"/>
          <w:lang w:val="en-US" w:eastAsia="zh-CN" w:bidi="ar-SA"/>
        </w:rPr>
      </w:pPr>
    </w:p>
    <w:p>
      <w:pPr>
        <w:widowControl w:val="0"/>
        <w:spacing w:line="400" w:lineRule="exact"/>
        <w:ind w:firstLine="480" w:firstLineChars="200"/>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说明：中标供应商的监狱企业证明文件随中标结果一并公告。</w:t>
      </w:r>
    </w:p>
    <w:p>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pPr>
        <w:widowControl w:val="0"/>
        <w:spacing w:line="400" w:lineRule="exact"/>
        <w:jc w:val="both"/>
        <w:outlineLvl w:val="9"/>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br w:type="page"/>
      </w: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附件5：残疾人福利性单位声明函（格式）</w:t>
      </w:r>
    </w:p>
    <w:p>
      <w:pPr>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32"/>
          <w:szCs w:val="20"/>
          <w:highlight w:val="none"/>
          <w:lang w:val="en-US" w:eastAsia="zh-CN" w:bidi="ar-SA"/>
        </w:rPr>
      </w:pPr>
    </w:p>
    <w:p>
      <w:pPr>
        <w:spacing w:line="400" w:lineRule="exact"/>
        <w:rPr>
          <w:rFonts w:hint="eastAsia" w:asciiTheme="minorEastAsia" w:hAnsiTheme="minorEastAsia" w:eastAsiaTheme="minorEastAsia" w:cstheme="minorEastAsia"/>
          <w:b/>
          <w:color w:val="auto"/>
          <w:spacing w:val="6"/>
          <w:sz w:val="30"/>
          <w:szCs w:val="30"/>
          <w:highlight w:val="none"/>
        </w:rPr>
      </w:pPr>
    </w:p>
    <w:p>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（采购人名称）     </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u w:val="single"/>
        </w:rPr>
        <w:t xml:space="preserve">    （项目名称）     </w:t>
      </w:r>
      <w:r>
        <w:rPr>
          <w:rFonts w:hint="eastAsia" w:asciiTheme="minorEastAsia" w:hAnsiTheme="minorEastAsia" w:eastAsiaTheme="minorEastAsia" w:cstheme="minorEastAsia"/>
          <w:color w:val="auto"/>
          <w:spacing w:val="6"/>
          <w:sz w:val="24"/>
          <w:szCs w:val="24"/>
          <w:highlight w:val="none"/>
        </w:rPr>
        <w:t>采购活动提供本单位制造的货物，或者提供其他残疾人福利性单位制造的货物（不包括使用非残疾人福利性单位注册商标的货物）。</w:t>
      </w:r>
    </w:p>
    <w:p>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pPr>
        <w:widowControl w:val="0"/>
        <w:spacing w:line="400" w:lineRule="exact"/>
        <w:ind w:firstLine="3360" w:firstLineChars="14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单位名称（公章或电子CA签章）：</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pPr>
        <w:widowControl w:val="0"/>
        <w:spacing w:line="400" w:lineRule="exact"/>
        <w:ind w:firstLine="3360" w:firstLineChars="14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pPr>
        <w:widowControl w:val="0"/>
        <w:spacing w:line="400" w:lineRule="exact"/>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说明：参加政府采购活动的</w:t>
      </w:r>
      <w:r>
        <w:rPr>
          <w:rFonts w:hint="eastAsia" w:asciiTheme="minorEastAsia" w:hAnsiTheme="minorEastAsia" w:eastAsiaTheme="minorEastAsia" w:cstheme="minorEastAsia"/>
          <w:b/>
          <w:color w:val="auto"/>
          <w:sz w:val="24"/>
          <w:szCs w:val="24"/>
          <w:highlight w:val="none"/>
        </w:rPr>
        <w:t>残疾人福利性单位</w:t>
      </w:r>
      <w:r>
        <w:rPr>
          <w:rFonts w:hint="eastAsia" w:asciiTheme="minorEastAsia" w:hAnsiTheme="minorEastAsia" w:eastAsiaTheme="minorEastAsia" w:cstheme="minorEastAsia"/>
          <w:b/>
          <w:bCs/>
          <w:color w:val="auto"/>
          <w:kern w:val="2"/>
          <w:sz w:val="24"/>
          <w:szCs w:val="24"/>
          <w:highlight w:val="none"/>
          <w:lang w:val="en-US" w:eastAsia="zh-CN" w:bidi="ar-SA"/>
        </w:rPr>
        <w:t>应当提供《</w:t>
      </w:r>
      <w:r>
        <w:rPr>
          <w:rFonts w:hint="eastAsia" w:asciiTheme="minorEastAsia" w:hAnsiTheme="minorEastAsia" w:eastAsiaTheme="minorEastAsia" w:cstheme="minorEastAsia"/>
          <w:b/>
          <w:color w:val="auto"/>
          <w:sz w:val="24"/>
          <w:szCs w:val="24"/>
          <w:highlight w:val="none"/>
        </w:rPr>
        <w:t>残疾人福利性单位声明函</w:t>
      </w:r>
      <w:r>
        <w:rPr>
          <w:rFonts w:hint="eastAsia" w:asciiTheme="minorEastAsia" w:hAnsiTheme="minorEastAsia" w:eastAsiaTheme="minorEastAsia" w:cstheme="minorEastAsia"/>
          <w:b/>
          <w:bCs/>
          <w:color w:val="auto"/>
          <w:kern w:val="2"/>
          <w:sz w:val="24"/>
          <w:szCs w:val="24"/>
          <w:highlight w:val="none"/>
          <w:lang w:val="en-US" w:eastAsia="zh-CN" w:bidi="ar-SA"/>
        </w:rPr>
        <w:t xml:space="preserve">》。中标供应商的《残疾人福利性单位声明函》随中标结果一并公告。 </w:t>
      </w:r>
    </w:p>
    <w:p>
      <w:pPr>
        <w:ind w:firstLine="480" w:firstLineChars="200"/>
        <w:jc w:val="both"/>
        <w:rPr>
          <w:rFonts w:hint="eastAsia" w:asciiTheme="minorEastAsia" w:hAnsiTheme="minorEastAsia" w:eastAsiaTheme="minorEastAsia" w:cstheme="minorEastAsia"/>
          <w:b/>
          <w:color w:val="auto"/>
          <w:kern w:val="44"/>
          <w:sz w:val="24"/>
          <w:szCs w:val="24"/>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第三节  报价</w:t>
      </w:r>
      <w:r>
        <w:rPr>
          <w:rFonts w:hint="eastAsia" w:asciiTheme="minorEastAsia" w:hAnsiTheme="minorEastAsia" w:eastAsiaTheme="minorEastAsia" w:cstheme="minorEastAsia"/>
          <w:b/>
          <w:color w:val="auto"/>
          <w:kern w:val="44"/>
          <w:sz w:val="28"/>
          <w:szCs w:val="28"/>
          <w:highlight w:val="none"/>
        </w:rPr>
        <w:t>文件格式</w:t>
      </w: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pStyle w:val="35"/>
        <w:rPr>
          <w:rFonts w:hint="eastAsia" w:asciiTheme="minorEastAsia" w:hAnsiTheme="minorEastAsia" w:eastAsiaTheme="minorEastAsia" w:cstheme="minorEastAsia"/>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pPr>
        <w:jc w:val="both"/>
        <w:rPr>
          <w:rFonts w:hint="eastAsia" w:asciiTheme="minorEastAsia" w:hAnsiTheme="minorEastAsia" w:eastAsiaTheme="minorEastAsia" w:cstheme="minorEastAsia"/>
          <w:color w:val="auto"/>
          <w:sz w:val="28"/>
          <w:szCs w:val="28"/>
          <w:highlight w:val="none"/>
          <w:u w:val="single"/>
        </w:rPr>
      </w:pP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报  价</w:t>
      </w:r>
      <w:r>
        <w:rPr>
          <w:rFonts w:hint="eastAsia" w:asciiTheme="minorEastAsia" w:hAnsiTheme="minorEastAsia" w:eastAsiaTheme="minorEastAsia" w:cstheme="minorEastAsia"/>
          <w:b/>
          <w:bCs/>
          <w:color w:val="auto"/>
          <w:sz w:val="28"/>
          <w:szCs w:val="28"/>
          <w:highlight w:val="none"/>
        </w:rPr>
        <w:t xml:space="preserve">  文  件（封面）</w:t>
      </w: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pStyle w:val="35"/>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pStyle w:val="6"/>
        <w:rPr>
          <w:rFonts w:hint="eastAsia" w:asciiTheme="minorEastAsia" w:hAnsiTheme="minorEastAsia" w:eastAsiaTheme="minorEastAsia" w:cstheme="minorEastAsia"/>
          <w:color w:val="auto"/>
        </w:rPr>
      </w:pPr>
    </w:p>
    <w:p>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p>
    <w:p>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磋商函及磋商函附录</w:t>
      </w:r>
    </w:p>
    <w:p>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）竞标人基本情况表</w:t>
      </w:r>
    </w:p>
    <w:p>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已标价工程量清单</w:t>
      </w: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spacing w:line="336" w:lineRule="auto"/>
        <w:ind w:right="-153" w:rightChars="-73"/>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一、磋商函及磋商函附录</w:t>
      </w:r>
    </w:p>
    <w:p>
      <w:pPr>
        <w:ind w:firstLine="2040" w:firstLineChars="850"/>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（一）磋商函</w:t>
      </w:r>
    </w:p>
    <w:p>
      <w:pPr>
        <w:ind w:left="5250"/>
        <w:jc w:val="center"/>
        <w:rPr>
          <w:rFonts w:hint="eastAsia" w:asciiTheme="minorEastAsia" w:hAnsiTheme="minorEastAsia" w:eastAsiaTheme="minorEastAsia" w:cstheme="minorEastAsia"/>
          <w:b/>
          <w:bCs/>
          <w:color w:val="auto"/>
          <w:szCs w:val="21"/>
          <w:highlight w:val="none"/>
        </w:rPr>
      </w:pP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eastAsia="zh-CN"/>
        </w:rPr>
        <w:t>人名称</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及项目编号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的全部内容，愿意以人民币（大写）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）的磋商总报价，工期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日历天，按合同约定实施和完成承包工程，修补工程中的任何缺陷，工程质量</w:t>
      </w:r>
      <w:r>
        <w:rPr>
          <w:rFonts w:hint="eastAsia" w:asciiTheme="minorEastAsia" w:hAnsiTheme="minorEastAsia" w:eastAsiaTheme="minorEastAsia" w:cstheme="minorEastAsia"/>
          <w:color w:val="auto"/>
          <w:szCs w:val="21"/>
          <w:highlight w:val="none"/>
          <w:lang w:eastAsia="zh-CN"/>
        </w:rPr>
        <w:t>等级</w:t>
      </w:r>
      <w:r>
        <w:rPr>
          <w:rFonts w:hint="eastAsia" w:asciiTheme="minorEastAsia" w:hAnsiTheme="minorEastAsia" w:eastAsiaTheme="minorEastAsia" w:cstheme="minorEastAsia"/>
          <w:color w:val="auto"/>
          <w:szCs w:val="21"/>
          <w:highlight w:val="none"/>
        </w:rPr>
        <w:t>达到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2、我方同意所递交的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条规定的磋商有效期内有效，在此期间内我方的磋商有可能成交，我方将受此约束。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3、我方承诺已经具备《中华人民共和国政府采购法》第二十二条中规定的参加政府采购活动的供应商应当具备的条件。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4、我方根据</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的规定，承担完成合同的责任和义务。</w:t>
      </w:r>
    </w:p>
    <w:p>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5、我方已详细审核</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，我方知道必须放弃提出含糊不清或误解问题的权利。</w:t>
      </w:r>
    </w:p>
    <w:p>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6、如果在磋商截止时间后的磋商有效期内撤回磋商或者有其他违约行为，贵方可不退还我方的磋商保证金。</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7、同意向贵方提供贵方可能要求的与本磋商有关的任何数据或资料。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8、我方完全理解贵方不一定要接受最低报价的</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为成交供应商。</w:t>
      </w:r>
    </w:p>
    <w:p>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9.若贵方需要，我方愿意提供我方作出的一切承诺的证明材料。</w:t>
      </w:r>
    </w:p>
    <w:p>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pacing w:val="-2"/>
          <w:szCs w:val="21"/>
          <w:highlight w:val="none"/>
        </w:rPr>
        <w:t>我方将严格遵守《中华人民共和国政府采购法》的规定，知悉作为政府采购供应商应负的法律责任。</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（其他）        </w:t>
      </w:r>
      <w:r>
        <w:rPr>
          <w:rFonts w:hint="eastAsia" w:asciiTheme="minorEastAsia" w:hAnsiTheme="minorEastAsia" w:eastAsiaTheme="minorEastAsia" w:cstheme="minorEastAsia"/>
          <w:color w:val="auto"/>
          <w:szCs w:val="21"/>
          <w:highlight w:val="none"/>
        </w:rPr>
        <w:t>。</w:t>
      </w:r>
    </w:p>
    <w:p>
      <w:pPr>
        <w:spacing w:line="360" w:lineRule="auto"/>
        <w:rPr>
          <w:rFonts w:hint="eastAsia" w:asciiTheme="minorEastAsia" w:hAnsiTheme="minorEastAsia" w:eastAsiaTheme="minorEastAsia" w:cstheme="minorEastAsia"/>
          <w:color w:val="auto"/>
          <w:szCs w:val="21"/>
          <w:highlight w:val="none"/>
        </w:rPr>
      </w:pP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与本项目磋商有关的正式通讯地址为：</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电话、电报、传真或电传：</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银行帐号：</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kern w:val="0"/>
          <w:szCs w:val="21"/>
          <w:highlight w:val="none"/>
        </w:rPr>
        <w:t>手写签名</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电子签名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盖公章</w:t>
      </w:r>
      <w:r>
        <w:rPr>
          <w:rFonts w:hint="eastAsia" w:asciiTheme="minorEastAsia" w:hAnsiTheme="minorEastAsia" w:eastAsiaTheme="minorEastAsia" w:cstheme="minorEastAsia"/>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pStyle w:val="11"/>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磋商日期：</w:t>
      </w:r>
      <w:r>
        <w:rPr>
          <w:rFonts w:hint="eastAsia" w:asciiTheme="minorEastAsia" w:hAnsiTheme="minorEastAsia" w:eastAsiaTheme="minorEastAsia" w:cstheme="minorEastAsia"/>
          <w:color w:val="auto"/>
          <w:szCs w:val="21"/>
          <w:highlight w:val="none"/>
          <w:u w:val="single"/>
        </w:rPr>
        <w:t xml:space="preserve">                                   </w:t>
      </w:r>
    </w:p>
    <w:p>
      <w:pPr>
        <w:spacing w:line="48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highlight w:val="none"/>
        </w:rPr>
        <w:t>（二） 磋商函附录</w:t>
      </w:r>
    </w:p>
    <w:p>
      <w:pPr>
        <w:spacing w:line="336" w:lineRule="auto"/>
        <w:ind w:left="-4" w:leftChars="-2" w:right="-153" w:rightChars="-73" w:firstLine="2627" w:firstLineChars="1251"/>
        <w:rPr>
          <w:rFonts w:hint="eastAsia" w:asciiTheme="minorEastAsia" w:hAnsiTheme="minorEastAsia" w:eastAsiaTheme="minorEastAsia" w:cstheme="minorEastAsia"/>
          <w:b/>
          <w:color w:val="auto"/>
          <w:szCs w:val="21"/>
          <w:highlight w:val="none"/>
        </w:rPr>
      </w:pPr>
    </w:p>
    <w:tbl>
      <w:tblPr>
        <w:tblStyle w:val="19"/>
        <w:tblW w:w="873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85"/>
        <w:gridCol w:w="2026"/>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0" w:hRule="atLeast"/>
        </w:trPr>
        <w:tc>
          <w:tcPr>
            <w:tcW w:w="866" w:type="dxa"/>
            <w:noWrap w:val="0"/>
            <w:vAlign w:val="top"/>
          </w:tcPr>
          <w:p>
            <w:pPr>
              <w:pStyle w:val="43"/>
              <w:keepNext w:val="0"/>
              <w:keepLines w:val="0"/>
              <w:suppressLineNumbers w:val="0"/>
              <w:spacing w:before="155" w:beforeAutospacing="0" w:after="0" w:afterAutospacing="0"/>
              <w:ind w:left="174" w:right="157"/>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2655" w:type="dxa"/>
            <w:tcBorders>
              <w:right w:val="single" w:color="000000" w:sz="4" w:space="0"/>
            </w:tcBorders>
            <w:noWrap w:val="0"/>
            <w:vAlign w:val="top"/>
          </w:tcPr>
          <w:p>
            <w:pPr>
              <w:pStyle w:val="43"/>
              <w:keepNext w:val="0"/>
              <w:keepLines w:val="0"/>
              <w:suppressLineNumbers w:val="0"/>
              <w:spacing w:before="15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条款名称</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15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合同条款号</w:t>
            </w: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155" w:beforeAutospacing="0" w:after="0" w:afterAutospacing="0"/>
              <w:ind w:left="660"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约定内容</w:t>
            </w:r>
          </w:p>
        </w:tc>
        <w:tc>
          <w:tcPr>
            <w:tcW w:w="1207" w:type="dxa"/>
            <w:tcBorders>
              <w:left w:val="single" w:color="000000" w:sz="4" w:space="0"/>
            </w:tcBorders>
            <w:noWrap w:val="0"/>
            <w:vAlign w:val="top"/>
          </w:tcPr>
          <w:p>
            <w:pPr>
              <w:pStyle w:val="43"/>
              <w:keepNext w:val="0"/>
              <w:keepLines w:val="0"/>
              <w:suppressLineNumbers w:val="0"/>
              <w:spacing w:before="155" w:beforeAutospacing="0" w:after="0" w:afterAutospacing="0"/>
              <w:ind w:left="367"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6" w:hRule="atLeast"/>
        </w:trPr>
        <w:tc>
          <w:tcPr>
            <w:tcW w:w="866" w:type="dxa"/>
            <w:noWrap w:val="0"/>
            <w:vAlign w:val="top"/>
          </w:tcPr>
          <w:p>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2655" w:type="dxa"/>
            <w:tcBorders>
              <w:right w:val="single" w:color="000000" w:sz="4" w:space="0"/>
            </w:tcBorders>
            <w:noWrap w:val="0"/>
            <w:vAlign w:val="top"/>
          </w:tcPr>
          <w:p>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项目经理</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pPr>
              <w:pStyle w:val="43"/>
              <w:keepNext w:val="0"/>
              <w:keepLines w:val="0"/>
              <w:suppressLineNumbers w:val="0"/>
              <w:tabs>
                <w:tab w:val="left" w:pos="2004"/>
              </w:tabs>
              <w:spacing w:before="213" w:beforeAutospacing="0" w:after="0" w:afterAutospacing="0"/>
              <w:ind w:left="269"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姓名：</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6" w:hRule="atLeast"/>
        </w:trPr>
        <w:tc>
          <w:tcPr>
            <w:tcW w:w="866" w:type="dxa"/>
            <w:noWrap w:val="0"/>
            <w:vAlign w:val="top"/>
          </w:tcPr>
          <w:p>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2655" w:type="dxa"/>
            <w:tcBorders>
              <w:right w:val="single" w:color="000000" w:sz="4" w:space="0"/>
            </w:tcBorders>
            <w:noWrap w:val="0"/>
            <w:vAlign w:val="top"/>
          </w:tcPr>
          <w:p>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工期</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pPr>
              <w:pStyle w:val="43"/>
              <w:keepNext w:val="0"/>
              <w:keepLines w:val="0"/>
              <w:suppressLineNumbers w:val="0"/>
              <w:tabs>
                <w:tab w:val="left" w:pos="1229"/>
              </w:tabs>
              <w:spacing w:before="215" w:beforeAutospacing="0" w:after="0" w:afterAutospacing="0"/>
              <w:ind w:left="29" w:right="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天数：</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r>
              <w:rPr>
                <w:rFonts w:hint="eastAsia" w:asciiTheme="minorEastAsia" w:hAnsiTheme="minorEastAsia" w:eastAsiaTheme="minorEastAsia" w:cstheme="minorEastAsia"/>
                <w:color w:val="auto"/>
                <w:spacing w:val="0"/>
                <w:sz w:val="21"/>
                <w:szCs w:val="21"/>
                <w:highlight w:val="none"/>
                <w:lang w:eastAsia="zh-CN"/>
              </w:rPr>
              <w:t>日历天</w:t>
            </w: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9" w:hRule="atLeast"/>
        </w:trPr>
        <w:tc>
          <w:tcPr>
            <w:tcW w:w="866" w:type="dxa"/>
            <w:noWrap w:val="0"/>
            <w:vAlign w:val="top"/>
          </w:tcPr>
          <w:p>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w:t>
            </w:r>
          </w:p>
        </w:tc>
        <w:tc>
          <w:tcPr>
            <w:tcW w:w="2655" w:type="dxa"/>
            <w:tcBorders>
              <w:right w:val="single" w:color="000000" w:sz="4" w:space="0"/>
            </w:tcBorders>
            <w:noWrap w:val="0"/>
            <w:vAlign w:val="top"/>
          </w:tcPr>
          <w:p>
            <w:pPr>
              <w:pStyle w:val="43"/>
              <w:keepNext w:val="0"/>
              <w:keepLines w:val="0"/>
              <w:suppressLineNumbers w:val="0"/>
              <w:spacing w:before="59"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缺陷责任期</w:t>
            </w:r>
          </w:p>
          <w:p>
            <w:pPr>
              <w:pStyle w:val="43"/>
              <w:keepNext w:val="0"/>
              <w:keepLines w:val="0"/>
              <w:suppressLineNumbers w:val="0"/>
              <w:spacing w:before="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（工程质量保修期）</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6" w:hRule="atLeast"/>
        </w:trPr>
        <w:tc>
          <w:tcPr>
            <w:tcW w:w="866" w:type="dxa"/>
            <w:noWrap w:val="0"/>
            <w:vAlign w:val="top"/>
          </w:tcPr>
          <w:p>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2655" w:type="dxa"/>
            <w:tcBorders>
              <w:right w:val="single" w:color="000000" w:sz="4" w:space="0"/>
            </w:tcBorders>
            <w:noWrap w:val="0"/>
            <w:vAlign w:val="top"/>
          </w:tcPr>
          <w:p>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分包</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6" w:hRule="atLeast"/>
        </w:trPr>
        <w:tc>
          <w:tcPr>
            <w:tcW w:w="866" w:type="dxa"/>
            <w:noWrap w:val="0"/>
            <w:vAlign w:val="top"/>
          </w:tcPr>
          <w:p>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2655" w:type="dxa"/>
            <w:tcBorders>
              <w:right w:val="single" w:color="000000" w:sz="4" w:space="0"/>
            </w:tcBorders>
            <w:noWrap w:val="0"/>
            <w:vAlign w:val="top"/>
          </w:tcPr>
          <w:p>
            <w:pPr>
              <w:pStyle w:val="43"/>
              <w:keepNext w:val="0"/>
              <w:keepLines w:val="0"/>
              <w:suppressLineNumbers w:val="0"/>
              <w:spacing w:before="215" w:beforeAutospacing="0" w:after="0" w:afterAutospacing="0"/>
              <w:ind w:left="226" w:right="214"/>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质量</w:t>
            </w:r>
            <w:r>
              <w:rPr>
                <w:rFonts w:hint="eastAsia" w:asciiTheme="minorEastAsia" w:hAnsiTheme="minorEastAsia" w:eastAsiaTheme="minorEastAsia" w:cstheme="minorEastAsia"/>
                <w:color w:val="auto"/>
                <w:spacing w:val="0"/>
                <w:sz w:val="21"/>
                <w:szCs w:val="21"/>
                <w:highlight w:val="none"/>
                <w:lang w:eastAsia="zh-CN"/>
              </w:rPr>
              <w:t>要求</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8" w:hRule="atLeast"/>
        </w:trPr>
        <w:tc>
          <w:tcPr>
            <w:tcW w:w="866" w:type="dxa"/>
            <w:noWrap w:val="0"/>
            <w:vAlign w:val="top"/>
          </w:tcPr>
          <w:p>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6</w:t>
            </w:r>
          </w:p>
        </w:tc>
        <w:tc>
          <w:tcPr>
            <w:tcW w:w="2655" w:type="dxa"/>
            <w:tcBorders>
              <w:right w:val="single" w:color="000000" w:sz="4" w:space="0"/>
            </w:tcBorders>
            <w:noWrap w:val="0"/>
            <w:vAlign w:val="top"/>
          </w:tcPr>
          <w:p>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投标有效期</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215"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6" w:hRule="atLeast"/>
        </w:trPr>
        <w:tc>
          <w:tcPr>
            <w:tcW w:w="866" w:type="dxa"/>
            <w:noWrap w:val="0"/>
            <w:vAlign w:val="top"/>
          </w:tcPr>
          <w:p>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655" w:type="dxa"/>
            <w:tcBorders>
              <w:right w:val="single" w:color="000000" w:sz="4" w:space="0"/>
            </w:tcBorders>
            <w:noWrap w:val="0"/>
            <w:vAlign w:val="top"/>
          </w:tcPr>
          <w:p>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985" w:type="dxa"/>
            <w:tcBorders>
              <w:left w:val="single" w:color="000000" w:sz="4" w:space="0"/>
              <w:right w:val="single" w:color="000000" w:sz="4" w:space="0"/>
            </w:tcBorders>
            <w:noWrap w:val="0"/>
            <w:vAlign w:val="top"/>
          </w:tcPr>
          <w:p>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026" w:type="dxa"/>
            <w:tcBorders>
              <w:left w:val="single" w:color="000000" w:sz="4" w:space="0"/>
              <w:right w:val="single" w:color="000000" w:sz="4" w:space="0"/>
            </w:tcBorders>
            <w:noWrap w:val="0"/>
            <w:vAlign w:val="top"/>
          </w:tcPr>
          <w:p>
            <w:pPr>
              <w:pStyle w:val="43"/>
              <w:keepNext w:val="0"/>
              <w:keepLines w:val="0"/>
              <w:suppressLineNumbers w:val="0"/>
              <w:spacing w:before="213"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207" w:type="dxa"/>
            <w:tcBorders>
              <w:left w:val="single" w:color="000000" w:sz="4" w:space="0"/>
            </w:tcBorders>
            <w:noWrap w:val="0"/>
            <w:vAlign w:val="top"/>
          </w:tcPr>
          <w:p>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bl>
    <w:p>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numPr>
          <w:ilvl w:val="0"/>
          <w:numId w:val="0"/>
        </w:num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竞标人基本情况表</w:t>
      </w:r>
    </w:p>
    <w:p>
      <w:pPr>
        <w:pStyle w:val="38"/>
        <w:numPr>
          <w:ilvl w:val="0"/>
          <w:numId w:val="0"/>
        </w:numPr>
        <w:rPr>
          <w:rFonts w:hint="eastAsia" w:asciiTheme="minorEastAsia" w:hAnsiTheme="minorEastAsia" w:eastAsiaTheme="minorEastAsia" w:cstheme="minorEastAsia"/>
          <w:color w:val="auto"/>
          <w:highlight w:val="none"/>
        </w:rPr>
      </w:pPr>
    </w:p>
    <w:tbl>
      <w:tblPr>
        <w:tblStyle w:val="1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竞标人名称</w:t>
            </w:r>
          </w:p>
        </w:tc>
        <w:tc>
          <w:tcPr>
            <w:tcW w:w="8757" w:type="dxa"/>
            <w:gridSpan w:val="6"/>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466" w:type="dxa"/>
            <w:gridSpan w:val="3"/>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vMerge w:val="restart"/>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91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549"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vMerge w:val="continue"/>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91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2549"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组织机构</w:t>
            </w:r>
          </w:p>
        </w:tc>
        <w:tc>
          <w:tcPr>
            <w:tcW w:w="8757" w:type="dxa"/>
            <w:gridSpan w:val="6"/>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91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91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646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企业资质等级</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restart"/>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2294"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技工</w:t>
            </w:r>
          </w:p>
        </w:tc>
        <w:tc>
          <w:tcPr>
            <w:tcW w:w="3751"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8757" w:type="dxa"/>
            <w:gridSpan w:val="6"/>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8757" w:type="dxa"/>
            <w:gridSpan w:val="6"/>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bl>
    <w:p>
      <w:pPr>
        <w:jc w:val="left"/>
        <w:rPr>
          <w:rFonts w:hint="eastAsia" w:asciiTheme="minorEastAsia" w:hAnsiTheme="minorEastAsia" w:eastAsiaTheme="minorEastAsia" w:cstheme="minorEastAsia"/>
          <w:b w:val="0"/>
          <w:bCs/>
          <w:color w:val="auto"/>
          <w:sz w:val="21"/>
          <w:szCs w:val="21"/>
          <w:highlight w:val="none"/>
          <w:lang w:val="en-US" w:eastAsia="zh-CN"/>
        </w:rPr>
      </w:pPr>
    </w:p>
    <w:p>
      <w:pPr>
        <w:jc w:val="center"/>
        <w:rPr>
          <w:rFonts w:hint="eastAsia" w:asciiTheme="minorEastAsia" w:hAnsiTheme="minorEastAsia" w:eastAsiaTheme="minorEastAsia" w:cstheme="minorEastAsia"/>
          <w:b/>
          <w:color w:val="auto"/>
          <w:sz w:val="28"/>
          <w:szCs w:val="28"/>
          <w:highlight w:val="none"/>
          <w:lang w:val="en-US" w:eastAsia="zh-CN"/>
        </w:rPr>
      </w:pPr>
    </w:p>
    <w:p>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、已标价工程量清单</w:t>
      </w: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格式自拟</w:t>
      </w:r>
      <w:r>
        <w:rPr>
          <w:rFonts w:hint="eastAsia" w:asciiTheme="minorEastAsia" w:hAnsiTheme="minorEastAsia" w:eastAsiaTheme="minorEastAsia" w:cstheme="minorEastAsia"/>
          <w:b/>
          <w:color w:val="auto"/>
          <w:sz w:val="28"/>
          <w:szCs w:val="28"/>
          <w:highlight w:val="none"/>
          <w:lang w:eastAsia="zh-CN"/>
        </w:rPr>
        <w:t>）</w:t>
      </w:r>
    </w:p>
    <w:p>
      <w:pPr>
        <w:jc w:val="center"/>
        <w:rPr>
          <w:rFonts w:hint="eastAsia" w:asciiTheme="minorEastAsia" w:hAnsiTheme="minorEastAsia" w:eastAsiaTheme="minorEastAsia" w:cstheme="minorEastAsia"/>
          <w:color w:val="auto"/>
          <w:szCs w:val="21"/>
          <w:highlight w:val="none"/>
        </w:rPr>
      </w:pPr>
    </w:p>
    <w:p>
      <w:pPr>
        <w:ind w:firstLine="1050" w:firstLineChars="500"/>
        <w:jc w:val="center"/>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ind w:left="2100"/>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第四节  商务技术</w:t>
      </w:r>
      <w:r>
        <w:rPr>
          <w:rFonts w:hint="eastAsia" w:asciiTheme="minorEastAsia" w:hAnsiTheme="minorEastAsia" w:eastAsiaTheme="minorEastAsia" w:cstheme="minorEastAsia"/>
          <w:b/>
          <w:color w:val="auto"/>
          <w:kern w:val="44"/>
          <w:sz w:val="28"/>
          <w:szCs w:val="28"/>
          <w:highlight w:val="none"/>
        </w:rPr>
        <w:t>文件格式</w:t>
      </w: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pPr>
        <w:pStyle w:val="35"/>
        <w:rPr>
          <w:rFonts w:hint="eastAsia" w:asciiTheme="minorEastAsia" w:hAnsiTheme="minorEastAsia" w:eastAsiaTheme="minorEastAsia" w:cstheme="minorEastAsia"/>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pPr>
        <w:jc w:val="both"/>
        <w:rPr>
          <w:rFonts w:hint="eastAsia" w:asciiTheme="minorEastAsia" w:hAnsiTheme="minorEastAsia" w:eastAsiaTheme="minorEastAsia" w:cstheme="minorEastAsia"/>
          <w:color w:val="auto"/>
          <w:sz w:val="28"/>
          <w:szCs w:val="28"/>
          <w:highlight w:val="none"/>
          <w:u w:val="single"/>
        </w:rPr>
      </w:pP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商  务  技  术</w:t>
      </w:r>
      <w:r>
        <w:rPr>
          <w:rFonts w:hint="eastAsia" w:asciiTheme="minorEastAsia" w:hAnsiTheme="minorEastAsia" w:eastAsiaTheme="minorEastAsia" w:cstheme="minorEastAsia"/>
          <w:b/>
          <w:bCs/>
          <w:color w:val="auto"/>
          <w:sz w:val="28"/>
          <w:szCs w:val="28"/>
          <w:highlight w:val="none"/>
        </w:rPr>
        <w:t xml:space="preserve"> 文  件（封面）</w:t>
      </w: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pStyle w:val="35"/>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jc w:val="center"/>
        <w:rPr>
          <w:rFonts w:hint="eastAsia" w:asciiTheme="minorEastAsia" w:hAnsiTheme="minorEastAsia" w:eastAsiaTheme="minorEastAsia" w:cstheme="minorEastAsia"/>
          <w:b/>
          <w:bCs/>
          <w:color w:val="auto"/>
          <w:sz w:val="28"/>
          <w:szCs w:val="28"/>
          <w:highlight w:val="none"/>
        </w:rPr>
      </w:pP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both"/>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pPr>
        <w:spacing w:line="336" w:lineRule="auto"/>
        <w:ind w:right="-153" w:rightChars="-73"/>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（1）主要管理人员表</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（2）建设工程项目管理承诺书</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施工组织设计</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r>
        <w:rPr>
          <w:rFonts w:hint="eastAsia" w:asciiTheme="minorEastAsia" w:hAnsiTheme="minorEastAsia" w:eastAsiaTheme="minorEastAsia" w:cstheme="minorEastAsia"/>
          <w:bCs/>
          <w:color w:val="auto"/>
          <w:sz w:val="24"/>
          <w:szCs w:val="24"/>
          <w:highlight w:val="none"/>
          <w:lang w:val="en-US" w:eastAsia="zh-CN"/>
        </w:rPr>
        <w:t>）</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spacing w:line="336" w:lineRule="auto"/>
        <w:ind w:right="-153" w:rightChars="-73"/>
        <w:jc w:val="center"/>
        <w:rPr>
          <w:rFonts w:hint="eastAsia" w:asciiTheme="minorEastAsia" w:hAnsiTheme="minorEastAsia" w:eastAsiaTheme="minorEastAsia" w:cstheme="minorEastAsia"/>
          <w:b/>
          <w:color w:val="auto"/>
          <w:szCs w:val="21"/>
          <w:highlight w:val="none"/>
        </w:rPr>
      </w:pPr>
    </w:p>
    <w:p>
      <w:pPr>
        <w:pStyle w:val="8"/>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8"/>
          <w:szCs w:val="28"/>
          <w:highlight w:val="none"/>
          <w:lang w:val="en-US" w:eastAsia="zh-CN"/>
        </w:rPr>
        <w:t>一、主要管理人员表</w:t>
      </w:r>
    </w:p>
    <w:p>
      <w:pPr>
        <w:rPr>
          <w:rFonts w:hint="eastAsia" w:asciiTheme="minorEastAsia" w:hAnsiTheme="minorEastAsia" w:eastAsiaTheme="minorEastAsia" w:cstheme="minorEastAsia"/>
          <w:color w:val="auto"/>
          <w:szCs w:val="21"/>
          <w:highlight w:val="none"/>
        </w:rPr>
      </w:pPr>
    </w:p>
    <w:tbl>
      <w:tblPr>
        <w:tblStyle w:val="19"/>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vMerge w:val="restart"/>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岗位</w:t>
            </w:r>
          </w:p>
        </w:tc>
        <w:tc>
          <w:tcPr>
            <w:tcW w:w="1018" w:type="dxa"/>
            <w:vMerge w:val="restart"/>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姓名</w:t>
            </w:r>
          </w:p>
        </w:tc>
        <w:tc>
          <w:tcPr>
            <w:tcW w:w="5086" w:type="dxa"/>
            <w:vMerge w:val="restart"/>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《注册执业资格</w:t>
            </w:r>
          </w:p>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（或职业或职称或岗位或培训或学历（位）证书）》</w:t>
            </w:r>
          </w:p>
        </w:tc>
        <w:tc>
          <w:tcPr>
            <w:tcW w:w="3168" w:type="dxa"/>
            <w:gridSpan w:val="2"/>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018"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项目数</w:t>
            </w:r>
            <w:r>
              <w:rPr>
                <w:rFonts w:hint="eastAsia" w:asciiTheme="minorEastAsia" w:hAnsiTheme="minorEastAsia" w:eastAsiaTheme="minorEastAsia" w:cstheme="minorEastAsia"/>
                <w:b/>
                <w:bCs/>
                <w:color w:val="auto"/>
                <w:szCs w:val="21"/>
                <w:highlight w:val="none"/>
                <w:lang w:val="en-US" w:eastAsia="zh-CN"/>
              </w:rPr>
              <w:t>量</w:t>
            </w: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项目经理</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restart"/>
            <w:noWrap w:val="0"/>
            <w:vAlign w:val="center"/>
          </w:tcPr>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◆证书证号：</w:t>
            </w:r>
          </w:p>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◆专业（如有）：</w:t>
            </w:r>
          </w:p>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◆专业所属类别（如有）：</w:t>
            </w:r>
          </w:p>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◆授予（或签发或批准或发证）日期：</w:t>
            </w: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技术负责人</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施工员</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质量员</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安全员</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材料员</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224"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w:t>
            </w:r>
          </w:p>
        </w:tc>
        <w:tc>
          <w:tcPr>
            <w:tcW w:w="101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jc w:val="center"/>
        </w:trPr>
        <w:tc>
          <w:tcPr>
            <w:tcW w:w="10496" w:type="dxa"/>
            <w:gridSpan w:val="5"/>
            <w:noWrap w:val="0"/>
            <w:vAlign w:val="center"/>
          </w:tcPr>
          <w:p>
            <w:pPr>
              <w:spacing w:line="360" w:lineRule="auto"/>
              <w:ind w:left="-2" w:right="-153" w:rightChars="-73"/>
              <w:jc w:val="left"/>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一旦我单位</w:t>
            </w:r>
            <w:r>
              <w:rPr>
                <w:rFonts w:hint="eastAsia" w:asciiTheme="minorEastAsia" w:hAnsiTheme="minorEastAsia" w:eastAsiaTheme="minorEastAsia" w:cstheme="minorEastAsia"/>
                <w:b w:val="0"/>
                <w:bCs w:val="0"/>
                <w:color w:val="auto"/>
                <w:szCs w:val="21"/>
                <w:highlight w:val="none"/>
                <w:lang w:val="en-US" w:eastAsia="zh-CN"/>
              </w:rPr>
              <w:t>成交</w:t>
            </w:r>
            <w:r>
              <w:rPr>
                <w:rFonts w:hint="eastAsia" w:asciiTheme="minorEastAsia" w:hAnsiTheme="minorEastAsia" w:eastAsiaTheme="minorEastAsia" w:cstheme="minorEastAsia"/>
                <w:b w:val="0"/>
                <w:bCs w:val="0"/>
                <w:color w:val="auto"/>
                <w:szCs w:val="21"/>
                <w:highlight w:val="none"/>
              </w:rPr>
              <w:t>，将实行项目经理负责制，我方保证并配备上述项目管理机构。上述填报内容真实，若不真实，</w:t>
            </w:r>
          </w:p>
          <w:p>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愿按有关规定接受处理。</w:t>
            </w:r>
          </w:p>
        </w:tc>
      </w:tr>
    </w:tbl>
    <w:p>
      <w:pPr>
        <w:spacing w:line="360" w:lineRule="auto"/>
        <w:ind w:left="-2" w:right="-153" w:rightChars="-73"/>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bCs/>
          <w:color w:val="auto"/>
          <w:szCs w:val="21"/>
          <w:highlight w:val="none"/>
        </w:rPr>
        <w:t>附：</w:t>
      </w:r>
      <w:r>
        <w:rPr>
          <w:rFonts w:hint="eastAsia" w:asciiTheme="minorEastAsia" w:hAnsiTheme="minorEastAsia" w:eastAsiaTheme="minorEastAsia" w:cstheme="minorEastAsia"/>
          <w:b w:val="0"/>
          <w:bCs w:val="0"/>
          <w:color w:val="auto"/>
          <w:szCs w:val="21"/>
          <w:highlight w:val="none"/>
        </w:rPr>
        <w:t>①项目经理（注册建造师）简历表（格式）</w:t>
      </w:r>
      <w:r>
        <w:rPr>
          <w:rFonts w:hint="eastAsia" w:asciiTheme="minorEastAsia" w:hAnsiTheme="minorEastAsia" w:eastAsiaTheme="minorEastAsia" w:cstheme="minorEastAsia"/>
          <w:b w:val="0"/>
          <w:bCs w:val="0"/>
          <w:color w:val="auto"/>
          <w:szCs w:val="21"/>
          <w:highlight w:val="none"/>
          <w:lang w:eastAsia="zh-CN"/>
        </w:rPr>
        <w:t>；</w:t>
      </w:r>
    </w:p>
    <w:p>
      <w:pPr>
        <w:spacing w:line="360" w:lineRule="auto"/>
        <w:ind w:left="-2" w:right="-153" w:rightChars="-73"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Cs w:val="21"/>
          <w:highlight w:val="none"/>
        </w:rPr>
        <w:t>②项目技术负责人简历表（格式）；</w:t>
      </w:r>
    </w:p>
    <w:p>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③其他主要人员应附</w:t>
      </w:r>
      <w:r>
        <w:rPr>
          <w:rFonts w:hint="eastAsia" w:asciiTheme="minorEastAsia" w:hAnsiTheme="minorEastAsia" w:eastAsiaTheme="minorEastAsia" w:cstheme="minorEastAsia"/>
          <w:color w:val="auto"/>
          <w:szCs w:val="21"/>
          <w:highlight w:val="none"/>
          <w:lang w:eastAsia="zh-CN"/>
        </w:rPr>
        <w:t>岗位证书</w:t>
      </w:r>
      <w:r>
        <w:rPr>
          <w:rFonts w:hint="eastAsia" w:asciiTheme="minorEastAsia" w:hAnsiTheme="minorEastAsia" w:eastAsiaTheme="minorEastAsia" w:cstheme="minorEastAsia"/>
          <w:color w:val="auto"/>
          <w:szCs w:val="21"/>
          <w:highlight w:val="none"/>
        </w:rPr>
        <w:t>、身份证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职称证（若有）</w:t>
      </w:r>
      <w:r>
        <w:rPr>
          <w:rFonts w:hint="eastAsia" w:asciiTheme="minorEastAsia" w:hAnsiTheme="minorEastAsia" w:eastAsiaTheme="minorEastAsia" w:cstheme="minorEastAsia"/>
          <w:color w:val="auto"/>
          <w:szCs w:val="21"/>
          <w:highlight w:val="none"/>
        </w:rPr>
        <w:t>等</w:t>
      </w:r>
      <w:r>
        <w:rPr>
          <w:rFonts w:hint="eastAsia" w:asciiTheme="minorEastAsia" w:hAnsiTheme="minorEastAsia" w:eastAsiaTheme="minorEastAsia" w:cstheme="minorEastAsia"/>
          <w:color w:val="auto"/>
          <w:szCs w:val="21"/>
          <w:highlight w:val="none"/>
          <w:lang w:eastAsia="zh-CN"/>
        </w:rPr>
        <w:t>扫描件；</w:t>
      </w:r>
    </w:p>
    <w:p>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④拟投入</w:t>
      </w:r>
      <w:r>
        <w:rPr>
          <w:rFonts w:hint="eastAsia" w:asciiTheme="minorEastAsia" w:hAnsiTheme="minorEastAsia" w:eastAsiaTheme="minorEastAsia" w:cstheme="minorEastAsia"/>
          <w:color w:val="auto"/>
          <w:szCs w:val="21"/>
          <w:highlight w:val="none"/>
          <w:lang w:val="en-US" w:eastAsia="zh-CN"/>
        </w:rPr>
        <w:t>所有</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现任职单位为其缴纳的</w:t>
      </w:r>
      <w:r>
        <w:rPr>
          <w:rFonts w:hint="eastAsia" w:asciiTheme="minorEastAsia" w:hAnsiTheme="minorEastAsia" w:eastAsiaTheme="minorEastAsia" w:cstheme="minorEastAsia"/>
          <w:color w:val="auto"/>
          <w:szCs w:val="21"/>
          <w:highlight w:val="none"/>
          <w:lang w:val="en-US" w:eastAsia="zh-CN"/>
        </w:rPr>
        <w:t>截止之日</w:t>
      </w:r>
      <w:r>
        <w:rPr>
          <w:rFonts w:hint="eastAsia" w:asciiTheme="minorEastAsia" w:hAnsiTheme="minorEastAsia" w:eastAsiaTheme="minorEastAsia" w:cstheme="minorEastAsia"/>
          <w:bCs/>
          <w:color w:val="auto"/>
          <w:sz w:val="21"/>
          <w:szCs w:val="21"/>
          <w:highlight w:val="none"/>
          <w:lang w:eastAsia="zh-CN"/>
        </w:rPr>
        <w:t>前半年内连续三个月的依法缴纳社保费的缴费凭证（格式自拟，扫描件，</w:t>
      </w:r>
      <w:r>
        <w:rPr>
          <w:rFonts w:hint="eastAsia" w:asciiTheme="minorEastAsia" w:hAnsiTheme="minorEastAsia" w:eastAsiaTheme="minorEastAsia" w:cstheme="minorEastAsia"/>
          <w:b/>
          <w:bCs w:val="0"/>
          <w:color w:val="auto"/>
          <w:sz w:val="21"/>
          <w:szCs w:val="21"/>
          <w:highlight w:val="none"/>
          <w:lang w:eastAsia="zh-CN"/>
        </w:rPr>
        <w:t>必须提供</w:t>
      </w:r>
      <w:r>
        <w:rPr>
          <w:rFonts w:hint="eastAsia" w:asciiTheme="minorEastAsia" w:hAnsiTheme="minorEastAsia" w:eastAsiaTheme="minorEastAsia" w:cstheme="minorEastAsia"/>
          <w:bCs/>
          <w:color w:val="auto"/>
          <w:sz w:val="21"/>
          <w:szCs w:val="21"/>
          <w:highlight w:val="none"/>
          <w:lang w:eastAsia="zh-CN"/>
        </w:rPr>
        <w:t>）。</w:t>
      </w:r>
    </w:p>
    <w:p>
      <w:pPr>
        <w:pStyle w:val="35"/>
        <w:rPr>
          <w:rFonts w:hint="eastAsia" w:asciiTheme="minorEastAsia" w:hAnsiTheme="minorEastAsia" w:eastAsiaTheme="minorEastAsia" w:cstheme="minorEastAsia"/>
          <w:b/>
          <w:color w:val="auto"/>
          <w:sz w:val="24"/>
          <w:highlight w:val="none"/>
          <w:u w:val="single"/>
          <w:lang w:val="en-US" w:eastAsia="zh-CN"/>
        </w:rPr>
      </w:pPr>
    </w:p>
    <w:p>
      <w:pPr>
        <w:pStyle w:val="3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注：文件 《一、主要管理人员表 》中所有提及的证件材料属于复印件的扫描件的，必须加盖供应商电子公章，否则响应文件按无效响应处理。</w:t>
      </w:r>
    </w:p>
    <w:p>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①项目经理（注册建造师）简历表（格式）</w:t>
      </w:r>
    </w:p>
    <w:p>
      <w:pPr>
        <w:pStyle w:val="35"/>
        <w:rPr>
          <w:rFonts w:hint="eastAsia" w:asciiTheme="minorEastAsia" w:hAnsiTheme="minorEastAsia" w:eastAsiaTheme="minorEastAsia" w:cstheme="minorEastAsia"/>
          <w:color w:val="auto"/>
          <w:highlight w:val="none"/>
          <w:lang w:val="en-US" w:eastAsia="zh-CN"/>
        </w:rPr>
      </w:pPr>
    </w:p>
    <w:p>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项目经理（注册建造师）简历表</w:t>
      </w:r>
    </w:p>
    <w:p>
      <w:pPr>
        <w:spacing w:line="400" w:lineRule="exact"/>
        <w:rPr>
          <w:rFonts w:hint="eastAsia" w:asciiTheme="minorEastAsia" w:hAnsiTheme="minorEastAsia" w:eastAsiaTheme="minorEastAsia" w:cstheme="minorEastAsia"/>
          <w:b/>
          <w:color w:val="auto"/>
          <w:sz w:val="28"/>
          <w:szCs w:val="28"/>
          <w:highlight w:val="non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pPr>
        <w:pStyle w:val="4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p>
    <w:tbl>
      <w:tblPr>
        <w:tblStyle w:val="1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164"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164"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担任项目经理年限</w:t>
            </w:r>
          </w:p>
        </w:tc>
        <w:tc>
          <w:tcPr>
            <w:tcW w:w="2164"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项目经理注册证书编号</w:t>
            </w:r>
          </w:p>
        </w:tc>
        <w:tc>
          <w:tcPr>
            <w:tcW w:w="6750" w:type="dxa"/>
            <w:gridSpan w:val="7"/>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73" w:type="dxa"/>
            <w:gridSpan w:val="11"/>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436"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bl>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1.附项目经理</w:t>
      </w:r>
      <w:r>
        <w:rPr>
          <w:rFonts w:hint="eastAsia" w:asciiTheme="minorEastAsia" w:hAnsiTheme="minorEastAsia" w:eastAsiaTheme="minorEastAsia" w:cstheme="minorEastAsia"/>
          <w:bCs/>
          <w:color w:val="auto"/>
          <w:kern w:val="2"/>
          <w:sz w:val="21"/>
          <w:szCs w:val="21"/>
          <w:highlight w:val="none"/>
          <w:lang w:val="en-US" w:eastAsia="zh-CN" w:bidi="ar-SA"/>
        </w:rPr>
        <w:t>执业资格证书、</w:t>
      </w:r>
      <w:r>
        <w:rPr>
          <w:rFonts w:hint="eastAsia" w:asciiTheme="minorEastAsia" w:hAnsiTheme="minorEastAsia" w:eastAsiaTheme="minorEastAsia" w:cstheme="minorEastAsia"/>
          <w:color w:val="auto"/>
          <w:szCs w:val="21"/>
          <w:highlight w:val="none"/>
        </w:rPr>
        <w:t>《安全生产考核合格证书（</w:t>
      </w:r>
      <w:r>
        <w:rPr>
          <w:rFonts w:hint="eastAsia" w:asciiTheme="minorEastAsia" w:hAnsiTheme="minorEastAsia" w:eastAsiaTheme="minorEastAsia" w:cstheme="minorEastAsia"/>
          <w:color w:val="auto"/>
          <w:szCs w:val="21"/>
          <w:highlight w:val="none"/>
          <w:lang w:val="en-US" w:eastAsia="zh-CN"/>
        </w:rPr>
        <w:t>B证</w:t>
      </w:r>
      <w:r>
        <w:rPr>
          <w:rFonts w:hint="eastAsia" w:asciiTheme="minorEastAsia" w:hAnsiTheme="minorEastAsia" w:eastAsiaTheme="minorEastAsia" w:cstheme="minorEastAsia"/>
          <w:color w:val="auto"/>
          <w:szCs w:val="21"/>
          <w:highlight w:val="none"/>
        </w:rPr>
        <w:t>）》、职称证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若有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②项目技术负责人简历表（格式）</w:t>
      </w:r>
    </w:p>
    <w:p>
      <w:pPr>
        <w:pStyle w:val="35"/>
        <w:rPr>
          <w:rFonts w:hint="eastAsia" w:asciiTheme="minorEastAsia" w:hAnsiTheme="minorEastAsia" w:eastAsiaTheme="minorEastAsia" w:cstheme="minorEastAsia"/>
          <w:color w:val="auto"/>
          <w:highlight w:val="none"/>
        </w:rPr>
      </w:pPr>
    </w:p>
    <w:p>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项目技术负责人简历表</w:t>
      </w:r>
    </w:p>
    <w:p>
      <w:pPr>
        <w:spacing w:line="400" w:lineRule="exact"/>
        <w:rPr>
          <w:rFonts w:hint="eastAsia" w:asciiTheme="minorEastAsia" w:hAnsiTheme="minorEastAsia" w:eastAsiaTheme="minorEastAsia" w:cstheme="minorEastAsia"/>
          <w:b/>
          <w:color w:val="auto"/>
          <w:sz w:val="28"/>
          <w:szCs w:val="28"/>
          <w:highlight w:val="none"/>
        </w:rPr>
      </w:pPr>
    </w:p>
    <w:p>
      <w:pPr>
        <w:spacing w:line="400" w:lineRule="exact"/>
        <w:rPr>
          <w:rFonts w:hint="eastAsia" w:asciiTheme="minorEastAsia" w:hAnsiTheme="minorEastAsia" w:eastAsiaTheme="minorEastAsia" w:cstheme="minorEastAsia"/>
          <w:color w:val="auto"/>
          <w:szCs w:val="21"/>
          <w:highlight w:val="none"/>
          <w:u w:val="single"/>
        </w:rPr>
      </w:pPr>
      <w:bookmarkStart w:id="1290" w:name="_Toc251052220"/>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bookmarkEnd w:id="1290"/>
    </w:p>
    <w:tbl>
      <w:tblPr>
        <w:tblStyle w:val="1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30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30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担任技术负责人年限</w:t>
            </w:r>
          </w:p>
        </w:tc>
        <w:tc>
          <w:tcPr>
            <w:tcW w:w="230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314" w:type="dxa"/>
            <w:gridSpan w:val="11"/>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57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bl>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1.附技术负责人的职称证、学历证（若有）和已完工程（如有）《中标通知书》、工程合同协议书、工程竣工验收证明材料的扫描件，以及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rPr>
          <w:rFonts w:hint="eastAsia" w:asciiTheme="minorEastAsia" w:hAnsiTheme="minorEastAsia" w:eastAsiaTheme="minorEastAsia" w:cstheme="minorEastAsia"/>
          <w:color w:val="auto"/>
          <w:szCs w:val="21"/>
          <w:highlight w:val="none"/>
        </w:rPr>
      </w:pPr>
    </w:p>
    <w:p>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br w:type="page"/>
      </w:r>
    </w:p>
    <w:p>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lang w:val="en-US" w:eastAsia="zh-CN"/>
        </w:rPr>
      </w:pPr>
    </w:p>
    <w:p>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建设工程项目管理承诺书</w:t>
      </w:r>
    </w:p>
    <w:p>
      <w:pPr>
        <w:pStyle w:val="38"/>
        <w:rPr>
          <w:rFonts w:hint="eastAsia" w:asciiTheme="minorEastAsia" w:hAnsiTheme="minorEastAsia" w:eastAsiaTheme="minorEastAsia" w:cstheme="minorEastAsia"/>
          <w:color w:val="auto"/>
          <w:highlight w:val="none"/>
        </w:rPr>
      </w:pPr>
    </w:p>
    <w:p>
      <w:pPr>
        <w:pStyle w:val="38"/>
        <w:jc w:val="center"/>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（格式自拟）</w:t>
      </w:r>
    </w:p>
    <w:p>
      <w:pPr>
        <w:pStyle w:val="38"/>
        <w:jc w:val="right"/>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p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施工组织设计</w:t>
      </w:r>
    </w:p>
    <w:p>
      <w:pPr>
        <w:pStyle w:val="35"/>
        <w:numPr>
          <w:ilvl w:val="0"/>
          <w:numId w:val="0"/>
        </w:numPr>
        <w:ind w:leftChars="200"/>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  拟投入本工程的主要施工设备表</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  拟配备本工程的试验和检测仪器设备表</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  劳动力计划表</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  计划开、竣工日期和施工进度网络图</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  施工总平面图</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  临时用地表</w:t>
      </w: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19"/>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8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设备名称</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型号规格</w:t>
            </w: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国别产地</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KW ）</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生产能力</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6"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061" w:type="dxa"/>
            <w:noWrap w:val="0"/>
            <w:vAlign w:val="center"/>
          </w:tcPr>
          <w:p>
            <w:pPr>
              <w:spacing w:line="300" w:lineRule="exact"/>
              <w:ind w:firstLine="420" w:firstLineChars="200"/>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6"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p>
        </w:tc>
      </w:tr>
    </w:tbl>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19"/>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已使用</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台时数</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用途</w:t>
            </w:r>
          </w:p>
        </w:tc>
        <w:tc>
          <w:tcPr>
            <w:tcW w:w="121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pPr>
              <w:spacing w:line="300" w:lineRule="exact"/>
              <w:ind w:firstLine="420" w:firstLineChars="200"/>
              <w:rPr>
                <w:rFonts w:hint="eastAsia" w:asciiTheme="minorEastAsia" w:hAnsiTheme="minorEastAsia" w:eastAsiaTheme="minorEastAsia" w:cstheme="minorEastAsia"/>
                <w:color w:val="auto"/>
                <w:szCs w:val="21"/>
                <w:highlight w:val="none"/>
              </w:rPr>
            </w:pPr>
          </w:p>
        </w:tc>
      </w:tr>
    </w:tbl>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附表三：劳动力计划表</w:t>
      </w:r>
    </w:p>
    <w:p>
      <w:pPr>
        <w:spacing w:line="400" w:lineRule="exact"/>
        <w:ind w:firstLine="7245" w:firstLineChars="3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单位：人</w:t>
      </w:r>
    </w:p>
    <w:tbl>
      <w:tblPr>
        <w:tblStyle w:val="19"/>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9515" w:type="dxa"/>
            <w:gridSpan w:val="7"/>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61"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961"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pPr>
              <w:spacing w:line="300" w:lineRule="exact"/>
              <w:rPr>
                <w:rFonts w:hint="eastAsia" w:asciiTheme="minorEastAsia" w:hAnsiTheme="minorEastAsia" w:eastAsiaTheme="minorEastAsia" w:cstheme="minorEastAsia"/>
                <w:color w:val="auto"/>
                <w:szCs w:val="21"/>
                <w:highlight w:val="none"/>
              </w:rPr>
            </w:pPr>
          </w:p>
        </w:tc>
      </w:tr>
    </w:tbl>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附表四：计划开、竣工日期和施工进度网络图</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应提交的施工进度网络图或施工进度表，说明按《</w:t>
      </w:r>
      <w:r>
        <w:rPr>
          <w:rFonts w:hint="eastAsia" w:asciiTheme="minorEastAsia" w:hAnsiTheme="minorEastAsia" w:eastAsiaTheme="minorEastAsia" w:cstheme="minorEastAsia"/>
          <w:color w:val="auto"/>
          <w:highlight w:val="none"/>
          <w:lang w:eastAsia="zh-CN"/>
        </w:rPr>
        <w:t>竞争性磋商文件</w:t>
      </w:r>
      <w:r>
        <w:rPr>
          <w:rFonts w:hint="eastAsia" w:asciiTheme="minorEastAsia" w:hAnsiTheme="minorEastAsia" w:eastAsiaTheme="minorEastAsia" w:cstheme="minorEastAsia"/>
          <w:color w:val="auto"/>
          <w:highlight w:val="none"/>
        </w:rPr>
        <w:t>》要求的工期进行施工的各个关键日期。</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还应按合同条件有关条款的要求提交详细的施工进度计划。</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2.施工进度表可采用网络图（或横道图）表示，说明计划开工日期和各分项工程各阶段的完工日期和分包合同签订的日期。</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3.施工进度计划应与施工组织设计相适应。</w:t>
      </w: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应递交一份施工总平面图，绘出现场临时设施布置图表并附文字说明，说明临时设施、加工车间、现场办公、设备及仓储、供电、供水、卫生、生活、道路、消防等设施的情况和布置。</w:t>
      </w:r>
    </w:p>
    <w:p>
      <w:pPr>
        <w:spacing w:line="400" w:lineRule="exact"/>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p>
      <w:pPr>
        <w:rPr>
          <w:rFonts w:hint="eastAsia" w:asciiTheme="minorEastAsia" w:hAnsiTheme="minorEastAsia" w:eastAsiaTheme="minorEastAsia" w:cstheme="minorEastAsia"/>
          <w:color w:val="auto"/>
          <w:highlight w:val="none"/>
        </w:rPr>
      </w:pPr>
    </w:p>
    <w:tbl>
      <w:tblPr>
        <w:tblStyle w:val="19"/>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用途</w:t>
            </w:r>
          </w:p>
        </w:tc>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面积（平方米）</w:t>
            </w:r>
          </w:p>
        </w:tc>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位置</w:t>
            </w:r>
          </w:p>
        </w:tc>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pPr>
              <w:spacing w:line="300" w:lineRule="exact"/>
              <w:rPr>
                <w:rFonts w:hint="eastAsia" w:asciiTheme="minorEastAsia" w:hAnsiTheme="minorEastAsia" w:eastAsiaTheme="minorEastAsia" w:cstheme="minorEastAsia"/>
                <w:color w:val="auto"/>
                <w:highlight w:val="none"/>
              </w:rPr>
            </w:pPr>
          </w:p>
        </w:tc>
      </w:tr>
    </w:tbl>
    <w:p>
      <w:pPr>
        <w:spacing w:line="400" w:lineRule="exact"/>
        <w:rPr>
          <w:rFonts w:hint="eastAsia" w:asciiTheme="minorEastAsia" w:hAnsiTheme="minorEastAsia" w:eastAsiaTheme="minorEastAsia" w:cstheme="minorEastAsia"/>
          <w:color w:val="auto"/>
          <w:highlight w:val="none"/>
        </w:rPr>
      </w:pPr>
    </w:p>
    <w:p>
      <w:pPr>
        <w:spacing w:line="480" w:lineRule="auto"/>
        <w:jc w:val="center"/>
        <w:rPr>
          <w:rFonts w:hint="eastAsia" w:asciiTheme="minorEastAsia" w:hAnsiTheme="minorEastAsia" w:eastAsiaTheme="minorEastAsia" w:cstheme="minorEastAsia"/>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spacing w:line="480" w:lineRule="auto"/>
        <w:rPr>
          <w:rFonts w:hint="eastAsia" w:asciiTheme="minorEastAsia" w:hAnsiTheme="minorEastAsia" w:eastAsiaTheme="minorEastAsia" w:cstheme="minorEastAsia"/>
          <w:b/>
          <w:color w:val="auto"/>
          <w:sz w:val="24"/>
          <w:highlight w:val="none"/>
        </w:rPr>
      </w:pPr>
    </w:p>
    <w:p>
      <w:pPr>
        <w:pStyle w:val="3"/>
        <w:numPr>
          <w:ilvl w:val="0"/>
          <w:numId w:val="10"/>
        </w:numPr>
        <w:spacing w:before="0"/>
        <w:ind w:leftChars="0"/>
        <w:jc w:val="center"/>
        <w:rPr>
          <w:rFonts w:hint="eastAsia" w:asciiTheme="minorEastAsia" w:hAnsiTheme="minorEastAsia" w:eastAsiaTheme="minorEastAsia" w:cstheme="minorEastAsia"/>
          <w:bCs w:val="0"/>
          <w:color w:val="auto"/>
          <w:sz w:val="28"/>
          <w:szCs w:val="28"/>
          <w:highlight w:val="none"/>
          <w:lang w:val="en-US" w:eastAsia="zh-CN"/>
        </w:rPr>
      </w:pPr>
      <w:bookmarkStart w:id="1291" w:name="_Toc30492"/>
      <w:r>
        <w:rPr>
          <w:rFonts w:hint="eastAsia" w:asciiTheme="minorEastAsia" w:hAnsiTheme="minorEastAsia" w:eastAsiaTheme="minorEastAsia" w:cstheme="minorEastAsia"/>
          <w:bCs w:val="0"/>
          <w:color w:val="auto"/>
          <w:sz w:val="28"/>
          <w:szCs w:val="28"/>
          <w:highlight w:val="none"/>
          <w:lang w:val="en-US" w:eastAsia="zh-CN"/>
        </w:rPr>
        <w:t>业绩</w:t>
      </w:r>
      <w:bookmarkEnd w:id="1291"/>
      <w:r>
        <w:rPr>
          <w:rFonts w:hint="eastAsia" w:asciiTheme="minorEastAsia" w:hAnsiTheme="minorEastAsia" w:eastAsiaTheme="minorEastAsia" w:cstheme="minorEastAsia"/>
          <w:bCs w:val="0"/>
          <w:color w:val="auto"/>
          <w:sz w:val="28"/>
          <w:szCs w:val="28"/>
          <w:highlight w:val="none"/>
          <w:lang w:val="en-US" w:eastAsia="zh-CN"/>
        </w:rPr>
        <w:t>（如有，请提供）</w:t>
      </w:r>
    </w:p>
    <w:p>
      <w:pPr>
        <w:numPr>
          <w:ilvl w:val="0"/>
          <w:numId w:val="0"/>
        </w:num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（格式自拟）</w:t>
      </w:r>
    </w:p>
    <w:p>
      <w:pPr>
        <w:pStyle w:val="35"/>
        <w:rPr>
          <w:rFonts w:hint="eastAsia" w:asciiTheme="minorEastAsia" w:hAnsiTheme="minorEastAsia" w:eastAsiaTheme="minorEastAsia" w:cstheme="minorEastAsia"/>
          <w:color w:val="auto"/>
          <w:highlight w:val="none"/>
          <w:lang w:val="en-US" w:eastAsia="zh-CN"/>
        </w:rPr>
      </w:pPr>
    </w:p>
    <w:p>
      <w:pPr>
        <w:pStyle w:val="36"/>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bCs w:val="0"/>
          <w:color w:val="auto"/>
          <w:sz w:val="28"/>
          <w:szCs w:val="28"/>
          <w:highlight w:val="none"/>
          <w:lang w:val="en-US" w:eastAsia="zh-CN"/>
        </w:rPr>
      </w:pPr>
      <w:r>
        <w:rPr>
          <w:rFonts w:hint="eastAsia" w:asciiTheme="minorEastAsia" w:hAnsiTheme="minorEastAsia" w:eastAsiaTheme="minorEastAsia" w:cstheme="minorEastAsia"/>
          <w:bCs w:val="0"/>
          <w:color w:val="auto"/>
          <w:sz w:val="28"/>
          <w:szCs w:val="28"/>
          <w:highlight w:val="none"/>
          <w:lang w:val="en-US" w:eastAsia="zh-CN"/>
        </w:rPr>
        <w:br w:type="page"/>
      </w:r>
    </w:p>
    <w:p>
      <w:pPr>
        <w:pStyle w:val="3"/>
        <w:numPr>
          <w:ilvl w:val="0"/>
          <w:numId w:val="10"/>
        </w:numPr>
        <w:spacing w:before="0"/>
        <w:ind w:left="0" w:leftChars="0" w:firstLine="0" w:firstLineChars="0"/>
        <w:jc w:val="center"/>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供应商可结合本项目的评标办法视自身情况自行提交相关证明材料。</w:t>
      </w:r>
    </w:p>
    <w:p>
      <w:pPr>
        <w:pStyle w:val="3"/>
        <w:numPr>
          <w:ilvl w:val="0"/>
          <w:numId w:val="0"/>
        </w:numPr>
        <w:spacing w:before="0"/>
        <w:ind w:leftChars="0"/>
        <w:jc w:val="center"/>
        <w:rPr>
          <w:rFonts w:hint="eastAsia" w:asciiTheme="minorEastAsia" w:hAnsiTheme="minorEastAsia" w:eastAsiaTheme="minorEastAsia" w:cstheme="minorEastAsia"/>
          <w:bCs w:val="0"/>
          <w:color w:val="auto"/>
          <w:sz w:val="28"/>
          <w:szCs w:val="28"/>
          <w:highlight w:val="none"/>
          <w:lang w:eastAsia="zh-CN"/>
        </w:rPr>
      </w:pPr>
      <w:r>
        <w:rPr>
          <w:rFonts w:hint="eastAsia" w:asciiTheme="minorEastAsia" w:hAnsiTheme="minorEastAsia" w:eastAsiaTheme="minorEastAsia" w:cstheme="minorEastAsia"/>
          <w:bCs w:val="0"/>
          <w:color w:val="auto"/>
          <w:sz w:val="28"/>
          <w:szCs w:val="28"/>
          <w:highlight w:val="none"/>
        </w:rPr>
        <w:t>（如有，请提供）</w:t>
      </w:r>
    </w:p>
    <w:p>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pPr>
        <w:widowControl w:val="0"/>
        <w:spacing w:line="400" w:lineRule="exact"/>
        <w:ind w:left="1120" w:hanging="1120"/>
        <w:jc w:val="both"/>
        <w:rPr>
          <w:rFonts w:hint="eastAsia" w:asciiTheme="minorEastAsia" w:hAnsiTheme="minorEastAsia" w:eastAsiaTheme="minorEastAsia" w:cstheme="minorEastAsia"/>
          <w:b/>
          <w:bCs/>
          <w:color w:val="auto"/>
          <w:kern w:val="2"/>
          <w:sz w:val="21"/>
          <w:szCs w:val="20"/>
          <w:highlight w:val="none"/>
          <w:lang w:val="en-US" w:eastAsia="zh-CN" w:bidi="ar-SA"/>
        </w:rPr>
      </w:pPr>
    </w:p>
    <w:p>
      <w:pPr>
        <w:pStyle w:val="3"/>
        <w:spacing w:before="0"/>
        <w:jc w:val="center"/>
        <w:rPr>
          <w:rFonts w:hint="eastAsia" w:asciiTheme="minorEastAsia" w:hAnsiTheme="minorEastAsia" w:eastAsiaTheme="minorEastAsia" w:cstheme="minorEastAsia"/>
          <w:color w:val="auto"/>
          <w:sz w:val="28"/>
          <w:szCs w:val="28"/>
          <w:highlight w:val="none"/>
        </w:rPr>
      </w:pPr>
    </w:p>
    <w:p>
      <w:pPr>
        <w:pStyle w:val="3"/>
        <w:spacing w:before="0"/>
        <w:jc w:val="center"/>
        <w:rPr>
          <w:rFonts w:hint="eastAsia" w:asciiTheme="minorEastAsia" w:hAnsiTheme="minorEastAsia" w:eastAsiaTheme="minorEastAsia" w:cstheme="minorEastAsia"/>
          <w:color w:val="auto"/>
          <w:sz w:val="28"/>
          <w:szCs w:val="28"/>
          <w:highlight w:val="none"/>
        </w:rPr>
      </w:pPr>
    </w:p>
    <w:p>
      <w:pPr>
        <w:pStyle w:val="3"/>
        <w:spacing w:before="0"/>
        <w:jc w:val="center"/>
        <w:rPr>
          <w:rFonts w:hint="eastAsia" w:asciiTheme="minorEastAsia" w:hAnsiTheme="minorEastAsia" w:eastAsiaTheme="minorEastAsia" w:cstheme="minorEastAsia"/>
          <w:color w:val="auto"/>
          <w:sz w:val="28"/>
          <w:szCs w:val="28"/>
          <w:highlight w:val="none"/>
        </w:rPr>
      </w:pPr>
    </w:p>
    <w:p>
      <w:pPr>
        <w:pStyle w:val="3"/>
        <w:spacing w:before="0"/>
        <w:jc w:val="center"/>
        <w:rPr>
          <w:rFonts w:hint="eastAsia" w:asciiTheme="minorEastAsia" w:hAnsiTheme="minorEastAsia" w:eastAsiaTheme="minorEastAsia" w:cstheme="minorEastAsia"/>
          <w:color w:val="auto"/>
          <w:sz w:val="28"/>
          <w:szCs w:val="28"/>
          <w:highlight w:val="none"/>
        </w:rPr>
      </w:pPr>
    </w:p>
    <w:p>
      <w:pPr>
        <w:pStyle w:val="3"/>
        <w:spacing w:before="0"/>
        <w:jc w:val="both"/>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highlight w:val="none"/>
        </w:rPr>
      </w:pPr>
    </w:p>
    <w:p>
      <w:pPr>
        <w:pStyle w:val="3"/>
        <w:spacing w:before="0"/>
        <w:jc w:val="center"/>
        <w:rPr>
          <w:rFonts w:hint="eastAsia" w:asciiTheme="minorEastAsia" w:hAnsiTheme="minorEastAsia" w:eastAsiaTheme="minorEastAsia" w:cstheme="minorEastAsia"/>
          <w:color w:val="auto"/>
          <w:sz w:val="28"/>
          <w:szCs w:val="28"/>
          <w:highlight w:val="none"/>
        </w:rPr>
      </w:pPr>
      <w:bookmarkStart w:id="1292" w:name="_Toc2615"/>
      <w:r>
        <w:rPr>
          <w:rFonts w:hint="eastAsia" w:asciiTheme="minorEastAsia" w:hAnsiTheme="minorEastAsia" w:eastAsiaTheme="minorEastAsia" w:cstheme="minorEastAsia"/>
          <w:color w:val="auto"/>
          <w:sz w:val="28"/>
          <w:szCs w:val="28"/>
          <w:highlight w:val="none"/>
        </w:rPr>
        <w:t>第八章  评标办法</w:t>
      </w:r>
      <w:bookmarkEnd w:id="1292"/>
    </w:p>
    <w:p>
      <w:pPr>
        <w:widowControl w:val="0"/>
        <w:spacing w:after="120"/>
        <w:jc w:val="center"/>
        <w:rPr>
          <w:rFonts w:hint="eastAsia" w:asciiTheme="minorEastAsia" w:hAnsiTheme="minorEastAsia" w:eastAsiaTheme="minorEastAsia" w:cstheme="minorEastAsia"/>
          <w:color w:val="auto"/>
          <w:kern w:val="2"/>
          <w:sz w:val="21"/>
          <w:szCs w:val="24"/>
          <w:highlight w:val="none"/>
          <w:lang w:val="en-US" w:eastAsia="zh-CN" w:bidi="ar-SA"/>
        </w:rPr>
      </w:pPr>
      <w:bookmarkStart w:id="1293" w:name="_Toc440877588"/>
      <w:r>
        <w:rPr>
          <w:rFonts w:hint="eastAsia" w:asciiTheme="minorEastAsia" w:hAnsiTheme="minorEastAsia" w:eastAsiaTheme="minorEastAsia" w:cstheme="minorEastAsia"/>
          <w:b/>
          <w:color w:val="auto"/>
          <w:kern w:val="2"/>
          <w:sz w:val="24"/>
          <w:szCs w:val="24"/>
          <w:highlight w:val="none"/>
          <w:lang w:val="en-US" w:eastAsia="zh-CN" w:bidi="ar-SA"/>
        </w:rPr>
        <w:t>评分办法前附表</w:t>
      </w:r>
    </w:p>
    <w:tbl>
      <w:tblPr>
        <w:tblStyle w:val="1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5" w:type="dxa"/>
            <w:gridSpan w:val="2"/>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条款名称</w:t>
            </w:r>
          </w:p>
        </w:tc>
        <w:tc>
          <w:tcPr>
            <w:tcW w:w="2446" w:type="dxa"/>
            <w:gridSpan w:val="2"/>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评审因素</w:t>
            </w:r>
          </w:p>
        </w:tc>
        <w:tc>
          <w:tcPr>
            <w:tcW w:w="6397" w:type="dxa"/>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63" w:type="dxa"/>
            <w:vMerge w:val="restart"/>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初步评审</w:t>
            </w:r>
          </w:p>
        </w:tc>
        <w:tc>
          <w:tcPr>
            <w:tcW w:w="832" w:type="dxa"/>
            <w:vMerge w:val="restart"/>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资格性审查</w:t>
            </w:r>
          </w:p>
        </w:tc>
        <w:tc>
          <w:tcPr>
            <w:tcW w:w="2446" w:type="dxa"/>
            <w:gridSpan w:val="2"/>
            <w:noWrap w:val="0"/>
            <w:vAlign w:val="center"/>
          </w:tcPr>
          <w:p>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企业营业执照</w:t>
            </w:r>
          </w:p>
        </w:tc>
        <w:tc>
          <w:tcPr>
            <w:tcW w:w="6397" w:type="dxa"/>
            <w:noWrap w:val="0"/>
            <w:vAlign w:val="center"/>
          </w:tcPr>
          <w:p>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有效的法人营业执照副本扫描件</w:t>
            </w:r>
            <w:r>
              <w:rPr>
                <w:rFonts w:hint="eastAsia" w:asciiTheme="minorEastAsia" w:hAnsiTheme="minorEastAsia" w:eastAsiaTheme="minorEastAsia" w:cs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832"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p>
        </w:tc>
        <w:tc>
          <w:tcPr>
            <w:tcW w:w="6397" w:type="dxa"/>
            <w:noWrap w:val="0"/>
            <w:vAlign w:val="center"/>
          </w:tcPr>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r>
              <w:rPr>
                <w:rFonts w:hint="eastAsia" w:asciiTheme="minorEastAsia" w:hAnsiTheme="minorEastAsia" w:eastAsiaTheme="minorEastAsia" w:cs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资质</w:t>
            </w:r>
            <w:r>
              <w:rPr>
                <w:rFonts w:hint="eastAsia" w:asciiTheme="minorEastAsia" w:hAnsiTheme="minorEastAsia" w:eastAsiaTheme="minorEastAsia" w:cstheme="minorEastAsia"/>
                <w:color w:val="auto"/>
                <w:szCs w:val="21"/>
                <w:highlight w:val="none"/>
                <w:lang w:val="en-US" w:eastAsia="zh-CN"/>
              </w:rPr>
              <w:t>证书，</w:t>
            </w:r>
            <w:r>
              <w:rPr>
                <w:rFonts w:hint="eastAsia" w:asciiTheme="minorEastAsia" w:hAnsiTheme="minorEastAsia" w:eastAsiaTheme="minorEastAsia" w:cstheme="minorEastAsia"/>
                <w:color w:val="auto"/>
                <w:szCs w:val="21"/>
                <w:highlight w:val="none"/>
              </w:rPr>
              <w:t>项目经理</w:t>
            </w:r>
          </w:p>
        </w:tc>
        <w:tc>
          <w:tcPr>
            <w:tcW w:w="6397" w:type="dxa"/>
            <w:noWrap w:val="0"/>
            <w:vAlign w:val="center"/>
          </w:tcPr>
          <w:p>
            <w:pPr>
              <w:spacing w:line="440" w:lineRule="exac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市政公用</w:t>
            </w:r>
            <w:r>
              <w:rPr>
                <w:rFonts w:hint="eastAsia" w:asciiTheme="minorEastAsia" w:hAnsiTheme="minorEastAsia" w:eastAsiaTheme="minorEastAsia" w:cstheme="minorEastAsia"/>
                <w:color w:val="auto"/>
                <w:szCs w:val="21"/>
                <w:highlight w:val="none"/>
              </w:rPr>
              <w:t>工程施工总承包叁级（含）及以上资质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安全生产许可证</w:t>
            </w:r>
          </w:p>
        </w:tc>
        <w:tc>
          <w:tcPr>
            <w:tcW w:w="6397" w:type="dxa"/>
            <w:noWrap w:val="0"/>
            <w:vAlign w:val="center"/>
          </w:tcPr>
          <w:p>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具备有效的</w:t>
            </w:r>
            <w:r>
              <w:rPr>
                <w:rFonts w:hint="eastAsia" w:asciiTheme="minorEastAsia" w:hAnsiTheme="minorEastAsia" w:eastAsiaTheme="minorEastAsia" w:cstheme="minorEastAsia"/>
                <w:color w:val="auto"/>
                <w:szCs w:val="21"/>
                <w:highlight w:val="none"/>
                <w:lang w:val="en-US" w:eastAsia="zh-CN"/>
              </w:rPr>
              <w:t>企业</w:t>
            </w:r>
            <w:r>
              <w:rPr>
                <w:rFonts w:hint="eastAsia" w:asciiTheme="minorEastAsia" w:hAnsiTheme="minorEastAsia" w:eastAsiaTheme="minorEastAsia" w:cstheme="minorEastAsia"/>
                <w:color w:val="auto"/>
                <w:szCs w:val="21"/>
                <w:highlight w:val="none"/>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法定代表人身份证明书及授权委托书</w:t>
            </w:r>
          </w:p>
        </w:tc>
        <w:tc>
          <w:tcPr>
            <w:tcW w:w="6397"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法定代表人身份证明书及授权委托书（委托代理时必须提供，同时加盖单位电子公章）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中小企业声明函</w:t>
            </w:r>
          </w:p>
        </w:tc>
        <w:tc>
          <w:tcPr>
            <w:tcW w:w="6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本项目属于专门面向中小企业采购的项目，</w:t>
            </w:r>
            <w:r>
              <w:rPr>
                <w:rFonts w:hint="eastAsia" w:asciiTheme="minorEastAsia" w:hAnsiTheme="minorEastAsia" w:eastAsiaTheme="minorEastAsia" w:cstheme="minorEastAsia"/>
                <w:color w:val="auto"/>
                <w:kern w:val="0"/>
                <w:szCs w:val="21"/>
                <w:highlight w:val="none"/>
                <w:lang w:val="en-US" w:eastAsia="zh-CN"/>
              </w:rPr>
              <w:t>中小企业声明函（或监狱企业的证明文件或残疾人福利性单位声明函）必须提供。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center"/>
          </w:tcPr>
          <w:p>
            <w:pPr>
              <w:autoSpaceDE w:val="0"/>
              <w:autoSpaceDN w:val="0"/>
              <w:adjustRightInd w:val="0"/>
              <w:spacing w:line="420" w:lineRule="exact"/>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资格性审查</w:t>
            </w:r>
            <w:r>
              <w:rPr>
                <w:rFonts w:hint="eastAsia" w:asciiTheme="minorEastAsia" w:hAnsiTheme="minorEastAsia" w:eastAsiaTheme="minorEastAsia" w:cstheme="minorEastAsia"/>
                <w:b/>
                <w:color w:val="auto"/>
                <w:szCs w:val="21"/>
                <w:highlight w:val="none"/>
              </w:rPr>
              <w:t>项中缺少任何一项或有任何一项不合格者其</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审查视为不合格，</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评审不合格的磋商人不</w:t>
            </w:r>
            <w:r>
              <w:rPr>
                <w:rFonts w:hint="eastAsia" w:asciiTheme="minorEastAsia" w:hAnsiTheme="minorEastAsia" w:eastAsiaTheme="minorEastAsia" w:cstheme="minorEastAsia"/>
                <w:b/>
                <w:color w:val="auto"/>
                <w:szCs w:val="21"/>
                <w:highlight w:val="none"/>
                <w:lang w:val="en-US" w:eastAsia="zh-CN"/>
              </w:rPr>
              <w:t>得</w:t>
            </w:r>
            <w:r>
              <w:rPr>
                <w:rFonts w:hint="eastAsia" w:asciiTheme="minorEastAsia" w:hAnsiTheme="minorEastAsia" w:eastAsiaTheme="minorEastAsia" w:cstheme="minorEastAsia"/>
                <w:b/>
                <w:color w:val="auto"/>
                <w:szCs w:val="21"/>
                <w:highlight w:val="none"/>
              </w:rPr>
              <w:t>进入</w:t>
            </w:r>
            <w:r>
              <w:rPr>
                <w:rFonts w:hint="eastAsia" w:asciiTheme="minorEastAsia" w:hAnsiTheme="minorEastAsia" w:eastAsiaTheme="minorEastAsia" w:cstheme="minorEastAsia"/>
                <w:b/>
                <w:color w:val="auto"/>
                <w:szCs w:val="21"/>
                <w:highlight w:val="none"/>
                <w:lang w:val="en-US" w:eastAsia="zh-CN"/>
              </w:rPr>
              <w:t>符合性评审</w:t>
            </w:r>
            <w:r>
              <w:rPr>
                <w:rFonts w:hint="eastAsia" w:asciiTheme="minorEastAsia" w:hAnsiTheme="minorEastAsia" w:eastAsiaTheme="minorEastAsia" w:cstheme="minorEastAsia"/>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p>
        </w:tc>
        <w:tc>
          <w:tcPr>
            <w:tcW w:w="832" w:type="dxa"/>
            <w:vMerge w:val="restart"/>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符合性审查</w:t>
            </w:r>
          </w:p>
        </w:tc>
        <w:tc>
          <w:tcPr>
            <w:tcW w:w="2446" w:type="dxa"/>
            <w:gridSpan w:val="2"/>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磋商报价</w:t>
            </w:r>
          </w:p>
        </w:tc>
        <w:tc>
          <w:tcPr>
            <w:tcW w:w="6397" w:type="dxa"/>
            <w:noWrap w:val="0"/>
            <w:vAlign w:val="center"/>
          </w:tcPr>
          <w:p>
            <w:pPr>
              <w:numPr>
                <w:ilvl w:val="0"/>
                <w:numId w:val="0"/>
              </w:num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第6项</w:t>
            </w:r>
            <w:r>
              <w:rPr>
                <w:rFonts w:hint="eastAsia" w:asciiTheme="minorEastAsia" w:hAnsiTheme="minorEastAsia" w:eastAsiaTheme="minorEastAsia" w:cstheme="minor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响应文件签字盖章</w:t>
            </w:r>
          </w:p>
        </w:tc>
        <w:tc>
          <w:tcPr>
            <w:tcW w:w="6397" w:type="dxa"/>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第11项</w:t>
            </w:r>
            <w:r>
              <w:rPr>
                <w:rFonts w:hint="eastAsia" w:asciiTheme="minorEastAsia" w:hAnsiTheme="minorEastAsia" w:eastAsiaTheme="minorEastAsia" w:cstheme="minor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响应文件格式</w:t>
            </w:r>
          </w:p>
        </w:tc>
        <w:tc>
          <w:tcPr>
            <w:tcW w:w="6397" w:type="dxa"/>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符合第</w:t>
            </w:r>
            <w:r>
              <w:rPr>
                <w:rFonts w:hint="eastAsia" w:asciiTheme="minorEastAsia" w:hAnsiTheme="minorEastAsia" w:eastAsiaTheme="minorEastAsia" w:cstheme="minorEastAsia"/>
                <w:color w:val="auto"/>
                <w:kern w:val="0"/>
                <w:szCs w:val="21"/>
                <w:highlight w:val="none"/>
                <w:lang w:val="en-US" w:eastAsia="zh-CN"/>
              </w:rPr>
              <w:t>七</w:t>
            </w:r>
            <w:r>
              <w:rPr>
                <w:rFonts w:hint="eastAsia" w:asciiTheme="minorEastAsia" w:hAnsiTheme="minorEastAsia" w:eastAsiaTheme="minorEastAsia" w:cstheme="minorEastAsia"/>
                <w:color w:val="auto"/>
                <w:kern w:val="0"/>
                <w:szCs w:val="21"/>
                <w:highlight w:val="none"/>
              </w:rPr>
              <w:t>章“响应文件格式”的要求</w:t>
            </w:r>
            <w:r>
              <w:rPr>
                <w:rFonts w:hint="eastAsia" w:asciiTheme="minorEastAsia" w:hAnsiTheme="minorEastAsia" w:eastAsiaTheme="minorEastAsia" w:cstheme="minorEastAsia"/>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63"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zCs w:val="21"/>
                <w:highlight w:val="none"/>
                <w:lang w:val="en-US" w:eastAsia="zh-CN"/>
              </w:rPr>
              <w:t>要求</w:t>
            </w:r>
          </w:p>
        </w:tc>
        <w:tc>
          <w:tcPr>
            <w:tcW w:w="6397" w:type="dxa"/>
            <w:noWrap w:val="0"/>
            <w:vAlign w:val="center"/>
          </w:tcPr>
          <w:p>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第5项</w:t>
            </w:r>
            <w:r>
              <w:rPr>
                <w:rFonts w:hint="eastAsia" w:asciiTheme="minorEastAsia" w:hAnsiTheme="minorEastAsia" w:eastAsiaTheme="minorEastAsia" w:cstheme="minor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工期</w:t>
            </w:r>
          </w:p>
        </w:tc>
        <w:tc>
          <w:tcPr>
            <w:tcW w:w="6397" w:type="dxa"/>
            <w:noWrap w:val="0"/>
            <w:vAlign w:val="center"/>
          </w:tcPr>
          <w:p>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第4项</w:t>
            </w:r>
            <w:r>
              <w:rPr>
                <w:rFonts w:hint="eastAsia" w:asciiTheme="minorEastAsia" w:hAnsiTheme="minorEastAsia" w:eastAsiaTheme="minorEastAsia" w:cstheme="minorEastAsia"/>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3" w:type="dxa"/>
            <w:noWrap w:val="0"/>
            <w:vAlign w:val="top"/>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top"/>
          </w:tcPr>
          <w:p>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eastAsia="zh-CN"/>
              </w:rPr>
              <w:t>符合性审查</w:t>
            </w:r>
            <w:r>
              <w:rPr>
                <w:rFonts w:hint="eastAsia" w:asciiTheme="minorEastAsia" w:hAnsiTheme="minorEastAsia" w:eastAsiaTheme="minorEastAsia" w:cstheme="minorEastAsia"/>
                <w:b/>
                <w:color w:val="auto"/>
                <w:szCs w:val="21"/>
                <w:highlight w:val="none"/>
              </w:rPr>
              <w:t>项中缺少任何一项或有任何一项不合格者其初步审查视为不合格，初步评审不合格的磋商人不再进入以下各项组成的详细评审。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38" w:type="dxa"/>
            <w:gridSpan w:val="5"/>
            <w:noWrap w:val="0"/>
            <w:vAlign w:val="top"/>
          </w:tcPr>
          <w:p>
            <w:pPr>
              <w:autoSpaceDE w:val="0"/>
              <w:autoSpaceDN w:val="0"/>
              <w:adjustRightInd w:val="0"/>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详细评审标准</w:t>
            </w:r>
          </w:p>
        </w:tc>
      </w:tr>
      <w:tr>
        <w:tblPrEx>
          <w:tblLayout w:type="fixed"/>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报价分</w:t>
            </w:r>
          </w:p>
          <w:p>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p>
            <w:pPr>
              <w:spacing w:line="4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rPr>
              <w:t>分）</w:t>
            </w:r>
          </w:p>
        </w:tc>
        <w:tc>
          <w:tcPr>
            <w:tcW w:w="8843"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评标基准价的计算方法：</w:t>
            </w:r>
          </w:p>
          <w:p>
            <w:pPr>
              <w:tabs>
                <w:tab w:val="left" w:pos="223"/>
              </w:tabs>
              <w:spacing w:before="77" w:line="273" w:lineRule="auto"/>
              <w:ind w:right="105" w:firstLine="444" w:firstLineChars="200"/>
              <w:rPr>
                <w:rFonts w:ascii="宋体" w:hAnsi="宋体" w:eastAsia="宋体" w:cs="宋体"/>
                <w:sz w:val="20"/>
                <w:szCs w:val="20"/>
              </w:rPr>
            </w:pPr>
            <w:r>
              <w:rPr>
                <w:rFonts w:ascii="宋体" w:hAnsi="宋体" w:eastAsia="宋体" w:cs="宋体"/>
                <w:spacing w:val="11"/>
                <w:sz w:val="20"/>
                <w:szCs w:val="20"/>
              </w:rPr>
              <w:t>(1) 有效报价范围：为通过资格</w:t>
            </w:r>
            <w:r>
              <w:rPr>
                <w:rFonts w:hint="eastAsia" w:ascii="宋体" w:hAnsi="宋体" w:cs="宋体"/>
                <w:spacing w:val="11"/>
                <w:sz w:val="20"/>
                <w:szCs w:val="20"/>
                <w:lang w:val="en-US" w:eastAsia="zh-CN"/>
              </w:rPr>
              <w:t>审查</w:t>
            </w:r>
            <w:r>
              <w:rPr>
                <w:rFonts w:ascii="宋体" w:hAnsi="宋体" w:eastAsia="宋体" w:cs="宋体"/>
                <w:spacing w:val="11"/>
                <w:sz w:val="20"/>
                <w:szCs w:val="20"/>
              </w:rPr>
              <w:t>、</w:t>
            </w:r>
            <w:r>
              <w:rPr>
                <w:rFonts w:hint="eastAsia" w:ascii="宋体" w:hAnsi="宋体" w:cs="宋体"/>
                <w:spacing w:val="11"/>
                <w:sz w:val="20"/>
                <w:szCs w:val="20"/>
                <w:lang w:val="en-US" w:eastAsia="zh-CN"/>
              </w:rPr>
              <w:t>符合性审查</w:t>
            </w:r>
            <w:r>
              <w:rPr>
                <w:rFonts w:ascii="宋体" w:hAnsi="宋体" w:eastAsia="宋体" w:cs="宋体"/>
                <w:spacing w:val="12"/>
                <w:sz w:val="20"/>
                <w:szCs w:val="20"/>
              </w:rPr>
              <w:t>、技术标评审合格、投标总价低于或等于最高投标限价(</w:t>
            </w:r>
            <w:r>
              <w:rPr>
                <w:rFonts w:ascii="宋体" w:hAnsi="宋体" w:eastAsia="宋体" w:cs="宋体"/>
                <w:spacing w:val="7"/>
                <w:sz w:val="20"/>
                <w:szCs w:val="20"/>
              </w:rPr>
              <w:t>采</w:t>
            </w:r>
            <w:r>
              <w:rPr>
                <w:rFonts w:ascii="宋体" w:hAnsi="宋体" w:eastAsia="宋体" w:cs="宋体"/>
                <w:spacing w:val="6"/>
                <w:sz w:val="20"/>
                <w:szCs w:val="20"/>
              </w:rPr>
              <w:t>购预算价) 的报价。</w:t>
            </w:r>
          </w:p>
          <w:p>
            <w:pPr>
              <w:spacing w:before="72" w:line="263" w:lineRule="auto"/>
              <w:ind w:right="108" w:firstLine="444" w:firstLineChars="200"/>
              <w:rPr>
                <w:rFonts w:ascii="宋体" w:hAnsi="宋体" w:eastAsia="宋体" w:cs="宋体"/>
                <w:sz w:val="20"/>
                <w:szCs w:val="20"/>
              </w:rPr>
            </w:pPr>
            <w:r>
              <w:rPr>
                <w:rFonts w:ascii="宋体" w:hAnsi="宋体" w:eastAsia="宋体" w:cs="宋体"/>
                <w:spacing w:val="11"/>
                <w:sz w:val="20"/>
                <w:szCs w:val="20"/>
              </w:rPr>
              <w:t>(2) 将有效报价范围内的投标总价，按由低到高的顺序依</w:t>
            </w:r>
            <w:r>
              <w:rPr>
                <w:rFonts w:ascii="宋体" w:hAnsi="宋体" w:eastAsia="宋体" w:cs="宋体"/>
                <w:spacing w:val="7"/>
                <w:sz w:val="20"/>
                <w:szCs w:val="20"/>
              </w:rPr>
              <w:t>次</w:t>
            </w:r>
            <w:r>
              <w:rPr>
                <w:rFonts w:ascii="宋体" w:hAnsi="宋体" w:eastAsia="宋体" w:cs="宋体"/>
                <w:spacing w:val="6"/>
                <w:sz w:val="20"/>
                <w:szCs w:val="20"/>
              </w:rPr>
              <w:t>排出名次</w:t>
            </w:r>
            <w:r>
              <w:rPr>
                <w:rFonts w:ascii="宋体" w:hAnsi="宋体" w:eastAsia="宋体" w:cs="宋体"/>
                <w:spacing w:val="5"/>
                <w:sz w:val="20"/>
                <w:szCs w:val="20"/>
              </w:rPr>
              <w:t>。</w:t>
            </w:r>
          </w:p>
          <w:p>
            <w:pPr>
              <w:pStyle w:val="8"/>
              <w:ind w:firstLine="480" w:firstLineChars="200"/>
              <w:rPr>
                <w:rFonts w:hint="eastAsia"/>
              </w:rPr>
            </w:pPr>
            <w:r>
              <w:rPr>
                <w:rFonts w:ascii="宋体" w:hAnsi="宋体" w:eastAsia="宋体" w:cs="宋体"/>
                <w:spacing w:val="20"/>
                <w:sz w:val="20"/>
                <w:szCs w:val="20"/>
              </w:rPr>
              <w:t>(</w:t>
            </w:r>
            <w:r>
              <w:rPr>
                <w:rFonts w:ascii="宋体" w:hAnsi="宋体" w:eastAsia="宋体" w:cs="宋体"/>
                <w:spacing w:val="12"/>
                <w:sz w:val="20"/>
                <w:szCs w:val="20"/>
              </w:rPr>
              <w:t>3) 评标基准价为所有有效报价的算术平均值。</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报价分评分标准：</w:t>
            </w:r>
          </w:p>
          <w:p>
            <w:pPr>
              <w:spacing w:line="420" w:lineRule="exact"/>
              <w:ind w:firstLine="416" w:firstLineChars="200"/>
              <w:rPr>
                <w:rFonts w:ascii="宋体" w:hAnsi="宋体" w:eastAsia="宋体" w:cs="宋体"/>
                <w:spacing w:val="-2"/>
                <w:sz w:val="20"/>
                <w:szCs w:val="20"/>
              </w:rPr>
            </w:pPr>
            <w:r>
              <w:rPr>
                <w:rFonts w:ascii="宋体" w:hAnsi="宋体" w:eastAsia="宋体" w:cs="宋体"/>
                <w:spacing w:val="4"/>
                <w:sz w:val="20"/>
                <w:szCs w:val="20"/>
              </w:rPr>
              <w:t xml:space="preserve">评标基准价得分为满分 </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0 分，采用内插法计算各投标人的</w:t>
            </w:r>
            <w:r>
              <w:rPr>
                <w:rFonts w:ascii="宋体" w:hAnsi="宋体" w:eastAsia="宋体" w:cs="宋体"/>
                <w:spacing w:val="3"/>
                <w:sz w:val="20"/>
                <w:szCs w:val="20"/>
              </w:rPr>
              <w:t>商</w:t>
            </w:r>
            <w:r>
              <w:rPr>
                <w:rFonts w:ascii="宋体" w:hAnsi="宋体" w:eastAsia="宋体" w:cs="宋体"/>
                <w:spacing w:val="4"/>
                <w:sz w:val="20"/>
                <w:szCs w:val="20"/>
              </w:rPr>
              <w:t>务标得分，投标人评标价每高于评标基准价1%的扣</w:t>
            </w:r>
            <w:r>
              <w:rPr>
                <w:rFonts w:hint="eastAsia" w:ascii="宋体" w:hAnsi="宋体" w:cs="宋体"/>
                <w:spacing w:val="4"/>
                <w:sz w:val="20"/>
                <w:szCs w:val="20"/>
                <w:lang w:val="en-US" w:eastAsia="zh-CN"/>
              </w:rPr>
              <w:t>1</w:t>
            </w:r>
            <w:r>
              <w:rPr>
                <w:rFonts w:ascii="宋体" w:hAnsi="宋体" w:eastAsia="宋体" w:cs="宋体"/>
                <w:spacing w:val="4"/>
                <w:sz w:val="20"/>
                <w:szCs w:val="20"/>
              </w:rPr>
              <w:t>分</w:t>
            </w:r>
            <w:r>
              <w:rPr>
                <w:rFonts w:ascii="宋体" w:hAnsi="宋体" w:eastAsia="宋体" w:cs="宋体"/>
                <w:spacing w:val="3"/>
                <w:sz w:val="20"/>
                <w:szCs w:val="20"/>
              </w:rPr>
              <w:t>，</w:t>
            </w:r>
            <w:r>
              <w:rPr>
                <w:rFonts w:ascii="宋体" w:hAnsi="宋体" w:eastAsia="宋体" w:cs="宋体"/>
                <w:sz w:val="20"/>
                <w:szCs w:val="20"/>
              </w:rPr>
              <w:t>每</w:t>
            </w:r>
            <w:r>
              <w:rPr>
                <w:rFonts w:ascii="宋体" w:hAnsi="宋体" w:eastAsia="宋体" w:cs="宋体"/>
                <w:spacing w:val="-4"/>
                <w:sz w:val="20"/>
                <w:szCs w:val="20"/>
              </w:rPr>
              <w:t>低</w:t>
            </w:r>
            <w:r>
              <w:rPr>
                <w:rFonts w:ascii="宋体" w:hAnsi="宋体" w:eastAsia="宋体" w:cs="宋体"/>
                <w:spacing w:val="-3"/>
                <w:sz w:val="20"/>
                <w:szCs w:val="20"/>
              </w:rPr>
              <w:t>于</w:t>
            </w:r>
            <w:r>
              <w:rPr>
                <w:rFonts w:ascii="宋体" w:hAnsi="宋体" w:eastAsia="宋体" w:cs="宋体"/>
                <w:spacing w:val="-2"/>
                <w:sz w:val="20"/>
                <w:szCs w:val="20"/>
              </w:rPr>
              <w:t>评标基准价1%的扣</w:t>
            </w:r>
            <w:r>
              <w:rPr>
                <w:rFonts w:hint="eastAsia" w:ascii="宋体" w:hAnsi="宋体" w:eastAsia="宋体" w:cs="宋体"/>
                <w:spacing w:val="-2"/>
                <w:sz w:val="20"/>
                <w:szCs w:val="20"/>
                <w:lang w:val="en-US" w:eastAsia="zh-CN"/>
              </w:rPr>
              <w:t>0.</w:t>
            </w:r>
            <w:r>
              <w:rPr>
                <w:rFonts w:hint="eastAsia" w:ascii="宋体" w:hAnsi="宋体" w:cs="宋体"/>
                <w:spacing w:val="-2"/>
                <w:sz w:val="20"/>
                <w:szCs w:val="20"/>
                <w:lang w:val="en-US" w:eastAsia="zh-CN"/>
              </w:rPr>
              <w:t>5</w:t>
            </w:r>
            <w:r>
              <w:rPr>
                <w:rFonts w:ascii="宋体" w:hAnsi="宋体" w:eastAsia="宋体" w:cs="宋体"/>
                <w:spacing w:val="-2"/>
                <w:sz w:val="20"/>
                <w:szCs w:val="20"/>
              </w:rPr>
              <w:t>分。</w:t>
            </w:r>
          </w:p>
          <w:p>
            <w:pPr>
              <w:spacing w:line="420" w:lineRule="exact"/>
              <w:rPr>
                <w:rFonts w:hint="eastAsia" w:ascii="宋体" w:hAnsi="宋体" w:eastAsia="宋体" w:cs="宋体"/>
                <w:spacing w:val="-2"/>
                <w:sz w:val="20"/>
                <w:szCs w:val="20"/>
                <w:lang w:val="en-US" w:eastAsia="zh-CN"/>
              </w:rPr>
            </w:pPr>
            <w:r>
              <w:rPr>
                <w:rFonts w:hint="eastAsia" w:ascii="宋体" w:hAnsi="宋体" w:cs="宋体"/>
                <w:b/>
                <w:bCs/>
                <w:color w:val="auto"/>
                <w:spacing w:val="-2"/>
                <w:sz w:val="20"/>
                <w:szCs w:val="20"/>
                <w:lang w:val="en-US" w:eastAsia="zh-CN"/>
              </w:rPr>
              <w:t>备注：本项目为专门面向“中小企业”的项目，不再执行价格评审优惠的扶持政策。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5" w:type="dxa"/>
            <w:gridSpan w:val="2"/>
            <w:vMerge w:val="restart"/>
            <w:noWrap w:val="0"/>
            <w:vAlign w:val="center"/>
          </w:tcPr>
          <w:p>
            <w:pPr>
              <w:spacing w:line="400" w:lineRule="exact"/>
              <w:jc w:val="left"/>
              <w:rPr>
                <w:rFonts w:hint="eastAsia" w:asciiTheme="minorEastAsia" w:hAnsiTheme="minorEastAsia" w:eastAsiaTheme="minorEastAsia" w:cstheme="minorEastAsia"/>
                <w:b/>
                <w:color w:val="auto"/>
                <w:szCs w:val="21"/>
                <w:highlight w:val="none"/>
              </w:rPr>
            </w:pPr>
            <w:bookmarkStart w:id="1294" w:name="OLE_LINK5"/>
            <w:r>
              <w:rPr>
                <w:rFonts w:hint="eastAsia" w:asciiTheme="minorEastAsia" w:hAnsiTheme="minorEastAsia" w:eastAsiaTheme="minorEastAsia" w:cstheme="minorEastAsia"/>
                <w:b/>
                <w:color w:val="auto"/>
                <w:kern w:val="0"/>
                <w:szCs w:val="21"/>
                <w:highlight w:val="none"/>
              </w:rPr>
              <w:t>施工组织设计</w:t>
            </w:r>
          </w:p>
          <w:bookmarkEnd w:id="1294"/>
          <w:p>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rPr>
              <w:t>分）</w:t>
            </w:r>
          </w:p>
          <w:p>
            <w:pPr>
              <w:spacing w:line="40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由磋商评审小组按下述评审标准对比各竞标人的施工组织设计后，每个评委独立打分，某</w:t>
            </w:r>
            <w:r>
              <w:rPr>
                <w:rFonts w:hint="eastAsia" w:asciiTheme="minorEastAsia" w:hAnsiTheme="minorEastAsia" w:eastAsiaTheme="minorEastAsia" w:cstheme="minorEastAsia"/>
                <w:color w:val="auto"/>
                <w:kern w:val="0"/>
                <w:szCs w:val="21"/>
                <w:highlight w:val="none"/>
                <w:lang w:val="en-US" w:eastAsia="zh-CN"/>
              </w:rPr>
              <w:t>竞</w:t>
            </w:r>
            <w:r>
              <w:rPr>
                <w:rFonts w:hint="eastAsia" w:asciiTheme="minorEastAsia" w:hAnsiTheme="minorEastAsia" w:eastAsiaTheme="minorEastAsia" w:cstheme="minorEastAsia"/>
                <w:color w:val="auto"/>
                <w:kern w:val="0"/>
                <w:szCs w:val="21"/>
                <w:highlight w:val="none"/>
              </w:rPr>
              <w:t>标人本评审项得分为各评委打分的算数平均值。</w:t>
            </w:r>
          </w:p>
          <w:p>
            <w:pPr>
              <w:spacing w:line="40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评定标准：每评审项满分6分，分4个档（一档：1.5分；二档：3分；三档：4.5分；四档：6分）打分。</w:t>
            </w:r>
          </w:p>
          <w:p>
            <w:pPr>
              <w:spacing w:line="400" w:lineRule="exact"/>
              <w:jc w:val="left"/>
              <w:rPr>
                <w:rFonts w:hint="eastAsia" w:asciiTheme="minorEastAsia" w:hAnsiTheme="minorEastAsia" w:eastAsiaTheme="minorEastAsia" w:cstheme="minorEastAsia"/>
                <w:b/>
                <w:color w:val="auto"/>
                <w:kern w:val="0"/>
                <w:szCs w:val="21"/>
                <w:highlight w:val="none"/>
              </w:rPr>
            </w:pPr>
          </w:p>
          <w:p>
            <w:pPr>
              <w:spacing w:line="400" w:lineRule="exact"/>
              <w:jc w:val="left"/>
              <w:rPr>
                <w:rFonts w:hint="eastAsia" w:asciiTheme="minorEastAsia" w:hAnsiTheme="minorEastAsia" w:eastAsiaTheme="minorEastAsia" w:cstheme="minorEastAsia"/>
                <w:b/>
                <w:color w:val="auto"/>
                <w:kern w:val="0"/>
                <w:szCs w:val="21"/>
                <w:highlight w:val="none"/>
              </w:rPr>
            </w:pPr>
          </w:p>
          <w:p>
            <w:pPr>
              <w:spacing w:line="420" w:lineRule="exact"/>
              <w:jc w:val="center"/>
              <w:rPr>
                <w:rFonts w:hint="eastAsia" w:asciiTheme="minorEastAsia" w:hAnsiTheme="minorEastAsia" w:eastAsiaTheme="minorEastAsia" w:cstheme="minorEastAsia"/>
                <w:color w:val="auto"/>
                <w:kern w:val="0"/>
                <w:szCs w:val="21"/>
                <w:highlight w:val="none"/>
              </w:rPr>
            </w:pPr>
          </w:p>
        </w:tc>
        <w:tc>
          <w:tcPr>
            <w:tcW w:w="2033" w:type="dxa"/>
            <w:noWrap w:val="0"/>
            <w:vAlign w:val="center"/>
          </w:tcPr>
          <w:p>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主要施工方法</w:t>
            </w:r>
          </w:p>
          <w:p>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595" w:type="dxa"/>
            <w:gridSpan w:val="2"/>
            <w:vMerge w:val="continue"/>
            <w:noWrap w:val="0"/>
            <w:vAlign w:val="center"/>
          </w:tcPr>
          <w:p>
            <w:pPr>
              <w:spacing w:line="420" w:lineRule="exact"/>
              <w:jc w:val="center"/>
              <w:rPr>
                <w:rFonts w:hint="eastAsia" w:asciiTheme="minorEastAsia" w:hAnsiTheme="minorEastAsia" w:eastAsiaTheme="minorEastAsia" w:cstheme="minorEastAsia"/>
                <w:b/>
                <w:color w:val="auto"/>
                <w:kern w:val="0"/>
                <w:szCs w:val="21"/>
                <w:highlight w:val="none"/>
              </w:rPr>
            </w:pPr>
            <w:bookmarkStart w:id="1295" w:name="OLE_LINK7" w:colFirst="1" w:colLast="2"/>
          </w:p>
        </w:tc>
        <w:tc>
          <w:tcPr>
            <w:tcW w:w="2033" w:type="dxa"/>
            <w:noWrap w:val="0"/>
            <w:vAlign w:val="center"/>
          </w:tcPr>
          <w:p>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拟投入的主要物资计划（</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投入的施工材料有详细的组织计划且计划周密，数量、选型配置、进场时间安排合理，满足施工需要。</w:t>
            </w:r>
          </w:p>
        </w:tc>
      </w:tr>
      <w:bookmarkEnd w:id="1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color w:val="auto"/>
                <w:highlight w:val="none"/>
              </w:rPr>
            </w:pPr>
            <w:bookmarkStart w:id="1296" w:name="OLE_LINK6" w:colFirst="1" w:colLast="2"/>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拟投入的主要施工机械、设备计划</w:t>
            </w:r>
          </w:p>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highlight w:val="none"/>
              </w:rPr>
              <w:t>投入的施工机械、设备、机具有详细的组织计划且计划周密，设备数量、选型配置、进场时间安排合理，满足施工需要。</w:t>
            </w:r>
          </w:p>
        </w:tc>
      </w:tr>
      <w:bookmarkEnd w:id="1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劳动力安排计划</w:t>
            </w:r>
          </w:p>
          <w:p>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确保工程质量的技术组织措施（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确保安全生产的技术组织措施（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确保工期的技术组织措施（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确保文明施工的技术组织措施（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工程施工的重点和难点及保证措</w:t>
            </w:r>
          </w:p>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595" w:type="dxa"/>
            <w:gridSpan w:val="2"/>
            <w:vMerge w:val="continue"/>
            <w:noWrap w:val="0"/>
            <w:vAlign w:val="center"/>
          </w:tcPr>
          <w:p>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施工总平面布置图（</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595" w:type="dxa"/>
            <w:gridSpan w:val="2"/>
            <w:noWrap w:val="0"/>
            <w:vAlign w:val="center"/>
          </w:tcPr>
          <w:p>
            <w:pPr>
              <w:spacing w:line="400" w:lineRule="exact"/>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项目管理机构</w:t>
            </w:r>
          </w:p>
          <w:p>
            <w:pPr>
              <w:autoSpaceDE w:val="0"/>
              <w:autoSpaceDN w:val="0"/>
              <w:adjustRightInd w:val="0"/>
              <w:spacing w:line="420" w:lineRule="exact"/>
              <w:jc w:val="center"/>
              <w:rPr>
                <w:rFonts w:hint="eastAsia" w:asciiTheme="minorEastAsia" w:hAnsiTheme="minorEastAsia" w:eastAsiaTheme="minorEastAsia" w:cstheme="minorEastAsia"/>
                <w:b w:val="0"/>
                <w:bCs/>
                <w:color w:val="auto"/>
                <w:kern w:val="0"/>
                <w:szCs w:val="21"/>
                <w:highlight w:val="none"/>
              </w:rPr>
            </w:pPr>
            <w:r>
              <w:rPr>
                <w:rFonts w:hint="eastAsia" w:asciiTheme="minorEastAsia" w:hAnsiTheme="minorEastAsia" w:eastAsiaTheme="minorEastAsia" w:cstheme="minorEastAsia"/>
                <w:b/>
                <w:bCs w:val="0"/>
                <w:color w:val="auto"/>
                <w:szCs w:val="21"/>
                <w:highlight w:val="none"/>
              </w:rPr>
              <w:t>（满分</w:t>
            </w:r>
            <w:r>
              <w:rPr>
                <w:rFonts w:hint="eastAsia" w:asciiTheme="minorEastAsia" w:hAnsiTheme="minorEastAsia" w:eastAsiaTheme="minorEastAsia" w:cstheme="minorEastAsia"/>
                <w:b/>
                <w:bCs w:val="0"/>
                <w:color w:val="auto"/>
                <w:szCs w:val="21"/>
                <w:highlight w:val="none"/>
                <w:lang w:val="en-US" w:eastAsia="zh-CN"/>
              </w:rPr>
              <w:t>6</w:t>
            </w:r>
            <w:r>
              <w:rPr>
                <w:rFonts w:hint="eastAsia" w:asciiTheme="minorEastAsia" w:hAnsiTheme="minorEastAsia" w:eastAsiaTheme="minorEastAsia" w:cstheme="minorEastAsia"/>
                <w:b/>
                <w:bCs w:val="0"/>
                <w:color w:val="auto"/>
                <w:szCs w:val="21"/>
                <w:highlight w:val="none"/>
              </w:rPr>
              <w:t>分）</w:t>
            </w:r>
          </w:p>
        </w:tc>
        <w:tc>
          <w:tcPr>
            <w:tcW w:w="88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1、项目经理任职资格与业绩、工作经历等（满分</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拟派任项目经理（或注册建造师）必须与资格审查合格通过的项目经理（或注册建造师）在名称、专业、资格等级等方面一致。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（1）拟派往本项目的项目经理</w:t>
            </w:r>
            <w:r>
              <w:rPr>
                <w:rFonts w:hint="eastAsia" w:asciiTheme="minorEastAsia" w:hAnsiTheme="minorEastAsia" w:eastAsiaTheme="minorEastAsia" w:cstheme="minorEastAsia"/>
                <w:color w:val="auto"/>
                <w:szCs w:val="21"/>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r>
              <w:rPr>
                <w:rFonts w:hint="eastAsia" w:asciiTheme="minorEastAsia" w:hAnsiTheme="minorEastAsia" w:eastAsiaTheme="minorEastAsia" w:cstheme="minorEastAsia"/>
                <w:color w:val="auto"/>
                <w:szCs w:val="21"/>
                <w:highlight w:val="none"/>
                <w:lang w:eastAsia="zh-CN"/>
              </w:rPr>
              <w:t>的得2分。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（2）拟派往本项目的项目经理具备</w:t>
            </w:r>
            <w:r>
              <w:rPr>
                <w:rFonts w:hint="eastAsia" w:asciiTheme="minorEastAsia" w:hAnsiTheme="minorEastAsia" w:eastAsiaTheme="minorEastAsia" w:cstheme="minorEastAsia"/>
                <w:b w:val="0"/>
                <w:bCs w:val="0"/>
                <w:color w:val="auto"/>
                <w:kern w:val="2"/>
                <w:sz w:val="21"/>
                <w:szCs w:val="24"/>
                <w:highlight w:val="none"/>
                <w:lang w:val="en-US" w:eastAsia="zh-CN" w:bidi="ar-SA"/>
              </w:rPr>
              <w:t>工程类专业(专业以技术职称证书所填写专业为准)</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级或</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级以上技术职称的得</w:t>
            </w: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2、其他主要人员（满分</w:t>
            </w: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lang w:eastAsia="zh-CN"/>
              </w:rPr>
              <w:t>分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基本要求：人员齐备、专业配套应与资格审查提供的人员配备相一致，且具备相关岗位证书（拟派驻本项目的技术负责人应具有中级及以上职称证件，安全员、质量员应具有相应岗位资格证书，且拟投入的项目管理人员符合国家及广西壮族自治区的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评分内容：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1）.技术负责人（1分）拟派往本项目的技术负责人具有工程类专业(专业以技术职称证书所填写专业为准)中级或中级以上技术职称；得1分。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2）.其他管理人员（1分）拟指派本项目其他管理人员（安全员、质量员）中，持有省级或省级以上建设主管部门颁发的资格证书得1分。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595" w:type="dxa"/>
            <w:gridSpan w:val="2"/>
            <w:shd w:val="clear" w:color="auto" w:fill="auto"/>
            <w:noWrap w:val="0"/>
            <w:vAlign w:val="center"/>
          </w:tcPr>
          <w:p>
            <w:pPr>
              <w:spacing w:line="400" w:lineRule="exact"/>
              <w:jc w:val="center"/>
              <w:rPr>
                <w:rFonts w:hint="eastAsia"/>
                <w:szCs w:val="21"/>
                <w:highlight w:val="none"/>
              </w:rPr>
            </w:pPr>
            <w:bookmarkStart w:id="1297" w:name="_GoBack" w:colFirst="2" w:colLast="3"/>
            <w:r>
              <w:rPr>
                <w:rFonts w:hint="eastAsia"/>
                <w:szCs w:val="21"/>
                <w:highlight w:val="none"/>
              </w:rPr>
              <w:t>企业业绩</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（满分</w:t>
            </w:r>
            <w:r>
              <w:rPr>
                <w:rFonts w:hint="eastAsia" w:asciiTheme="minorEastAsia" w:hAnsiTheme="minorEastAsia" w:eastAsiaTheme="minorEastAsia"/>
                <w:b/>
                <w:szCs w:val="21"/>
                <w:highlight w:val="none"/>
                <w:lang w:val="en-US" w:eastAsia="zh-CN"/>
              </w:rPr>
              <w:t>4</w:t>
            </w:r>
            <w:r>
              <w:rPr>
                <w:rFonts w:hint="eastAsia" w:asciiTheme="minorEastAsia" w:hAnsiTheme="minorEastAsia" w:eastAsiaTheme="minorEastAsia"/>
                <w:b/>
                <w:szCs w:val="21"/>
                <w:highlight w:val="none"/>
              </w:rPr>
              <w:t>分）</w:t>
            </w:r>
          </w:p>
          <w:p>
            <w:pPr>
              <w:spacing w:line="400" w:lineRule="exact"/>
              <w:jc w:val="center"/>
              <w:rPr>
                <w:rFonts w:hint="eastAsia" w:cs="Times New Roman" w:asciiTheme="minorEastAsia" w:hAnsiTheme="minorEastAsia" w:eastAsiaTheme="minorEastAsia"/>
                <w:b/>
                <w:kern w:val="2"/>
                <w:sz w:val="21"/>
                <w:szCs w:val="21"/>
                <w:highlight w:val="none"/>
                <w:lang w:val="en-US" w:eastAsia="zh-CN" w:bidi="ar-SA"/>
              </w:rPr>
            </w:pPr>
          </w:p>
        </w:tc>
        <w:tc>
          <w:tcPr>
            <w:tcW w:w="8843" w:type="dxa"/>
            <w:gridSpan w:val="3"/>
            <w:shd w:val="clear" w:color="auto" w:fill="auto"/>
            <w:noWrap w:val="0"/>
            <w:vAlign w:val="center"/>
          </w:tcPr>
          <w:p>
            <w:pPr>
              <w:spacing w:line="400" w:lineRule="exact"/>
              <w:rPr>
                <w:rFonts w:hint="eastAsia"/>
                <w:szCs w:val="21"/>
                <w:highlight w:val="none"/>
              </w:rPr>
            </w:pPr>
            <w:r>
              <w:rPr>
                <w:rFonts w:hint="eastAsia"/>
                <w:szCs w:val="21"/>
                <w:highlight w:val="none"/>
              </w:rPr>
              <w:t>1、企业考核期内</w:t>
            </w:r>
            <w:r>
              <w:rPr>
                <w:rFonts w:hint="eastAsia"/>
                <w:szCs w:val="21"/>
                <w:highlight w:val="none"/>
                <w:lang w:eastAsia="zh-CN"/>
              </w:rPr>
              <w:t>有</w:t>
            </w:r>
            <w:r>
              <w:rPr>
                <w:rFonts w:hint="eastAsia"/>
                <w:szCs w:val="21"/>
                <w:highlight w:val="none"/>
              </w:rPr>
              <w:t>承建的类似</w:t>
            </w:r>
            <w:r>
              <w:rPr>
                <w:rFonts w:hint="eastAsia"/>
                <w:szCs w:val="21"/>
                <w:highlight w:val="none"/>
                <w:lang w:val="en-US" w:eastAsia="zh-CN"/>
              </w:rPr>
              <w:t>运动场改造工程</w:t>
            </w:r>
            <w:r>
              <w:rPr>
                <w:rFonts w:hint="eastAsia"/>
                <w:szCs w:val="21"/>
                <w:highlight w:val="none"/>
                <w:lang w:eastAsia="zh-CN"/>
              </w:rPr>
              <w:t>的，得</w:t>
            </w:r>
            <w:r>
              <w:rPr>
                <w:rFonts w:hint="eastAsia"/>
                <w:szCs w:val="21"/>
                <w:highlight w:val="none"/>
                <w:lang w:val="en-US" w:eastAsia="zh-CN"/>
              </w:rPr>
              <w:t>4</w:t>
            </w:r>
            <w:r>
              <w:rPr>
                <w:rFonts w:hint="eastAsia"/>
                <w:szCs w:val="21"/>
                <w:highlight w:val="none"/>
              </w:rPr>
              <w:t>分。</w:t>
            </w:r>
            <w:r>
              <w:rPr>
                <w:rFonts w:hint="eastAsia"/>
                <w:szCs w:val="21"/>
                <w:highlight w:val="none"/>
                <w:lang w:eastAsia="zh-CN"/>
              </w:rPr>
              <w:t>（满分</w:t>
            </w:r>
            <w:r>
              <w:rPr>
                <w:rFonts w:hint="eastAsia"/>
                <w:szCs w:val="21"/>
                <w:highlight w:val="none"/>
                <w:lang w:val="en-US" w:eastAsia="zh-CN"/>
              </w:rPr>
              <w:t>4分</w:t>
            </w:r>
            <w:r>
              <w:rPr>
                <w:rFonts w:hint="eastAsia"/>
                <w:szCs w:val="21"/>
                <w:highlight w:val="none"/>
                <w:lang w:eastAsia="zh-CN"/>
              </w:rPr>
              <w:t>）</w:t>
            </w:r>
            <w:r>
              <w:rPr>
                <w:rFonts w:hint="eastAsia"/>
                <w:szCs w:val="21"/>
                <w:highlight w:val="none"/>
              </w:rPr>
              <w:t>（</w:t>
            </w:r>
            <w:r>
              <w:rPr>
                <w:rFonts w:hint="eastAsia"/>
                <w:szCs w:val="21"/>
                <w:highlight w:val="none"/>
                <w:lang w:eastAsia="zh-CN"/>
              </w:rPr>
              <w:t>磋商人</w:t>
            </w:r>
            <w:r>
              <w:rPr>
                <w:rFonts w:hint="eastAsia"/>
                <w:szCs w:val="21"/>
                <w:highlight w:val="none"/>
              </w:rPr>
              <w:t>提供的项目业绩应为主包业绩，且应作为独立承包人独自实施的，以联合体形式实施的及分包业绩将不予认可。以合同协议书、中标通知书复印件为准）。</w:t>
            </w:r>
          </w:p>
          <w:p>
            <w:pPr>
              <w:widowControl/>
              <w:spacing w:line="300" w:lineRule="exact"/>
              <w:rPr>
                <w:rFonts w:hint="eastAsia" w:ascii="宋体" w:hAnsi="宋体" w:eastAsia="宋体" w:cs="Times New Roman"/>
                <w:kern w:val="2"/>
                <w:sz w:val="21"/>
                <w:szCs w:val="21"/>
                <w:highlight w:val="none"/>
                <w:lang w:val="en-US" w:eastAsia="zh-CN" w:bidi="ar-SA"/>
              </w:rPr>
            </w:pPr>
            <w:r>
              <w:rPr>
                <w:rFonts w:hint="eastAsia"/>
                <w:szCs w:val="21"/>
                <w:highlight w:val="none"/>
              </w:rPr>
              <w:t>2、类似项目是指：</w:t>
            </w:r>
            <w:r>
              <w:rPr>
                <w:rFonts w:hint="eastAsia"/>
                <w:szCs w:val="21"/>
                <w:highlight w:val="none"/>
                <w:lang w:eastAsia="zh-CN"/>
              </w:rPr>
              <w:t>202</w:t>
            </w:r>
            <w:r>
              <w:rPr>
                <w:rFonts w:hint="eastAsia"/>
                <w:szCs w:val="21"/>
                <w:highlight w:val="none"/>
                <w:lang w:val="en-US" w:eastAsia="zh-CN"/>
              </w:rPr>
              <w:t>2</w:t>
            </w:r>
            <w:r>
              <w:rPr>
                <w:rFonts w:hint="eastAsia"/>
                <w:szCs w:val="21"/>
                <w:highlight w:val="none"/>
                <w:lang w:eastAsia="zh-CN"/>
              </w:rPr>
              <w:t>年</w:t>
            </w:r>
            <w:r>
              <w:rPr>
                <w:rFonts w:hint="eastAsia"/>
                <w:szCs w:val="21"/>
                <w:highlight w:val="none"/>
                <w:lang w:val="en-US" w:eastAsia="zh-CN"/>
              </w:rPr>
              <w:t>5</w:t>
            </w:r>
            <w:r>
              <w:rPr>
                <w:rFonts w:hint="eastAsia"/>
                <w:szCs w:val="21"/>
                <w:highlight w:val="none"/>
                <w:lang w:eastAsia="zh-CN"/>
              </w:rPr>
              <w:t>月1日</w:t>
            </w:r>
            <w:r>
              <w:rPr>
                <w:rFonts w:hint="eastAsia"/>
                <w:szCs w:val="21"/>
                <w:highlight w:val="none"/>
              </w:rPr>
              <w:t>起至本项目投标截止日期止的类似</w:t>
            </w:r>
            <w:r>
              <w:rPr>
                <w:rFonts w:hint="eastAsia"/>
                <w:szCs w:val="21"/>
                <w:highlight w:val="none"/>
                <w:lang w:eastAsia="zh-CN"/>
              </w:rPr>
              <w:t>学校运动场改造</w:t>
            </w:r>
            <w:r>
              <w:rPr>
                <w:rFonts w:hint="eastAsia"/>
                <w:szCs w:val="21"/>
                <w:highlight w:val="none"/>
              </w:rPr>
              <w:t>项目。</w:t>
            </w:r>
          </w:p>
        </w:tc>
      </w:tr>
      <w:bookmarkEnd w:id="1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38" w:type="dxa"/>
            <w:gridSpan w:val="5"/>
            <w:noWrap w:val="0"/>
            <w:vAlign w:val="top"/>
          </w:tcPr>
          <w:p>
            <w:pPr>
              <w:spacing w:line="400" w:lineRule="exact"/>
              <w:jc w:val="both"/>
              <w:rPr>
                <w:rFonts w:hint="eastAsia"/>
                <w:szCs w:val="21"/>
                <w:highlight w:val="none"/>
              </w:rPr>
            </w:pPr>
            <w:r>
              <w:rPr>
                <w:rFonts w:hint="eastAsia" w:asciiTheme="minorEastAsia" w:hAnsiTheme="minorEastAsia" w:eastAsiaTheme="minorEastAsia" w:cstheme="minorEastAsia"/>
                <w:b/>
                <w:color w:val="auto"/>
                <w:szCs w:val="21"/>
                <w:highlight w:val="none"/>
              </w:rPr>
              <w:t>综合总得分</w:t>
            </w:r>
            <w:r>
              <w:rPr>
                <w:rFonts w:hint="eastAsia" w:asciiTheme="minorEastAsia" w:hAnsiTheme="minorEastAsia" w:eastAsiaTheme="minorEastAsia" w:cstheme="minorEastAsia"/>
                <w:b/>
                <w:bCs/>
                <w:color w:val="auto"/>
                <w:szCs w:val="21"/>
                <w:highlight w:val="none"/>
              </w:rPr>
              <w:t>＝报价分+</w:t>
            </w:r>
            <w:r>
              <w:rPr>
                <w:rFonts w:hint="eastAsia" w:asciiTheme="minorEastAsia" w:hAnsiTheme="minorEastAsia" w:eastAsiaTheme="minorEastAsia" w:cstheme="minorEastAsia"/>
                <w:b/>
                <w:color w:val="auto"/>
                <w:kern w:val="0"/>
                <w:szCs w:val="21"/>
                <w:highlight w:val="none"/>
              </w:rPr>
              <w:t>施工组织设计</w:t>
            </w:r>
            <w:r>
              <w:rPr>
                <w:rFonts w:hint="eastAsia" w:asciiTheme="minorEastAsia" w:hAnsiTheme="minorEastAsia" w:eastAsiaTheme="minorEastAsia" w:cstheme="minorEastAsia"/>
                <w:b/>
                <w:color w:val="auto"/>
                <w:kern w:val="0"/>
                <w:szCs w:val="21"/>
                <w:highlight w:val="none"/>
                <w:lang w:val="en-US" w:eastAsia="zh-CN"/>
              </w:rPr>
              <w:t>分+</w:t>
            </w:r>
            <w:r>
              <w:rPr>
                <w:rFonts w:hint="eastAsia" w:asciiTheme="minorEastAsia" w:hAnsiTheme="minorEastAsia" w:eastAsiaTheme="minorEastAsia" w:cstheme="minorEastAsia"/>
                <w:b/>
                <w:color w:val="auto"/>
                <w:szCs w:val="21"/>
                <w:highlight w:val="none"/>
              </w:rPr>
              <w:t>项目管理机构</w:t>
            </w:r>
            <w:r>
              <w:rPr>
                <w:rFonts w:hint="eastAsia" w:asciiTheme="minorEastAsia" w:hAnsiTheme="minorEastAsia" w:eastAsiaTheme="minorEastAsia" w:cstheme="minorEastAsia"/>
                <w:b/>
                <w:color w:val="auto"/>
                <w:szCs w:val="21"/>
                <w:highlight w:val="none"/>
                <w:lang w:val="en-US" w:eastAsia="zh-CN"/>
              </w:rPr>
              <w:t>分+</w:t>
            </w:r>
            <w:r>
              <w:rPr>
                <w:rFonts w:hint="eastAsia"/>
                <w:szCs w:val="21"/>
                <w:highlight w:val="none"/>
              </w:rPr>
              <w:t>企业业绩</w:t>
            </w:r>
          </w:p>
          <w:p>
            <w:pPr>
              <w:spacing w:line="400" w:lineRule="exact"/>
              <w:ind w:firstLine="1050" w:firstLineChars="500"/>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38" w:type="dxa"/>
            <w:gridSpan w:val="5"/>
            <w:noWrap w:val="0"/>
            <w:vAlign w:val="top"/>
          </w:tcPr>
          <w:p>
            <w:pPr>
              <w:spacing w:line="400" w:lineRule="exact"/>
              <w:jc w:val="both"/>
              <w:rPr>
                <w:rFonts w:hint="eastAsia" w:asciiTheme="minorEastAsia" w:hAnsiTheme="minorEastAsia" w:eastAsiaTheme="minorEastAsia" w:cstheme="minorEastAsia"/>
                <w:b/>
                <w:color w:val="auto"/>
                <w:szCs w:val="21"/>
                <w:highlight w:val="none"/>
              </w:rPr>
            </w:pPr>
          </w:p>
        </w:tc>
      </w:tr>
    </w:tbl>
    <w:p>
      <w:pPr>
        <w:snapToGrid w:val="0"/>
        <w:spacing w:line="40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szCs w:val="24"/>
          <w:highlight w:val="none"/>
        </w:rPr>
        <w:t>评标办法正文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一、</w:t>
      </w:r>
      <w:r>
        <w:rPr>
          <w:rFonts w:hint="eastAsia" w:asciiTheme="minorEastAsia" w:hAnsiTheme="minorEastAsia" w:eastAsiaTheme="minorEastAsia" w:cstheme="minorEastAsia"/>
          <w:b/>
          <w:color w:val="auto"/>
          <w:sz w:val="21"/>
          <w:szCs w:val="21"/>
          <w:highlight w:val="none"/>
        </w:rPr>
        <w:t>评标原则：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1、坚持公开、公平、公正、适用合理原则。</w:t>
      </w:r>
    </w:p>
    <w:p>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开标前</w:t>
      </w:r>
      <w:r>
        <w:rPr>
          <w:rFonts w:hint="eastAsia" w:asciiTheme="minorEastAsia" w:hAnsiTheme="minorEastAsia" w:eastAsiaTheme="minorEastAsia" w:cstheme="minorEastAsia"/>
          <w:color w:val="auto"/>
          <w:sz w:val="21"/>
          <w:szCs w:val="21"/>
          <w:highlight w:val="none"/>
        </w:rPr>
        <w:t>由</w:t>
      </w:r>
      <w:r>
        <w:rPr>
          <w:rFonts w:hint="eastAsia" w:asciiTheme="minorEastAsia" w:hAnsiTheme="minorEastAsia" w:eastAsiaTheme="minorEastAsia" w:cstheme="minorEastAsia"/>
          <w:color w:val="auto"/>
          <w:sz w:val="21"/>
          <w:szCs w:val="21"/>
          <w:highlight w:val="none"/>
          <w:lang w:val="en-US" w:eastAsia="zh-CN"/>
        </w:rPr>
        <w:t>采购代理机构在广西政采云平台广西评审专家库</w:t>
      </w:r>
      <w:r>
        <w:rPr>
          <w:rFonts w:hint="eastAsia" w:asciiTheme="minorEastAsia" w:hAnsiTheme="minorEastAsia" w:eastAsiaTheme="minorEastAsia" w:cstheme="minorEastAsia"/>
          <w:color w:val="auto"/>
          <w:sz w:val="21"/>
          <w:szCs w:val="21"/>
          <w:highlight w:val="none"/>
        </w:rPr>
        <w:t>中随机抽取的评标专家组成。评标小组为3人，其中，采购</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评标代表1人，评标专家库中随机抽取2人。</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小组以</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为评标依据，本项目采用</w:t>
      </w:r>
      <w:r>
        <w:rPr>
          <w:rFonts w:hint="eastAsia" w:asciiTheme="minorEastAsia" w:hAnsiTheme="minorEastAsia" w:eastAsiaTheme="minorEastAsia" w:cstheme="minorEastAsia"/>
          <w:b/>
          <w:bCs/>
          <w:color w:val="auto"/>
          <w:sz w:val="21"/>
          <w:szCs w:val="21"/>
          <w:highlight w:val="none"/>
          <w:u w:val="single"/>
        </w:rPr>
        <w:t>综合评分法</w:t>
      </w:r>
      <w:r>
        <w:rPr>
          <w:rFonts w:hint="eastAsia" w:asciiTheme="minorEastAsia" w:hAnsiTheme="minorEastAsia" w:eastAsiaTheme="minorEastAsia" w:cstheme="minorEastAsia"/>
          <w:bCs/>
          <w:color w:val="auto"/>
          <w:sz w:val="21"/>
          <w:szCs w:val="21"/>
          <w:highlight w:val="none"/>
        </w:rPr>
        <w:t>进行</w:t>
      </w:r>
      <w:r>
        <w:rPr>
          <w:rFonts w:hint="eastAsia" w:asciiTheme="minorEastAsia" w:hAnsiTheme="minorEastAsia" w:eastAsiaTheme="minorEastAsia" w:cstheme="minorEastAsia"/>
          <w:color w:val="auto"/>
          <w:sz w:val="21"/>
          <w:szCs w:val="21"/>
          <w:highlight w:val="none"/>
        </w:rPr>
        <w:t>评标。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二、</w:t>
      </w:r>
      <w:r>
        <w:rPr>
          <w:rFonts w:hint="eastAsia" w:asciiTheme="minorEastAsia" w:hAnsiTheme="minorEastAsia" w:eastAsiaTheme="minorEastAsia" w:cstheme="minorEastAsia"/>
          <w:b/>
          <w:color w:val="auto"/>
          <w:sz w:val="21"/>
          <w:szCs w:val="21"/>
          <w:highlight w:val="none"/>
        </w:rPr>
        <w:t>评标次序：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1、资格审查：</w:t>
      </w:r>
      <w:r>
        <w:rPr>
          <w:rFonts w:hint="eastAsia" w:asciiTheme="minorEastAsia" w:hAnsiTheme="minorEastAsia" w:eastAsiaTheme="minorEastAsia" w:cstheme="minorEastAsia"/>
          <w:color w:val="auto"/>
          <w:sz w:val="21"/>
          <w:szCs w:val="21"/>
          <w:highlight w:val="none"/>
        </w:rPr>
        <w:t>本项目采用资格后审方式进行资格审查，参加本次</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的单位均要通过资格后审才能获得</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资格。资格审查内容为：见评标办法前附表。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详细评审（即综合评审）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各评委根据评标办法中相应的要求进行科学评分。在进行</w:t>
      </w:r>
      <w:r>
        <w:rPr>
          <w:rFonts w:hint="eastAsia" w:asciiTheme="minorEastAsia" w:hAnsiTheme="minorEastAsia" w:eastAsiaTheme="minorEastAsia" w:cstheme="minorEastAsia"/>
          <w:color w:val="auto"/>
          <w:sz w:val="21"/>
          <w:szCs w:val="21"/>
          <w:highlight w:val="none"/>
          <w:lang w:val="en-US" w:eastAsia="zh-CN"/>
        </w:rPr>
        <w:t>施工组织设计</w:t>
      </w:r>
      <w:r>
        <w:rPr>
          <w:rFonts w:hint="eastAsia" w:asciiTheme="minorEastAsia" w:hAnsiTheme="minorEastAsia" w:eastAsiaTheme="minorEastAsia" w:cstheme="minorEastAsia"/>
          <w:color w:val="auto"/>
          <w:sz w:val="21"/>
          <w:szCs w:val="21"/>
          <w:highlight w:val="none"/>
        </w:rPr>
        <w:t>方案文件的评审时，各评委评分的算术平均值为该</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的最终得分。</w:t>
      </w:r>
    </w:p>
    <w:p>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的澄清与修正</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3.1为了有助于</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的审查、评价和比较，</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可以要求</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澄清其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。有关澄清的要求与答复，应以书面形式进行。</w:t>
      </w:r>
      <w:r>
        <w:rPr>
          <w:rFonts w:hint="eastAsia" w:asciiTheme="minorEastAsia" w:hAnsiTheme="minorEastAsia" w:eastAsiaTheme="minorEastAsia" w:cstheme="minorEastAsia"/>
          <w:bCs/>
          <w:color w:val="auto"/>
          <w:sz w:val="21"/>
          <w:szCs w:val="21"/>
          <w:highlight w:val="none"/>
        </w:rPr>
        <w:t>不按</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要求澄清、说明或补正的，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作废标处理。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 </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计算错误的修正</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3.2.1 </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将对确定为实质上响应</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要求的</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进行校核，看其是否有计算或表达上的错误，修正错误的原则如下：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如果数字表示的金额和用文字表示的金额不一致时，应以文字表示的金额为准；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按上述修正错误的原则及方法调整或修正</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的投标报价，在</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确认后，调整或修正后的磋商报价对</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起约束作用。如果</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不接受调整或修正后的报价，则其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将被拒绝并且其磋商保证金也将被没收，并不影响评标工作。</w:t>
      </w:r>
    </w:p>
    <w:p>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三、</w:t>
      </w:r>
      <w:r>
        <w:rPr>
          <w:rFonts w:hint="eastAsia" w:asciiTheme="minorEastAsia" w:hAnsiTheme="minorEastAsia" w:eastAsiaTheme="minorEastAsia" w:cstheme="minorEastAsia"/>
          <w:b/>
          <w:bCs/>
          <w:color w:val="auto"/>
          <w:sz w:val="21"/>
          <w:szCs w:val="21"/>
          <w:highlight w:val="none"/>
          <w:lang w:val="en-US" w:eastAsia="zh-CN"/>
        </w:rPr>
        <w:t>推荐成交候选供应商原则</w:t>
      </w:r>
    </w:p>
    <w:bookmarkEnd w:id="1293"/>
    <w:p>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2、磋商小组确定排名第一的成交候选供应商为成交供应商。</w:t>
      </w:r>
    </w:p>
    <w:p>
      <w:pPr>
        <w:widowControl w:val="0"/>
        <w:spacing w:line="5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headerReference r:id="rId10" w:type="default"/>
      <w:footerReference r:id="rId11" w:type="default"/>
      <w:pgSz w:w="11850" w:h="16783"/>
      <w:pgMar w:top="1247" w:right="964" w:bottom="1247" w:left="964" w:header="851" w:footer="890"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Verdana"/>
    <w:panose1 w:val="00000000000000000000"/>
    <w:charset w:val="CC"/>
    <w:family w:val="auto"/>
    <w:pitch w:val="default"/>
    <w:sig w:usb0="00000000" w:usb1="00000000" w:usb2="00000000" w:usb3="00000000" w:csb0="00000005"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Verdana">
    <w:panose1 w:val="020B0604030504040204"/>
    <w:charset w:val="CC"/>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90"/>
      <w:jc w:val="right"/>
      <w:rPr>
        <w:rFonts w:hint="eastAsia" w:ascii="宋体" w:hAnsi="宋体" w:eastAsia="宋体" w:cs="Times New Roman"/>
        <w:sz w:val="21"/>
        <w:szCs w:val="21"/>
        <w:u w:val="single"/>
      </w:rPr>
    </w:pPr>
    <w:r>
      <w:rPr>
        <w:rFonts w:hint="eastAsia" w:ascii="宋体" w:hAnsi="宋体" w:cs="Times New Roman"/>
        <w:lang w:eastAsia="zh-CN"/>
      </w:rPr>
      <w:t>广西岳鑫项目管理咨询有限责任公司</w:t>
    </w:r>
    <w:r>
      <w:rPr>
        <w:rFonts w:hint="eastAsia" w:ascii="宋体" w:hAnsi="宋体" w:eastAsia="宋体" w:cs="Times New Roman"/>
      </w:rPr>
      <w:t>编制</w:t>
    </w:r>
    <w:r>
      <w:rPr>
        <w:rFonts w:hint="eastAsia" w:ascii="宋体" w:hAnsi="宋体" w:eastAsia="宋体" w:cs="Times New Roman"/>
        <w:sz w:val="21"/>
        <w:szCs w:val="21"/>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3"/>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20" w:lineRule="exact"/>
      <w:jc w:val="left"/>
      <w:textAlignment w:val="baseline"/>
      <w:rPr>
        <w:rFonts w:ascii="宋体" w:hAnsi="宋体" w:eastAsia="宋体" w:cs="宋体"/>
        <w:snapToGrid w:val="0"/>
        <w:color w:val="000000"/>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90"/>
      <w:jc w:val="right"/>
      <w:rPr>
        <w:rFonts w:hint="eastAsia" w:ascii="宋体" w:hAnsi="宋体" w:eastAsia="宋体" w:cs="Times New Roman"/>
        <w:sz w:val="21"/>
        <w:szCs w:val="21"/>
        <w:u w:val="single"/>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Times New Roman"/>
        <w:sz w:val="21"/>
        <w:szCs w:val="21"/>
        <w:lang w:eastAsia="zh-CN"/>
      </w:rPr>
      <w:t>广西岳鑫项目管理咨询有限责任公司</w:t>
    </w:r>
    <w:r>
      <w:rPr>
        <w:rFonts w:hint="eastAsia" w:ascii="宋体" w:hAnsi="宋体" w:eastAsia="宋体" w:cs="Times New Roman"/>
        <w:sz w:val="21"/>
        <w:szCs w:val="21"/>
      </w:rPr>
      <w:t>编制</w: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cs="Times New Roman"/>
        <w:sz w:val="21"/>
        <w:szCs w:val="21"/>
        <w:lang w:val="en-US" w:eastAsia="zh-CN"/>
      </w:rPr>
    </w:pPr>
    <w:r>
      <w:rPr>
        <w:rFonts w:hint="eastAsia" w:ascii="Times New Roman" w:hAnsi="Times New Roman" w:eastAsia="宋体" w:cs="Times New Roman"/>
        <w:sz w:val="21"/>
        <w:szCs w:val="21"/>
      </w:rPr>
      <w:t>项目名称：</w:t>
    </w:r>
    <w:r>
      <w:rPr>
        <w:rFonts w:hint="eastAsia" w:cs="Times New Roman"/>
        <w:sz w:val="21"/>
        <w:szCs w:val="21"/>
        <w:lang w:eastAsia="zh-CN"/>
      </w:rPr>
      <w:t>昭平县走马镇污水处理厂配套管网工程(二期)工程项目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p>
  <w:p>
    <w:pPr>
      <w:pStyle w:val="14"/>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HZZC2025-C2-210037-YXZB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eastAsia="宋体" w:cs="宋体"/>
        <w:snapToGrid w:val="0"/>
        <w:color w:val="000000"/>
        <w:kern w:val="0"/>
        <w:sz w:val="18"/>
        <w:szCs w:val="18"/>
      </w:rPr>
    </w:pPr>
    <w:r>
      <w:rPr>
        <w:rFonts w:hint="eastAsia" w:cs="Times New Roman"/>
        <w:sz w:val="21"/>
        <w:szCs w:val="21"/>
        <w:lang w:val="en-US" w:eastAsia="zh-CN"/>
      </w:rPr>
      <w:t xml:space="preserve"> 项目名称：昭平中学300米塑胶运动场维护翻新项目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HZZC2025-C2-210037-YXZB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eastAsia="宋体" w:cs="宋体"/>
        <w:snapToGrid w:val="0"/>
        <w:color w:val="000000"/>
        <w:kern w:val="0"/>
        <w:sz w:val="18"/>
        <w:szCs w:val="18"/>
      </w:rPr>
    </w:pP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HZZC2025-C2-210037-YXZB</w:t>
    </w:r>
  </w:p>
  <w:p>
    <w:pPr>
      <w:tabs>
        <w:tab w:val="left" w:pos="973"/>
      </w:tabs>
      <w:spacing w:line="237"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93077562"/>
    <w:multiLevelType w:val="singleLevel"/>
    <w:tmpl w:val="93077562"/>
    <w:lvl w:ilvl="0" w:tentative="0">
      <w:start w:val="4"/>
      <w:numFmt w:val="chineseCounting"/>
      <w:suff w:val="space"/>
      <w:lvlText w:val="第%1章"/>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82E700"/>
    <w:multiLevelType w:val="singleLevel"/>
    <w:tmpl w:val="C882E700"/>
    <w:lvl w:ilvl="0" w:tentative="0">
      <w:start w:val="1"/>
      <w:numFmt w:val="chineseCounting"/>
      <w:suff w:val="nothing"/>
      <w:lvlText w:val="%1、"/>
      <w:lvlJc w:val="left"/>
      <w:rPr>
        <w:rFonts w:hint="eastAsia"/>
      </w:rPr>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CF5733CA"/>
    <w:multiLevelType w:val="singleLevel"/>
    <w:tmpl w:val="CF5733CA"/>
    <w:lvl w:ilvl="0" w:tentative="0">
      <w:start w:val="4"/>
      <w:numFmt w:val="chineseCounting"/>
      <w:suff w:val="nothing"/>
      <w:lvlText w:val="%1、"/>
      <w:lvlJc w:val="left"/>
      <w:rPr>
        <w:rFonts w:hint="eastAsia"/>
      </w:rPr>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6EDD6597"/>
    <w:multiLevelType w:val="singleLevel"/>
    <w:tmpl w:val="6EDD6597"/>
    <w:lvl w:ilvl="0" w:tentative="0">
      <w:start w:val="2"/>
      <w:numFmt w:val="decimal"/>
      <w:suff w:val="space"/>
      <w:lvlText w:val="%1."/>
      <w:lvlJc w:val="left"/>
    </w:lvl>
  </w:abstractNum>
  <w:num w:numId="1">
    <w:abstractNumId w:val="4"/>
  </w:num>
  <w:num w:numId="2">
    <w:abstractNumId w:val="0"/>
  </w:num>
  <w:num w:numId="3">
    <w:abstractNumId w:val="6"/>
  </w:num>
  <w:num w:numId="4">
    <w:abstractNumId w:val="2"/>
  </w:num>
  <w:num w:numId="5">
    <w:abstractNumId w:val="8"/>
  </w:num>
  <w:num w:numId="6">
    <w:abstractNumId w:val="7"/>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31B3150"/>
    <w:rsid w:val="00147173"/>
    <w:rsid w:val="00916D2E"/>
    <w:rsid w:val="0094732E"/>
    <w:rsid w:val="009F276B"/>
    <w:rsid w:val="00AD6E3B"/>
    <w:rsid w:val="00B32339"/>
    <w:rsid w:val="00B66CA6"/>
    <w:rsid w:val="01025669"/>
    <w:rsid w:val="010F43CF"/>
    <w:rsid w:val="010F5FE2"/>
    <w:rsid w:val="013E6345"/>
    <w:rsid w:val="01510D91"/>
    <w:rsid w:val="015E1378"/>
    <w:rsid w:val="01712B58"/>
    <w:rsid w:val="01732FB3"/>
    <w:rsid w:val="018E7F8D"/>
    <w:rsid w:val="01A74145"/>
    <w:rsid w:val="020C3C09"/>
    <w:rsid w:val="021B4271"/>
    <w:rsid w:val="021E110F"/>
    <w:rsid w:val="021F0ED1"/>
    <w:rsid w:val="0228604D"/>
    <w:rsid w:val="02511B73"/>
    <w:rsid w:val="025B30F8"/>
    <w:rsid w:val="02732751"/>
    <w:rsid w:val="02901E05"/>
    <w:rsid w:val="02910441"/>
    <w:rsid w:val="02945D66"/>
    <w:rsid w:val="02A75804"/>
    <w:rsid w:val="02AA2995"/>
    <w:rsid w:val="02B37ED6"/>
    <w:rsid w:val="02CB6880"/>
    <w:rsid w:val="02CF2660"/>
    <w:rsid w:val="02D752BA"/>
    <w:rsid w:val="02DB1135"/>
    <w:rsid w:val="02F60B92"/>
    <w:rsid w:val="030229A5"/>
    <w:rsid w:val="03073BD8"/>
    <w:rsid w:val="034E0278"/>
    <w:rsid w:val="038A0F5C"/>
    <w:rsid w:val="038F0666"/>
    <w:rsid w:val="03994F4E"/>
    <w:rsid w:val="03A52EF2"/>
    <w:rsid w:val="03B52281"/>
    <w:rsid w:val="03BD679A"/>
    <w:rsid w:val="03E513A6"/>
    <w:rsid w:val="04025A79"/>
    <w:rsid w:val="04453E55"/>
    <w:rsid w:val="047948EC"/>
    <w:rsid w:val="047E311D"/>
    <w:rsid w:val="0488552C"/>
    <w:rsid w:val="04C23D52"/>
    <w:rsid w:val="050B1812"/>
    <w:rsid w:val="051518EF"/>
    <w:rsid w:val="0521531D"/>
    <w:rsid w:val="05577D8B"/>
    <w:rsid w:val="05875732"/>
    <w:rsid w:val="05BD29CF"/>
    <w:rsid w:val="060C2EBB"/>
    <w:rsid w:val="06415C54"/>
    <w:rsid w:val="06595497"/>
    <w:rsid w:val="06C95EDE"/>
    <w:rsid w:val="06FD746A"/>
    <w:rsid w:val="072C591E"/>
    <w:rsid w:val="075E5314"/>
    <w:rsid w:val="076D0ECF"/>
    <w:rsid w:val="077568E0"/>
    <w:rsid w:val="07963C8B"/>
    <w:rsid w:val="07A94B5D"/>
    <w:rsid w:val="07B74FC8"/>
    <w:rsid w:val="07BC46FF"/>
    <w:rsid w:val="07BC49C1"/>
    <w:rsid w:val="07C27992"/>
    <w:rsid w:val="07CB5F01"/>
    <w:rsid w:val="07D93375"/>
    <w:rsid w:val="07F8505E"/>
    <w:rsid w:val="080374BA"/>
    <w:rsid w:val="08415506"/>
    <w:rsid w:val="08553CEE"/>
    <w:rsid w:val="0860559E"/>
    <w:rsid w:val="087728B5"/>
    <w:rsid w:val="08804629"/>
    <w:rsid w:val="08A54CD2"/>
    <w:rsid w:val="08E144CF"/>
    <w:rsid w:val="09150178"/>
    <w:rsid w:val="093056E2"/>
    <w:rsid w:val="09656872"/>
    <w:rsid w:val="098C3ADE"/>
    <w:rsid w:val="098C576A"/>
    <w:rsid w:val="09981DD6"/>
    <w:rsid w:val="09EB2195"/>
    <w:rsid w:val="0A203224"/>
    <w:rsid w:val="0A323A7B"/>
    <w:rsid w:val="0A421BF4"/>
    <w:rsid w:val="0A4B25DC"/>
    <w:rsid w:val="0AA70ADC"/>
    <w:rsid w:val="0AD57C4B"/>
    <w:rsid w:val="0ADE7A8F"/>
    <w:rsid w:val="0B0333A3"/>
    <w:rsid w:val="0B0A635A"/>
    <w:rsid w:val="0B144F2B"/>
    <w:rsid w:val="0B1536C0"/>
    <w:rsid w:val="0B296D13"/>
    <w:rsid w:val="0B4E39F7"/>
    <w:rsid w:val="0B643590"/>
    <w:rsid w:val="0B66416A"/>
    <w:rsid w:val="0B7314D5"/>
    <w:rsid w:val="0BB07C71"/>
    <w:rsid w:val="0BEE5A66"/>
    <w:rsid w:val="0BF9008B"/>
    <w:rsid w:val="0BFA6FD1"/>
    <w:rsid w:val="0C373216"/>
    <w:rsid w:val="0C3E7E08"/>
    <w:rsid w:val="0C406B21"/>
    <w:rsid w:val="0C6915E0"/>
    <w:rsid w:val="0CD4338D"/>
    <w:rsid w:val="0CE41149"/>
    <w:rsid w:val="0CEE7400"/>
    <w:rsid w:val="0D1462F4"/>
    <w:rsid w:val="0D1C2527"/>
    <w:rsid w:val="0D324D94"/>
    <w:rsid w:val="0D553128"/>
    <w:rsid w:val="0D6B65F8"/>
    <w:rsid w:val="0DB40D43"/>
    <w:rsid w:val="0DB71BE3"/>
    <w:rsid w:val="0DB86AB6"/>
    <w:rsid w:val="0DBC70F1"/>
    <w:rsid w:val="0DFF3918"/>
    <w:rsid w:val="0E0722AE"/>
    <w:rsid w:val="0E0D2B89"/>
    <w:rsid w:val="0E44027A"/>
    <w:rsid w:val="0E53028D"/>
    <w:rsid w:val="0E5D3349"/>
    <w:rsid w:val="0E7D2A40"/>
    <w:rsid w:val="0E857647"/>
    <w:rsid w:val="0E905815"/>
    <w:rsid w:val="0EA271EC"/>
    <w:rsid w:val="0ECD528C"/>
    <w:rsid w:val="0EE61D33"/>
    <w:rsid w:val="0EE70E8E"/>
    <w:rsid w:val="0EE81876"/>
    <w:rsid w:val="0F0A282B"/>
    <w:rsid w:val="0F2976AF"/>
    <w:rsid w:val="0F470702"/>
    <w:rsid w:val="0F515C5A"/>
    <w:rsid w:val="0F6D3AD1"/>
    <w:rsid w:val="0F824033"/>
    <w:rsid w:val="0FA42666"/>
    <w:rsid w:val="0FD2057A"/>
    <w:rsid w:val="0FD571EC"/>
    <w:rsid w:val="0FF4142D"/>
    <w:rsid w:val="108522C5"/>
    <w:rsid w:val="109C55C2"/>
    <w:rsid w:val="10A36CEB"/>
    <w:rsid w:val="10FF5343"/>
    <w:rsid w:val="11240204"/>
    <w:rsid w:val="1134195C"/>
    <w:rsid w:val="1182633E"/>
    <w:rsid w:val="11A23E24"/>
    <w:rsid w:val="11AF3192"/>
    <w:rsid w:val="11D44407"/>
    <w:rsid w:val="11F4325E"/>
    <w:rsid w:val="12042129"/>
    <w:rsid w:val="122B23DB"/>
    <w:rsid w:val="12432BED"/>
    <w:rsid w:val="128A57C3"/>
    <w:rsid w:val="12921F42"/>
    <w:rsid w:val="12B2792E"/>
    <w:rsid w:val="12C33517"/>
    <w:rsid w:val="12D45BC9"/>
    <w:rsid w:val="12E5148C"/>
    <w:rsid w:val="13375F7C"/>
    <w:rsid w:val="133B072C"/>
    <w:rsid w:val="138B448A"/>
    <w:rsid w:val="139A144D"/>
    <w:rsid w:val="13CD6B47"/>
    <w:rsid w:val="13D80628"/>
    <w:rsid w:val="13E62DBC"/>
    <w:rsid w:val="141C07D5"/>
    <w:rsid w:val="14237CCA"/>
    <w:rsid w:val="14505136"/>
    <w:rsid w:val="146F1A40"/>
    <w:rsid w:val="14776EFE"/>
    <w:rsid w:val="147B5855"/>
    <w:rsid w:val="14904A9F"/>
    <w:rsid w:val="14AD2FB9"/>
    <w:rsid w:val="14B4689D"/>
    <w:rsid w:val="14DA11D6"/>
    <w:rsid w:val="14E375A4"/>
    <w:rsid w:val="14FA43F4"/>
    <w:rsid w:val="15312467"/>
    <w:rsid w:val="153E5864"/>
    <w:rsid w:val="15442DDA"/>
    <w:rsid w:val="157A4E72"/>
    <w:rsid w:val="15801337"/>
    <w:rsid w:val="159C20F2"/>
    <w:rsid w:val="15A14DEA"/>
    <w:rsid w:val="15A52288"/>
    <w:rsid w:val="15B37428"/>
    <w:rsid w:val="15C16A04"/>
    <w:rsid w:val="15D17694"/>
    <w:rsid w:val="15F455B0"/>
    <w:rsid w:val="15FC2035"/>
    <w:rsid w:val="16065428"/>
    <w:rsid w:val="16094D85"/>
    <w:rsid w:val="162006D2"/>
    <w:rsid w:val="162114BD"/>
    <w:rsid w:val="163B35AF"/>
    <w:rsid w:val="16497123"/>
    <w:rsid w:val="16593E44"/>
    <w:rsid w:val="16676900"/>
    <w:rsid w:val="166A27F4"/>
    <w:rsid w:val="169541A1"/>
    <w:rsid w:val="16DF0663"/>
    <w:rsid w:val="170279F1"/>
    <w:rsid w:val="170711DD"/>
    <w:rsid w:val="170B0EBC"/>
    <w:rsid w:val="174357EB"/>
    <w:rsid w:val="177D1E82"/>
    <w:rsid w:val="17830C7D"/>
    <w:rsid w:val="179B2596"/>
    <w:rsid w:val="17A16409"/>
    <w:rsid w:val="17EB2521"/>
    <w:rsid w:val="17FC09DB"/>
    <w:rsid w:val="18410550"/>
    <w:rsid w:val="184A630F"/>
    <w:rsid w:val="18902AC0"/>
    <w:rsid w:val="189B5D8E"/>
    <w:rsid w:val="18A36F04"/>
    <w:rsid w:val="18C633D3"/>
    <w:rsid w:val="18F92709"/>
    <w:rsid w:val="190711B8"/>
    <w:rsid w:val="1929549B"/>
    <w:rsid w:val="193713E3"/>
    <w:rsid w:val="19446B85"/>
    <w:rsid w:val="195C7B85"/>
    <w:rsid w:val="19CC7E03"/>
    <w:rsid w:val="19D86A17"/>
    <w:rsid w:val="19DA3387"/>
    <w:rsid w:val="19F4305A"/>
    <w:rsid w:val="19FD64D2"/>
    <w:rsid w:val="1A1C02B0"/>
    <w:rsid w:val="1A4354AD"/>
    <w:rsid w:val="1A53371E"/>
    <w:rsid w:val="1A580897"/>
    <w:rsid w:val="1A59708B"/>
    <w:rsid w:val="1A5C344B"/>
    <w:rsid w:val="1A761580"/>
    <w:rsid w:val="1A886D43"/>
    <w:rsid w:val="1AC54D70"/>
    <w:rsid w:val="1AFB42ED"/>
    <w:rsid w:val="1B1656CF"/>
    <w:rsid w:val="1B1A4796"/>
    <w:rsid w:val="1B1A5B25"/>
    <w:rsid w:val="1B677C92"/>
    <w:rsid w:val="1B803B6F"/>
    <w:rsid w:val="1B837D67"/>
    <w:rsid w:val="1BA5625C"/>
    <w:rsid w:val="1BCD65A0"/>
    <w:rsid w:val="1BD04F59"/>
    <w:rsid w:val="1C127C1D"/>
    <w:rsid w:val="1C2E4F86"/>
    <w:rsid w:val="1C393EA0"/>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4808AE"/>
    <w:rsid w:val="1D7F206E"/>
    <w:rsid w:val="1DA55ED4"/>
    <w:rsid w:val="1DC87107"/>
    <w:rsid w:val="1DCB31D3"/>
    <w:rsid w:val="1DCD16C2"/>
    <w:rsid w:val="1DD1681C"/>
    <w:rsid w:val="1DEA1AED"/>
    <w:rsid w:val="1DEC7B59"/>
    <w:rsid w:val="1E044C13"/>
    <w:rsid w:val="1E132584"/>
    <w:rsid w:val="1E1D1B02"/>
    <w:rsid w:val="1E211AF4"/>
    <w:rsid w:val="1E2D414F"/>
    <w:rsid w:val="1E7C3880"/>
    <w:rsid w:val="1E9E542D"/>
    <w:rsid w:val="1EA3020C"/>
    <w:rsid w:val="1EC428AC"/>
    <w:rsid w:val="1EEB6780"/>
    <w:rsid w:val="1F0F1A50"/>
    <w:rsid w:val="1F3E237B"/>
    <w:rsid w:val="1F3F4D79"/>
    <w:rsid w:val="1F9312FF"/>
    <w:rsid w:val="1FA928B8"/>
    <w:rsid w:val="1FAF33D0"/>
    <w:rsid w:val="1FE97514"/>
    <w:rsid w:val="200A5C3C"/>
    <w:rsid w:val="203370CC"/>
    <w:rsid w:val="2042635B"/>
    <w:rsid w:val="204949D4"/>
    <w:rsid w:val="20567420"/>
    <w:rsid w:val="205E116D"/>
    <w:rsid w:val="2069588E"/>
    <w:rsid w:val="20786BE9"/>
    <w:rsid w:val="208257CE"/>
    <w:rsid w:val="208A1D0B"/>
    <w:rsid w:val="208C4B5A"/>
    <w:rsid w:val="20A03B82"/>
    <w:rsid w:val="20B3324D"/>
    <w:rsid w:val="20B74704"/>
    <w:rsid w:val="2122049F"/>
    <w:rsid w:val="21251B33"/>
    <w:rsid w:val="21437AE8"/>
    <w:rsid w:val="214D0AB3"/>
    <w:rsid w:val="2167743F"/>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73393"/>
    <w:rsid w:val="227350E1"/>
    <w:rsid w:val="227A2DCD"/>
    <w:rsid w:val="227D3355"/>
    <w:rsid w:val="22811AD1"/>
    <w:rsid w:val="228150C7"/>
    <w:rsid w:val="22851D24"/>
    <w:rsid w:val="22996C92"/>
    <w:rsid w:val="22CD66D0"/>
    <w:rsid w:val="22DF6B31"/>
    <w:rsid w:val="230A1F70"/>
    <w:rsid w:val="23111068"/>
    <w:rsid w:val="231153E3"/>
    <w:rsid w:val="23242C16"/>
    <w:rsid w:val="233B32F2"/>
    <w:rsid w:val="23417E1B"/>
    <w:rsid w:val="23427B85"/>
    <w:rsid w:val="23503C84"/>
    <w:rsid w:val="238846BF"/>
    <w:rsid w:val="23A3588C"/>
    <w:rsid w:val="23AA7239"/>
    <w:rsid w:val="23BB3004"/>
    <w:rsid w:val="23C7681E"/>
    <w:rsid w:val="24082174"/>
    <w:rsid w:val="24145594"/>
    <w:rsid w:val="24381C76"/>
    <w:rsid w:val="24513B95"/>
    <w:rsid w:val="24531BE4"/>
    <w:rsid w:val="245E60EA"/>
    <w:rsid w:val="24945841"/>
    <w:rsid w:val="249F3629"/>
    <w:rsid w:val="24CF6BB0"/>
    <w:rsid w:val="24EC0746"/>
    <w:rsid w:val="25060596"/>
    <w:rsid w:val="250879C8"/>
    <w:rsid w:val="25097325"/>
    <w:rsid w:val="25292606"/>
    <w:rsid w:val="25580E26"/>
    <w:rsid w:val="255A75F4"/>
    <w:rsid w:val="25A062B3"/>
    <w:rsid w:val="25F95738"/>
    <w:rsid w:val="261D222D"/>
    <w:rsid w:val="263C430E"/>
    <w:rsid w:val="26562782"/>
    <w:rsid w:val="26584507"/>
    <w:rsid w:val="26A61651"/>
    <w:rsid w:val="26B13B60"/>
    <w:rsid w:val="26CA20A0"/>
    <w:rsid w:val="26CC4D9A"/>
    <w:rsid w:val="26CF5C04"/>
    <w:rsid w:val="26DC7985"/>
    <w:rsid w:val="26E8451F"/>
    <w:rsid w:val="26FE033B"/>
    <w:rsid w:val="271B54EF"/>
    <w:rsid w:val="2723127F"/>
    <w:rsid w:val="27330B47"/>
    <w:rsid w:val="2735298E"/>
    <w:rsid w:val="27654176"/>
    <w:rsid w:val="27796A8A"/>
    <w:rsid w:val="278860CF"/>
    <w:rsid w:val="27B524BB"/>
    <w:rsid w:val="27C873ED"/>
    <w:rsid w:val="27DB0EE6"/>
    <w:rsid w:val="27F33DF7"/>
    <w:rsid w:val="27F65AFB"/>
    <w:rsid w:val="27F83A99"/>
    <w:rsid w:val="283A5429"/>
    <w:rsid w:val="28450962"/>
    <w:rsid w:val="284A1F5D"/>
    <w:rsid w:val="284B7EE7"/>
    <w:rsid w:val="28605BD0"/>
    <w:rsid w:val="28664D86"/>
    <w:rsid w:val="286E51BD"/>
    <w:rsid w:val="287A1C4C"/>
    <w:rsid w:val="28E1506C"/>
    <w:rsid w:val="292C4BDC"/>
    <w:rsid w:val="293B15CF"/>
    <w:rsid w:val="293D6CCD"/>
    <w:rsid w:val="295807BB"/>
    <w:rsid w:val="296D189C"/>
    <w:rsid w:val="2990340C"/>
    <w:rsid w:val="299443E4"/>
    <w:rsid w:val="299D7047"/>
    <w:rsid w:val="29A06D51"/>
    <w:rsid w:val="29B20CE7"/>
    <w:rsid w:val="29CF7CBC"/>
    <w:rsid w:val="2A040E61"/>
    <w:rsid w:val="2A0B7E6D"/>
    <w:rsid w:val="2A13200D"/>
    <w:rsid w:val="2A221ED3"/>
    <w:rsid w:val="2A3B381A"/>
    <w:rsid w:val="2A8736BE"/>
    <w:rsid w:val="2A882016"/>
    <w:rsid w:val="2A93499D"/>
    <w:rsid w:val="2AC603DE"/>
    <w:rsid w:val="2AE6082F"/>
    <w:rsid w:val="2AE752E2"/>
    <w:rsid w:val="2AF20769"/>
    <w:rsid w:val="2B010556"/>
    <w:rsid w:val="2B026E96"/>
    <w:rsid w:val="2B1321DC"/>
    <w:rsid w:val="2B30560E"/>
    <w:rsid w:val="2B400334"/>
    <w:rsid w:val="2B445780"/>
    <w:rsid w:val="2B4C758A"/>
    <w:rsid w:val="2B633D6E"/>
    <w:rsid w:val="2B6C4A0B"/>
    <w:rsid w:val="2BDB4391"/>
    <w:rsid w:val="2BE92768"/>
    <w:rsid w:val="2BED16F8"/>
    <w:rsid w:val="2C1C5587"/>
    <w:rsid w:val="2C1D027F"/>
    <w:rsid w:val="2C405F01"/>
    <w:rsid w:val="2C4767E2"/>
    <w:rsid w:val="2C6D4CDD"/>
    <w:rsid w:val="2C6F5E1F"/>
    <w:rsid w:val="2C755243"/>
    <w:rsid w:val="2C7C4EE5"/>
    <w:rsid w:val="2C876C23"/>
    <w:rsid w:val="2CDC497D"/>
    <w:rsid w:val="2CE72985"/>
    <w:rsid w:val="2CFB5B68"/>
    <w:rsid w:val="2D1C4591"/>
    <w:rsid w:val="2D286ADB"/>
    <w:rsid w:val="2D8B0FF1"/>
    <w:rsid w:val="2DA02332"/>
    <w:rsid w:val="2DE971E2"/>
    <w:rsid w:val="2E116E66"/>
    <w:rsid w:val="2E1D6EDE"/>
    <w:rsid w:val="2E2A3561"/>
    <w:rsid w:val="2E2D5F9E"/>
    <w:rsid w:val="2E3B6C3B"/>
    <w:rsid w:val="2E50759F"/>
    <w:rsid w:val="2EC66A23"/>
    <w:rsid w:val="2ECE06FE"/>
    <w:rsid w:val="2F1B08F5"/>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780656"/>
    <w:rsid w:val="30896BCA"/>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272D6"/>
    <w:rsid w:val="322F17B7"/>
    <w:rsid w:val="325A6FC8"/>
    <w:rsid w:val="32976A23"/>
    <w:rsid w:val="3300502A"/>
    <w:rsid w:val="3306169A"/>
    <w:rsid w:val="33255513"/>
    <w:rsid w:val="33283607"/>
    <w:rsid w:val="336A17DF"/>
    <w:rsid w:val="33762B88"/>
    <w:rsid w:val="338565A5"/>
    <w:rsid w:val="33AD0AAD"/>
    <w:rsid w:val="33FC056B"/>
    <w:rsid w:val="34133F4C"/>
    <w:rsid w:val="34176FDD"/>
    <w:rsid w:val="34186F72"/>
    <w:rsid w:val="34195674"/>
    <w:rsid w:val="34246EDC"/>
    <w:rsid w:val="346C5CA1"/>
    <w:rsid w:val="34A04E07"/>
    <w:rsid w:val="34B04582"/>
    <w:rsid w:val="34DB1E65"/>
    <w:rsid w:val="34E24C33"/>
    <w:rsid w:val="34F3029F"/>
    <w:rsid w:val="34F74832"/>
    <w:rsid w:val="351013A8"/>
    <w:rsid w:val="351940B0"/>
    <w:rsid w:val="3531020B"/>
    <w:rsid w:val="35364074"/>
    <w:rsid w:val="355E4683"/>
    <w:rsid w:val="35A07E22"/>
    <w:rsid w:val="35E53C1A"/>
    <w:rsid w:val="360302A9"/>
    <w:rsid w:val="36170E17"/>
    <w:rsid w:val="361976C3"/>
    <w:rsid w:val="362463DF"/>
    <w:rsid w:val="3638711E"/>
    <w:rsid w:val="36572F64"/>
    <w:rsid w:val="36BF73D0"/>
    <w:rsid w:val="36C6691A"/>
    <w:rsid w:val="36DA22D7"/>
    <w:rsid w:val="36EB5BF2"/>
    <w:rsid w:val="36ED79DE"/>
    <w:rsid w:val="371A1ED1"/>
    <w:rsid w:val="3729787B"/>
    <w:rsid w:val="372D4055"/>
    <w:rsid w:val="374A73ED"/>
    <w:rsid w:val="374C74AC"/>
    <w:rsid w:val="37596EB2"/>
    <w:rsid w:val="37641FEB"/>
    <w:rsid w:val="376E1EFB"/>
    <w:rsid w:val="37CF0FD9"/>
    <w:rsid w:val="37E015A8"/>
    <w:rsid w:val="37E971B1"/>
    <w:rsid w:val="37F073C9"/>
    <w:rsid w:val="381559D1"/>
    <w:rsid w:val="381C1B69"/>
    <w:rsid w:val="381C6932"/>
    <w:rsid w:val="386023AC"/>
    <w:rsid w:val="38B8462D"/>
    <w:rsid w:val="38C33D5C"/>
    <w:rsid w:val="38C43921"/>
    <w:rsid w:val="38CB2C57"/>
    <w:rsid w:val="38D00D0D"/>
    <w:rsid w:val="38DA4D96"/>
    <w:rsid w:val="38DD1BC1"/>
    <w:rsid w:val="38F511B0"/>
    <w:rsid w:val="38F864C1"/>
    <w:rsid w:val="390E7336"/>
    <w:rsid w:val="391336F3"/>
    <w:rsid w:val="396D4CB7"/>
    <w:rsid w:val="39CA407F"/>
    <w:rsid w:val="39DD67E6"/>
    <w:rsid w:val="3A126618"/>
    <w:rsid w:val="3A4D15EB"/>
    <w:rsid w:val="3A876423"/>
    <w:rsid w:val="3AB421E7"/>
    <w:rsid w:val="3AC43A1F"/>
    <w:rsid w:val="3AC64035"/>
    <w:rsid w:val="3AD47F64"/>
    <w:rsid w:val="3B060213"/>
    <w:rsid w:val="3B0931F8"/>
    <w:rsid w:val="3B097A32"/>
    <w:rsid w:val="3B30693B"/>
    <w:rsid w:val="3B4C32CD"/>
    <w:rsid w:val="3B5E1D06"/>
    <w:rsid w:val="3BAA25AB"/>
    <w:rsid w:val="3BCC48C7"/>
    <w:rsid w:val="3BCD08D5"/>
    <w:rsid w:val="3BD97860"/>
    <w:rsid w:val="3BF97445"/>
    <w:rsid w:val="3C0D6F5C"/>
    <w:rsid w:val="3C28777B"/>
    <w:rsid w:val="3C2C5F84"/>
    <w:rsid w:val="3C463DED"/>
    <w:rsid w:val="3C775FC8"/>
    <w:rsid w:val="3CC022CE"/>
    <w:rsid w:val="3CE225EA"/>
    <w:rsid w:val="3CE24EAA"/>
    <w:rsid w:val="3CF03D27"/>
    <w:rsid w:val="3CF4761C"/>
    <w:rsid w:val="3D004621"/>
    <w:rsid w:val="3D122352"/>
    <w:rsid w:val="3D192AA5"/>
    <w:rsid w:val="3D484466"/>
    <w:rsid w:val="3D4E79E6"/>
    <w:rsid w:val="3D5F10D2"/>
    <w:rsid w:val="3D695218"/>
    <w:rsid w:val="3D7E1270"/>
    <w:rsid w:val="3D957D7E"/>
    <w:rsid w:val="3DAB5207"/>
    <w:rsid w:val="3DC212DD"/>
    <w:rsid w:val="3DCE1AC2"/>
    <w:rsid w:val="3DD03B65"/>
    <w:rsid w:val="3DD37FEC"/>
    <w:rsid w:val="3DF5283C"/>
    <w:rsid w:val="3DFF292D"/>
    <w:rsid w:val="3E236E55"/>
    <w:rsid w:val="3E34322F"/>
    <w:rsid w:val="3E4A0A14"/>
    <w:rsid w:val="3E5324BC"/>
    <w:rsid w:val="3E734463"/>
    <w:rsid w:val="3E991E30"/>
    <w:rsid w:val="3EAF73E4"/>
    <w:rsid w:val="3EC74FD8"/>
    <w:rsid w:val="3F440D32"/>
    <w:rsid w:val="3F4C2599"/>
    <w:rsid w:val="3F7A30D9"/>
    <w:rsid w:val="3FCB386C"/>
    <w:rsid w:val="3FE10A2A"/>
    <w:rsid w:val="3FEB3166"/>
    <w:rsid w:val="4005779A"/>
    <w:rsid w:val="40363A3A"/>
    <w:rsid w:val="403657E9"/>
    <w:rsid w:val="40410D61"/>
    <w:rsid w:val="407006C4"/>
    <w:rsid w:val="40880BFA"/>
    <w:rsid w:val="40AA542D"/>
    <w:rsid w:val="40D46C24"/>
    <w:rsid w:val="40D5031E"/>
    <w:rsid w:val="40DD11B1"/>
    <w:rsid w:val="40EA0F95"/>
    <w:rsid w:val="40EC23F8"/>
    <w:rsid w:val="41070804"/>
    <w:rsid w:val="411E1BAD"/>
    <w:rsid w:val="41246C1D"/>
    <w:rsid w:val="41417D67"/>
    <w:rsid w:val="41556D77"/>
    <w:rsid w:val="415F78F5"/>
    <w:rsid w:val="418A48B7"/>
    <w:rsid w:val="419304EB"/>
    <w:rsid w:val="41A47355"/>
    <w:rsid w:val="41AB0C0C"/>
    <w:rsid w:val="41AC3D91"/>
    <w:rsid w:val="41C51421"/>
    <w:rsid w:val="41E23D2A"/>
    <w:rsid w:val="422C0F9B"/>
    <w:rsid w:val="422E3F0C"/>
    <w:rsid w:val="424E187E"/>
    <w:rsid w:val="42653193"/>
    <w:rsid w:val="4296640B"/>
    <w:rsid w:val="42BC71DD"/>
    <w:rsid w:val="42EB5D13"/>
    <w:rsid w:val="431B161F"/>
    <w:rsid w:val="431B3150"/>
    <w:rsid w:val="432D0F3D"/>
    <w:rsid w:val="43716B39"/>
    <w:rsid w:val="43A62258"/>
    <w:rsid w:val="43C52CE9"/>
    <w:rsid w:val="43C542E7"/>
    <w:rsid w:val="43CC36D3"/>
    <w:rsid w:val="44053A18"/>
    <w:rsid w:val="440C2621"/>
    <w:rsid w:val="44286EF0"/>
    <w:rsid w:val="444A60D6"/>
    <w:rsid w:val="444A6201"/>
    <w:rsid w:val="446E3444"/>
    <w:rsid w:val="44722AC8"/>
    <w:rsid w:val="447F2700"/>
    <w:rsid w:val="44902D8A"/>
    <w:rsid w:val="44F34738"/>
    <w:rsid w:val="450779AC"/>
    <w:rsid w:val="450C30C1"/>
    <w:rsid w:val="450F36BC"/>
    <w:rsid w:val="453440B9"/>
    <w:rsid w:val="45380EEC"/>
    <w:rsid w:val="458E1756"/>
    <w:rsid w:val="45BA1C5F"/>
    <w:rsid w:val="45DB00D9"/>
    <w:rsid w:val="45DF1A0C"/>
    <w:rsid w:val="45E2649C"/>
    <w:rsid w:val="45EC2CDD"/>
    <w:rsid w:val="45F624B2"/>
    <w:rsid w:val="46026227"/>
    <w:rsid w:val="46044B25"/>
    <w:rsid w:val="460E6BC6"/>
    <w:rsid w:val="462D0958"/>
    <w:rsid w:val="463C4B2E"/>
    <w:rsid w:val="464D1332"/>
    <w:rsid w:val="466220A0"/>
    <w:rsid w:val="46B571C0"/>
    <w:rsid w:val="46D7781C"/>
    <w:rsid w:val="46E70B37"/>
    <w:rsid w:val="46E90904"/>
    <w:rsid w:val="46FD31FB"/>
    <w:rsid w:val="470B2D93"/>
    <w:rsid w:val="470F3619"/>
    <w:rsid w:val="472D2B16"/>
    <w:rsid w:val="472F5E58"/>
    <w:rsid w:val="473B5852"/>
    <w:rsid w:val="4754407A"/>
    <w:rsid w:val="47721A9E"/>
    <w:rsid w:val="47755093"/>
    <w:rsid w:val="479A7B66"/>
    <w:rsid w:val="479A7EA7"/>
    <w:rsid w:val="47B41CA6"/>
    <w:rsid w:val="47B91D87"/>
    <w:rsid w:val="47C00C39"/>
    <w:rsid w:val="47C47222"/>
    <w:rsid w:val="47CE6195"/>
    <w:rsid w:val="47D22736"/>
    <w:rsid w:val="47E81C34"/>
    <w:rsid w:val="4812452D"/>
    <w:rsid w:val="482E426D"/>
    <w:rsid w:val="4839166B"/>
    <w:rsid w:val="4841673B"/>
    <w:rsid w:val="48894FF4"/>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00E6"/>
    <w:rsid w:val="4B6F6273"/>
    <w:rsid w:val="4B7033C1"/>
    <w:rsid w:val="4B7A2E73"/>
    <w:rsid w:val="4BA318E2"/>
    <w:rsid w:val="4BB113E9"/>
    <w:rsid w:val="4BB71830"/>
    <w:rsid w:val="4BFC452E"/>
    <w:rsid w:val="4C1E49F5"/>
    <w:rsid w:val="4C421637"/>
    <w:rsid w:val="4C450062"/>
    <w:rsid w:val="4C7344BE"/>
    <w:rsid w:val="4C7A5A5B"/>
    <w:rsid w:val="4C810159"/>
    <w:rsid w:val="4C8F6EBF"/>
    <w:rsid w:val="4C990605"/>
    <w:rsid w:val="4CB46ABA"/>
    <w:rsid w:val="4CB86758"/>
    <w:rsid w:val="4CC97F4D"/>
    <w:rsid w:val="4CF318E9"/>
    <w:rsid w:val="4D0E60AF"/>
    <w:rsid w:val="4D197F32"/>
    <w:rsid w:val="4D2D7466"/>
    <w:rsid w:val="4D561DD3"/>
    <w:rsid w:val="4D5D426D"/>
    <w:rsid w:val="4D5E468E"/>
    <w:rsid w:val="4D801A08"/>
    <w:rsid w:val="4D890873"/>
    <w:rsid w:val="4D9E2669"/>
    <w:rsid w:val="4DAE7DBE"/>
    <w:rsid w:val="4DBA440F"/>
    <w:rsid w:val="4DC82B8E"/>
    <w:rsid w:val="4DFC001D"/>
    <w:rsid w:val="4E390CA3"/>
    <w:rsid w:val="4E432638"/>
    <w:rsid w:val="4E4522EF"/>
    <w:rsid w:val="4E6C58CE"/>
    <w:rsid w:val="4E6E18E4"/>
    <w:rsid w:val="4E736BEF"/>
    <w:rsid w:val="4E8407C0"/>
    <w:rsid w:val="4EB90B45"/>
    <w:rsid w:val="4EBF730A"/>
    <w:rsid w:val="4EDC1728"/>
    <w:rsid w:val="4EE567C8"/>
    <w:rsid w:val="4EF15467"/>
    <w:rsid w:val="4EF23FB1"/>
    <w:rsid w:val="4F3C67C6"/>
    <w:rsid w:val="4F5B1333"/>
    <w:rsid w:val="4F93582B"/>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B6174"/>
    <w:rsid w:val="519E0C6D"/>
    <w:rsid w:val="51B5269E"/>
    <w:rsid w:val="51B85C65"/>
    <w:rsid w:val="51BA22D2"/>
    <w:rsid w:val="51BB1571"/>
    <w:rsid w:val="51CF7F71"/>
    <w:rsid w:val="51DC0CC0"/>
    <w:rsid w:val="51F24178"/>
    <w:rsid w:val="51F81AE0"/>
    <w:rsid w:val="521006CF"/>
    <w:rsid w:val="521273EF"/>
    <w:rsid w:val="522154D7"/>
    <w:rsid w:val="525400C3"/>
    <w:rsid w:val="52546215"/>
    <w:rsid w:val="525E72CD"/>
    <w:rsid w:val="52AE43C7"/>
    <w:rsid w:val="52B8235F"/>
    <w:rsid w:val="52C63793"/>
    <w:rsid w:val="52D96C12"/>
    <w:rsid w:val="52EC56F1"/>
    <w:rsid w:val="52FE69C4"/>
    <w:rsid w:val="53055FDE"/>
    <w:rsid w:val="534B3E00"/>
    <w:rsid w:val="53526694"/>
    <w:rsid w:val="53620E89"/>
    <w:rsid w:val="536B5C0C"/>
    <w:rsid w:val="539219AD"/>
    <w:rsid w:val="53FC3441"/>
    <w:rsid w:val="54095716"/>
    <w:rsid w:val="5425170C"/>
    <w:rsid w:val="54333A58"/>
    <w:rsid w:val="54473660"/>
    <w:rsid w:val="54475507"/>
    <w:rsid w:val="5453362B"/>
    <w:rsid w:val="545B53B5"/>
    <w:rsid w:val="54617825"/>
    <w:rsid w:val="546C70C7"/>
    <w:rsid w:val="547A03C3"/>
    <w:rsid w:val="54BE7CEF"/>
    <w:rsid w:val="54F90306"/>
    <w:rsid w:val="55027786"/>
    <w:rsid w:val="55165BD1"/>
    <w:rsid w:val="557800F9"/>
    <w:rsid w:val="5590336F"/>
    <w:rsid w:val="55A80492"/>
    <w:rsid w:val="55B20C5C"/>
    <w:rsid w:val="55C34A96"/>
    <w:rsid w:val="55EC58B0"/>
    <w:rsid w:val="55F45560"/>
    <w:rsid w:val="564C4930"/>
    <w:rsid w:val="56552601"/>
    <w:rsid w:val="565F7902"/>
    <w:rsid w:val="566762DA"/>
    <w:rsid w:val="56705F15"/>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8F6338"/>
    <w:rsid w:val="599C0C57"/>
    <w:rsid w:val="59B00DE5"/>
    <w:rsid w:val="59F17B06"/>
    <w:rsid w:val="5A022307"/>
    <w:rsid w:val="5A0F1BE8"/>
    <w:rsid w:val="5A25561B"/>
    <w:rsid w:val="5A2A6B6D"/>
    <w:rsid w:val="5A336AC1"/>
    <w:rsid w:val="5A516919"/>
    <w:rsid w:val="5A543883"/>
    <w:rsid w:val="5AAA53CF"/>
    <w:rsid w:val="5AB3442C"/>
    <w:rsid w:val="5AD51D83"/>
    <w:rsid w:val="5AF06F6D"/>
    <w:rsid w:val="5AF4287F"/>
    <w:rsid w:val="5B0E53A3"/>
    <w:rsid w:val="5B255C05"/>
    <w:rsid w:val="5B457607"/>
    <w:rsid w:val="5B733364"/>
    <w:rsid w:val="5BB11FDB"/>
    <w:rsid w:val="5BC3190F"/>
    <w:rsid w:val="5BCE70F4"/>
    <w:rsid w:val="5BF00DEA"/>
    <w:rsid w:val="5C13534D"/>
    <w:rsid w:val="5C1860DA"/>
    <w:rsid w:val="5C2A5C11"/>
    <w:rsid w:val="5C6863F1"/>
    <w:rsid w:val="5C6B068E"/>
    <w:rsid w:val="5C8303EE"/>
    <w:rsid w:val="5C855502"/>
    <w:rsid w:val="5CC30ADE"/>
    <w:rsid w:val="5CF60E57"/>
    <w:rsid w:val="5D0F4FED"/>
    <w:rsid w:val="5D2050CC"/>
    <w:rsid w:val="5D952C65"/>
    <w:rsid w:val="5DB4234F"/>
    <w:rsid w:val="5E3E2ABA"/>
    <w:rsid w:val="5E493832"/>
    <w:rsid w:val="5E724EDA"/>
    <w:rsid w:val="5E8F4115"/>
    <w:rsid w:val="5E935F5E"/>
    <w:rsid w:val="5E9B2C46"/>
    <w:rsid w:val="5EC25FFA"/>
    <w:rsid w:val="5ED35614"/>
    <w:rsid w:val="5EF746FA"/>
    <w:rsid w:val="5F1F713C"/>
    <w:rsid w:val="5F680CFA"/>
    <w:rsid w:val="5F6C7267"/>
    <w:rsid w:val="5F8A3587"/>
    <w:rsid w:val="5FAA393B"/>
    <w:rsid w:val="5FBA1A15"/>
    <w:rsid w:val="5FD25BA0"/>
    <w:rsid w:val="5FE0127C"/>
    <w:rsid w:val="5FED17BB"/>
    <w:rsid w:val="5FFE3770"/>
    <w:rsid w:val="601F5C42"/>
    <w:rsid w:val="60256599"/>
    <w:rsid w:val="602E614B"/>
    <w:rsid w:val="60922C1B"/>
    <w:rsid w:val="60952B14"/>
    <w:rsid w:val="609B0963"/>
    <w:rsid w:val="609B64E7"/>
    <w:rsid w:val="60AA2973"/>
    <w:rsid w:val="60B31FF5"/>
    <w:rsid w:val="60C22BBA"/>
    <w:rsid w:val="60D619A0"/>
    <w:rsid w:val="60E01C98"/>
    <w:rsid w:val="611676B3"/>
    <w:rsid w:val="61303A07"/>
    <w:rsid w:val="613B51F2"/>
    <w:rsid w:val="616422DF"/>
    <w:rsid w:val="61A33053"/>
    <w:rsid w:val="61A70E98"/>
    <w:rsid w:val="61C95FF5"/>
    <w:rsid w:val="61D90263"/>
    <w:rsid w:val="622A5C26"/>
    <w:rsid w:val="624A3B38"/>
    <w:rsid w:val="624C1159"/>
    <w:rsid w:val="625306BE"/>
    <w:rsid w:val="625F6307"/>
    <w:rsid w:val="62671915"/>
    <w:rsid w:val="627955F6"/>
    <w:rsid w:val="62796FF0"/>
    <w:rsid w:val="62B960CF"/>
    <w:rsid w:val="62D54C81"/>
    <w:rsid w:val="62E17600"/>
    <w:rsid w:val="62EA2BFF"/>
    <w:rsid w:val="63084A49"/>
    <w:rsid w:val="6337664F"/>
    <w:rsid w:val="63383ED6"/>
    <w:rsid w:val="6338494C"/>
    <w:rsid w:val="633C7337"/>
    <w:rsid w:val="63775C96"/>
    <w:rsid w:val="638929FF"/>
    <w:rsid w:val="63A11ED6"/>
    <w:rsid w:val="63A60F1D"/>
    <w:rsid w:val="63D320AC"/>
    <w:rsid w:val="64011BAD"/>
    <w:rsid w:val="64061DE2"/>
    <w:rsid w:val="642E732A"/>
    <w:rsid w:val="64471DF2"/>
    <w:rsid w:val="645229BE"/>
    <w:rsid w:val="645A7DDA"/>
    <w:rsid w:val="646F3B94"/>
    <w:rsid w:val="6490034D"/>
    <w:rsid w:val="649C5180"/>
    <w:rsid w:val="64CC7CAA"/>
    <w:rsid w:val="64D43A01"/>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8A6A2F"/>
    <w:rsid w:val="66CB5C45"/>
    <w:rsid w:val="66E665C4"/>
    <w:rsid w:val="66E7279B"/>
    <w:rsid w:val="66F1525C"/>
    <w:rsid w:val="66F238E5"/>
    <w:rsid w:val="6729363F"/>
    <w:rsid w:val="677C44FA"/>
    <w:rsid w:val="67941E94"/>
    <w:rsid w:val="67B607E5"/>
    <w:rsid w:val="67DC6C2E"/>
    <w:rsid w:val="67EA67B6"/>
    <w:rsid w:val="67EE44B5"/>
    <w:rsid w:val="67FC16DF"/>
    <w:rsid w:val="68120C2B"/>
    <w:rsid w:val="684F79E5"/>
    <w:rsid w:val="68545E49"/>
    <w:rsid w:val="688C1198"/>
    <w:rsid w:val="68AA7102"/>
    <w:rsid w:val="68B857EF"/>
    <w:rsid w:val="69256781"/>
    <w:rsid w:val="694718A7"/>
    <w:rsid w:val="695C4910"/>
    <w:rsid w:val="69775CB8"/>
    <w:rsid w:val="69A57FAE"/>
    <w:rsid w:val="6A0D0646"/>
    <w:rsid w:val="6A21047C"/>
    <w:rsid w:val="6A2E1E58"/>
    <w:rsid w:val="6A5A799B"/>
    <w:rsid w:val="6A643167"/>
    <w:rsid w:val="6A687450"/>
    <w:rsid w:val="6A6D3B27"/>
    <w:rsid w:val="6A7560B4"/>
    <w:rsid w:val="6A7E1064"/>
    <w:rsid w:val="6A81571E"/>
    <w:rsid w:val="6A815C41"/>
    <w:rsid w:val="6A922CD0"/>
    <w:rsid w:val="6AA643DB"/>
    <w:rsid w:val="6AAE32C5"/>
    <w:rsid w:val="6ABF313F"/>
    <w:rsid w:val="6AD71D71"/>
    <w:rsid w:val="6ADE3ED8"/>
    <w:rsid w:val="6AEB2741"/>
    <w:rsid w:val="6B052A8D"/>
    <w:rsid w:val="6B0B0382"/>
    <w:rsid w:val="6B240C57"/>
    <w:rsid w:val="6B256EDB"/>
    <w:rsid w:val="6B4B4300"/>
    <w:rsid w:val="6B4D2B9D"/>
    <w:rsid w:val="6B5D7821"/>
    <w:rsid w:val="6B9668DB"/>
    <w:rsid w:val="6BA07A01"/>
    <w:rsid w:val="6BC1736F"/>
    <w:rsid w:val="6BC32D7C"/>
    <w:rsid w:val="6BEA3A98"/>
    <w:rsid w:val="6BFC153C"/>
    <w:rsid w:val="6C035B55"/>
    <w:rsid w:val="6C041BF9"/>
    <w:rsid w:val="6C133380"/>
    <w:rsid w:val="6C472EBA"/>
    <w:rsid w:val="6C4C7015"/>
    <w:rsid w:val="6C5775A1"/>
    <w:rsid w:val="6C6E2EBB"/>
    <w:rsid w:val="6C923F25"/>
    <w:rsid w:val="6C954167"/>
    <w:rsid w:val="6CA47FE8"/>
    <w:rsid w:val="6CA50FD0"/>
    <w:rsid w:val="6CA755E2"/>
    <w:rsid w:val="6CC044DE"/>
    <w:rsid w:val="6CC16398"/>
    <w:rsid w:val="6CE02419"/>
    <w:rsid w:val="6D277E96"/>
    <w:rsid w:val="6D436A1C"/>
    <w:rsid w:val="6D520B87"/>
    <w:rsid w:val="6D916F74"/>
    <w:rsid w:val="6DAD13C7"/>
    <w:rsid w:val="6DBF6021"/>
    <w:rsid w:val="6DCE3FFB"/>
    <w:rsid w:val="6DD04340"/>
    <w:rsid w:val="6E036133"/>
    <w:rsid w:val="6E0E695B"/>
    <w:rsid w:val="6E2378A8"/>
    <w:rsid w:val="6E2C49CC"/>
    <w:rsid w:val="6E440EBF"/>
    <w:rsid w:val="6E4826E9"/>
    <w:rsid w:val="6E676263"/>
    <w:rsid w:val="6E6F1E80"/>
    <w:rsid w:val="6E96065E"/>
    <w:rsid w:val="6E961113"/>
    <w:rsid w:val="6E9F16FC"/>
    <w:rsid w:val="6EA90888"/>
    <w:rsid w:val="6EBE77EF"/>
    <w:rsid w:val="6ECD68F9"/>
    <w:rsid w:val="6F273508"/>
    <w:rsid w:val="6F323823"/>
    <w:rsid w:val="6F3F30A0"/>
    <w:rsid w:val="6F621109"/>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3E2FDB"/>
    <w:rsid w:val="71475E96"/>
    <w:rsid w:val="71841A31"/>
    <w:rsid w:val="71D441C2"/>
    <w:rsid w:val="71E45372"/>
    <w:rsid w:val="71E60E06"/>
    <w:rsid w:val="7208644C"/>
    <w:rsid w:val="721A5D7C"/>
    <w:rsid w:val="723E74DE"/>
    <w:rsid w:val="72490994"/>
    <w:rsid w:val="7262525F"/>
    <w:rsid w:val="7280060B"/>
    <w:rsid w:val="72E40A66"/>
    <w:rsid w:val="72F82D65"/>
    <w:rsid w:val="731C5316"/>
    <w:rsid w:val="732153F5"/>
    <w:rsid w:val="73247F8A"/>
    <w:rsid w:val="736E5061"/>
    <w:rsid w:val="73937ABF"/>
    <w:rsid w:val="73940EC5"/>
    <w:rsid w:val="73CE337C"/>
    <w:rsid w:val="73F75328"/>
    <w:rsid w:val="74071884"/>
    <w:rsid w:val="742931A7"/>
    <w:rsid w:val="74580668"/>
    <w:rsid w:val="74727EA0"/>
    <w:rsid w:val="74932E66"/>
    <w:rsid w:val="74946305"/>
    <w:rsid w:val="74A108F6"/>
    <w:rsid w:val="74C42E49"/>
    <w:rsid w:val="74DB38A2"/>
    <w:rsid w:val="74DE788B"/>
    <w:rsid w:val="74EA0AA2"/>
    <w:rsid w:val="74EB5CFC"/>
    <w:rsid w:val="74F7099B"/>
    <w:rsid w:val="750B1EBE"/>
    <w:rsid w:val="751B3609"/>
    <w:rsid w:val="75225626"/>
    <w:rsid w:val="75476EDC"/>
    <w:rsid w:val="754C4F37"/>
    <w:rsid w:val="7562261A"/>
    <w:rsid w:val="756B4AEC"/>
    <w:rsid w:val="75822DE6"/>
    <w:rsid w:val="759C70AE"/>
    <w:rsid w:val="75A12DD8"/>
    <w:rsid w:val="75E3729E"/>
    <w:rsid w:val="75EC2BEE"/>
    <w:rsid w:val="75F65D3C"/>
    <w:rsid w:val="75F96328"/>
    <w:rsid w:val="76007311"/>
    <w:rsid w:val="7615617D"/>
    <w:rsid w:val="76200A04"/>
    <w:rsid w:val="762C165D"/>
    <w:rsid w:val="76C76D5F"/>
    <w:rsid w:val="76F048AC"/>
    <w:rsid w:val="77064A55"/>
    <w:rsid w:val="772C0D98"/>
    <w:rsid w:val="774C45E8"/>
    <w:rsid w:val="77817AE3"/>
    <w:rsid w:val="77876814"/>
    <w:rsid w:val="77E45FFB"/>
    <w:rsid w:val="77F32441"/>
    <w:rsid w:val="780C2D25"/>
    <w:rsid w:val="78103ADF"/>
    <w:rsid w:val="783570B9"/>
    <w:rsid w:val="78357142"/>
    <w:rsid w:val="783B4535"/>
    <w:rsid w:val="783D2440"/>
    <w:rsid w:val="785307C2"/>
    <w:rsid w:val="787E1BD1"/>
    <w:rsid w:val="78A22999"/>
    <w:rsid w:val="78B478CC"/>
    <w:rsid w:val="78B7255D"/>
    <w:rsid w:val="78D41419"/>
    <w:rsid w:val="79230630"/>
    <w:rsid w:val="793047C6"/>
    <w:rsid w:val="794848CA"/>
    <w:rsid w:val="796F2C63"/>
    <w:rsid w:val="797101BF"/>
    <w:rsid w:val="798A2292"/>
    <w:rsid w:val="79995BEF"/>
    <w:rsid w:val="799C385C"/>
    <w:rsid w:val="799D6625"/>
    <w:rsid w:val="79A11744"/>
    <w:rsid w:val="79D13260"/>
    <w:rsid w:val="79ED66DD"/>
    <w:rsid w:val="79F62358"/>
    <w:rsid w:val="79FF0349"/>
    <w:rsid w:val="7A1D796C"/>
    <w:rsid w:val="7A2D2E71"/>
    <w:rsid w:val="7ABB5F10"/>
    <w:rsid w:val="7ACB24DC"/>
    <w:rsid w:val="7B213550"/>
    <w:rsid w:val="7B343BA1"/>
    <w:rsid w:val="7B3B7ACA"/>
    <w:rsid w:val="7B43477D"/>
    <w:rsid w:val="7B4B7E21"/>
    <w:rsid w:val="7B52062B"/>
    <w:rsid w:val="7B646217"/>
    <w:rsid w:val="7B677A53"/>
    <w:rsid w:val="7B7349BF"/>
    <w:rsid w:val="7BA62B82"/>
    <w:rsid w:val="7BA7113F"/>
    <w:rsid w:val="7BB16327"/>
    <w:rsid w:val="7BB44BEA"/>
    <w:rsid w:val="7BCA0CD8"/>
    <w:rsid w:val="7C187734"/>
    <w:rsid w:val="7C2A1162"/>
    <w:rsid w:val="7C401F8B"/>
    <w:rsid w:val="7C5067D3"/>
    <w:rsid w:val="7C64659D"/>
    <w:rsid w:val="7C743ED1"/>
    <w:rsid w:val="7C8A46D7"/>
    <w:rsid w:val="7C8B3DE6"/>
    <w:rsid w:val="7C9D2FD9"/>
    <w:rsid w:val="7CA07B9A"/>
    <w:rsid w:val="7CA3358D"/>
    <w:rsid w:val="7CAC3111"/>
    <w:rsid w:val="7CCD58A9"/>
    <w:rsid w:val="7CE135E6"/>
    <w:rsid w:val="7D0C2EEC"/>
    <w:rsid w:val="7D116942"/>
    <w:rsid w:val="7D1538EC"/>
    <w:rsid w:val="7D2037EF"/>
    <w:rsid w:val="7D3C3E1F"/>
    <w:rsid w:val="7D6E3C91"/>
    <w:rsid w:val="7D926B23"/>
    <w:rsid w:val="7DD13227"/>
    <w:rsid w:val="7DFA5352"/>
    <w:rsid w:val="7E0A4C45"/>
    <w:rsid w:val="7E2F6A34"/>
    <w:rsid w:val="7E3D5BCF"/>
    <w:rsid w:val="7E416E12"/>
    <w:rsid w:val="7E495F64"/>
    <w:rsid w:val="7E4E03E1"/>
    <w:rsid w:val="7E51148B"/>
    <w:rsid w:val="7E5B62D2"/>
    <w:rsid w:val="7E6009C6"/>
    <w:rsid w:val="7E734E0F"/>
    <w:rsid w:val="7EC07962"/>
    <w:rsid w:val="7F196B89"/>
    <w:rsid w:val="7F405101"/>
    <w:rsid w:val="7F4D3E60"/>
    <w:rsid w:val="7F555DCE"/>
    <w:rsid w:val="7F6F5B80"/>
    <w:rsid w:val="7F8B0C20"/>
    <w:rsid w:val="7FC83C0D"/>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5">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sz w:val="20"/>
    </w:rPr>
  </w:style>
  <w:style w:type="paragraph" w:styleId="7">
    <w:name w:val="annotation text"/>
    <w:basedOn w:val="1"/>
    <w:qFormat/>
    <w:uiPriority w:val="0"/>
    <w:pPr>
      <w:jc w:val="left"/>
    </w:pPr>
  </w:style>
  <w:style w:type="paragraph" w:styleId="8">
    <w:name w:val="Body Text"/>
    <w:basedOn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9">
    <w:name w:val="Body Text Indent"/>
    <w:basedOn w:val="1"/>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0">
    <w:name w:val="toc 3"/>
    <w:basedOn w:val="1"/>
    <w:next w:val="1"/>
    <w:qFormat/>
    <w:uiPriority w:val="0"/>
    <w:pPr>
      <w:ind w:left="840" w:leftChars="400"/>
    </w:pPr>
  </w:style>
  <w:style w:type="paragraph" w:styleId="11">
    <w:name w:val="Plain Text"/>
    <w:basedOn w:val="1"/>
    <w:next w:val="12"/>
    <w:qFormat/>
    <w:uiPriority w:val="0"/>
    <w:pPr>
      <w:widowControl w:val="0"/>
      <w:jc w:val="both"/>
    </w:pPr>
    <w:rPr>
      <w:rFonts w:ascii="宋体" w:hAnsi="Courier New" w:eastAsia="宋体" w:cs="Times New Roman"/>
      <w:kern w:val="2"/>
      <w:sz w:val="21"/>
      <w:szCs w:val="20"/>
      <w:lang w:val="en-US" w:eastAsia="zh-CN" w:bidi="ar-SA"/>
    </w:rPr>
  </w:style>
  <w:style w:type="paragraph" w:styleId="12">
    <w:name w:val="Date"/>
    <w:basedOn w:val="1"/>
    <w:next w:val="1"/>
    <w:qFormat/>
    <w:uiPriority w:val="0"/>
    <w:pPr>
      <w:ind w:left="100" w:leftChars="2500"/>
    </w:pPr>
  </w:style>
  <w:style w:type="paragraph" w:styleId="13">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4">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16">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8"/>
    <w:next w:val="1"/>
    <w:qFormat/>
    <w:uiPriority w:val="0"/>
    <w:pPr>
      <w:spacing w:after="120" w:afterLines="0"/>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unhideWhenUsed/>
    <w:qFormat/>
    <w:uiPriority w:val="99"/>
    <w:rPr>
      <w:color w:val="3B5998"/>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7">
    <w:name w:val="1"/>
    <w:next w:val="11"/>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38">
    <w:name w:val="Body Text First Indent 21"/>
    <w:basedOn w:val="39"/>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3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0"/>
    <w:qFormat/>
    <w:uiPriority w:val="0"/>
    <w:rPr>
      <w:rFonts w:ascii="Times New Roman" w:hAnsi="Times New Roman" w:eastAsia="Times New Roman" w:cs="Times New Roman"/>
      <w:sz w:val="24"/>
      <w:szCs w:val="24"/>
    </w:rPr>
  </w:style>
  <w:style w:type="paragraph" w:customStyle="1" w:styleId="42">
    <w:name w:val="段落1"/>
    <w:basedOn w:val="1"/>
    <w:qFormat/>
    <w:uiPriority w:val="0"/>
    <w:pPr>
      <w:spacing w:line="360" w:lineRule="auto"/>
      <w:ind w:firstLine="480" w:firstLineChars="200"/>
    </w:pPr>
    <w:rPr>
      <w:sz w:val="24"/>
      <w:szCs w:val="20"/>
    </w:rPr>
  </w:style>
  <w:style w:type="paragraph" w:customStyle="1" w:styleId="43">
    <w:name w:val="Table Paragraph"/>
    <w:basedOn w:val="1"/>
    <w:qFormat/>
    <w:uiPriority w:val="0"/>
    <w:pPr>
      <w:autoSpaceDE w:val="0"/>
      <w:autoSpaceDN w:val="0"/>
      <w:adjustRightInd w:val="0"/>
      <w:jc w:val="left"/>
    </w:pPr>
    <w:rPr>
      <w:kern w:val="0"/>
      <w:sz w:val="24"/>
    </w:rPr>
  </w:style>
  <w:style w:type="paragraph" w:customStyle="1" w:styleId="44">
    <w:name w:val="List Paragraph"/>
    <w:basedOn w:val="1"/>
    <w:qFormat/>
    <w:uiPriority w:val="0"/>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layui-layer-tabnow"/>
    <w:basedOn w:val="21"/>
    <w:qFormat/>
    <w:uiPriority w:val="0"/>
    <w:rPr>
      <w:bdr w:val="single" w:color="CCCCCC" w:sz="6" w:space="0"/>
      <w:shd w:val="clear" w:fill="FFFFFF"/>
    </w:rPr>
  </w:style>
  <w:style w:type="character" w:customStyle="1" w:styleId="47">
    <w:name w:val="first-child"/>
    <w:basedOn w:val="21"/>
    <w:qFormat/>
    <w:uiPriority w:val="0"/>
  </w:style>
  <w:style w:type="paragraph" w:customStyle="1" w:styleId="48">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9">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50">
    <w:name w:val="Body text|2"/>
    <w:basedOn w:val="1"/>
    <w:qFormat/>
    <w:uiPriority w:val="0"/>
    <w:pPr>
      <w:spacing w:after="30"/>
      <w:ind w:firstLine="420"/>
    </w:pPr>
    <w:rPr>
      <w:sz w:val="20"/>
      <w:szCs w:val="20"/>
    </w:rPr>
  </w:style>
  <w:style w:type="character" w:customStyle="1" w:styleId="51">
    <w:name w:val="正文_3 Char"/>
    <w:link w:val="52"/>
    <w:qFormat/>
    <w:uiPriority w:val="0"/>
    <w:rPr>
      <w:rFonts w:ascii="Calibri" w:hAnsi="Calibri" w:eastAsia="宋体" w:cs="Times New Roman"/>
      <w:kern w:val="2"/>
      <w:sz w:val="21"/>
      <w:szCs w:val="22"/>
      <w:lang w:val="en-US" w:eastAsia="zh-CN" w:bidi="ar-SA"/>
    </w:rPr>
  </w:style>
  <w:style w:type="paragraph" w:customStyle="1" w:styleId="52">
    <w:name w:val="正文_3"/>
    <w:link w:val="5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标题 1 Char"/>
    <w:link w:val="3"/>
    <w:qFormat/>
    <w:uiPriority w:val="0"/>
    <w:rPr>
      <w:rFonts w:ascii="Times New Roman" w:hAnsi="Times New Roman" w:eastAsia="宋体" w:cs="Times New Roman"/>
      <w:b/>
      <w:bCs/>
      <w:kern w:val="44"/>
      <w:sz w:val="44"/>
      <w:szCs w:val="44"/>
      <w:lang w:val="en-US" w:eastAsia="zh-CN" w:bidi="ar-SA"/>
    </w:rPr>
  </w:style>
  <w:style w:type="paragraph" w:customStyle="1" w:styleId="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3_0"/>
    <w:basedOn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4"/>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semiHidden/>
    <w:unhideWhenUsed/>
    <w:qFormat/>
    <w:uiPriority w:val="0"/>
    <w:tblPr>
      <w:tblLayout w:type="fixed"/>
      <w:tblCellMar>
        <w:top w:w="0" w:type="dxa"/>
        <w:left w:w="0" w:type="dxa"/>
        <w:bottom w:w="0" w:type="dxa"/>
        <w:right w:w="0" w:type="dxa"/>
      </w:tblCellMar>
    </w:tblPr>
  </w:style>
  <w:style w:type="paragraph" w:customStyle="1" w:styleId="59">
    <w:name w:val="目录 1_1"/>
    <w:basedOn w:val="52"/>
    <w:next w:val="52"/>
    <w:qFormat/>
    <w:uiPriority w:val="0"/>
    <w:pPr>
      <w:tabs>
        <w:tab w:val="right" w:leader="dot" w:pos="8296"/>
      </w:tabs>
    </w:pPr>
    <w:rPr>
      <w:rFonts w:ascii="宋体" w:hAnsi="Times New Roman" w:eastAsia="楷体_GB2312" w:cs="TimesNewRomanPSMT"/>
      <w:b/>
      <w:kern w:val="0"/>
      <w:sz w:val="28"/>
      <w:szCs w:val="20"/>
    </w:rPr>
  </w:style>
  <w:style w:type="paragraph" w:customStyle="1" w:styleId="60">
    <w:name w:val="正文_5"/>
    <w:next w:val="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2"/>
    <w:basedOn w:val="60"/>
    <w:next w:val="60"/>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62">
    <w:name w:val="正文_0_1"/>
    <w:basedOn w:val="63"/>
    <w:qFormat/>
    <w:uiPriority w:val="0"/>
    <w:pPr>
      <w:widowControl w:val="0"/>
      <w:jc w:val="both"/>
    </w:pPr>
    <w:rPr>
      <w:rFonts w:ascii="Calibri" w:hAnsi="Calibri"/>
      <w:kern w:val="2"/>
      <w:sz w:val="21"/>
      <w:szCs w:val="22"/>
      <w:lang w:val="en-US" w:eastAsia="zh-CN" w:bidi="ar-SA"/>
    </w:rPr>
  </w:style>
  <w:style w:type="paragraph" w:customStyle="1" w:styleId="63">
    <w:name w:val="正文_2_0"/>
    <w:basedOn w:val="55"/>
    <w:next w:val="64"/>
    <w:qFormat/>
    <w:uiPriority w:val="99"/>
  </w:style>
  <w:style w:type="paragraph" w:customStyle="1" w:styleId="64">
    <w:name w:val="正文文本_1_0"/>
    <w:basedOn w:val="63"/>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65">
    <w:name w:val="正文_0"/>
    <w:basedOn w:val="54"/>
    <w:qFormat/>
    <w:uiPriority w:val="99"/>
    <w:rPr>
      <w:rFonts w:ascii="??" w:hAnsi="Times New Roman" w:eastAsia="Times New Roman" w: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9337</Words>
  <Characters>10095</Characters>
  <Lines>0</Lines>
  <Paragraphs>0</Paragraphs>
  <TotalTime>42</TotalTime>
  <ScaleCrop>false</ScaleCrop>
  <LinksUpToDate>false</LinksUpToDate>
  <CharactersWithSpaces>10308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Administrator</cp:lastModifiedBy>
  <cp:lastPrinted>2025-05-28T02:21:32Z</cp:lastPrinted>
  <dcterms:modified xsi:type="dcterms:W3CDTF">2025-05-28T02:45:49Z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4A58A6559D97410181B5635362D03BCF_13</vt:lpwstr>
  </property>
  <property fmtid="{D5CDD505-2E9C-101B-9397-08002B2CF9AE}" pid="4" name="KSOTemplateDocerSaveRecord">
    <vt:lpwstr>eyJoZGlkIjoiZTI2YzNkMTEzZGY5NjcyZWQ1MWNjZWFmNjBjMDllY2UiLCJ1c2VySWQiOiIxMjgyMjAzNjk4In0=</vt:lpwstr>
  </property>
</Properties>
</file>