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EBE9">
      <w:pPr>
        <w:rPr>
          <w:rFonts w:hAnsi="宋体"/>
          <w:b/>
          <w:color w:val="auto"/>
          <w:kern w:val="2"/>
          <w:sz w:val="40"/>
          <w:szCs w:val="44"/>
        </w:rPr>
      </w:pPr>
      <w:bookmarkStart w:id="86" w:name="_GoBack"/>
      <w:bookmarkEnd w:id="86"/>
      <w:bookmarkStart w:id="0" w:name="_Toc533781553"/>
    </w:p>
    <w:p w14:paraId="0782E3C3">
      <w:pPr>
        <w:ind w:right="-304" w:rightChars="-145"/>
        <w:jc w:val="center"/>
        <w:rPr>
          <w:rFonts w:hAnsi="宋体"/>
          <w:b/>
          <w:bCs/>
          <w:color w:val="auto"/>
          <w:kern w:val="2"/>
        </w:rPr>
      </w:pPr>
    </w:p>
    <w:p w14:paraId="10946D00">
      <w:pPr>
        <w:keepNext w:val="0"/>
        <w:keepLines w:val="0"/>
        <w:pageBreakBefore w:val="0"/>
        <w:widowControl w:val="0"/>
        <w:kinsoku/>
        <w:wordWrap/>
        <w:overflowPunct/>
        <w:topLinePunct w:val="0"/>
        <w:autoSpaceDE/>
        <w:autoSpaceDN/>
        <w:bidi w:val="0"/>
        <w:adjustRightInd/>
        <w:snapToGrid/>
        <w:spacing w:line="360" w:lineRule="auto"/>
        <w:ind w:right="-304" w:rightChars="-145"/>
        <w:jc w:val="center"/>
        <w:textAlignment w:val="auto"/>
        <w:rPr>
          <w:rFonts w:hint="eastAsia" w:hAnsi="宋体" w:eastAsia="宋体"/>
          <w:b/>
          <w:bCs/>
          <w:color w:val="auto"/>
          <w:kern w:val="2"/>
          <w:sz w:val="36"/>
          <w:szCs w:val="36"/>
          <w:lang w:eastAsia="zh-CN"/>
        </w:rPr>
      </w:pPr>
      <w:r>
        <w:rPr>
          <w:rFonts w:hint="eastAsia" w:hAnsi="宋体"/>
          <w:b/>
          <w:bCs/>
          <w:color w:val="auto"/>
          <w:kern w:val="2"/>
          <w:sz w:val="36"/>
          <w:szCs w:val="36"/>
          <w:lang w:eastAsia="zh-CN"/>
        </w:rPr>
        <w:t xml:space="preserve">贺州市第六届运动会暨第四届全民健身运动会八步区代表团参赛组织（青少年组、成年组）服务项目 </w:t>
      </w:r>
    </w:p>
    <w:p w14:paraId="0A17DB8F">
      <w:pPr>
        <w:pStyle w:val="19"/>
        <w:ind w:left="0" w:leftChars="0"/>
        <w:rPr>
          <w:color w:val="auto"/>
        </w:rPr>
      </w:pPr>
    </w:p>
    <w:p w14:paraId="35FEA454">
      <w:pPr>
        <w:jc w:val="center"/>
        <w:rPr>
          <w:rFonts w:hAnsi="宋体"/>
          <w:b/>
          <w:bCs/>
          <w:color w:val="auto"/>
          <w:kern w:val="2"/>
          <w:sz w:val="72"/>
          <w:szCs w:val="72"/>
        </w:rPr>
      </w:pPr>
    </w:p>
    <w:p w14:paraId="5FD8EBEB">
      <w:pPr>
        <w:jc w:val="center"/>
        <w:rPr>
          <w:rFonts w:hAnsi="宋体"/>
          <w:b/>
          <w:bCs/>
          <w:color w:val="auto"/>
          <w:kern w:val="2"/>
          <w:sz w:val="72"/>
          <w:szCs w:val="72"/>
        </w:rPr>
      </w:pPr>
    </w:p>
    <w:p w14:paraId="6C47B98D">
      <w:pPr>
        <w:jc w:val="center"/>
        <w:rPr>
          <w:rFonts w:hAnsi="宋体"/>
          <w:b/>
          <w:bCs/>
          <w:color w:val="auto"/>
          <w:kern w:val="2"/>
          <w:sz w:val="72"/>
          <w:szCs w:val="72"/>
        </w:rPr>
      </w:pPr>
      <w:r>
        <w:rPr>
          <w:rFonts w:hint="eastAsia" w:hAnsi="宋体"/>
          <w:b/>
          <w:bCs/>
          <w:color w:val="auto"/>
          <w:kern w:val="2"/>
          <w:sz w:val="72"/>
          <w:szCs w:val="72"/>
        </w:rPr>
        <w:t>竞争性磋商文件</w:t>
      </w:r>
    </w:p>
    <w:p w14:paraId="394E7858">
      <w:pPr>
        <w:rPr>
          <w:rFonts w:hAnsi="宋体"/>
          <w:color w:val="auto"/>
          <w:kern w:val="2"/>
          <w:szCs w:val="20"/>
        </w:rPr>
      </w:pPr>
    </w:p>
    <w:p w14:paraId="5173E174">
      <w:pPr>
        <w:rPr>
          <w:rFonts w:hAnsi="宋体"/>
          <w:color w:val="auto"/>
          <w:kern w:val="2"/>
          <w:szCs w:val="20"/>
        </w:rPr>
      </w:pPr>
    </w:p>
    <w:p w14:paraId="6A4BC9BF">
      <w:pPr>
        <w:rPr>
          <w:rFonts w:hAnsi="宋体"/>
          <w:color w:val="auto"/>
          <w:kern w:val="2"/>
          <w:szCs w:val="20"/>
        </w:rPr>
      </w:pPr>
    </w:p>
    <w:p w14:paraId="772CBEAA">
      <w:pPr>
        <w:pStyle w:val="19"/>
        <w:ind w:left="0" w:leftChars="0"/>
        <w:rPr>
          <w:color w:val="auto"/>
        </w:rPr>
      </w:pPr>
    </w:p>
    <w:p w14:paraId="365B7D14">
      <w:pPr>
        <w:rPr>
          <w:rFonts w:hAnsi="宋体"/>
          <w:color w:val="auto"/>
          <w:kern w:val="2"/>
          <w:szCs w:val="20"/>
        </w:rPr>
      </w:pPr>
    </w:p>
    <w:p w14:paraId="40CDB36C">
      <w:pPr>
        <w:ind w:firstLine="2249" w:firstLineChars="700"/>
        <w:jc w:val="left"/>
        <w:rPr>
          <w:rFonts w:hint="eastAsia" w:hAnsi="宋体" w:eastAsia="宋体"/>
          <w:b/>
          <w:color w:val="auto"/>
          <w:kern w:val="2"/>
          <w:sz w:val="32"/>
          <w:szCs w:val="32"/>
          <w:u w:val="single"/>
          <w:lang w:eastAsia="zh-CN"/>
        </w:rPr>
      </w:pPr>
      <w:r>
        <w:rPr>
          <w:rFonts w:hint="eastAsia" w:hAnsi="宋体"/>
          <w:b/>
          <w:color w:val="auto"/>
          <w:kern w:val="2"/>
          <w:sz w:val="32"/>
          <w:szCs w:val="32"/>
        </w:rPr>
        <w:t>项目编号: HZZC2025-C3-020056-JCXM</w:t>
      </w:r>
      <w:r>
        <w:rPr>
          <w:rFonts w:hint="eastAsia" w:hAnsi="宋体"/>
          <w:b/>
          <w:color w:val="auto"/>
          <w:kern w:val="2"/>
          <w:sz w:val="32"/>
          <w:szCs w:val="32"/>
          <w:lang w:val="en-US" w:eastAsia="zh-CN"/>
        </w:rPr>
        <w:t xml:space="preserve"> </w:t>
      </w:r>
    </w:p>
    <w:p w14:paraId="69E0B6FD">
      <w:pPr>
        <w:rPr>
          <w:rFonts w:hAnsi="宋体"/>
          <w:b/>
          <w:color w:val="auto"/>
          <w:kern w:val="2"/>
          <w:sz w:val="30"/>
          <w:szCs w:val="30"/>
        </w:rPr>
      </w:pPr>
    </w:p>
    <w:p w14:paraId="5AE0A0BE">
      <w:pPr>
        <w:rPr>
          <w:rFonts w:hAnsi="宋体"/>
          <w:b/>
          <w:color w:val="auto"/>
          <w:kern w:val="2"/>
          <w:sz w:val="30"/>
          <w:szCs w:val="30"/>
        </w:rPr>
      </w:pPr>
    </w:p>
    <w:p w14:paraId="6D758933">
      <w:pPr>
        <w:rPr>
          <w:rFonts w:hAnsi="宋体"/>
          <w:b/>
          <w:color w:val="auto"/>
          <w:kern w:val="2"/>
          <w:sz w:val="30"/>
          <w:szCs w:val="30"/>
        </w:rPr>
      </w:pPr>
    </w:p>
    <w:p w14:paraId="54493699">
      <w:pPr>
        <w:tabs>
          <w:tab w:val="left" w:pos="5869"/>
        </w:tabs>
        <w:rPr>
          <w:rFonts w:hAnsi="宋体"/>
          <w:b/>
          <w:color w:val="auto"/>
          <w:kern w:val="2"/>
          <w:sz w:val="30"/>
          <w:szCs w:val="30"/>
        </w:rPr>
      </w:pPr>
      <w:r>
        <w:rPr>
          <w:rFonts w:hAnsi="宋体"/>
          <w:b/>
          <w:color w:val="auto"/>
          <w:kern w:val="2"/>
          <w:sz w:val="30"/>
          <w:szCs w:val="30"/>
        </w:rPr>
        <w:tab/>
      </w:r>
    </w:p>
    <w:p w14:paraId="469DC47D">
      <w:pPr>
        <w:spacing w:line="360" w:lineRule="auto"/>
        <w:rPr>
          <w:rFonts w:hAnsi="宋体"/>
          <w:b/>
          <w:color w:val="auto"/>
          <w:kern w:val="2"/>
          <w:sz w:val="30"/>
          <w:szCs w:val="30"/>
        </w:rPr>
      </w:pPr>
    </w:p>
    <w:p w14:paraId="13583D61">
      <w:pPr>
        <w:pStyle w:val="19"/>
        <w:ind w:left="0" w:leftChars="0"/>
        <w:rPr>
          <w:color w:val="auto"/>
        </w:rPr>
      </w:pPr>
    </w:p>
    <w:p w14:paraId="01242E55">
      <w:pPr>
        <w:spacing w:line="360" w:lineRule="auto"/>
        <w:ind w:right="265" w:rightChars="126"/>
        <w:jc w:val="center"/>
        <w:rPr>
          <w:rFonts w:hAnsi="宋体"/>
          <w:b/>
          <w:color w:val="auto"/>
          <w:kern w:val="2"/>
          <w:sz w:val="32"/>
          <w:szCs w:val="32"/>
        </w:rPr>
      </w:pPr>
      <w:r>
        <w:rPr>
          <w:rFonts w:hint="eastAsia" w:hAnsi="宋体"/>
          <w:b/>
          <w:color w:val="auto"/>
          <w:kern w:val="2"/>
          <w:sz w:val="32"/>
          <w:szCs w:val="32"/>
          <w:lang w:val="en-US" w:eastAsia="zh-CN"/>
        </w:rPr>
        <w:t xml:space="preserve">    </w:t>
      </w:r>
      <w:r>
        <w:rPr>
          <w:rFonts w:hint="eastAsia" w:hAnsi="宋体"/>
          <w:b/>
          <w:color w:val="auto"/>
          <w:kern w:val="2"/>
          <w:sz w:val="32"/>
          <w:szCs w:val="32"/>
        </w:rPr>
        <w:t>采</w:t>
      </w:r>
      <w:r>
        <w:rPr>
          <w:rFonts w:hAnsi="宋体"/>
          <w:b/>
          <w:color w:val="auto"/>
          <w:kern w:val="2"/>
          <w:sz w:val="32"/>
          <w:szCs w:val="32"/>
        </w:rPr>
        <w:t xml:space="preserve">  </w:t>
      </w:r>
      <w:r>
        <w:rPr>
          <w:rFonts w:hint="eastAsia" w:hAnsi="宋体"/>
          <w:b/>
          <w:color w:val="auto"/>
          <w:kern w:val="2"/>
          <w:sz w:val="32"/>
          <w:szCs w:val="32"/>
        </w:rPr>
        <w:t>购</w:t>
      </w:r>
      <w:r>
        <w:rPr>
          <w:rFonts w:hAnsi="宋体"/>
          <w:b/>
          <w:color w:val="auto"/>
          <w:kern w:val="2"/>
          <w:sz w:val="32"/>
          <w:szCs w:val="32"/>
        </w:rPr>
        <w:t xml:space="preserve">  </w:t>
      </w:r>
      <w:r>
        <w:rPr>
          <w:rFonts w:hint="eastAsia" w:hAnsi="宋体"/>
          <w:b/>
          <w:color w:val="auto"/>
          <w:kern w:val="2"/>
          <w:sz w:val="32"/>
          <w:szCs w:val="32"/>
        </w:rPr>
        <w:t>人：</w:t>
      </w:r>
      <w:r>
        <w:rPr>
          <w:rFonts w:hint="eastAsia" w:hAnsi="宋体"/>
          <w:b/>
          <w:color w:val="auto"/>
          <w:kern w:val="2"/>
          <w:sz w:val="32"/>
          <w:szCs w:val="32"/>
          <w:lang w:eastAsia="zh-CN"/>
        </w:rPr>
        <w:t>贺州市八步区文化广电和旅游局</w:t>
      </w:r>
    </w:p>
    <w:p w14:paraId="5564E23A">
      <w:pPr>
        <w:spacing w:line="360" w:lineRule="auto"/>
        <w:ind w:right="265" w:rightChars="126"/>
        <w:rPr>
          <w:rFonts w:hAnsi="宋体"/>
          <w:b/>
          <w:color w:val="auto"/>
          <w:kern w:val="2"/>
          <w:sz w:val="32"/>
          <w:szCs w:val="32"/>
        </w:rPr>
      </w:pPr>
    </w:p>
    <w:p w14:paraId="2FB88A16">
      <w:pPr>
        <w:spacing w:line="360" w:lineRule="auto"/>
        <w:ind w:right="265" w:rightChars="126"/>
        <w:rPr>
          <w:rFonts w:hAnsi="宋体"/>
          <w:b/>
          <w:color w:val="auto"/>
          <w:kern w:val="2"/>
          <w:sz w:val="32"/>
          <w:szCs w:val="32"/>
        </w:rPr>
      </w:pPr>
    </w:p>
    <w:p w14:paraId="5466E5E9">
      <w:pPr>
        <w:spacing w:line="480" w:lineRule="auto"/>
        <w:ind w:right="265" w:rightChars="126"/>
        <w:jc w:val="center"/>
        <w:rPr>
          <w:rFonts w:hint="eastAsia" w:hAnsi="宋体" w:eastAsia="宋体"/>
          <w:b/>
          <w:color w:val="auto"/>
          <w:kern w:val="2"/>
          <w:sz w:val="32"/>
          <w:szCs w:val="32"/>
          <w:lang w:eastAsia="zh-CN"/>
        </w:rPr>
      </w:pPr>
      <w:r>
        <w:rPr>
          <w:rFonts w:hint="eastAsia" w:hAnsi="宋体"/>
          <w:b/>
          <w:color w:val="auto"/>
          <w:kern w:val="2"/>
          <w:sz w:val="32"/>
          <w:szCs w:val="32"/>
          <w:lang w:val="en-US" w:eastAsia="zh-CN"/>
        </w:rPr>
        <w:t xml:space="preserve"> </w:t>
      </w:r>
      <w:r>
        <w:rPr>
          <w:rFonts w:hint="eastAsia" w:hAnsi="宋体"/>
          <w:b/>
          <w:color w:val="auto"/>
          <w:kern w:val="2"/>
          <w:sz w:val="32"/>
          <w:szCs w:val="32"/>
        </w:rPr>
        <w:t>采购代理机构：</w:t>
      </w:r>
      <w:r>
        <w:rPr>
          <w:rFonts w:hint="eastAsia" w:hAnsi="宋体"/>
          <w:b/>
          <w:color w:val="auto"/>
          <w:kern w:val="2"/>
          <w:sz w:val="32"/>
          <w:szCs w:val="32"/>
          <w:lang w:eastAsia="zh-CN"/>
        </w:rPr>
        <w:t>广西建采项目管理有限公司</w:t>
      </w:r>
    </w:p>
    <w:p w14:paraId="2E8CDDF3">
      <w:pPr>
        <w:spacing w:line="480" w:lineRule="auto"/>
        <w:ind w:right="265" w:rightChars="126" w:firstLine="1606" w:firstLineChars="500"/>
        <w:jc w:val="both"/>
        <w:rPr>
          <w:rFonts w:hAnsi="宋体"/>
          <w:b/>
          <w:color w:val="auto"/>
          <w:kern w:val="2"/>
          <w:sz w:val="32"/>
          <w:szCs w:val="32"/>
        </w:rPr>
        <w:sectPr>
          <w:footerReference r:id="rId3" w:type="default"/>
          <w:pgSz w:w="12240" w:h="15840"/>
          <w:pgMar w:top="1135" w:right="1467" w:bottom="993" w:left="1418" w:header="454" w:footer="397" w:gutter="0"/>
          <w:pgNumType w:fmt="upperRoman" w:start="1"/>
          <w:cols w:equalWidth="0" w:num="1">
            <w:col w:w="9355"/>
          </w:cols>
          <w:titlePg/>
          <w:docGrid w:linePitch="286" w:charSpace="0"/>
        </w:sectPr>
      </w:pPr>
      <w:r>
        <w:rPr>
          <w:rFonts w:hint="eastAsia" w:hAnsi="宋体"/>
          <w:b/>
          <w:color w:val="auto"/>
          <w:kern w:val="2"/>
          <w:sz w:val="32"/>
          <w:szCs w:val="32"/>
        </w:rPr>
        <w:t xml:space="preserve">日      </w:t>
      </w:r>
      <w:r>
        <w:rPr>
          <w:rFonts w:hint="eastAsia" w:hAnsi="宋体"/>
          <w:b/>
          <w:color w:val="auto"/>
          <w:kern w:val="2"/>
          <w:sz w:val="32"/>
          <w:szCs w:val="32"/>
          <w:lang w:val="en-US" w:eastAsia="zh-CN"/>
        </w:rPr>
        <w:t xml:space="preserve"> </w:t>
      </w:r>
      <w:r>
        <w:rPr>
          <w:rFonts w:hint="eastAsia" w:hAnsi="宋体"/>
          <w:b/>
          <w:color w:val="auto"/>
          <w:kern w:val="2"/>
          <w:sz w:val="32"/>
          <w:szCs w:val="32"/>
        </w:rPr>
        <w:t xml:space="preserve"> 期：</w:t>
      </w:r>
      <w:r>
        <w:rPr>
          <w:rFonts w:hAnsi="宋体"/>
          <w:b/>
          <w:color w:val="auto"/>
          <w:kern w:val="2"/>
          <w:sz w:val="32"/>
          <w:szCs w:val="32"/>
        </w:rPr>
        <w:t xml:space="preserve"> 2025年</w:t>
      </w:r>
      <w:r>
        <w:rPr>
          <w:rFonts w:hint="eastAsia" w:hAnsi="宋体"/>
          <w:b/>
          <w:color w:val="auto"/>
          <w:kern w:val="2"/>
          <w:sz w:val="32"/>
          <w:szCs w:val="32"/>
          <w:u w:val="none"/>
          <w:lang w:val="en-US" w:eastAsia="zh-CN"/>
        </w:rPr>
        <w:t>9</w:t>
      </w:r>
      <w:r>
        <w:rPr>
          <w:rFonts w:hAnsi="宋体"/>
          <w:b/>
          <w:color w:val="auto"/>
          <w:kern w:val="2"/>
          <w:sz w:val="32"/>
          <w:szCs w:val="32"/>
          <w:u w:val="none"/>
        </w:rPr>
        <w:t>月</w:t>
      </w:r>
      <w:r>
        <w:rPr>
          <w:rFonts w:hint="eastAsia" w:hAnsi="宋体"/>
          <w:b/>
          <w:color w:val="auto"/>
          <w:kern w:val="2"/>
          <w:sz w:val="32"/>
          <w:szCs w:val="32"/>
          <w:u w:val="none"/>
          <w:lang w:val="en-US" w:eastAsia="zh-CN"/>
        </w:rPr>
        <w:t>3</w:t>
      </w:r>
      <w:r>
        <w:rPr>
          <w:rFonts w:hAnsi="宋体"/>
          <w:b/>
          <w:color w:val="auto"/>
          <w:kern w:val="2"/>
          <w:sz w:val="32"/>
          <w:szCs w:val="32"/>
        </w:rPr>
        <w:t>日</w:t>
      </w:r>
    </w:p>
    <w:p w14:paraId="0D5E1BE5">
      <w:pPr>
        <w:pStyle w:val="33"/>
        <w:tabs>
          <w:tab w:val="right" w:leader="dot" w:pos="9283"/>
        </w:tabs>
        <w:spacing w:line="360" w:lineRule="auto"/>
        <w:jc w:val="center"/>
        <w:rPr>
          <w:rFonts w:ascii="宋体"/>
          <w:color w:val="auto"/>
          <w:sz w:val="36"/>
          <w:szCs w:val="36"/>
        </w:rPr>
      </w:pPr>
      <w:r>
        <w:rPr>
          <w:rFonts w:hint="eastAsia" w:ascii="宋体" w:hAnsi="宋体"/>
          <w:color w:val="auto"/>
          <w:sz w:val="36"/>
          <w:szCs w:val="36"/>
        </w:rPr>
        <w:t>目</w:t>
      </w:r>
      <w:r>
        <w:rPr>
          <w:rFonts w:ascii="宋体" w:hAnsi="宋体"/>
          <w:color w:val="auto"/>
          <w:sz w:val="36"/>
          <w:szCs w:val="36"/>
        </w:rPr>
        <w:t xml:space="preserve">    </w:t>
      </w:r>
      <w:r>
        <w:rPr>
          <w:rFonts w:hint="eastAsia" w:ascii="宋体" w:hAnsi="宋体"/>
          <w:color w:val="auto"/>
          <w:sz w:val="36"/>
          <w:szCs w:val="36"/>
        </w:rPr>
        <w:t>录</w:t>
      </w:r>
    </w:p>
    <w:p w14:paraId="1C8AB670">
      <w:pPr>
        <w:rPr>
          <w:rFonts w:hAnsi="宋体"/>
          <w:color w:val="auto"/>
        </w:rPr>
      </w:pPr>
    </w:p>
    <w:p w14:paraId="00B3A265">
      <w:pPr>
        <w:rPr>
          <w:rFonts w:hAnsi="宋体"/>
          <w:color w:val="auto"/>
        </w:rPr>
      </w:pPr>
    </w:p>
    <w:p w14:paraId="3FED7BE3">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rPr>
        <w:fldChar w:fldCharType="begin"/>
      </w:r>
      <w:r>
        <w:rPr>
          <w:rFonts w:hint="eastAsia" w:ascii="宋体" w:hAnsi="宋体" w:eastAsia="宋体" w:cs="宋体"/>
          <w:b w:val="0"/>
          <w:color w:val="auto"/>
          <w:sz w:val="24"/>
          <w:szCs w:val="24"/>
        </w:rPr>
        <w:instrText xml:space="preserve"> TOC \o "1-2" \h \z \u </w:instrText>
      </w:r>
      <w:r>
        <w:rPr>
          <w:rFonts w:hint="eastAsia" w:ascii="宋体" w:hAnsi="宋体" w:eastAsia="宋体" w:cs="宋体"/>
          <w:b w:val="0"/>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_Toc24045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第一章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_Toc24045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687F73F">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_Toc31701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_Toc31701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D16B523">
      <w:pPr>
        <w:pStyle w:val="39"/>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7D4C417">
      <w:pPr>
        <w:pStyle w:val="39"/>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_Toc9457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rPr>
        <w:t>供应商须知正文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_Toc9457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EE4572D">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_Toc21176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第三章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55DDD89">
      <w:pPr>
        <w:pStyle w:val="39"/>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_Toc10142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评标办法前附表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_Toc10142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20038A1">
      <w:pPr>
        <w:pStyle w:val="39"/>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_Toc6005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评标办法正文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3D32448">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_Toc11272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lang w:val="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920B2E3">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  技术标准和要求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_Toc29432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46C6EAC">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_Toc15707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第六章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_Toc15707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1B18">
      <w:pPr>
        <w:pStyle w:val="33"/>
        <w:keepNext w:val="0"/>
        <w:keepLines w:val="0"/>
        <w:pageBreakBefore w:val="0"/>
        <w:widowControl w:val="0"/>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_Toc14600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第七章  项目需求和说明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_Toc14600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4770456">
      <w:pPr>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color w:val="auto"/>
        </w:rPr>
      </w:pPr>
      <w:r>
        <w:rPr>
          <w:rFonts w:hint="eastAsia" w:ascii="宋体" w:hAnsi="宋体" w:eastAsia="宋体" w:cs="宋体"/>
          <w:color w:val="auto"/>
          <w:sz w:val="24"/>
          <w:szCs w:val="24"/>
        </w:rPr>
        <w:fldChar w:fldCharType="end"/>
      </w:r>
    </w:p>
    <w:p w14:paraId="17593C5D">
      <w:pPr>
        <w:rPr>
          <w:rFonts w:hAnsi="宋体"/>
          <w:color w:val="auto"/>
          <w:sz w:val="32"/>
          <w:szCs w:val="44"/>
        </w:rPr>
        <w:sectPr>
          <w:headerReference r:id="rId5" w:type="first"/>
          <w:footerReference r:id="rId6" w:type="first"/>
          <w:headerReference r:id="rId4" w:type="default"/>
          <w:pgSz w:w="12240" w:h="15840"/>
          <w:pgMar w:top="1135" w:right="1247" w:bottom="993" w:left="1247" w:header="454" w:footer="397" w:gutter="0"/>
          <w:pgNumType w:fmt="upperRoman" w:start="1"/>
          <w:cols w:equalWidth="0" w:num="1">
            <w:col w:w="9293"/>
          </w:cols>
          <w:titlePg/>
          <w:docGrid w:linePitch="286" w:charSpace="0"/>
        </w:sectPr>
      </w:pPr>
    </w:p>
    <w:p w14:paraId="1A83396C">
      <w:pPr>
        <w:pStyle w:val="2"/>
        <w:jc w:val="center"/>
        <w:rPr>
          <w:rFonts w:ascii="宋体" w:hAnsi="宋体" w:eastAsia="宋体"/>
          <w:color w:val="auto"/>
          <w:kern w:val="0"/>
        </w:rPr>
      </w:pPr>
      <w:bookmarkStart w:id="1" w:name="_Toc533783505"/>
      <w:bookmarkStart w:id="2" w:name="_Toc24045"/>
      <w:r>
        <w:rPr>
          <w:rFonts w:hint="eastAsia" w:ascii="宋体" w:hAnsi="宋体" w:eastAsia="宋体" w:cs="宋体"/>
          <w:color w:val="auto"/>
          <w:kern w:val="0"/>
        </w:rPr>
        <w:t>第一章</w:t>
      </w:r>
      <w:r>
        <w:rPr>
          <w:rFonts w:ascii="宋体" w:hAnsi="宋体" w:eastAsia="宋体" w:cs="宋体"/>
          <w:color w:val="auto"/>
          <w:kern w:val="0"/>
        </w:rPr>
        <w:t xml:space="preserve">  </w:t>
      </w:r>
      <w:r>
        <w:rPr>
          <w:rFonts w:hint="eastAsia" w:ascii="宋体" w:hAnsi="宋体" w:eastAsia="宋体" w:cs="宋体"/>
          <w:color w:val="auto"/>
          <w:kern w:val="0"/>
        </w:rPr>
        <w:t>竞争性磋商公告</w:t>
      </w:r>
      <w:bookmarkEnd w:id="0"/>
      <w:bookmarkEnd w:id="1"/>
      <w:bookmarkEnd w:id="2"/>
    </w:p>
    <w:p w14:paraId="5103CE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宋体" w:eastAsia="宋体"/>
          <w:b/>
          <w:color w:val="auto"/>
          <w:kern w:val="2"/>
          <w:sz w:val="24"/>
          <w:szCs w:val="24"/>
          <w:lang w:eastAsia="zh-CN" w:bidi="ar"/>
        </w:rPr>
      </w:pPr>
      <w:r>
        <w:rPr>
          <w:rFonts w:hint="eastAsia" w:ascii="Times New Roman" w:hAnsi="宋体"/>
          <w:b/>
          <w:color w:val="auto"/>
          <w:kern w:val="2"/>
          <w:sz w:val="24"/>
          <w:szCs w:val="24"/>
          <w:lang w:eastAsia="zh-CN" w:bidi="ar"/>
        </w:rPr>
        <w:t>广西建采项目管理有限公司</w:t>
      </w:r>
    </w:p>
    <w:p w14:paraId="2B581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4"/>
          <w:szCs w:val="24"/>
          <w:lang w:bidi="ar"/>
        </w:rPr>
      </w:pPr>
      <w:r>
        <w:rPr>
          <w:rFonts w:hint="eastAsia" w:ascii="Times New Roman" w:hAnsi="宋体"/>
          <w:b/>
          <w:color w:val="auto"/>
          <w:kern w:val="2"/>
          <w:sz w:val="24"/>
          <w:szCs w:val="24"/>
          <w:lang w:bidi="ar"/>
        </w:rPr>
        <w:t>关于</w:t>
      </w:r>
      <w:r>
        <w:rPr>
          <w:rFonts w:hint="eastAsia" w:ascii="Times New Roman" w:hAnsi="宋体"/>
          <w:b/>
          <w:color w:val="auto"/>
          <w:kern w:val="2"/>
          <w:sz w:val="24"/>
          <w:szCs w:val="24"/>
          <w:lang w:eastAsia="zh-CN" w:bidi="ar"/>
        </w:rPr>
        <w:t>贺州市第六届运动会暨第四届全民健身运动会八步区代表团参赛组织（青少年组、成年组）服务项目</w:t>
      </w:r>
      <w:r>
        <w:rPr>
          <w:rFonts w:hint="eastAsia" w:ascii="Times New Roman" w:hAnsi="宋体"/>
          <w:b/>
          <w:color w:val="auto"/>
          <w:kern w:val="2"/>
          <w:sz w:val="24"/>
          <w:szCs w:val="24"/>
          <w:lang w:bidi="ar"/>
        </w:rPr>
        <w:t>（项目编号:</w:t>
      </w:r>
      <w:r>
        <w:rPr>
          <w:rFonts w:hint="eastAsia" w:ascii="宋体" w:hAnsi="宋体" w:eastAsia="宋体" w:cs="宋体"/>
          <w:b/>
          <w:color w:val="auto"/>
          <w:kern w:val="2"/>
          <w:sz w:val="24"/>
          <w:szCs w:val="24"/>
          <w:lang w:bidi="ar"/>
        </w:rPr>
        <w:t>HZZC2025-C3-020056-JCXM）竞争性磋商公告（远程异地评标）</w:t>
      </w:r>
    </w:p>
    <w:p w14:paraId="15F10BDF">
      <w:pPr>
        <w:keepNext w:val="0"/>
        <w:keepLines w:val="0"/>
        <w:pageBreakBefore w:val="0"/>
        <w:widowControl w:val="0"/>
        <w:pBdr>
          <w:top w:val="single" w:color="auto" w:sz="4" w:space="2"/>
          <w:left w:val="single" w:color="auto" w:sz="4" w:space="4"/>
          <w:bottom w:val="single" w:color="auto" w:sz="4" w:space="1"/>
          <w:right w:val="single" w:color="auto" w:sz="4" w:space="4"/>
        </w:pBdr>
        <w:kinsoku/>
        <w:wordWrap/>
        <w:overflowPunct/>
        <w:topLinePunct w:val="0"/>
        <w:bidi w:val="0"/>
        <w:snapToGrid/>
        <w:spacing w:line="460" w:lineRule="exact"/>
        <w:textAlignment w:val="auto"/>
        <w:rPr>
          <w:rFonts w:hint="eastAsia" w:ascii="宋体" w:hAnsi="宋体" w:eastAsia="宋体" w:cs="宋体"/>
          <w:b/>
          <w:color w:val="auto"/>
        </w:rPr>
      </w:pPr>
      <w:r>
        <w:rPr>
          <w:rFonts w:hint="eastAsia" w:ascii="宋体" w:hAnsi="宋体" w:eastAsia="宋体" w:cs="宋体"/>
          <w:b/>
          <w:color w:val="auto"/>
          <w:kern w:val="2"/>
          <w:szCs w:val="24"/>
          <w:lang w:bidi="ar"/>
        </w:rPr>
        <w:t>项目概况</w:t>
      </w:r>
    </w:p>
    <w:p w14:paraId="6219272D">
      <w:pPr>
        <w:keepNext w:val="0"/>
        <w:keepLines w:val="0"/>
        <w:pageBreakBefore w:val="0"/>
        <w:widowControl w:val="0"/>
        <w:pBdr>
          <w:top w:val="single" w:color="auto" w:sz="4" w:space="2"/>
          <w:left w:val="single" w:color="auto" w:sz="4" w:space="4"/>
          <w:bottom w:val="single" w:color="auto" w:sz="4" w:space="1"/>
          <w:right w:val="single" w:color="auto" w:sz="4" w:space="4"/>
        </w:pBdr>
        <w:kinsoku/>
        <w:wordWrap/>
        <w:overflowPunct/>
        <w:topLinePunct w:val="0"/>
        <w:bidi w:val="0"/>
        <w:snapToGrid/>
        <w:spacing w:line="460" w:lineRule="exact"/>
        <w:ind w:firstLine="420" w:firstLineChars="200"/>
        <w:textAlignment w:val="auto"/>
        <w:rPr>
          <w:rFonts w:hAnsi="宋体"/>
          <w:color w:val="auto"/>
          <w:sz w:val="28"/>
          <w:szCs w:val="28"/>
        </w:rPr>
      </w:pPr>
      <w:r>
        <w:rPr>
          <w:rFonts w:hint="eastAsia" w:hAnsi="宋体"/>
          <w:color w:val="auto"/>
          <w:kern w:val="2"/>
          <w:szCs w:val="24"/>
          <w:u w:val="single"/>
          <w:lang w:eastAsia="zh-CN" w:bidi="ar"/>
        </w:rPr>
        <w:t>贺州市第六届运动会暨第四届全民健身运动会八步区代表团参赛组织（青少年组、成年组）服务项目</w:t>
      </w:r>
      <w:r>
        <w:rPr>
          <w:rFonts w:hint="eastAsia" w:hAnsi="宋体"/>
          <w:color w:val="auto"/>
          <w:kern w:val="2"/>
          <w:szCs w:val="24"/>
          <w:lang w:bidi="ar"/>
        </w:rPr>
        <w:t>采购项目的潜在供应商应在广西政府采购云平台https://www.gcy.zfcg.gxzf.gov.cn/获取采购文件，并于2025年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3</w:t>
      </w:r>
      <w:r>
        <w:rPr>
          <w:rFonts w:hint="eastAsia" w:hAnsi="宋体"/>
          <w:color w:val="auto"/>
          <w:kern w:val="2"/>
          <w:szCs w:val="24"/>
          <w:lang w:bidi="ar"/>
        </w:rPr>
        <w:t>日</w:t>
      </w:r>
      <w:r>
        <w:rPr>
          <w:rFonts w:hint="eastAsia" w:hAnsi="宋体"/>
          <w:color w:val="auto"/>
          <w:kern w:val="2"/>
          <w:szCs w:val="24"/>
          <w:lang w:val="en-US" w:eastAsia="zh-CN" w:bidi="ar"/>
        </w:rPr>
        <w:t>15</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w:t>
      </w:r>
      <w:r>
        <w:rPr>
          <w:rFonts w:hint="eastAsia" w:hAnsi="宋体"/>
          <w:bCs/>
          <w:color w:val="auto"/>
          <w:kern w:val="2"/>
          <w:szCs w:val="24"/>
          <w:lang w:bidi="ar"/>
        </w:rPr>
        <w:t>（北京时间）前提交响应文件</w:t>
      </w:r>
      <w:r>
        <w:rPr>
          <w:rFonts w:hint="eastAsia" w:hAnsi="宋体"/>
          <w:color w:val="auto"/>
          <w:kern w:val="2"/>
          <w:szCs w:val="24"/>
          <w:lang w:bidi="ar"/>
        </w:rPr>
        <w:t>。</w:t>
      </w:r>
    </w:p>
    <w:p w14:paraId="63A45BC3">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一、项目基本情况</w:t>
      </w:r>
    </w:p>
    <w:p w14:paraId="674589A6">
      <w:pPr>
        <w:keepNext w:val="0"/>
        <w:keepLines w:val="0"/>
        <w:pageBreakBefore w:val="0"/>
        <w:widowControl w:val="0"/>
        <w:kinsoku/>
        <w:wordWrap/>
        <w:overflowPunct/>
        <w:topLinePunct w:val="0"/>
        <w:bidi w:val="0"/>
        <w:snapToGrid/>
        <w:spacing w:line="460" w:lineRule="exact"/>
        <w:textAlignment w:val="auto"/>
        <w:rPr>
          <w:rFonts w:hint="eastAsia" w:hAnsi="宋体" w:eastAsia="宋体"/>
          <w:color w:val="auto"/>
          <w:lang w:eastAsia="zh-CN"/>
        </w:rPr>
      </w:pPr>
      <w:r>
        <w:rPr>
          <w:rFonts w:hint="eastAsia" w:hAnsi="宋体"/>
          <w:color w:val="auto"/>
          <w:kern w:val="2"/>
          <w:szCs w:val="24"/>
          <w:lang w:val="en-US" w:eastAsia="zh-CN" w:bidi="ar"/>
        </w:rPr>
        <w:t>1.</w:t>
      </w:r>
      <w:r>
        <w:rPr>
          <w:rFonts w:hint="eastAsia" w:hAnsi="宋体"/>
          <w:color w:val="auto"/>
          <w:kern w:val="2"/>
          <w:szCs w:val="24"/>
          <w:lang w:bidi="ar"/>
        </w:rPr>
        <w:t>项目编号：HZZC2025-C3-020056-JCXM</w:t>
      </w:r>
      <w:r>
        <w:rPr>
          <w:rFonts w:hint="eastAsia" w:hAnsi="宋体"/>
          <w:color w:val="auto"/>
          <w:kern w:val="2"/>
          <w:szCs w:val="24"/>
          <w:lang w:val="en-US" w:eastAsia="zh-CN" w:bidi="ar"/>
        </w:rPr>
        <w:t xml:space="preserve"> </w:t>
      </w:r>
    </w:p>
    <w:p w14:paraId="762DEECD">
      <w:pPr>
        <w:keepNext w:val="0"/>
        <w:keepLines w:val="0"/>
        <w:pageBreakBefore w:val="0"/>
        <w:widowControl w:val="0"/>
        <w:kinsoku/>
        <w:wordWrap/>
        <w:overflowPunct/>
        <w:topLinePunct w:val="0"/>
        <w:bidi w:val="0"/>
        <w:snapToGrid/>
        <w:spacing w:line="460" w:lineRule="exact"/>
        <w:textAlignment w:val="auto"/>
        <w:rPr>
          <w:rFonts w:hint="eastAsia" w:hAnsi="宋体" w:eastAsia="宋体"/>
          <w:color w:val="auto"/>
          <w:lang w:eastAsia="zh-CN"/>
        </w:rPr>
      </w:pPr>
      <w:r>
        <w:rPr>
          <w:rFonts w:hint="eastAsia" w:hAnsi="宋体"/>
          <w:color w:val="auto"/>
          <w:kern w:val="2"/>
          <w:szCs w:val="24"/>
          <w:lang w:val="en-US" w:eastAsia="zh-CN" w:bidi="ar"/>
        </w:rPr>
        <w:t>2.</w:t>
      </w:r>
      <w:r>
        <w:rPr>
          <w:rFonts w:hint="eastAsia" w:hAnsi="宋体"/>
          <w:color w:val="auto"/>
          <w:kern w:val="2"/>
          <w:szCs w:val="24"/>
          <w:lang w:bidi="ar"/>
        </w:rPr>
        <w:t>项目名称：</w:t>
      </w:r>
      <w:r>
        <w:rPr>
          <w:rFonts w:hint="eastAsia" w:hAnsi="宋体"/>
          <w:color w:val="auto"/>
          <w:kern w:val="2"/>
          <w:szCs w:val="24"/>
          <w:lang w:eastAsia="zh-CN" w:bidi="ar"/>
        </w:rPr>
        <w:t xml:space="preserve">贺州市第六届运动会暨第四届全民健身运动会八步区代表团参赛组织（青少年组、成年组）服务项目 </w:t>
      </w:r>
    </w:p>
    <w:p w14:paraId="17EC430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3.</w:t>
      </w:r>
      <w:r>
        <w:rPr>
          <w:rFonts w:hint="eastAsia" w:hAnsi="宋体"/>
          <w:color w:val="auto"/>
          <w:kern w:val="2"/>
          <w:szCs w:val="24"/>
          <w:lang w:bidi="ar"/>
        </w:rPr>
        <w:t>采购方式：竞争性磋商</w:t>
      </w:r>
    </w:p>
    <w:p w14:paraId="60B6EC5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4.</w:t>
      </w:r>
      <w:r>
        <w:rPr>
          <w:rFonts w:hint="eastAsia" w:hAnsi="宋体"/>
          <w:color w:val="auto"/>
          <w:kern w:val="2"/>
          <w:szCs w:val="24"/>
          <w:lang w:bidi="ar"/>
        </w:rPr>
        <w:t>预算金额：</w:t>
      </w:r>
      <w:r>
        <w:rPr>
          <w:rFonts w:hint="eastAsia" w:hAnsi="宋体"/>
          <w:color w:val="auto"/>
          <w:lang w:val="en-US" w:eastAsia="zh-CN" w:bidi="ar"/>
        </w:rPr>
        <w:t>1200000</w:t>
      </w:r>
      <w:r>
        <w:rPr>
          <w:rFonts w:hAnsi="宋体"/>
          <w:color w:val="auto"/>
          <w:lang w:bidi="ar"/>
        </w:rPr>
        <w:t>.00</w:t>
      </w:r>
      <w:r>
        <w:rPr>
          <w:rFonts w:hint="eastAsia" w:hAnsi="宋体"/>
          <w:color w:val="auto"/>
          <w:kern w:val="2"/>
          <w:szCs w:val="24"/>
          <w:lang w:bidi="ar"/>
        </w:rPr>
        <w:t>元；</w:t>
      </w:r>
    </w:p>
    <w:p w14:paraId="3392027B">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val="en-US" w:eastAsia="zh-CN" w:bidi="ar"/>
        </w:rPr>
        <w:t>5.</w:t>
      </w:r>
      <w:r>
        <w:rPr>
          <w:rFonts w:hint="eastAsia" w:hAnsi="宋体"/>
          <w:color w:val="auto"/>
          <w:kern w:val="2"/>
          <w:szCs w:val="24"/>
          <w:lang w:bidi="ar"/>
        </w:rPr>
        <w:t>最高限价：</w:t>
      </w:r>
      <w:r>
        <w:rPr>
          <w:rFonts w:hint="eastAsia" w:hAnsi="宋体"/>
          <w:color w:val="auto"/>
          <w:lang w:val="en-US" w:eastAsia="zh-CN" w:bidi="ar"/>
        </w:rPr>
        <w:t>1200000</w:t>
      </w:r>
      <w:r>
        <w:rPr>
          <w:rFonts w:hAnsi="宋体"/>
          <w:color w:val="auto"/>
          <w:lang w:bidi="ar"/>
        </w:rPr>
        <w:t>.00</w:t>
      </w:r>
      <w:r>
        <w:rPr>
          <w:rFonts w:hint="eastAsia" w:hAnsi="宋体"/>
          <w:color w:val="auto"/>
          <w:kern w:val="2"/>
          <w:szCs w:val="24"/>
          <w:lang w:bidi="ar"/>
        </w:rPr>
        <w:t>元；</w:t>
      </w:r>
    </w:p>
    <w:p w14:paraId="41CD73B2">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6.</w:t>
      </w:r>
      <w:r>
        <w:rPr>
          <w:rFonts w:hint="eastAsia" w:hAnsi="宋体"/>
          <w:color w:val="auto"/>
          <w:kern w:val="2"/>
          <w:szCs w:val="24"/>
          <w:lang w:bidi="ar"/>
        </w:rPr>
        <w:t>采购需求</w:t>
      </w:r>
      <w:r>
        <w:rPr>
          <w:rFonts w:hint="eastAsia" w:ascii="Times New Roman"/>
          <w:color w:val="auto"/>
          <w:kern w:val="2"/>
          <w:szCs w:val="24"/>
          <w:lang w:bidi="ar"/>
        </w:rPr>
        <w:t>：</w:t>
      </w:r>
      <w:r>
        <w:rPr>
          <w:rFonts w:hint="eastAsia" w:hAnsi="宋体"/>
          <w:color w:val="auto"/>
          <w:kern w:val="2"/>
          <w:szCs w:val="24"/>
          <w:lang w:eastAsia="zh-CN" w:bidi="ar"/>
        </w:rPr>
        <w:t>贺州市第六届运动会暨第四届全民健身运动会八步区代表团参赛组织（青少年组、成年组）服务采购</w:t>
      </w:r>
      <w:r>
        <w:rPr>
          <w:rFonts w:hint="eastAsia" w:hAnsi="宋体"/>
          <w:color w:val="auto"/>
          <w:kern w:val="2"/>
          <w:szCs w:val="24"/>
          <w:lang w:bidi="ar"/>
        </w:rPr>
        <w:t>；具体内容要求详见竞争性磋商文件第</w:t>
      </w:r>
      <w:r>
        <w:rPr>
          <w:rFonts w:hAnsi="宋体"/>
          <w:color w:val="auto"/>
          <w:kern w:val="2"/>
          <w:szCs w:val="24"/>
          <w:lang w:bidi="ar"/>
        </w:rPr>
        <w:t>七章</w:t>
      </w:r>
      <w:r>
        <w:rPr>
          <w:rFonts w:hint="eastAsia" w:hAnsi="宋体"/>
          <w:color w:val="auto"/>
          <w:kern w:val="2"/>
          <w:szCs w:val="24"/>
          <w:lang w:bidi="ar"/>
        </w:rPr>
        <w:t>“</w:t>
      </w:r>
      <w:r>
        <w:rPr>
          <w:rFonts w:hAnsi="宋体"/>
          <w:color w:val="auto"/>
          <w:kern w:val="2"/>
          <w:szCs w:val="24"/>
          <w:lang w:bidi="ar"/>
        </w:rPr>
        <w:t>项目需求和说明</w:t>
      </w:r>
      <w:r>
        <w:rPr>
          <w:rFonts w:hint="eastAsia" w:hAnsi="宋体"/>
          <w:color w:val="auto"/>
          <w:kern w:val="2"/>
          <w:szCs w:val="24"/>
          <w:lang w:bidi="ar"/>
        </w:rPr>
        <w:t>”。</w:t>
      </w:r>
    </w:p>
    <w:p w14:paraId="0518ADC5">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7.</w:t>
      </w:r>
      <w:r>
        <w:rPr>
          <w:rFonts w:hint="eastAsia" w:hAnsi="宋体"/>
          <w:color w:val="auto"/>
          <w:kern w:val="2"/>
          <w:szCs w:val="24"/>
          <w:lang w:bidi="ar"/>
        </w:rPr>
        <w:t>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w:t>
      </w:r>
      <w:r>
        <w:rPr>
          <w:rFonts w:hint="eastAsia" w:hAnsi="宋体"/>
          <w:color w:val="auto"/>
          <w:kern w:val="2"/>
          <w:szCs w:val="24"/>
          <w:lang w:bidi="ar"/>
        </w:rPr>
        <w:t>。</w:t>
      </w:r>
    </w:p>
    <w:p w14:paraId="6EE767BB">
      <w:pPr>
        <w:keepNext w:val="0"/>
        <w:keepLines w:val="0"/>
        <w:pageBreakBefore w:val="0"/>
        <w:widowControl w:val="0"/>
        <w:kinsoku/>
        <w:wordWrap/>
        <w:overflowPunct/>
        <w:topLinePunct w:val="0"/>
        <w:bidi w:val="0"/>
        <w:snapToGrid/>
        <w:spacing w:line="460" w:lineRule="exact"/>
        <w:textAlignment w:val="auto"/>
        <w:rPr>
          <w:rFonts w:hAnsi="宋体"/>
          <w:color w:val="auto"/>
          <w:kern w:val="2"/>
          <w:szCs w:val="24"/>
          <w:lang w:bidi="ar"/>
        </w:rPr>
      </w:pPr>
      <w:r>
        <w:rPr>
          <w:rFonts w:hint="eastAsia" w:hAnsi="宋体"/>
          <w:color w:val="auto"/>
          <w:kern w:val="2"/>
          <w:szCs w:val="24"/>
          <w:lang w:val="en-US" w:eastAsia="zh-CN" w:bidi="ar"/>
        </w:rPr>
        <w:t>8.</w:t>
      </w:r>
      <w:r>
        <w:rPr>
          <w:rFonts w:hint="eastAsia" w:hAnsi="宋体"/>
          <w:color w:val="auto"/>
          <w:kern w:val="2"/>
          <w:szCs w:val="24"/>
          <w:lang w:bidi="ar"/>
        </w:rPr>
        <w:t>本项目（不接受）联合体。</w:t>
      </w:r>
    </w:p>
    <w:p w14:paraId="3499D825">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二、申请人的资格要求：</w:t>
      </w:r>
    </w:p>
    <w:p w14:paraId="42D4179C">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1.满足《中华人民共和国政府采购法》第二十二条规定；</w:t>
      </w:r>
    </w:p>
    <w:p w14:paraId="78CBB073">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2.落实政府采购政策需满足的资格要求：</w:t>
      </w:r>
      <w:r>
        <w:rPr>
          <w:rFonts w:hint="eastAsia" w:asciiTheme="minorEastAsia" w:hAnsiTheme="minorEastAsia" w:eastAsiaTheme="minorEastAsia"/>
          <w:color w:val="auto"/>
          <w:szCs w:val="21"/>
          <w:highlight w:val="none"/>
        </w:rPr>
        <w:t>本项目属于专门面向中小企业采购的项目（</w:t>
      </w:r>
      <w:r>
        <w:rPr>
          <w:rFonts w:hint="eastAsia" w:hAnsi="宋体"/>
          <w:color w:val="auto"/>
          <w:kern w:val="2"/>
          <w:szCs w:val="24"/>
          <w:lang w:bidi="ar"/>
        </w:rPr>
        <w:t>供应商</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r>
        <w:rPr>
          <w:rFonts w:hint="eastAsia" w:hAnsi="宋体"/>
          <w:color w:val="auto"/>
          <w:kern w:val="2"/>
          <w:szCs w:val="24"/>
          <w:lang w:bidi="ar"/>
        </w:rPr>
        <w:t>；</w:t>
      </w:r>
    </w:p>
    <w:p w14:paraId="2A2822B7">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3.本项目的特定资格要求：无。</w:t>
      </w:r>
    </w:p>
    <w:p w14:paraId="7E211D44">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三、获取采购文件</w:t>
      </w:r>
    </w:p>
    <w:p w14:paraId="6B97E646">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1.时间：202</w:t>
      </w:r>
      <w:r>
        <w:rPr>
          <w:rFonts w:hAnsi="宋体"/>
          <w:color w:val="auto"/>
          <w:kern w:val="2"/>
          <w:szCs w:val="24"/>
          <w:lang w:bidi="ar"/>
        </w:rPr>
        <w:t>5</w:t>
      </w:r>
      <w:r>
        <w:rPr>
          <w:rFonts w:hint="eastAsia" w:hAnsi="宋体"/>
          <w:color w:val="auto"/>
          <w:kern w:val="2"/>
          <w:szCs w:val="24"/>
          <w:lang w:bidi="ar"/>
        </w:rPr>
        <w:t>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u w:val="none"/>
          <w:lang w:val="en-US" w:eastAsia="zh-CN" w:bidi="ar"/>
        </w:rPr>
        <w:t>3</w:t>
      </w:r>
      <w:r>
        <w:rPr>
          <w:rFonts w:hint="eastAsia" w:hAnsi="宋体"/>
          <w:color w:val="auto"/>
          <w:kern w:val="2"/>
          <w:szCs w:val="24"/>
          <w:lang w:bidi="ar"/>
        </w:rPr>
        <w:t>日至202</w:t>
      </w:r>
      <w:r>
        <w:rPr>
          <w:rFonts w:hAnsi="宋体"/>
          <w:color w:val="auto"/>
          <w:kern w:val="2"/>
          <w:szCs w:val="24"/>
          <w:lang w:bidi="ar"/>
        </w:rPr>
        <w:t>5</w:t>
      </w:r>
      <w:r>
        <w:rPr>
          <w:rFonts w:hint="eastAsia" w:hAnsi="宋体"/>
          <w:color w:val="auto"/>
          <w:kern w:val="2"/>
          <w:szCs w:val="24"/>
          <w:lang w:bidi="ar"/>
        </w:rPr>
        <w:t>年</w:t>
      </w:r>
      <w:r>
        <w:rPr>
          <w:rFonts w:hint="eastAsia" w:hAnsi="宋体"/>
          <w:color w:val="auto"/>
          <w:kern w:val="2"/>
          <w:szCs w:val="24"/>
          <w:u w:val="none"/>
          <w:lang w:val="en-US" w:eastAsia="zh-CN" w:bidi="ar"/>
        </w:rPr>
        <w:t>9</w:t>
      </w:r>
      <w:r>
        <w:rPr>
          <w:rFonts w:hint="eastAsia" w:hAnsi="宋体"/>
          <w:color w:val="auto"/>
          <w:kern w:val="2"/>
          <w:szCs w:val="24"/>
          <w:lang w:bidi="ar"/>
        </w:rPr>
        <w:t>月</w:t>
      </w:r>
      <w:r>
        <w:rPr>
          <w:rFonts w:hint="eastAsia" w:hAnsi="宋体"/>
          <w:color w:val="auto"/>
          <w:kern w:val="2"/>
          <w:szCs w:val="24"/>
          <w:u w:val="none"/>
          <w:lang w:val="en-US" w:eastAsia="zh-CN" w:bidi="ar"/>
        </w:rPr>
        <w:t>10</w:t>
      </w:r>
      <w:r>
        <w:rPr>
          <w:rFonts w:hint="eastAsia" w:hAnsi="宋体"/>
          <w:color w:val="auto"/>
          <w:kern w:val="2"/>
          <w:szCs w:val="24"/>
          <w:lang w:bidi="ar"/>
        </w:rPr>
        <w:t>日，每天上午00:00至12:00，下午12:00至23:59（北京时间，法定节假日除外）。</w:t>
      </w:r>
    </w:p>
    <w:p w14:paraId="1E96F031">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2.地点：广西政府采购云平台（https://www.gcy.zfcg.gxzf.gov.cn/）；</w:t>
      </w:r>
    </w:p>
    <w:p w14:paraId="2F762A9F">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3.方式：网上下载。本项目不发放纸质文件，潜在供应商自行登录广西政府采购云平台https://www.gcy.zfcg.gxzf.gov.cn/在线申请获取采购文件（进入“项目采购”应用，在获取采购文件菜单中选择项目，申请获取采购文件）；</w:t>
      </w:r>
    </w:p>
    <w:p w14:paraId="6A1A2844">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4.售价：0元。</w:t>
      </w:r>
    </w:p>
    <w:p w14:paraId="36AB9B54">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四、响应文件提交</w:t>
      </w:r>
    </w:p>
    <w:p w14:paraId="7D2FC1BC">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1.截止时间：2025年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3</w:t>
      </w:r>
      <w:r>
        <w:rPr>
          <w:rFonts w:hint="eastAsia" w:hAnsi="宋体"/>
          <w:color w:val="auto"/>
          <w:kern w:val="2"/>
          <w:szCs w:val="24"/>
          <w:lang w:bidi="ar"/>
        </w:rPr>
        <w:t>日</w:t>
      </w:r>
      <w:r>
        <w:rPr>
          <w:rFonts w:hint="eastAsia" w:hAnsi="宋体"/>
          <w:color w:val="auto"/>
          <w:kern w:val="2"/>
          <w:szCs w:val="24"/>
          <w:lang w:val="en-US" w:eastAsia="zh-CN" w:bidi="ar"/>
        </w:rPr>
        <w:t>15</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分（北京时间）</w:t>
      </w:r>
    </w:p>
    <w:p w14:paraId="7A095498">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2.地点：通过广西政府采购云平台电子在线投标响应。</w:t>
      </w:r>
    </w:p>
    <w:p w14:paraId="20EFB040">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五、开启</w:t>
      </w:r>
    </w:p>
    <w:p w14:paraId="3D846C7D">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1.时间：2025年</w:t>
      </w:r>
      <w:r>
        <w:rPr>
          <w:rFonts w:hint="eastAsia" w:hAnsi="宋体"/>
          <w:color w:val="auto"/>
          <w:kern w:val="2"/>
          <w:szCs w:val="24"/>
          <w:lang w:val="en-US" w:eastAsia="zh-CN" w:bidi="ar"/>
        </w:rPr>
        <w:t>9</w:t>
      </w:r>
      <w:r>
        <w:rPr>
          <w:rFonts w:hint="eastAsia" w:hAnsi="宋体"/>
          <w:color w:val="auto"/>
          <w:kern w:val="2"/>
          <w:szCs w:val="24"/>
          <w:lang w:bidi="ar"/>
        </w:rPr>
        <w:t>月</w:t>
      </w:r>
      <w:r>
        <w:rPr>
          <w:rFonts w:hint="eastAsia" w:hAnsi="宋体"/>
          <w:color w:val="auto"/>
          <w:kern w:val="2"/>
          <w:szCs w:val="24"/>
          <w:lang w:val="en-US" w:eastAsia="zh-CN" w:bidi="ar"/>
        </w:rPr>
        <w:t>3</w:t>
      </w:r>
      <w:r>
        <w:rPr>
          <w:rFonts w:hint="eastAsia" w:hAnsi="宋体"/>
          <w:color w:val="auto"/>
          <w:kern w:val="2"/>
          <w:szCs w:val="24"/>
          <w:lang w:bidi="ar"/>
        </w:rPr>
        <w:t>日</w:t>
      </w:r>
      <w:r>
        <w:rPr>
          <w:rFonts w:hint="eastAsia" w:hAnsi="宋体"/>
          <w:color w:val="auto"/>
          <w:kern w:val="2"/>
          <w:szCs w:val="24"/>
          <w:lang w:val="en-US" w:eastAsia="zh-CN" w:bidi="ar"/>
        </w:rPr>
        <w:t>15</w:t>
      </w:r>
      <w:r>
        <w:rPr>
          <w:rFonts w:hint="eastAsia" w:hAnsi="宋体"/>
          <w:color w:val="auto"/>
          <w:kern w:val="2"/>
          <w:szCs w:val="24"/>
          <w:lang w:bidi="ar"/>
        </w:rPr>
        <w:t>时</w:t>
      </w:r>
      <w:r>
        <w:rPr>
          <w:rFonts w:hint="eastAsia" w:hAnsi="宋体"/>
          <w:color w:val="auto"/>
          <w:kern w:val="2"/>
          <w:szCs w:val="24"/>
          <w:lang w:val="en-US" w:eastAsia="zh-CN" w:bidi="ar"/>
        </w:rPr>
        <w:t>00</w:t>
      </w:r>
      <w:r>
        <w:rPr>
          <w:rFonts w:hint="eastAsia" w:hAnsi="宋体"/>
          <w:color w:val="auto"/>
          <w:kern w:val="2"/>
          <w:szCs w:val="24"/>
          <w:lang w:bidi="ar"/>
        </w:rPr>
        <w:t>分（北京时间）</w:t>
      </w:r>
    </w:p>
    <w:p w14:paraId="593B62B6">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23DCAA91">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六、公告期限</w:t>
      </w:r>
    </w:p>
    <w:p w14:paraId="57744781">
      <w:pPr>
        <w:keepNext w:val="0"/>
        <w:keepLines w:val="0"/>
        <w:pageBreakBefore w:val="0"/>
        <w:widowControl w:val="0"/>
        <w:kinsoku/>
        <w:wordWrap/>
        <w:overflowPunct/>
        <w:topLinePunct w:val="0"/>
        <w:bidi w:val="0"/>
        <w:snapToGrid/>
        <w:spacing w:line="460" w:lineRule="exact"/>
        <w:textAlignment w:val="auto"/>
        <w:rPr>
          <w:rFonts w:hAnsi="宋体"/>
          <w:color w:val="auto"/>
        </w:rPr>
      </w:pPr>
      <w:r>
        <w:rPr>
          <w:rFonts w:hint="eastAsia" w:hAnsi="宋体"/>
          <w:color w:val="auto"/>
          <w:kern w:val="2"/>
          <w:szCs w:val="24"/>
          <w:lang w:bidi="ar"/>
        </w:rPr>
        <w:t>自本公告发布之日起5个工作日。</w:t>
      </w:r>
    </w:p>
    <w:p w14:paraId="21890663">
      <w:pPr>
        <w:keepNext w:val="0"/>
        <w:keepLines w:val="0"/>
        <w:pageBreakBefore w:val="0"/>
        <w:widowControl w:val="0"/>
        <w:kinsoku/>
        <w:wordWrap/>
        <w:overflowPunct/>
        <w:topLinePunct w:val="0"/>
        <w:bidi w:val="0"/>
        <w:snapToGrid/>
        <w:spacing w:line="460" w:lineRule="exact"/>
        <w:textAlignment w:val="auto"/>
        <w:rPr>
          <w:rFonts w:hAnsi="宋体"/>
          <w:b/>
          <w:color w:val="auto"/>
        </w:rPr>
      </w:pPr>
      <w:r>
        <w:rPr>
          <w:rFonts w:hint="eastAsia" w:hAnsi="宋体"/>
          <w:b/>
          <w:color w:val="auto"/>
          <w:kern w:val="2"/>
          <w:szCs w:val="24"/>
          <w:lang w:bidi="ar"/>
        </w:rPr>
        <w:t>七、其他补充事宜</w:t>
      </w:r>
    </w:p>
    <w:p w14:paraId="4785BAFB">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bCs/>
          <w:color w:val="auto"/>
          <w:kern w:val="2"/>
          <w:szCs w:val="24"/>
          <w:lang w:bidi="ar"/>
        </w:rPr>
        <w:t>1.本项目需要落实的政府采购政策</w:t>
      </w:r>
      <w:r>
        <w:rPr>
          <w:rFonts w:hint="eastAsia" w:hAnsi="宋体"/>
          <w:bCs/>
          <w:color w:val="auto"/>
          <w:kern w:val="2"/>
          <w:szCs w:val="24"/>
          <w:lang w:val="en-US" w:eastAsia="zh-CN" w:bidi="ar"/>
        </w:rPr>
        <w:t>:</w:t>
      </w:r>
      <w:r>
        <w:rPr>
          <w:rFonts w:hint="eastAsia" w:cs="宋体" w:asciiTheme="minorEastAsia" w:hAnsiTheme="minorEastAsia" w:eastAsiaTheme="minorEastAsia"/>
          <w:color w:val="auto"/>
          <w:szCs w:val="21"/>
          <w:highlight w:val="none"/>
        </w:rPr>
        <w:t>《政府采购促进中小企业发展管理办法（财库〔</w:t>
      </w:r>
      <w:r>
        <w:rPr>
          <w:rFonts w:cs="宋体" w:asciiTheme="minorEastAsia" w:hAnsiTheme="minorEastAsia" w:eastAsiaTheme="minorEastAsia"/>
          <w:color w:val="auto"/>
          <w:szCs w:val="21"/>
          <w:highlight w:val="none"/>
        </w:rPr>
        <w:t>2020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46</w:t>
      </w:r>
      <w:r>
        <w:rPr>
          <w:rFonts w:hint="eastAsia" w:cs="宋体" w:asciiTheme="minorEastAsia" w:hAnsiTheme="minorEastAsia" w:eastAsiaTheme="minorEastAsia"/>
          <w:color w:val="auto"/>
          <w:szCs w:val="21"/>
          <w:highlight w:val="none"/>
        </w:rPr>
        <w:t>号）》、《关于贯彻落实政府采购支持中小企业发展政策的通知（桂财采〔</w:t>
      </w:r>
      <w:r>
        <w:rPr>
          <w:rFonts w:cs="宋体" w:asciiTheme="minorEastAsia" w:hAnsiTheme="minorEastAsia" w:eastAsiaTheme="minorEastAsia"/>
          <w:color w:val="auto"/>
          <w:szCs w:val="21"/>
          <w:highlight w:val="none"/>
        </w:rPr>
        <w:t>2022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31</w:t>
      </w:r>
      <w:r>
        <w:rPr>
          <w:rFonts w:hint="eastAsia" w:cs="宋体" w:asciiTheme="minorEastAsia" w:hAnsiTheme="minorEastAsia" w:eastAsiaTheme="minorEastAsia"/>
          <w:color w:val="auto"/>
          <w:szCs w:val="21"/>
          <w:highlight w:val="none"/>
        </w:rPr>
        <w:t>号）》、《关于政府采购支持监狱企业发展有关问题的通知（财库〔</w:t>
      </w:r>
      <w:r>
        <w:rPr>
          <w:rFonts w:cs="宋体" w:asciiTheme="minorEastAsia" w:hAnsiTheme="minorEastAsia" w:eastAsiaTheme="minorEastAsia"/>
          <w:color w:val="auto"/>
          <w:szCs w:val="21"/>
          <w:highlight w:val="none"/>
        </w:rPr>
        <w:t>2014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68</w:t>
      </w:r>
      <w:r>
        <w:rPr>
          <w:rFonts w:hint="eastAsia" w:cs="宋体" w:asciiTheme="minorEastAsia" w:hAnsiTheme="minorEastAsia" w:eastAsiaTheme="minorEastAsia"/>
          <w:color w:val="auto"/>
          <w:szCs w:val="21"/>
          <w:highlight w:val="none"/>
        </w:rPr>
        <w:t>号）》、《关于促进残疾人就业政府采购政策的通知（财库〔</w:t>
      </w:r>
      <w:r>
        <w:rPr>
          <w:rFonts w:cs="宋体" w:asciiTheme="minorEastAsia" w:hAnsiTheme="minorEastAsia" w:eastAsiaTheme="minorEastAsia"/>
          <w:color w:val="auto"/>
          <w:szCs w:val="21"/>
          <w:highlight w:val="none"/>
        </w:rPr>
        <w:t>2017</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141</w:t>
      </w:r>
      <w:r>
        <w:rPr>
          <w:rFonts w:hint="eastAsia" w:cs="宋体" w:asciiTheme="minorEastAsia" w:hAnsiTheme="minorEastAsia" w:eastAsiaTheme="minorEastAsia"/>
          <w:color w:val="auto"/>
          <w:szCs w:val="21"/>
          <w:highlight w:val="none"/>
        </w:rPr>
        <w:t>号）》</w:t>
      </w:r>
      <w:r>
        <w:rPr>
          <w:rFonts w:hint="eastAsia" w:hAnsi="宋体"/>
          <w:color w:val="auto"/>
          <w:kern w:val="2"/>
          <w:szCs w:val="24"/>
          <w:lang w:bidi="ar"/>
        </w:rPr>
        <w:t>。</w:t>
      </w:r>
    </w:p>
    <w:p w14:paraId="7E4A15E7">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szCs w:val="24"/>
          <w:lang w:bidi="ar"/>
        </w:rPr>
        <w:t>2.未被列入失信被执行人、重大税收违法案件当事人名单、政府采购严重违法失信行为记录名单（以评审阶段通过“信用中国”网站(www.creditchina.gov.cn)、中国政府采购网(www.ccgp.gov.cn)查询的结果为准）。</w:t>
      </w:r>
    </w:p>
    <w:p w14:paraId="6D847E7A">
      <w:pPr>
        <w:keepNext w:val="0"/>
        <w:keepLines w:val="0"/>
        <w:pageBreakBefore w:val="0"/>
        <w:widowControl w:val="0"/>
        <w:kinsoku/>
        <w:wordWrap/>
        <w:overflowPunct/>
        <w:topLinePunct w:val="0"/>
        <w:bidi w:val="0"/>
        <w:snapToGrid/>
        <w:spacing w:line="460" w:lineRule="exact"/>
        <w:ind w:right="27" w:rightChars="13"/>
        <w:textAlignment w:val="auto"/>
        <w:rPr>
          <w:rFonts w:hint="eastAsia" w:hAnsi="宋体"/>
          <w:color w:val="auto"/>
          <w:kern w:val="2"/>
          <w:szCs w:val="24"/>
          <w:lang w:bidi="ar"/>
        </w:rPr>
      </w:pPr>
      <w:r>
        <w:rPr>
          <w:rFonts w:hint="eastAsia" w:hAnsi="宋体"/>
          <w:color w:val="auto"/>
          <w:kern w:val="2"/>
          <w:szCs w:val="24"/>
          <w:lang w:bidi="ar"/>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EF9023">
      <w:pPr>
        <w:pStyle w:val="6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4.磋商保证金：本项目为专门面向中小企业采购的项目，无须缴纳磋商保证金。</w:t>
      </w:r>
    </w:p>
    <w:p w14:paraId="68EFA092">
      <w:pPr>
        <w:keepNext w:val="0"/>
        <w:keepLines w:val="0"/>
        <w:pageBreakBefore w:val="0"/>
        <w:widowControl w:val="0"/>
        <w:kinsoku/>
        <w:wordWrap/>
        <w:overflowPunct/>
        <w:topLinePunct w:val="0"/>
        <w:bidi w:val="0"/>
        <w:snapToGrid/>
        <w:spacing w:line="460" w:lineRule="exact"/>
        <w:textAlignment w:val="auto"/>
        <w:rPr>
          <w:rFonts w:hint="eastAsia" w:hAnsi="宋体"/>
          <w:color w:val="auto"/>
          <w:kern w:val="2"/>
          <w:szCs w:val="24"/>
          <w:lang w:bidi="ar"/>
        </w:rPr>
      </w:pPr>
      <w:r>
        <w:rPr>
          <w:rFonts w:hint="eastAsia" w:ascii="宋体" w:hAnsi="宋体" w:eastAsia="宋体" w:cs="宋体"/>
          <w:color w:val="auto"/>
          <w:kern w:val="2"/>
          <w:sz w:val="21"/>
          <w:szCs w:val="24"/>
          <w:lang w:val="en-US" w:eastAsia="zh-CN" w:bidi="ar"/>
        </w:rPr>
        <w:t>5.公告发布媒介：本次竞争性磋商公告同时在中国政府采购网、广西壮族自治区政府采购网发</w:t>
      </w:r>
      <w:r>
        <w:rPr>
          <w:rFonts w:hint="eastAsia" w:hAnsi="宋体"/>
          <w:color w:val="auto"/>
          <w:kern w:val="2"/>
          <w:szCs w:val="24"/>
          <w:lang w:bidi="ar"/>
        </w:rPr>
        <w:t>布；</w:t>
      </w:r>
    </w:p>
    <w:p w14:paraId="7156813F">
      <w:pPr>
        <w:pStyle w:val="64"/>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6.本项目采用远程异地评标，评标主会场地址：</w:t>
      </w:r>
      <w:r>
        <w:rPr>
          <w:rFonts w:hint="eastAsia" w:ascii="宋体" w:hAnsi="宋体" w:cs="宋体"/>
          <w:color w:val="auto"/>
          <w:kern w:val="2"/>
          <w:sz w:val="21"/>
          <w:szCs w:val="24"/>
          <w:lang w:val="en-US" w:eastAsia="zh-CN" w:bidi="ar"/>
        </w:rPr>
        <w:t>广西建采项目管理有限公司开标室（广西壮族自治区贺州市八步区贺州市平安东路绿洲家园B区B-2栋5号商铺3F）</w:t>
      </w:r>
      <w:r>
        <w:rPr>
          <w:rFonts w:hint="eastAsia" w:ascii="宋体" w:hAnsi="宋体" w:eastAsia="宋体" w:cs="宋体"/>
          <w:color w:val="auto"/>
          <w:kern w:val="2"/>
          <w:sz w:val="21"/>
          <w:szCs w:val="24"/>
          <w:lang w:val="en-US" w:eastAsia="zh-CN" w:bidi="ar"/>
        </w:rPr>
        <w:t>，评标副会场地址：广西弘达建设工程咨询有限公司 (百色市右江区城乡路123号二楼)。</w:t>
      </w:r>
    </w:p>
    <w:p w14:paraId="6177711F">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val="en-US" w:eastAsia="zh-CN" w:bidi="ar"/>
        </w:rPr>
        <w:t>7</w:t>
      </w:r>
      <w:r>
        <w:rPr>
          <w:rFonts w:hint="eastAsia" w:hAnsi="宋体"/>
          <w:color w:val="auto"/>
          <w:kern w:val="2"/>
          <w:szCs w:val="24"/>
          <w:lang w:bidi="ar"/>
        </w:rPr>
        <w:t>.监督部门：</w:t>
      </w:r>
      <w:r>
        <w:rPr>
          <w:rFonts w:hint="eastAsia" w:asciiTheme="minorEastAsia" w:hAnsiTheme="minorEastAsia" w:eastAsiaTheme="minorEastAsia"/>
          <w:color w:val="auto"/>
          <w:szCs w:val="21"/>
          <w:highlight w:val="none"/>
          <w:lang w:bidi="ar"/>
        </w:rPr>
        <w:t>贺州市八步区政府采购服务中心</w:t>
      </w:r>
      <w:r>
        <w:rPr>
          <w:rFonts w:hint="eastAsia" w:asciiTheme="minorEastAsia" w:hAnsiTheme="minorEastAsia" w:eastAsiaTheme="minorEastAsia"/>
          <w:color w:val="auto"/>
          <w:szCs w:val="21"/>
          <w:highlight w:val="none"/>
        </w:rPr>
        <w:t>，联系电话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bidi="ar"/>
        </w:rPr>
        <w:t>0774-5281873</w:t>
      </w:r>
      <w:r>
        <w:rPr>
          <w:rFonts w:hint="eastAsia" w:hAnsi="宋体"/>
          <w:color w:val="auto"/>
          <w:kern w:val="2"/>
          <w:szCs w:val="24"/>
          <w:lang w:bidi="ar"/>
        </w:rPr>
        <w:t>。</w:t>
      </w:r>
    </w:p>
    <w:p w14:paraId="76144DB1">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val="en-US" w:eastAsia="zh-CN" w:bidi="ar"/>
        </w:rPr>
        <w:t>8</w:t>
      </w:r>
      <w:r>
        <w:rPr>
          <w:rFonts w:hint="eastAsia" w:hAnsi="宋体"/>
          <w:color w:val="auto"/>
          <w:kern w:val="2"/>
          <w:szCs w:val="24"/>
          <w:lang w:bidi="ar"/>
        </w:rPr>
        <w:t>.在线投标响应（电子投标）说明：</w:t>
      </w:r>
    </w:p>
    <w:p w14:paraId="610C18A9">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（1）供应商应为广西政府采购云平台正式入驻供应商，并在投标前完成CA数字证书办理；</w:t>
      </w:r>
    </w:p>
    <w:p w14:paraId="2A96305B">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（2）供应商应安装“广西政府采购云平台投标客户端”；</w:t>
      </w:r>
    </w:p>
    <w:p w14:paraId="464E4014">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rPr>
      </w:pPr>
      <w:r>
        <w:rPr>
          <w:rFonts w:hint="eastAsia" w:hAnsi="宋体"/>
          <w:color w:val="auto"/>
          <w:kern w:val="2"/>
          <w:szCs w:val="24"/>
          <w:lang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78A66BF0">
      <w:pPr>
        <w:keepNext w:val="0"/>
        <w:keepLines w:val="0"/>
        <w:pageBreakBefore w:val="0"/>
        <w:widowControl w:val="0"/>
        <w:kinsoku/>
        <w:wordWrap/>
        <w:overflowPunct/>
        <w:topLinePunct w:val="0"/>
        <w:bidi w:val="0"/>
        <w:snapToGrid/>
        <w:spacing w:line="460" w:lineRule="exact"/>
        <w:ind w:right="27" w:rightChars="13"/>
        <w:textAlignment w:val="auto"/>
        <w:rPr>
          <w:rFonts w:hAnsi="宋体"/>
          <w:color w:val="auto"/>
          <w:kern w:val="2"/>
          <w:szCs w:val="24"/>
          <w:lang w:bidi="ar"/>
        </w:rPr>
      </w:pPr>
      <w:r>
        <w:rPr>
          <w:rFonts w:hint="eastAsia" w:hAnsi="宋体"/>
          <w:color w:val="auto"/>
          <w:kern w:val="2"/>
          <w:szCs w:val="24"/>
          <w:lang w:bidi="ar"/>
        </w:rPr>
        <w:t>（4）如有疑问，可致电政府采购云平台技术支持热线咨询，联系方式：95763。</w:t>
      </w:r>
    </w:p>
    <w:p w14:paraId="6E4DA2ED">
      <w:pPr>
        <w:spacing w:line="420" w:lineRule="exact"/>
        <w:rPr>
          <w:rFonts w:hAnsi="宋体"/>
          <w:b/>
          <w:color w:val="auto"/>
        </w:rPr>
      </w:pPr>
      <w:r>
        <w:rPr>
          <w:rFonts w:hint="eastAsia" w:hAnsi="宋体"/>
          <w:b/>
          <w:color w:val="auto"/>
          <w:kern w:val="2"/>
          <w:szCs w:val="24"/>
          <w:lang w:bidi="ar"/>
        </w:rPr>
        <w:t>八、凡对本次采购提出询问，请按以下方式联系。</w:t>
      </w:r>
    </w:p>
    <w:p w14:paraId="7DFD5EA7">
      <w:pPr>
        <w:spacing w:line="420" w:lineRule="exact"/>
        <w:rPr>
          <w:rFonts w:hAnsi="宋体"/>
          <w:color w:val="auto"/>
        </w:rPr>
      </w:pPr>
      <w:r>
        <w:rPr>
          <w:rFonts w:hint="eastAsia" w:hAnsi="宋体"/>
          <w:color w:val="auto"/>
          <w:kern w:val="2"/>
          <w:szCs w:val="24"/>
          <w:lang w:bidi="ar"/>
        </w:rPr>
        <w:t>1.采购人信息：</w:t>
      </w:r>
    </w:p>
    <w:p w14:paraId="42A33CE6">
      <w:pPr>
        <w:spacing w:line="420" w:lineRule="exact"/>
        <w:rPr>
          <w:rFonts w:hAnsi="宋体"/>
          <w:color w:val="auto"/>
        </w:rPr>
      </w:pPr>
      <w:r>
        <w:rPr>
          <w:rFonts w:hint="eastAsia" w:hAnsi="宋体"/>
          <w:color w:val="auto"/>
          <w:kern w:val="2"/>
          <w:szCs w:val="24"/>
          <w:lang w:bidi="ar"/>
        </w:rPr>
        <w:t>名称：</w:t>
      </w:r>
      <w:r>
        <w:rPr>
          <w:rFonts w:hint="eastAsia" w:hAnsi="宋体"/>
          <w:color w:val="auto"/>
          <w:kern w:val="2"/>
          <w:szCs w:val="24"/>
          <w:lang w:eastAsia="zh-CN" w:bidi="ar"/>
        </w:rPr>
        <w:t>贺州市八步区文化广电和旅游</w:t>
      </w:r>
      <w:r>
        <w:rPr>
          <w:rFonts w:hint="eastAsia" w:hAnsi="宋体"/>
          <w:color w:val="auto"/>
          <w:kern w:val="2"/>
          <w:szCs w:val="24"/>
          <w:lang w:bidi="ar"/>
        </w:rPr>
        <w:t xml:space="preserve">局  </w:t>
      </w:r>
    </w:p>
    <w:p w14:paraId="017D1BF6">
      <w:pPr>
        <w:spacing w:line="420" w:lineRule="exact"/>
        <w:rPr>
          <w:rFonts w:hAnsi="宋体"/>
          <w:color w:val="auto"/>
        </w:rPr>
      </w:pPr>
      <w:r>
        <w:rPr>
          <w:rFonts w:hint="eastAsia" w:hAnsi="宋体"/>
          <w:color w:val="auto"/>
          <w:kern w:val="2"/>
          <w:szCs w:val="24"/>
          <w:lang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hAnsi="宋体"/>
          <w:color w:val="auto"/>
          <w:kern w:val="2"/>
          <w:szCs w:val="24"/>
          <w:lang w:bidi="ar"/>
        </w:rPr>
        <w:t xml:space="preserve"> </w:t>
      </w:r>
    </w:p>
    <w:p w14:paraId="229C1D99">
      <w:pPr>
        <w:spacing w:line="420" w:lineRule="exact"/>
        <w:rPr>
          <w:rFonts w:hAnsi="宋体"/>
          <w:color w:val="auto"/>
          <w:kern w:val="2"/>
          <w:szCs w:val="24"/>
          <w:lang w:bidi="ar"/>
        </w:rPr>
      </w:pPr>
      <w:r>
        <w:rPr>
          <w:rFonts w:hint="eastAsia" w:ascii="宋体" w:hAnsi="宋体"/>
          <w:color w:val="auto"/>
        </w:rPr>
        <w:t>项目联系人：</w:t>
      </w:r>
      <w:r>
        <w:rPr>
          <w:rFonts w:hint="eastAsia" w:ascii="宋体" w:hAnsi="宋体" w:eastAsia="宋体" w:cs="Times New Roman"/>
          <w:color w:val="auto"/>
          <w:kern w:val="2"/>
          <w:sz w:val="21"/>
          <w:szCs w:val="24"/>
          <w:highlight w:val="none"/>
          <w:lang w:val="en-US" w:eastAsia="zh-CN" w:bidi="ar"/>
        </w:rPr>
        <w:t>黄成周</w:t>
      </w:r>
    </w:p>
    <w:p w14:paraId="01A81149">
      <w:pPr>
        <w:spacing w:line="420" w:lineRule="exact"/>
        <w:rPr>
          <w:rFonts w:hAnsi="宋体"/>
          <w:color w:val="auto"/>
        </w:rPr>
      </w:pPr>
      <w:r>
        <w:rPr>
          <w:rFonts w:hint="eastAsia" w:ascii="宋体" w:hAnsi="宋体"/>
          <w:color w:val="auto"/>
          <w:sz w:val="22"/>
          <w:szCs w:val="22"/>
        </w:rPr>
        <w:t>项目</w:t>
      </w:r>
      <w:r>
        <w:rPr>
          <w:rFonts w:hint="eastAsia" w:ascii="宋体" w:hAnsi="宋体"/>
          <w:color w:val="auto"/>
        </w:rPr>
        <w:t>联系方式：</w:t>
      </w:r>
      <w:r>
        <w:rPr>
          <w:rFonts w:ascii="宋体" w:hAnsi="宋体"/>
          <w:color w:val="auto"/>
          <w:highlight w:val="none"/>
        </w:rPr>
        <w:t>0774-5286085</w:t>
      </w:r>
      <w:r>
        <w:rPr>
          <w:rFonts w:hint="eastAsia" w:ascii="宋体" w:hAnsi="宋体"/>
          <w:color w:val="auto"/>
          <w:highlight w:val="none"/>
        </w:rPr>
        <w:t xml:space="preserve"> </w:t>
      </w:r>
    </w:p>
    <w:p w14:paraId="6C043AAE">
      <w:pPr>
        <w:spacing w:line="420" w:lineRule="exact"/>
        <w:rPr>
          <w:rFonts w:hAnsi="宋体"/>
          <w:color w:val="auto"/>
        </w:rPr>
      </w:pPr>
      <w:r>
        <w:rPr>
          <w:rFonts w:hint="eastAsia" w:hAnsi="宋体"/>
          <w:color w:val="auto"/>
          <w:kern w:val="2"/>
          <w:szCs w:val="24"/>
          <w:lang w:bidi="ar"/>
        </w:rPr>
        <w:t>2.采购代理机构信息</w:t>
      </w:r>
    </w:p>
    <w:p w14:paraId="711EE599">
      <w:pPr>
        <w:spacing w:line="420" w:lineRule="exact"/>
        <w:rPr>
          <w:rFonts w:hint="eastAsia" w:hAnsi="宋体" w:eastAsia="宋体"/>
          <w:color w:val="auto"/>
          <w:lang w:eastAsia="zh-CN"/>
        </w:rPr>
      </w:pPr>
      <w:r>
        <w:rPr>
          <w:rFonts w:hint="eastAsia" w:hAnsi="宋体"/>
          <w:color w:val="auto"/>
          <w:kern w:val="2"/>
          <w:szCs w:val="24"/>
          <w:lang w:bidi="ar"/>
        </w:rPr>
        <w:t>名    称：</w:t>
      </w:r>
      <w:r>
        <w:rPr>
          <w:rFonts w:hint="eastAsia" w:hAnsi="宋体"/>
          <w:color w:val="auto"/>
          <w:kern w:val="2"/>
          <w:szCs w:val="24"/>
          <w:lang w:eastAsia="zh-CN" w:bidi="ar"/>
        </w:rPr>
        <w:t>广西建采项目管理有限公司</w:t>
      </w:r>
    </w:p>
    <w:p w14:paraId="5112113A">
      <w:pPr>
        <w:spacing w:line="420" w:lineRule="exact"/>
        <w:rPr>
          <w:rFonts w:hAnsi="宋体"/>
          <w:color w:val="auto"/>
        </w:rPr>
      </w:pPr>
      <w:r>
        <w:rPr>
          <w:rFonts w:hint="eastAsia" w:hAnsi="宋体"/>
          <w:color w:val="auto"/>
          <w:kern w:val="2"/>
          <w:szCs w:val="24"/>
          <w:lang w:bidi="ar"/>
        </w:rPr>
        <w:t>地    址：贺州市平安东路绿洲家园B区B-2栋5号商铺2F</w:t>
      </w:r>
    </w:p>
    <w:p w14:paraId="568048CD">
      <w:pPr>
        <w:spacing w:line="420" w:lineRule="exact"/>
        <w:rPr>
          <w:rFonts w:hint="eastAsia" w:hAnsi="宋体" w:eastAsia="宋体"/>
          <w:color w:val="auto"/>
          <w:lang w:eastAsia="zh-CN"/>
        </w:rPr>
      </w:pPr>
      <w:r>
        <w:rPr>
          <w:rFonts w:hint="eastAsia" w:ascii="宋体" w:hAnsi="宋体"/>
          <w:color w:val="auto"/>
        </w:rPr>
        <w:t>项目联系人：刘宇倩</w:t>
      </w:r>
    </w:p>
    <w:p w14:paraId="378C2BCA">
      <w:pPr>
        <w:spacing w:line="420" w:lineRule="exact"/>
        <w:rPr>
          <w:rFonts w:hAnsi="宋体"/>
          <w:color w:val="auto"/>
        </w:rPr>
      </w:pPr>
      <w:r>
        <w:rPr>
          <w:rFonts w:hint="eastAsia" w:ascii="宋体" w:hAnsi="宋体"/>
          <w:color w:val="auto"/>
          <w:sz w:val="22"/>
          <w:szCs w:val="22"/>
        </w:rPr>
        <w:t>项目</w:t>
      </w:r>
      <w:r>
        <w:rPr>
          <w:rFonts w:hint="eastAsia" w:ascii="宋体" w:hAnsi="宋体"/>
          <w:color w:val="auto"/>
        </w:rPr>
        <w:t>联系方式：0774-5081968</w:t>
      </w:r>
    </w:p>
    <w:p w14:paraId="285E9E06">
      <w:pPr>
        <w:spacing w:line="420" w:lineRule="exact"/>
        <w:ind w:right="265"/>
        <w:jc w:val="left"/>
        <w:rPr>
          <w:rFonts w:hAnsi="宋体"/>
          <w:color w:val="auto"/>
        </w:rPr>
      </w:pPr>
      <w:r>
        <w:rPr>
          <w:rFonts w:hAnsi="宋体"/>
          <w:color w:val="auto"/>
        </w:rPr>
        <w:t xml:space="preserve">     </w:t>
      </w:r>
    </w:p>
    <w:p w14:paraId="1BA87315">
      <w:pPr>
        <w:spacing w:line="360" w:lineRule="auto"/>
        <w:ind w:right="265"/>
        <w:jc w:val="center"/>
        <w:rPr>
          <w:rFonts w:hint="eastAsia" w:hAnsi="宋体"/>
          <w:color w:val="auto"/>
        </w:rPr>
      </w:pPr>
    </w:p>
    <w:p w14:paraId="081A8354">
      <w:pPr>
        <w:spacing w:line="360" w:lineRule="auto"/>
        <w:ind w:right="265"/>
        <w:jc w:val="center"/>
        <w:rPr>
          <w:rFonts w:hint="eastAsia" w:hAnsi="宋体"/>
          <w:color w:val="auto"/>
        </w:rPr>
      </w:pPr>
      <w:r>
        <w:rPr>
          <w:rFonts w:hint="eastAsia" w:hAnsi="宋体"/>
          <w:color w:val="auto"/>
        </w:rPr>
        <w:t xml:space="preserve">  </w:t>
      </w:r>
    </w:p>
    <w:p w14:paraId="4B628CD1">
      <w:pPr>
        <w:spacing w:line="360" w:lineRule="auto"/>
        <w:ind w:right="265"/>
        <w:jc w:val="center"/>
        <w:rPr>
          <w:rFonts w:hAnsi="宋体"/>
          <w:color w:val="auto"/>
        </w:rPr>
      </w:pPr>
      <w:r>
        <w:rPr>
          <w:rFonts w:hint="eastAsia" w:hAnsi="宋体"/>
          <w:color w:val="auto"/>
        </w:rPr>
        <w:t xml:space="preserve">  </w:t>
      </w:r>
      <w:r>
        <w:rPr>
          <w:rFonts w:hint="eastAsia" w:hAnsi="宋体"/>
          <w:color w:val="auto"/>
          <w:lang w:val="en-US" w:eastAsia="zh-CN"/>
        </w:rPr>
        <w:t xml:space="preserve">                                             </w:t>
      </w:r>
      <w:r>
        <w:rPr>
          <w:rFonts w:hint="eastAsia" w:hAnsi="宋体"/>
          <w:color w:val="auto"/>
        </w:rPr>
        <w:t xml:space="preserve"> 采购人： </w:t>
      </w:r>
      <w:r>
        <w:rPr>
          <w:rFonts w:hint="eastAsia" w:hAnsi="宋体"/>
          <w:color w:val="auto"/>
          <w:lang w:eastAsia="zh-CN"/>
        </w:rPr>
        <w:t>贺州市八步区文化广电和旅游局</w:t>
      </w:r>
      <w:r>
        <w:rPr>
          <w:rFonts w:hint="eastAsia" w:hAnsi="宋体"/>
          <w:color w:val="auto"/>
        </w:rPr>
        <w:t xml:space="preserve"> </w:t>
      </w:r>
      <w:r>
        <w:rPr>
          <w:rFonts w:hAnsi="宋体"/>
          <w:color w:val="auto"/>
        </w:rPr>
        <w:t xml:space="preserve"> </w:t>
      </w:r>
    </w:p>
    <w:p w14:paraId="5D2B3087">
      <w:pPr>
        <w:widowControl/>
        <w:spacing w:line="360" w:lineRule="auto"/>
        <w:jc w:val="center"/>
        <w:rPr>
          <w:rFonts w:hAnsi="宋体"/>
          <w:color w:val="auto"/>
        </w:rPr>
      </w:pPr>
      <w:r>
        <w:rPr>
          <w:rFonts w:hAnsi="宋体"/>
          <w:color w:val="auto"/>
        </w:rPr>
        <w:t xml:space="preserve">           </w:t>
      </w:r>
    </w:p>
    <w:p w14:paraId="32C466C7">
      <w:pPr>
        <w:widowControl/>
        <w:spacing w:line="360" w:lineRule="auto"/>
        <w:jc w:val="center"/>
        <w:rPr>
          <w:rFonts w:hAnsi="宋体"/>
          <w:color w:val="auto"/>
        </w:rPr>
      </w:pPr>
      <w:r>
        <w:rPr>
          <w:rFonts w:hAnsi="宋体"/>
          <w:color w:val="auto"/>
        </w:rPr>
        <w:t xml:space="preserve">                                         </w:t>
      </w:r>
    </w:p>
    <w:p w14:paraId="206E91A2">
      <w:pPr>
        <w:widowControl/>
        <w:spacing w:line="360" w:lineRule="auto"/>
        <w:jc w:val="center"/>
        <w:rPr>
          <w:rFonts w:hint="eastAsia" w:hAnsi="宋体" w:eastAsia="宋体"/>
          <w:color w:val="auto"/>
          <w:lang w:eastAsia="zh-CN"/>
        </w:rPr>
      </w:pPr>
      <w:r>
        <w:rPr>
          <w:rFonts w:hint="eastAsia" w:hAnsi="宋体"/>
          <w:color w:val="auto"/>
          <w:lang w:val="en-US" w:eastAsia="zh-CN"/>
        </w:rPr>
        <w:t xml:space="preserve">                                               </w:t>
      </w:r>
      <w:r>
        <w:rPr>
          <w:rFonts w:hAnsi="宋体"/>
          <w:color w:val="auto"/>
        </w:rPr>
        <w:t xml:space="preserve"> </w:t>
      </w:r>
      <w:r>
        <w:rPr>
          <w:rFonts w:hint="eastAsia" w:hAnsi="宋体"/>
          <w:color w:val="auto"/>
        </w:rPr>
        <w:t>采购代理机构：</w:t>
      </w:r>
      <w:r>
        <w:rPr>
          <w:rFonts w:hint="eastAsia" w:hAnsi="宋体"/>
          <w:color w:val="auto"/>
          <w:lang w:eastAsia="zh-CN"/>
        </w:rPr>
        <w:t>广西建采项目管理有限公司</w:t>
      </w:r>
    </w:p>
    <w:p w14:paraId="18BECFB1">
      <w:pPr>
        <w:spacing w:line="360" w:lineRule="auto"/>
        <w:jc w:val="center"/>
        <w:rPr>
          <w:rFonts w:hAnsi="宋体"/>
          <w:color w:val="auto"/>
        </w:rPr>
      </w:pPr>
      <w:r>
        <w:rPr>
          <w:rFonts w:hAnsi="宋体"/>
          <w:color w:val="auto"/>
        </w:rPr>
        <w:t xml:space="preserve">                                                </w:t>
      </w:r>
      <w:r>
        <w:rPr>
          <w:rFonts w:hint="eastAsia" w:hAnsi="宋体"/>
          <w:color w:val="auto"/>
          <w:lang w:val="en-US" w:eastAsia="zh-CN"/>
        </w:rPr>
        <w:t xml:space="preserve">   </w:t>
      </w:r>
      <w:r>
        <w:rPr>
          <w:rFonts w:hAnsi="宋体"/>
          <w:color w:val="auto"/>
        </w:rPr>
        <w:t xml:space="preserve">  </w:t>
      </w:r>
      <w:r>
        <w:rPr>
          <w:rFonts w:hint="eastAsia" w:hAnsi="宋体"/>
          <w:color w:val="auto"/>
          <w:lang w:val="en-US" w:eastAsia="zh-CN"/>
        </w:rPr>
        <w:t xml:space="preserve">     </w:t>
      </w:r>
      <w:r>
        <w:rPr>
          <w:rFonts w:hAnsi="宋体"/>
          <w:color w:val="auto"/>
        </w:rPr>
        <w:t xml:space="preserve"> </w:t>
      </w:r>
      <w:r>
        <w:rPr>
          <w:rFonts w:ascii="宋体" w:hAnsi="宋体"/>
          <w:color w:val="auto"/>
          <w:szCs w:val="21"/>
        </w:rPr>
        <w:t>202</w:t>
      </w:r>
      <w:r>
        <w:rPr>
          <w:rFonts w:hint="eastAsia" w:hAnsi="宋体"/>
          <w:color w:val="auto"/>
          <w:szCs w:val="21"/>
          <w:lang w:val="en-US" w:eastAsia="zh-CN"/>
        </w:rPr>
        <w:t>5</w:t>
      </w:r>
      <w:r>
        <w:rPr>
          <w:rFonts w:hint="eastAsia" w:ascii="宋体" w:hAnsi="宋体"/>
          <w:color w:val="auto"/>
          <w:szCs w:val="21"/>
        </w:rPr>
        <w:t>年</w:t>
      </w:r>
      <w:r>
        <w:rPr>
          <w:rFonts w:hint="eastAsia" w:hAnsi="宋体"/>
          <w:color w:val="auto"/>
          <w:szCs w:val="21"/>
          <w:lang w:val="en-US" w:eastAsia="zh-CN"/>
        </w:rPr>
        <w:t>9</w:t>
      </w:r>
      <w:r>
        <w:rPr>
          <w:rFonts w:hint="eastAsia" w:ascii="宋体" w:hAnsi="宋体"/>
          <w:color w:val="auto"/>
          <w:szCs w:val="21"/>
        </w:rPr>
        <w:t>月</w:t>
      </w:r>
      <w:r>
        <w:rPr>
          <w:rFonts w:hint="eastAsia" w:hAnsi="宋体"/>
          <w:color w:val="auto"/>
          <w:szCs w:val="21"/>
          <w:lang w:val="en-US" w:eastAsia="zh-CN"/>
        </w:rPr>
        <w:t>3</w:t>
      </w:r>
      <w:r>
        <w:rPr>
          <w:rFonts w:hint="eastAsia" w:ascii="宋体" w:hAnsi="宋体"/>
          <w:color w:val="auto"/>
          <w:szCs w:val="21"/>
        </w:rPr>
        <w:t>日</w:t>
      </w:r>
      <w:r>
        <w:rPr>
          <w:rFonts w:hAnsi="宋体"/>
          <w:b/>
          <w:color w:val="auto"/>
        </w:rPr>
        <w:br w:type="page"/>
      </w:r>
    </w:p>
    <w:p w14:paraId="68312911">
      <w:pPr>
        <w:pStyle w:val="2"/>
        <w:jc w:val="center"/>
        <w:rPr>
          <w:rFonts w:ascii="宋体" w:hAnsi="宋体" w:eastAsia="宋体"/>
          <w:color w:val="auto"/>
        </w:rPr>
      </w:pPr>
      <w:bookmarkStart w:id="3" w:name="_Toc533781554"/>
      <w:bookmarkStart w:id="4" w:name="_Toc31701"/>
      <w:bookmarkStart w:id="5" w:name="_Toc533783506"/>
      <w:bookmarkStart w:id="6" w:name="_Toc533781568"/>
      <w:bookmarkStart w:id="7" w:name="_Toc533783520"/>
      <w:r>
        <w:rPr>
          <w:rFonts w:hint="eastAsia" w:ascii="宋体" w:hAnsi="宋体" w:eastAsia="宋体" w:cs="宋体"/>
          <w:color w:val="auto"/>
        </w:rPr>
        <w:t>第二章</w:t>
      </w:r>
      <w:r>
        <w:rPr>
          <w:rFonts w:ascii="宋体" w:hAnsi="宋体" w:eastAsia="宋体" w:cs="宋体"/>
          <w:color w:val="auto"/>
        </w:rPr>
        <w:t xml:space="preserve">  </w:t>
      </w:r>
      <w:r>
        <w:rPr>
          <w:rFonts w:hint="eastAsia" w:ascii="宋体" w:hAnsi="宋体" w:eastAsia="宋体" w:cs="宋体"/>
          <w:color w:val="auto"/>
        </w:rPr>
        <w:t>供应商须知</w:t>
      </w:r>
      <w:bookmarkEnd w:id="3"/>
      <w:bookmarkEnd w:id="4"/>
      <w:bookmarkEnd w:id="5"/>
    </w:p>
    <w:p w14:paraId="13D50B43">
      <w:pPr>
        <w:pStyle w:val="3"/>
        <w:rPr>
          <w:rFonts w:ascii="宋体"/>
          <w:color w:val="auto"/>
        </w:rPr>
      </w:pPr>
      <w:bookmarkStart w:id="8" w:name="_Toc25770"/>
      <w:bookmarkStart w:id="9" w:name="_Toc533781555"/>
      <w:bookmarkStart w:id="10" w:name="_Toc533783507"/>
      <w:r>
        <w:rPr>
          <w:rFonts w:hint="eastAsia" w:ascii="宋体" w:hAnsi="宋体" w:cs="宋体"/>
          <w:color w:val="auto"/>
        </w:rPr>
        <w:t>供应商须知前附表</w:t>
      </w:r>
      <w:bookmarkEnd w:id="8"/>
      <w:bookmarkEnd w:id="9"/>
      <w:bookmarkEnd w:id="10"/>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732"/>
        <w:gridCol w:w="37"/>
        <w:gridCol w:w="6857"/>
      </w:tblGrid>
      <w:tr w14:paraId="43B3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23" w:type="dxa"/>
            <w:shd w:val="clear" w:color="auto" w:fill="E7E6E6"/>
            <w:vAlign w:val="center"/>
          </w:tcPr>
          <w:p w14:paraId="6325154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条款号</w:t>
            </w:r>
          </w:p>
        </w:tc>
        <w:tc>
          <w:tcPr>
            <w:tcW w:w="1474" w:type="dxa"/>
            <w:gridSpan w:val="2"/>
            <w:shd w:val="clear" w:color="auto" w:fill="E7E6E6"/>
            <w:vAlign w:val="center"/>
          </w:tcPr>
          <w:p w14:paraId="39971BD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条款名称</w:t>
            </w:r>
          </w:p>
        </w:tc>
        <w:tc>
          <w:tcPr>
            <w:tcW w:w="5713" w:type="dxa"/>
            <w:shd w:val="clear" w:color="auto" w:fill="E7E6E6"/>
            <w:vAlign w:val="center"/>
          </w:tcPr>
          <w:p w14:paraId="2CE70F9F">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内容</w:t>
            </w:r>
          </w:p>
        </w:tc>
      </w:tr>
      <w:tr w14:paraId="31ED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23" w:type="dxa"/>
            <w:vAlign w:val="center"/>
          </w:tcPr>
          <w:p w14:paraId="2FF637C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1.1.2</w:t>
            </w:r>
          </w:p>
        </w:tc>
        <w:tc>
          <w:tcPr>
            <w:tcW w:w="1474" w:type="dxa"/>
            <w:gridSpan w:val="2"/>
            <w:vAlign w:val="center"/>
          </w:tcPr>
          <w:p w14:paraId="66964C6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采购人</w:t>
            </w:r>
          </w:p>
        </w:tc>
        <w:tc>
          <w:tcPr>
            <w:tcW w:w="5713" w:type="dxa"/>
            <w:vAlign w:val="center"/>
          </w:tcPr>
          <w:p w14:paraId="7A629BB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 xml:space="preserve">采购人名称： </w:t>
            </w:r>
            <w:r>
              <w:rPr>
                <w:rFonts w:hint="eastAsia" w:hAnsi="宋体"/>
                <w:color w:val="auto"/>
                <w:lang w:eastAsia="zh-CN"/>
              </w:rPr>
              <w:t>贺州市八步区文化广电和旅游局</w:t>
            </w:r>
            <w:r>
              <w:rPr>
                <w:rFonts w:hint="eastAsia" w:hAnsi="宋体"/>
                <w:color w:val="auto"/>
              </w:rPr>
              <w:t xml:space="preserve"> </w:t>
            </w:r>
            <w:r>
              <w:rPr>
                <w:rFonts w:hint="default" w:hAnsi="宋体"/>
                <w:color w:val="auto"/>
              </w:rPr>
              <w:t xml:space="preserve">  </w:t>
            </w:r>
          </w:p>
          <w:p w14:paraId="46B2244A">
            <w:pPr>
              <w:keepNext w:val="0"/>
              <w:keepLines w:val="0"/>
              <w:suppressLineNumbers w:val="0"/>
              <w:spacing w:before="0" w:beforeAutospacing="0" w:after="0" w:afterAutospacing="0" w:line="420" w:lineRule="exact"/>
              <w:ind w:left="0" w:right="0"/>
              <w:rPr>
                <w:rFonts w:hint="default" w:hAnsi="宋体"/>
                <w:color w:val="auto"/>
              </w:rPr>
            </w:pPr>
            <w:r>
              <w:rPr>
                <w:rFonts w:hint="eastAsia" w:hAnsi="宋体"/>
                <w:color w:val="auto"/>
                <w:kern w:val="2"/>
                <w:szCs w:val="24"/>
                <w:lang w:bidi="ar"/>
              </w:rPr>
              <w:t>地址：</w:t>
            </w:r>
            <w:r>
              <w:rPr>
                <w:rFonts w:hint="eastAsia" w:ascii="宋体" w:hAnsi="宋体" w:eastAsia="宋体" w:cs="Times New Roman"/>
                <w:color w:val="auto"/>
                <w:kern w:val="2"/>
                <w:sz w:val="21"/>
                <w:szCs w:val="24"/>
                <w:highlight w:val="none"/>
                <w:lang w:val="en-US" w:eastAsia="zh-CN" w:bidi="ar"/>
              </w:rPr>
              <w:t>贺州市八步区人民路15号</w:t>
            </w:r>
            <w:r>
              <w:rPr>
                <w:rFonts w:hint="eastAsia" w:hAnsi="宋体"/>
                <w:color w:val="auto"/>
                <w:kern w:val="2"/>
                <w:szCs w:val="24"/>
                <w:lang w:bidi="ar"/>
              </w:rPr>
              <w:t xml:space="preserve"> </w:t>
            </w:r>
          </w:p>
          <w:p w14:paraId="1DE6352B">
            <w:pPr>
              <w:keepNext w:val="0"/>
              <w:keepLines w:val="0"/>
              <w:suppressLineNumbers w:val="0"/>
              <w:spacing w:before="0" w:beforeAutospacing="0" w:after="0" w:afterAutospacing="0" w:line="420" w:lineRule="exact"/>
              <w:ind w:left="0" w:right="0"/>
              <w:rPr>
                <w:rFonts w:hint="default" w:hAnsi="宋体"/>
                <w:color w:val="auto"/>
                <w:kern w:val="2"/>
                <w:szCs w:val="24"/>
                <w:lang w:bidi="ar"/>
              </w:rPr>
            </w:pPr>
            <w:r>
              <w:rPr>
                <w:rFonts w:hint="eastAsia" w:hAnsi="宋体"/>
                <w:color w:val="auto"/>
                <w:kern w:val="2"/>
                <w:szCs w:val="24"/>
                <w:lang w:bidi="ar"/>
              </w:rPr>
              <w:t>联系人：</w:t>
            </w:r>
            <w:r>
              <w:rPr>
                <w:rFonts w:hint="eastAsia" w:ascii="宋体" w:hAnsi="宋体" w:eastAsia="宋体" w:cs="Times New Roman"/>
                <w:color w:val="auto"/>
                <w:kern w:val="2"/>
                <w:sz w:val="21"/>
                <w:szCs w:val="24"/>
                <w:highlight w:val="none"/>
                <w:lang w:val="en-US" w:eastAsia="zh-CN" w:bidi="ar"/>
              </w:rPr>
              <w:t>黄成周</w:t>
            </w:r>
          </w:p>
          <w:p w14:paraId="31F69EB0">
            <w:pPr>
              <w:keepNext w:val="0"/>
              <w:keepLines w:val="0"/>
              <w:suppressLineNumbers w:val="0"/>
              <w:spacing w:before="0" w:beforeAutospacing="0" w:after="0" w:afterAutospacing="0" w:line="420" w:lineRule="exact"/>
              <w:ind w:left="0" w:right="0"/>
              <w:rPr>
                <w:rFonts w:hint="default" w:hAnsi="宋体"/>
                <w:color w:val="auto"/>
              </w:rPr>
            </w:pPr>
            <w:r>
              <w:rPr>
                <w:rFonts w:hint="eastAsia" w:hAnsi="宋体"/>
                <w:color w:val="auto"/>
                <w:kern w:val="2"/>
                <w:szCs w:val="24"/>
                <w:lang w:bidi="ar"/>
              </w:rPr>
              <w:t>联系方式：</w:t>
            </w:r>
            <w:r>
              <w:rPr>
                <w:rFonts w:hint="default" w:ascii="宋体" w:hAnsi="宋体"/>
                <w:color w:val="auto"/>
                <w:highlight w:val="none"/>
              </w:rPr>
              <w:t>0774-5286085</w:t>
            </w:r>
            <w:r>
              <w:rPr>
                <w:rFonts w:hint="eastAsia" w:ascii="宋体" w:hAnsi="宋体"/>
                <w:color w:val="auto"/>
                <w:highlight w:val="none"/>
              </w:rPr>
              <w:t xml:space="preserve"> </w:t>
            </w:r>
            <w:r>
              <w:rPr>
                <w:rFonts w:hint="eastAsia" w:hAnsi="宋体"/>
                <w:color w:val="auto"/>
                <w:kern w:val="2"/>
                <w:szCs w:val="24"/>
                <w:lang w:bidi="ar"/>
              </w:rPr>
              <w:t xml:space="preserve"> </w:t>
            </w:r>
          </w:p>
        </w:tc>
      </w:tr>
      <w:tr w14:paraId="6490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AE46448">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1.1.3</w:t>
            </w:r>
          </w:p>
        </w:tc>
        <w:tc>
          <w:tcPr>
            <w:tcW w:w="1474" w:type="dxa"/>
            <w:gridSpan w:val="2"/>
            <w:vAlign w:val="center"/>
          </w:tcPr>
          <w:p w14:paraId="26A2E4CE">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采购代理机构</w:t>
            </w:r>
          </w:p>
        </w:tc>
        <w:tc>
          <w:tcPr>
            <w:tcW w:w="5713" w:type="dxa"/>
            <w:vAlign w:val="center"/>
          </w:tcPr>
          <w:p w14:paraId="59F9A367">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采购代理机构名称：</w:t>
            </w:r>
            <w:r>
              <w:rPr>
                <w:rFonts w:hint="eastAsia" w:hAnsi="宋体"/>
                <w:color w:val="auto"/>
                <w:lang w:eastAsia="zh-CN"/>
              </w:rPr>
              <w:t>广西建采项目管理有限公司</w:t>
            </w:r>
          </w:p>
          <w:p w14:paraId="0FB0312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地址：</w:t>
            </w:r>
            <w:r>
              <w:rPr>
                <w:rFonts w:hint="eastAsia" w:hAnsi="宋体"/>
                <w:color w:val="auto"/>
                <w:kern w:val="2"/>
                <w:szCs w:val="24"/>
                <w:lang w:bidi="ar"/>
              </w:rPr>
              <w:t>贺州市平安东路绿洲家园B区B-2栋5号商铺2F</w:t>
            </w:r>
          </w:p>
          <w:p w14:paraId="3DF6C30C">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项目联系人：</w:t>
            </w:r>
            <w:r>
              <w:rPr>
                <w:rFonts w:hint="eastAsia" w:ascii="宋体" w:hAnsi="宋体"/>
                <w:color w:val="auto"/>
              </w:rPr>
              <w:t>刘宇倩</w:t>
            </w:r>
          </w:p>
          <w:p w14:paraId="644B2B3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联系电话：</w:t>
            </w:r>
            <w:r>
              <w:rPr>
                <w:rFonts w:hint="eastAsia" w:ascii="宋体" w:hAnsi="宋体"/>
                <w:color w:val="auto"/>
              </w:rPr>
              <w:t>0774-5081968</w:t>
            </w:r>
          </w:p>
        </w:tc>
      </w:tr>
      <w:tr w14:paraId="79AC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23" w:type="dxa"/>
            <w:vAlign w:val="center"/>
          </w:tcPr>
          <w:p w14:paraId="39A5C672">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1.1.4</w:t>
            </w:r>
          </w:p>
        </w:tc>
        <w:tc>
          <w:tcPr>
            <w:tcW w:w="1474" w:type="dxa"/>
            <w:gridSpan w:val="2"/>
            <w:vAlign w:val="center"/>
          </w:tcPr>
          <w:p w14:paraId="5699A51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项目名称及编号</w:t>
            </w:r>
          </w:p>
        </w:tc>
        <w:tc>
          <w:tcPr>
            <w:tcW w:w="5713" w:type="dxa"/>
            <w:vAlign w:val="center"/>
          </w:tcPr>
          <w:p w14:paraId="262A0F1D">
            <w:pPr>
              <w:keepNext w:val="0"/>
              <w:keepLines w:val="0"/>
              <w:suppressLineNumbers w:val="0"/>
              <w:spacing w:before="0" w:beforeAutospacing="0" w:after="0" w:afterAutospacing="0" w:line="400" w:lineRule="exact"/>
              <w:ind w:left="0" w:right="0"/>
              <w:rPr>
                <w:rFonts w:hint="eastAsia" w:hAnsi="宋体" w:eastAsia="宋体"/>
                <w:color w:val="auto"/>
                <w:lang w:eastAsia="zh-CN"/>
              </w:rPr>
            </w:pPr>
            <w:r>
              <w:rPr>
                <w:rFonts w:hint="eastAsia" w:hAnsi="宋体"/>
                <w:color w:val="auto"/>
              </w:rPr>
              <w:t>项目名称：</w:t>
            </w:r>
            <w:r>
              <w:rPr>
                <w:rFonts w:hint="eastAsia" w:hAnsi="宋体"/>
                <w:color w:val="auto"/>
                <w:lang w:eastAsia="zh-CN"/>
              </w:rPr>
              <w:t xml:space="preserve">贺州市第六届运动会暨第四届全民健身运动会八步区代表团参赛组织（青少年组、成年组）服务项目 </w:t>
            </w:r>
          </w:p>
          <w:p w14:paraId="21EB7E2B">
            <w:pPr>
              <w:keepNext w:val="0"/>
              <w:keepLines w:val="0"/>
              <w:suppressLineNumbers w:val="0"/>
              <w:tabs>
                <w:tab w:val="left" w:pos="1470"/>
              </w:tabs>
              <w:spacing w:before="0" w:beforeAutospacing="0" w:after="0" w:afterAutospacing="0" w:line="400" w:lineRule="exact"/>
              <w:ind w:left="0" w:right="0"/>
              <w:rPr>
                <w:rFonts w:hint="default" w:hAnsi="宋体"/>
                <w:color w:val="auto"/>
              </w:rPr>
            </w:pPr>
            <w:r>
              <w:rPr>
                <w:rFonts w:hint="eastAsia" w:hAnsi="宋体"/>
                <w:color w:val="auto"/>
              </w:rPr>
              <w:t>项目编号:</w:t>
            </w:r>
            <w:r>
              <w:rPr>
                <w:rFonts w:hint="eastAsia" w:hAnsi="宋体"/>
                <w:color w:val="auto"/>
                <w:kern w:val="2"/>
                <w:szCs w:val="24"/>
                <w:lang w:bidi="ar"/>
              </w:rPr>
              <w:t>HZZC2025-C3-020056-JCXM</w:t>
            </w:r>
            <w:r>
              <w:rPr>
                <w:rFonts w:hint="eastAsia" w:hAnsi="宋体"/>
                <w:color w:val="auto"/>
                <w:kern w:val="2"/>
                <w:szCs w:val="24"/>
                <w:lang w:val="en-US" w:eastAsia="zh-CN" w:bidi="ar"/>
              </w:rPr>
              <w:t xml:space="preserve"> </w:t>
            </w:r>
            <w:r>
              <w:rPr>
                <w:rFonts w:hint="eastAsia" w:hAnsi="宋体"/>
                <w:color w:val="auto"/>
              </w:rPr>
              <w:t xml:space="preserve">   </w:t>
            </w:r>
          </w:p>
        </w:tc>
      </w:tr>
      <w:tr w14:paraId="4ABF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3" w:type="dxa"/>
            <w:vAlign w:val="center"/>
          </w:tcPr>
          <w:p w14:paraId="61FD324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1.1.5</w:t>
            </w:r>
          </w:p>
        </w:tc>
        <w:tc>
          <w:tcPr>
            <w:tcW w:w="1474" w:type="dxa"/>
            <w:gridSpan w:val="2"/>
            <w:vAlign w:val="center"/>
          </w:tcPr>
          <w:p w14:paraId="485BF78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项目基本情况</w:t>
            </w:r>
          </w:p>
        </w:tc>
        <w:tc>
          <w:tcPr>
            <w:tcW w:w="5713" w:type="dxa"/>
            <w:vAlign w:val="center"/>
          </w:tcPr>
          <w:p w14:paraId="5694E67B">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olor w:val="auto"/>
                <w:kern w:val="2"/>
                <w:szCs w:val="24"/>
                <w:lang w:bidi="ar"/>
              </w:rPr>
            </w:pPr>
            <w:r>
              <w:rPr>
                <w:rFonts w:hint="eastAsia" w:hAnsi="宋体"/>
                <w:color w:val="auto"/>
                <w:kern w:val="2"/>
                <w:szCs w:val="24"/>
                <w:lang w:val="en-US" w:eastAsia="zh-CN" w:bidi="ar"/>
              </w:rPr>
              <w:t>1.</w:t>
            </w:r>
            <w:r>
              <w:rPr>
                <w:rFonts w:hint="eastAsia" w:hAnsi="宋体"/>
                <w:color w:val="auto"/>
                <w:kern w:val="2"/>
                <w:szCs w:val="24"/>
                <w:lang w:bidi="ar"/>
              </w:rPr>
              <w:t>采购需求</w:t>
            </w:r>
            <w:r>
              <w:rPr>
                <w:rFonts w:hint="eastAsia" w:ascii="Times New Roman"/>
                <w:color w:val="auto"/>
                <w:kern w:val="2"/>
                <w:szCs w:val="24"/>
                <w:lang w:bidi="ar"/>
              </w:rPr>
              <w:t>：</w:t>
            </w:r>
            <w:r>
              <w:rPr>
                <w:rFonts w:hint="eastAsia" w:hAnsi="宋体"/>
                <w:color w:val="auto"/>
                <w:kern w:val="2"/>
                <w:szCs w:val="24"/>
                <w:lang w:eastAsia="zh-CN" w:bidi="ar"/>
              </w:rPr>
              <w:t>贺州市第六届运动会暨第四届全民健身运动会八步区代表团参赛组织（青少年组、成年组）服务采购</w:t>
            </w:r>
            <w:r>
              <w:rPr>
                <w:rFonts w:hint="eastAsia" w:hAnsi="宋体"/>
                <w:color w:val="auto"/>
                <w:kern w:val="2"/>
                <w:szCs w:val="24"/>
                <w:lang w:bidi="ar"/>
              </w:rPr>
              <w:t>；具体内容要求详见竞争性磋商文件第</w:t>
            </w:r>
            <w:r>
              <w:rPr>
                <w:rFonts w:hint="default" w:hAnsi="宋体"/>
                <w:color w:val="auto"/>
                <w:kern w:val="2"/>
                <w:szCs w:val="24"/>
                <w:lang w:bidi="ar"/>
              </w:rPr>
              <w:t>七章</w:t>
            </w:r>
            <w:r>
              <w:rPr>
                <w:rFonts w:hint="eastAsia" w:hAnsi="宋体"/>
                <w:color w:val="auto"/>
                <w:kern w:val="2"/>
                <w:szCs w:val="24"/>
                <w:lang w:bidi="ar"/>
              </w:rPr>
              <w:t>“</w:t>
            </w:r>
            <w:r>
              <w:rPr>
                <w:rFonts w:hint="default" w:hAnsi="宋体"/>
                <w:color w:val="auto"/>
                <w:kern w:val="2"/>
                <w:szCs w:val="24"/>
                <w:lang w:bidi="ar"/>
              </w:rPr>
              <w:t>项目需求和说明</w:t>
            </w:r>
            <w:r>
              <w:rPr>
                <w:rFonts w:hint="eastAsia" w:hAnsi="宋体"/>
                <w:color w:val="auto"/>
                <w:kern w:val="2"/>
                <w:szCs w:val="24"/>
                <w:lang w:bidi="ar"/>
              </w:rPr>
              <w:t>”。</w:t>
            </w:r>
          </w:p>
          <w:p w14:paraId="4BD3750E">
            <w:pPr>
              <w:keepNext w:val="0"/>
              <w:keepLines w:val="0"/>
              <w:pageBreakBefore w:val="0"/>
              <w:widowControl w:val="0"/>
              <w:suppressLineNumbers w:val="0"/>
              <w:kinsoku/>
              <w:wordWrap/>
              <w:overflowPunct/>
              <w:topLinePunct w:val="0"/>
              <w:bidi w:val="0"/>
              <w:snapToGrid/>
              <w:spacing w:before="0" w:beforeAutospacing="0" w:after="0" w:afterAutospacing="0" w:line="460" w:lineRule="exact"/>
              <w:ind w:left="0" w:right="0"/>
              <w:textAlignment w:val="auto"/>
              <w:rPr>
                <w:rFonts w:hint="default"/>
                <w:color w:val="auto"/>
              </w:rPr>
            </w:pPr>
            <w:r>
              <w:rPr>
                <w:rFonts w:hint="eastAsia" w:hAnsi="宋体"/>
                <w:color w:val="auto"/>
                <w:kern w:val="2"/>
                <w:szCs w:val="24"/>
                <w:lang w:val="en-US" w:eastAsia="zh-CN" w:bidi="ar"/>
              </w:rPr>
              <w:t>2.</w:t>
            </w:r>
            <w:r>
              <w:rPr>
                <w:rFonts w:hint="eastAsia" w:hAnsi="宋体"/>
                <w:color w:val="auto"/>
                <w:kern w:val="2"/>
                <w:szCs w:val="24"/>
                <w:lang w:bidi="ar"/>
              </w:rPr>
              <w:t>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w:t>
            </w:r>
            <w:r>
              <w:rPr>
                <w:rFonts w:hint="eastAsia" w:hAnsi="宋体"/>
                <w:color w:val="auto"/>
                <w:kern w:val="2"/>
                <w:szCs w:val="24"/>
                <w:lang w:bidi="ar"/>
              </w:rPr>
              <w:t>。</w:t>
            </w:r>
          </w:p>
        </w:tc>
      </w:tr>
      <w:tr w14:paraId="30ED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2E0161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1.2.1</w:t>
            </w:r>
          </w:p>
        </w:tc>
        <w:tc>
          <w:tcPr>
            <w:tcW w:w="1474" w:type="dxa"/>
            <w:gridSpan w:val="2"/>
            <w:vAlign w:val="center"/>
          </w:tcPr>
          <w:p w14:paraId="64D542A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资金来源、落实情况</w:t>
            </w:r>
          </w:p>
        </w:tc>
        <w:tc>
          <w:tcPr>
            <w:tcW w:w="5713" w:type="dxa"/>
            <w:vAlign w:val="center"/>
          </w:tcPr>
          <w:p w14:paraId="1BD21FF1">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财政资金，已落实。</w:t>
            </w:r>
          </w:p>
        </w:tc>
      </w:tr>
      <w:tr w14:paraId="04A1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2DE968D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1.2.2</w:t>
            </w:r>
          </w:p>
        </w:tc>
        <w:tc>
          <w:tcPr>
            <w:tcW w:w="1474" w:type="dxa"/>
            <w:gridSpan w:val="2"/>
            <w:vAlign w:val="center"/>
          </w:tcPr>
          <w:p w14:paraId="13F5BAF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增值税计税</w:t>
            </w:r>
          </w:p>
          <w:p w14:paraId="5FAD8C1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方法</w:t>
            </w:r>
          </w:p>
        </w:tc>
        <w:tc>
          <w:tcPr>
            <w:tcW w:w="5713" w:type="dxa"/>
            <w:vAlign w:val="center"/>
          </w:tcPr>
          <w:p w14:paraId="5CBDB18C">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w:t>
            </w:r>
          </w:p>
        </w:tc>
      </w:tr>
      <w:tr w14:paraId="7BE9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37F76A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1.3.1</w:t>
            </w:r>
          </w:p>
        </w:tc>
        <w:tc>
          <w:tcPr>
            <w:tcW w:w="1474" w:type="dxa"/>
            <w:gridSpan w:val="2"/>
            <w:vAlign w:val="center"/>
          </w:tcPr>
          <w:p w14:paraId="7A1E5C4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供应商资格</w:t>
            </w:r>
          </w:p>
          <w:p w14:paraId="018E6F1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要求</w:t>
            </w:r>
          </w:p>
        </w:tc>
        <w:tc>
          <w:tcPr>
            <w:tcW w:w="5713" w:type="dxa"/>
            <w:vAlign w:val="center"/>
          </w:tcPr>
          <w:p w14:paraId="7AE64F7F">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1.</w:t>
            </w:r>
            <w:r>
              <w:rPr>
                <w:rFonts w:hint="eastAsia" w:hAnsi="宋体"/>
                <w:color w:val="auto"/>
              </w:rPr>
              <w:t>满足《中华人民共和国政府采购法》第二十二条规定；</w:t>
            </w:r>
          </w:p>
          <w:p w14:paraId="400C6454">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2.</w:t>
            </w:r>
            <w:r>
              <w:rPr>
                <w:rFonts w:hint="eastAsia" w:hAnsi="宋体"/>
                <w:color w:val="auto"/>
              </w:rPr>
              <w:t>落实政府采购政策需满足的资格要求：</w:t>
            </w:r>
            <w:r>
              <w:rPr>
                <w:rFonts w:hint="eastAsia" w:asciiTheme="minorEastAsia" w:hAnsiTheme="minorEastAsia" w:eastAsiaTheme="minorEastAsia"/>
                <w:color w:val="auto"/>
                <w:szCs w:val="21"/>
                <w:highlight w:val="none"/>
              </w:rPr>
              <w:t>本项目属于专门面向中小企业采购的项目（</w:t>
            </w:r>
            <w:r>
              <w:rPr>
                <w:rFonts w:hint="eastAsia" w:hAnsi="宋体"/>
                <w:color w:val="auto"/>
                <w:kern w:val="2"/>
                <w:szCs w:val="24"/>
                <w:lang w:bidi="ar"/>
              </w:rPr>
              <w:t>供应商</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r>
              <w:rPr>
                <w:rFonts w:hint="eastAsia" w:hAnsi="宋体"/>
                <w:color w:val="auto"/>
              </w:rPr>
              <w:t>；</w:t>
            </w:r>
          </w:p>
          <w:p w14:paraId="2C25D8CE">
            <w:pPr>
              <w:keepNext w:val="0"/>
              <w:keepLines w:val="0"/>
              <w:suppressLineNumbers w:val="0"/>
              <w:spacing w:before="0" w:beforeAutospacing="0" w:after="0" w:afterAutospacing="0" w:line="440" w:lineRule="exact"/>
              <w:ind w:left="0" w:right="0"/>
              <w:rPr>
                <w:rFonts w:hint="default" w:hAnsi="宋体"/>
                <w:color w:val="auto"/>
              </w:rPr>
            </w:pPr>
            <w:r>
              <w:rPr>
                <w:rFonts w:hint="default" w:hAnsi="宋体"/>
                <w:color w:val="auto"/>
              </w:rPr>
              <w:t>3.</w:t>
            </w:r>
            <w:r>
              <w:rPr>
                <w:rFonts w:hint="eastAsia" w:hAnsi="宋体"/>
                <w:color w:val="auto"/>
              </w:rPr>
              <w:t>本项目的特定资格要求：</w:t>
            </w:r>
            <w:r>
              <w:rPr>
                <w:rFonts w:hint="eastAsia" w:hAnsi="宋体"/>
                <w:color w:val="auto"/>
                <w:kern w:val="2"/>
                <w:szCs w:val="24"/>
                <w:lang w:bidi="ar"/>
              </w:rPr>
              <w:t>无。</w:t>
            </w:r>
          </w:p>
        </w:tc>
      </w:tr>
      <w:tr w14:paraId="203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B3716F1">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1.3.2</w:t>
            </w:r>
          </w:p>
        </w:tc>
        <w:tc>
          <w:tcPr>
            <w:tcW w:w="1474" w:type="dxa"/>
            <w:gridSpan w:val="2"/>
            <w:vAlign w:val="center"/>
          </w:tcPr>
          <w:p w14:paraId="07CB71B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是否接受联合体投标</w:t>
            </w:r>
          </w:p>
        </w:tc>
        <w:tc>
          <w:tcPr>
            <w:tcW w:w="5713" w:type="dxa"/>
            <w:vAlign w:val="center"/>
          </w:tcPr>
          <w:p w14:paraId="05E60B81">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不接受</w:t>
            </w:r>
          </w:p>
        </w:tc>
      </w:tr>
      <w:tr w14:paraId="02F4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0C5713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1.3.3</w:t>
            </w:r>
          </w:p>
        </w:tc>
        <w:tc>
          <w:tcPr>
            <w:tcW w:w="1474" w:type="dxa"/>
            <w:gridSpan w:val="2"/>
            <w:vAlign w:val="center"/>
          </w:tcPr>
          <w:p w14:paraId="3194894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供应商不得存在的其他情形</w:t>
            </w:r>
          </w:p>
        </w:tc>
        <w:tc>
          <w:tcPr>
            <w:tcW w:w="5713" w:type="dxa"/>
            <w:vAlign w:val="center"/>
          </w:tcPr>
          <w:p w14:paraId="6C2F5453">
            <w:pPr>
              <w:keepNext w:val="0"/>
              <w:keepLines w:val="0"/>
              <w:suppressLineNumbers w:val="0"/>
              <w:spacing w:before="0" w:beforeAutospacing="0" w:after="0" w:afterAutospacing="0" w:line="440" w:lineRule="exact"/>
              <w:ind w:left="0" w:right="0"/>
              <w:rPr>
                <w:rFonts w:hint="default" w:hAnsi="宋体"/>
                <w:color w:val="auto"/>
              </w:rPr>
            </w:pPr>
            <w:r>
              <w:rPr>
                <w:rFonts w:hint="eastAsia" w:hAnsi="宋体"/>
                <w:color w:val="auto"/>
              </w:rPr>
              <w:t>1</w:t>
            </w:r>
            <w:r>
              <w:rPr>
                <w:rFonts w:hint="default" w:hAnsi="宋体"/>
                <w:color w:val="auto"/>
              </w:rPr>
              <w:t>.</w:t>
            </w:r>
            <w:r>
              <w:rPr>
                <w:rFonts w:hint="eastAsia" w:hAnsi="宋体"/>
                <w:color w:val="auto"/>
              </w:rPr>
              <w:t>未被列入失信被执行人、重大税收违法案件当事人名单、政府采购严重违法失信行为记录名单（以评审阶段通过“信用中国”网站</w:t>
            </w:r>
            <w:r>
              <w:rPr>
                <w:rFonts w:hint="default" w:hAnsi="宋体"/>
                <w:color w:val="auto"/>
              </w:rPr>
              <w:t>(www.creditchina.gov.cn)</w:t>
            </w:r>
            <w:r>
              <w:rPr>
                <w:rFonts w:hint="eastAsia" w:hAnsi="宋体"/>
                <w:color w:val="auto"/>
              </w:rPr>
              <w:t>、中国政府采购网</w:t>
            </w:r>
            <w:r>
              <w:rPr>
                <w:rFonts w:hint="default" w:hAnsi="宋体"/>
                <w:color w:val="auto"/>
              </w:rPr>
              <w:t>(www.ccgp.gov.cn)</w:t>
            </w:r>
            <w:r>
              <w:rPr>
                <w:rFonts w:hint="eastAsia" w:hAnsi="宋体"/>
                <w:color w:val="auto"/>
              </w:rPr>
              <w:t>查询的结果为准）。</w:t>
            </w:r>
          </w:p>
          <w:p w14:paraId="5C30506D">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2</w:t>
            </w:r>
            <w:r>
              <w:rPr>
                <w:rFonts w:hint="default" w:hAnsi="宋体"/>
                <w:color w:val="auto"/>
              </w:rPr>
              <w:t>.</w:t>
            </w:r>
            <w:r>
              <w:rPr>
                <w:rFonts w:hint="eastAsia"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9AF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2A3B81C">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1.8.1</w:t>
            </w:r>
          </w:p>
        </w:tc>
        <w:tc>
          <w:tcPr>
            <w:tcW w:w="1474" w:type="dxa"/>
            <w:gridSpan w:val="2"/>
            <w:vAlign w:val="center"/>
          </w:tcPr>
          <w:p w14:paraId="22EBEAC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踏勘现场</w:t>
            </w:r>
          </w:p>
        </w:tc>
        <w:tc>
          <w:tcPr>
            <w:tcW w:w="5713" w:type="dxa"/>
            <w:vAlign w:val="center"/>
          </w:tcPr>
          <w:p w14:paraId="705F7275">
            <w:pPr>
              <w:keepNext w:val="0"/>
              <w:keepLines w:val="0"/>
              <w:suppressLineNumbers w:val="0"/>
              <w:kinsoku w:val="0"/>
              <w:overflowPunct w:val="0"/>
              <w:spacing w:before="120" w:beforeAutospacing="0" w:after="0" w:afterAutospacing="0" w:line="400" w:lineRule="exact"/>
              <w:ind w:left="0" w:right="0"/>
              <w:rPr>
                <w:rFonts w:hint="default" w:hAnsi="宋体"/>
                <w:color w:val="auto"/>
              </w:rPr>
            </w:pPr>
            <w:r>
              <w:rPr>
                <w:rFonts w:hint="eastAsia" w:hAnsi="宋体"/>
                <w:color w:val="auto"/>
              </w:rPr>
              <w:t>不组织</w:t>
            </w:r>
          </w:p>
        </w:tc>
      </w:tr>
      <w:tr w14:paraId="0B8F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5DD763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1.9.1</w:t>
            </w:r>
          </w:p>
        </w:tc>
        <w:tc>
          <w:tcPr>
            <w:tcW w:w="1474" w:type="dxa"/>
            <w:gridSpan w:val="2"/>
            <w:vAlign w:val="center"/>
          </w:tcPr>
          <w:p w14:paraId="38DFE50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分包</w:t>
            </w:r>
          </w:p>
        </w:tc>
        <w:tc>
          <w:tcPr>
            <w:tcW w:w="5713" w:type="dxa"/>
            <w:vAlign w:val="center"/>
          </w:tcPr>
          <w:p w14:paraId="18BDD39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eastAsia" w:hAnsi="宋体"/>
                <w:color w:val="auto"/>
              </w:rPr>
              <w:t>不允许</w:t>
            </w:r>
          </w:p>
        </w:tc>
      </w:tr>
      <w:tr w14:paraId="3568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Merge w:val="restart"/>
            <w:vAlign w:val="center"/>
          </w:tcPr>
          <w:p w14:paraId="47E1030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2.2.2</w:t>
            </w:r>
          </w:p>
        </w:tc>
        <w:tc>
          <w:tcPr>
            <w:tcW w:w="1474" w:type="dxa"/>
            <w:gridSpan w:val="2"/>
            <w:vAlign w:val="center"/>
          </w:tcPr>
          <w:p w14:paraId="5DBC576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提交首次响应文件截止时间</w:t>
            </w:r>
          </w:p>
        </w:tc>
        <w:tc>
          <w:tcPr>
            <w:tcW w:w="5713" w:type="dxa"/>
            <w:vAlign w:val="center"/>
          </w:tcPr>
          <w:p w14:paraId="204ED88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default" w:hAnsi="宋体"/>
                <w:color w:val="auto"/>
              </w:rPr>
              <w:t>2025年</w:t>
            </w:r>
            <w:r>
              <w:rPr>
                <w:rFonts w:hint="default" w:hAnsi="宋体"/>
                <w:color w:val="auto"/>
                <w:lang w:val="en-US" w:eastAsia="zh-CN"/>
              </w:rPr>
              <w:t>9</w:t>
            </w:r>
            <w:r>
              <w:rPr>
                <w:rFonts w:hint="default" w:hAnsi="宋体"/>
                <w:color w:val="auto"/>
              </w:rPr>
              <w:t>月</w:t>
            </w:r>
            <w:r>
              <w:rPr>
                <w:rFonts w:hint="default" w:hAnsi="宋体"/>
                <w:color w:val="auto"/>
                <w:lang w:val="en-US" w:eastAsia="zh-CN"/>
              </w:rPr>
              <w:t>3</w:t>
            </w:r>
            <w:r>
              <w:rPr>
                <w:rFonts w:hint="default" w:hAnsi="宋体"/>
                <w:color w:val="auto"/>
              </w:rPr>
              <w:t>日</w:t>
            </w:r>
            <w:r>
              <w:rPr>
                <w:rFonts w:hint="default" w:hAnsi="宋体"/>
                <w:color w:val="auto"/>
                <w:lang w:val="en-US" w:eastAsia="zh-CN"/>
              </w:rPr>
              <w:t>15</w:t>
            </w:r>
            <w:r>
              <w:rPr>
                <w:rFonts w:hint="default" w:hAnsi="宋体"/>
                <w:color w:val="auto"/>
              </w:rPr>
              <w:t>时</w:t>
            </w:r>
            <w:r>
              <w:rPr>
                <w:rFonts w:hint="default" w:hAnsi="宋体"/>
                <w:color w:val="auto"/>
                <w:lang w:val="en-US" w:eastAsia="zh-CN"/>
              </w:rPr>
              <w:t>00</w:t>
            </w:r>
            <w:r>
              <w:rPr>
                <w:rFonts w:hint="default" w:hAnsi="宋体"/>
                <w:color w:val="auto"/>
              </w:rPr>
              <w:t>分</w:t>
            </w:r>
          </w:p>
        </w:tc>
      </w:tr>
      <w:tr w14:paraId="1F76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vAlign w:val="center"/>
          </w:tcPr>
          <w:p w14:paraId="4366B35A">
            <w:pPr>
              <w:keepNext w:val="0"/>
              <w:keepLines w:val="0"/>
              <w:suppressLineNumbers w:val="0"/>
              <w:spacing w:before="0" w:beforeAutospacing="0" w:after="0" w:afterAutospacing="0" w:line="400" w:lineRule="exact"/>
              <w:ind w:left="0" w:right="0"/>
              <w:jc w:val="center"/>
              <w:rPr>
                <w:rFonts w:hint="default" w:hAnsi="宋体"/>
                <w:color w:val="auto"/>
              </w:rPr>
            </w:pPr>
          </w:p>
        </w:tc>
        <w:tc>
          <w:tcPr>
            <w:tcW w:w="1474" w:type="dxa"/>
            <w:gridSpan w:val="2"/>
            <w:vAlign w:val="center"/>
          </w:tcPr>
          <w:p w14:paraId="3BE7CCF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澄清或修改发布方式</w:t>
            </w:r>
          </w:p>
        </w:tc>
        <w:tc>
          <w:tcPr>
            <w:tcW w:w="5713" w:type="dxa"/>
            <w:vAlign w:val="center"/>
          </w:tcPr>
          <w:p w14:paraId="560A57D7">
            <w:pPr>
              <w:keepNext w:val="0"/>
              <w:keepLines w:val="0"/>
              <w:suppressLineNumbers w:val="0"/>
              <w:kinsoku w:val="0"/>
              <w:overflowPunct w:val="0"/>
              <w:autoSpaceDE w:val="0"/>
              <w:autoSpaceDN w:val="0"/>
              <w:adjustRightInd w:val="0"/>
              <w:spacing w:before="120" w:beforeAutospacing="0" w:after="0" w:afterAutospacing="0" w:line="400" w:lineRule="exact"/>
              <w:ind w:left="0" w:right="0"/>
              <w:jc w:val="left"/>
              <w:rPr>
                <w:rFonts w:hint="default" w:hAnsi="宋体"/>
                <w:color w:val="auto"/>
              </w:rPr>
            </w:pPr>
            <w:r>
              <w:rPr>
                <w:rFonts w:hint="eastAsia" w:hAnsi="宋体"/>
                <w:color w:val="auto"/>
              </w:rPr>
              <w:t>在竞争性磋商公告发布媒介上发布。</w:t>
            </w:r>
          </w:p>
        </w:tc>
      </w:tr>
      <w:tr w14:paraId="0BD6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F76B61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2.2.3</w:t>
            </w:r>
          </w:p>
        </w:tc>
        <w:tc>
          <w:tcPr>
            <w:tcW w:w="1474" w:type="dxa"/>
            <w:gridSpan w:val="2"/>
            <w:vAlign w:val="center"/>
          </w:tcPr>
          <w:p w14:paraId="6FF670F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供应商确认收到澄清或修改的方式</w:t>
            </w:r>
          </w:p>
        </w:tc>
        <w:tc>
          <w:tcPr>
            <w:tcW w:w="5713" w:type="dxa"/>
            <w:vAlign w:val="center"/>
          </w:tcPr>
          <w:p w14:paraId="77A648B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不需要确认。澄清（修改）文件在本章第</w:t>
            </w:r>
            <w:r>
              <w:rPr>
                <w:rFonts w:hint="default" w:hAnsi="宋体"/>
                <w:color w:val="auto"/>
              </w:rPr>
              <w:t>2.2.2</w:t>
            </w:r>
            <w:r>
              <w:rPr>
                <w:rFonts w:hint="eastAsia" w:hAnsi="宋体"/>
                <w:color w:val="auto"/>
              </w:rPr>
              <w:t>款规定的网站上发布之日起，视为供应商已收到该澄清或修改。供应商未及时关注采购人在网站上发布的澄清（修改）文件造成的损失，由供应商自行负责。</w:t>
            </w:r>
          </w:p>
        </w:tc>
      </w:tr>
      <w:tr w14:paraId="4E33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53F1AF5">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3.1.1</w:t>
            </w:r>
          </w:p>
        </w:tc>
        <w:tc>
          <w:tcPr>
            <w:tcW w:w="1474" w:type="dxa"/>
            <w:gridSpan w:val="2"/>
            <w:vAlign w:val="center"/>
          </w:tcPr>
          <w:p w14:paraId="23F71AC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响应文件组成</w:t>
            </w:r>
          </w:p>
        </w:tc>
        <w:tc>
          <w:tcPr>
            <w:tcW w:w="5713" w:type="dxa"/>
            <w:vAlign w:val="center"/>
          </w:tcPr>
          <w:p w14:paraId="0A00396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color w:val="auto"/>
              </w:rPr>
              <w:t>响应文件的组成部分：商务部分、资格审查部分、技术部分、信誉实力、供应商认为需要提供的其他资料。</w:t>
            </w:r>
          </w:p>
          <w:p w14:paraId="2E5D805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rPr>
            </w:pPr>
            <w:r>
              <w:rPr>
                <w:rFonts w:hint="eastAsia" w:hAnsi="宋体"/>
                <w:b/>
                <w:color w:val="auto"/>
              </w:rPr>
              <w:t>一、商务部分</w:t>
            </w:r>
          </w:p>
          <w:p w14:paraId="35BE69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（一）竞标函</w:t>
            </w:r>
          </w:p>
          <w:p w14:paraId="68C066E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hAnsi="宋体"/>
                <w:color w:val="auto"/>
                <w:szCs w:val="22"/>
              </w:rPr>
            </w:pPr>
            <w:r>
              <w:rPr>
                <w:rFonts w:hint="eastAsia" w:hAnsi="宋体"/>
                <w:color w:val="auto"/>
                <w:szCs w:val="22"/>
              </w:rPr>
              <w:t>（二）竞标函附录</w:t>
            </w:r>
          </w:p>
          <w:p w14:paraId="5860938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default" w:hAnsi="宋体"/>
                <w:color w:val="auto"/>
                <w:szCs w:val="22"/>
              </w:rPr>
              <w:t>（</w:t>
            </w:r>
            <w:r>
              <w:rPr>
                <w:rFonts w:hint="eastAsia" w:hAnsi="宋体"/>
                <w:color w:val="auto"/>
                <w:szCs w:val="22"/>
                <w:lang w:eastAsia="zh-CN"/>
              </w:rPr>
              <w:t>三</w:t>
            </w:r>
            <w:r>
              <w:rPr>
                <w:rFonts w:hint="default" w:hAnsi="宋体"/>
                <w:color w:val="auto"/>
                <w:szCs w:val="22"/>
              </w:rPr>
              <w:t>）商务、服务（技术）偏离情况说明表</w:t>
            </w:r>
          </w:p>
          <w:p w14:paraId="0E9BF33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b/>
                <w:color w:val="auto"/>
                <w:szCs w:val="22"/>
              </w:rPr>
              <w:t>二、资格审查部分</w:t>
            </w:r>
            <w:r>
              <w:rPr>
                <w:rFonts w:hint="eastAsia" w:hAnsi="宋体"/>
                <w:color w:val="auto"/>
                <w:szCs w:val="22"/>
              </w:rPr>
              <w:t>【</w:t>
            </w:r>
            <w:r>
              <w:rPr>
                <w:rFonts w:hint="eastAsia" w:hAnsi="宋体"/>
                <w:b/>
                <w:color w:val="auto"/>
              </w:rPr>
              <w:t>以下扫描件均须加盖供应商单位公章】</w:t>
            </w:r>
          </w:p>
          <w:p w14:paraId="47C01AC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（一）法定代表人（负责人）身份证明扫描件，附：法定代表人（负责人）二代居民身份证扫描件；（必须提供）</w:t>
            </w:r>
          </w:p>
          <w:p w14:paraId="42678AE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（二）法定代表人（负责人）授权委托书扫描件，附：委托代理人二代居民身份证扫描件；（委托代理人签署响应文件时提供）</w:t>
            </w:r>
          </w:p>
          <w:p w14:paraId="63CA8E7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hAnsi="宋体" w:eastAsia="宋体"/>
                <w:color w:val="auto"/>
                <w:szCs w:val="22"/>
                <w:lang w:val="en-US" w:eastAsia="zh-CN"/>
              </w:rPr>
            </w:pPr>
            <w:r>
              <w:rPr>
                <w:rFonts w:hint="eastAsia" w:hAnsi="宋体"/>
                <w:color w:val="auto"/>
                <w:szCs w:val="22"/>
              </w:rPr>
              <w:t>（三）供应商基本情况表</w:t>
            </w:r>
            <w:r>
              <w:rPr>
                <w:rFonts w:hint="eastAsia" w:hAnsi="宋体"/>
                <w:color w:val="auto"/>
                <w:szCs w:val="22"/>
                <w:lang w:eastAsia="zh-CN"/>
              </w:rPr>
              <w:t>；</w:t>
            </w:r>
          </w:p>
          <w:p w14:paraId="54BB7FC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（四）磋商保证金缴纳证明材料，附：</w:t>
            </w:r>
          </w:p>
          <w:p w14:paraId="4FBF7BC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color w:val="auto"/>
                <w:szCs w:val="22"/>
              </w:rPr>
              <w:t>（</w:t>
            </w:r>
            <w:r>
              <w:rPr>
                <w:rFonts w:hint="default" w:hAnsi="宋体"/>
                <w:color w:val="auto"/>
                <w:szCs w:val="22"/>
              </w:rPr>
              <w:t>1</w:t>
            </w:r>
            <w:r>
              <w:rPr>
                <w:rFonts w:hint="eastAsia" w:hAnsi="宋体"/>
                <w:color w:val="auto"/>
                <w:szCs w:val="22"/>
              </w:rPr>
              <w:t>）</w:t>
            </w:r>
            <w:r>
              <w:rPr>
                <w:rFonts w:hint="eastAsia" w:hAnsi="宋体"/>
                <w:color w:val="auto"/>
                <w:kern w:val="2"/>
                <w:szCs w:val="24"/>
              </w:rPr>
              <w:t>磋商保证金银行转账（电汇）底单</w:t>
            </w:r>
            <w:r>
              <w:rPr>
                <w:rFonts w:hint="eastAsia" w:hAnsi="宋体"/>
                <w:b/>
                <w:color w:val="auto"/>
                <w:kern w:val="2"/>
                <w:szCs w:val="24"/>
              </w:rPr>
              <w:t>扫描件或</w:t>
            </w:r>
            <w:r>
              <w:rPr>
                <w:rFonts w:hint="eastAsia" w:hAnsi="宋体"/>
                <w:color w:val="auto"/>
                <w:kern w:val="2"/>
                <w:szCs w:val="24"/>
              </w:rPr>
              <w:t>保函、担保、保证保险</w:t>
            </w:r>
            <w:r>
              <w:rPr>
                <w:rFonts w:hint="eastAsia" w:hAnsi="宋体"/>
                <w:b/>
                <w:bCs/>
                <w:color w:val="auto"/>
                <w:szCs w:val="22"/>
              </w:rPr>
              <w:t>扫描件或</w:t>
            </w:r>
            <w:r>
              <w:rPr>
                <w:rFonts w:hint="eastAsia" w:hAnsi="宋体"/>
                <w:bCs/>
                <w:color w:val="auto"/>
                <w:szCs w:val="22"/>
              </w:rPr>
              <w:t>支票、本票、汇票</w:t>
            </w:r>
            <w:r>
              <w:rPr>
                <w:rFonts w:hint="eastAsia" w:hAnsi="宋体"/>
                <w:b/>
                <w:bCs/>
                <w:color w:val="auto"/>
                <w:szCs w:val="22"/>
              </w:rPr>
              <w:t>扫描件</w:t>
            </w:r>
            <w:r>
              <w:rPr>
                <w:rFonts w:hint="eastAsia" w:hAnsi="宋体"/>
                <w:color w:val="auto"/>
                <w:szCs w:val="22"/>
              </w:rPr>
              <w:t>；</w:t>
            </w:r>
            <w:r>
              <w:rPr>
                <w:rFonts w:hint="eastAsia" w:hAnsi="宋体"/>
                <w:b/>
                <w:color w:val="auto"/>
                <w:szCs w:val="22"/>
              </w:rPr>
              <w:t>（如有）</w:t>
            </w:r>
          </w:p>
          <w:p w14:paraId="19E3CA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w:t>
            </w:r>
            <w:r>
              <w:rPr>
                <w:rFonts w:hint="default" w:hAnsi="宋体"/>
                <w:color w:val="auto"/>
                <w:szCs w:val="22"/>
              </w:rPr>
              <w:t>2</w:t>
            </w:r>
            <w:r>
              <w:rPr>
                <w:rFonts w:hint="eastAsia" w:hAnsi="宋体"/>
                <w:color w:val="auto"/>
                <w:szCs w:val="22"/>
              </w:rPr>
              <w:t>）供应商的基本账户开户许可证（或《基本存款账户信息》凭证）</w:t>
            </w:r>
            <w:r>
              <w:rPr>
                <w:rFonts w:hint="eastAsia" w:hAnsi="宋体"/>
                <w:b/>
                <w:bCs/>
                <w:color w:val="auto"/>
                <w:szCs w:val="22"/>
              </w:rPr>
              <w:t>扫描件</w:t>
            </w:r>
            <w:r>
              <w:rPr>
                <w:rFonts w:hint="eastAsia" w:hAnsi="宋体"/>
                <w:color w:val="auto"/>
                <w:szCs w:val="22"/>
              </w:rPr>
              <w:t>；</w:t>
            </w:r>
          </w:p>
          <w:p w14:paraId="5DA6787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szCs w:val="22"/>
              </w:rPr>
            </w:pPr>
            <w:r>
              <w:rPr>
                <w:rFonts w:hint="eastAsia" w:hAnsi="宋体"/>
                <w:color w:val="auto"/>
                <w:szCs w:val="22"/>
              </w:rPr>
              <w:t>（五）资格审查需要的其他材料：政府采购供应商信用承诺函；</w:t>
            </w:r>
            <w:r>
              <w:rPr>
                <w:rFonts w:hint="eastAsia"/>
                <w:color w:val="auto"/>
                <w:lang w:bidi="ar"/>
              </w:rPr>
              <w:t>（必须提供，格式详见第六章）</w:t>
            </w:r>
          </w:p>
          <w:p w14:paraId="53867E1D">
            <w:pPr>
              <w:pStyle w:val="19"/>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Pr>
                <w:rFonts w:hint="eastAsia" w:eastAsia="宋体"/>
                <w:color w:val="auto"/>
                <w:lang w:eastAsia="zh-CN" w:bidi="ar"/>
              </w:rPr>
            </w:pPr>
            <w:r>
              <w:rPr>
                <w:rFonts w:hint="eastAsia"/>
                <w:color w:val="auto"/>
                <w:lang w:bidi="ar"/>
              </w:rPr>
              <w:t>（六）中小企业声明函或者残疾人福利性单位声明函或者供应商属于监狱企业的证明材料；（本项目如为专门面向中小企业采购时必须提供，否则响应文件按无效响应处理）</w:t>
            </w:r>
            <w:r>
              <w:rPr>
                <w:rFonts w:hint="eastAsia"/>
                <w:color w:val="auto"/>
                <w:lang w:eastAsia="zh-CN" w:bidi="ar"/>
              </w:rPr>
              <w:t>。</w:t>
            </w:r>
          </w:p>
          <w:p w14:paraId="027D2B81">
            <w:pPr>
              <w:pStyle w:val="19"/>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Pr>
                <w:rFonts w:hint="default"/>
                <w:color w:val="auto"/>
                <w:lang w:bidi="ar"/>
              </w:rPr>
            </w:pPr>
            <w:r>
              <w:rPr>
                <w:rFonts w:hint="eastAsia" w:hAnsi="宋体"/>
                <w:color w:val="auto"/>
                <w:szCs w:val="20"/>
                <w:highlight w:val="none"/>
              </w:rPr>
              <w:t>（</w:t>
            </w:r>
            <w:r>
              <w:rPr>
                <w:rFonts w:hint="eastAsia" w:hAnsi="宋体"/>
                <w:color w:val="auto"/>
                <w:szCs w:val="20"/>
                <w:highlight w:val="none"/>
                <w:lang w:eastAsia="zh-CN"/>
              </w:rPr>
              <w:t>七</w:t>
            </w:r>
            <w:r>
              <w:rPr>
                <w:rFonts w:hint="default" w:hAnsi="宋体"/>
                <w:color w:val="auto"/>
                <w:szCs w:val="20"/>
                <w:highlight w:val="none"/>
              </w:rPr>
              <w:t>）</w:t>
            </w:r>
            <w:r>
              <w:rPr>
                <w:rFonts w:hint="eastAsia" w:hAnsi="宋体"/>
                <w:color w:val="auto"/>
                <w:szCs w:val="20"/>
                <w:highlight w:val="none"/>
              </w:rPr>
              <w:t>无串通投标行为的承诺函</w:t>
            </w:r>
            <w:r>
              <w:rPr>
                <w:rFonts w:hint="eastAsia" w:hAnsi="宋体"/>
                <w:color w:val="auto"/>
                <w:szCs w:val="20"/>
                <w:highlight w:val="none"/>
                <w:lang w:eastAsia="zh-CN"/>
              </w:rPr>
              <w:t>。</w:t>
            </w:r>
            <w:r>
              <w:rPr>
                <w:rFonts w:hint="eastAsia"/>
                <w:color w:val="auto"/>
                <w:lang w:bidi="ar"/>
              </w:rPr>
              <w:t>（必须提供）</w:t>
            </w:r>
          </w:p>
          <w:p w14:paraId="6DEE838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szCs w:val="22"/>
              </w:rPr>
            </w:pPr>
            <w:r>
              <w:rPr>
                <w:rFonts w:hint="eastAsia" w:hAnsi="宋体"/>
                <w:b/>
                <w:color w:val="auto"/>
                <w:szCs w:val="22"/>
              </w:rPr>
              <w:t>三、技术部分</w:t>
            </w:r>
          </w:p>
          <w:p w14:paraId="5F0BF608">
            <w:pPr>
              <w:keepNext w:val="0"/>
              <w:keepLines w:val="0"/>
              <w:widowControl/>
              <w:suppressLineNumbers w:val="0"/>
              <w:spacing w:before="0" w:beforeAutospacing="0" w:after="0" w:afterAutospacing="0" w:line="360" w:lineRule="auto"/>
              <w:ind w:left="210" w:right="0" w:hanging="210" w:hangingChars="100"/>
              <w:jc w:val="both"/>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一</w:t>
            </w:r>
            <w:r>
              <w:rPr>
                <w:rFonts w:hint="eastAsia" w:ascii="Times New Roman" w:hAnsi="Times New Roman" w:eastAsia="宋体" w:cs="Times New Roman"/>
                <w:color w:val="auto"/>
                <w:kern w:val="2"/>
                <w:sz w:val="21"/>
                <w:szCs w:val="22"/>
                <w:lang w:val="zh-CN" w:eastAsia="zh-CN" w:bidi="ar"/>
              </w:rPr>
              <w:t>）</w:t>
            </w:r>
            <w:r>
              <w:rPr>
                <w:rFonts w:hint="eastAsia" w:ascii="宋体" w:hAnsi="宋体" w:cs="宋体"/>
                <w:color w:val="auto"/>
              </w:rPr>
              <w:t>服务方案</w:t>
            </w:r>
          </w:p>
          <w:p w14:paraId="46CD6E6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二</w:t>
            </w:r>
            <w:r>
              <w:rPr>
                <w:rFonts w:hint="eastAsia" w:ascii="Times New Roman" w:hAnsi="Times New Roman" w:eastAsia="宋体" w:cs="Times New Roman"/>
                <w:color w:val="auto"/>
                <w:kern w:val="2"/>
                <w:sz w:val="21"/>
                <w:szCs w:val="22"/>
                <w:lang w:val="zh-CN" w:eastAsia="zh-CN" w:bidi="ar"/>
              </w:rPr>
              <w:t>）工作组织、进度安排方案</w:t>
            </w:r>
          </w:p>
          <w:p w14:paraId="39D7BF8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三</w:t>
            </w:r>
            <w:r>
              <w:rPr>
                <w:rFonts w:hint="eastAsia" w:ascii="Times New Roman" w:hAnsi="Times New Roman" w:eastAsia="宋体" w:cs="Times New Roman"/>
                <w:color w:val="auto"/>
                <w:kern w:val="2"/>
                <w:sz w:val="21"/>
                <w:szCs w:val="22"/>
                <w:lang w:val="zh-CN" w:eastAsia="zh-CN" w:bidi="ar"/>
              </w:rPr>
              <w:t>）服务承诺</w:t>
            </w:r>
          </w:p>
          <w:p w14:paraId="08C1735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hAnsi="Times New Roman" w:eastAsia="宋体" w:cs="Times New Roman"/>
                <w:color w:val="auto"/>
                <w:kern w:val="2"/>
                <w:sz w:val="21"/>
                <w:szCs w:val="22"/>
                <w:lang w:val="en-US" w:eastAsia="zh-CN" w:bidi="ar"/>
              </w:rPr>
              <w:t>四</w:t>
            </w:r>
            <w:r>
              <w:rPr>
                <w:rFonts w:hint="eastAsia" w:ascii="Times New Roman" w:hAnsi="Times New Roman" w:eastAsia="宋体" w:cs="Times New Roman"/>
                <w:color w:val="auto"/>
                <w:kern w:val="2"/>
                <w:sz w:val="21"/>
                <w:szCs w:val="22"/>
                <w:lang w:val="zh-CN" w:eastAsia="zh-CN" w:bidi="ar"/>
              </w:rPr>
              <w:t>）投入项目的人员情况</w:t>
            </w:r>
          </w:p>
          <w:p w14:paraId="6402088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b/>
                <w:color w:val="auto"/>
                <w:szCs w:val="22"/>
              </w:rPr>
            </w:pPr>
            <w:r>
              <w:rPr>
                <w:rFonts w:hint="eastAsia" w:hAnsi="宋体"/>
                <w:b/>
                <w:color w:val="auto"/>
                <w:szCs w:val="22"/>
              </w:rPr>
              <w:t>四、信誉实力（如有）</w:t>
            </w:r>
          </w:p>
          <w:p w14:paraId="46FE831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hAnsi="宋体"/>
                <w:color w:val="auto"/>
              </w:rPr>
            </w:pPr>
            <w:r>
              <w:rPr>
                <w:rFonts w:hint="eastAsia" w:hAnsi="宋体"/>
                <w:b/>
                <w:color w:val="auto"/>
                <w:szCs w:val="22"/>
              </w:rPr>
              <w:t>五、</w:t>
            </w:r>
            <w:r>
              <w:rPr>
                <w:rFonts w:hint="eastAsia" w:hAnsi="宋体"/>
                <w:b/>
                <w:color w:val="auto"/>
              </w:rPr>
              <w:t>供应商认为需要提供的其他资料（如有）</w:t>
            </w:r>
          </w:p>
        </w:tc>
      </w:tr>
      <w:tr w14:paraId="41B8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3" w:type="dxa"/>
            <w:vAlign w:val="center"/>
          </w:tcPr>
          <w:p w14:paraId="685805B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3.1.5</w:t>
            </w:r>
          </w:p>
        </w:tc>
        <w:tc>
          <w:tcPr>
            <w:tcW w:w="1474" w:type="dxa"/>
            <w:gridSpan w:val="2"/>
            <w:vAlign w:val="center"/>
          </w:tcPr>
          <w:p w14:paraId="088DD15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资格审查需要的其他材料</w:t>
            </w:r>
          </w:p>
        </w:tc>
        <w:tc>
          <w:tcPr>
            <w:tcW w:w="5713" w:type="dxa"/>
            <w:vAlign w:val="center"/>
          </w:tcPr>
          <w:p w14:paraId="7B910FD2">
            <w:pPr>
              <w:keepNext w:val="0"/>
              <w:keepLines w:val="0"/>
              <w:suppressLineNumbers w:val="0"/>
              <w:spacing w:before="0" w:beforeAutospacing="0" w:after="0" w:afterAutospacing="0" w:line="400" w:lineRule="exact"/>
              <w:ind w:left="0" w:right="0"/>
              <w:rPr>
                <w:rFonts w:hint="default" w:hAnsi="宋体"/>
                <w:color w:val="auto"/>
                <w:szCs w:val="22"/>
              </w:rPr>
            </w:pPr>
            <w:r>
              <w:rPr>
                <w:rFonts w:hint="eastAsia" w:hAnsi="宋体"/>
                <w:color w:val="auto"/>
                <w:szCs w:val="22"/>
              </w:rPr>
              <w:t>政府采购供应商信用承诺函</w:t>
            </w:r>
          </w:p>
        </w:tc>
      </w:tr>
      <w:tr w14:paraId="2153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2A9124F">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3.2.2</w:t>
            </w:r>
          </w:p>
        </w:tc>
        <w:tc>
          <w:tcPr>
            <w:tcW w:w="1474" w:type="dxa"/>
            <w:gridSpan w:val="2"/>
            <w:vAlign w:val="center"/>
          </w:tcPr>
          <w:p w14:paraId="673F0AA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上限控制价</w:t>
            </w:r>
          </w:p>
        </w:tc>
        <w:tc>
          <w:tcPr>
            <w:tcW w:w="5713" w:type="dxa"/>
            <w:vAlign w:val="center"/>
          </w:tcPr>
          <w:p w14:paraId="41CFF3B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本项目的上限控制价为</w:t>
            </w:r>
            <w:r>
              <w:rPr>
                <w:rFonts w:hint="eastAsia" w:hAnsi="宋体"/>
                <w:bCs/>
                <w:color w:val="auto"/>
              </w:rPr>
              <w:t>人民币</w:t>
            </w:r>
            <w:r>
              <w:rPr>
                <w:rFonts w:hint="eastAsia" w:hAnsi="宋体"/>
                <w:b/>
                <w:color w:val="auto"/>
                <w:u w:val="single"/>
                <w:lang w:eastAsia="zh-CN" w:bidi="ar"/>
              </w:rPr>
              <w:t>壹佰贰拾万元整</w:t>
            </w:r>
            <w:r>
              <w:rPr>
                <w:rFonts w:hint="eastAsia" w:hAnsi="宋体"/>
                <w:b/>
                <w:color w:val="auto"/>
                <w:u w:val="single"/>
                <w:lang w:bidi="ar"/>
              </w:rPr>
              <w:t>（</w:t>
            </w:r>
            <w:r>
              <w:rPr>
                <w:rFonts w:hint="eastAsia" w:hAnsi="宋体"/>
                <w:b/>
                <w:color w:val="auto"/>
                <w:u w:val="single"/>
                <w:lang w:val="en-US" w:eastAsia="zh-CN" w:bidi="ar"/>
              </w:rPr>
              <w:t>1200000.00</w:t>
            </w:r>
            <w:r>
              <w:rPr>
                <w:rFonts w:hint="eastAsia" w:hAnsi="宋体"/>
                <w:b/>
                <w:color w:val="auto"/>
                <w:u w:val="single"/>
                <w:lang w:bidi="ar"/>
              </w:rPr>
              <w:t>）</w:t>
            </w:r>
            <w:r>
              <w:rPr>
                <w:rFonts w:hint="eastAsia" w:hAnsi="宋体"/>
                <w:b/>
                <w:color w:val="auto"/>
              </w:rPr>
              <w:t>；</w:t>
            </w:r>
            <w:r>
              <w:rPr>
                <w:rFonts w:hint="eastAsia" w:hAnsi="宋体"/>
                <w:color w:val="auto"/>
              </w:rPr>
              <w:t>供应商的竞标报价（包括响应文件报价及磋商过程中的报价）均不得超过上限控制价，否则其响应文件按无效处理。</w:t>
            </w:r>
          </w:p>
        </w:tc>
      </w:tr>
      <w:tr w14:paraId="1A4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C71A58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3.2.3</w:t>
            </w:r>
          </w:p>
        </w:tc>
        <w:tc>
          <w:tcPr>
            <w:tcW w:w="1474" w:type="dxa"/>
            <w:gridSpan w:val="2"/>
            <w:vAlign w:val="center"/>
          </w:tcPr>
          <w:p w14:paraId="25F5C5F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磋商报价的其他要求</w:t>
            </w:r>
          </w:p>
        </w:tc>
        <w:tc>
          <w:tcPr>
            <w:tcW w:w="5713" w:type="dxa"/>
            <w:vAlign w:val="center"/>
          </w:tcPr>
          <w:p w14:paraId="2755E20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s="Times New Roman"/>
                <w:bCs/>
                <w:color w:val="auto"/>
                <w:kern w:val="2"/>
                <w:szCs w:val="24"/>
                <w:lang w:bidi="ar"/>
              </w:rPr>
              <w:t>1.</w:t>
            </w:r>
            <w:r>
              <w:rPr>
                <w:rFonts w:hint="eastAsia" w:hAnsi="宋体"/>
                <w:color w:val="auto"/>
              </w:rPr>
              <w:t>报价唯一。只能有一个有效报价。即：只允许有一个报价，任何有选择和保留的报价将不予接受。</w:t>
            </w:r>
          </w:p>
          <w:p w14:paraId="36B511EB">
            <w:pPr>
              <w:keepNext w:val="0"/>
              <w:keepLines w:val="0"/>
              <w:suppressLineNumbers w:val="0"/>
              <w:spacing w:before="0" w:beforeAutospacing="0" w:after="0" w:afterAutospacing="0" w:line="400" w:lineRule="exact"/>
              <w:ind w:left="0" w:right="0"/>
              <w:rPr>
                <w:rFonts w:hint="default"/>
                <w:color w:val="auto"/>
              </w:rPr>
            </w:pPr>
            <w:r>
              <w:rPr>
                <w:rFonts w:hint="eastAsia" w:hAnsi="宋体"/>
                <w:color w:val="auto"/>
              </w:rPr>
              <w:t>2.如果</w:t>
            </w:r>
            <w:r>
              <w:rPr>
                <w:rFonts w:hint="default" w:hAnsi="宋体"/>
                <w:color w:val="auto"/>
              </w:rPr>
              <w:t>采购内容有多</w:t>
            </w:r>
            <w:r>
              <w:rPr>
                <w:rFonts w:hint="eastAsia" w:hAnsi="宋体"/>
                <w:color w:val="auto"/>
              </w:rPr>
              <w:t>项</w:t>
            </w:r>
            <w:r>
              <w:rPr>
                <w:rFonts w:hint="default" w:hAnsi="宋体"/>
                <w:color w:val="auto"/>
              </w:rPr>
              <w:t>，</w:t>
            </w:r>
            <w:r>
              <w:rPr>
                <w:rFonts w:hint="eastAsia" w:hAnsi="宋体"/>
                <w:color w:val="auto"/>
              </w:rPr>
              <w:t>供应商最后报价须提交报价明细表，报价明细表须由法定代表人或授权代理人签字。</w:t>
            </w:r>
          </w:p>
        </w:tc>
      </w:tr>
      <w:tr w14:paraId="0E47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BD51704">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3.3.1</w:t>
            </w:r>
          </w:p>
        </w:tc>
        <w:tc>
          <w:tcPr>
            <w:tcW w:w="1474" w:type="dxa"/>
            <w:gridSpan w:val="2"/>
            <w:vAlign w:val="center"/>
          </w:tcPr>
          <w:p w14:paraId="48D6BFE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磋商有效期</w:t>
            </w:r>
          </w:p>
        </w:tc>
        <w:tc>
          <w:tcPr>
            <w:tcW w:w="5713" w:type="dxa"/>
            <w:vAlign w:val="center"/>
          </w:tcPr>
          <w:p w14:paraId="2AA83AAC">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60</w:t>
            </w:r>
            <w:r>
              <w:rPr>
                <w:rFonts w:hint="eastAsia" w:hAnsi="宋体"/>
                <w:color w:val="auto"/>
              </w:rPr>
              <w:t>日历天</w:t>
            </w:r>
          </w:p>
        </w:tc>
      </w:tr>
      <w:tr w14:paraId="4B6B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shd w:val="clear" w:color="auto" w:fill="auto"/>
            <w:vAlign w:val="center"/>
          </w:tcPr>
          <w:p w14:paraId="577F568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3.4.1</w:t>
            </w:r>
          </w:p>
        </w:tc>
        <w:tc>
          <w:tcPr>
            <w:tcW w:w="1474" w:type="dxa"/>
            <w:gridSpan w:val="2"/>
            <w:shd w:val="clear" w:color="auto" w:fill="auto"/>
            <w:vAlign w:val="center"/>
          </w:tcPr>
          <w:p w14:paraId="5F0A2D9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磋商保证金</w:t>
            </w:r>
          </w:p>
        </w:tc>
        <w:tc>
          <w:tcPr>
            <w:tcW w:w="5713" w:type="dxa"/>
            <w:shd w:val="clear" w:color="auto" w:fill="auto"/>
            <w:vAlign w:val="center"/>
          </w:tcPr>
          <w:p w14:paraId="086F7F66">
            <w:pPr>
              <w:pStyle w:val="19"/>
              <w:keepNext w:val="0"/>
              <w:keepLines w:val="0"/>
              <w:suppressLineNumbers w:val="0"/>
              <w:spacing w:before="0" w:beforeAutospacing="0" w:afterAutospacing="0"/>
              <w:ind w:left="0" w:leftChars="0"/>
              <w:rPr>
                <w:rFonts w:hint="default"/>
                <w:color w:val="auto"/>
              </w:rPr>
            </w:pPr>
            <w:r>
              <w:rPr>
                <w:rFonts w:hint="eastAsia" w:hAnsi="宋体" w:cs="Times New Roman"/>
                <w:bCs/>
                <w:color w:val="auto"/>
                <w:highlight w:val="none"/>
              </w:rPr>
              <w:t>本项目为专门面向中小企业采购的项目，无须</w:t>
            </w:r>
            <w:r>
              <w:rPr>
                <w:rFonts w:hint="default" w:hAnsi="宋体" w:cs="Times New Roman"/>
                <w:bCs/>
                <w:color w:val="auto"/>
                <w:highlight w:val="none"/>
              </w:rPr>
              <w:t>缴纳</w:t>
            </w:r>
            <w:r>
              <w:rPr>
                <w:rFonts w:hint="eastAsia" w:hAnsi="宋体" w:cs="Times New Roman"/>
                <w:bCs/>
                <w:color w:val="auto"/>
                <w:highlight w:val="none"/>
              </w:rPr>
              <w:t>磋商</w:t>
            </w:r>
            <w:r>
              <w:rPr>
                <w:rFonts w:hint="default" w:hAnsi="宋体" w:cs="Times New Roman"/>
                <w:bCs/>
                <w:color w:val="auto"/>
                <w:highlight w:val="none"/>
              </w:rPr>
              <w:t>保证金。</w:t>
            </w:r>
          </w:p>
        </w:tc>
      </w:tr>
      <w:tr w14:paraId="5147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9B0398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3.5.3</w:t>
            </w:r>
          </w:p>
        </w:tc>
        <w:tc>
          <w:tcPr>
            <w:tcW w:w="1474" w:type="dxa"/>
            <w:gridSpan w:val="2"/>
            <w:vAlign w:val="center"/>
          </w:tcPr>
          <w:p w14:paraId="00D2D0A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签字和（或）盖章要求</w:t>
            </w:r>
          </w:p>
        </w:tc>
        <w:tc>
          <w:tcPr>
            <w:tcW w:w="5713" w:type="dxa"/>
            <w:vAlign w:val="center"/>
          </w:tcPr>
          <w:p w14:paraId="159D5690">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对响应文件的澄清、说明或者更正应当由供应商通过广西政府采购云平台进行，且交换的数据电文必须进行</w:t>
            </w:r>
            <w:r>
              <w:rPr>
                <w:rFonts w:hint="default" w:hAnsi="宋体"/>
                <w:color w:val="auto"/>
              </w:rPr>
              <w:t>CA</w:t>
            </w:r>
            <w:r>
              <w:rPr>
                <w:rFonts w:hint="eastAsia" w:hAnsi="宋体"/>
                <w:color w:val="auto"/>
              </w:rPr>
              <w:t>电子签章。</w:t>
            </w:r>
          </w:p>
          <w:p w14:paraId="008742AB">
            <w:pPr>
              <w:keepNext w:val="0"/>
              <w:keepLines w:val="0"/>
              <w:suppressLineNumbers w:val="0"/>
              <w:spacing w:before="0" w:beforeAutospacing="0" w:after="0" w:afterAutospacing="0" w:line="360" w:lineRule="auto"/>
              <w:ind w:left="0" w:right="0"/>
              <w:rPr>
                <w:rFonts w:hint="default" w:hAnsi="宋体"/>
                <w:b/>
                <w:color w:val="auto"/>
              </w:rPr>
            </w:pPr>
            <w:r>
              <w:rPr>
                <w:rFonts w:hint="eastAsia" w:hAnsi="宋体"/>
                <w:b/>
                <w:color w:val="auto"/>
              </w:rPr>
              <w:t>特别说明：响应文件的签字和（或）盖章应采用</w:t>
            </w:r>
            <w:r>
              <w:rPr>
                <w:rFonts w:hint="default" w:hAnsi="宋体"/>
                <w:b/>
                <w:color w:val="auto"/>
              </w:rPr>
              <w:t>CA</w:t>
            </w:r>
            <w:r>
              <w:rPr>
                <w:rFonts w:hint="eastAsia" w:hAnsi="宋体"/>
                <w:b/>
                <w:color w:val="auto"/>
              </w:rPr>
              <w:t>电子签章。</w:t>
            </w:r>
            <w:r>
              <w:rPr>
                <w:rFonts w:hint="eastAsia" w:hAnsi="宋体"/>
                <w:color w:val="auto"/>
              </w:rPr>
              <w:t>如</w:t>
            </w:r>
            <w:r>
              <w:rPr>
                <w:rFonts w:hint="default" w:hAnsi="宋体"/>
                <w:color w:val="auto"/>
              </w:rPr>
              <w:t>CA</w:t>
            </w:r>
            <w:r>
              <w:rPr>
                <w:rFonts w:hint="eastAsia" w:hAnsi="宋体"/>
                <w:color w:val="auto"/>
              </w:rPr>
              <w:t>签章没有法人（负责人）或授权代表签名信息，供应商可在磋商响应文件中涉及到签名的位置线下签好字然后扫描或者拍照做成</w:t>
            </w:r>
            <w:r>
              <w:rPr>
                <w:rFonts w:hint="default" w:hAnsi="宋体"/>
                <w:color w:val="auto"/>
              </w:rPr>
              <w:t>PDF</w:t>
            </w:r>
            <w:r>
              <w:rPr>
                <w:rFonts w:hint="eastAsia" w:hAnsi="宋体"/>
                <w:color w:val="auto"/>
              </w:rPr>
              <w:t>的格式即可。</w:t>
            </w:r>
          </w:p>
        </w:tc>
      </w:tr>
      <w:tr w14:paraId="7AE3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AB697DD">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3.5.4</w:t>
            </w:r>
          </w:p>
        </w:tc>
        <w:tc>
          <w:tcPr>
            <w:tcW w:w="1474" w:type="dxa"/>
            <w:gridSpan w:val="2"/>
            <w:vAlign w:val="center"/>
          </w:tcPr>
          <w:p w14:paraId="79DF1A3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响应文件份数及其他要求</w:t>
            </w:r>
          </w:p>
        </w:tc>
        <w:tc>
          <w:tcPr>
            <w:tcW w:w="5713" w:type="dxa"/>
            <w:vAlign w:val="center"/>
          </w:tcPr>
          <w:p w14:paraId="1B188CD2">
            <w:pPr>
              <w:keepNext w:val="0"/>
              <w:keepLines w:val="0"/>
              <w:suppressLineNumbers w:val="0"/>
              <w:spacing w:before="0" w:beforeAutospacing="0" w:after="0" w:afterAutospacing="0" w:line="360" w:lineRule="auto"/>
              <w:ind w:left="0" w:right="0"/>
              <w:rPr>
                <w:rFonts w:hint="default"/>
                <w:color w:val="auto"/>
              </w:rPr>
            </w:pPr>
            <w:r>
              <w:rPr>
                <w:rFonts w:hint="eastAsia"/>
                <w:color w:val="auto"/>
              </w:rPr>
              <w:t>供应商在广西政府采购云平台提交电子版响应文件；</w:t>
            </w:r>
          </w:p>
          <w:p w14:paraId="1008A31F">
            <w:pPr>
              <w:keepNext w:val="0"/>
              <w:keepLines w:val="0"/>
              <w:suppressLineNumbers w:val="0"/>
              <w:spacing w:before="0" w:beforeAutospacing="0" w:after="0" w:afterAutospacing="0" w:line="360" w:lineRule="auto"/>
              <w:ind w:left="0" w:right="0"/>
              <w:rPr>
                <w:rFonts w:hint="default" w:hAnsi="宋体"/>
                <w:color w:val="auto"/>
                <w:kern w:val="20"/>
              </w:rPr>
            </w:pPr>
            <w:r>
              <w:rPr>
                <w:rFonts w:hint="eastAsia" w:hAnsi="宋体"/>
                <w:color w:val="auto"/>
                <w:kern w:val="20"/>
              </w:rPr>
              <w:t>纸质响应文件要求：成交供应商</w:t>
            </w:r>
            <w:r>
              <w:rPr>
                <w:rFonts w:hint="eastAsia" w:hAnsi="宋体"/>
                <w:color w:val="auto"/>
              </w:rPr>
              <w:t>应在采购合同签订前将</w:t>
            </w:r>
            <w:r>
              <w:rPr>
                <w:rFonts w:hint="eastAsia" w:hAnsi="宋体"/>
                <w:color w:val="auto"/>
                <w:kern w:val="20"/>
              </w:rPr>
              <w:t>已签字和（或）盖章的纸质版响应文件（</w:t>
            </w:r>
            <w:r>
              <w:rPr>
                <w:rFonts w:hint="eastAsia" w:hAnsi="宋体"/>
                <w:color w:val="auto"/>
              </w:rPr>
              <w:t>需</w:t>
            </w:r>
            <w:r>
              <w:rPr>
                <w:rFonts w:hint="eastAsia" w:hAnsi="宋体"/>
                <w:color w:val="auto"/>
                <w:kern w:val="20"/>
              </w:rPr>
              <w:t>与</w:t>
            </w:r>
            <w:r>
              <w:rPr>
                <w:rFonts w:hint="eastAsia" w:hAnsi="宋体"/>
                <w:color w:val="auto"/>
              </w:rPr>
              <w:t>广西政府采购云平台提交的电子版响应文件内容一致</w:t>
            </w:r>
            <w:r>
              <w:rPr>
                <w:rFonts w:hint="eastAsia" w:hAnsi="宋体"/>
                <w:color w:val="auto"/>
                <w:kern w:val="20"/>
              </w:rPr>
              <w:t>）</w:t>
            </w:r>
            <w:r>
              <w:rPr>
                <w:rFonts w:hint="eastAsia" w:hAnsi="宋体"/>
                <w:color w:val="auto"/>
              </w:rPr>
              <w:t>递交</w:t>
            </w:r>
            <w:r>
              <w:rPr>
                <w:rFonts w:hint="eastAsia" w:hAnsi="宋体"/>
                <w:color w:val="auto"/>
                <w:kern w:val="20"/>
              </w:rPr>
              <w:t>至本项目采购代理机构处；如纸质版响应文件与电子版响应文件不一致时，以电子版响应文件为准。</w:t>
            </w:r>
          </w:p>
          <w:p w14:paraId="72129244">
            <w:pPr>
              <w:pStyle w:val="19"/>
              <w:keepNext w:val="0"/>
              <w:keepLines w:val="0"/>
              <w:suppressLineNumbers w:val="0"/>
              <w:spacing w:before="0" w:beforeAutospacing="0" w:afterAutospacing="0"/>
              <w:ind w:left="0" w:leftChars="0"/>
              <w:rPr>
                <w:rFonts w:hint="default"/>
                <w:color w:val="auto"/>
              </w:rPr>
            </w:pPr>
            <w:r>
              <w:rPr>
                <w:rFonts w:hint="eastAsia"/>
                <w:color w:val="auto"/>
              </w:rPr>
              <w:t>纸质版响应文件份数要求：正本：壹份，副本：叁份。</w:t>
            </w:r>
          </w:p>
        </w:tc>
      </w:tr>
      <w:tr w14:paraId="5151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B4211B1">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4.1.2</w:t>
            </w:r>
          </w:p>
        </w:tc>
        <w:tc>
          <w:tcPr>
            <w:tcW w:w="1474" w:type="dxa"/>
            <w:gridSpan w:val="2"/>
            <w:vAlign w:val="center"/>
          </w:tcPr>
          <w:p w14:paraId="1775EF57">
            <w:pPr>
              <w:keepNext w:val="0"/>
              <w:keepLines w:val="0"/>
              <w:suppressLineNumbers w:val="0"/>
              <w:spacing w:before="0" w:beforeAutospacing="0" w:after="0" w:afterAutospacing="0" w:line="400" w:lineRule="exact"/>
              <w:ind w:left="0" w:right="0"/>
              <w:jc w:val="center"/>
              <w:rPr>
                <w:rFonts w:hint="eastAsia" w:hAnsi="宋体"/>
                <w:color w:val="auto"/>
              </w:rPr>
            </w:pPr>
            <w:r>
              <w:rPr>
                <w:rFonts w:hint="eastAsia" w:hAnsi="宋体"/>
                <w:color w:val="auto"/>
              </w:rPr>
              <w:t>提交响应文件</w:t>
            </w:r>
          </w:p>
          <w:p w14:paraId="4EA1874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地点</w:t>
            </w:r>
          </w:p>
        </w:tc>
        <w:tc>
          <w:tcPr>
            <w:tcW w:w="5713" w:type="dxa"/>
            <w:vAlign w:val="center"/>
          </w:tcPr>
          <w:p w14:paraId="4E6C198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通过广西政府采购云平台电子在线投标响应。</w:t>
            </w:r>
          </w:p>
        </w:tc>
      </w:tr>
      <w:tr w14:paraId="343D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8D9738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4.1.3</w:t>
            </w:r>
          </w:p>
        </w:tc>
        <w:tc>
          <w:tcPr>
            <w:tcW w:w="1474" w:type="dxa"/>
            <w:gridSpan w:val="2"/>
            <w:vAlign w:val="center"/>
          </w:tcPr>
          <w:p w14:paraId="12FC8AC6">
            <w:pPr>
              <w:keepNext w:val="0"/>
              <w:keepLines w:val="0"/>
              <w:suppressLineNumbers w:val="0"/>
              <w:spacing w:before="0" w:beforeAutospacing="0" w:after="0" w:afterAutospacing="0" w:line="400" w:lineRule="exact"/>
              <w:ind w:left="0" w:right="0"/>
              <w:jc w:val="center"/>
              <w:rPr>
                <w:rFonts w:hint="eastAsia" w:hAnsi="宋体"/>
                <w:color w:val="auto"/>
              </w:rPr>
            </w:pPr>
            <w:r>
              <w:rPr>
                <w:rFonts w:hint="eastAsia" w:hAnsi="宋体"/>
                <w:color w:val="auto"/>
              </w:rPr>
              <w:t>是否退还响应</w:t>
            </w:r>
          </w:p>
          <w:p w14:paraId="386583B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文件</w:t>
            </w:r>
          </w:p>
        </w:tc>
        <w:tc>
          <w:tcPr>
            <w:tcW w:w="5713" w:type="dxa"/>
            <w:vAlign w:val="center"/>
          </w:tcPr>
          <w:p w14:paraId="64D5CB5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否</w:t>
            </w:r>
          </w:p>
        </w:tc>
      </w:tr>
      <w:tr w14:paraId="649B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6D61E29">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4.3.1</w:t>
            </w:r>
          </w:p>
        </w:tc>
        <w:tc>
          <w:tcPr>
            <w:tcW w:w="1474" w:type="dxa"/>
            <w:gridSpan w:val="2"/>
            <w:vAlign w:val="center"/>
          </w:tcPr>
          <w:p w14:paraId="53DCD273">
            <w:pPr>
              <w:keepNext w:val="0"/>
              <w:keepLines w:val="0"/>
              <w:suppressLineNumbers w:val="0"/>
              <w:spacing w:before="0" w:beforeAutospacing="0" w:after="0" w:afterAutospacing="0" w:line="360" w:lineRule="auto"/>
              <w:ind w:left="0" w:right="0"/>
              <w:jc w:val="center"/>
              <w:rPr>
                <w:rFonts w:hint="eastAsia" w:hAnsi="宋体"/>
                <w:color w:val="auto"/>
              </w:rPr>
            </w:pPr>
            <w:r>
              <w:rPr>
                <w:rFonts w:hint="eastAsia" w:hAnsi="宋体"/>
                <w:color w:val="auto"/>
              </w:rPr>
              <w:t>响应文件解密开始时间及解密</w:t>
            </w:r>
          </w:p>
          <w:p w14:paraId="02609F8B">
            <w:pPr>
              <w:keepNext w:val="0"/>
              <w:keepLines w:val="0"/>
              <w:suppressLineNumbers w:val="0"/>
              <w:spacing w:before="0" w:beforeAutospacing="0" w:after="0" w:afterAutospacing="0" w:line="360" w:lineRule="auto"/>
              <w:ind w:left="0" w:right="0"/>
              <w:jc w:val="center"/>
              <w:rPr>
                <w:rFonts w:hint="default" w:hAnsi="宋体"/>
                <w:color w:val="auto"/>
              </w:rPr>
            </w:pPr>
            <w:r>
              <w:rPr>
                <w:rFonts w:hint="eastAsia" w:hAnsi="宋体"/>
                <w:color w:val="auto"/>
              </w:rPr>
              <w:t>时限</w:t>
            </w:r>
          </w:p>
        </w:tc>
        <w:tc>
          <w:tcPr>
            <w:tcW w:w="5713" w:type="dxa"/>
            <w:vAlign w:val="center"/>
          </w:tcPr>
          <w:p w14:paraId="3FF181A4">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解密开始时间：同提交首次响应文件截止时间</w:t>
            </w:r>
          </w:p>
          <w:p w14:paraId="698AE067">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解密时限：</w:t>
            </w:r>
            <w:r>
              <w:rPr>
                <w:rFonts w:hint="default" w:hAnsi="宋体"/>
                <w:color w:val="auto"/>
              </w:rPr>
              <w:t>30</w:t>
            </w:r>
            <w:r>
              <w:rPr>
                <w:rFonts w:hint="eastAsia" w:hAnsi="宋体"/>
                <w:color w:val="auto"/>
              </w:rPr>
              <w:t>分钟</w:t>
            </w:r>
          </w:p>
        </w:tc>
      </w:tr>
      <w:tr w14:paraId="511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8FAC8E2">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5.1</w:t>
            </w:r>
          </w:p>
        </w:tc>
        <w:tc>
          <w:tcPr>
            <w:tcW w:w="1474" w:type="dxa"/>
            <w:gridSpan w:val="2"/>
            <w:vAlign w:val="center"/>
          </w:tcPr>
          <w:p w14:paraId="5636E42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开标时间和</w:t>
            </w:r>
          </w:p>
          <w:p w14:paraId="5CCC6ABF">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地点</w:t>
            </w:r>
          </w:p>
        </w:tc>
        <w:tc>
          <w:tcPr>
            <w:tcW w:w="5713" w:type="dxa"/>
            <w:vAlign w:val="center"/>
          </w:tcPr>
          <w:p w14:paraId="7D23E2C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开标时间：同提交首次响应文件截止时间</w:t>
            </w:r>
          </w:p>
          <w:p w14:paraId="18A93E3F">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开标地点：同提交响应文件地点</w:t>
            </w:r>
          </w:p>
        </w:tc>
      </w:tr>
      <w:tr w14:paraId="458A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3" w:type="dxa"/>
            <w:vAlign w:val="center"/>
          </w:tcPr>
          <w:p w14:paraId="23A57EB6">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6.1</w:t>
            </w:r>
          </w:p>
        </w:tc>
        <w:tc>
          <w:tcPr>
            <w:tcW w:w="1474" w:type="dxa"/>
            <w:gridSpan w:val="2"/>
            <w:vAlign w:val="center"/>
          </w:tcPr>
          <w:p w14:paraId="6EF1597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磋商小组组成</w:t>
            </w:r>
          </w:p>
        </w:tc>
        <w:tc>
          <w:tcPr>
            <w:tcW w:w="5713" w:type="dxa"/>
            <w:vAlign w:val="center"/>
          </w:tcPr>
          <w:p w14:paraId="4CDE6C27">
            <w:pPr>
              <w:keepNext w:val="0"/>
              <w:keepLines w:val="0"/>
              <w:suppressLineNumbers w:val="0"/>
              <w:spacing w:before="0" w:beforeAutospacing="0" w:after="0" w:afterAutospacing="0" w:line="400" w:lineRule="exact"/>
              <w:ind w:left="0" w:right="0"/>
              <w:jc w:val="left"/>
              <w:rPr>
                <w:rFonts w:hint="default" w:hAnsi="宋体"/>
                <w:color w:val="auto"/>
              </w:rPr>
            </w:pPr>
            <w:r>
              <w:rPr>
                <w:rFonts w:hint="eastAsia" w:hAnsi="宋体"/>
                <w:color w:val="auto"/>
              </w:rPr>
              <w:t>本竞争性磋商采购项目的磋商小组由</w:t>
            </w:r>
            <w:r>
              <w:rPr>
                <w:rFonts w:hint="default" w:hAnsi="宋体"/>
                <w:color w:val="auto"/>
              </w:rPr>
              <w:t>3</w:t>
            </w:r>
            <w:r>
              <w:rPr>
                <w:rFonts w:hint="eastAsia" w:hAnsi="宋体"/>
                <w:color w:val="auto"/>
              </w:rPr>
              <w:t>人组成；采购单位代表</w:t>
            </w:r>
            <w:r>
              <w:rPr>
                <w:rFonts w:hint="default" w:hAnsi="宋体"/>
                <w:color w:val="auto"/>
              </w:rPr>
              <w:t>1</w:t>
            </w:r>
            <w:r>
              <w:rPr>
                <w:rFonts w:hint="eastAsia" w:hAnsi="宋体"/>
                <w:color w:val="auto"/>
              </w:rPr>
              <w:t>人，随机抽取的评标专家</w:t>
            </w:r>
            <w:r>
              <w:rPr>
                <w:rFonts w:hint="default" w:hAnsi="宋体"/>
                <w:color w:val="auto"/>
              </w:rPr>
              <w:t>2</w:t>
            </w:r>
            <w:r>
              <w:rPr>
                <w:rFonts w:hint="eastAsia" w:hAnsi="宋体"/>
                <w:color w:val="auto"/>
              </w:rPr>
              <w:t>人</w:t>
            </w:r>
            <w:r>
              <w:rPr>
                <w:rFonts w:hint="default" w:hAnsi="宋体"/>
                <w:color w:val="auto"/>
              </w:rPr>
              <w:t>（其中市外专家人数：1人）</w:t>
            </w:r>
            <w:r>
              <w:rPr>
                <w:rFonts w:hint="eastAsia" w:hAnsi="宋体"/>
                <w:color w:val="auto"/>
              </w:rPr>
              <w:t>。</w:t>
            </w:r>
          </w:p>
          <w:p w14:paraId="388DDA5C">
            <w:pPr>
              <w:keepNext w:val="0"/>
              <w:keepLines w:val="0"/>
              <w:suppressLineNumbers w:val="0"/>
              <w:spacing w:before="0" w:beforeAutospacing="0" w:after="0" w:afterAutospacing="0" w:line="400" w:lineRule="exact"/>
              <w:ind w:left="0" w:right="0"/>
              <w:jc w:val="left"/>
              <w:rPr>
                <w:rFonts w:hint="default"/>
                <w:color w:val="auto"/>
              </w:rPr>
            </w:pPr>
            <w:r>
              <w:rPr>
                <w:rFonts w:hint="eastAsia" w:hAnsi="宋体"/>
                <w:color w:val="auto"/>
              </w:rPr>
              <w:t>评标专家确定方式：由采购人授权采购代理机构在广西政府采购云平台评标专家库中随机抽取。</w:t>
            </w:r>
            <w:r>
              <w:rPr>
                <w:rFonts w:hint="eastAsia" w:hAnsi="宋体"/>
                <w:color w:val="auto"/>
              </w:rPr>
              <w:br w:type="textWrapping"/>
            </w:r>
            <w:r>
              <w:rPr>
                <w:rFonts w:hint="eastAsia" w:hAnsi="宋体"/>
                <w:color w:val="auto"/>
              </w:rPr>
              <w:t>是否远程抽取评委及远程异地评标：</w:t>
            </w:r>
            <w:r>
              <w:rPr>
                <w:rFonts w:hint="default" w:ascii="Segoe UI Symbol" w:hAnsi="Segoe UI Symbol" w:cs="Segoe UI Symbol"/>
                <w:color w:val="auto"/>
              </w:rPr>
              <w:t>☑</w:t>
            </w:r>
            <w:r>
              <w:rPr>
                <w:rFonts w:hint="eastAsia" w:hAnsi="宋体"/>
                <w:color w:val="auto"/>
              </w:rPr>
              <w:t>是  □否</w:t>
            </w:r>
          </w:p>
        </w:tc>
      </w:tr>
      <w:tr w14:paraId="740A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03F5ED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6.2.1</w:t>
            </w:r>
          </w:p>
        </w:tc>
        <w:tc>
          <w:tcPr>
            <w:tcW w:w="1474" w:type="dxa"/>
            <w:gridSpan w:val="2"/>
            <w:vAlign w:val="center"/>
          </w:tcPr>
          <w:p w14:paraId="6B55A24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磋商时间与磋商地点</w:t>
            </w:r>
          </w:p>
        </w:tc>
        <w:tc>
          <w:tcPr>
            <w:tcW w:w="5713" w:type="dxa"/>
            <w:vAlign w:val="center"/>
          </w:tcPr>
          <w:p w14:paraId="271A75F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磋商时间：具体时间由代理机构另行通知。</w:t>
            </w:r>
          </w:p>
          <w:p w14:paraId="0F0AF20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磋商地点：同开标地点。</w:t>
            </w:r>
          </w:p>
          <w:p w14:paraId="3B8EB81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说明：磋商程序将通过广西政府采购云平台开展。</w:t>
            </w:r>
          </w:p>
        </w:tc>
      </w:tr>
      <w:tr w14:paraId="3738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2C5198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6.2.2</w:t>
            </w:r>
          </w:p>
        </w:tc>
        <w:tc>
          <w:tcPr>
            <w:tcW w:w="1474" w:type="dxa"/>
            <w:gridSpan w:val="2"/>
            <w:vAlign w:val="center"/>
          </w:tcPr>
          <w:p w14:paraId="68F73291">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磋商过程中可能实质变得的内容</w:t>
            </w:r>
          </w:p>
        </w:tc>
        <w:tc>
          <w:tcPr>
            <w:tcW w:w="5713" w:type="dxa"/>
            <w:vAlign w:val="center"/>
          </w:tcPr>
          <w:p w14:paraId="7FEA1291">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磋商小组可以根据磋商文件和磋商情况实质性变动采购需求中的技术、服务要求以及合同草案条款，但不得变动磋商文件中的其他内容。</w:t>
            </w:r>
          </w:p>
        </w:tc>
      </w:tr>
      <w:tr w14:paraId="01B0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DA9DDE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6.3.1</w:t>
            </w:r>
          </w:p>
        </w:tc>
        <w:tc>
          <w:tcPr>
            <w:tcW w:w="1474" w:type="dxa"/>
            <w:gridSpan w:val="2"/>
            <w:vAlign w:val="center"/>
          </w:tcPr>
          <w:p w14:paraId="66D0CCB8">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评标方法</w:t>
            </w:r>
          </w:p>
        </w:tc>
        <w:tc>
          <w:tcPr>
            <w:tcW w:w="5713" w:type="dxa"/>
            <w:vAlign w:val="center"/>
          </w:tcPr>
          <w:p w14:paraId="2E55F11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综合评分法</w:t>
            </w:r>
          </w:p>
        </w:tc>
      </w:tr>
      <w:tr w14:paraId="0DD1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ACF7159">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7.1</w:t>
            </w:r>
          </w:p>
        </w:tc>
        <w:tc>
          <w:tcPr>
            <w:tcW w:w="1474" w:type="dxa"/>
            <w:gridSpan w:val="2"/>
            <w:vAlign w:val="center"/>
          </w:tcPr>
          <w:p w14:paraId="7AE49CCA">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是否授权磋商小组确定成交供应商</w:t>
            </w:r>
          </w:p>
        </w:tc>
        <w:tc>
          <w:tcPr>
            <w:tcW w:w="5713" w:type="dxa"/>
            <w:vAlign w:val="center"/>
          </w:tcPr>
          <w:p w14:paraId="6D0B511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否，</w:t>
            </w:r>
            <w:r>
              <w:rPr>
                <w:rFonts w:hint="eastAsia" w:hAnsi="Courier New" w:cs="Times New Roman"/>
                <w:color w:val="auto"/>
                <w:kern w:val="2"/>
                <w:szCs w:val="24"/>
              </w:rPr>
              <w:t>推荐的成交候选人数</w:t>
            </w:r>
            <w:r>
              <w:rPr>
                <w:rFonts w:hint="default" w:hAnsi="Courier New" w:cs="Times New Roman"/>
                <w:color w:val="auto"/>
                <w:kern w:val="2"/>
                <w:szCs w:val="24"/>
                <w:u w:val="single"/>
              </w:rPr>
              <w:t>3</w:t>
            </w:r>
            <w:r>
              <w:rPr>
                <w:rFonts w:hint="eastAsia" w:hAnsi="Courier New" w:cs="Times New Roman"/>
                <w:color w:val="auto"/>
                <w:kern w:val="2"/>
                <w:szCs w:val="24"/>
              </w:rPr>
              <w:t>名。</w:t>
            </w:r>
          </w:p>
        </w:tc>
      </w:tr>
      <w:tr w14:paraId="2503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2AE94FB">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7.2.1</w:t>
            </w:r>
          </w:p>
        </w:tc>
        <w:tc>
          <w:tcPr>
            <w:tcW w:w="1474" w:type="dxa"/>
            <w:gridSpan w:val="2"/>
            <w:vAlign w:val="center"/>
          </w:tcPr>
          <w:p w14:paraId="7C60C66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成交结果公告发布媒介</w:t>
            </w:r>
          </w:p>
        </w:tc>
        <w:tc>
          <w:tcPr>
            <w:tcW w:w="5713" w:type="dxa"/>
            <w:vAlign w:val="center"/>
          </w:tcPr>
          <w:p w14:paraId="52AE636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在竞争性磋商公告发布媒介上发布</w:t>
            </w:r>
          </w:p>
        </w:tc>
      </w:tr>
      <w:tr w14:paraId="7720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BDFA4F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7.3.1</w:t>
            </w:r>
          </w:p>
        </w:tc>
        <w:tc>
          <w:tcPr>
            <w:tcW w:w="1474" w:type="dxa"/>
            <w:gridSpan w:val="2"/>
            <w:vAlign w:val="center"/>
          </w:tcPr>
          <w:p w14:paraId="530F7A9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履约保证金</w:t>
            </w:r>
          </w:p>
        </w:tc>
        <w:tc>
          <w:tcPr>
            <w:tcW w:w="5713" w:type="dxa"/>
            <w:vAlign w:val="center"/>
          </w:tcPr>
          <w:p w14:paraId="2C6EAEDF">
            <w:pPr>
              <w:keepNext w:val="0"/>
              <w:keepLines w:val="0"/>
              <w:suppressLineNumbers w:val="0"/>
              <w:spacing w:before="0" w:beforeAutospacing="0" w:after="0" w:afterAutospacing="0" w:line="360" w:lineRule="auto"/>
              <w:ind w:left="0" w:right="0"/>
              <w:rPr>
                <w:rFonts w:hint="default" w:hAnsi="宋体"/>
                <w:color w:val="auto"/>
                <w:kern w:val="2"/>
                <w:szCs w:val="24"/>
              </w:rPr>
            </w:pPr>
            <w:r>
              <w:rPr>
                <w:rFonts w:hint="eastAsia" w:hAnsi="宋体"/>
                <w:color w:val="auto"/>
                <w:kern w:val="2"/>
                <w:szCs w:val="24"/>
              </w:rPr>
              <w:t>本项目不需提交履约保证金。</w:t>
            </w:r>
          </w:p>
          <w:p w14:paraId="20CF4E91">
            <w:pPr>
              <w:keepNext w:val="0"/>
              <w:keepLines w:val="0"/>
              <w:suppressLineNumbers w:val="0"/>
              <w:spacing w:before="0" w:beforeAutospacing="0" w:after="0" w:afterAutospacing="0" w:line="360" w:lineRule="auto"/>
              <w:ind w:left="0" w:right="0"/>
              <w:rPr>
                <w:rFonts w:hint="default" w:hAnsi="宋体"/>
                <w:color w:val="auto"/>
                <w:kern w:val="2"/>
                <w:szCs w:val="24"/>
              </w:rPr>
            </w:pPr>
            <w:r>
              <w:rPr>
                <w:rFonts w:hint="eastAsia" w:hAnsi="宋体"/>
                <w:color w:val="auto"/>
                <w:kern w:val="2"/>
                <w:szCs w:val="24"/>
              </w:rPr>
              <w:t>履约保证金的形式：</w:t>
            </w:r>
            <w:r>
              <w:rPr>
                <w:rFonts w:hint="default" w:hAnsi="宋体"/>
                <w:color w:val="auto"/>
                <w:kern w:val="2"/>
                <w:szCs w:val="24"/>
              </w:rPr>
              <w:t>/</w:t>
            </w:r>
            <w:r>
              <w:rPr>
                <w:rFonts w:hint="eastAsia" w:hAnsi="宋体"/>
                <w:color w:val="auto"/>
                <w:kern w:val="2"/>
                <w:szCs w:val="24"/>
              </w:rPr>
              <w:t>。</w:t>
            </w:r>
          </w:p>
          <w:p w14:paraId="2F03520D">
            <w:pPr>
              <w:pStyle w:val="19"/>
              <w:keepNext w:val="0"/>
              <w:keepLines w:val="0"/>
              <w:suppressLineNumbers w:val="0"/>
              <w:spacing w:before="0" w:beforeAutospacing="0" w:afterAutospacing="0"/>
              <w:ind w:left="0" w:leftChars="0"/>
              <w:rPr>
                <w:rFonts w:hint="default"/>
                <w:color w:val="auto"/>
                <w:kern w:val="0"/>
                <w:szCs w:val="21"/>
              </w:rPr>
            </w:pPr>
            <w:r>
              <w:rPr>
                <w:rFonts w:hint="eastAsia"/>
                <w:color w:val="auto"/>
              </w:rPr>
              <w:t>履约保证金的金额：</w:t>
            </w:r>
            <w:r>
              <w:rPr>
                <w:rFonts w:hint="default"/>
                <w:color w:val="auto"/>
              </w:rPr>
              <w:t>/</w:t>
            </w:r>
            <w:r>
              <w:rPr>
                <w:rFonts w:hint="eastAsia"/>
                <w:color w:val="auto"/>
              </w:rPr>
              <w:t>。</w:t>
            </w:r>
          </w:p>
        </w:tc>
      </w:tr>
      <w:tr w14:paraId="6C17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F54FF4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7.4.1</w:t>
            </w:r>
          </w:p>
        </w:tc>
        <w:tc>
          <w:tcPr>
            <w:tcW w:w="1474" w:type="dxa"/>
            <w:gridSpan w:val="2"/>
            <w:vAlign w:val="center"/>
          </w:tcPr>
          <w:p w14:paraId="184DA5E9">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合同签订</w:t>
            </w:r>
          </w:p>
        </w:tc>
        <w:tc>
          <w:tcPr>
            <w:tcW w:w="5713" w:type="dxa"/>
            <w:vAlign w:val="center"/>
          </w:tcPr>
          <w:p w14:paraId="0DC62FF7">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b/>
                <w:color w:val="auto"/>
              </w:rPr>
              <w:t>中标单位需在中标</w:t>
            </w:r>
            <w:r>
              <w:rPr>
                <w:rFonts w:hint="default" w:hAnsi="宋体"/>
                <w:b/>
                <w:color w:val="auto"/>
              </w:rPr>
              <w:t>(</w:t>
            </w:r>
            <w:r>
              <w:rPr>
                <w:rFonts w:hint="eastAsia" w:hAnsi="宋体"/>
                <w:b/>
                <w:color w:val="auto"/>
              </w:rPr>
              <w:t>成交</w:t>
            </w:r>
            <w:r>
              <w:rPr>
                <w:rFonts w:hint="default" w:hAnsi="宋体"/>
                <w:b/>
                <w:color w:val="auto"/>
              </w:rPr>
              <w:t>)</w:t>
            </w:r>
            <w:r>
              <w:rPr>
                <w:rFonts w:hint="eastAsia" w:hAnsi="宋体"/>
                <w:b/>
                <w:color w:val="auto"/>
              </w:rPr>
              <w:t>通知书发出之日起25日内与采购人签订合同。</w:t>
            </w:r>
          </w:p>
        </w:tc>
      </w:tr>
      <w:tr w14:paraId="397F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0A261660">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10.2.1</w:t>
            </w:r>
          </w:p>
        </w:tc>
        <w:tc>
          <w:tcPr>
            <w:tcW w:w="1474" w:type="dxa"/>
            <w:gridSpan w:val="2"/>
            <w:vAlign w:val="center"/>
          </w:tcPr>
          <w:p w14:paraId="385882A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质疑受理部门及质疑函接收方式</w:t>
            </w:r>
          </w:p>
        </w:tc>
        <w:tc>
          <w:tcPr>
            <w:tcW w:w="5713" w:type="dxa"/>
            <w:vAlign w:val="center"/>
          </w:tcPr>
          <w:p w14:paraId="44432078">
            <w:pPr>
              <w:keepNext w:val="0"/>
              <w:keepLines w:val="0"/>
              <w:suppressLineNumbers w:val="0"/>
              <w:spacing w:before="0" w:beforeAutospacing="0" w:after="0" w:afterAutospacing="0" w:line="400" w:lineRule="exact"/>
              <w:ind w:left="0" w:right="0"/>
              <w:rPr>
                <w:rFonts w:hint="default" w:hAnsi="宋体"/>
                <w:color w:val="auto"/>
              </w:rPr>
            </w:pPr>
            <w:r>
              <w:rPr>
                <w:rFonts w:hint="eastAsia"/>
                <w:color w:val="auto"/>
              </w:rPr>
              <w:t>通过广西政府采购云平台“质疑模块”提出质疑，质疑应符合《政府采购质疑和投诉办法》（财政部令第94号）规定。</w:t>
            </w:r>
          </w:p>
        </w:tc>
      </w:tr>
      <w:tr w14:paraId="274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763ABCAF">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10.3.1</w:t>
            </w:r>
          </w:p>
        </w:tc>
        <w:tc>
          <w:tcPr>
            <w:tcW w:w="1474" w:type="dxa"/>
            <w:gridSpan w:val="2"/>
            <w:vAlign w:val="center"/>
          </w:tcPr>
          <w:p w14:paraId="16A5653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投诉受理部门及联系方式</w:t>
            </w:r>
          </w:p>
        </w:tc>
        <w:tc>
          <w:tcPr>
            <w:tcW w:w="5713" w:type="dxa"/>
            <w:vAlign w:val="center"/>
          </w:tcPr>
          <w:p w14:paraId="39B0686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受理部门：</w:t>
            </w:r>
            <w:r>
              <w:rPr>
                <w:rFonts w:hint="eastAsia" w:ascii="宋体" w:hAnsi="宋体" w:eastAsia="宋体" w:cs="宋体"/>
                <w:color w:val="auto"/>
                <w:sz w:val="21"/>
                <w:szCs w:val="21"/>
                <w:lang w:val="en-US" w:eastAsia="zh-CN" w:bidi="ar"/>
              </w:rPr>
              <w:t>贺州市八步区政府采购服务中心</w:t>
            </w:r>
            <w:r>
              <w:rPr>
                <w:rFonts w:hint="default" w:hAnsi="宋体"/>
                <w:color w:val="auto"/>
              </w:rPr>
              <w:t xml:space="preserve"> </w:t>
            </w:r>
            <w:r>
              <w:rPr>
                <w:rFonts w:hint="eastAsia" w:hAnsi="宋体"/>
                <w:color w:val="auto"/>
              </w:rPr>
              <w:t xml:space="preserve"> </w:t>
            </w:r>
          </w:p>
          <w:p w14:paraId="3D793D2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联系电话：</w:t>
            </w:r>
            <w:r>
              <w:rPr>
                <w:rFonts w:hint="eastAsia" w:ascii="宋体" w:hAnsi="宋体" w:eastAsia="宋体" w:cs="宋体"/>
                <w:color w:val="auto"/>
                <w:sz w:val="21"/>
                <w:szCs w:val="21"/>
                <w:lang w:val="en-US" w:eastAsia="zh-CN" w:bidi="ar"/>
              </w:rPr>
              <w:t>0774-5281873</w:t>
            </w:r>
          </w:p>
        </w:tc>
      </w:tr>
      <w:tr w14:paraId="1367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10" w:type="dxa"/>
            <w:gridSpan w:val="4"/>
            <w:vAlign w:val="center"/>
          </w:tcPr>
          <w:p w14:paraId="01176055">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 xml:space="preserve">11 </w:t>
            </w:r>
            <w:r>
              <w:rPr>
                <w:rFonts w:hint="eastAsia" w:hAnsi="宋体"/>
                <w:b/>
                <w:color w:val="auto"/>
              </w:rPr>
              <w:t>其他补充内容</w:t>
            </w:r>
          </w:p>
        </w:tc>
      </w:tr>
      <w:tr w14:paraId="16D1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148C2EBB">
            <w:pPr>
              <w:keepNext w:val="0"/>
              <w:keepLines w:val="0"/>
              <w:suppressLineNumbers w:val="0"/>
              <w:spacing w:before="0" w:beforeAutospacing="0" w:after="0" w:afterAutospacing="0" w:line="400" w:lineRule="exact"/>
              <w:ind w:left="0" w:right="0"/>
              <w:rPr>
                <w:rFonts w:hint="default" w:hAnsi="宋体"/>
                <w:b/>
                <w:color w:val="auto"/>
              </w:rPr>
            </w:pPr>
            <w:r>
              <w:rPr>
                <w:rFonts w:hint="default" w:hAnsi="宋体"/>
                <w:b/>
                <w:color w:val="auto"/>
              </w:rPr>
              <w:t>11.1</w:t>
            </w:r>
            <w:r>
              <w:rPr>
                <w:rFonts w:hint="eastAsia" w:hAnsi="宋体"/>
                <w:b/>
                <w:color w:val="auto"/>
              </w:rPr>
              <w:t>词语释义</w:t>
            </w:r>
          </w:p>
        </w:tc>
      </w:tr>
      <w:tr w14:paraId="6A2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E41AC33">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11.1.1</w:t>
            </w:r>
          </w:p>
        </w:tc>
        <w:tc>
          <w:tcPr>
            <w:tcW w:w="1474" w:type="dxa"/>
            <w:gridSpan w:val="2"/>
            <w:vAlign w:val="center"/>
          </w:tcPr>
          <w:p w14:paraId="272A43C2">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法人或者其他组织的营业执照等证明文件</w:t>
            </w:r>
          </w:p>
        </w:tc>
        <w:tc>
          <w:tcPr>
            <w:tcW w:w="5713" w:type="dxa"/>
            <w:vAlign w:val="center"/>
          </w:tcPr>
          <w:p w14:paraId="3076D150">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法人包括企业法人、机关法人、事业单位法人和社会团体法人；</w:t>
            </w:r>
          </w:p>
          <w:p w14:paraId="5619CC47">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其他组织主要包括合伙企业、民办非企业单位、个体工商户等。</w:t>
            </w:r>
          </w:p>
          <w:p w14:paraId="541D6E8E">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p w14:paraId="1E03E4A0">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其他组织”可以参加政府采购活动，但法人的分支机构由于其不能独立承担民事责任，不能以分支机构的身份参加政府采购，只能以法人身份参加。但银行、保险、石油石化、电力、电信等有行业特殊情况的除外。</w:t>
            </w:r>
          </w:p>
        </w:tc>
      </w:tr>
      <w:tr w14:paraId="1DCD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0EE282E">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11.1.2</w:t>
            </w:r>
          </w:p>
        </w:tc>
        <w:tc>
          <w:tcPr>
            <w:tcW w:w="1474" w:type="dxa"/>
            <w:gridSpan w:val="2"/>
            <w:vAlign w:val="center"/>
          </w:tcPr>
          <w:p w14:paraId="7A19C50C">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法定代表人（负责人）</w:t>
            </w:r>
          </w:p>
        </w:tc>
        <w:tc>
          <w:tcPr>
            <w:tcW w:w="5713" w:type="dxa"/>
            <w:vAlign w:val="center"/>
          </w:tcPr>
          <w:p w14:paraId="182AB369">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2A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5EC963A">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11.1.3</w:t>
            </w:r>
          </w:p>
        </w:tc>
        <w:tc>
          <w:tcPr>
            <w:tcW w:w="1474" w:type="dxa"/>
            <w:gridSpan w:val="2"/>
            <w:vAlign w:val="center"/>
          </w:tcPr>
          <w:p w14:paraId="1127F37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重大违法记录</w:t>
            </w:r>
          </w:p>
        </w:tc>
        <w:tc>
          <w:tcPr>
            <w:tcW w:w="5713" w:type="dxa"/>
            <w:vAlign w:val="center"/>
          </w:tcPr>
          <w:p w14:paraId="4ADD46E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指供应商因违法经营受到刑事处罚或者责令停产停业、吊销许可证或者执照、较大数额罚款等行政处罚。</w:t>
            </w:r>
          </w:p>
        </w:tc>
      </w:tr>
      <w:tr w14:paraId="162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23" w:type="dxa"/>
            <w:vAlign w:val="center"/>
          </w:tcPr>
          <w:p w14:paraId="7D1458BC">
            <w:pPr>
              <w:keepNext w:val="0"/>
              <w:keepLines w:val="0"/>
              <w:suppressLineNumbers w:val="0"/>
              <w:spacing w:before="0" w:beforeAutospacing="0" w:after="0" w:afterAutospacing="0" w:line="400" w:lineRule="exact"/>
              <w:ind w:left="0" w:right="0"/>
              <w:jc w:val="center"/>
              <w:rPr>
                <w:rFonts w:hint="default" w:hAnsi="宋体"/>
                <w:color w:val="auto"/>
              </w:rPr>
            </w:pPr>
            <w:r>
              <w:rPr>
                <w:rFonts w:hint="default" w:hAnsi="宋体"/>
                <w:color w:val="auto"/>
              </w:rPr>
              <w:t>11.1.4</w:t>
            </w:r>
          </w:p>
        </w:tc>
        <w:tc>
          <w:tcPr>
            <w:tcW w:w="1474" w:type="dxa"/>
            <w:gridSpan w:val="2"/>
            <w:vAlign w:val="center"/>
          </w:tcPr>
          <w:p w14:paraId="6B39F2C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中小企业</w:t>
            </w:r>
          </w:p>
        </w:tc>
        <w:tc>
          <w:tcPr>
            <w:tcW w:w="5713" w:type="dxa"/>
            <w:vAlign w:val="center"/>
          </w:tcPr>
          <w:p w14:paraId="0CF85ECA">
            <w:pPr>
              <w:keepNext w:val="0"/>
              <w:keepLines w:val="0"/>
              <w:suppressLineNumbers w:val="0"/>
              <w:spacing w:before="0" w:beforeAutospacing="0" w:after="0" w:afterAutospacing="0" w:line="400" w:lineRule="exact"/>
              <w:ind w:left="0" w:right="0"/>
              <w:rPr>
                <w:rFonts w:hint="default"/>
                <w:color w:val="auto"/>
              </w:rPr>
            </w:pPr>
            <w:r>
              <w:rPr>
                <w:rFonts w:hint="eastAsia"/>
                <w:color w:val="auto"/>
              </w:rPr>
              <w:t>本文所指中小企业系指《政府采购促进中小企业发展管理办法》（财库﹝</w:t>
            </w:r>
            <w:r>
              <w:rPr>
                <w:rFonts w:hint="default"/>
                <w:color w:val="auto"/>
              </w:rPr>
              <w:t>2020</w:t>
            </w:r>
            <w:r>
              <w:rPr>
                <w:rFonts w:hint="eastAsia"/>
                <w:color w:val="auto"/>
              </w:rPr>
              <w:t>﹞</w:t>
            </w:r>
            <w:r>
              <w:rPr>
                <w:rFonts w:hint="default"/>
                <w:color w:val="auto"/>
              </w:rPr>
              <w:t>46</w:t>
            </w:r>
            <w:r>
              <w:rPr>
                <w:rFonts w:hint="eastAsia"/>
                <w:color w:val="auto"/>
              </w:rPr>
              <w:t>号）中规定的中小企业；</w:t>
            </w:r>
          </w:p>
          <w:p w14:paraId="1089DD3F">
            <w:pPr>
              <w:keepNext w:val="0"/>
              <w:keepLines w:val="0"/>
              <w:suppressLineNumbers w:val="0"/>
              <w:spacing w:before="0" w:beforeAutospacing="0" w:after="0" w:afterAutospacing="0" w:line="400" w:lineRule="exact"/>
              <w:ind w:left="0" w:right="0"/>
              <w:rPr>
                <w:rFonts w:hint="default"/>
                <w:color w:val="auto"/>
              </w:rPr>
            </w:pPr>
            <w:r>
              <w:rPr>
                <w:rFonts w:hint="eastAsia"/>
                <w:color w:val="auto"/>
              </w:rPr>
              <w:t>中小企业参加政府采购活动，应当出具符合《政府采购促进中小企业发展管理办法》（财库﹝</w:t>
            </w:r>
            <w:r>
              <w:rPr>
                <w:rFonts w:hint="default"/>
                <w:color w:val="auto"/>
              </w:rPr>
              <w:t>2020</w:t>
            </w:r>
            <w:r>
              <w:rPr>
                <w:rFonts w:hint="eastAsia"/>
                <w:color w:val="auto"/>
              </w:rPr>
              <w:t>﹞</w:t>
            </w:r>
            <w:r>
              <w:rPr>
                <w:rFonts w:hint="default"/>
                <w:color w:val="auto"/>
              </w:rPr>
              <w:t>46</w:t>
            </w:r>
            <w:r>
              <w:rPr>
                <w:rFonts w:hint="eastAsia"/>
                <w:color w:val="auto"/>
              </w:rPr>
              <w:t>号）规定的《中小企业声明函》，否则不得享受相关中小企业扶持政策。《中小企业声明函》格式见第六章。</w:t>
            </w:r>
          </w:p>
          <w:p w14:paraId="41B65C09">
            <w:pPr>
              <w:pStyle w:val="19"/>
              <w:keepNext w:val="0"/>
              <w:keepLines w:val="0"/>
              <w:suppressLineNumbers w:val="0"/>
              <w:spacing w:before="0" w:beforeAutospacing="0" w:afterAutospacing="0"/>
              <w:ind w:left="0" w:leftChars="0"/>
              <w:rPr>
                <w:rFonts w:hint="default" w:hAnsi="宋体"/>
                <w:color w:val="auto"/>
              </w:rPr>
            </w:pPr>
            <w:r>
              <w:rPr>
                <w:rFonts w:hint="eastAsia"/>
                <w:color w:val="auto"/>
              </w:rPr>
              <w:t>备注：供应商可通过国务院客户端和工业和信息化部网站上中小企业规模类型自测小程序识别企业规模类型。</w:t>
            </w:r>
          </w:p>
        </w:tc>
      </w:tr>
      <w:tr w14:paraId="5898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4B7794E">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11.1.5</w:t>
            </w:r>
          </w:p>
        </w:tc>
        <w:tc>
          <w:tcPr>
            <w:tcW w:w="1474" w:type="dxa"/>
            <w:gridSpan w:val="2"/>
            <w:vAlign w:val="center"/>
          </w:tcPr>
          <w:p w14:paraId="562736DA">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残疾人企业</w:t>
            </w:r>
          </w:p>
        </w:tc>
        <w:tc>
          <w:tcPr>
            <w:tcW w:w="5713" w:type="dxa"/>
            <w:vAlign w:val="center"/>
          </w:tcPr>
          <w:p w14:paraId="0427B24C">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本文所指残疾人企业应满足以下要求：</w:t>
            </w:r>
          </w:p>
          <w:p w14:paraId="4E3156E6">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w:t>
            </w:r>
            <w:r>
              <w:rPr>
                <w:rFonts w:hint="default" w:hAnsi="宋体"/>
                <w:color w:val="auto"/>
              </w:rPr>
              <w:t>1</w:t>
            </w:r>
            <w:r>
              <w:rPr>
                <w:rFonts w:hint="eastAsia" w:hAnsi="宋体"/>
                <w:color w:val="auto"/>
              </w:rPr>
              <w:t>）根据《三部门联合发布关于促进残疾人就业政府采购政策的通知》（财库〔</w:t>
            </w:r>
            <w:r>
              <w:rPr>
                <w:rFonts w:hint="default" w:hAnsi="宋体"/>
                <w:color w:val="auto"/>
              </w:rPr>
              <w:t>2017</w:t>
            </w:r>
            <w:r>
              <w:rPr>
                <w:rFonts w:hint="eastAsia" w:hAnsi="宋体"/>
                <w:color w:val="auto"/>
              </w:rPr>
              <w:t>〕</w:t>
            </w:r>
            <w:r>
              <w:rPr>
                <w:rFonts w:hint="default" w:hAnsi="宋体"/>
                <w:color w:val="auto"/>
              </w:rPr>
              <w:t>141</w:t>
            </w:r>
            <w:r>
              <w:rPr>
                <w:rFonts w:hint="eastAsia" w:hAnsi="宋体"/>
                <w:color w:val="auto"/>
              </w:rPr>
              <w:t>号）被划分为享受政府采购支持政策的残疾人福利性单位,如有，须提供残疾人福利性单位声明函；</w:t>
            </w:r>
          </w:p>
          <w:p w14:paraId="56795C7B">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w:t>
            </w:r>
            <w:r>
              <w:rPr>
                <w:rFonts w:hint="default" w:hAnsi="宋体"/>
                <w:color w:val="auto"/>
              </w:rPr>
              <w:t>2</w:t>
            </w:r>
            <w:r>
              <w:rPr>
                <w:rFonts w:hint="eastAsia" w:hAnsi="宋体"/>
                <w:color w:val="auto"/>
              </w:rPr>
              <w:t>）提供本单位制造的货物、承担的工程或者服务（以下简称产品），或者提供其他残疾人福利性单位制造的货物（不包括使用非残疾人福利性单位注册商标的货物）。</w:t>
            </w:r>
          </w:p>
        </w:tc>
      </w:tr>
      <w:tr w14:paraId="1BE4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0A32AA4">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11.1.6</w:t>
            </w:r>
          </w:p>
        </w:tc>
        <w:tc>
          <w:tcPr>
            <w:tcW w:w="1474" w:type="dxa"/>
            <w:gridSpan w:val="2"/>
            <w:vAlign w:val="center"/>
          </w:tcPr>
          <w:p w14:paraId="5AD99B08">
            <w:pPr>
              <w:keepNext w:val="0"/>
              <w:keepLines w:val="0"/>
              <w:suppressLineNumbers w:val="0"/>
              <w:spacing w:before="0" w:beforeAutospacing="0" w:after="0" w:afterAutospacing="0" w:line="360" w:lineRule="auto"/>
              <w:ind w:left="0" w:right="0"/>
              <w:jc w:val="center"/>
              <w:rPr>
                <w:rFonts w:hint="default" w:hAnsi="宋体"/>
                <w:color w:val="auto"/>
              </w:rPr>
            </w:pPr>
            <w:r>
              <w:rPr>
                <w:rFonts w:hint="eastAsia" w:hAnsi="宋体"/>
                <w:color w:val="auto"/>
              </w:rPr>
              <w:t>监狱企业</w:t>
            </w:r>
          </w:p>
        </w:tc>
        <w:tc>
          <w:tcPr>
            <w:tcW w:w="5713" w:type="dxa"/>
            <w:vAlign w:val="center"/>
          </w:tcPr>
          <w:p w14:paraId="36D5F6B3">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如有，须提供由省级以上监狱管理局、戒毒管理局（含新疆生产建设兵团）出具的监狱企业的证明文件扫描件。</w:t>
            </w:r>
          </w:p>
        </w:tc>
      </w:tr>
      <w:tr w14:paraId="22B3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14389AE">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11.1.7</w:t>
            </w:r>
          </w:p>
        </w:tc>
        <w:tc>
          <w:tcPr>
            <w:tcW w:w="1474" w:type="dxa"/>
            <w:gridSpan w:val="2"/>
            <w:vAlign w:val="center"/>
          </w:tcPr>
          <w:p w14:paraId="056B1E92">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节能（节水）产品、环境标志产品</w:t>
            </w:r>
          </w:p>
        </w:tc>
        <w:tc>
          <w:tcPr>
            <w:tcW w:w="5713" w:type="dxa"/>
            <w:vAlign w:val="center"/>
          </w:tcPr>
          <w:p w14:paraId="78BE5F1A">
            <w:pPr>
              <w:keepNext w:val="0"/>
              <w:keepLines w:val="0"/>
              <w:suppressLineNumbers w:val="0"/>
              <w:spacing w:before="0" w:beforeAutospacing="0" w:after="0" w:afterAutospacing="0" w:line="360" w:lineRule="auto"/>
              <w:ind w:left="0" w:right="0"/>
              <w:rPr>
                <w:rFonts w:hint="default" w:hAnsi="宋体"/>
                <w:color w:val="auto"/>
              </w:rPr>
            </w:pPr>
            <w:r>
              <w:rPr>
                <w:rFonts w:hint="default" w:hAnsi="宋体"/>
                <w:color w:val="auto"/>
              </w:rPr>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14:paraId="40D0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10" w:type="dxa"/>
            <w:gridSpan w:val="4"/>
            <w:vAlign w:val="center"/>
          </w:tcPr>
          <w:p w14:paraId="1B9BB6D6">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11.2</w:t>
            </w:r>
            <w:r>
              <w:rPr>
                <w:rFonts w:hint="eastAsia" w:hAnsi="宋体"/>
                <w:b/>
                <w:color w:val="auto"/>
              </w:rPr>
              <w:t>知识产权</w:t>
            </w:r>
          </w:p>
        </w:tc>
      </w:tr>
      <w:tr w14:paraId="77F9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3" w:type="dxa"/>
            <w:vAlign w:val="center"/>
          </w:tcPr>
          <w:p w14:paraId="3587A8DA">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3B230C19">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构成本磋商文件各个组成部分的文件，未经采购人书面同意，供应商不得擅自复印和用于非本采购项目所需的其他目的。</w:t>
            </w:r>
          </w:p>
        </w:tc>
      </w:tr>
      <w:tr w14:paraId="7B6B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10" w:type="dxa"/>
            <w:gridSpan w:val="4"/>
            <w:vAlign w:val="center"/>
          </w:tcPr>
          <w:p w14:paraId="4CA769D1">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11.3</w:t>
            </w:r>
            <w:r>
              <w:rPr>
                <w:rFonts w:hint="eastAsia" w:hAnsi="宋体"/>
                <w:b/>
                <w:color w:val="auto"/>
              </w:rPr>
              <w:t>解释权</w:t>
            </w:r>
          </w:p>
        </w:tc>
      </w:tr>
      <w:tr w14:paraId="05F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23" w:type="dxa"/>
            <w:vAlign w:val="center"/>
          </w:tcPr>
          <w:p w14:paraId="32F9C317">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51466B2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45D5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10" w:type="dxa"/>
            <w:gridSpan w:val="4"/>
            <w:vAlign w:val="center"/>
          </w:tcPr>
          <w:p w14:paraId="73E4EB5E">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11.4</w:t>
            </w:r>
            <w:r>
              <w:rPr>
                <w:rFonts w:hint="eastAsia" w:hAnsi="宋体"/>
                <w:b/>
                <w:color w:val="auto"/>
              </w:rPr>
              <w:t>供应商信用信息查询</w:t>
            </w:r>
          </w:p>
        </w:tc>
      </w:tr>
      <w:tr w14:paraId="15F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D0317AD">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0D40F5A5">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查询渠道</w:t>
            </w:r>
            <w:r>
              <w:rPr>
                <w:rFonts w:hint="eastAsia" w:hAnsi="宋体"/>
                <w:color w:val="auto"/>
              </w:rPr>
              <w:t>：“信用中国”网站</w:t>
            </w:r>
            <w:r>
              <w:rPr>
                <w:rFonts w:hint="default" w:hAnsi="宋体"/>
                <w:color w:val="auto"/>
              </w:rPr>
              <w:t>(www.creditchina.gov.cn)</w:t>
            </w:r>
            <w:r>
              <w:rPr>
                <w:rFonts w:hint="eastAsia" w:hAnsi="宋体"/>
                <w:color w:val="auto"/>
              </w:rPr>
              <w:t>、中国政府采购网</w:t>
            </w:r>
            <w:r>
              <w:rPr>
                <w:rFonts w:hint="default" w:hAnsi="宋体"/>
                <w:color w:val="auto"/>
              </w:rPr>
              <w:t>(www.ccgp.gov.cn)</w:t>
            </w:r>
            <w:r>
              <w:rPr>
                <w:rFonts w:hint="eastAsia" w:hAnsi="宋体"/>
                <w:color w:val="auto"/>
              </w:rPr>
              <w:t>。</w:t>
            </w:r>
          </w:p>
          <w:p w14:paraId="0892AC5D">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查询时间</w:t>
            </w:r>
            <w:r>
              <w:rPr>
                <w:rFonts w:hint="eastAsia" w:hAnsi="宋体"/>
                <w:color w:val="auto"/>
              </w:rPr>
              <w:t>：资格审查阶段。</w:t>
            </w:r>
          </w:p>
          <w:p w14:paraId="634C108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查询记录和证据留存方式</w:t>
            </w:r>
            <w:r>
              <w:rPr>
                <w:rFonts w:hint="eastAsia" w:hAnsi="宋体"/>
                <w:color w:val="auto"/>
              </w:rPr>
              <w:t>：打印查询结果网页界面，打印材料作为评审资料保存。</w:t>
            </w:r>
          </w:p>
          <w:p w14:paraId="7A99AB92">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信用信息使用规则</w:t>
            </w:r>
            <w:r>
              <w:rPr>
                <w:rFonts w:hint="eastAsia" w:hAnsi="宋体"/>
                <w:color w:val="auto"/>
              </w:rPr>
              <w:t>：经查询，被列入失信被执行人、重大税收违法案件当事人名单、政府采购严重违法失信行为记录名单的供应商，资格审查不通过。</w:t>
            </w:r>
          </w:p>
          <w:p w14:paraId="15AF6FA7">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b/>
                <w:color w:val="auto"/>
              </w:rPr>
              <w:t>备注</w:t>
            </w:r>
            <w:r>
              <w:rPr>
                <w:rFonts w:hint="eastAsia" w:hAnsi="宋体"/>
                <w:color w:val="auto"/>
              </w:rPr>
              <w:t>：本章</w:t>
            </w:r>
            <w:r>
              <w:rPr>
                <w:rFonts w:hint="default" w:hAnsi="宋体"/>
                <w:color w:val="auto"/>
              </w:rPr>
              <w:t>1.3.2</w:t>
            </w:r>
            <w:r>
              <w:rPr>
                <w:rFonts w:hint="eastAsia" w:hAnsi="宋体"/>
                <w:color w:val="auto"/>
              </w:rPr>
              <w:t>项规定接受联合体投标的，对所有联合体成员进行信用记录查询，联合体成员存在不良信用记录的，视同联合体存在不良信用记录。</w:t>
            </w:r>
          </w:p>
        </w:tc>
      </w:tr>
      <w:tr w14:paraId="589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5BE8E088">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11.5</w:t>
            </w:r>
            <w:r>
              <w:rPr>
                <w:rFonts w:hint="eastAsia" w:hAnsi="宋体"/>
                <w:b/>
                <w:color w:val="auto"/>
              </w:rPr>
              <w:t>同义词</w:t>
            </w:r>
          </w:p>
        </w:tc>
      </w:tr>
      <w:tr w14:paraId="41E1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FDC5AFC">
            <w:pPr>
              <w:keepNext w:val="0"/>
              <w:keepLines w:val="0"/>
              <w:suppressLineNumbers w:val="0"/>
              <w:spacing w:before="0" w:beforeAutospacing="0" w:after="0" w:afterAutospacing="0" w:line="400" w:lineRule="exact"/>
              <w:ind w:left="0" w:right="0"/>
              <w:jc w:val="center"/>
              <w:rPr>
                <w:rFonts w:hint="default" w:hAnsi="宋体"/>
                <w:color w:val="auto"/>
              </w:rPr>
            </w:pPr>
          </w:p>
        </w:tc>
        <w:tc>
          <w:tcPr>
            <w:tcW w:w="7187" w:type="dxa"/>
            <w:gridSpan w:val="3"/>
            <w:vAlign w:val="center"/>
          </w:tcPr>
          <w:p w14:paraId="50F2CBEA">
            <w:pPr>
              <w:pStyle w:val="142"/>
              <w:keepNext w:val="0"/>
              <w:keepLines w:val="0"/>
              <w:suppressLineNumbers w:val="0"/>
              <w:spacing w:before="0" w:beforeAutospacing="0" w:after="0" w:afterAutospacing="0" w:line="400" w:lineRule="exact"/>
              <w:ind w:left="0" w:right="0" w:firstLine="0" w:firstLineChars="0"/>
              <w:rPr>
                <w:rFonts w:hint="default" w:ascii="宋体"/>
                <w:color w:val="auto"/>
              </w:rPr>
            </w:pPr>
            <w:r>
              <w:rPr>
                <w:rFonts w:hint="eastAsia" w:ascii="宋体" w:hAnsi="宋体"/>
                <w:color w:val="auto"/>
              </w:rPr>
              <w:t>本文件中出现的措辞“招标文件”与“磋商文件”，“招标人”与“采购人”，“投标人”与“供应商”具有相同含义；</w:t>
            </w:r>
          </w:p>
          <w:p w14:paraId="359D24F9">
            <w:pPr>
              <w:pStyle w:val="142"/>
              <w:keepNext w:val="0"/>
              <w:keepLines w:val="0"/>
              <w:suppressLineNumbers w:val="0"/>
              <w:spacing w:before="0" w:beforeAutospacing="0" w:after="0" w:afterAutospacing="0" w:line="400" w:lineRule="exact"/>
              <w:ind w:left="0" w:right="0" w:firstLine="0" w:firstLineChars="0"/>
              <w:rPr>
                <w:rFonts w:hint="default" w:ascii="宋体"/>
                <w:b/>
                <w:color w:val="auto"/>
              </w:rPr>
            </w:pPr>
            <w:r>
              <w:rPr>
                <w:rFonts w:hint="eastAsia" w:ascii="宋体" w:hAnsi="宋体"/>
                <w:color w:val="auto"/>
              </w:rPr>
              <w:t>构成招标文件组成部分的“</w:t>
            </w:r>
            <w:r>
              <w:rPr>
                <w:rFonts w:hint="eastAsia" w:ascii="宋体" w:hAnsi="宋体"/>
                <w:color w:val="auto"/>
                <w:sz w:val="24"/>
                <w:szCs w:val="24"/>
                <w:lang w:val="zh-CN"/>
              </w:rPr>
              <w:t>合同条款</w:t>
            </w:r>
            <w:r>
              <w:rPr>
                <w:rFonts w:hint="eastAsia" w:ascii="宋体" w:hAnsi="宋体"/>
                <w:color w:val="auto"/>
              </w:rPr>
              <w:t>”等章节中出现的措辞“发包人”和“承包人”，在招标采购阶段应当分别按“采购人”和“供应商”进行理解。</w:t>
            </w:r>
          </w:p>
        </w:tc>
      </w:tr>
      <w:tr w14:paraId="1D21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gridSpan w:val="4"/>
            <w:vAlign w:val="center"/>
          </w:tcPr>
          <w:p w14:paraId="273181EB">
            <w:pPr>
              <w:keepNext w:val="0"/>
              <w:keepLines w:val="0"/>
              <w:suppressLineNumbers w:val="0"/>
              <w:spacing w:before="0" w:beforeAutospacing="0" w:after="0" w:afterAutospacing="0" w:line="400" w:lineRule="exact"/>
              <w:ind w:left="0" w:right="0"/>
              <w:jc w:val="left"/>
              <w:rPr>
                <w:rFonts w:hint="default" w:hAnsi="宋体"/>
                <w:b/>
                <w:color w:val="auto"/>
              </w:rPr>
            </w:pPr>
            <w:r>
              <w:rPr>
                <w:rFonts w:hint="default" w:hAnsi="宋体"/>
                <w:b/>
                <w:color w:val="auto"/>
              </w:rPr>
              <w:t>11.6</w:t>
            </w:r>
            <w:r>
              <w:rPr>
                <w:rFonts w:hint="eastAsia" w:hAnsi="宋体"/>
                <w:b/>
                <w:color w:val="auto"/>
              </w:rPr>
              <w:t>采购人补充的其他内容</w:t>
            </w:r>
          </w:p>
        </w:tc>
      </w:tr>
      <w:tr w14:paraId="56C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33369F6B">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11.6.1</w:t>
            </w:r>
          </w:p>
        </w:tc>
        <w:tc>
          <w:tcPr>
            <w:tcW w:w="1443" w:type="dxa"/>
            <w:vAlign w:val="center"/>
          </w:tcPr>
          <w:p w14:paraId="1F5F1BE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代理服务费</w:t>
            </w:r>
          </w:p>
        </w:tc>
        <w:tc>
          <w:tcPr>
            <w:tcW w:w="5744" w:type="dxa"/>
            <w:gridSpan w:val="2"/>
            <w:vAlign w:val="center"/>
          </w:tcPr>
          <w:p w14:paraId="5B48D57E">
            <w:pPr>
              <w:keepNext w:val="0"/>
              <w:keepLines w:val="0"/>
              <w:suppressLineNumbers w:val="0"/>
              <w:spacing w:before="0" w:beforeAutospacing="0" w:after="0" w:afterAutospacing="0" w:line="400" w:lineRule="exact"/>
              <w:ind w:left="0" w:right="0"/>
              <w:rPr>
                <w:rFonts w:hint="default" w:hAnsi="宋体"/>
                <w:color w:val="auto"/>
              </w:rPr>
            </w:pPr>
            <w:r>
              <w:rPr>
                <w:rFonts w:hint="eastAsia" w:hAnsi="宋体"/>
                <w:color w:val="auto"/>
              </w:rPr>
              <w:t>成交服务费：采购代理费由成交人支付。按差额定率累进法计算，具体区间费率为：本项目的采购代理费按100万元以下--1.5%；100～500万元-</w:t>
            </w:r>
            <w:r>
              <w:rPr>
                <w:rFonts w:hint="default" w:hAnsi="宋体"/>
                <w:color w:val="auto"/>
              </w:rPr>
              <w:t>1.1</w:t>
            </w:r>
            <w:r>
              <w:rPr>
                <w:rFonts w:hint="eastAsia" w:hAnsi="宋体"/>
                <w:color w:val="auto"/>
              </w:rPr>
              <w:t>%，由中标人在领取中标通知书时一次性向代理人付清全部代理服务费。</w:t>
            </w:r>
          </w:p>
        </w:tc>
      </w:tr>
      <w:tr w14:paraId="28AB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7244C3E4">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11.6.2</w:t>
            </w:r>
          </w:p>
        </w:tc>
        <w:tc>
          <w:tcPr>
            <w:tcW w:w="1443" w:type="dxa"/>
            <w:vAlign w:val="center"/>
          </w:tcPr>
          <w:p w14:paraId="4CC0687F">
            <w:pPr>
              <w:keepNext w:val="0"/>
              <w:keepLines w:val="0"/>
              <w:suppressLineNumbers w:val="0"/>
              <w:spacing w:before="0" w:beforeAutospacing="0" w:after="0" w:afterAutospacing="0" w:line="360" w:lineRule="auto"/>
              <w:ind w:left="0" w:right="0"/>
              <w:jc w:val="center"/>
              <w:rPr>
                <w:rFonts w:hint="default" w:hAnsi="宋体"/>
                <w:color w:val="auto"/>
              </w:rPr>
            </w:pPr>
            <w:r>
              <w:rPr>
                <w:rFonts w:hint="default" w:hAnsi="宋体"/>
                <w:color w:val="auto"/>
              </w:rPr>
              <w:t>采购</w:t>
            </w:r>
            <w:r>
              <w:rPr>
                <w:rFonts w:hint="eastAsia" w:hAnsi="宋体"/>
                <w:color w:val="auto"/>
              </w:rPr>
              <w:t>标</w:t>
            </w:r>
            <w:r>
              <w:rPr>
                <w:rFonts w:hint="default" w:hAnsi="宋体"/>
                <w:color w:val="auto"/>
              </w:rPr>
              <w:t>的对应</w:t>
            </w:r>
            <w:r>
              <w:rPr>
                <w:rFonts w:hint="eastAsia" w:hAnsi="宋体"/>
                <w:color w:val="auto"/>
              </w:rPr>
              <w:t>的</w:t>
            </w:r>
            <w:r>
              <w:rPr>
                <w:rFonts w:hint="default" w:hAnsi="宋体"/>
                <w:color w:val="auto"/>
              </w:rPr>
              <w:t>中小</w:t>
            </w:r>
            <w:r>
              <w:rPr>
                <w:rFonts w:hint="eastAsia" w:hAnsi="宋体"/>
                <w:color w:val="auto"/>
              </w:rPr>
              <w:t>企业划分</w:t>
            </w:r>
            <w:r>
              <w:rPr>
                <w:rFonts w:hint="default" w:hAnsi="宋体"/>
                <w:color w:val="auto"/>
              </w:rPr>
              <w:t>标准</w:t>
            </w:r>
            <w:r>
              <w:rPr>
                <w:rFonts w:hint="eastAsia" w:hAnsi="宋体"/>
                <w:color w:val="auto"/>
              </w:rPr>
              <w:t>所属行业</w:t>
            </w:r>
          </w:p>
        </w:tc>
        <w:tc>
          <w:tcPr>
            <w:tcW w:w="5744" w:type="dxa"/>
            <w:gridSpan w:val="2"/>
            <w:vAlign w:val="center"/>
          </w:tcPr>
          <w:p w14:paraId="437DA72F">
            <w:pPr>
              <w:keepNext w:val="0"/>
              <w:keepLines w:val="0"/>
              <w:suppressLineNumbers w:val="0"/>
              <w:spacing w:before="0" w:beforeAutospacing="0" w:after="0" w:afterAutospacing="0" w:line="360" w:lineRule="auto"/>
              <w:ind w:left="0" w:right="0"/>
              <w:rPr>
                <w:rFonts w:hint="eastAsia" w:hAnsi="宋体" w:eastAsia="宋体"/>
                <w:color w:val="auto"/>
                <w:lang w:eastAsia="zh-CN"/>
              </w:rPr>
            </w:pPr>
            <w:r>
              <w:rPr>
                <w:rFonts w:hint="eastAsia" w:hAnsi="宋体"/>
                <w:color w:val="auto"/>
              </w:rPr>
              <w:t>其他</w:t>
            </w:r>
            <w:r>
              <w:rPr>
                <w:rFonts w:hint="default" w:hAnsi="宋体"/>
                <w:color w:val="auto"/>
              </w:rPr>
              <w:t>未列明行业</w:t>
            </w:r>
          </w:p>
        </w:tc>
      </w:tr>
      <w:tr w14:paraId="5821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049B7DB0">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11.6.3</w:t>
            </w:r>
          </w:p>
        </w:tc>
        <w:tc>
          <w:tcPr>
            <w:tcW w:w="1443" w:type="dxa"/>
            <w:vAlign w:val="center"/>
          </w:tcPr>
          <w:p w14:paraId="37B39BD5">
            <w:pPr>
              <w:keepNext w:val="0"/>
              <w:keepLines w:val="0"/>
              <w:suppressLineNumbers w:val="0"/>
              <w:spacing w:before="0" w:beforeAutospacing="0" w:after="0" w:afterAutospacing="0" w:line="360" w:lineRule="auto"/>
              <w:ind w:left="0" w:right="0"/>
              <w:jc w:val="center"/>
              <w:rPr>
                <w:rFonts w:hint="default"/>
                <w:b/>
                <w:color w:val="auto"/>
              </w:rPr>
            </w:pPr>
            <w:r>
              <w:rPr>
                <w:rFonts w:hint="eastAsia"/>
                <w:b/>
                <w:color w:val="auto"/>
              </w:rPr>
              <w:t>在政府采购活动中推广使用电子保函的</w:t>
            </w:r>
            <w:r>
              <w:rPr>
                <w:rFonts w:hint="default"/>
                <w:b/>
                <w:color w:val="auto"/>
              </w:rPr>
              <w:t>通知</w:t>
            </w:r>
          </w:p>
        </w:tc>
        <w:tc>
          <w:tcPr>
            <w:tcW w:w="5744" w:type="dxa"/>
            <w:gridSpan w:val="2"/>
            <w:vAlign w:val="center"/>
          </w:tcPr>
          <w:p w14:paraId="1B2B31AB">
            <w:pPr>
              <w:keepNext w:val="0"/>
              <w:keepLines w:val="0"/>
              <w:suppressLineNumbers w:val="0"/>
              <w:spacing w:before="0" w:beforeAutospacing="0" w:after="0" w:afterAutospacing="0" w:line="360" w:lineRule="auto"/>
              <w:ind w:left="0" w:right="0"/>
              <w:rPr>
                <w:rFonts w:hint="default"/>
                <w:b/>
                <w:color w:val="auto"/>
              </w:rPr>
            </w:pPr>
            <w:r>
              <w:rPr>
                <w:rFonts w:hint="eastAsia"/>
                <w:b/>
                <w:color w:val="auto"/>
              </w:rPr>
              <w:t>根据《广西壮族自治区财政厅关于在政府采购活动中推广使用电子保函的通知》（桂财采〔2023〕92号），为中小企业参与政府采购活动提供便利，切实减轻企业负担，进一步优化政府采购营商环境，在</w:t>
            </w:r>
            <w:r>
              <w:rPr>
                <w:rFonts w:hint="default"/>
                <w:b/>
                <w:color w:val="auto"/>
              </w:rPr>
              <w:t>本</w:t>
            </w:r>
            <w:r>
              <w:rPr>
                <w:rFonts w:hint="eastAsia"/>
                <w:b/>
                <w:color w:val="auto"/>
              </w:rPr>
              <w:t>县实施的政府</w:t>
            </w:r>
            <w:r>
              <w:rPr>
                <w:rFonts w:hint="default"/>
                <w:b/>
                <w:color w:val="auto"/>
              </w:rPr>
              <w:t>采购活动中，</w:t>
            </w:r>
            <w:r>
              <w:rPr>
                <w:rFonts w:hint="eastAsia"/>
                <w:b/>
                <w:color w:val="auto"/>
              </w:rPr>
              <w:t>项目如采用</w:t>
            </w:r>
            <w:r>
              <w:rPr>
                <w:rFonts w:hint="default"/>
                <w:b/>
                <w:color w:val="auto"/>
              </w:rPr>
              <w:t>了</w:t>
            </w:r>
            <w:r>
              <w:rPr>
                <w:rFonts w:hint="eastAsia"/>
                <w:b/>
                <w:color w:val="auto"/>
              </w:rPr>
              <w:t>投标保证金保函、履约保证金保函及预付款保函的</w:t>
            </w:r>
            <w:r>
              <w:rPr>
                <w:rFonts w:hint="default"/>
                <w:b/>
                <w:color w:val="auto"/>
              </w:rPr>
              <w:t>部分，均</w:t>
            </w:r>
            <w:r>
              <w:rPr>
                <w:rFonts w:hint="eastAsia"/>
                <w:b/>
                <w:color w:val="auto"/>
              </w:rPr>
              <w:t>鼓励</w:t>
            </w:r>
            <w:r>
              <w:rPr>
                <w:rFonts w:hint="default"/>
                <w:b/>
                <w:color w:val="auto"/>
              </w:rPr>
              <w:t>采取</w:t>
            </w:r>
            <w:r>
              <w:rPr>
                <w:rFonts w:hint="eastAsia"/>
                <w:b/>
                <w:color w:val="auto"/>
              </w:rPr>
              <w:t>政府采购电子保函的形式</w:t>
            </w:r>
            <w:r>
              <w:rPr>
                <w:rFonts w:hint="default"/>
                <w:b/>
                <w:color w:val="auto"/>
              </w:rPr>
              <w:t>。</w:t>
            </w:r>
            <w:r>
              <w:rPr>
                <w:rFonts w:hint="eastAsia"/>
                <w:b/>
                <w:color w:val="auto"/>
              </w:rPr>
              <w:t>电子保函有关业务操作流程和手册可从“广西政府采购金融服务平台”查阅下载，供应商在电子保函的申请、使用、查看应用过程中遇到问题可咨询技术支撑方：400-903-9583。</w:t>
            </w:r>
          </w:p>
        </w:tc>
      </w:tr>
      <w:tr w14:paraId="6F8C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3" w:type="dxa"/>
            <w:vAlign w:val="center"/>
          </w:tcPr>
          <w:p w14:paraId="4E4E56E6">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11.6.4</w:t>
            </w:r>
          </w:p>
        </w:tc>
        <w:tc>
          <w:tcPr>
            <w:tcW w:w="1443" w:type="dxa"/>
            <w:vAlign w:val="center"/>
          </w:tcPr>
          <w:p w14:paraId="67859A02">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进一步推行“政采贷”工作的通知</w:t>
            </w:r>
          </w:p>
        </w:tc>
        <w:tc>
          <w:tcPr>
            <w:tcW w:w="5744" w:type="dxa"/>
            <w:gridSpan w:val="2"/>
            <w:vAlign w:val="center"/>
          </w:tcPr>
          <w:p w14:paraId="2D6EC64A">
            <w:pPr>
              <w:keepNext w:val="0"/>
              <w:keepLines w:val="0"/>
              <w:suppressLineNumbers w:val="0"/>
              <w:spacing w:before="0" w:beforeAutospacing="0" w:after="0" w:afterAutospacing="0" w:line="360" w:lineRule="auto"/>
              <w:ind w:left="0" w:right="0"/>
              <w:rPr>
                <w:rFonts w:hint="default" w:hAnsi="宋体"/>
                <w:b/>
                <w:color w:val="auto"/>
              </w:rPr>
            </w:pPr>
            <w:r>
              <w:rPr>
                <w:rFonts w:hint="eastAsia" w:hAnsi="宋体"/>
                <w:b/>
                <w:color w:val="auto"/>
              </w:rPr>
              <w:t>“政采贷”政策告知函见</w:t>
            </w:r>
            <w:r>
              <w:rPr>
                <w:rFonts w:hint="default" w:hAnsi="宋体"/>
                <w:b/>
                <w:color w:val="auto"/>
              </w:rPr>
              <w:t>本章附件</w:t>
            </w:r>
            <w:r>
              <w:rPr>
                <w:rFonts w:hint="eastAsia" w:hAnsi="宋体"/>
                <w:b/>
                <w:color w:val="auto"/>
              </w:rPr>
              <w:t>1。</w:t>
            </w:r>
          </w:p>
        </w:tc>
      </w:tr>
    </w:tbl>
    <w:p w14:paraId="67E30CEF">
      <w:pPr>
        <w:rPr>
          <w:rFonts w:hAnsi="宋体"/>
          <w:color w:val="auto"/>
        </w:rPr>
      </w:pPr>
      <w:r>
        <w:rPr>
          <w:rFonts w:hAnsi="宋体"/>
          <w:color w:val="auto"/>
        </w:rPr>
        <w:br w:type="page"/>
      </w:r>
    </w:p>
    <w:p w14:paraId="0E44E7E3">
      <w:pPr>
        <w:keepNext/>
        <w:keepLines/>
        <w:spacing w:before="120" w:beforeAutospacing="1" w:after="100" w:afterAutospacing="1"/>
        <w:jc w:val="center"/>
        <w:outlineLvl w:val="1"/>
        <w:rPr>
          <w:rFonts w:hAnsi="宋体"/>
          <w:b/>
          <w:color w:val="auto"/>
          <w:kern w:val="2"/>
          <w:sz w:val="24"/>
          <w:szCs w:val="20"/>
        </w:rPr>
      </w:pPr>
      <w:bookmarkStart w:id="11" w:name="_Toc533783508"/>
      <w:bookmarkStart w:id="12" w:name="_Toc533781556"/>
      <w:bookmarkStart w:id="13" w:name="_Toc15973708"/>
      <w:bookmarkStart w:id="14" w:name="_Toc18395229"/>
      <w:bookmarkStart w:id="15" w:name="_Toc9457"/>
      <w:r>
        <w:rPr>
          <w:rFonts w:hint="eastAsia" w:hAnsi="宋体"/>
          <w:b/>
          <w:color w:val="auto"/>
          <w:kern w:val="2"/>
          <w:sz w:val="24"/>
          <w:szCs w:val="20"/>
        </w:rPr>
        <w:t>供应商须知正文</w:t>
      </w:r>
      <w:bookmarkEnd w:id="11"/>
      <w:bookmarkEnd w:id="12"/>
      <w:bookmarkEnd w:id="13"/>
      <w:bookmarkEnd w:id="14"/>
      <w:bookmarkEnd w:id="15"/>
    </w:p>
    <w:p w14:paraId="7892B87F">
      <w:pPr>
        <w:keepNext/>
        <w:keepLines/>
        <w:spacing w:line="360" w:lineRule="auto"/>
        <w:outlineLvl w:val="2"/>
        <w:rPr>
          <w:rFonts w:hAnsi="宋体"/>
          <w:b/>
          <w:bCs/>
          <w:color w:val="auto"/>
          <w:kern w:val="2"/>
          <w:sz w:val="24"/>
          <w:szCs w:val="28"/>
        </w:rPr>
      </w:pPr>
      <w:bookmarkStart w:id="16" w:name="_Toc533783509"/>
      <w:bookmarkStart w:id="17" w:name="_Toc533781557"/>
      <w:r>
        <w:rPr>
          <w:rFonts w:hAnsi="宋体"/>
          <w:b/>
          <w:bCs/>
          <w:color w:val="auto"/>
          <w:kern w:val="2"/>
          <w:sz w:val="24"/>
          <w:szCs w:val="28"/>
        </w:rPr>
        <w:t>1.</w:t>
      </w:r>
      <w:r>
        <w:rPr>
          <w:rFonts w:hint="eastAsia" w:hAnsi="宋体"/>
          <w:b/>
          <w:bCs/>
          <w:color w:val="auto"/>
          <w:kern w:val="2"/>
          <w:sz w:val="24"/>
          <w:szCs w:val="28"/>
        </w:rPr>
        <w:t>总则</w:t>
      </w:r>
      <w:bookmarkEnd w:id="16"/>
      <w:bookmarkEnd w:id="17"/>
    </w:p>
    <w:p w14:paraId="40B0E672">
      <w:pPr>
        <w:keepNext/>
        <w:keepLines/>
        <w:spacing w:line="360" w:lineRule="auto"/>
        <w:outlineLvl w:val="3"/>
        <w:rPr>
          <w:rFonts w:hAnsi="宋体"/>
          <w:b/>
          <w:bCs/>
          <w:color w:val="auto"/>
          <w:kern w:val="2"/>
          <w:szCs w:val="28"/>
        </w:rPr>
      </w:pPr>
      <w:r>
        <w:rPr>
          <w:rFonts w:hAnsi="宋体"/>
          <w:b/>
          <w:bCs/>
          <w:color w:val="auto"/>
          <w:kern w:val="2"/>
          <w:szCs w:val="28"/>
        </w:rPr>
        <w:t>1.1</w:t>
      </w:r>
      <w:r>
        <w:rPr>
          <w:rFonts w:hint="eastAsia" w:hAnsi="宋体"/>
          <w:b/>
          <w:bCs/>
          <w:color w:val="auto"/>
          <w:kern w:val="2"/>
          <w:szCs w:val="28"/>
        </w:rPr>
        <w:t>项目概况</w:t>
      </w:r>
    </w:p>
    <w:p w14:paraId="5AD70D97">
      <w:pPr>
        <w:spacing w:line="360" w:lineRule="auto"/>
        <w:rPr>
          <w:rFonts w:hAnsi="宋体"/>
          <w:color w:val="auto"/>
          <w:kern w:val="2"/>
          <w:szCs w:val="24"/>
        </w:rPr>
      </w:pPr>
      <w:r>
        <w:rPr>
          <w:rFonts w:hAnsi="宋体"/>
          <w:color w:val="auto"/>
          <w:kern w:val="2"/>
          <w:szCs w:val="24"/>
        </w:rPr>
        <w:t>1.1.1</w:t>
      </w:r>
      <w:r>
        <w:rPr>
          <w:rFonts w:hint="eastAsia" w:hAnsi="宋体"/>
          <w:color w:val="auto"/>
          <w:kern w:val="2"/>
          <w:szCs w:val="24"/>
        </w:rPr>
        <w:t>根据《中华人民共和国政府采购法》、《中华人民共和国政府采购法实施条例》等有关法律、法规和规章的规定，对本项目进行采购。</w:t>
      </w:r>
    </w:p>
    <w:p w14:paraId="4EC36FE4">
      <w:pPr>
        <w:spacing w:line="360" w:lineRule="auto"/>
        <w:rPr>
          <w:rFonts w:hAnsi="宋体"/>
          <w:color w:val="auto"/>
          <w:kern w:val="2"/>
          <w:szCs w:val="24"/>
        </w:rPr>
      </w:pPr>
      <w:r>
        <w:rPr>
          <w:rFonts w:hAnsi="宋体"/>
          <w:color w:val="auto"/>
          <w:kern w:val="2"/>
          <w:szCs w:val="24"/>
        </w:rPr>
        <w:t>1.1.2</w:t>
      </w:r>
      <w:r>
        <w:rPr>
          <w:rFonts w:hint="eastAsia" w:hAnsi="宋体"/>
          <w:color w:val="auto"/>
          <w:kern w:val="2"/>
          <w:szCs w:val="24"/>
        </w:rPr>
        <w:t>采购人：见供应商须知前附表。</w:t>
      </w:r>
    </w:p>
    <w:p w14:paraId="718EF917">
      <w:pPr>
        <w:spacing w:line="360" w:lineRule="auto"/>
        <w:rPr>
          <w:rFonts w:hAnsi="宋体"/>
          <w:color w:val="auto"/>
          <w:kern w:val="2"/>
          <w:szCs w:val="24"/>
        </w:rPr>
      </w:pPr>
      <w:r>
        <w:rPr>
          <w:rFonts w:hAnsi="宋体"/>
          <w:color w:val="auto"/>
          <w:kern w:val="2"/>
          <w:szCs w:val="24"/>
        </w:rPr>
        <w:t>1.1.3</w:t>
      </w:r>
      <w:r>
        <w:rPr>
          <w:rFonts w:hint="eastAsia" w:hAnsi="宋体"/>
          <w:color w:val="auto"/>
          <w:kern w:val="2"/>
          <w:szCs w:val="24"/>
        </w:rPr>
        <w:t>采购代理机构：见供应商须知前附表。</w:t>
      </w:r>
    </w:p>
    <w:p w14:paraId="77723430">
      <w:pPr>
        <w:spacing w:line="360" w:lineRule="auto"/>
        <w:rPr>
          <w:rFonts w:hAnsi="宋体"/>
          <w:color w:val="auto"/>
          <w:kern w:val="2"/>
          <w:szCs w:val="24"/>
        </w:rPr>
      </w:pPr>
      <w:r>
        <w:rPr>
          <w:rFonts w:hAnsi="宋体"/>
          <w:color w:val="auto"/>
          <w:kern w:val="2"/>
          <w:szCs w:val="24"/>
        </w:rPr>
        <w:t>1.1.4</w:t>
      </w:r>
      <w:r>
        <w:rPr>
          <w:rFonts w:hint="eastAsia" w:hAnsi="宋体"/>
          <w:color w:val="auto"/>
          <w:kern w:val="2"/>
          <w:szCs w:val="24"/>
        </w:rPr>
        <w:t>项目名称及编号：见供应商须知前附表。</w:t>
      </w:r>
    </w:p>
    <w:p w14:paraId="6F561631">
      <w:pPr>
        <w:spacing w:line="360" w:lineRule="auto"/>
        <w:rPr>
          <w:rFonts w:hAnsi="宋体"/>
          <w:color w:val="auto"/>
          <w:kern w:val="2"/>
          <w:szCs w:val="24"/>
        </w:rPr>
      </w:pPr>
      <w:r>
        <w:rPr>
          <w:rFonts w:hAnsi="宋体"/>
          <w:color w:val="auto"/>
          <w:kern w:val="2"/>
          <w:szCs w:val="24"/>
        </w:rPr>
        <w:t>1.1.5</w:t>
      </w:r>
      <w:r>
        <w:rPr>
          <w:rFonts w:hint="eastAsia" w:hAnsi="宋体"/>
          <w:color w:val="auto"/>
          <w:kern w:val="2"/>
          <w:szCs w:val="24"/>
        </w:rPr>
        <w:t>项目基本情况：见供应商须知前附表</w:t>
      </w:r>
    </w:p>
    <w:p w14:paraId="0C4B2897">
      <w:pPr>
        <w:keepNext/>
        <w:keepLines/>
        <w:spacing w:line="360" w:lineRule="auto"/>
        <w:outlineLvl w:val="3"/>
        <w:rPr>
          <w:rFonts w:hAnsi="宋体"/>
          <w:b/>
          <w:bCs/>
          <w:color w:val="auto"/>
          <w:kern w:val="2"/>
          <w:szCs w:val="28"/>
        </w:rPr>
      </w:pPr>
      <w:r>
        <w:rPr>
          <w:rFonts w:hAnsi="宋体"/>
          <w:b/>
          <w:bCs/>
          <w:color w:val="auto"/>
          <w:kern w:val="2"/>
          <w:szCs w:val="28"/>
        </w:rPr>
        <w:t>1.2</w:t>
      </w:r>
      <w:r>
        <w:rPr>
          <w:rFonts w:hint="eastAsia" w:hAnsi="宋体"/>
          <w:b/>
          <w:bCs/>
          <w:color w:val="auto"/>
          <w:kern w:val="2"/>
          <w:szCs w:val="28"/>
        </w:rPr>
        <w:t>资金来源、落实情况及增值税计税方法情况</w:t>
      </w:r>
    </w:p>
    <w:p w14:paraId="2BCE9E5B">
      <w:pPr>
        <w:spacing w:line="360" w:lineRule="auto"/>
        <w:rPr>
          <w:rFonts w:hAnsi="宋体"/>
          <w:color w:val="auto"/>
          <w:kern w:val="2"/>
          <w:szCs w:val="24"/>
        </w:rPr>
      </w:pPr>
      <w:r>
        <w:rPr>
          <w:rFonts w:hAnsi="宋体"/>
          <w:color w:val="auto"/>
          <w:kern w:val="2"/>
          <w:szCs w:val="24"/>
        </w:rPr>
        <w:t>1.2.1</w:t>
      </w:r>
      <w:r>
        <w:rPr>
          <w:rFonts w:hint="eastAsia" w:hAnsi="宋体"/>
          <w:color w:val="auto"/>
          <w:kern w:val="2"/>
          <w:szCs w:val="24"/>
        </w:rPr>
        <w:t>资金来源、落实情况：见供应商须知前附表。</w:t>
      </w:r>
    </w:p>
    <w:p w14:paraId="3E2E8DD8">
      <w:pPr>
        <w:spacing w:line="360" w:lineRule="auto"/>
        <w:rPr>
          <w:rFonts w:hAnsi="宋体"/>
          <w:color w:val="auto"/>
          <w:kern w:val="2"/>
          <w:szCs w:val="24"/>
        </w:rPr>
      </w:pPr>
      <w:r>
        <w:rPr>
          <w:rFonts w:hAnsi="宋体"/>
          <w:color w:val="auto"/>
          <w:kern w:val="2"/>
          <w:szCs w:val="24"/>
        </w:rPr>
        <w:t>1.2.2</w:t>
      </w:r>
      <w:r>
        <w:rPr>
          <w:rFonts w:hint="eastAsia" w:hAnsi="宋体"/>
          <w:color w:val="auto"/>
          <w:kern w:val="2"/>
          <w:szCs w:val="24"/>
        </w:rPr>
        <w:t>增值税计税方法：见供应商须知前附表。</w:t>
      </w:r>
    </w:p>
    <w:p w14:paraId="24B287FA">
      <w:pPr>
        <w:keepNext/>
        <w:keepLines/>
        <w:spacing w:line="360" w:lineRule="auto"/>
        <w:outlineLvl w:val="3"/>
        <w:rPr>
          <w:rFonts w:hAnsi="宋体"/>
          <w:b/>
          <w:bCs/>
          <w:color w:val="auto"/>
          <w:kern w:val="2"/>
          <w:szCs w:val="28"/>
        </w:rPr>
      </w:pPr>
      <w:r>
        <w:rPr>
          <w:rFonts w:hAnsi="宋体"/>
          <w:b/>
          <w:bCs/>
          <w:color w:val="auto"/>
          <w:kern w:val="2"/>
          <w:szCs w:val="28"/>
        </w:rPr>
        <w:t>1.3</w:t>
      </w:r>
      <w:r>
        <w:rPr>
          <w:rFonts w:hint="eastAsia" w:hAnsi="宋体"/>
          <w:b/>
          <w:bCs/>
          <w:color w:val="auto"/>
          <w:kern w:val="2"/>
          <w:szCs w:val="28"/>
        </w:rPr>
        <w:t>供应商资格要求</w:t>
      </w:r>
    </w:p>
    <w:p w14:paraId="1A5DBE6D">
      <w:pPr>
        <w:spacing w:line="360" w:lineRule="auto"/>
        <w:rPr>
          <w:rFonts w:hAnsi="宋体"/>
          <w:color w:val="auto"/>
          <w:kern w:val="2"/>
          <w:szCs w:val="24"/>
        </w:rPr>
      </w:pPr>
      <w:r>
        <w:rPr>
          <w:rFonts w:hAnsi="宋体"/>
          <w:color w:val="auto"/>
          <w:kern w:val="2"/>
          <w:szCs w:val="24"/>
        </w:rPr>
        <w:t>1.3.1</w:t>
      </w:r>
      <w:r>
        <w:rPr>
          <w:rFonts w:hint="eastAsia" w:hAnsi="宋体"/>
          <w:color w:val="auto"/>
          <w:kern w:val="2"/>
          <w:szCs w:val="24"/>
        </w:rPr>
        <w:t>供应商应具备承担本采购项目的资质、能力、信誉：见供应商须知前附表。</w:t>
      </w:r>
    </w:p>
    <w:p w14:paraId="7E3A66F2">
      <w:pPr>
        <w:spacing w:line="360" w:lineRule="auto"/>
        <w:rPr>
          <w:rFonts w:hAnsi="宋体"/>
          <w:color w:val="auto"/>
          <w:kern w:val="2"/>
          <w:szCs w:val="24"/>
        </w:rPr>
      </w:pPr>
      <w:r>
        <w:rPr>
          <w:rFonts w:hAnsi="宋体"/>
          <w:color w:val="auto"/>
          <w:kern w:val="2"/>
          <w:szCs w:val="24"/>
        </w:rPr>
        <w:t>1.3.2</w:t>
      </w:r>
      <w:r>
        <w:rPr>
          <w:rFonts w:hint="eastAsia" w:hAnsi="宋体"/>
          <w:color w:val="auto"/>
          <w:kern w:val="2"/>
          <w:szCs w:val="24"/>
        </w:rPr>
        <w:t>供应商须知前附表规定接受联合体投标的，联合体除应符合本章第</w:t>
      </w:r>
      <w:r>
        <w:rPr>
          <w:rFonts w:hAnsi="宋体"/>
          <w:color w:val="auto"/>
          <w:kern w:val="2"/>
          <w:szCs w:val="24"/>
        </w:rPr>
        <w:t>1.3.1</w:t>
      </w:r>
      <w:r>
        <w:rPr>
          <w:rFonts w:hint="eastAsia" w:hAnsi="宋体"/>
          <w:color w:val="auto"/>
          <w:kern w:val="2"/>
          <w:szCs w:val="24"/>
        </w:rPr>
        <w:t>项和供应商须知前附表的要求外，还应遵守以下规定：</w:t>
      </w:r>
    </w:p>
    <w:p w14:paraId="489B71E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）联合体各方应按磋商文件提供的格式签订联合体协议书，明确联合体牵头人和各方权利义务，联合体各方应当共同与采购人签订采购合同，就采购合同约定的事项对采购人承担连带责任；</w:t>
      </w:r>
    </w:p>
    <w:p w14:paraId="3019943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）联合体中有同类资质的供应商按照联合体分工承担相同工作的，应当按照资质等级较低的供应商确定资质等级。</w:t>
      </w:r>
    </w:p>
    <w:p w14:paraId="16EEF64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）联合体各方不得再单独参加或者与其他供应商另外组成联合体参加同一合同项下的政府采购活动，否则相关各方的响应文件均按无效响应处理。</w:t>
      </w:r>
    </w:p>
    <w:p w14:paraId="004FCBE0">
      <w:pPr>
        <w:spacing w:line="360" w:lineRule="auto"/>
        <w:rPr>
          <w:rFonts w:hAnsi="宋体"/>
          <w:color w:val="auto"/>
          <w:kern w:val="2"/>
          <w:szCs w:val="24"/>
        </w:rPr>
      </w:pPr>
      <w:r>
        <w:rPr>
          <w:rFonts w:hAnsi="宋体"/>
          <w:color w:val="auto"/>
          <w:kern w:val="2"/>
          <w:szCs w:val="24"/>
        </w:rPr>
        <w:t>1.3.3</w:t>
      </w:r>
      <w:r>
        <w:rPr>
          <w:rFonts w:hint="eastAsia" w:hAnsi="宋体"/>
          <w:color w:val="auto"/>
          <w:kern w:val="2"/>
          <w:szCs w:val="24"/>
        </w:rPr>
        <w:t>供应商不得存在下列情形之一：</w:t>
      </w:r>
    </w:p>
    <w:p w14:paraId="1C67323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）与采购人存在利害关系可能影响采购活动公正性的；</w:t>
      </w:r>
    </w:p>
    <w:p w14:paraId="190C17C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）为本项目提供采购代理服务的；</w:t>
      </w:r>
    </w:p>
    <w:p w14:paraId="0D49AB95">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）与采购代理机构负责人为同一人或者存在直接控股和管理关系的；</w:t>
      </w:r>
    </w:p>
    <w:p w14:paraId="44D290D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）供应商不得存在的其他情形见供应商须知前附表。</w:t>
      </w:r>
    </w:p>
    <w:p w14:paraId="45B3442E">
      <w:pPr>
        <w:keepNext/>
        <w:keepLines/>
        <w:spacing w:line="360" w:lineRule="auto"/>
        <w:outlineLvl w:val="3"/>
        <w:rPr>
          <w:rFonts w:hAnsi="宋体"/>
          <w:b/>
          <w:bCs/>
          <w:color w:val="auto"/>
          <w:kern w:val="2"/>
          <w:szCs w:val="28"/>
        </w:rPr>
      </w:pPr>
      <w:r>
        <w:rPr>
          <w:rFonts w:hAnsi="宋体"/>
          <w:b/>
          <w:bCs/>
          <w:color w:val="auto"/>
          <w:kern w:val="2"/>
          <w:szCs w:val="28"/>
        </w:rPr>
        <w:t>1.4</w:t>
      </w:r>
      <w:r>
        <w:rPr>
          <w:rFonts w:hint="eastAsia" w:hAnsi="宋体"/>
          <w:b/>
          <w:bCs/>
          <w:color w:val="auto"/>
          <w:kern w:val="2"/>
          <w:szCs w:val="28"/>
        </w:rPr>
        <w:t>费用承担</w:t>
      </w:r>
    </w:p>
    <w:p w14:paraId="05DEB081">
      <w:pPr>
        <w:spacing w:line="360" w:lineRule="auto"/>
        <w:rPr>
          <w:rFonts w:hAnsi="宋体"/>
          <w:color w:val="auto"/>
          <w:kern w:val="2"/>
          <w:szCs w:val="24"/>
        </w:rPr>
      </w:pPr>
      <w:r>
        <w:rPr>
          <w:rFonts w:hint="eastAsia" w:hAnsi="宋体"/>
          <w:color w:val="auto"/>
          <w:kern w:val="2"/>
          <w:szCs w:val="24"/>
        </w:rPr>
        <w:t>供应商准备和参加采购活动发生的费用自理。</w:t>
      </w:r>
    </w:p>
    <w:p w14:paraId="3D676E1D">
      <w:pPr>
        <w:keepNext/>
        <w:keepLines/>
        <w:spacing w:line="360" w:lineRule="auto"/>
        <w:outlineLvl w:val="3"/>
        <w:rPr>
          <w:rFonts w:hAnsi="宋体"/>
          <w:b/>
          <w:bCs/>
          <w:color w:val="auto"/>
          <w:kern w:val="2"/>
          <w:szCs w:val="28"/>
        </w:rPr>
      </w:pPr>
      <w:r>
        <w:rPr>
          <w:rFonts w:hAnsi="宋体"/>
          <w:b/>
          <w:bCs/>
          <w:color w:val="auto"/>
          <w:kern w:val="2"/>
          <w:szCs w:val="28"/>
        </w:rPr>
        <w:t>1.5</w:t>
      </w:r>
      <w:r>
        <w:rPr>
          <w:rFonts w:hint="eastAsia" w:hAnsi="宋体"/>
          <w:b/>
          <w:bCs/>
          <w:color w:val="auto"/>
          <w:kern w:val="2"/>
          <w:szCs w:val="28"/>
        </w:rPr>
        <w:t>保密</w:t>
      </w:r>
    </w:p>
    <w:p w14:paraId="5490FA7F">
      <w:pPr>
        <w:spacing w:line="360" w:lineRule="auto"/>
        <w:rPr>
          <w:rFonts w:hAnsi="宋体"/>
          <w:color w:val="auto"/>
          <w:kern w:val="2"/>
          <w:szCs w:val="24"/>
        </w:rPr>
      </w:pPr>
      <w:r>
        <w:rPr>
          <w:rFonts w:hint="eastAsia" w:hAnsi="宋体"/>
          <w:color w:val="auto"/>
          <w:kern w:val="2"/>
          <w:szCs w:val="24"/>
        </w:rPr>
        <w:t>参与采购活动的各方应对磋商文件和响应文件中的商业和技术等秘密保密，否则应承担相应的法律责任。</w:t>
      </w:r>
    </w:p>
    <w:p w14:paraId="598CDE5E">
      <w:pPr>
        <w:keepNext/>
        <w:keepLines/>
        <w:spacing w:line="360" w:lineRule="auto"/>
        <w:outlineLvl w:val="3"/>
        <w:rPr>
          <w:rFonts w:hAnsi="宋体"/>
          <w:b/>
          <w:bCs/>
          <w:color w:val="auto"/>
          <w:kern w:val="2"/>
          <w:szCs w:val="28"/>
        </w:rPr>
      </w:pPr>
      <w:r>
        <w:rPr>
          <w:rFonts w:hAnsi="宋体"/>
          <w:b/>
          <w:bCs/>
          <w:color w:val="auto"/>
          <w:kern w:val="2"/>
          <w:szCs w:val="28"/>
        </w:rPr>
        <w:t>1.6</w:t>
      </w:r>
      <w:r>
        <w:rPr>
          <w:rFonts w:hint="eastAsia" w:hAnsi="宋体"/>
          <w:b/>
          <w:bCs/>
          <w:color w:val="auto"/>
          <w:kern w:val="2"/>
          <w:szCs w:val="28"/>
        </w:rPr>
        <w:t>语言文字</w:t>
      </w:r>
    </w:p>
    <w:p w14:paraId="1A40E3DD">
      <w:pPr>
        <w:spacing w:line="360" w:lineRule="auto"/>
        <w:rPr>
          <w:rFonts w:hAnsi="宋体"/>
          <w:color w:val="auto"/>
          <w:kern w:val="2"/>
          <w:szCs w:val="24"/>
        </w:rPr>
      </w:pPr>
      <w:r>
        <w:rPr>
          <w:rFonts w:hint="eastAsia" w:hAnsi="宋体"/>
          <w:color w:val="auto"/>
          <w:kern w:val="2"/>
          <w:szCs w:val="24"/>
        </w:rPr>
        <w:t>磋商文件及响应文件使用的语言文字为中文。专用术语使用外文的，应附有中文注释。</w:t>
      </w:r>
    </w:p>
    <w:p w14:paraId="5322CFFC">
      <w:pPr>
        <w:keepNext/>
        <w:keepLines/>
        <w:spacing w:line="360" w:lineRule="auto"/>
        <w:outlineLvl w:val="3"/>
        <w:rPr>
          <w:rFonts w:hAnsi="宋体"/>
          <w:b/>
          <w:bCs/>
          <w:color w:val="auto"/>
          <w:kern w:val="2"/>
          <w:szCs w:val="28"/>
        </w:rPr>
      </w:pPr>
      <w:r>
        <w:rPr>
          <w:rFonts w:hAnsi="宋体"/>
          <w:b/>
          <w:bCs/>
          <w:color w:val="auto"/>
          <w:kern w:val="2"/>
          <w:szCs w:val="28"/>
        </w:rPr>
        <w:t>1.7</w:t>
      </w:r>
      <w:r>
        <w:rPr>
          <w:rFonts w:hint="eastAsia" w:hAnsi="宋体"/>
          <w:b/>
          <w:bCs/>
          <w:color w:val="auto"/>
          <w:kern w:val="2"/>
          <w:szCs w:val="28"/>
        </w:rPr>
        <w:t>计量单位</w:t>
      </w:r>
    </w:p>
    <w:p w14:paraId="3968F188">
      <w:pPr>
        <w:spacing w:line="360" w:lineRule="auto"/>
        <w:rPr>
          <w:rFonts w:hAnsi="宋体"/>
          <w:color w:val="auto"/>
          <w:kern w:val="2"/>
          <w:szCs w:val="24"/>
        </w:rPr>
      </w:pPr>
      <w:r>
        <w:rPr>
          <w:rFonts w:hint="eastAsia" w:hAnsi="宋体"/>
          <w:color w:val="auto"/>
          <w:kern w:val="2"/>
          <w:szCs w:val="24"/>
        </w:rPr>
        <w:t>所有计量均采用中华人民共和国法定计量单位。</w:t>
      </w:r>
    </w:p>
    <w:p w14:paraId="66C4A895">
      <w:pPr>
        <w:keepNext/>
        <w:keepLines/>
        <w:spacing w:line="360" w:lineRule="auto"/>
        <w:outlineLvl w:val="3"/>
        <w:rPr>
          <w:rFonts w:hAnsi="宋体"/>
          <w:b/>
          <w:bCs/>
          <w:color w:val="auto"/>
          <w:kern w:val="2"/>
          <w:szCs w:val="28"/>
        </w:rPr>
      </w:pPr>
      <w:r>
        <w:rPr>
          <w:rFonts w:hAnsi="宋体"/>
          <w:b/>
          <w:bCs/>
          <w:color w:val="auto"/>
          <w:kern w:val="2"/>
          <w:szCs w:val="28"/>
        </w:rPr>
        <w:t>1.8</w:t>
      </w:r>
      <w:r>
        <w:rPr>
          <w:rFonts w:hint="eastAsia" w:hAnsi="宋体"/>
          <w:b/>
          <w:bCs/>
          <w:color w:val="auto"/>
          <w:kern w:val="2"/>
          <w:szCs w:val="28"/>
        </w:rPr>
        <w:t>踏勘现场</w:t>
      </w:r>
    </w:p>
    <w:p w14:paraId="78613B6C">
      <w:pPr>
        <w:spacing w:line="360" w:lineRule="auto"/>
        <w:rPr>
          <w:rFonts w:hAnsi="宋体"/>
          <w:color w:val="auto"/>
          <w:kern w:val="2"/>
          <w:szCs w:val="24"/>
        </w:rPr>
      </w:pPr>
      <w:r>
        <w:rPr>
          <w:rFonts w:hAnsi="宋体"/>
          <w:color w:val="auto"/>
          <w:kern w:val="2"/>
          <w:szCs w:val="24"/>
        </w:rPr>
        <w:t>1.8.1</w:t>
      </w:r>
      <w:r>
        <w:rPr>
          <w:rFonts w:hint="eastAsia" w:hAnsi="宋体"/>
          <w:color w:val="auto"/>
          <w:kern w:val="2"/>
          <w:szCs w:val="24"/>
        </w:rPr>
        <w:t>供应商须知前附表规定由采购人组织踏勘项目现场的，由采购人按前附表规定的时间和地点安排潜在供应商踏勘现场。</w:t>
      </w:r>
    </w:p>
    <w:p w14:paraId="47484B62">
      <w:pPr>
        <w:spacing w:line="360" w:lineRule="auto"/>
        <w:rPr>
          <w:rFonts w:hAnsi="宋体"/>
          <w:color w:val="auto"/>
          <w:kern w:val="2"/>
          <w:szCs w:val="24"/>
        </w:rPr>
      </w:pPr>
      <w:r>
        <w:rPr>
          <w:rFonts w:hAnsi="宋体"/>
          <w:color w:val="auto"/>
          <w:kern w:val="2"/>
          <w:szCs w:val="24"/>
        </w:rPr>
        <w:t>1.8.2</w:t>
      </w:r>
      <w:r>
        <w:rPr>
          <w:rFonts w:hint="eastAsia" w:hAnsi="宋体"/>
          <w:color w:val="auto"/>
          <w:kern w:val="2"/>
          <w:szCs w:val="24"/>
        </w:rPr>
        <w:t>供应商须知前附表规定采购人不组织踏勘现场的，供应商根据需要自行踏勘项目现场。</w:t>
      </w:r>
    </w:p>
    <w:p w14:paraId="7A0425F6">
      <w:pPr>
        <w:spacing w:line="360" w:lineRule="auto"/>
        <w:rPr>
          <w:rFonts w:hAnsi="宋体"/>
          <w:color w:val="auto"/>
          <w:kern w:val="2"/>
          <w:szCs w:val="24"/>
        </w:rPr>
      </w:pPr>
      <w:r>
        <w:rPr>
          <w:rFonts w:hAnsi="宋体"/>
          <w:color w:val="auto"/>
          <w:kern w:val="2"/>
          <w:szCs w:val="24"/>
        </w:rPr>
        <w:t>1.8.3</w:t>
      </w:r>
      <w:r>
        <w:rPr>
          <w:rFonts w:hint="eastAsia" w:hAnsi="宋体"/>
          <w:color w:val="auto"/>
          <w:kern w:val="2"/>
          <w:szCs w:val="24"/>
        </w:rPr>
        <w:t>供应商踏勘现场发生的费用自理。</w:t>
      </w:r>
    </w:p>
    <w:p w14:paraId="45FE4C61">
      <w:pPr>
        <w:spacing w:line="360" w:lineRule="auto"/>
        <w:rPr>
          <w:rFonts w:hAnsi="宋体"/>
          <w:color w:val="auto"/>
          <w:kern w:val="2"/>
          <w:szCs w:val="24"/>
        </w:rPr>
      </w:pPr>
      <w:r>
        <w:rPr>
          <w:rFonts w:hAnsi="宋体"/>
          <w:color w:val="auto"/>
          <w:kern w:val="2"/>
          <w:szCs w:val="24"/>
        </w:rPr>
        <w:t>1.8.4</w:t>
      </w:r>
      <w:r>
        <w:rPr>
          <w:rFonts w:hint="eastAsia" w:hAnsi="宋体"/>
          <w:color w:val="auto"/>
          <w:kern w:val="2"/>
          <w:szCs w:val="24"/>
        </w:rPr>
        <w:t>供应商自行负责在踏勘现场中所发生的人员伤亡和财产损失。</w:t>
      </w:r>
    </w:p>
    <w:p w14:paraId="391BDB8B">
      <w:pPr>
        <w:keepNext/>
        <w:keepLines/>
        <w:spacing w:line="360" w:lineRule="auto"/>
        <w:outlineLvl w:val="3"/>
        <w:rPr>
          <w:rFonts w:hAnsi="宋体"/>
          <w:b/>
          <w:bCs/>
          <w:color w:val="auto"/>
          <w:kern w:val="2"/>
          <w:szCs w:val="28"/>
        </w:rPr>
      </w:pPr>
      <w:r>
        <w:rPr>
          <w:rFonts w:hAnsi="宋体"/>
          <w:b/>
          <w:bCs/>
          <w:color w:val="auto"/>
          <w:kern w:val="2"/>
          <w:szCs w:val="28"/>
        </w:rPr>
        <w:t>1.9</w:t>
      </w:r>
      <w:r>
        <w:rPr>
          <w:rFonts w:hint="eastAsia" w:hAnsi="宋体"/>
          <w:b/>
          <w:bCs/>
          <w:color w:val="auto"/>
          <w:kern w:val="2"/>
          <w:szCs w:val="28"/>
        </w:rPr>
        <w:t>分包</w:t>
      </w:r>
    </w:p>
    <w:p w14:paraId="1553D976">
      <w:pPr>
        <w:spacing w:line="360" w:lineRule="auto"/>
        <w:rPr>
          <w:rFonts w:hAnsi="宋体"/>
          <w:color w:val="auto"/>
          <w:kern w:val="2"/>
          <w:szCs w:val="24"/>
        </w:rPr>
      </w:pPr>
      <w:r>
        <w:rPr>
          <w:rFonts w:hAnsi="宋体"/>
          <w:color w:val="auto"/>
          <w:kern w:val="2"/>
          <w:szCs w:val="24"/>
        </w:rPr>
        <w:t>1.9.1</w:t>
      </w:r>
      <w:r>
        <w:rPr>
          <w:rFonts w:hint="eastAsia" w:hAnsi="宋体"/>
          <w:color w:val="auto"/>
          <w:kern w:val="2"/>
          <w:szCs w:val="24"/>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7DDB6DD3">
      <w:pPr>
        <w:spacing w:line="360" w:lineRule="auto"/>
        <w:rPr>
          <w:rFonts w:hAnsi="宋体"/>
          <w:color w:val="auto"/>
          <w:kern w:val="2"/>
          <w:szCs w:val="24"/>
        </w:rPr>
      </w:pPr>
      <w:r>
        <w:rPr>
          <w:rFonts w:hAnsi="宋体"/>
          <w:color w:val="auto"/>
          <w:kern w:val="2"/>
          <w:szCs w:val="24"/>
        </w:rPr>
        <w:t>1.9.2</w:t>
      </w:r>
      <w:r>
        <w:rPr>
          <w:rFonts w:hint="eastAsia" w:hAnsi="宋体"/>
          <w:color w:val="auto"/>
          <w:kern w:val="2"/>
          <w:szCs w:val="24"/>
        </w:rPr>
        <w:t>成交供应商不得向他人转让成交项目，接受分包的人不得再次分包。成交供应商就采购项目和分包项目向采购人负责，分包供应商就分包项目承担责任。</w:t>
      </w:r>
    </w:p>
    <w:p w14:paraId="6895CA0D">
      <w:pPr>
        <w:keepNext/>
        <w:keepLines/>
        <w:spacing w:line="360" w:lineRule="auto"/>
        <w:outlineLvl w:val="3"/>
        <w:rPr>
          <w:rFonts w:hAnsi="宋体"/>
          <w:b/>
          <w:bCs/>
          <w:color w:val="auto"/>
          <w:kern w:val="2"/>
          <w:szCs w:val="28"/>
        </w:rPr>
      </w:pPr>
      <w:r>
        <w:rPr>
          <w:rFonts w:hAnsi="宋体"/>
          <w:b/>
          <w:bCs/>
          <w:color w:val="auto"/>
          <w:kern w:val="2"/>
          <w:szCs w:val="28"/>
        </w:rPr>
        <w:t>1.10</w:t>
      </w:r>
      <w:r>
        <w:rPr>
          <w:rFonts w:hint="eastAsia" w:hAnsi="宋体"/>
          <w:b/>
          <w:bCs/>
          <w:color w:val="auto"/>
          <w:kern w:val="2"/>
          <w:szCs w:val="28"/>
        </w:rPr>
        <w:t>响应偏差</w:t>
      </w:r>
    </w:p>
    <w:p w14:paraId="26F1B754">
      <w:pPr>
        <w:spacing w:line="360" w:lineRule="auto"/>
        <w:rPr>
          <w:rFonts w:hAnsi="宋体"/>
          <w:color w:val="auto"/>
          <w:kern w:val="2"/>
          <w:szCs w:val="24"/>
        </w:rPr>
      </w:pPr>
      <w:r>
        <w:rPr>
          <w:rFonts w:hint="eastAsia" w:hAnsi="宋体"/>
          <w:color w:val="auto"/>
          <w:kern w:val="2"/>
          <w:szCs w:val="24"/>
        </w:rPr>
        <w:t>响应文件应当对磋商文件的实质性要求和条件作出满足性或更有利于采购人的响应，否则，响应将被否决。</w:t>
      </w:r>
    </w:p>
    <w:p w14:paraId="7F7E471E">
      <w:pPr>
        <w:keepNext/>
        <w:keepLines/>
        <w:spacing w:line="360" w:lineRule="auto"/>
        <w:outlineLvl w:val="2"/>
        <w:rPr>
          <w:rFonts w:hAnsi="宋体"/>
          <w:b/>
          <w:bCs/>
          <w:color w:val="auto"/>
          <w:kern w:val="2"/>
          <w:sz w:val="24"/>
          <w:szCs w:val="28"/>
        </w:rPr>
      </w:pPr>
      <w:bookmarkStart w:id="18" w:name="_Toc533783510"/>
      <w:bookmarkStart w:id="19" w:name="_Toc533781558"/>
      <w:r>
        <w:rPr>
          <w:rFonts w:hAnsi="宋体"/>
          <w:b/>
          <w:bCs/>
          <w:color w:val="auto"/>
          <w:kern w:val="2"/>
          <w:sz w:val="24"/>
          <w:szCs w:val="28"/>
        </w:rPr>
        <w:t>2.</w:t>
      </w:r>
      <w:bookmarkEnd w:id="18"/>
      <w:bookmarkEnd w:id="19"/>
      <w:r>
        <w:rPr>
          <w:rFonts w:hint="eastAsia" w:hAnsi="宋体"/>
          <w:b/>
          <w:bCs/>
          <w:color w:val="auto"/>
          <w:kern w:val="2"/>
          <w:sz w:val="24"/>
          <w:szCs w:val="28"/>
        </w:rPr>
        <w:t>磋商文件</w:t>
      </w:r>
    </w:p>
    <w:p w14:paraId="6FF83BCD">
      <w:pPr>
        <w:keepNext/>
        <w:keepLines/>
        <w:spacing w:line="360" w:lineRule="auto"/>
        <w:outlineLvl w:val="3"/>
        <w:rPr>
          <w:rFonts w:hAnsi="宋体"/>
          <w:b/>
          <w:bCs/>
          <w:color w:val="auto"/>
          <w:kern w:val="2"/>
          <w:szCs w:val="28"/>
        </w:rPr>
      </w:pPr>
      <w:r>
        <w:rPr>
          <w:rFonts w:hAnsi="宋体"/>
          <w:b/>
          <w:bCs/>
          <w:color w:val="auto"/>
          <w:kern w:val="2"/>
          <w:szCs w:val="28"/>
        </w:rPr>
        <w:t>2.1</w:t>
      </w:r>
      <w:r>
        <w:rPr>
          <w:rFonts w:hint="eastAsia" w:hAnsi="宋体"/>
          <w:b/>
          <w:bCs/>
          <w:color w:val="auto"/>
          <w:kern w:val="2"/>
          <w:szCs w:val="28"/>
        </w:rPr>
        <w:t>磋商文件的组成</w:t>
      </w:r>
    </w:p>
    <w:p w14:paraId="5CB680EB">
      <w:pPr>
        <w:spacing w:line="360" w:lineRule="auto"/>
        <w:rPr>
          <w:rFonts w:hAnsi="宋体"/>
          <w:color w:val="auto"/>
          <w:kern w:val="2"/>
          <w:szCs w:val="24"/>
        </w:rPr>
      </w:pPr>
      <w:r>
        <w:rPr>
          <w:rFonts w:hAnsi="宋体"/>
          <w:color w:val="auto"/>
          <w:kern w:val="2"/>
          <w:szCs w:val="24"/>
        </w:rPr>
        <w:t>2.1.1</w:t>
      </w:r>
      <w:r>
        <w:rPr>
          <w:rFonts w:hint="eastAsia" w:hAnsi="宋体"/>
          <w:color w:val="auto"/>
          <w:kern w:val="2"/>
          <w:szCs w:val="24"/>
        </w:rPr>
        <w:t>本磋商文件包括：</w:t>
      </w:r>
    </w:p>
    <w:p w14:paraId="3A7C5AB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）竞争性磋商公告</w:t>
      </w:r>
    </w:p>
    <w:p w14:paraId="5D90CAC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）供应商须知</w:t>
      </w:r>
    </w:p>
    <w:p w14:paraId="62E0DE6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）评标办法</w:t>
      </w:r>
    </w:p>
    <w:p w14:paraId="3B44739E">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）合同条款及格式</w:t>
      </w:r>
    </w:p>
    <w:p w14:paraId="094E3A8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）技术标准和要求</w:t>
      </w:r>
    </w:p>
    <w:p w14:paraId="66B1DF9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）响应文件格式</w:t>
      </w:r>
    </w:p>
    <w:p w14:paraId="0BC9ABC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）项目需求和说明</w:t>
      </w:r>
    </w:p>
    <w:p w14:paraId="78475AEB">
      <w:pPr>
        <w:spacing w:line="360" w:lineRule="auto"/>
        <w:rPr>
          <w:rFonts w:hAnsi="宋体"/>
          <w:color w:val="auto"/>
          <w:kern w:val="2"/>
          <w:szCs w:val="24"/>
        </w:rPr>
      </w:pPr>
      <w:r>
        <w:rPr>
          <w:rFonts w:hAnsi="宋体"/>
          <w:color w:val="auto"/>
          <w:kern w:val="2"/>
          <w:szCs w:val="24"/>
        </w:rPr>
        <w:t>2.1.2</w:t>
      </w:r>
      <w:r>
        <w:rPr>
          <w:rFonts w:hint="eastAsia" w:hAnsi="宋体"/>
          <w:color w:val="auto"/>
          <w:kern w:val="2"/>
          <w:szCs w:val="24"/>
        </w:rPr>
        <w:t>根据本章第</w:t>
      </w:r>
      <w:r>
        <w:rPr>
          <w:rFonts w:hAnsi="宋体"/>
          <w:color w:val="auto"/>
          <w:kern w:val="2"/>
          <w:szCs w:val="24"/>
        </w:rPr>
        <w:t>2.2</w:t>
      </w:r>
      <w:r>
        <w:rPr>
          <w:rFonts w:hint="eastAsia" w:hAnsi="宋体"/>
          <w:color w:val="auto"/>
          <w:kern w:val="2"/>
          <w:szCs w:val="24"/>
        </w:rPr>
        <w:t>款对磋商文件所作的澄清、修改，构成磋商文件的组成部分。</w:t>
      </w:r>
    </w:p>
    <w:p w14:paraId="3546188F">
      <w:pPr>
        <w:keepNext/>
        <w:keepLines/>
        <w:spacing w:line="360" w:lineRule="auto"/>
        <w:outlineLvl w:val="3"/>
        <w:rPr>
          <w:rFonts w:hAnsi="宋体"/>
          <w:b/>
          <w:bCs/>
          <w:color w:val="auto"/>
          <w:kern w:val="2"/>
          <w:szCs w:val="28"/>
        </w:rPr>
      </w:pPr>
      <w:r>
        <w:rPr>
          <w:rFonts w:hAnsi="宋体"/>
          <w:b/>
          <w:bCs/>
          <w:color w:val="auto"/>
          <w:kern w:val="2"/>
          <w:szCs w:val="28"/>
        </w:rPr>
        <w:t>2.2</w:t>
      </w:r>
      <w:r>
        <w:rPr>
          <w:rFonts w:hint="eastAsia" w:hAnsi="宋体"/>
          <w:b/>
          <w:bCs/>
          <w:color w:val="auto"/>
          <w:kern w:val="2"/>
          <w:szCs w:val="28"/>
        </w:rPr>
        <w:t>磋商文件的澄清与修改</w:t>
      </w:r>
    </w:p>
    <w:p w14:paraId="205F1E24">
      <w:pPr>
        <w:spacing w:line="360" w:lineRule="auto"/>
        <w:rPr>
          <w:rFonts w:hAnsi="宋体"/>
          <w:color w:val="auto"/>
          <w:kern w:val="2"/>
          <w:szCs w:val="24"/>
        </w:rPr>
      </w:pPr>
      <w:r>
        <w:rPr>
          <w:rFonts w:hAnsi="宋体"/>
          <w:color w:val="auto"/>
          <w:kern w:val="2"/>
          <w:szCs w:val="24"/>
        </w:rPr>
        <w:t>2.2.1</w:t>
      </w:r>
      <w:r>
        <w:rPr>
          <w:rFonts w:hint="eastAsia" w:hAnsi="宋体"/>
          <w:color w:val="auto"/>
          <w:kern w:val="2"/>
          <w:szCs w:val="24"/>
        </w:rPr>
        <w:t>供应商应仔细阅读和检查磋商文件的全部内容。如发现缺页或附件不全，应及时向采购人或采购代理机构提出，以便补齐。</w:t>
      </w:r>
    </w:p>
    <w:p w14:paraId="569D049F">
      <w:pPr>
        <w:spacing w:line="360" w:lineRule="auto"/>
        <w:rPr>
          <w:rFonts w:hAnsi="宋体"/>
          <w:color w:val="auto"/>
          <w:kern w:val="2"/>
          <w:szCs w:val="24"/>
        </w:rPr>
      </w:pPr>
      <w:r>
        <w:rPr>
          <w:rFonts w:hAnsi="宋体"/>
          <w:color w:val="auto"/>
          <w:kern w:val="2"/>
          <w:szCs w:val="24"/>
        </w:rPr>
        <w:t>2.2.2</w:t>
      </w:r>
      <w:r>
        <w:rPr>
          <w:rFonts w:hint="eastAsia" w:hAnsi="宋体"/>
          <w:color w:val="auto"/>
          <w:kern w:val="2"/>
          <w:szCs w:val="24"/>
        </w:rPr>
        <w:t>提交首次响应文件截止时间前，采购人可以对已发出的磋商文件进行必要的澄清或者修改，并以供应商须知前附表</w:t>
      </w:r>
      <w:r>
        <w:rPr>
          <w:rFonts w:hAnsi="宋体"/>
          <w:color w:val="auto"/>
          <w:kern w:val="2"/>
          <w:szCs w:val="24"/>
        </w:rPr>
        <w:t>2.2.2</w:t>
      </w:r>
      <w:r>
        <w:rPr>
          <w:rFonts w:hint="eastAsia" w:hAnsi="宋体"/>
          <w:color w:val="auto"/>
          <w:kern w:val="2"/>
          <w:szCs w:val="24"/>
        </w:rPr>
        <w:t>规定的形式，通知所有潜在供应商，澄清或者修改的内容作为磋商文件的组成部分。澄清或者修改的内容可能影响响应文件编制的，采购人应当在提交首次响应文件截止时间至少</w:t>
      </w:r>
      <w:r>
        <w:rPr>
          <w:rFonts w:hAnsi="宋体"/>
          <w:color w:val="auto"/>
          <w:kern w:val="2"/>
          <w:szCs w:val="24"/>
        </w:rPr>
        <w:t>5</w:t>
      </w:r>
      <w:r>
        <w:rPr>
          <w:rFonts w:hint="eastAsia" w:hAnsi="宋体"/>
          <w:color w:val="auto"/>
          <w:kern w:val="2"/>
          <w:szCs w:val="24"/>
        </w:rPr>
        <w:t>日前，以供应商须知前附表</w:t>
      </w:r>
      <w:r>
        <w:rPr>
          <w:rFonts w:hAnsi="宋体"/>
          <w:color w:val="auto"/>
          <w:kern w:val="2"/>
          <w:szCs w:val="24"/>
        </w:rPr>
        <w:t>2.2.2</w:t>
      </w:r>
      <w:r>
        <w:rPr>
          <w:rFonts w:hint="eastAsia" w:hAnsi="宋体"/>
          <w:color w:val="auto"/>
          <w:kern w:val="2"/>
          <w:szCs w:val="24"/>
        </w:rPr>
        <w:t>规定的形式通知所有获取磋商文件的供应商；不足</w:t>
      </w:r>
      <w:r>
        <w:rPr>
          <w:rFonts w:hAnsi="宋体"/>
          <w:color w:val="auto"/>
          <w:kern w:val="2"/>
          <w:szCs w:val="24"/>
        </w:rPr>
        <w:t>5</w:t>
      </w:r>
      <w:r>
        <w:rPr>
          <w:rFonts w:hint="eastAsia" w:hAnsi="宋体"/>
          <w:color w:val="auto"/>
          <w:kern w:val="2"/>
          <w:szCs w:val="24"/>
        </w:rPr>
        <w:t>日的，采购人、采购代理机构应当顺延提交首次响应文件截止时间。</w:t>
      </w:r>
    </w:p>
    <w:p w14:paraId="0783EC13">
      <w:pPr>
        <w:spacing w:line="360" w:lineRule="auto"/>
        <w:rPr>
          <w:rFonts w:hAnsi="宋体"/>
          <w:color w:val="auto"/>
          <w:kern w:val="2"/>
          <w:szCs w:val="24"/>
        </w:rPr>
      </w:pPr>
      <w:r>
        <w:rPr>
          <w:rFonts w:hAnsi="宋体"/>
          <w:color w:val="auto"/>
          <w:kern w:val="2"/>
          <w:szCs w:val="24"/>
        </w:rPr>
        <w:t>2.2.3</w:t>
      </w:r>
      <w:r>
        <w:rPr>
          <w:rFonts w:hint="eastAsia" w:hAnsi="宋体"/>
          <w:color w:val="auto"/>
          <w:kern w:val="2"/>
          <w:szCs w:val="24"/>
        </w:rPr>
        <w:t>供应商在收到磋商文件的澄清或者修改后，应当按供应商须知前附表规定的形式，确认已收到该澄清或者修改。</w:t>
      </w:r>
    </w:p>
    <w:p w14:paraId="3EB58C61">
      <w:pPr>
        <w:spacing w:line="360" w:lineRule="auto"/>
        <w:rPr>
          <w:rFonts w:hAnsi="宋体"/>
          <w:color w:val="auto"/>
          <w:kern w:val="2"/>
          <w:szCs w:val="24"/>
        </w:rPr>
      </w:pPr>
      <w:r>
        <w:rPr>
          <w:rFonts w:hAnsi="宋体"/>
          <w:color w:val="auto"/>
          <w:kern w:val="2"/>
          <w:szCs w:val="24"/>
        </w:rPr>
        <w:t>2.2.4</w:t>
      </w:r>
      <w:r>
        <w:rPr>
          <w:rFonts w:hint="eastAsia" w:hAnsi="宋体"/>
          <w:color w:val="auto"/>
          <w:kern w:val="2"/>
          <w:szCs w:val="24"/>
        </w:rPr>
        <w:t>当磋商文件及其澄清、修改或补充文件对同一内容表述不一致时，以最后发出的书面文件为准。</w:t>
      </w:r>
    </w:p>
    <w:p w14:paraId="6AF066FA">
      <w:pPr>
        <w:keepNext/>
        <w:keepLines/>
        <w:spacing w:line="360" w:lineRule="auto"/>
        <w:outlineLvl w:val="2"/>
        <w:rPr>
          <w:rFonts w:hAnsi="宋体"/>
          <w:b/>
          <w:bCs/>
          <w:color w:val="auto"/>
          <w:kern w:val="2"/>
          <w:sz w:val="24"/>
          <w:szCs w:val="28"/>
        </w:rPr>
      </w:pPr>
      <w:bookmarkStart w:id="20" w:name="_Toc533783511"/>
      <w:bookmarkStart w:id="21" w:name="_Toc533781559"/>
      <w:r>
        <w:rPr>
          <w:rFonts w:hAnsi="宋体"/>
          <w:b/>
          <w:bCs/>
          <w:color w:val="auto"/>
          <w:kern w:val="2"/>
          <w:sz w:val="24"/>
          <w:szCs w:val="28"/>
        </w:rPr>
        <w:t>3.</w:t>
      </w:r>
      <w:r>
        <w:rPr>
          <w:rFonts w:hint="eastAsia" w:hAnsi="宋体"/>
          <w:b/>
          <w:bCs/>
          <w:color w:val="auto"/>
          <w:kern w:val="2"/>
          <w:sz w:val="24"/>
          <w:szCs w:val="28"/>
        </w:rPr>
        <w:t>响应文件</w:t>
      </w:r>
      <w:bookmarkEnd w:id="20"/>
      <w:bookmarkEnd w:id="21"/>
    </w:p>
    <w:p w14:paraId="0BB3F27E">
      <w:pPr>
        <w:keepNext/>
        <w:keepLines/>
        <w:spacing w:line="360" w:lineRule="auto"/>
        <w:outlineLvl w:val="3"/>
        <w:rPr>
          <w:rFonts w:hAnsi="宋体"/>
          <w:b/>
          <w:bCs/>
          <w:color w:val="auto"/>
          <w:kern w:val="2"/>
          <w:szCs w:val="28"/>
        </w:rPr>
      </w:pPr>
      <w:r>
        <w:rPr>
          <w:rFonts w:hAnsi="宋体"/>
          <w:b/>
          <w:bCs/>
          <w:color w:val="auto"/>
          <w:kern w:val="2"/>
          <w:szCs w:val="28"/>
        </w:rPr>
        <w:t>3.1</w:t>
      </w:r>
      <w:r>
        <w:rPr>
          <w:rFonts w:hint="eastAsia" w:hAnsi="宋体"/>
          <w:b/>
          <w:bCs/>
          <w:color w:val="auto"/>
          <w:kern w:val="2"/>
          <w:szCs w:val="28"/>
        </w:rPr>
        <w:t>响应文件的组成</w:t>
      </w:r>
    </w:p>
    <w:p w14:paraId="1D5C37DB">
      <w:pPr>
        <w:spacing w:line="360" w:lineRule="auto"/>
        <w:rPr>
          <w:rFonts w:hAnsi="宋体"/>
          <w:color w:val="auto"/>
          <w:kern w:val="2"/>
          <w:szCs w:val="24"/>
        </w:rPr>
      </w:pPr>
      <w:r>
        <w:rPr>
          <w:rFonts w:hAnsi="宋体"/>
          <w:color w:val="auto"/>
          <w:kern w:val="2"/>
          <w:szCs w:val="24"/>
        </w:rPr>
        <w:t>3.1.1</w:t>
      </w:r>
      <w:r>
        <w:rPr>
          <w:rFonts w:hint="eastAsia" w:hAnsi="宋体"/>
          <w:color w:val="auto"/>
          <w:kern w:val="2"/>
          <w:szCs w:val="24"/>
        </w:rPr>
        <w:t>响应文件应包括的内容：见供应商须知前附表。</w:t>
      </w:r>
    </w:p>
    <w:p w14:paraId="1D526003">
      <w:pPr>
        <w:spacing w:line="360" w:lineRule="auto"/>
        <w:rPr>
          <w:rFonts w:hAnsi="宋体"/>
          <w:color w:val="auto"/>
          <w:kern w:val="2"/>
          <w:szCs w:val="24"/>
        </w:rPr>
      </w:pPr>
      <w:r>
        <w:rPr>
          <w:rFonts w:hAnsi="宋体"/>
          <w:color w:val="auto"/>
          <w:kern w:val="2"/>
          <w:szCs w:val="24"/>
        </w:rPr>
        <w:t>3.1.2</w:t>
      </w:r>
      <w:r>
        <w:rPr>
          <w:rFonts w:hint="eastAsia" w:hAnsi="宋体"/>
          <w:color w:val="auto"/>
          <w:kern w:val="2"/>
          <w:szCs w:val="24"/>
        </w:rPr>
        <w:t>磋商文件第六章“响应文件格式”有规定格式要求的，供应商应按规定的格式填写并按要求提交相关的证明材料。</w:t>
      </w:r>
    </w:p>
    <w:p w14:paraId="47C26A6D">
      <w:pPr>
        <w:spacing w:line="360" w:lineRule="auto"/>
        <w:rPr>
          <w:rFonts w:hAnsi="宋体"/>
          <w:color w:val="auto"/>
          <w:kern w:val="2"/>
          <w:szCs w:val="24"/>
        </w:rPr>
      </w:pPr>
      <w:r>
        <w:rPr>
          <w:rFonts w:hAnsi="宋体"/>
          <w:color w:val="auto"/>
          <w:kern w:val="2"/>
          <w:szCs w:val="24"/>
        </w:rPr>
        <w:t>3.1.3</w:t>
      </w:r>
      <w:r>
        <w:rPr>
          <w:rFonts w:hint="eastAsia" w:hAnsi="宋体"/>
          <w:color w:val="auto"/>
          <w:kern w:val="2"/>
          <w:szCs w:val="24"/>
        </w:rPr>
        <w:t>供应商须知前附表规定不接受联合体投标的，或供应商没有组成联合体的，响应文件不包括本章第</w:t>
      </w:r>
      <w:r>
        <w:rPr>
          <w:rFonts w:hAnsi="宋体"/>
          <w:color w:val="auto"/>
          <w:kern w:val="2"/>
          <w:szCs w:val="24"/>
        </w:rPr>
        <w:t>3.1.1</w:t>
      </w:r>
      <w:r>
        <w:rPr>
          <w:rFonts w:hint="eastAsia" w:hAnsi="宋体"/>
          <w:color w:val="auto"/>
          <w:kern w:val="2"/>
          <w:szCs w:val="24"/>
        </w:rPr>
        <w:t>中所指的联合体协议书。</w:t>
      </w:r>
    </w:p>
    <w:p w14:paraId="2C25908E">
      <w:pPr>
        <w:spacing w:line="360" w:lineRule="auto"/>
        <w:rPr>
          <w:rFonts w:hAnsi="宋体"/>
          <w:color w:val="auto"/>
          <w:kern w:val="2"/>
          <w:szCs w:val="24"/>
        </w:rPr>
      </w:pPr>
      <w:r>
        <w:rPr>
          <w:rFonts w:hAnsi="宋体"/>
          <w:color w:val="auto"/>
          <w:kern w:val="2"/>
          <w:szCs w:val="24"/>
        </w:rPr>
        <w:t>3.1.4</w:t>
      </w:r>
      <w:r>
        <w:rPr>
          <w:rFonts w:hint="eastAsia" w:hAnsi="宋体"/>
          <w:color w:val="auto"/>
          <w:kern w:val="2"/>
          <w:szCs w:val="24"/>
        </w:rPr>
        <w:t>供应商须知前附表未要求提交磋商保证金的，响应文件不包括本章第</w:t>
      </w:r>
      <w:r>
        <w:rPr>
          <w:rFonts w:hAnsi="宋体"/>
          <w:color w:val="auto"/>
          <w:kern w:val="2"/>
          <w:szCs w:val="24"/>
        </w:rPr>
        <w:t>3.4.1</w:t>
      </w:r>
      <w:r>
        <w:rPr>
          <w:rFonts w:hint="eastAsia" w:hAnsi="宋体"/>
          <w:color w:val="auto"/>
          <w:kern w:val="2"/>
          <w:szCs w:val="24"/>
        </w:rPr>
        <w:t>的磋商保证金。</w:t>
      </w:r>
    </w:p>
    <w:p w14:paraId="3297DAD4">
      <w:pPr>
        <w:spacing w:line="360" w:lineRule="auto"/>
        <w:rPr>
          <w:rFonts w:hAnsi="宋体"/>
          <w:color w:val="auto"/>
          <w:kern w:val="2"/>
          <w:szCs w:val="24"/>
        </w:rPr>
      </w:pPr>
      <w:r>
        <w:rPr>
          <w:rFonts w:hAnsi="宋体"/>
          <w:color w:val="auto"/>
          <w:kern w:val="2"/>
          <w:szCs w:val="24"/>
        </w:rPr>
        <w:t>3.1.5</w:t>
      </w:r>
      <w:r>
        <w:rPr>
          <w:rFonts w:hint="eastAsia" w:hAnsi="宋体"/>
          <w:color w:val="auto"/>
          <w:kern w:val="2"/>
          <w:szCs w:val="24"/>
        </w:rPr>
        <w:t>资格审查需要的其他材料：见供应商须知前附表。</w:t>
      </w:r>
    </w:p>
    <w:p w14:paraId="01219497">
      <w:pPr>
        <w:keepNext/>
        <w:keepLines/>
        <w:spacing w:line="360" w:lineRule="auto"/>
        <w:outlineLvl w:val="3"/>
        <w:rPr>
          <w:rFonts w:hAnsi="宋体"/>
          <w:b/>
          <w:bCs/>
          <w:color w:val="auto"/>
          <w:kern w:val="2"/>
          <w:szCs w:val="28"/>
        </w:rPr>
      </w:pPr>
      <w:r>
        <w:rPr>
          <w:rFonts w:hAnsi="宋体"/>
          <w:b/>
          <w:bCs/>
          <w:color w:val="auto"/>
          <w:kern w:val="2"/>
          <w:szCs w:val="28"/>
        </w:rPr>
        <w:t>3.2</w:t>
      </w:r>
      <w:r>
        <w:rPr>
          <w:rFonts w:hint="eastAsia" w:hAnsi="宋体"/>
          <w:b/>
          <w:bCs/>
          <w:color w:val="auto"/>
          <w:kern w:val="2"/>
          <w:szCs w:val="28"/>
        </w:rPr>
        <w:t>磋商报价</w:t>
      </w:r>
    </w:p>
    <w:p w14:paraId="29461FF4">
      <w:pPr>
        <w:spacing w:line="360" w:lineRule="auto"/>
        <w:rPr>
          <w:rFonts w:hAnsi="宋体"/>
          <w:color w:val="auto"/>
          <w:kern w:val="2"/>
          <w:szCs w:val="24"/>
        </w:rPr>
      </w:pPr>
      <w:r>
        <w:rPr>
          <w:rFonts w:hAnsi="宋体"/>
          <w:color w:val="auto"/>
          <w:kern w:val="2"/>
          <w:szCs w:val="24"/>
        </w:rPr>
        <w:t>3.2.1</w:t>
      </w:r>
      <w:r>
        <w:rPr>
          <w:rFonts w:hint="eastAsia" w:hAnsi="宋体"/>
          <w:color w:val="auto"/>
          <w:kern w:val="2"/>
          <w:szCs w:val="24"/>
        </w:rPr>
        <w:t>供应商应充分了解该项目的总体情况以及影响磋商报价（包括最后报价）的其他要素。</w:t>
      </w:r>
    </w:p>
    <w:p w14:paraId="6EE5DA63">
      <w:pPr>
        <w:spacing w:line="360" w:lineRule="auto"/>
        <w:rPr>
          <w:rFonts w:hAnsi="宋体"/>
          <w:color w:val="auto"/>
          <w:kern w:val="2"/>
          <w:szCs w:val="24"/>
        </w:rPr>
      </w:pPr>
      <w:r>
        <w:rPr>
          <w:rFonts w:hAnsi="宋体"/>
          <w:color w:val="auto"/>
          <w:kern w:val="2"/>
          <w:szCs w:val="24"/>
        </w:rPr>
        <w:t>3.2.2</w:t>
      </w:r>
      <w:r>
        <w:rPr>
          <w:rFonts w:hint="eastAsia" w:hAnsi="宋体"/>
          <w:color w:val="auto"/>
          <w:kern w:val="2"/>
          <w:szCs w:val="24"/>
        </w:rPr>
        <w:t>采购人设有上限控制价的，供应商的磋商报价（包括最后报价）不得超过上限控制价，上限控制价在供应商须知前附表中载明。</w:t>
      </w:r>
    </w:p>
    <w:p w14:paraId="156BE1BE">
      <w:pPr>
        <w:spacing w:line="360" w:lineRule="auto"/>
        <w:rPr>
          <w:rFonts w:hAnsi="宋体"/>
          <w:color w:val="auto"/>
          <w:kern w:val="2"/>
          <w:szCs w:val="24"/>
        </w:rPr>
      </w:pPr>
      <w:r>
        <w:rPr>
          <w:rFonts w:hAnsi="宋体"/>
          <w:color w:val="auto"/>
          <w:kern w:val="2"/>
          <w:szCs w:val="24"/>
        </w:rPr>
        <w:t>3.2.3</w:t>
      </w:r>
      <w:r>
        <w:rPr>
          <w:rFonts w:hint="eastAsia" w:hAnsi="宋体"/>
          <w:color w:val="auto"/>
          <w:kern w:val="2"/>
          <w:szCs w:val="24"/>
        </w:rPr>
        <w:t>报价的其他要求：见供应商须知前附表。</w:t>
      </w:r>
    </w:p>
    <w:p w14:paraId="5A2514BE">
      <w:pPr>
        <w:keepNext/>
        <w:keepLines/>
        <w:spacing w:line="360" w:lineRule="auto"/>
        <w:outlineLvl w:val="3"/>
        <w:rPr>
          <w:rFonts w:hAnsi="宋体"/>
          <w:b/>
          <w:bCs/>
          <w:color w:val="auto"/>
          <w:kern w:val="2"/>
          <w:szCs w:val="28"/>
        </w:rPr>
      </w:pPr>
      <w:r>
        <w:rPr>
          <w:rFonts w:hAnsi="宋体"/>
          <w:b/>
          <w:bCs/>
          <w:color w:val="auto"/>
          <w:kern w:val="2"/>
          <w:szCs w:val="28"/>
        </w:rPr>
        <w:t>3.3</w:t>
      </w:r>
      <w:r>
        <w:rPr>
          <w:rFonts w:hint="eastAsia" w:hAnsi="宋体"/>
          <w:b/>
          <w:bCs/>
          <w:color w:val="auto"/>
          <w:kern w:val="2"/>
          <w:szCs w:val="28"/>
        </w:rPr>
        <w:t>磋商有效期</w:t>
      </w:r>
    </w:p>
    <w:p w14:paraId="19CA6928">
      <w:pPr>
        <w:spacing w:line="360" w:lineRule="auto"/>
        <w:rPr>
          <w:rFonts w:hAnsi="宋体"/>
          <w:color w:val="auto"/>
          <w:kern w:val="2"/>
          <w:szCs w:val="24"/>
        </w:rPr>
      </w:pPr>
      <w:r>
        <w:rPr>
          <w:rFonts w:hAnsi="宋体"/>
          <w:color w:val="auto"/>
          <w:kern w:val="2"/>
          <w:szCs w:val="24"/>
        </w:rPr>
        <w:t>3.3.1</w:t>
      </w:r>
      <w:r>
        <w:rPr>
          <w:rFonts w:hint="eastAsia" w:hAnsi="宋体"/>
          <w:color w:val="auto"/>
          <w:kern w:val="2"/>
          <w:szCs w:val="24"/>
        </w:rPr>
        <w:t>在供应商须知前附表规定的磋商有效期内，供应商不得要求撤回或修改其响应文件。磋商有效期从提交首次响应文件截止之日起算。</w:t>
      </w:r>
    </w:p>
    <w:p w14:paraId="0EEFF160">
      <w:pPr>
        <w:spacing w:line="360" w:lineRule="auto"/>
        <w:rPr>
          <w:rFonts w:hAnsi="宋体"/>
          <w:color w:val="auto"/>
          <w:kern w:val="2"/>
          <w:szCs w:val="24"/>
        </w:rPr>
      </w:pPr>
      <w:r>
        <w:rPr>
          <w:rFonts w:hAnsi="宋体"/>
          <w:color w:val="auto"/>
          <w:kern w:val="2"/>
          <w:szCs w:val="24"/>
        </w:rPr>
        <w:t>3.3.2</w:t>
      </w:r>
      <w:r>
        <w:rPr>
          <w:rFonts w:hint="eastAsia" w:hAnsi="宋体"/>
          <w:color w:val="auto"/>
          <w:kern w:val="2"/>
          <w:szCs w:val="24"/>
        </w:rPr>
        <w:t>响应文件中承诺的磋商有效期应当不少于磋商文件中载明的磋商有效期。</w:t>
      </w:r>
    </w:p>
    <w:p w14:paraId="5B0CA3A6">
      <w:pPr>
        <w:spacing w:line="360" w:lineRule="auto"/>
        <w:rPr>
          <w:rFonts w:hAnsi="宋体"/>
          <w:color w:val="auto"/>
          <w:kern w:val="2"/>
          <w:szCs w:val="24"/>
        </w:rPr>
      </w:pPr>
      <w:r>
        <w:rPr>
          <w:rFonts w:hAnsi="宋体"/>
          <w:color w:val="auto"/>
          <w:kern w:val="2"/>
          <w:szCs w:val="24"/>
        </w:rPr>
        <w:t>3.3.3</w:t>
      </w:r>
      <w:r>
        <w:rPr>
          <w:rFonts w:hint="eastAsia" w:hAnsi="宋体"/>
          <w:color w:val="auto"/>
          <w:kern w:val="2"/>
          <w:szCs w:val="24"/>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19FE4D11">
      <w:pPr>
        <w:keepNext/>
        <w:keepLines/>
        <w:spacing w:line="360" w:lineRule="auto"/>
        <w:outlineLvl w:val="3"/>
        <w:rPr>
          <w:rFonts w:hAnsi="宋体"/>
          <w:b/>
          <w:bCs/>
          <w:color w:val="auto"/>
          <w:kern w:val="2"/>
          <w:szCs w:val="28"/>
        </w:rPr>
      </w:pPr>
      <w:r>
        <w:rPr>
          <w:rFonts w:hAnsi="宋体"/>
          <w:b/>
          <w:bCs/>
          <w:color w:val="auto"/>
          <w:kern w:val="2"/>
          <w:szCs w:val="28"/>
        </w:rPr>
        <w:t>3.4</w:t>
      </w:r>
      <w:r>
        <w:rPr>
          <w:rFonts w:hint="eastAsia" w:hAnsi="宋体"/>
          <w:b/>
          <w:bCs/>
          <w:color w:val="auto"/>
          <w:kern w:val="2"/>
          <w:szCs w:val="28"/>
        </w:rPr>
        <w:t>磋商保证金</w:t>
      </w:r>
    </w:p>
    <w:p w14:paraId="551BF637">
      <w:pPr>
        <w:spacing w:line="360" w:lineRule="auto"/>
        <w:rPr>
          <w:rFonts w:hAnsi="宋体"/>
          <w:color w:val="auto"/>
          <w:kern w:val="2"/>
          <w:szCs w:val="24"/>
        </w:rPr>
      </w:pPr>
      <w:r>
        <w:rPr>
          <w:rFonts w:hAnsi="宋体"/>
          <w:color w:val="auto"/>
          <w:kern w:val="2"/>
          <w:szCs w:val="24"/>
        </w:rPr>
        <w:t>3.4.1</w:t>
      </w:r>
      <w:r>
        <w:rPr>
          <w:rFonts w:hint="eastAsia" w:hAnsi="宋体"/>
          <w:color w:val="auto"/>
          <w:kern w:val="2"/>
          <w:szCs w:val="24"/>
        </w:rPr>
        <w:t>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7A93E483">
      <w:pPr>
        <w:spacing w:line="360" w:lineRule="auto"/>
        <w:rPr>
          <w:rFonts w:hAnsi="宋体"/>
          <w:color w:val="auto"/>
          <w:kern w:val="2"/>
          <w:szCs w:val="24"/>
        </w:rPr>
      </w:pPr>
      <w:r>
        <w:rPr>
          <w:rFonts w:hAnsi="宋体"/>
          <w:color w:val="auto"/>
          <w:kern w:val="2"/>
          <w:szCs w:val="24"/>
        </w:rPr>
        <w:t>3.4.2</w:t>
      </w:r>
      <w:r>
        <w:rPr>
          <w:rFonts w:hint="eastAsia" w:hAnsi="宋体"/>
          <w:color w:val="auto"/>
          <w:kern w:val="2"/>
          <w:szCs w:val="24"/>
        </w:rPr>
        <w:t>供应商不按本章第</w:t>
      </w:r>
      <w:r>
        <w:rPr>
          <w:rFonts w:hAnsi="宋体"/>
          <w:color w:val="auto"/>
          <w:kern w:val="2"/>
          <w:szCs w:val="24"/>
        </w:rPr>
        <w:t>3.4.1</w:t>
      </w:r>
      <w:r>
        <w:rPr>
          <w:rFonts w:hint="eastAsia" w:hAnsi="宋体"/>
          <w:color w:val="auto"/>
          <w:kern w:val="2"/>
          <w:szCs w:val="24"/>
        </w:rPr>
        <w:t>项要求提交磋商保证金的，其响应文件按无效处理。</w:t>
      </w:r>
    </w:p>
    <w:p w14:paraId="5D56CEE7">
      <w:pPr>
        <w:spacing w:line="360" w:lineRule="auto"/>
        <w:rPr>
          <w:rFonts w:hAnsi="宋体"/>
          <w:color w:val="auto"/>
          <w:kern w:val="2"/>
          <w:szCs w:val="24"/>
        </w:rPr>
      </w:pPr>
      <w:r>
        <w:rPr>
          <w:rFonts w:hAnsi="宋体"/>
          <w:color w:val="auto"/>
          <w:kern w:val="2"/>
          <w:szCs w:val="24"/>
        </w:rPr>
        <w:t>3.4.3</w:t>
      </w:r>
      <w:r>
        <w:rPr>
          <w:rFonts w:hint="eastAsia" w:hAnsi="宋体"/>
          <w:color w:val="auto"/>
          <w:kern w:val="2"/>
          <w:szCs w:val="24"/>
        </w:rPr>
        <w:t>供应商在提交首次响应文件截止时间前撤回已提交的响应文件的，采购人或者采购代理机构应当自收到供应商书面撤回通知之日起</w:t>
      </w:r>
      <w:r>
        <w:rPr>
          <w:rFonts w:hAnsi="宋体"/>
          <w:color w:val="auto"/>
          <w:kern w:val="2"/>
          <w:szCs w:val="24"/>
        </w:rPr>
        <w:t>5</w:t>
      </w:r>
      <w:r>
        <w:rPr>
          <w:rFonts w:hint="eastAsia" w:hAnsi="宋体"/>
          <w:color w:val="auto"/>
          <w:kern w:val="2"/>
          <w:szCs w:val="24"/>
        </w:rPr>
        <w:t>个工作日内，退还已收取的磋商保证金。</w:t>
      </w:r>
    </w:p>
    <w:p w14:paraId="447C29CC">
      <w:pPr>
        <w:spacing w:line="360" w:lineRule="auto"/>
        <w:rPr>
          <w:rFonts w:hAnsi="宋体"/>
          <w:color w:val="auto"/>
          <w:kern w:val="2"/>
          <w:szCs w:val="24"/>
        </w:rPr>
      </w:pPr>
      <w:r>
        <w:rPr>
          <w:rFonts w:hAnsi="宋体"/>
          <w:color w:val="auto"/>
          <w:kern w:val="2"/>
          <w:szCs w:val="24"/>
        </w:rPr>
        <w:t>3.4.4</w:t>
      </w:r>
      <w:r>
        <w:rPr>
          <w:rFonts w:hint="eastAsia" w:hAnsi="宋体"/>
          <w:color w:val="auto"/>
          <w:kern w:val="2"/>
          <w:szCs w:val="24"/>
        </w:rPr>
        <w:t>已提交响应文件的供应商，在提交最后报价之前，可以根据磋商情况退出磋商。采购人、采购代理机构应当自收到供应商退出之日起</w:t>
      </w:r>
      <w:r>
        <w:rPr>
          <w:rFonts w:hAnsi="宋体"/>
          <w:color w:val="auto"/>
          <w:kern w:val="2"/>
          <w:szCs w:val="24"/>
        </w:rPr>
        <w:t>5</w:t>
      </w:r>
      <w:r>
        <w:rPr>
          <w:rFonts w:hint="eastAsia" w:hAnsi="宋体"/>
          <w:color w:val="auto"/>
          <w:kern w:val="2"/>
          <w:szCs w:val="24"/>
        </w:rPr>
        <w:t>个工作日内退还退出磋商的供应商的磋商保证金。</w:t>
      </w:r>
    </w:p>
    <w:p w14:paraId="246EB84A">
      <w:pPr>
        <w:spacing w:line="360" w:lineRule="auto"/>
        <w:rPr>
          <w:rFonts w:hAnsi="宋体"/>
          <w:color w:val="auto"/>
          <w:kern w:val="2"/>
          <w:szCs w:val="24"/>
        </w:rPr>
      </w:pPr>
      <w:r>
        <w:rPr>
          <w:rFonts w:hAnsi="宋体"/>
          <w:color w:val="auto"/>
          <w:kern w:val="2"/>
          <w:szCs w:val="24"/>
        </w:rPr>
        <w:t>3.4.5</w:t>
      </w:r>
      <w:r>
        <w:rPr>
          <w:rFonts w:hint="eastAsia" w:hAnsi="宋体"/>
          <w:color w:val="auto"/>
          <w:kern w:val="2"/>
          <w:szCs w:val="24"/>
        </w:rPr>
        <w:t>采购人或者采购代理机构应当自成交通知书发出之日起</w:t>
      </w:r>
      <w:r>
        <w:rPr>
          <w:rFonts w:hAnsi="宋体"/>
          <w:color w:val="auto"/>
          <w:kern w:val="2"/>
          <w:szCs w:val="24"/>
        </w:rPr>
        <w:t>5</w:t>
      </w:r>
      <w:r>
        <w:rPr>
          <w:rFonts w:hint="eastAsia" w:hAnsi="宋体"/>
          <w:color w:val="auto"/>
          <w:kern w:val="2"/>
          <w:szCs w:val="24"/>
        </w:rPr>
        <w:t>个工作日内退还未成交供应商的磋商保证金，自采购合同签订之日起</w:t>
      </w:r>
      <w:r>
        <w:rPr>
          <w:rFonts w:hAnsi="宋体"/>
          <w:color w:val="auto"/>
          <w:kern w:val="2"/>
          <w:szCs w:val="24"/>
        </w:rPr>
        <w:t>5</w:t>
      </w:r>
      <w:r>
        <w:rPr>
          <w:rFonts w:hint="eastAsia" w:hAnsi="宋体"/>
          <w:color w:val="auto"/>
          <w:kern w:val="2"/>
          <w:szCs w:val="24"/>
        </w:rPr>
        <w:t>个工作日内退还成交供应商的磋商保证金。</w:t>
      </w:r>
    </w:p>
    <w:p w14:paraId="094294F6">
      <w:pPr>
        <w:spacing w:line="360" w:lineRule="auto"/>
        <w:rPr>
          <w:rFonts w:hAnsi="宋体"/>
          <w:color w:val="auto"/>
          <w:kern w:val="2"/>
          <w:szCs w:val="24"/>
        </w:rPr>
      </w:pPr>
      <w:r>
        <w:rPr>
          <w:rFonts w:hAnsi="宋体"/>
          <w:color w:val="auto"/>
          <w:kern w:val="2"/>
          <w:szCs w:val="24"/>
        </w:rPr>
        <w:t>3.4.6</w:t>
      </w:r>
      <w:r>
        <w:rPr>
          <w:rFonts w:hint="eastAsia" w:hAnsi="宋体"/>
          <w:color w:val="auto"/>
          <w:kern w:val="2"/>
          <w:szCs w:val="24"/>
        </w:rPr>
        <w:t>有下列情形之一的，磋商保证金将不予退还：</w:t>
      </w:r>
    </w:p>
    <w:p w14:paraId="3001EE5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）供应商在提交首次响应文件截止时间后撤销响应文件的；</w:t>
      </w:r>
    </w:p>
    <w:p w14:paraId="2B7EA07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）供应商在响应文件中提供虚假材料的；</w:t>
      </w:r>
    </w:p>
    <w:p w14:paraId="2CBD98F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）除因不可抗力或磋商文件认可的情形以外，成交供应商不与采购人签订合同的；</w:t>
      </w:r>
    </w:p>
    <w:p w14:paraId="223B20A4">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）供应商与采购人、其他供应商或者采购代理机构恶意串通的；</w:t>
      </w:r>
    </w:p>
    <w:p w14:paraId="3517D03B">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）法律法规规定的其他情形。</w:t>
      </w:r>
    </w:p>
    <w:p w14:paraId="08AD2D6E">
      <w:pPr>
        <w:keepNext/>
        <w:keepLines/>
        <w:spacing w:line="360" w:lineRule="auto"/>
        <w:outlineLvl w:val="3"/>
        <w:rPr>
          <w:rFonts w:hAnsi="宋体"/>
          <w:b/>
          <w:bCs/>
          <w:color w:val="auto"/>
          <w:kern w:val="2"/>
          <w:szCs w:val="28"/>
        </w:rPr>
      </w:pPr>
      <w:r>
        <w:rPr>
          <w:rFonts w:hAnsi="宋体"/>
          <w:b/>
          <w:bCs/>
          <w:color w:val="auto"/>
          <w:kern w:val="2"/>
          <w:szCs w:val="28"/>
        </w:rPr>
        <w:t>3.5</w:t>
      </w:r>
      <w:r>
        <w:rPr>
          <w:rFonts w:hint="eastAsia" w:hAnsi="宋体"/>
          <w:b/>
          <w:bCs/>
          <w:color w:val="auto"/>
          <w:kern w:val="2"/>
          <w:szCs w:val="28"/>
        </w:rPr>
        <w:t>响应文件的编制</w:t>
      </w:r>
    </w:p>
    <w:p w14:paraId="2A1479B5">
      <w:pPr>
        <w:spacing w:line="360" w:lineRule="auto"/>
        <w:rPr>
          <w:rFonts w:hAnsi="宋体"/>
          <w:color w:val="auto"/>
          <w:kern w:val="2"/>
          <w:szCs w:val="24"/>
        </w:rPr>
      </w:pPr>
      <w:r>
        <w:rPr>
          <w:rFonts w:hAnsi="宋体"/>
          <w:color w:val="auto"/>
          <w:kern w:val="2"/>
          <w:szCs w:val="24"/>
        </w:rPr>
        <w:t>3.5.1</w:t>
      </w:r>
      <w:r>
        <w:rPr>
          <w:rFonts w:hint="eastAsia" w:hAnsi="宋体"/>
          <w:color w:val="auto"/>
          <w:kern w:val="2"/>
          <w:szCs w:val="24"/>
        </w:rPr>
        <w:t>响应文件应按</w:t>
      </w:r>
      <w:r>
        <w:rPr>
          <w:rFonts w:hint="eastAsia" w:hAnsi="宋体"/>
          <w:color w:val="auto"/>
          <w:kern w:val="2"/>
        </w:rPr>
        <w:t>广西政府采购云平台要求及本磋商文件</w:t>
      </w:r>
      <w:r>
        <w:rPr>
          <w:rFonts w:hint="eastAsia" w:hAnsi="宋体"/>
          <w:color w:val="auto"/>
          <w:kern w:val="2"/>
          <w:szCs w:val="24"/>
        </w:rPr>
        <w:t>第六章“响应文件格式”</w:t>
      </w:r>
      <w:r>
        <w:rPr>
          <w:rFonts w:hint="eastAsia" w:hAnsi="宋体"/>
          <w:color w:val="auto"/>
          <w:kern w:val="2"/>
        </w:rPr>
        <w:t>要求制作、加密并递交</w:t>
      </w:r>
      <w:r>
        <w:rPr>
          <w:rFonts w:hint="eastAsia" w:hAnsi="宋体"/>
          <w:color w:val="auto"/>
          <w:kern w:val="2"/>
          <w:szCs w:val="24"/>
        </w:rPr>
        <w:t>，如有必要，可以增加附页，作为响应文件的组成部分。</w:t>
      </w:r>
    </w:p>
    <w:p w14:paraId="563DCB03">
      <w:pPr>
        <w:spacing w:line="360" w:lineRule="auto"/>
        <w:rPr>
          <w:rFonts w:hAnsi="宋体"/>
          <w:color w:val="auto"/>
          <w:kern w:val="2"/>
          <w:szCs w:val="24"/>
        </w:rPr>
      </w:pPr>
      <w:r>
        <w:rPr>
          <w:rFonts w:hAnsi="宋体"/>
          <w:color w:val="auto"/>
          <w:kern w:val="2"/>
          <w:szCs w:val="24"/>
        </w:rPr>
        <w:t>3.5.2</w:t>
      </w:r>
      <w:r>
        <w:rPr>
          <w:rFonts w:hint="eastAsia" w:hAnsi="宋体"/>
          <w:color w:val="auto"/>
          <w:kern w:val="2"/>
          <w:szCs w:val="24"/>
        </w:rPr>
        <w:t>响应文件在满足磋商文件实质性要求的基础上，可以提出比磋商文件要求更有利于采购人的承诺。</w:t>
      </w:r>
    </w:p>
    <w:p w14:paraId="455E5AE3">
      <w:pPr>
        <w:spacing w:line="360" w:lineRule="auto"/>
        <w:rPr>
          <w:rFonts w:hAnsi="宋体"/>
          <w:color w:val="auto"/>
          <w:kern w:val="2"/>
          <w:szCs w:val="24"/>
        </w:rPr>
      </w:pPr>
      <w:r>
        <w:rPr>
          <w:rFonts w:hAnsi="宋体"/>
          <w:color w:val="auto"/>
          <w:kern w:val="2"/>
          <w:szCs w:val="24"/>
        </w:rPr>
        <w:t>3.5.3</w:t>
      </w:r>
      <w:r>
        <w:rPr>
          <w:rFonts w:hint="eastAsia" w:hAnsi="宋体"/>
          <w:color w:val="auto"/>
          <w:kern w:val="2"/>
          <w:szCs w:val="24"/>
        </w:rPr>
        <w:t>响应文件应尽量避免涂改、行间插字或删除。如果出现上述情况，改动之处应加盖供应商单位章或由供应商的法定代表人或其授权的委托代理人签字确认。签字或盖章的具体要求见供应商须知前附表。</w:t>
      </w:r>
    </w:p>
    <w:p w14:paraId="38F55627">
      <w:pPr>
        <w:spacing w:line="360" w:lineRule="auto"/>
        <w:rPr>
          <w:rFonts w:hAnsi="宋体"/>
          <w:color w:val="auto"/>
          <w:kern w:val="2"/>
          <w:szCs w:val="24"/>
        </w:rPr>
      </w:pPr>
      <w:r>
        <w:rPr>
          <w:rFonts w:hAnsi="宋体"/>
          <w:color w:val="auto"/>
          <w:kern w:val="2"/>
          <w:szCs w:val="24"/>
        </w:rPr>
        <w:t>3.5.4</w:t>
      </w:r>
      <w:r>
        <w:rPr>
          <w:rFonts w:hint="eastAsia" w:hAnsi="宋体"/>
          <w:color w:val="auto"/>
          <w:kern w:val="2"/>
          <w:szCs w:val="24"/>
        </w:rPr>
        <w:t>响应文件份数及其他要求要求见供应商须知前附表。正本和副本的封面右上角上应清楚地标记“正本”或“副本”的字样。当副本和正本不一致时，以正本为准。</w:t>
      </w:r>
    </w:p>
    <w:p w14:paraId="141CE09A">
      <w:pPr>
        <w:keepNext/>
        <w:keepLines/>
        <w:spacing w:line="360" w:lineRule="auto"/>
        <w:outlineLvl w:val="2"/>
        <w:rPr>
          <w:rFonts w:hAnsi="宋体"/>
          <w:b/>
          <w:bCs/>
          <w:color w:val="auto"/>
          <w:kern w:val="2"/>
          <w:sz w:val="24"/>
          <w:szCs w:val="28"/>
        </w:rPr>
      </w:pPr>
      <w:bookmarkStart w:id="22" w:name="_Toc533783512"/>
      <w:bookmarkStart w:id="23" w:name="_Toc533781560"/>
      <w:r>
        <w:rPr>
          <w:rFonts w:hAnsi="宋体"/>
          <w:b/>
          <w:bCs/>
          <w:color w:val="auto"/>
          <w:kern w:val="2"/>
          <w:sz w:val="24"/>
          <w:szCs w:val="28"/>
        </w:rPr>
        <w:t>4.</w:t>
      </w:r>
      <w:r>
        <w:rPr>
          <w:rFonts w:hint="eastAsia" w:hAnsi="宋体"/>
          <w:b/>
          <w:bCs/>
          <w:color w:val="auto"/>
          <w:kern w:val="2"/>
          <w:sz w:val="24"/>
          <w:szCs w:val="28"/>
        </w:rPr>
        <w:t>响应磋商</w:t>
      </w:r>
      <w:bookmarkEnd w:id="22"/>
      <w:bookmarkEnd w:id="23"/>
    </w:p>
    <w:p w14:paraId="4AD3CBF7">
      <w:pPr>
        <w:keepNext/>
        <w:keepLines/>
        <w:spacing w:line="360" w:lineRule="auto"/>
        <w:outlineLvl w:val="3"/>
        <w:rPr>
          <w:rFonts w:hAnsi="宋体"/>
          <w:b/>
          <w:bCs/>
          <w:color w:val="auto"/>
          <w:kern w:val="2"/>
          <w:szCs w:val="28"/>
        </w:rPr>
      </w:pPr>
      <w:r>
        <w:rPr>
          <w:rFonts w:hAnsi="宋体"/>
          <w:b/>
          <w:bCs/>
          <w:color w:val="auto"/>
          <w:kern w:val="2"/>
          <w:szCs w:val="28"/>
        </w:rPr>
        <w:t>4.1</w:t>
      </w:r>
      <w:r>
        <w:rPr>
          <w:rFonts w:hint="eastAsia" w:hAnsi="宋体"/>
          <w:b/>
          <w:bCs/>
          <w:color w:val="auto"/>
          <w:kern w:val="2"/>
          <w:szCs w:val="28"/>
        </w:rPr>
        <w:t>响应文件的提交</w:t>
      </w:r>
    </w:p>
    <w:p w14:paraId="4E824C8E">
      <w:pPr>
        <w:spacing w:line="360" w:lineRule="auto"/>
        <w:rPr>
          <w:rFonts w:hAnsi="宋体"/>
          <w:color w:val="auto"/>
          <w:kern w:val="2"/>
          <w:szCs w:val="24"/>
        </w:rPr>
      </w:pPr>
      <w:r>
        <w:rPr>
          <w:rFonts w:hAnsi="宋体"/>
          <w:color w:val="auto"/>
          <w:kern w:val="2"/>
          <w:szCs w:val="24"/>
        </w:rPr>
        <w:t>4.1.1</w:t>
      </w:r>
      <w:r>
        <w:rPr>
          <w:rFonts w:hint="eastAsia" w:hAnsi="宋体"/>
          <w:color w:val="auto"/>
          <w:kern w:val="2"/>
          <w:szCs w:val="24"/>
        </w:rPr>
        <w:t>供应商应在本章第</w:t>
      </w:r>
      <w:r>
        <w:rPr>
          <w:rFonts w:hAnsi="宋体"/>
          <w:color w:val="auto"/>
          <w:kern w:val="2"/>
          <w:szCs w:val="24"/>
        </w:rPr>
        <w:t>2.2.2</w:t>
      </w:r>
      <w:r>
        <w:rPr>
          <w:rFonts w:hint="eastAsia" w:hAnsi="宋体"/>
          <w:color w:val="auto"/>
          <w:kern w:val="2"/>
          <w:szCs w:val="24"/>
        </w:rPr>
        <w:t>项规定的提交首次响应文件截止时间前提交响应文件。</w:t>
      </w:r>
    </w:p>
    <w:p w14:paraId="06860FD9">
      <w:pPr>
        <w:spacing w:line="360" w:lineRule="auto"/>
        <w:rPr>
          <w:rFonts w:hAnsi="宋体"/>
          <w:color w:val="auto"/>
          <w:kern w:val="2"/>
          <w:szCs w:val="24"/>
        </w:rPr>
      </w:pPr>
      <w:r>
        <w:rPr>
          <w:rFonts w:hAnsi="宋体"/>
          <w:color w:val="auto"/>
          <w:kern w:val="2"/>
          <w:szCs w:val="24"/>
        </w:rPr>
        <w:t>4.1.2</w:t>
      </w:r>
      <w:r>
        <w:rPr>
          <w:rFonts w:hint="eastAsia" w:hAnsi="宋体"/>
          <w:color w:val="auto"/>
          <w:kern w:val="2"/>
          <w:szCs w:val="24"/>
        </w:rPr>
        <w:t>供应商提交首次响应文件的地点：见供应商须知前附表。</w:t>
      </w:r>
    </w:p>
    <w:p w14:paraId="1C6ACDB6">
      <w:pPr>
        <w:spacing w:line="360" w:lineRule="auto"/>
        <w:rPr>
          <w:rFonts w:hAnsi="宋体"/>
          <w:color w:val="auto"/>
          <w:kern w:val="2"/>
          <w:szCs w:val="24"/>
        </w:rPr>
      </w:pPr>
      <w:r>
        <w:rPr>
          <w:rFonts w:hAnsi="宋体"/>
          <w:color w:val="auto"/>
          <w:kern w:val="2"/>
          <w:szCs w:val="24"/>
        </w:rPr>
        <w:t>4.1.3</w:t>
      </w:r>
      <w:r>
        <w:rPr>
          <w:rFonts w:hint="eastAsia" w:hAnsi="宋体"/>
          <w:color w:val="auto"/>
          <w:kern w:val="2"/>
          <w:szCs w:val="24"/>
        </w:rPr>
        <w:t>除供应商须知前附表另有规定外，供应商所提交的响应文件不予退还。</w:t>
      </w:r>
    </w:p>
    <w:p w14:paraId="2254F158">
      <w:pPr>
        <w:keepNext/>
        <w:keepLines/>
        <w:spacing w:line="360" w:lineRule="auto"/>
        <w:outlineLvl w:val="3"/>
        <w:rPr>
          <w:rFonts w:hAnsi="宋体"/>
          <w:b/>
          <w:bCs/>
          <w:color w:val="auto"/>
          <w:kern w:val="2"/>
          <w:szCs w:val="28"/>
        </w:rPr>
      </w:pPr>
      <w:r>
        <w:rPr>
          <w:rFonts w:hAnsi="宋体"/>
          <w:b/>
          <w:bCs/>
          <w:color w:val="auto"/>
          <w:kern w:val="2"/>
          <w:szCs w:val="28"/>
        </w:rPr>
        <w:t>4.2</w:t>
      </w:r>
      <w:r>
        <w:rPr>
          <w:rFonts w:hint="eastAsia" w:hAnsi="宋体"/>
          <w:b/>
          <w:bCs/>
          <w:color w:val="auto"/>
          <w:kern w:val="2"/>
          <w:szCs w:val="28"/>
        </w:rPr>
        <w:t>响应文件的修改与撤回</w:t>
      </w:r>
    </w:p>
    <w:p w14:paraId="1D730202">
      <w:pPr>
        <w:spacing w:line="440" w:lineRule="exact"/>
        <w:rPr>
          <w:rFonts w:hAnsi="宋体"/>
          <w:color w:val="auto"/>
          <w:kern w:val="2"/>
          <w:szCs w:val="24"/>
        </w:rPr>
      </w:pPr>
      <w:r>
        <w:rPr>
          <w:rFonts w:hAnsi="宋体"/>
          <w:color w:val="auto"/>
          <w:kern w:val="2"/>
          <w:szCs w:val="24"/>
        </w:rPr>
        <w:t>4.2.1</w:t>
      </w:r>
      <w:r>
        <w:rPr>
          <w:rFonts w:hint="eastAsia" w:hAnsi="宋体"/>
          <w:color w:val="auto"/>
          <w:kern w:val="2"/>
          <w:szCs w:val="24"/>
        </w:rPr>
        <w:t>在本章第</w:t>
      </w:r>
      <w:r>
        <w:rPr>
          <w:rFonts w:hAnsi="宋体"/>
          <w:color w:val="auto"/>
          <w:kern w:val="2"/>
          <w:szCs w:val="24"/>
        </w:rPr>
        <w:t>4.2.1</w:t>
      </w:r>
      <w:r>
        <w:rPr>
          <w:rFonts w:hint="eastAsia" w:hAnsi="宋体"/>
          <w:color w:val="auto"/>
          <w:kern w:val="2"/>
          <w:szCs w:val="24"/>
        </w:rPr>
        <w:t>项规定的提交首次响应文件截止时间前，供应商可以通过广西政府采购云平台修改或撤回已提交的响应文件。</w:t>
      </w:r>
    </w:p>
    <w:p w14:paraId="7F7664BF">
      <w:pPr>
        <w:spacing w:line="440" w:lineRule="exact"/>
        <w:rPr>
          <w:rFonts w:hAnsi="宋体"/>
          <w:color w:val="auto"/>
          <w:kern w:val="2"/>
          <w:szCs w:val="24"/>
        </w:rPr>
      </w:pPr>
      <w:r>
        <w:rPr>
          <w:rFonts w:hAnsi="宋体"/>
          <w:color w:val="auto"/>
          <w:kern w:val="2"/>
          <w:szCs w:val="24"/>
        </w:rPr>
        <w:t>4.2.2</w:t>
      </w:r>
      <w:r>
        <w:rPr>
          <w:rFonts w:hint="eastAsia" w:hAnsi="宋体"/>
          <w:color w:val="auto"/>
          <w:kern w:val="2"/>
          <w:szCs w:val="24"/>
        </w:rPr>
        <w:t>供应商在提交首次响应文件截止时间前撤回已提交的响应文件的，其磋商保证金按照本章第</w:t>
      </w:r>
      <w:r>
        <w:rPr>
          <w:rFonts w:hAnsi="宋体"/>
          <w:color w:val="auto"/>
          <w:kern w:val="2"/>
          <w:szCs w:val="24"/>
        </w:rPr>
        <w:t>3.4.3</w:t>
      </w:r>
      <w:r>
        <w:rPr>
          <w:rFonts w:hint="eastAsia" w:hAnsi="宋体"/>
          <w:color w:val="auto"/>
          <w:kern w:val="2"/>
          <w:szCs w:val="24"/>
        </w:rPr>
        <w:t>项的要求退还。</w:t>
      </w:r>
    </w:p>
    <w:p w14:paraId="7BDECA4B">
      <w:pPr>
        <w:keepNext/>
        <w:keepLines/>
        <w:spacing w:line="360" w:lineRule="auto"/>
        <w:outlineLvl w:val="3"/>
        <w:rPr>
          <w:rFonts w:hAnsi="宋体"/>
          <w:b/>
          <w:bCs/>
          <w:color w:val="auto"/>
          <w:kern w:val="2"/>
        </w:rPr>
      </w:pPr>
      <w:r>
        <w:rPr>
          <w:rFonts w:hAnsi="宋体"/>
          <w:b/>
          <w:bCs/>
          <w:color w:val="auto"/>
          <w:kern w:val="2"/>
          <w:szCs w:val="28"/>
        </w:rPr>
        <w:t>4.3</w:t>
      </w:r>
      <w:r>
        <w:rPr>
          <w:rFonts w:hint="eastAsia" w:hAnsi="宋体"/>
          <w:b/>
          <w:bCs/>
          <w:color w:val="auto"/>
          <w:kern w:val="2"/>
        </w:rPr>
        <w:t>响应文件解密</w:t>
      </w:r>
    </w:p>
    <w:p w14:paraId="1E8C0B9A">
      <w:pPr>
        <w:spacing w:line="440" w:lineRule="exact"/>
        <w:rPr>
          <w:rFonts w:hAnsi="宋体"/>
          <w:color w:val="auto"/>
          <w:kern w:val="2"/>
          <w:szCs w:val="24"/>
        </w:rPr>
      </w:pPr>
      <w:r>
        <w:rPr>
          <w:rFonts w:hAnsi="宋体"/>
          <w:color w:val="auto"/>
          <w:kern w:val="2"/>
          <w:szCs w:val="24"/>
        </w:rPr>
        <w:t>4.3.1</w:t>
      </w:r>
      <w:r>
        <w:rPr>
          <w:rFonts w:hint="eastAsia" w:hAnsi="宋体"/>
          <w:color w:val="auto"/>
          <w:kern w:val="2"/>
          <w:szCs w:val="24"/>
        </w:rPr>
        <w:t>磋商供应商应登录广西政府采购云平台，用“项目采购</w:t>
      </w:r>
      <w:r>
        <w:rPr>
          <w:rFonts w:hAnsi="宋体"/>
          <w:color w:val="auto"/>
          <w:kern w:val="2"/>
          <w:szCs w:val="24"/>
        </w:rPr>
        <w:t>-</w:t>
      </w:r>
      <w:r>
        <w:rPr>
          <w:rFonts w:hint="eastAsia" w:hAnsi="宋体"/>
          <w:color w:val="auto"/>
          <w:kern w:val="2"/>
          <w:szCs w:val="24"/>
        </w:rPr>
        <w:t>开标评标”功能进行解密磋商文件，解密开始时间及解密时限见供应商须知前附表；</w:t>
      </w:r>
    </w:p>
    <w:p w14:paraId="49B2B064">
      <w:pPr>
        <w:spacing w:line="440" w:lineRule="exact"/>
        <w:rPr>
          <w:rFonts w:hAnsi="宋体"/>
          <w:color w:val="auto"/>
          <w:kern w:val="2"/>
          <w:szCs w:val="24"/>
        </w:rPr>
      </w:pPr>
      <w:r>
        <w:rPr>
          <w:rFonts w:hAnsi="宋体"/>
          <w:color w:val="auto"/>
          <w:kern w:val="2"/>
          <w:szCs w:val="24"/>
        </w:rPr>
        <w:t>4.3.2</w:t>
      </w:r>
      <w:r>
        <w:rPr>
          <w:rFonts w:hint="eastAsia" w:hAnsi="宋体"/>
          <w:color w:val="auto"/>
          <w:kern w:val="2"/>
          <w:szCs w:val="24"/>
        </w:rPr>
        <w:t>磋商供应商需按时在线解密投标文件，以在线解密的投标文件作为评审依据。若磋商供应商在规定时间内无法解密或解密失败，视为投标无效。</w:t>
      </w:r>
    </w:p>
    <w:p w14:paraId="71BAED65">
      <w:pPr>
        <w:keepNext/>
        <w:keepLines/>
        <w:spacing w:line="360" w:lineRule="auto"/>
        <w:outlineLvl w:val="3"/>
        <w:rPr>
          <w:rFonts w:hint="eastAsia" w:hAnsi="宋体"/>
          <w:b/>
          <w:bCs/>
          <w:color w:val="auto"/>
          <w:kern w:val="2"/>
        </w:rPr>
      </w:pPr>
      <w:r>
        <w:rPr>
          <w:rFonts w:hAnsi="宋体"/>
          <w:b/>
          <w:bCs/>
          <w:color w:val="auto"/>
          <w:kern w:val="2"/>
        </w:rPr>
        <w:t>4.4</w:t>
      </w:r>
      <w:r>
        <w:rPr>
          <w:rFonts w:hint="eastAsia" w:hAnsi="宋体"/>
          <w:b/>
          <w:bCs/>
          <w:color w:val="auto"/>
          <w:kern w:val="2"/>
        </w:rPr>
        <w:t>响应文件的相关说明</w:t>
      </w:r>
    </w:p>
    <w:p w14:paraId="2ABA617B">
      <w:pPr>
        <w:keepNext/>
        <w:keepLines/>
        <w:spacing w:line="360" w:lineRule="auto"/>
        <w:outlineLvl w:val="3"/>
        <w:rPr>
          <w:rFonts w:hAnsi="宋体"/>
          <w:b/>
          <w:color w:val="auto"/>
          <w:kern w:val="2"/>
          <w:szCs w:val="24"/>
        </w:rPr>
      </w:pPr>
      <w:r>
        <w:rPr>
          <w:rFonts w:hint="eastAsia" w:hAnsi="宋体"/>
          <w:b/>
          <w:color w:val="auto"/>
          <w:kern w:val="2"/>
          <w:szCs w:val="24"/>
        </w:rPr>
        <w:t>（</w:t>
      </w:r>
      <w:r>
        <w:rPr>
          <w:rFonts w:hAnsi="宋体"/>
          <w:b/>
          <w:color w:val="auto"/>
          <w:kern w:val="2"/>
          <w:szCs w:val="24"/>
        </w:rPr>
        <w:t>1</w:t>
      </w:r>
      <w:r>
        <w:rPr>
          <w:rFonts w:hint="eastAsia" w:hAnsi="宋体"/>
          <w:b/>
          <w:color w:val="auto"/>
          <w:kern w:val="2"/>
          <w:szCs w:val="24"/>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04D7D3D">
      <w:pPr>
        <w:spacing w:line="440" w:lineRule="exact"/>
        <w:rPr>
          <w:rFonts w:hAnsi="宋体"/>
          <w:b/>
          <w:color w:val="auto"/>
          <w:kern w:val="2"/>
          <w:szCs w:val="24"/>
        </w:rPr>
      </w:pPr>
      <w:r>
        <w:rPr>
          <w:rFonts w:hint="eastAsia" w:hAnsi="宋体"/>
          <w:b/>
          <w:color w:val="auto"/>
          <w:kern w:val="2"/>
          <w:szCs w:val="24"/>
        </w:rPr>
        <w:t>（</w:t>
      </w:r>
      <w:r>
        <w:rPr>
          <w:rFonts w:hAnsi="宋体"/>
          <w:b/>
          <w:color w:val="auto"/>
          <w:kern w:val="2"/>
          <w:szCs w:val="24"/>
        </w:rPr>
        <w:t>2</w:t>
      </w:r>
      <w:r>
        <w:rPr>
          <w:rFonts w:hint="eastAsia" w:hAnsi="宋体"/>
          <w:b/>
          <w:color w:val="auto"/>
          <w:kern w:val="2"/>
          <w:szCs w:val="24"/>
        </w:rPr>
        <w:t>）如有特殊情况，采购代理机构延长截止时间和开标时间，采购代理机构和供应商的权利和义务将受到新的截止时间和开标时间的约束。</w:t>
      </w:r>
    </w:p>
    <w:p w14:paraId="04BE0644">
      <w:pPr>
        <w:keepNext/>
        <w:keepLines/>
        <w:spacing w:line="360" w:lineRule="auto"/>
        <w:outlineLvl w:val="2"/>
        <w:rPr>
          <w:rFonts w:hAnsi="宋体"/>
          <w:b/>
          <w:bCs/>
          <w:color w:val="auto"/>
          <w:kern w:val="2"/>
          <w:sz w:val="24"/>
          <w:szCs w:val="28"/>
        </w:rPr>
      </w:pPr>
      <w:bookmarkStart w:id="24" w:name="_Toc533783513"/>
      <w:bookmarkStart w:id="25" w:name="_Toc533781561"/>
      <w:r>
        <w:rPr>
          <w:rFonts w:hAnsi="宋体"/>
          <w:b/>
          <w:bCs/>
          <w:color w:val="auto"/>
          <w:kern w:val="2"/>
          <w:sz w:val="24"/>
          <w:szCs w:val="28"/>
        </w:rPr>
        <w:t>5.</w:t>
      </w:r>
      <w:r>
        <w:rPr>
          <w:rFonts w:hint="eastAsia" w:hAnsi="宋体"/>
          <w:b/>
          <w:bCs/>
          <w:color w:val="auto"/>
          <w:kern w:val="2"/>
          <w:sz w:val="24"/>
          <w:szCs w:val="28"/>
        </w:rPr>
        <w:t>开标会议</w:t>
      </w:r>
      <w:bookmarkEnd w:id="24"/>
      <w:bookmarkEnd w:id="25"/>
    </w:p>
    <w:p w14:paraId="06766909">
      <w:pPr>
        <w:keepNext/>
        <w:keepLines/>
        <w:spacing w:line="360" w:lineRule="auto"/>
        <w:outlineLvl w:val="3"/>
        <w:rPr>
          <w:rFonts w:hAnsi="宋体"/>
          <w:b/>
          <w:bCs/>
          <w:color w:val="auto"/>
          <w:kern w:val="2"/>
          <w:szCs w:val="28"/>
        </w:rPr>
      </w:pPr>
      <w:r>
        <w:rPr>
          <w:rFonts w:hAnsi="宋体"/>
          <w:b/>
          <w:bCs/>
          <w:color w:val="auto"/>
          <w:kern w:val="2"/>
          <w:szCs w:val="28"/>
        </w:rPr>
        <w:t>5.1</w:t>
      </w:r>
      <w:r>
        <w:rPr>
          <w:rFonts w:hint="eastAsia" w:hAnsi="宋体"/>
          <w:b/>
          <w:bCs/>
          <w:color w:val="auto"/>
          <w:kern w:val="2"/>
          <w:szCs w:val="28"/>
        </w:rPr>
        <w:t>开标时间和地点</w:t>
      </w:r>
    </w:p>
    <w:p w14:paraId="09D13739">
      <w:pPr>
        <w:spacing w:line="440" w:lineRule="exact"/>
        <w:rPr>
          <w:rFonts w:hAnsi="宋体"/>
          <w:color w:val="auto"/>
          <w:kern w:val="2"/>
          <w:szCs w:val="24"/>
        </w:rPr>
      </w:pPr>
      <w:r>
        <w:rPr>
          <w:rFonts w:hint="eastAsia" w:hAnsi="宋体"/>
          <w:color w:val="auto"/>
          <w:kern w:val="2"/>
          <w:szCs w:val="24"/>
        </w:rPr>
        <w:t>采购人在本章第</w:t>
      </w:r>
      <w:r>
        <w:rPr>
          <w:rFonts w:hAnsi="宋体"/>
          <w:color w:val="auto"/>
          <w:kern w:val="2"/>
          <w:szCs w:val="24"/>
        </w:rPr>
        <w:t>4.2.1</w:t>
      </w:r>
      <w:r>
        <w:rPr>
          <w:rFonts w:hint="eastAsia" w:hAnsi="宋体"/>
          <w:color w:val="auto"/>
          <w:kern w:val="2"/>
          <w:szCs w:val="24"/>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Pr>
          <w:rFonts w:hint="eastAsia" w:hAnsi="宋体"/>
          <w:color w:val="auto"/>
          <w:kern w:val="2"/>
        </w:rPr>
        <w:t>广西政府采购云平台电子开标大厅开标</w:t>
      </w:r>
      <w:r>
        <w:rPr>
          <w:rFonts w:hint="eastAsia" w:hAnsi="宋体"/>
          <w:color w:val="auto"/>
          <w:kern w:val="2"/>
          <w:szCs w:val="24"/>
        </w:rPr>
        <w:t>参加开标会。</w:t>
      </w:r>
    </w:p>
    <w:p w14:paraId="1D4C8D13">
      <w:pPr>
        <w:keepNext/>
        <w:keepLines/>
        <w:spacing w:line="360" w:lineRule="auto"/>
        <w:outlineLvl w:val="3"/>
        <w:rPr>
          <w:rFonts w:hAnsi="宋体"/>
          <w:b/>
          <w:bCs/>
          <w:color w:val="auto"/>
          <w:kern w:val="2"/>
          <w:szCs w:val="28"/>
        </w:rPr>
      </w:pPr>
      <w:r>
        <w:rPr>
          <w:rFonts w:hAnsi="宋体"/>
          <w:b/>
          <w:bCs/>
          <w:color w:val="auto"/>
          <w:kern w:val="2"/>
          <w:szCs w:val="28"/>
        </w:rPr>
        <w:t>5.2</w:t>
      </w:r>
      <w:r>
        <w:rPr>
          <w:rFonts w:hint="eastAsia" w:hAnsi="宋体"/>
          <w:b/>
          <w:bCs/>
          <w:color w:val="auto"/>
          <w:kern w:val="2"/>
          <w:szCs w:val="28"/>
        </w:rPr>
        <w:t>开标程序</w:t>
      </w:r>
    </w:p>
    <w:p w14:paraId="0D5EA295">
      <w:pPr>
        <w:spacing w:line="440" w:lineRule="exact"/>
        <w:rPr>
          <w:rFonts w:hAnsi="宋体"/>
          <w:color w:val="auto"/>
          <w:kern w:val="2"/>
          <w:szCs w:val="24"/>
        </w:rPr>
      </w:pPr>
      <w:r>
        <w:rPr>
          <w:rFonts w:hAnsi="宋体"/>
          <w:color w:val="auto"/>
          <w:kern w:val="2"/>
          <w:szCs w:val="24"/>
        </w:rPr>
        <w:t>5.2.1</w:t>
      </w:r>
      <w:r>
        <w:rPr>
          <w:rFonts w:hint="eastAsia" w:hAnsi="宋体"/>
          <w:color w:val="auto"/>
          <w:kern w:val="2"/>
          <w:szCs w:val="24"/>
        </w:rPr>
        <w:t>开标时间后，主持人宣布开标会议开始。</w:t>
      </w:r>
    </w:p>
    <w:p w14:paraId="0BE97298">
      <w:pPr>
        <w:spacing w:line="440" w:lineRule="exact"/>
        <w:rPr>
          <w:rFonts w:hAnsi="宋体"/>
          <w:color w:val="auto"/>
          <w:kern w:val="2"/>
          <w:szCs w:val="24"/>
        </w:rPr>
      </w:pPr>
      <w:r>
        <w:rPr>
          <w:rFonts w:hAnsi="宋体"/>
          <w:color w:val="auto"/>
          <w:kern w:val="2"/>
          <w:szCs w:val="24"/>
        </w:rPr>
        <w:t>5.2.2</w:t>
      </w:r>
      <w:r>
        <w:rPr>
          <w:rFonts w:hint="eastAsia" w:hAnsi="宋体"/>
          <w:color w:val="auto"/>
          <w:kern w:val="2"/>
          <w:szCs w:val="24"/>
        </w:rPr>
        <w:t>供应商登录广西政府采购云平台对响应文件进行在线解密。</w:t>
      </w:r>
    </w:p>
    <w:p w14:paraId="2AB9B5BB">
      <w:pPr>
        <w:spacing w:line="440" w:lineRule="exact"/>
        <w:rPr>
          <w:rFonts w:hAnsi="宋体"/>
          <w:color w:val="auto"/>
          <w:kern w:val="2"/>
          <w:szCs w:val="24"/>
        </w:rPr>
      </w:pPr>
      <w:r>
        <w:rPr>
          <w:rFonts w:hAnsi="宋体"/>
          <w:color w:val="auto"/>
          <w:kern w:val="2"/>
          <w:szCs w:val="24"/>
        </w:rPr>
        <w:t>5.2.3</w:t>
      </w:r>
      <w:r>
        <w:rPr>
          <w:rFonts w:hint="eastAsia" w:hAnsi="宋体"/>
          <w:color w:val="auto"/>
          <w:kern w:val="2"/>
          <w:szCs w:val="24"/>
        </w:rPr>
        <w:t>磋商小组对磋商响应文件进行评估和比较。</w:t>
      </w:r>
    </w:p>
    <w:p w14:paraId="33837504">
      <w:pPr>
        <w:spacing w:line="440" w:lineRule="exact"/>
        <w:rPr>
          <w:rFonts w:hAnsi="宋体"/>
          <w:color w:val="auto"/>
          <w:kern w:val="2"/>
          <w:szCs w:val="24"/>
        </w:rPr>
      </w:pPr>
      <w:r>
        <w:rPr>
          <w:rFonts w:hAnsi="宋体"/>
          <w:color w:val="auto"/>
          <w:kern w:val="2"/>
          <w:szCs w:val="24"/>
        </w:rPr>
        <w:t>5.2.4</w:t>
      </w:r>
      <w:r>
        <w:rPr>
          <w:rFonts w:hint="eastAsia" w:hAnsi="宋体"/>
          <w:color w:val="auto"/>
          <w:kern w:val="2"/>
          <w:szCs w:val="24"/>
        </w:rPr>
        <w:t>以广西政府采购云平台中获取磋商文件顺序确定各供应商磋商顺序。</w:t>
      </w:r>
    </w:p>
    <w:p w14:paraId="04128A22">
      <w:pPr>
        <w:spacing w:line="440" w:lineRule="exact"/>
        <w:rPr>
          <w:rFonts w:hAnsi="宋体"/>
          <w:color w:val="auto"/>
          <w:kern w:val="2"/>
          <w:szCs w:val="24"/>
        </w:rPr>
      </w:pPr>
      <w:r>
        <w:rPr>
          <w:rFonts w:hAnsi="宋体"/>
          <w:color w:val="auto"/>
          <w:kern w:val="2"/>
          <w:szCs w:val="24"/>
        </w:rPr>
        <w:t>5.2.5</w:t>
      </w:r>
      <w:r>
        <w:rPr>
          <w:rFonts w:hint="eastAsia" w:hAnsi="宋体"/>
          <w:color w:val="auto"/>
          <w:kern w:val="2"/>
          <w:szCs w:val="24"/>
        </w:rPr>
        <w:t>发起磋商，由磋商小组与单一供应商分别进行磋商。</w:t>
      </w:r>
    </w:p>
    <w:p w14:paraId="69674AB9">
      <w:pPr>
        <w:spacing w:line="440" w:lineRule="exact"/>
        <w:rPr>
          <w:rFonts w:hAnsi="宋体"/>
          <w:color w:val="auto"/>
          <w:kern w:val="2"/>
          <w:szCs w:val="24"/>
        </w:rPr>
      </w:pPr>
      <w:r>
        <w:rPr>
          <w:rFonts w:hAnsi="宋体"/>
          <w:color w:val="auto"/>
          <w:kern w:val="2"/>
          <w:szCs w:val="24"/>
        </w:rPr>
        <w:t>5.2.6</w:t>
      </w:r>
      <w:r>
        <w:rPr>
          <w:rFonts w:hint="eastAsia" w:hAnsi="宋体"/>
          <w:color w:val="auto"/>
          <w:kern w:val="2"/>
          <w:szCs w:val="24"/>
        </w:rPr>
        <w:t>磋商小组要求所有实质性响应的供应商在规定时间内提交最后报价。</w:t>
      </w:r>
    </w:p>
    <w:p w14:paraId="620A6063">
      <w:pPr>
        <w:spacing w:line="440" w:lineRule="exact"/>
        <w:rPr>
          <w:rFonts w:hAnsi="宋体"/>
          <w:color w:val="auto"/>
          <w:kern w:val="2"/>
          <w:szCs w:val="24"/>
        </w:rPr>
      </w:pPr>
      <w:r>
        <w:rPr>
          <w:rFonts w:hAnsi="宋体"/>
          <w:color w:val="auto"/>
          <w:kern w:val="2"/>
          <w:szCs w:val="24"/>
        </w:rPr>
        <w:t>5.2.7</w:t>
      </w:r>
      <w:r>
        <w:rPr>
          <w:rFonts w:hint="eastAsia" w:hAnsi="宋体"/>
          <w:color w:val="auto"/>
          <w:kern w:val="2"/>
          <w:szCs w:val="24"/>
        </w:rPr>
        <w:t>由磋商小组采用综合评分法对提交最后报价的供应商的响应文件和最后报价进行综合评审，在符合采购需求、质量和服务要求的前提下，按评审得分从高到低顺序推荐确定成交候选供应商。</w:t>
      </w:r>
    </w:p>
    <w:p w14:paraId="07C0CDA5">
      <w:pPr>
        <w:spacing w:line="440" w:lineRule="exact"/>
        <w:rPr>
          <w:rFonts w:hAnsi="宋体"/>
          <w:b/>
          <w:bCs/>
          <w:color w:val="auto"/>
          <w:kern w:val="2"/>
          <w:szCs w:val="24"/>
        </w:rPr>
      </w:pPr>
      <w:r>
        <w:rPr>
          <w:rFonts w:hint="eastAsia" w:hAnsi="宋体"/>
          <w:b/>
          <w:bCs/>
          <w:color w:val="auto"/>
          <w:kern w:val="2"/>
          <w:szCs w:val="24"/>
        </w:rPr>
        <w:t>特别说明：广西政府采购云平台公司如对电子化磋商及评审程序有调整的，按调整后的程序操作。</w:t>
      </w:r>
    </w:p>
    <w:p w14:paraId="36690406">
      <w:pPr>
        <w:keepNext/>
        <w:keepLines/>
        <w:spacing w:line="360" w:lineRule="auto"/>
        <w:outlineLvl w:val="3"/>
        <w:rPr>
          <w:rFonts w:hAnsi="宋体"/>
          <w:b/>
          <w:bCs/>
          <w:color w:val="auto"/>
          <w:kern w:val="2"/>
          <w:szCs w:val="28"/>
        </w:rPr>
      </w:pPr>
      <w:r>
        <w:rPr>
          <w:rFonts w:hAnsi="宋体"/>
          <w:b/>
          <w:bCs/>
          <w:color w:val="auto"/>
          <w:kern w:val="2"/>
          <w:szCs w:val="28"/>
        </w:rPr>
        <w:t>5.3</w:t>
      </w:r>
      <w:r>
        <w:rPr>
          <w:rFonts w:hint="eastAsia" w:hAnsi="宋体"/>
          <w:b/>
          <w:bCs/>
          <w:color w:val="auto"/>
          <w:kern w:val="2"/>
          <w:szCs w:val="28"/>
        </w:rPr>
        <w:t>不予开标</w:t>
      </w:r>
    </w:p>
    <w:p w14:paraId="64CB4538">
      <w:pPr>
        <w:spacing w:line="440" w:lineRule="exact"/>
        <w:rPr>
          <w:rFonts w:hAnsi="宋体"/>
          <w:color w:val="auto"/>
          <w:kern w:val="2"/>
          <w:szCs w:val="24"/>
        </w:rPr>
      </w:pPr>
      <w:r>
        <w:rPr>
          <w:rFonts w:hint="eastAsia" w:hAnsi="宋体"/>
          <w:color w:val="auto"/>
          <w:kern w:val="2"/>
          <w:szCs w:val="24"/>
        </w:rPr>
        <w:t>采购过程中出现以下情形，导致电子交易平台无法正常运行，或者无法保证电子交易的公平、公正和安全时，采购组织机构可中止电子交易活动：</w:t>
      </w:r>
    </w:p>
    <w:p w14:paraId="62D38EB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）电子交易平台发生故障而无法登录访问的；</w:t>
      </w:r>
      <w:r>
        <w:rPr>
          <w:rFonts w:hAnsi="宋体"/>
          <w:color w:val="auto"/>
          <w:kern w:val="2"/>
          <w:szCs w:val="24"/>
        </w:rPr>
        <w:t xml:space="preserve"> </w:t>
      </w:r>
    </w:p>
    <w:p w14:paraId="4081135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）电子交易平台应用或数据库出现错误，不能进行正常操作的；</w:t>
      </w:r>
    </w:p>
    <w:p w14:paraId="6F4AFB4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）电子交易平台发现严重安全漏洞，有潜在泄密危险的；</w:t>
      </w:r>
    </w:p>
    <w:p w14:paraId="054C13F1">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）病毒发作导致不能进行正常操作的；</w:t>
      </w:r>
      <w:r>
        <w:rPr>
          <w:rFonts w:hAnsi="宋体"/>
          <w:color w:val="auto"/>
          <w:kern w:val="2"/>
          <w:szCs w:val="24"/>
        </w:rPr>
        <w:t xml:space="preserve"> </w:t>
      </w:r>
    </w:p>
    <w:p w14:paraId="5FA907D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）其他无法保证电子交易的公平、公正和安全的情况。</w:t>
      </w:r>
    </w:p>
    <w:p w14:paraId="01435A1A">
      <w:pPr>
        <w:spacing w:line="360" w:lineRule="auto"/>
        <w:rPr>
          <w:rFonts w:hAnsi="宋体"/>
          <w:color w:val="auto"/>
          <w:kern w:val="2"/>
          <w:szCs w:val="24"/>
        </w:rPr>
      </w:pPr>
      <w:r>
        <w:rPr>
          <w:rFonts w:hAnsi="宋体"/>
          <w:color w:val="auto"/>
          <w:kern w:val="2"/>
          <w:szCs w:val="24"/>
        </w:rPr>
        <w:t xml:space="preserve">    </w:t>
      </w:r>
      <w:r>
        <w:rPr>
          <w:rFonts w:hint="eastAsia" w:hAnsi="宋体"/>
          <w:color w:val="auto"/>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681827">
      <w:pPr>
        <w:keepNext/>
        <w:keepLines/>
        <w:spacing w:line="360" w:lineRule="auto"/>
        <w:outlineLvl w:val="3"/>
        <w:rPr>
          <w:rFonts w:hAnsi="宋体"/>
          <w:b/>
          <w:bCs/>
          <w:color w:val="auto"/>
          <w:kern w:val="2"/>
          <w:szCs w:val="28"/>
        </w:rPr>
      </w:pPr>
      <w:r>
        <w:rPr>
          <w:rFonts w:hAnsi="宋体"/>
          <w:b/>
          <w:bCs/>
          <w:color w:val="auto"/>
          <w:kern w:val="2"/>
          <w:szCs w:val="28"/>
        </w:rPr>
        <w:t>5.4</w:t>
      </w:r>
      <w:r>
        <w:rPr>
          <w:rFonts w:hint="eastAsia" w:hAnsi="宋体"/>
          <w:b/>
          <w:bCs/>
          <w:color w:val="auto"/>
          <w:kern w:val="2"/>
          <w:szCs w:val="28"/>
        </w:rPr>
        <w:t>开标异议</w:t>
      </w:r>
    </w:p>
    <w:p w14:paraId="06D6821E">
      <w:pPr>
        <w:spacing w:line="360" w:lineRule="auto"/>
        <w:rPr>
          <w:rFonts w:hAnsi="宋体"/>
          <w:color w:val="auto"/>
          <w:kern w:val="2"/>
          <w:szCs w:val="24"/>
        </w:rPr>
      </w:pPr>
      <w:r>
        <w:rPr>
          <w:rFonts w:hint="eastAsia" w:hAnsi="宋体"/>
          <w:color w:val="auto"/>
          <w:kern w:val="2"/>
          <w:szCs w:val="24"/>
        </w:rPr>
        <w:t>供应商对开标有异议的，可以在开标现场提出，采购人当场作出答复，并制作记录。也可以在开标环节结束之日起</w:t>
      </w:r>
      <w:r>
        <w:rPr>
          <w:rFonts w:hAnsi="宋体"/>
          <w:color w:val="auto"/>
          <w:kern w:val="2"/>
          <w:szCs w:val="24"/>
        </w:rPr>
        <w:t>7</w:t>
      </w:r>
      <w:r>
        <w:rPr>
          <w:rFonts w:hint="eastAsia" w:hAnsi="宋体"/>
          <w:color w:val="auto"/>
          <w:kern w:val="2"/>
          <w:szCs w:val="24"/>
        </w:rPr>
        <w:t>个工作日内向采购人或采购代理机构提出质疑。</w:t>
      </w:r>
    </w:p>
    <w:p w14:paraId="386A7F35">
      <w:pPr>
        <w:keepNext/>
        <w:keepLines/>
        <w:spacing w:line="360" w:lineRule="auto"/>
        <w:outlineLvl w:val="2"/>
        <w:rPr>
          <w:rFonts w:hAnsi="宋体"/>
          <w:b/>
          <w:bCs/>
          <w:color w:val="auto"/>
          <w:kern w:val="2"/>
          <w:sz w:val="24"/>
          <w:szCs w:val="28"/>
        </w:rPr>
      </w:pPr>
      <w:bookmarkStart w:id="26" w:name="_Toc533783514"/>
      <w:bookmarkStart w:id="27" w:name="_Toc533781562"/>
      <w:r>
        <w:rPr>
          <w:rFonts w:hAnsi="宋体"/>
          <w:b/>
          <w:bCs/>
          <w:color w:val="auto"/>
          <w:kern w:val="2"/>
          <w:sz w:val="24"/>
          <w:szCs w:val="28"/>
        </w:rPr>
        <w:t>6.</w:t>
      </w:r>
      <w:r>
        <w:rPr>
          <w:rFonts w:hint="eastAsia" w:hAnsi="宋体"/>
          <w:b/>
          <w:bCs/>
          <w:color w:val="auto"/>
          <w:kern w:val="2"/>
          <w:sz w:val="24"/>
          <w:szCs w:val="28"/>
        </w:rPr>
        <w:t>磋商与评审</w:t>
      </w:r>
      <w:bookmarkEnd w:id="26"/>
      <w:bookmarkEnd w:id="27"/>
    </w:p>
    <w:p w14:paraId="7AF30A1C">
      <w:pPr>
        <w:keepNext/>
        <w:keepLines/>
        <w:spacing w:line="360" w:lineRule="auto"/>
        <w:outlineLvl w:val="3"/>
        <w:rPr>
          <w:rFonts w:hAnsi="宋体"/>
          <w:b/>
          <w:bCs/>
          <w:color w:val="auto"/>
          <w:kern w:val="2"/>
          <w:szCs w:val="28"/>
        </w:rPr>
      </w:pPr>
      <w:r>
        <w:rPr>
          <w:rFonts w:hAnsi="宋体"/>
          <w:b/>
          <w:bCs/>
          <w:color w:val="auto"/>
          <w:kern w:val="2"/>
          <w:szCs w:val="28"/>
        </w:rPr>
        <w:t>6.1</w:t>
      </w:r>
      <w:r>
        <w:rPr>
          <w:rFonts w:hint="eastAsia" w:hAnsi="宋体"/>
          <w:b/>
          <w:bCs/>
          <w:color w:val="auto"/>
          <w:kern w:val="2"/>
          <w:szCs w:val="28"/>
        </w:rPr>
        <w:t>磋商小组</w:t>
      </w:r>
    </w:p>
    <w:p w14:paraId="2CCD2097">
      <w:pPr>
        <w:spacing w:line="440" w:lineRule="exact"/>
        <w:rPr>
          <w:rFonts w:hAnsi="宋体"/>
          <w:color w:val="auto"/>
          <w:kern w:val="2"/>
          <w:szCs w:val="24"/>
        </w:rPr>
      </w:pPr>
      <w:r>
        <w:rPr>
          <w:rFonts w:hAnsi="宋体"/>
          <w:color w:val="auto"/>
          <w:kern w:val="2"/>
          <w:szCs w:val="24"/>
        </w:rPr>
        <w:t>6.1.1</w:t>
      </w:r>
      <w:r>
        <w:rPr>
          <w:rFonts w:hint="eastAsia" w:hAnsi="宋体"/>
          <w:color w:val="auto"/>
          <w:kern w:val="2"/>
          <w:szCs w:val="24"/>
        </w:rPr>
        <w:t>评审及磋商工作由采购人依法组建的磋商小组负责。磋商小组的人员构成及评审专家的专业要求见供应商须知前附表。</w:t>
      </w:r>
    </w:p>
    <w:p w14:paraId="2A79F8EA">
      <w:pPr>
        <w:spacing w:line="440" w:lineRule="exact"/>
        <w:rPr>
          <w:rFonts w:hAnsi="宋体"/>
          <w:color w:val="auto"/>
          <w:kern w:val="2"/>
          <w:szCs w:val="24"/>
        </w:rPr>
      </w:pPr>
      <w:r>
        <w:rPr>
          <w:rFonts w:hAnsi="宋体"/>
          <w:color w:val="auto"/>
          <w:kern w:val="2"/>
          <w:szCs w:val="24"/>
        </w:rPr>
        <w:t>6.1.2</w:t>
      </w:r>
      <w:r>
        <w:rPr>
          <w:rFonts w:hint="eastAsia" w:hAnsi="宋体"/>
          <w:color w:val="auto"/>
          <w:kern w:val="2"/>
          <w:szCs w:val="24"/>
        </w:rPr>
        <w:t>磋商小组成员有下列情形之一的，应当回避：</w:t>
      </w:r>
    </w:p>
    <w:p w14:paraId="41637FD7">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年内与供应商存在劳动关系；</w:t>
      </w:r>
    </w:p>
    <w:p w14:paraId="2670C31F">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年内担任供应商的董事、监事；</w:t>
      </w:r>
    </w:p>
    <w:p w14:paraId="07EDEB10">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）参加采购活动前</w:t>
      </w:r>
      <w:r>
        <w:rPr>
          <w:rFonts w:hAnsi="宋体"/>
          <w:color w:val="auto"/>
          <w:kern w:val="2"/>
          <w:szCs w:val="24"/>
        </w:rPr>
        <w:t>3</w:t>
      </w:r>
      <w:r>
        <w:rPr>
          <w:rFonts w:hint="eastAsia" w:hAnsi="宋体"/>
          <w:color w:val="auto"/>
          <w:kern w:val="2"/>
          <w:szCs w:val="24"/>
        </w:rPr>
        <w:t>年内是供应商的控股股东或者实际控制人；</w:t>
      </w:r>
    </w:p>
    <w:p w14:paraId="0E678010">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）与供应商的法定代表人或者负责人有夫妻、直系血亲、三代以内旁系血亲或者近姻亲关系；</w:t>
      </w:r>
    </w:p>
    <w:p w14:paraId="04C6176D">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）与供应商有其他可能影响政府采购活动公平、公正进行的关系。</w:t>
      </w:r>
    </w:p>
    <w:p w14:paraId="5E99713E">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）项目主管部门或者行政监督部门的人员；</w:t>
      </w:r>
    </w:p>
    <w:p w14:paraId="39572EDC">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）与供应商有经济利益关系，对响应文件公正评审及磋商可能造成不良影响的；</w:t>
      </w:r>
    </w:p>
    <w:p w14:paraId="22DC009C">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8</w:t>
      </w:r>
      <w:r>
        <w:rPr>
          <w:rFonts w:hint="eastAsia" w:hAnsi="宋体"/>
          <w:color w:val="auto"/>
          <w:kern w:val="2"/>
          <w:szCs w:val="24"/>
        </w:rPr>
        <w:t>）曾因在政府采购有关活动中从事违法行为而受过行政处罚或刑事处罚的；</w:t>
      </w:r>
    </w:p>
    <w:p w14:paraId="1C589641">
      <w:pPr>
        <w:spacing w:line="440" w:lineRule="exact"/>
        <w:rPr>
          <w:rFonts w:hAnsi="宋体"/>
          <w:color w:val="auto"/>
          <w:kern w:val="2"/>
          <w:szCs w:val="24"/>
        </w:rPr>
      </w:pPr>
      <w:r>
        <w:rPr>
          <w:rFonts w:hint="eastAsia" w:hAnsi="宋体"/>
          <w:color w:val="auto"/>
          <w:kern w:val="2"/>
          <w:szCs w:val="24"/>
        </w:rPr>
        <w:t>（</w:t>
      </w:r>
      <w:r>
        <w:rPr>
          <w:rFonts w:hAnsi="宋体"/>
          <w:color w:val="auto"/>
          <w:kern w:val="2"/>
          <w:szCs w:val="24"/>
        </w:rPr>
        <w:t>9</w:t>
      </w:r>
      <w:r>
        <w:rPr>
          <w:rFonts w:hint="eastAsia" w:hAnsi="宋体"/>
          <w:color w:val="auto"/>
          <w:kern w:val="2"/>
          <w:szCs w:val="24"/>
        </w:rPr>
        <w:t>）与供应商有其他可能影响政府采购公平、公正进行的关系。</w:t>
      </w:r>
    </w:p>
    <w:p w14:paraId="18225B50">
      <w:pPr>
        <w:spacing w:line="440" w:lineRule="exact"/>
        <w:rPr>
          <w:rFonts w:hAnsi="宋体"/>
          <w:color w:val="auto"/>
          <w:kern w:val="2"/>
          <w:szCs w:val="24"/>
        </w:rPr>
      </w:pPr>
      <w:r>
        <w:rPr>
          <w:rFonts w:hAnsi="宋体"/>
          <w:color w:val="auto"/>
          <w:kern w:val="2"/>
          <w:szCs w:val="24"/>
        </w:rPr>
        <w:t>6.1.3</w:t>
      </w:r>
      <w:r>
        <w:rPr>
          <w:rFonts w:hint="eastAsia" w:hAnsi="宋体"/>
          <w:color w:val="auto"/>
          <w:kern w:val="2"/>
          <w:szCs w:val="24"/>
        </w:rPr>
        <w:t>磋商小组成员有下列情形的，列入不良行为记录：</w:t>
      </w:r>
    </w:p>
    <w:p w14:paraId="7AD3DD85">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一</w:t>
      </w:r>
      <w:r>
        <w:rPr>
          <w:rFonts w:hAnsi="宋体"/>
          <w:color w:val="auto"/>
          <w:kern w:val="2"/>
          <w:szCs w:val="24"/>
        </w:rPr>
        <w:t>)</w:t>
      </w:r>
      <w:r>
        <w:rPr>
          <w:rFonts w:hint="eastAsia" w:hAnsi="宋体"/>
          <w:color w:val="auto"/>
          <w:kern w:val="2"/>
          <w:szCs w:val="24"/>
        </w:rPr>
        <w:t>未按照磋商文件规定的评审程序、评审方法和评审标准进行独立评审；</w:t>
      </w:r>
    </w:p>
    <w:p w14:paraId="28EE7633">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二</w:t>
      </w:r>
      <w:r>
        <w:rPr>
          <w:rFonts w:hAnsi="宋体"/>
          <w:color w:val="auto"/>
          <w:kern w:val="2"/>
          <w:szCs w:val="24"/>
        </w:rPr>
        <w:t>)</w:t>
      </w:r>
      <w:r>
        <w:rPr>
          <w:rFonts w:hint="eastAsia" w:hAnsi="宋体"/>
          <w:color w:val="auto"/>
          <w:kern w:val="2"/>
          <w:szCs w:val="24"/>
        </w:rPr>
        <w:t>泄露评审文件、评审情况；</w:t>
      </w:r>
    </w:p>
    <w:p w14:paraId="0B971B02">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三</w:t>
      </w:r>
      <w:r>
        <w:rPr>
          <w:rFonts w:hAnsi="宋体"/>
          <w:color w:val="auto"/>
          <w:kern w:val="2"/>
          <w:szCs w:val="24"/>
        </w:rPr>
        <w:t>)</w:t>
      </w:r>
      <w:r>
        <w:rPr>
          <w:rFonts w:hint="eastAsia" w:hAnsi="宋体"/>
          <w:color w:val="auto"/>
          <w:kern w:val="2"/>
          <w:szCs w:val="24"/>
        </w:rPr>
        <w:t>与供应商存在利害关系未回避；</w:t>
      </w:r>
    </w:p>
    <w:p w14:paraId="06593283">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四</w:t>
      </w:r>
      <w:r>
        <w:rPr>
          <w:rFonts w:hAnsi="宋体"/>
          <w:color w:val="auto"/>
          <w:kern w:val="2"/>
          <w:szCs w:val="24"/>
        </w:rPr>
        <w:t>)</w:t>
      </w:r>
      <w:r>
        <w:rPr>
          <w:rFonts w:hint="eastAsia" w:hAnsi="宋体"/>
          <w:color w:val="auto"/>
          <w:kern w:val="2"/>
          <w:szCs w:val="24"/>
        </w:rPr>
        <w:t>收受采购人、采购代理机构、供应商贿赂或者获取其他不正当利益；</w:t>
      </w:r>
    </w:p>
    <w:p w14:paraId="093B93CA">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五</w:t>
      </w:r>
      <w:r>
        <w:rPr>
          <w:rFonts w:hAnsi="宋体"/>
          <w:color w:val="auto"/>
          <w:kern w:val="2"/>
          <w:szCs w:val="24"/>
        </w:rPr>
        <w:t>)</w:t>
      </w:r>
      <w:r>
        <w:rPr>
          <w:rFonts w:hint="eastAsia" w:hAnsi="宋体"/>
          <w:color w:val="auto"/>
          <w:kern w:val="2"/>
          <w:szCs w:val="24"/>
        </w:rPr>
        <w:t>拒不履行配合答复供应商询问、质疑、投诉等法定义务；</w:t>
      </w:r>
    </w:p>
    <w:p w14:paraId="291A7A77">
      <w:pPr>
        <w:spacing w:line="440" w:lineRule="exact"/>
        <w:rPr>
          <w:rFonts w:hAnsi="宋体"/>
          <w:color w:val="auto"/>
          <w:kern w:val="2"/>
          <w:szCs w:val="24"/>
        </w:rPr>
      </w:pPr>
      <w:r>
        <w:rPr>
          <w:rFonts w:hAnsi="宋体"/>
          <w:color w:val="auto"/>
          <w:kern w:val="2"/>
          <w:szCs w:val="24"/>
        </w:rPr>
        <w:t>(</w:t>
      </w:r>
      <w:r>
        <w:rPr>
          <w:rFonts w:hint="eastAsia" w:hAnsi="宋体"/>
          <w:color w:val="auto"/>
          <w:kern w:val="2"/>
          <w:szCs w:val="24"/>
        </w:rPr>
        <w:t>六</w:t>
      </w:r>
      <w:r>
        <w:rPr>
          <w:rFonts w:hAnsi="宋体"/>
          <w:color w:val="auto"/>
          <w:kern w:val="2"/>
          <w:szCs w:val="24"/>
        </w:rPr>
        <w:t>)</w:t>
      </w:r>
      <w:r>
        <w:rPr>
          <w:rFonts w:hint="eastAsia" w:hAnsi="宋体"/>
          <w:color w:val="auto"/>
          <w:kern w:val="2"/>
          <w:szCs w:val="24"/>
        </w:rPr>
        <w:t>以评审专家身份从事有损政府采购公信力的活动。</w:t>
      </w:r>
    </w:p>
    <w:p w14:paraId="75672C3F">
      <w:pPr>
        <w:spacing w:line="440" w:lineRule="exact"/>
        <w:rPr>
          <w:rFonts w:hAnsi="宋体"/>
          <w:color w:val="auto"/>
          <w:kern w:val="2"/>
          <w:szCs w:val="24"/>
        </w:rPr>
      </w:pPr>
      <w:r>
        <w:rPr>
          <w:rFonts w:hAnsi="宋体"/>
          <w:color w:val="auto"/>
          <w:kern w:val="2"/>
          <w:szCs w:val="24"/>
        </w:rPr>
        <w:t>6.1.4</w:t>
      </w:r>
      <w:r>
        <w:rPr>
          <w:rFonts w:hint="eastAsia" w:hAnsi="宋体"/>
          <w:color w:val="auto"/>
          <w:kern w:val="2"/>
          <w:szCs w:val="24"/>
        </w:rPr>
        <w:t>磋商小组应当配合答复供应商的询问、质疑和投诉等事项，不得泄露评审文件、评审情况和在评审过程中获悉的商业秘密。</w:t>
      </w:r>
    </w:p>
    <w:p w14:paraId="0BBD9778">
      <w:pPr>
        <w:keepNext/>
        <w:keepLines/>
        <w:spacing w:line="360" w:lineRule="auto"/>
        <w:outlineLvl w:val="3"/>
        <w:rPr>
          <w:rFonts w:hAnsi="宋体"/>
          <w:b/>
          <w:bCs/>
          <w:color w:val="auto"/>
          <w:kern w:val="2"/>
          <w:szCs w:val="28"/>
        </w:rPr>
      </w:pPr>
      <w:r>
        <w:rPr>
          <w:rFonts w:hAnsi="宋体"/>
          <w:b/>
          <w:bCs/>
          <w:color w:val="auto"/>
          <w:kern w:val="2"/>
          <w:szCs w:val="28"/>
        </w:rPr>
        <w:t>6.2</w:t>
      </w:r>
      <w:r>
        <w:rPr>
          <w:rFonts w:hint="eastAsia" w:hAnsi="宋体"/>
          <w:b/>
          <w:bCs/>
          <w:color w:val="auto"/>
          <w:kern w:val="2"/>
          <w:szCs w:val="28"/>
        </w:rPr>
        <w:t>磋商</w:t>
      </w:r>
    </w:p>
    <w:p w14:paraId="5BD7F247">
      <w:pPr>
        <w:spacing w:line="360" w:lineRule="auto"/>
        <w:rPr>
          <w:rFonts w:hAnsi="宋体"/>
          <w:color w:val="auto"/>
          <w:kern w:val="2"/>
          <w:szCs w:val="24"/>
        </w:rPr>
      </w:pPr>
      <w:r>
        <w:rPr>
          <w:rFonts w:hAnsi="宋体"/>
          <w:color w:val="auto"/>
          <w:kern w:val="2"/>
          <w:szCs w:val="24"/>
        </w:rPr>
        <w:t>6.2.1</w:t>
      </w:r>
      <w:r>
        <w:rPr>
          <w:rFonts w:hint="eastAsia" w:hAnsi="宋体"/>
          <w:color w:val="auto"/>
          <w:kern w:val="2"/>
          <w:szCs w:val="24"/>
        </w:rPr>
        <w:t>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3F97F6CE">
      <w:pPr>
        <w:spacing w:line="360" w:lineRule="auto"/>
        <w:rPr>
          <w:rFonts w:hAnsi="宋体"/>
          <w:color w:val="auto"/>
          <w:kern w:val="2"/>
          <w:szCs w:val="24"/>
        </w:rPr>
      </w:pPr>
      <w:r>
        <w:rPr>
          <w:rFonts w:hAnsi="宋体"/>
          <w:color w:val="auto"/>
          <w:kern w:val="2"/>
          <w:szCs w:val="24"/>
        </w:rPr>
        <w:t>6.2.2</w:t>
      </w:r>
      <w:r>
        <w:rPr>
          <w:rFonts w:hint="eastAsia" w:hAnsi="宋体"/>
          <w:color w:val="auto"/>
          <w:kern w:val="2"/>
          <w:szCs w:val="24"/>
        </w:rPr>
        <w:t>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4D818D36">
      <w:pPr>
        <w:spacing w:line="360" w:lineRule="auto"/>
        <w:rPr>
          <w:rFonts w:hAnsi="宋体"/>
          <w:color w:val="auto"/>
          <w:kern w:val="2"/>
          <w:szCs w:val="24"/>
        </w:rPr>
      </w:pPr>
      <w:r>
        <w:rPr>
          <w:rFonts w:hAnsi="宋体"/>
          <w:color w:val="auto"/>
          <w:kern w:val="2"/>
          <w:szCs w:val="24"/>
        </w:rPr>
        <w:t>6.2.3</w:t>
      </w:r>
      <w:r>
        <w:rPr>
          <w:rFonts w:hint="eastAsia" w:hAnsi="宋体"/>
          <w:color w:val="auto"/>
          <w:kern w:val="2"/>
          <w:szCs w:val="24"/>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86E1FF6">
      <w:pPr>
        <w:spacing w:line="360" w:lineRule="auto"/>
        <w:rPr>
          <w:rFonts w:hAnsi="宋体"/>
          <w:color w:val="auto"/>
          <w:kern w:val="2"/>
          <w:szCs w:val="24"/>
        </w:rPr>
      </w:pPr>
      <w:r>
        <w:rPr>
          <w:rFonts w:hAnsi="宋体"/>
          <w:color w:val="auto"/>
          <w:kern w:val="2"/>
          <w:szCs w:val="24"/>
        </w:rPr>
        <w:t>6.2.4</w:t>
      </w:r>
      <w:r>
        <w:rPr>
          <w:rFonts w:hint="eastAsia" w:hAnsi="宋体"/>
          <w:color w:val="auto"/>
          <w:kern w:val="2"/>
          <w:szCs w:val="24"/>
        </w:rPr>
        <w:t>因磋商文件实质性变动而需重新提交响应文件的，供应商应当在磋商小组规定期限内按照磋商文件的变动情况重新提交响应文件，重新提交的响应文件应按照本章第</w:t>
      </w:r>
      <w:r>
        <w:rPr>
          <w:rFonts w:hAnsi="宋体"/>
          <w:color w:val="auto"/>
          <w:kern w:val="2"/>
          <w:szCs w:val="24"/>
        </w:rPr>
        <w:t>3</w:t>
      </w:r>
      <w:r>
        <w:rPr>
          <w:rFonts w:hint="eastAsia" w:hAnsi="宋体"/>
          <w:color w:val="auto"/>
          <w:kern w:val="2"/>
          <w:szCs w:val="24"/>
        </w:rPr>
        <w:t>条、第</w:t>
      </w:r>
      <w:r>
        <w:rPr>
          <w:rFonts w:hAnsi="宋体"/>
          <w:color w:val="auto"/>
          <w:kern w:val="2"/>
          <w:szCs w:val="24"/>
        </w:rPr>
        <w:t>4</w:t>
      </w:r>
      <w:r>
        <w:rPr>
          <w:rFonts w:hint="eastAsia" w:hAnsi="宋体"/>
          <w:color w:val="auto"/>
          <w:kern w:val="2"/>
          <w:szCs w:val="24"/>
        </w:rPr>
        <w:t>条的规定进行编制、密封、标记和提交，并标明“重新提交”字样，否则重新提交的响应文件无效。</w:t>
      </w:r>
    </w:p>
    <w:p w14:paraId="0FBEE93E">
      <w:pPr>
        <w:spacing w:line="360" w:lineRule="auto"/>
        <w:rPr>
          <w:rFonts w:hAnsi="宋体"/>
          <w:color w:val="auto"/>
          <w:kern w:val="2"/>
          <w:szCs w:val="24"/>
        </w:rPr>
      </w:pPr>
      <w:r>
        <w:rPr>
          <w:rFonts w:hAnsi="宋体"/>
          <w:color w:val="auto"/>
          <w:kern w:val="2"/>
          <w:szCs w:val="24"/>
        </w:rPr>
        <w:t>6.2.5</w:t>
      </w:r>
      <w:r>
        <w:rPr>
          <w:rFonts w:hint="eastAsia" w:hAnsi="宋体"/>
          <w:color w:val="auto"/>
          <w:kern w:val="2"/>
          <w:szCs w:val="24"/>
        </w:rPr>
        <w:t>磋商文件能够详细列明采购标的的技术、服务要求的，磋商结束后，磋商小组应当要求所有实质性响应的供应商在规定时间内提交最后报价，提交最后报价的供应商不得少于</w:t>
      </w:r>
      <w:r>
        <w:rPr>
          <w:rFonts w:hAnsi="宋体"/>
          <w:color w:val="auto"/>
          <w:kern w:val="2"/>
          <w:szCs w:val="24"/>
        </w:rPr>
        <w:t>3</w:t>
      </w:r>
      <w:r>
        <w:rPr>
          <w:rFonts w:hint="eastAsia" w:hAnsi="宋体"/>
          <w:color w:val="auto"/>
          <w:kern w:val="2"/>
          <w:szCs w:val="24"/>
        </w:rPr>
        <w:t>家（根据《政府采购竞争性磋商采购方式管理暂行办法》第二十一条第三款规定，市场竞争不充分的科研项目，以及需要扶持的科技成果转化项目，提交最后报价的供应商可以为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rPr>
        <w:t>2</w:t>
      </w:r>
      <w:r>
        <w:rPr>
          <w:rFonts w:hint="eastAsia" w:hAnsi="宋体"/>
          <w:color w:val="auto"/>
          <w:kern w:val="2"/>
          <w:szCs w:val="24"/>
        </w:rPr>
        <w:t>家）。</w:t>
      </w:r>
    </w:p>
    <w:p w14:paraId="75C831DE">
      <w:pPr>
        <w:spacing w:line="360" w:lineRule="auto"/>
        <w:rPr>
          <w:rFonts w:hAnsi="宋体"/>
          <w:color w:val="auto"/>
          <w:kern w:val="2"/>
          <w:szCs w:val="24"/>
        </w:rPr>
      </w:pPr>
      <w:r>
        <w:rPr>
          <w:rFonts w:hAnsi="宋体"/>
          <w:color w:val="auto"/>
          <w:kern w:val="2"/>
          <w:szCs w:val="24"/>
        </w:rPr>
        <w:t>6.2.6</w:t>
      </w:r>
      <w:r>
        <w:rPr>
          <w:rFonts w:hint="eastAsia" w:hAnsi="宋体"/>
          <w:color w:val="auto"/>
          <w:kern w:val="2"/>
          <w:szCs w:val="24"/>
        </w:rPr>
        <w:t>磋商文件不能详细列明采购标的的技术、服务要求，需经磋商由供应商提供最终设计方案或解决方案的，磋商结束后，磋商小组应当按照少数服从多数的原则投票推荐</w:t>
      </w:r>
      <w:r>
        <w:rPr>
          <w:rFonts w:hAnsi="宋体"/>
          <w:color w:val="auto"/>
          <w:kern w:val="2"/>
          <w:szCs w:val="24"/>
        </w:rPr>
        <w:t>3</w:t>
      </w:r>
      <w:r>
        <w:rPr>
          <w:rFonts w:hint="eastAsia" w:hAnsi="宋体"/>
          <w:color w:val="auto"/>
          <w:kern w:val="2"/>
          <w:szCs w:val="24"/>
        </w:rPr>
        <w:t>家以上供应商的设计方案或者解决方案，并要求其在规定时间内提交最后报价。</w:t>
      </w:r>
    </w:p>
    <w:p w14:paraId="47315CD6">
      <w:pPr>
        <w:spacing w:line="360" w:lineRule="auto"/>
        <w:rPr>
          <w:rFonts w:hAnsi="宋体"/>
          <w:color w:val="auto"/>
          <w:kern w:val="2"/>
          <w:szCs w:val="24"/>
        </w:rPr>
      </w:pPr>
      <w:r>
        <w:rPr>
          <w:rFonts w:hAnsi="宋体"/>
          <w:color w:val="auto"/>
          <w:kern w:val="2"/>
          <w:szCs w:val="24"/>
        </w:rPr>
        <w:t>6.2.7</w:t>
      </w:r>
      <w:r>
        <w:rPr>
          <w:rFonts w:hint="eastAsia" w:hAnsi="宋体"/>
          <w:color w:val="auto"/>
          <w:kern w:val="2"/>
          <w:szCs w:val="24"/>
        </w:rPr>
        <w:t>已提交响应文件的供应商，在提交最后报价之前，可以根据磋商情况退出磋商。最后报价是供应商响应文件的有效组成部分。</w:t>
      </w:r>
    </w:p>
    <w:p w14:paraId="6A119ADA">
      <w:pPr>
        <w:keepNext/>
        <w:keepLines/>
        <w:spacing w:line="360" w:lineRule="auto"/>
        <w:outlineLvl w:val="3"/>
        <w:rPr>
          <w:rFonts w:hAnsi="宋体"/>
          <w:b/>
          <w:bCs/>
          <w:color w:val="auto"/>
          <w:kern w:val="2"/>
          <w:szCs w:val="28"/>
        </w:rPr>
      </w:pPr>
      <w:r>
        <w:rPr>
          <w:rFonts w:hAnsi="宋体"/>
          <w:b/>
          <w:bCs/>
          <w:color w:val="auto"/>
          <w:kern w:val="2"/>
          <w:szCs w:val="28"/>
        </w:rPr>
        <w:t>6.3</w:t>
      </w:r>
      <w:r>
        <w:rPr>
          <w:rFonts w:hint="eastAsia" w:hAnsi="宋体"/>
          <w:b/>
          <w:bCs/>
          <w:color w:val="auto"/>
          <w:kern w:val="2"/>
          <w:szCs w:val="28"/>
        </w:rPr>
        <w:t>评审</w:t>
      </w:r>
    </w:p>
    <w:p w14:paraId="55027909">
      <w:pPr>
        <w:spacing w:line="360" w:lineRule="auto"/>
        <w:rPr>
          <w:rFonts w:hAnsi="宋体"/>
          <w:color w:val="auto"/>
          <w:kern w:val="2"/>
          <w:szCs w:val="24"/>
        </w:rPr>
      </w:pPr>
      <w:r>
        <w:rPr>
          <w:rFonts w:hAnsi="宋体"/>
          <w:color w:val="auto"/>
          <w:kern w:val="2"/>
          <w:szCs w:val="24"/>
        </w:rPr>
        <w:t>6.3.1</w:t>
      </w:r>
      <w:r>
        <w:rPr>
          <w:rFonts w:hint="eastAsia" w:hAnsi="宋体"/>
          <w:color w:val="auto"/>
          <w:kern w:val="2"/>
          <w:szCs w:val="24"/>
        </w:rPr>
        <w:t>评标方法：见供应商须知前附表。</w:t>
      </w:r>
    </w:p>
    <w:p w14:paraId="51C9D1DC">
      <w:pPr>
        <w:spacing w:line="360" w:lineRule="auto"/>
        <w:rPr>
          <w:rFonts w:hAnsi="宋体"/>
          <w:color w:val="auto"/>
          <w:kern w:val="2"/>
          <w:szCs w:val="24"/>
        </w:rPr>
      </w:pPr>
      <w:r>
        <w:rPr>
          <w:rFonts w:hAnsi="宋体"/>
          <w:color w:val="auto"/>
          <w:kern w:val="2"/>
          <w:szCs w:val="24"/>
        </w:rPr>
        <w:t>6.3.2</w:t>
      </w:r>
      <w:r>
        <w:rPr>
          <w:rFonts w:hint="eastAsia" w:hAnsi="宋体"/>
          <w:color w:val="auto"/>
          <w:kern w:val="2"/>
          <w:szCs w:val="24"/>
        </w:rPr>
        <w:t>磋商小组按照第三章“评标办法”规定的方法、评审因素、标准和程序对响应文件进行独立评审。第三章“评标办法”没有规定的方法、评审因素和标准，不作为评审依据。</w:t>
      </w:r>
    </w:p>
    <w:p w14:paraId="09D704BE">
      <w:pPr>
        <w:spacing w:line="360" w:lineRule="auto"/>
        <w:rPr>
          <w:rFonts w:hAnsi="宋体"/>
          <w:color w:val="auto"/>
          <w:kern w:val="2"/>
          <w:szCs w:val="24"/>
        </w:rPr>
      </w:pPr>
      <w:r>
        <w:rPr>
          <w:rFonts w:hAnsi="宋体"/>
          <w:color w:val="auto"/>
          <w:kern w:val="2"/>
          <w:szCs w:val="24"/>
        </w:rPr>
        <w:t>6.3.3</w:t>
      </w:r>
      <w:r>
        <w:rPr>
          <w:rFonts w:hint="eastAsia" w:hAnsi="宋体"/>
          <w:color w:val="auto"/>
          <w:kern w:val="2"/>
          <w:szCs w:val="24"/>
        </w:rPr>
        <w:t>未实质性响应磋商文件的响应文件按无效响应处理，磋商小组应当告知提交响应文件的供应商。</w:t>
      </w:r>
    </w:p>
    <w:p w14:paraId="16FB5D3A">
      <w:pPr>
        <w:keepNext/>
        <w:keepLines/>
        <w:spacing w:line="360" w:lineRule="auto"/>
        <w:outlineLvl w:val="2"/>
        <w:rPr>
          <w:rFonts w:hAnsi="宋体"/>
          <w:b/>
          <w:bCs/>
          <w:color w:val="auto"/>
          <w:kern w:val="2"/>
          <w:sz w:val="24"/>
          <w:szCs w:val="28"/>
        </w:rPr>
      </w:pPr>
      <w:bookmarkStart w:id="28" w:name="_Toc533781563"/>
      <w:bookmarkStart w:id="29" w:name="_Toc533783515"/>
      <w:r>
        <w:rPr>
          <w:rFonts w:hAnsi="宋体"/>
          <w:b/>
          <w:bCs/>
          <w:color w:val="auto"/>
          <w:kern w:val="2"/>
          <w:sz w:val="24"/>
          <w:szCs w:val="28"/>
        </w:rPr>
        <w:t>7.</w:t>
      </w:r>
      <w:r>
        <w:rPr>
          <w:rFonts w:hint="eastAsia" w:hAnsi="宋体"/>
          <w:b/>
          <w:bCs/>
          <w:color w:val="auto"/>
          <w:kern w:val="2"/>
          <w:sz w:val="24"/>
          <w:szCs w:val="28"/>
        </w:rPr>
        <w:t>合同授予</w:t>
      </w:r>
      <w:bookmarkEnd w:id="28"/>
      <w:bookmarkEnd w:id="29"/>
    </w:p>
    <w:p w14:paraId="529779A8">
      <w:pPr>
        <w:keepNext/>
        <w:keepLines/>
        <w:spacing w:line="360" w:lineRule="auto"/>
        <w:outlineLvl w:val="3"/>
        <w:rPr>
          <w:rFonts w:hAnsi="宋体"/>
          <w:b/>
          <w:bCs/>
          <w:color w:val="auto"/>
          <w:kern w:val="2"/>
          <w:szCs w:val="28"/>
        </w:rPr>
      </w:pPr>
      <w:r>
        <w:rPr>
          <w:rFonts w:hAnsi="宋体"/>
          <w:b/>
          <w:bCs/>
          <w:color w:val="auto"/>
          <w:kern w:val="2"/>
          <w:szCs w:val="28"/>
        </w:rPr>
        <w:t>7.1</w:t>
      </w:r>
      <w:r>
        <w:rPr>
          <w:rFonts w:hint="eastAsia" w:hAnsi="宋体"/>
          <w:b/>
          <w:bCs/>
          <w:color w:val="auto"/>
          <w:kern w:val="2"/>
          <w:szCs w:val="28"/>
        </w:rPr>
        <w:t>定标方式</w:t>
      </w:r>
    </w:p>
    <w:p w14:paraId="7E8C1CDA">
      <w:pPr>
        <w:spacing w:line="360" w:lineRule="auto"/>
        <w:rPr>
          <w:rFonts w:hAnsi="宋体"/>
          <w:color w:val="auto"/>
          <w:kern w:val="2"/>
          <w:szCs w:val="24"/>
        </w:rPr>
      </w:pPr>
      <w:r>
        <w:rPr>
          <w:rFonts w:hint="eastAsia" w:hAnsi="宋体"/>
          <w:color w:val="auto"/>
          <w:kern w:val="2"/>
          <w:szCs w:val="24"/>
        </w:rPr>
        <w:t>除供应商须知前附表规定磋商小组直接确定成交供应商外，采购人应当在收到评标报告后</w:t>
      </w:r>
      <w:r>
        <w:rPr>
          <w:rFonts w:hAnsi="宋体"/>
          <w:color w:val="auto"/>
          <w:kern w:val="2"/>
          <w:szCs w:val="24"/>
        </w:rPr>
        <w:t>5</w:t>
      </w:r>
      <w:r>
        <w:rPr>
          <w:rFonts w:hint="eastAsia" w:hAnsi="宋体"/>
          <w:color w:val="auto"/>
          <w:kern w:val="2"/>
          <w:szCs w:val="24"/>
        </w:rPr>
        <w:t>个工作日内，从评标报告提出的成交候选供应商中，按照排序由高到低的原则确定成交供应商。磋商小组推荐成交候选供应商人数见供应商须知前附表。</w:t>
      </w:r>
    </w:p>
    <w:p w14:paraId="6CC9A7EA">
      <w:pPr>
        <w:keepNext/>
        <w:keepLines/>
        <w:spacing w:line="360" w:lineRule="auto"/>
        <w:outlineLvl w:val="3"/>
        <w:rPr>
          <w:rFonts w:hAnsi="宋体"/>
          <w:b/>
          <w:bCs/>
          <w:color w:val="auto"/>
          <w:kern w:val="2"/>
          <w:szCs w:val="28"/>
        </w:rPr>
      </w:pPr>
      <w:r>
        <w:rPr>
          <w:rFonts w:hAnsi="宋体"/>
          <w:b/>
          <w:bCs/>
          <w:color w:val="auto"/>
          <w:kern w:val="2"/>
          <w:szCs w:val="28"/>
        </w:rPr>
        <w:t>7.2</w:t>
      </w:r>
      <w:r>
        <w:rPr>
          <w:rFonts w:hint="eastAsia" w:hAnsi="宋体"/>
          <w:b/>
          <w:bCs/>
          <w:color w:val="auto"/>
          <w:kern w:val="2"/>
          <w:szCs w:val="28"/>
        </w:rPr>
        <w:t>成交结果公告及成交通知书</w:t>
      </w:r>
    </w:p>
    <w:p w14:paraId="718E49EA">
      <w:pPr>
        <w:spacing w:line="360" w:lineRule="auto"/>
        <w:rPr>
          <w:rFonts w:hAnsi="宋体"/>
          <w:color w:val="auto"/>
          <w:kern w:val="2"/>
          <w:szCs w:val="24"/>
        </w:rPr>
      </w:pPr>
      <w:r>
        <w:rPr>
          <w:rFonts w:hAnsi="宋体"/>
          <w:color w:val="auto"/>
          <w:kern w:val="2"/>
          <w:szCs w:val="24"/>
        </w:rPr>
        <w:t>7.2.1</w:t>
      </w:r>
      <w:r>
        <w:rPr>
          <w:rFonts w:hint="eastAsia" w:hAnsi="宋体"/>
          <w:color w:val="auto"/>
          <w:kern w:val="2"/>
          <w:szCs w:val="24"/>
        </w:rPr>
        <w:t>采购人或者采购代理机构应当在成交供应商确定后</w:t>
      </w:r>
      <w:r>
        <w:rPr>
          <w:rFonts w:hAnsi="宋体"/>
          <w:color w:val="auto"/>
          <w:kern w:val="2"/>
          <w:szCs w:val="24"/>
        </w:rPr>
        <w:t>2</w:t>
      </w:r>
      <w:r>
        <w:rPr>
          <w:rFonts w:hint="eastAsia" w:hAnsi="宋体"/>
          <w:color w:val="auto"/>
          <w:kern w:val="2"/>
          <w:szCs w:val="24"/>
        </w:rPr>
        <w:t>个工作日内，在供应商须知前附表规定的媒体上公告成交结果，同时向成交供应商发出成交通知书，并将磋商文件随成交结果同时公告。成交结果公告期限</w:t>
      </w:r>
      <w:r>
        <w:rPr>
          <w:rFonts w:hAnsi="宋体"/>
          <w:color w:val="auto"/>
          <w:kern w:val="2"/>
          <w:szCs w:val="24"/>
        </w:rPr>
        <w:t>1</w:t>
      </w:r>
      <w:r>
        <w:rPr>
          <w:rFonts w:hint="eastAsia" w:hAnsi="宋体"/>
          <w:color w:val="auto"/>
          <w:kern w:val="2"/>
          <w:szCs w:val="24"/>
        </w:rPr>
        <w:t>个工作日。</w:t>
      </w:r>
    </w:p>
    <w:p w14:paraId="462C8E7A">
      <w:pPr>
        <w:spacing w:line="360" w:lineRule="auto"/>
        <w:rPr>
          <w:rFonts w:hAnsi="宋体"/>
          <w:color w:val="auto"/>
          <w:kern w:val="2"/>
          <w:szCs w:val="24"/>
        </w:rPr>
      </w:pPr>
      <w:r>
        <w:rPr>
          <w:rFonts w:hAnsi="宋体"/>
          <w:color w:val="auto"/>
          <w:kern w:val="2"/>
          <w:szCs w:val="24"/>
        </w:rPr>
        <w:t>7.2.2</w:t>
      </w:r>
      <w:r>
        <w:rPr>
          <w:rFonts w:hint="eastAsia" w:hAnsi="宋体"/>
          <w:color w:val="auto"/>
          <w:kern w:val="2"/>
          <w:szCs w:val="24"/>
        </w:rPr>
        <w:t>成交通知书对采购人和成交供应商均具有法律效力。成交通知书发出后，采购人改变成交结果的，或者成交供应商放弃成交项目的，应当依法承担法律责任。</w:t>
      </w:r>
    </w:p>
    <w:p w14:paraId="4C4FAB66">
      <w:pPr>
        <w:keepNext/>
        <w:keepLines/>
        <w:spacing w:line="360" w:lineRule="auto"/>
        <w:outlineLvl w:val="3"/>
        <w:rPr>
          <w:rFonts w:hAnsi="宋体"/>
          <w:b/>
          <w:bCs/>
          <w:color w:val="auto"/>
          <w:kern w:val="2"/>
          <w:szCs w:val="28"/>
        </w:rPr>
      </w:pPr>
      <w:r>
        <w:rPr>
          <w:rFonts w:hAnsi="宋体"/>
          <w:b/>
          <w:bCs/>
          <w:color w:val="auto"/>
          <w:kern w:val="2"/>
          <w:szCs w:val="28"/>
        </w:rPr>
        <w:t>7.3</w:t>
      </w:r>
      <w:r>
        <w:rPr>
          <w:rFonts w:hint="eastAsia" w:hAnsi="宋体"/>
          <w:b/>
          <w:bCs/>
          <w:color w:val="auto"/>
          <w:kern w:val="2"/>
          <w:szCs w:val="28"/>
        </w:rPr>
        <w:t>履约保证金</w:t>
      </w:r>
    </w:p>
    <w:p w14:paraId="694DDF43">
      <w:pPr>
        <w:spacing w:line="360" w:lineRule="auto"/>
        <w:rPr>
          <w:rFonts w:hAnsi="宋体"/>
          <w:color w:val="auto"/>
          <w:kern w:val="2"/>
          <w:szCs w:val="24"/>
        </w:rPr>
      </w:pPr>
      <w:r>
        <w:rPr>
          <w:rFonts w:hAnsi="宋体"/>
          <w:color w:val="auto"/>
          <w:kern w:val="2"/>
          <w:szCs w:val="24"/>
        </w:rPr>
        <w:t>7.3.1</w:t>
      </w:r>
      <w:r>
        <w:rPr>
          <w:rFonts w:hint="eastAsia" w:hAnsi="宋体"/>
          <w:color w:val="auto"/>
          <w:kern w:val="2"/>
          <w:szCs w:val="24"/>
        </w:rPr>
        <w:t>在签订合同前，成交供应商应按供应商须知前附表规定的形式、金额、格式向采购人提交履约保证金。联合体成交的，其履约保证金以联合体各方或者联合体中牵头人的名义提交。</w:t>
      </w:r>
    </w:p>
    <w:p w14:paraId="4F72E1BE">
      <w:pPr>
        <w:spacing w:line="360" w:lineRule="auto"/>
        <w:rPr>
          <w:rFonts w:hAnsi="宋体"/>
          <w:color w:val="auto"/>
          <w:kern w:val="2"/>
          <w:szCs w:val="24"/>
        </w:rPr>
      </w:pPr>
      <w:r>
        <w:rPr>
          <w:rFonts w:hAnsi="宋体"/>
          <w:color w:val="auto"/>
          <w:kern w:val="2"/>
          <w:szCs w:val="24"/>
        </w:rPr>
        <w:t>7.3.2</w:t>
      </w:r>
      <w:r>
        <w:rPr>
          <w:rFonts w:hint="eastAsia" w:hAnsi="宋体"/>
          <w:color w:val="auto"/>
          <w:kern w:val="2"/>
          <w:szCs w:val="24"/>
        </w:rPr>
        <w:t>成交供应商不能按本章第</w:t>
      </w:r>
      <w:r>
        <w:rPr>
          <w:rFonts w:hAnsi="宋体"/>
          <w:color w:val="auto"/>
          <w:kern w:val="2"/>
          <w:szCs w:val="24"/>
        </w:rPr>
        <w:t>7.3.1</w:t>
      </w:r>
      <w:r>
        <w:rPr>
          <w:rFonts w:hint="eastAsia" w:hAnsi="宋体"/>
          <w:color w:val="auto"/>
          <w:kern w:val="2"/>
          <w:szCs w:val="24"/>
        </w:rPr>
        <w:t>项要求提交履约保证金的，视为放弃成交资格，其磋商保证金不予退还，给采购人造成的损失超过磋商保证金数额的，成交供应商还应当对超过部分予以赔偿。</w:t>
      </w:r>
    </w:p>
    <w:p w14:paraId="45A4BE33">
      <w:pPr>
        <w:keepNext/>
        <w:keepLines/>
        <w:spacing w:line="360" w:lineRule="auto"/>
        <w:outlineLvl w:val="3"/>
        <w:rPr>
          <w:rFonts w:hAnsi="宋体"/>
          <w:b/>
          <w:bCs/>
          <w:color w:val="auto"/>
          <w:kern w:val="2"/>
          <w:szCs w:val="28"/>
        </w:rPr>
      </w:pPr>
      <w:r>
        <w:rPr>
          <w:rFonts w:hAnsi="宋体"/>
          <w:b/>
          <w:bCs/>
          <w:color w:val="auto"/>
          <w:kern w:val="2"/>
          <w:szCs w:val="28"/>
        </w:rPr>
        <w:t>7.4</w:t>
      </w:r>
      <w:r>
        <w:rPr>
          <w:rFonts w:hint="eastAsia" w:hAnsi="宋体"/>
          <w:b/>
          <w:bCs/>
          <w:color w:val="auto"/>
          <w:kern w:val="2"/>
          <w:szCs w:val="28"/>
        </w:rPr>
        <w:t>合同签订</w:t>
      </w:r>
    </w:p>
    <w:p w14:paraId="7BE60474">
      <w:pPr>
        <w:spacing w:line="360" w:lineRule="auto"/>
        <w:rPr>
          <w:rFonts w:hAnsi="宋体"/>
          <w:color w:val="auto"/>
          <w:kern w:val="2"/>
          <w:szCs w:val="24"/>
        </w:rPr>
      </w:pPr>
      <w:r>
        <w:rPr>
          <w:rFonts w:hAnsi="宋体"/>
          <w:color w:val="auto"/>
          <w:kern w:val="2"/>
          <w:szCs w:val="24"/>
        </w:rPr>
        <w:t>7.4.1</w:t>
      </w:r>
      <w:r>
        <w:rPr>
          <w:rFonts w:hint="eastAsia" w:hAnsi="宋体"/>
          <w:color w:val="auto"/>
          <w:kern w:val="2"/>
          <w:szCs w:val="24"/>
        </w:rPr>
        <w:t>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E456A7">
      <w:pPr>
        <w:spacing w:line="360" w:lineRule="auto"/>
        <w:rPr>
          <w:rFonts w:hAnsi="宋体"/>
          <w:color w:val="auto"/>
          <w:kern w:val="2"/>
          <w:szCs w:val="24"/>
        </w:rPr>
      </w:pPr>
      <w:r>
        <w:rPr>
          <w:rFonts w:hAnsi="宋体"/>
          <w:color w:val="auto"/>
          <w:kern w:val="2"/>
          <w:szCs w:val="24"/>
        </w:rPr>
        <w:t>7.4.2</w:t>
      </w:r>
      <w:r>
        <w:rPr>
          <w:rFonts w:hint="eastAsia" w:hAnsi="宋体"/>
          <w:color w:val="auto"/>
          <w:kern w:val="2"/>
          <w:szCs w:val="24"/>
        </w:rPr>
        <w:t>联合体成交的，联合体各方应当共同与采购人签订合同，就成交项目向采购人承担连带责任。</w:t>
      </w:r>
    </w:p>
    <w:p w14:paraId="5D2CD99A">
      <w:pPr>
        <w:spacing w:line="360" w:lineRule="auto"/>
        <w:rPr>
          <w:rFonts w:hAnsi="宋体"/>
          <w:color w:val="auto"/>
          <w:kern w:val="2"/>
          <w:szCs w:val="24"/>
        </w:rPr>
      </w:pPr>
      <w:r>
        <w:rPr>
          <w:rFonts w:hAnsi="宋体"/>
          <w:color w:val="auto"/>
          <w:kern w:val="2"/>
          <w:szCs w:val="24"/>
        </w:rPr>
        <w:t>7.4.3</w:t>
      </w:r>
      <w:r>
        <w:rPr>
          <w:rFonts w:hint="eastAsia" w:hAnsi="宋体"/>
          <w:color w:val="auto"/>
          <w:kern w:val="2"/>
          <w:szCs w:val="24"/>
        </w:rPr>
        <w:t>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2F1F951D">
      <w:pPr>
        <w:spacing w:line="360" w:lineRule="auto"/>
        <w:rPr>
          <w:rFonts w:hAnsi="宋体"/>
          <w:color w:val="auto"/>
          <w:kern w:val="2"/>
          <w:szCs w:val="24"/>
        </w:rPr>
      </w:pPr>
      <w:r>
        <w:rPr>
          <w:rFonts w:hAnsi="宋体"/>
          <w:color w:val="auto"/>
          <w:kern w:val="2"/>
          <w:szCs w:val="24"/>
        </w:rPr>
        <w:t>7.4.4</w:t>
      </w:r>
      <w:r>
        <w:rPr>
          <w:rFonts w:hint="eastAsia" w:hAnsi="宋体"/>
          <w:color w:val="auto"/>
          <w:kern w:val="2"/>
          <w:szCs w:val="24"/>
        </w:rPr>
        <w:t>合同履行中，采购人需追加与合同标的相同的货物、工程或者服务的，在不改变合同其他条款的前提下，可以与供应商协商签订补充合同，但所有补充合同的采购金额不得超过原合同采购金额的百分之十。</w:t>
      </w:r>
    </w:p>
    <w:p w14:paraId="5D1BB43B">
      <w:pPr>
        <w:keepNext/>
        <w:keepLines/>
        <w:spacing w:line="360" w:lineRule="auto"/>
        <w:outlineLvl w:val="2"/>
        <w:rPr>
          <w:rFonts w:hAnsi="宋体"/>
          <w:b/>
          <w:bCs/>
          <w:color w:val="auto"/>
          <w:kern w:val="2"/>
          <w:sz w:val="24"/>
          <w:szCs w:val="28"/>
        </w:rPr>
      </w:pPr>
      <w:bookmarkStart w:id="30" w:name="_Toc533783516"/>
      <w:bookmarkStart w:id="31" w:name="_Toc533781564"/>
      <w:r>
        <w:rPr>
          <w:rFonts w:hAnsi="宋体"/>
          <w:b/>
          <w:bCs/>
          <w:color w:val="auto"/>
          <w:kern w:val="2"/>
          <w:sz w:val="24"/>
          <w:szCs w:val="28"/>
        </w:rPr>
        <w:t>8.</w:t>
      </w:r>
      <w:r>
        <w:rPr>
          <w:rFonts w:hint="eastAsia" w:hAnsi="宋体"/>
          <w:b/>
          <w:bCs/>
          <w:color w:val="auto"/>
          <w:kern w:val="2"/>
          <w:sz w:val="24"/>
          <w:szCs w:val="28"/>
        </w:rPr>
        <w:t>重新采购</w:t>
      </w:r>
      <w:bookmarkEnd w:id="30"/>
      <w:bookmarkEnd w:id="31"/>
    </w:p>
    <w:p w14:paraId="0B845402">
      <w:pPr>
        <w:spacing w:line="360" w:lineRule="auto"/>
        <w:rPr>
          <w:rFonts w:hAnsi="宋体"/>
          <w:color w:val="auto"/>
          <w:kern w:val="2"/>
          <w:szCs w:val="24"/>
        </w:rPr>
      </w:pPr>
      <w:r>
        <w:rPr>
          <w:rFonts w:hint="eastAsia" w:hAnsi="宋体"/>
          <w:color w:val="auto"/>
          <w:kern w:val="2"/>
          <w:szCs w:val="24"/>
        </w:rPr>
        <w:t>有下列情形之一的，采购人将重新开展采购活动：</w:t>
      </w:r>
    </w:p>
    <w:p w14:paraId="5BAA59F9">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）在采购过程中符合要求的供应商或者报价未超过采购预算的供应商不足</w:t>
      </w:r>
      <w:r>
        <w:rPr>
          <w:rFonts w:hAnsi="宋体"/>
          <w:color w:val="auto"/>
          <w:kern w:val="2"/>
          <w:szCs w:val="24"/>
        </w:rPr>
        <w:t>3</w:t>
      </w:r>
      <w:r>
        <w:rPr>
          <w:rFonts w:hint="eastAsia" w:hAnsi="宋体"/>
          <w:color w:val="auto"/>
          <w:kern w:val="2"/>
          <w:szCs w:val="24"/>
        </w:rPr>
        <w:t>家的（根据《政府采购竞争性磋商采购方式管理暂行办法》第二十一条第三款规定，市场竞争不充分的科研项目，以及需要扶持的科技成果转化项目，提交最后报价的供应商可以为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rPr>
        <w:t>2</w:t>
      </w:r>
      <w:r>
        <w:rPr>
          <w:rFonts w:hint="eastAsia" w:hAnsi="宋体"/>
          <w:color w:val="auto"/>
          <w:kern w:val="2"/>
          <w:szCs w:val="24"/>
        </w:rPr>
        <w:t>家）。</w:t>
      </w:r>
    </w:p>
    <w:p w14:paraId="28241A5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）其他有关法规和文件规定的应当重新开展采购活动的情形。</w:t>
      </w:r>
    </w:p>
    <w:p w14:paraId="464B492A">
      <w:pPr>
        <w:keepNext/>
        <w:keepLines/>
        <w:spacing w:line="360" w:lineRule="auto"/>
        <w:outlineLvl w:val="2"/>
        <w:rPr>
          <w:rFonts w:hAnsi="宋体"/>
          <w:b/>
          <w:bCs/>
          <w:color w:val="auto"/>
          <w:kern w:val="2"/>
          <w:sz w:val="24"/>
          <w:szCs w:val="28"/>
        </w:rPr>
      </w:pPr>
      <w:bookmarkStart w:id="32" w:name="_Toc533783517"/>
      <w:bookmarkStart w:id="33" w:name="_Toc533781565"/>
      <w:r>
        <w:rPr>
          <w:rFonts w:hAnsi="宋体"/>
          <w:b/>
          <w:bCs/>
          <w:color w:val="auto"/>
          <w:kern w:val="2"/>
          <w:sz w:val="24"/>
          <w:szCs w:val="28"/>
        </w:rPr>
        <w:t>9.</w:t>
      </w:r>
      <w:r>
        <w:rPr>
          <w:rFonts w:hint="eastAsia" w:hAnsi="宋体"/>
          <w:b/>
          <w:bCs/>
          <w:color w:val="auto"/>
          <w:kern w:val="2"/>
          <w:sz w:val="24"/>
          <w:szCs w:val="28"/>
        </w:rPr>
        <w:t>纪律和监督</w:t>
      </w:r>
      <w:bookmarkEnd w:id="32"/>
      <w:bookmarkEnd w:id="33"/>
    </w:p>
    <w:p w14:paraId="4938EC3A">
      <w:pPr>
        <w:keepNext/>
        <w:keepLines/>
        <w:spacing w:line="360" w:lineRule="auto"/>
        <w:outlineLvl w:val="3"/>
        <w:rPr>
          <w:rFonts w:hAnsi="宋体"/>
          <w:b/>
          <w:bCs/>
          <w:color w:val="auto"/>
          <w:kern w:val="2"/>
          <w:szCs w:val="28"/>
        </w:rPr>
      </w:pPr>
      <w:r>
        <w:rPr>
          <w:rFonts w:hAnsi="宋体"/>
          <w:b/>
          <w:bCs/>
          <w:color w:val="auto"/>
          <w:kern w:val="2"/>
          <w:szCs w:val="28"/>
        </w:rPr>
        <w:t>9.1</w:t>
      </w:r>
      <w:r>
        <w:rPr>
          <w:rFonts w:hint="eastAsia" w:hAnsi="宋体"/>
          <w:b/>
          <w:bCs/>
          <w:color w:val="auto"/>
          <w:kern w:val="2"/>
          <w:szCs w:val="28"/>
        </w:rPr>
        <w:t>对采购人的纪律要求</w:t>
      </w:r>
    </w:p>
    <w:p w14:paraId="4498F7C6">
      <w:pPr>
        <w:spacing w:line="360" w:lineRule="auto"/>
        <w:rPr>
          <w:rFonts w:hAnsi="宋体"/>
          <w:color w:val="auto"/>
          <w:kern w:val="2"/>
          <w:szCs w:val="24"/>
        </w:rPr>
      </w:pPr>
      <w:r>
        <w:rPr>
          <w:rFonts w:hint="eastAsia" w:hAnsi="宋体"/>
          <w:color w:val="auto"/>
          <w:kern w:val="2"/>
          <w:szCs w:val="24"/>
        </w:rPr>
        <w:t>采购人不得泄漏政府采购活动中应当保密的情况和资料，不得与供应商串通损害国家利益、社会公共利益或者他人合法权益。</w:t>
      </w:r>
    </w:p>
    <w:p w14:paraId="7102B1AD">
      <w:pPr>
        <w:keepNext/>
        <w:keepLines/>
        <w:spacing w:line="360" w:lineRule="auto"/>
        <w:outlineLvl w:val="3"/>
        <w:rPr>
          <w:rFonts w:hAnsi="宋体"/>
          <w:b/>
          <w:bCs/>
          <w:color w:val="auto"/>
          <w:kern w:val="2"/>
          <w:szCs w:val="28"/>
        </w:rPr>
      </w:pPr>
      <w:r>
        <w:rPr>
          <w:rFonts w:hAnsi="宋体"/>
          <w:b/>
          <w:bCs/>
          <w:color w:val="auto"/>
          <w:kern w:val="2"/>
          <w:szCs w:val="28"/>
        </w:rPr>
        <w:t>9.2</w:t>
      </w:r>
      <w:r>
        <w:rPr>
          <w:rFonts w:hint="eastAsia" w:hAnsi="宋体"/>
          <w:b/>
          <w:bCs/>
          <w:color w:val="auto"/>
          <w:kern w:val="2"/>
          <w:szCs w:val="28"/>
        </w:rPr>
        <w:t>对供应商的纪律要求</w:t>
      </w:r>
    </w:p>
    <w:p w14:paraId="5D676660">
      <w:pPr>
        <w:spacing w:line="360" w:lineRule="auto"/>
        <w:rPr>
          <w:rFonts w:hAnsi="宋体"/>
          <w:color w:val="auto"/>
          <w:kern w:val="2"/>
          <w:szCs w:val="24"/>
        </w:rPr>
      </w:pPr>
      <w:r>
        <w:rPr>
          <w:rFonts w:hAnsi="宋体"/>
          <w:color w:val="auto"/>
          <w:kern w:val="2"/>
          <w:szCs w:val="24"/>
        </w:rPr>
        <w:t>9.2.1</w:t>
      </w:r>
      <w:r>
        <w:rPr>
          <w:rFonts w:hint="eastAsia" w:hAnsi="宋体"/>
          <w:color w:val="auto"/>
          <w:kern w:val="2"/>
          <w:szCs w:val="24"/>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29DA90EE">
      <w:pPr>
        <w:spacing w:line="360" w:lineRule="auto"/>
        <w:rPr>
          <w:rFonts w:hAnsi="宋体"/>
          <w:color w:val="auto"/>
          <w:kern w:val="2"/>
          <w:szCs w:val="24"/>
        </w:rPr>
      </w:pPr>
      <w:r>
        <w:rPr>
          <w:rFonts w:hAnsi="宋体"/>
          <w:color w:val="auto"/>
          <w:kern w:val="2"/>
          <w:szCs w:val="24"/>
        </w:rPr>
        <w:t>9.2.2</w:t>
      </w:r>
      <w:r>
        <w:rPr>
          <w:rFonts w:hint="eastAsia" w:hAnsi="宋体"/>
          <w:color w:val="auto"/>
          <w:kern w:val="2"/>
          <w:szCs w:val="24"/>
        </w:rPr>
        <w:t>供应商不得向采购人或磋商小组成员或其他有关人员索问评标过程的情况和材料。</w:t>
      </w:r>
    </w:p>
    <w:p w14:paraId="7E65EB81">
      <w:pPr>
        <w:spacing w:line="360" w:lineRule="auto"/>
        <w:rPr>
          <w:rFonts w:hAnsi="宋体"/>
          <w:color w:val="auto"/>
          <w:kern w:val="2"/>
          <w:szCs w:val="24"/>
        </w:rPr>
      </w:pPr>
      <w:r>
        <w:rPr>
          <w:rFonts w:hAnsi="宋体"/>
          <w:color w:val="auto"/>
          <w:kern w:val="2"/>
          <w:szCs w:val="24"/>
        </w:rPr>
        <w:t>9.2.3</w:t>
      </w:r>
      <w:r>
        <w:rPr>
          <w:rFonts w:hint="eastAsia" w:hAnsi="宋体"/>
          <w:color w:val="auto"/>
          <w:kern w:val="2"/>
          <w:szCs w:val="24"/>
        </w:rPr>
        <w:t>有下列情形之一的视为供应商相互串通竞标，其响应文件按无效处理：</w:t>
      </w:r>
    </w:p>
    <w:p w14:paraId="37472AB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）不同供应商的响应文件由同一单位或者个人编制；或不同供应商报名的</w:t>
      </w:r>
      <w:r>
        <w:rPr>
          <w:rFonts w:hAnsi="宋体"/>
          <w:color w:val="auto"/>
          <w:kern w:val="2"/>
          <w:szCs w:val="24"/>
        </w:rPr>
        <w:t>IP</w:t>
      </w:r>
      <w:r>
        <w:rPr>
          <w:rFonts w:hint="eastAsia" w:hAnsi="宋体"/>
          <w:color w:val="auto"/>
          <w:kern w:val="2"/>
          <w:szCs w:val="24"/>
        </w:rPr>
        <w:t>地址一致的；</w:t>
      </w:r>
    </w:p>
    <w:p w14:paraId="36DF00C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）不同供应商委托同一单位或者个人办理投标事宜的；</w:t>
      </w:r>
    </w:p>
    <w:p w14:paraId="206898A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）不同的供应商响应文件载明的项目管理员为同一人；</w:t>
      </w:r>
    </w:p>
    <w:p w14:paraId="391315B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）不同供应商的响应文件异常一致或磋商报价呈规律性差异；</w:t>
      </w:r>
    </w:p>
    <w:p w14:paraId="198BF500">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）不同供应商的响应文件相互混装；</w:t>
      </w:r>
    </w:p>
    <w:p w14:paraId="2A87A96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）不同供应商的磋商保证金从同一单位或者个人账户转出；</w:t>
      </w:r>
    </w:p>
    <w:p w14:paraId="4423C21C">
      <w:pPr>
        <w:spacing w:line="360" w:lineRule="auto"/>
        <w:rPr>
          <w:rFonts w:hAnsi="宋体"/>
          <w:color w:val="auto"/>
          <w:kern w:val="2"/>
          <w:szCs w:val="24"/>
        </w:rPr>
      </w:pPr>
      <w:r>
        <w:rPr>
          <w:rFonts w:hAnsi="宋体"/>
          <w:color w:val="auto"/>
          <w:kern w:val="2"/>
          <w:szCs w:val="24"/>
        </w:rPr>
        <w:t>9.2.4</w:t>
      </w:r>
      <w:r>
        <w:rPr>
          <w:rFonts w:hint="eastAsia" w:hAnsi="宋体"/>
          <w:color w:val="auto"/>
          <w:kern w:val="2"/>
          <w:szCs w:val="24"/>
        </w:rPr>
        <w:t>有下列情形之一的，属于恶意串通，对供应商依照政府采购法第七十七条第一款的规定追究法律责任：</w:t>
      </w:r>
    </w:p>
    <w:p w14:paraId="68DCAFF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）供应商直接或间接从采购人或者代理机构处获得其他供应商的相关信息并修改其响应文件；</w:t>
      </w:r>
    </w:p>
    <w:p w14:paraId="339C14F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）供应商按照采购人或者采购代理机构的授意撤换、修改响应文件；</w:t>
      </w:r>
    </w:p>
    <w:p w14:paraId="210A6E7F">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）供应商之间协商报价、技术方案等响应文件的实质性内容；</w:t>
      </w:r>
    </w:p>
    <w:p w14:paraId="16C46525">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）属于同一集团、协会、商会等组织成员的供应商按照组织要求协同参加政府采购活动；</w:t>
      </w:r>
    </w:p>
    <w:p w14:paraId="4C1BB7B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）供应商之间事先约定一致抬高或者压低磋商报价，或者在采购项目中事先约定轮流以高价或者低价成交，或者事先约定由某一特定供应商成交，然后再参加投标；</w:t>
      </w:r>
    </w:p>
    <w:p w14:paraId="074890D8">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6</w:t>
      </w:r>
      <w:r>
        <w:rPr>
          <w:rFonts w:hint="eastAsia" w:hAnsi="宋体"/>
          <w:color w:val="auto"/>
          <w:kern w:val="2"/>
          <w:szCs w:val="24"/>
        </w:rPr>
        <w:t>）供应商之间商定部分供应商放弃参加政府采购活动或放弃成交；</w:t>
      </w:r>
    </w:p>
    <w:p w14:paraId="5584493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7</w:t>
      </w:r>
      <w:r>
        <w:rPr>
          <w:rFonts w:hint="eastAsia" w:hAnsi="宋体"/>
          <w:color w:val="auto"/>
          <w:kern w:val="2"/>
          <w:szCs w:val="24"/>
        </w:rPr>
        <w:t>）供应商与采购人或采购代理机构之间、供应商相互之间，为谋定特定供应商成交或排斥其他供应商的其他串通行为。</w:t>
      </w:r>
    </w:p>
    <w:p w14:paraId="1F975391">
      <w:pPr>
        <w:spacing w:line="360" w:lineRule="auto"/>
        <w:rPr>
          <w:rFonts w:hAnsi="宋体"/>
          <w:color w:val="auto"/>
          <w:kern w:val="2"/>
          <w:szCs w:val="24"/>
        </w:rPr>
      </w:pPr>
      <w:r>
        <w:rPr>
          <w:rFonts w:hAnsi="宋体"/>
          <w:color w:val="auto"/>
          <w:kern w:val="2"/>
          <w:szCs w:val="24"/>
        </w:rPr>
        <w:t>9.2.4</w:t>
      </w:r>
      <w:r>
        <w:rPr>
          <w:rFonts w:hint="eastAsia" w:hAnsi="宋体"/>
          <w:color w:val="auto"/>
          <w:kern w:val="2"/>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7D3D8C">
      <w:pPr>
        <w:spacing w:line="360" w:lineRule="auto"/>
        <w:rPr>
          <w:rFonts w:hAnsi="宋体"/>
          <w:color w:val="auto"/>
          <w:kern w:val="2"/>
          <w:szCs w:val="24"/>
        </w:rPr>
      </w:pPr>
      <w:r>
        <w:rPr>
          <w:rFonts w:hint="eastAsia" w:hAnsi="宋体"/>
          <w:color w:val="auto"/>
          <w:kern w:val="2"/>
          <w:szCs w:val="24"/>
        </w:rPr>
        <w:t>（一）提供虚假材料谋取中标、成交的；</w:t>
      </w:r>
    </w:p>
    <w:p w14:paraId="3FC8DB81">
      <w:pPr>
        <w:spacing w:line="360" w:lineRule="auto"/>
        <w:rPr>
          <w:rFonts w:hAnsi="宋体"/>
          <w:color w:val="auto"/>
          <w:kern w:val="2"/>
          <w:szCs w:val="24"/>
        </w:rPr>
      </w:pPr>
      <w:r>
        <w:rPr>
          <w:rFonts w:hint="eastAsia" w:hAnsi="宋体"/>
          <w:color w:val="auto"/>
          <w:kern w:val="2"/>
          <w:szCs w:val="24"/>
        </w:rPr>
        <w:t>（二）采取不正当手段诋毁、排挤其他供应商的；</w:t>
      </w:r>
    </w:p>
    <w:p w14:paraId="777F5531">
      <w:pPr>
        <w:spacing w:line="360" w:lineRule="auto"/>
        <w:rPr>
          <w:rFonts w:hAnsi="宋体"/>
          <w:color w:val="auto"/>
          <w:kern w:val="2"/>
          <w:szCs w:val="24"/>
        </w:rPr>
      </w:pPr>
      <w:r>
        <w:rPr>
          <w:rFonts w:hint="eastAsia" w:hAnsi="宋体"/>
          <w:color w:val="auto"/>
          <w:kern w:val="2"/>
          <w:szCs w:val="24"/>
        </w:rPr>
        <w:t>（三）与采购人、其他供应商或者采购代理机构恶意串通的；</w:t>
      </w:r>
    </w:p>
    <w:p w14:paraId="7DA34302">
      <w:pPr>
        <w:spacing w:line="360" w:lineRule="auto"/>
        <w:rPr>
          <w:rFonts w:hAnsi="宋体"/>
          <w:color w:val="auto"/>
          <w:kern w:val="2"/>
          <w:szCs w:val="24"/>
        </w:rPr>
      </w:pPr>
      <w:r>
        <w:rPr>
          <w:rFonts w:hint="eastAsia" w:hAnsi="宋体"/>
          <w:color w:val="auto"/>
          <w:kern w:val="2"/>
          <w:szCs w:val="24"/>
        </w:rPr>
        <w:t>（四）向采购人、采购代理机构行贿或者提供其他不正当利益的；</w:t>
      </w:r>
    </w:p>
    <w:p w14:paraId="40E997D8">
      <w:pPr>
        <w:spacing w:line="360" w:lineRule="auto"/>
        <w:rPr>
          <w:rFonts w:hAnsi="宋体"/>
          <w:color w:val="auto"/>
          <w:kern w:val="2"/>
          <w:szCs w:val="24"/>
        </w:rPr>
      </w:pPr>
      <w:r>
        <w:rPr>
          <w:rFonts w:hint="eastAsia" w:hAnsi="宋体"/>
          <w:color w:val="auto"/>
          <w:kern w:val="2"/>
          <w:szCs w:val="24"/>
        </w:rPr>
        <w:t>（五）在招标采购过程中与采购人进行协商谈判的；</w:t>
      </w:r>
    </w:p>
    <w:p w14:paraId="187DE9F4">
      <w:pPr>
        <w:spacing w:line="360" w:lineRule="auto"/>
        <w:rPr>
          <w:rFonts w:hAnsi="宋体"/>
          <w:color w:val="auto"/>
          <w:kern w:val="2"/>
          <w:szCs w:val="24"/>
        </w:rPr>
      </w:pPr>
      <w:r>
        <w:rPr>
          <w:rFonts w:hint="eastAsia" w:hAnsi="宋体"/>
          <w:color w:val="auto"/>
          <w:kern w:val="2"/>
          <w:szCs w:val="24"/>
        </w:rPr>
        <w:t>（六）拒绝有关部门监督检查或者提供虚假情况的。</w:t>
      </w:r>
    </w:p>
    <w:p w14:paraId="01C8882A">
      <w:pPr>
        <w:keepNext/>
        <w:keepLines/>
        <w:spacing w:line="360" w:lineRule="auto"/>
        <w:outlineLvl w:val="3"/>
        <w:rPr>
          <w:rFonts w:hAnsi="宋体"/>
          <w:b/>
          <w:bCs/>
          <w:color w:val="auto"/>
          <w:kern w:val="2"/>
          <w:szCs w:val="28"/>
        </w:rPr>
      </w:pPr>
      <w:r>
        <w:rPr>
          <w:rFonts w:hAnsi="宋体"/>
          <w:b/>
          <w:bCs/>
          <w:color w:val="auto"/>
          <w:kern w:val="2"/>
          <w:szCs w:val="28"/>
        </w:rPr>
        <w:t>9.3</w:t>
      </w:r>
      <w:r>
        <w:rPr>
          <w:rFonts w:hint="eastAsia" w:hAnsi="宋体"/>
          <w:b/>
          <w:bCs/>
          <w:color w:val="auto"/>
          <w:kern w:val="2"/>
          <w:szCs w:val="28"/>
        </w:rPr>
        <w:t>对磋商小组成员的纪律要求</w:t>
      </w:r>
    </w:p>
    <w:p w14:paraId="610EE133">
      <w:pPr>
        <w:spacing w:line="360" w:lineRule="auto"/>
        <w:rPr>
          <w:rFonts w:hAnsi="宋体"/>
          <w:color w:val="auto"/>
          <w:kern w:val="2"/>
          <w:szCs w:val="24"/>
        </w:rPr>
      </w:pPr>
      <w:r>
        <w:rPr>
          <w:rFonts w:hAnsi="宋体"/>
          <w:color w:val="auto"/>
          <w:kern w:val="2"/>
          <w:szCs w:val="24"/>
        </w:rPr>
        <w:t>9.3.1</w:t>
      </w:r>
      <w:r>
        <w:rPr>
          <w:rFonts w:hint="eastAsia" w:hAnsi="宋体"/>
          <w:color w:val="auto"/>
          <w:kern w:val="2"/>
          <w:szCs w:val="24"/>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499AAD72">
      <w:pPr>
        <w:spacing w:line="360" w:lineRule="auto"/>
        <w:rPr>
          <w:rFonts w:hAnsi="宋体"/>
          <w:color w:val="auto"/>
          <w:kern w:val="2"/>
          <w:szCs w:val="24"/>
        </w:rPr>
      </w:pPr>
      <w:r>
        <w:rPr>
          <w:rFonts w:hAnsi="宋体"/>
          <w:color w:val="auto"/>
          <w:kern w:val="2"/>
          <w:szCs w:val="24"/>
        </w:rPr>
        <w:t>9.3.2</w:t>
      </w:r>
      <w:r>
        <w:rPr>
          <w:rFonts w:hint="eastAsia" w:hAnsi="宋体"/>
          <w:color w:val="auto"/>
          <w:kern w:val="2"/>
          <w:szCs w:val="24"/>
        </w:rPr>
        <w:t>磋商小组应当遵守评审工作纪律，不得泄露评审文件、评审情况和评审中获悉的商业秘密。磋商小组在评审过程中发现供应商有行贿、提供虚假材料或者串通等违法行为的，应当及时向有关部门报告。</w:t>
      </w:r>
    </w:p>
    <w:p w14:paraId="2A73D49D">
      <w:pPr>
        <w:spacing w:line="360" w:lineRule="auto"/>
        <w:rPr>
          <w:rFonts w:hAnsi="宋体"/>
          <w:color w:val="auto"/>
          <w:kern w:val="2"/>
          <w:szCs w:val="24"/>
        </w:rPr>
      </w:pPr>
      <w:r>
        <w:rPr>
          <w:rFonts w:hAnsi="宋体"/>
          <w:color w:val="auto"/>
          <w:kern w:val="2"/>
          <w:szCs w:val="24"/>
        </w:rPr>
        <w:t>9.3.3</w:t>
      </w:r>
      <w:r>
        <w:rPr>
          <w:rFonts w:hint="eastAsia" w:hAnsi="宋体"/>
          <w:color w:val="auto"/>
          <w:kern w:val="2"/>
          <w:szCs w:val="24"/>
        </w:rPr>
        <w:t>磋商小组成员未完成评审工作擅自离开评审现场</w:t>
      </w:r>
      <w:r>
        <w:rPr>
          <w:rFonts w:hAnsi="宋体"/>
          <w:color w:val="auto"/>
          <w:kern w:val="2"/>
          <w:szCs w:val="24"/>
        </w:rPr>
        <w:t>,</w:t>
      </w:r>
      <w:r>
        <w:rPr>
          <w:rFonts w:hint="eastAsia" w:hAnsi="宋体"/>
          <w:color w:val="auto"/>
          <w:kern w:val="2"/>
          <w:szCs w:val="24"/>
        </w:rPr>
        <w:t>或者在评审活动中有违法违规行为的</w:t>
      </w:r>
      <w:r>
        <w:rPr>
          <w:rFonts w:hAnsi="宋体"/>
          <w:color w:val="auto"/>
          <w:kern w:val="2"/>
          <w:szCs w:val="24"/>
        </w:rPr>
        <w:t>,</w:t>
      </w:r>
      <w:r>
        <w:rPr>
          <w:rFonts w:hint="eastAsia" w:hAnsi="宋体"/>
          <w:color w:val="auto"/>
          <w:kern w:val="2"/>
          <w:szCs w:val="24"/>
        </w:rPr>
        <w:t>不得获取劳务报酬和报销异地评审差旅费。</w:t>
      </w:r>
    </w:p>
    <w:p w14:paraId="3C4A976F">
      <w:pPr>
        <w:keepNext/>
        <w:keepLines/>
        <w:spacing w:line="360" w:lineRule="auto"/>
        <w:outlineLvl w:val="3"/>
        <w:rPr>
          <w:rFonts w:hAnsi="宋体"/>
          <w:b/>
          <w:bCs/>
          <w:color w:val="auto"/>
          <w:kern w:val="2"/>
          <w:szCs w:val="28"/>
        </w:rPr>
      </w:pPr>
      <w:r>
        <w:rPr>
          <w:rFonts w:hAnsi="宋体"/>
          <w:b/>
          <w:bCs/>
          <w:color w:val="auto"/>
          <w:kern w:val="2"/>
          <w:szCs w:val="28"/>
        </w:rPr>
        <w:t>9.4</w:t>
      </w:r>
      <w:r>
        <w:rPr>
          <w:rFonts w:hint="eastAsia" w:hAnsi="宋体"/>
          <w:b/>
          <w:bCs/>
          <w:color w:val="auto"/>
          <w:kern w:val="2"/>
          <w:szCs w:val="28"/>
        </w:rPr>
        <w:t>对与评标活动有关的工作人员的纪律要求</w:t>
      </w:r>
    </w:p>
    <w:p w14:paraId="3964CE65">
      <w:pPr>
        <w:spacing w:line="360" w:lineRule="auto"/>
        <w:rPr>
          <w:rFonts w:hAnsi="宋体"/>
          <w:color w:val="auto"/>
          <w:kern w:val="2"/>
          <w:szCs w:val="24"/>
        </w:rPr>
      </w:pPr>
      <w:r>
        <w:rPr>
          <w:rFonts w:hint="eastAsia" w:hAnsi="宋体"/>
          <w:color w:val="auto"/>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19487007">
      <w:pPr>
        <w:keepNext/>
        <w:keepLines/>
        <w:spacing w:line="360" w:lineRule="auto"/>
        <w:outlineLvl w:val="2"/>
        <w:rPr>
          <w:rFonts w:hAnsi="宋体"/>
          <w:b/>
          <w:bCs/>
          <w:color w:val="auto"/>
          <w:kern w:val="2"/>
          <w:sz w:val="24"/>
          <w:szCs w:val="28"/>
        </w:rPr>
      </w:pPr>
      <w:bookmarkStart w:id="34" w:name="_Toc533783518"/>
      <w:bookmarkStart w:id="35" w:name="_Toc533781566"/>
      <w:r>
        <w:rPr>
          <w:rFonts w:hAnsi="宋体"/>
          <w:b/>
          <w:bCs/>
          <w:color w:val="auto"/>
          <w:kern w:val="2"/>
          <w:sz w:val="24"/>
          <w:szCs w:val="28"/>
        </w:rPr>
        <w:t>10</w:t>
      </w:r>
      <w:r>
        <w:rPr>
          <w:rFonts w:hint="eastAsia" w:hAnsi="宋体"/>
          <w:b/>
          <w:bCs/>
          <w:color w:val="auto"/>
          <w:kern w:val="2"/>
          <w:sz w:val="24"/>
          <w:szCs w:val="28"/>
        </w:rPr>
        <w:t>质疑和投诉</w:t>
      </w:r>
      <w:bookmarkEnd w:id="34"/>
      <w:bookmarkEnd w:id="35"/>
    </w:p>
    <w:p w14:paraId="77D19828">
      <w:pPr>
        <w:keepNext/>
        <w:keepLines/>
        <w:spacing w:line="360" w:lineRule="auto"/>
        <w:outlineLvl w:val="3"/>
        <w:rPr>
          <w:rFonts w:hAnsi="宋体"/>
          <w:b/>
          <w:bCs/>
          <w:color w:val="auto"/>
          <w:kern w:val="2"/>
          <w:szCs w:val="28"/>
        </w:rPr>
      </w:pPr>
      <w:r>
        <w:rPr>
          <w:rFonts w:hAnsi="宋体"/>
          <w:b/>
          <w:bCs/>
          <w:color w:val="auto"/>
          <w:kern w:val="2"/>
          <w:szCs w:val="28"/>
        </w:rPr>
        <w:t>10.1</w:t>
      </w:r>
      <w:r>
        <w:rPr>
          <w:rFonts w:hint="eastAsia" w:hAnsi="宋体"/>
          <w:b/>
          <w:bCs/>
          <w:color w:val="auto"/>
          <w:kern w:val="2"/>
          <w:szCs w:val="28"/>
        </w:rPr>
        <w:t>询问</w:t>
      </w:r>
    </w:p>
    <w:p w14:paraId="4AC4CB58">
      <w:pPr>
        <w:spacing w:line="360" w:lineRule="auto"/>
        <w:rPr>
          <w:rFonts w:hAnsi="宋体"/>
          <w:color w:val="auto"/>
          <w:kern w:val="2"/>
          <w:szCs w:val="24"/>
        </w:rPr>
      </w:pPr>
      <w:r>
        <w:rPr>
          <w:rFonts w:hint="eastAsia" w:hAnsi="宋体"/>
          <w:color w:val="auto"/>
          <w:kern w:val="2"/>
          <w:szCs w:val="24"/>
        </w:rPr>
        <w:t>供应商对政府采购活动事项有疑问的，可以向采购人提出询问，采购人应当及时作出答复，但答复的内容不得涉及商业秘密。采购人或者采购代理机构应当在</w:t>
      </w:r>
      <w:r>
        <w:rPr>
          <w:rFonts w:hAnsi="宋体"/>
          <w:color w:val="auto"/>
          <w:kern w:val="2"/>
          <w:szCs w:val="24"/>
        </w:rPr>
        <w:t>3</w:t>
      </w:r>
      <w:r>
        <w:rPr>
          <w:rFonts w:hint="eastAsia" w:hAnsi="宋体"/>
          <w:color w:val="auto"/>
          <w:kern w:val="2"/>
          <w:szCs w:val="24"/>
        </w:rPr>
        <w:t>个工作日内对供应商依法提出的询问作出答复。</w:t>
      </w:r>
    </w:p>
    <w:p w14:paraId="40652245">
      <w:pPr>
        <w:keepNext/>
        <w:keepLines/>
        <w:spacing w:line="360" w:lineRule="auto"/>
        <w:outlineLvl w:val="3"/>
        <w:rPr>
          <w:rFonts w:hAnsi="宋体"/>
          <w:b/>
          <w:bCs/>
          <w:color w:val="auto"/>
          <w:kern w:val="2"/>
          <w:szCs w:val="28"/>
        </w:rPr>
      </w:pPr>
      <w:r>
        <w:rPr>
          <w:rFonts w:hAnsi="宋体"/>
          <w:b/>
          <w:bCs/>
          <w:color w:val="auto"/>
          <w:kern w:val="2"/>
          <w:szCs w:val="28"/>
        </w:rPr>
        <w:t>10.2</w:t>
      </w:r>
      <w:r>
        <w:rPr>
          <w:rFonts w:hint="eastAsia" w:hAnsi="宋体"/>
          <w:b/>
          <w:bCs/>
          <w:color w:val="auto"/>
          <w:kern w:val="2"/>
          <w:szCs w:val="28"/>
        </w:rPr>
        <w:t>质疑</w:t>
      </w:r>
    </w:p>
    <w:p w14:paraId="71415460">
      <w:pPr>
        <w:spacing w:line="360" w:lineRule="auto"/>
        <w:rPr>
          <w:rFonts w:hAnsi="宋体"/>
          <w:color w:val="auto"/>
          <w:kern w:val="2"/>
          <w:szCs w:val="24"/>
        </w:rPr>
      </w:pPr>
      <w:r>
        <w:rPr>
          <w:rFonts w:hAnsi="宋体"/>
          <w:color w:val="auto"/>
          <w:kern w:val="2"/>
          <w:szCs w:val="24"/>
        </w:rPr>
        <w:t>10.2.1</w:t>
      </w:r>
      <w:r>
        <w:rPr>
          <w:rFonts w:hint="eastAsia" w:hAnsi="宋体"/>
          <w:color w:val="auto"/>
          <w:kern w:val="2"/>
          <w:szCs w:val="24"/>
        </w:rPr>
        <w:t>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20CAF3D3">
      <w:pPr>
        <w:spacing w:line="360" w:lineRule="auto"/>
        <w:rPr>
          <w:rFonts w:hAnsi="宋体"/>
          <w:color w:val="auto"/>
          <w:kern w:val="2"/>
          <w:szCs w:val="24"/>
        </w:rPr>
      </w:pPr>
      <w:r>
        <w:rPr>
          <w:rFonts w:hAnsi="宋体"/>
          <w:color w:val="auto"/>
          <w:kern w:val="2"/>
          <w:szCs w:val="24"/>
        </w:rPr>
        <w:t>10.2.2</w:t>
      </w:r>
      <w:r>
        <w:rPr>
          <w:rFonts w:hint="eastAsia" w:hAnsi="宋体"/>
          <w:color w:val="auto"/>
          <w:kern w:val="2"/>
          <w:szCs w:val="24"/>
        </w:rPr>
        <w:t>供应商应知其权益受到损害之日，是指：</w:t>
      </w:r>
    </w:p>
    <w:p w14:paraId="5543ABDE">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）对可以质疑的磋商文件提出质疑的，为收到磋商文件之日或者磋商文件公告期限届满之日；</w:t>
      </w:r>
    </w:p>
    <w:p w14:paraId="7621CCEC">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）对采购过程提出质疑的，为各采购程序环节结束之日；</w:t>
      </w:r>
    </w:p>
    <w:p w14:paraId="072DBD53">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）对成交结果提出质疑的，为成交结果公告期限届满之日。</w:t>
      </w:r>
    </w:p>
    <w:p w14:paraId="6EE2EFA9">
      <w:pPr>
        <w:spacing w:line="360" w:lineRule="auto"/>
        <w:rPr>
          <w:rFonts w:hAnsi="宋体"/>
          <w:color w:val="auto"/>
          <w:kern w:val="2"/>
          <w:szCs w:val="24"/>
        </w:rPr>
      </w:pPr>
      <w:r>
        <w:rPr>
          <w:rFonts w:hAnsi="宋体"/>
          <w:color w:val="auto"/>
          <w:kern w:val="2"/>
          <w:szCs w:val="24"/>
        </w:rPr>
        <w:t>10.2.3</w:t>
      </w:r>
      <w:r>
        <w:rPr>
          <w:rFonts w:hint="eastAsia" w:hAnsi="宋体"/>
          <w:color w:val="auto"/>
          <w:kern w:val="2"/>
          <w:szCs w:val="24"/>
        </w:rPr>
        <w:t>提出质疑的供应商应当是参与所质疑项目采购活动的供应商。质疑供应商应当在法定质疑期内一次性提出针对同一采购程序环节的质疑。</w:t>
      </w:r>
    </w:p>
    <w:p w14:paraId="0D641657">
      <w:pPr>
        <w:spacing w:line="360" w:lineRule="exact"/>
        <w:rPr>
          <w:rFonts w:hAnsi="宋体"/>
          <w:color w:val="auto"/>
          <w:kern w:val="2"/>
          <w:szCs w:val="24"/>
        </w:rPr>
      </w:pPr>
      <w:r>
        <w:rPr>
          <w:rFonts w:hAnsi="宋体"/>
          <w:color w:val="auto"/>
          <w:kern w:val="2"/>
          <w:szCs w:val="24"/>
        </w:rPr>
        <w:t>10.2.4</w:t>
      </w:r>
      <w:r>
        <w:rPr>
          <w:rFonts w:hint="eastAsia" w:hAnsi="宋体"/>
          <w:color w:val="auto"/>
          <w:kern w:val="2"/>
          <w:szCs w:val="24"/>
        </w:rPr>
        <w:t>供应商提出质疑应当提交质疑函和必要的证明材料。质疑函应当包括下列内容：</w:t>
      </w:r>
    </w:p>
    <w:p w14:paraId="6978EE81">
      <w:pPr>
        <w:spacing w:line="360" w:lineRule="exact"/>
        <w:rPr>
          <w:rFonts w:hAnsi="宋体"/>
          <w:color w:val="auto"/>
          <w:kern w:val="2"/>
          <w:szCs w:val="24"/>
        </w:rPr>
      </w:pPr>
      <w:r>
        <w:rPr>
          <w:rFonts w:hint="eastAsia" w:hAnsi="宋体"/>
          <w:color w:val="auto"/>
          <w:kern w:val="2"/>
          <w:szCs w:val="24"/>
        </w:rPr>
        <w:t>（一）供应商的姓名或者名称、地址、邮编、联系人及联系电话；</w:t>
      </w:r>
    </w:p>
    <w:p w14:paraId="42CFD601">
      <w:pPr>
        <w:spacing w:line="360" w:lineRule="exact"/>
        <w:rPr>
          <w:rFonts w:hAnsi="宋体"/>
          <w:color w:val="auto"/>
          <w:kern w:val="2"/>
          <w:szCs w:val="24"/>
        </w:rPr>
      </w:pPr>
      <w:r>
        <w:rPr>
          <w:rFonts w:hint="eastAsia" w:hAnsi="宋体"/>
          <w:color w:val="auto"/>
          <w:kern w:val="2"/>
          <w:szCs w:val="24"/>
        </w:rPr>
        <w:t>（二）质疑项目的名称、编号；</w:t>
      </w:r>
    </w:p>
    <w:p w14:paraId="42B168B7">
      <w:pPr>
        <w:spacing w:line="360" w:lineRule="exact"/>
        <w:rPr>
          <w:rFonts w:hAnsi="宋体"/>
          <w:color w:val="auto"/>
          <w:kern w:val="2"/>
          <w:szCs w:val="24"/>
        </w:rPr>
      </w:pPr>
      <w:r>
        <w:rPr>
          <w:rFonts w:hint="eastAsia" w:hAnsi="宋体"/>
          <w:color w:val="auto"/>
          <w:kern w:val="2"/>
          <w:szCs w:val="24"/>
        </w:rPr>
        <w:t>（三）具体、明确的质疑事项和与质疑事项相关的请求；</w:t>
      </w:r>
    </w:p>
    <w:p w14:paraId="7837D736">
      <w:pPr>
        <w:spacing w:line="360" w:lineRule="exact"/>
        <w:rPr>
          <w:rFonts w:hAnsi="宋体"/>
          <w:color w:val="auto"/>
          <w:kern w:val="2"/>
          <w:szCs w:val="24"/>
        </w:rPr>
      </w:pPr>
      <w:r>
        <w:rPr>
          <w:rFonts w:hint="eastAsia" w:hAnsi="宋体"/>
          <w:color w:val="auto"/>
          <w:kern w:val="2"/>
          <w:szCs w:val="24"/>
        </w:rPr>
        <w:t>（四）事实依据；</w:t>
      </w:r>
    </w:p>
    <w:p w14:paraId="51609BCB">
      <w:pPr>
        <w:spacing w:line="360" w:lineRule="exact"/>
        <w:rPr>
          <w:rFonts w:hAnsi="宋体"/>
          <w:color w:val="auto"/>
          <w:kern w:val="2"/>
          <w:szCs w:val="24"/>
        </w:rPr>
      </w:pPr>
      <w:r>
        <w:rPr>
          <w:rFonts w:hint="eastAsia" w:hAnsi="宋体"/>
          <w:color w:val="auto"/>
          <w:kern w:val="2"/>
          <w:szCs w:val="24"/>
        </w:rPr>
        <w:t>（五）必要的法律依据；</w:t>
      </w:r>
    </w:p>
    <w:p w14:paraId="3982D7B6">
      <w:pPr>
        <w:spacing w:line="360" w:lineRule="exact"/>
        <w:rPr>
          <w:rFonts w:hAnsi="宋体"/>
          <w:color w:val="auto"/>
          <w:kern w:val="2"/>
          <w:szCs w:val="24"/>
        </w:rPr>
      </w:pPr>
      <w:r>
        <w:rPr>
          <w:rFonts w:hint="eastAsia" w:hAnsi="宋体"/>
          <w:color w:val="auto"/>
          <w:kern w:val="2"/>
          <w:szCs w:val="24"/>
        </w:rPr>
        <w:t>（六）提出质疑的日期。</w:t>
      </w:r>
    </w:p>
    <w:p w14:paraId="049E7190">
      <w:pPr>
        <w:spacing w:line="360" w:lineRule="auto"/>
        <w:rPr>
          <w:rFonts w:hAnsi="宋体"/>
          <w:color w:val="auto"/>
          <w:kern w:val="2"/>
          <w:szCs w:val="24"/>
        </w:rPr>
      </w:pPr>
      <w:r>
        <w:rPr>
          <w:rFonts w:hint="eastAsia" w:hAnsi="宋体"/>
          <w:color w:val="auto"/>
          <w:kern w:val="2"/>
          <w:szCs w:val="24"/>
        </w:rPr>
        <w:t>供应商为自然人的，应当由本人签字；供应商为法人或者其他组织的，应当由法定代表人、主要负责人，或者其授权代表签字或者盖章，并加盖公章。</w:t>
      </w:r>
    </w:p>
    <w:p w14:paraId="0D13B54B">
      <w:pPr>
        <w:keepNext/>
        <w:keepLines/>
        <w:spacing w:line="360" w:lineRule="auto"/>
        <w:outlineLvl w:val="3"/>
        <w:rPr>
          <w:rFonts w:hAnsi="宋体"/>
          <w:b/>
          <w:bCs/>
          <w:color w:val="auto"/>
          <w:kern w:val="2"/>
          <w:szCs w:val="28"/>
        </w:rPr>
      </w:pPr>
      <w:r>
        <w:rPr>
          <w:rFonts w:hAnsi="宋体"/>
          <w:b/>
          <w:bCs/>
          <w:color w:val="auto"/>
          <w:kern w:val="2"/>
          <w:szCs w:val="28"/>
        </w:rPr>
        <w:t>10.3</w:t>
      </w:r>
      <w:r>
        <w:rPr>
          <w:rFonts w:hint="eastAsia" w:hAnsi="宋体"/>
          <w:b/>
          <w:bCs/>
          <w:color w:val="auto"/>
          <w:kern w:val="2"/>
          <w:szCs w:val="28"/>
        </w:rPr>
        <w:t>投诉</w:t>
      </w:r>
    </w:p>
    <w:p w14:paraId="68EDC282">
      <w:pPr>
        <w:spacing w:line="360" w:lineRule="auto"/>
        <w:rPr>
          <w:rFonts w:hAnsi="宋体"/>
          <w:color w:val="auto"/>
          <w:kern w:val="2"/>
          <w:szCs w:val="24"/>
        </w:rPr>
      </w:pPr>
      <w:r>
        <w:rPr>
          <w:rFonts w:hAnsi="宋体"/>
          <w:color w:val="auto"/>
          <w:kern w:val="2"/>
          <w:szCs w:val="24"/>
        </w:rPr>
        <w:t>10.3.1</w:t>
      </w:r>
      <w:r>
        <w:rPr>
          <w:rFonts w:hint="eastAsia" w:hAnsi="宋体"/>
          <w:color w:val="auto"/>
          <w:kern w:val="2"/>
          <w:szCs w:val="24"/>
        </w:rPr>
        <w:t>质疑供应商对采购人、采购代理机构的答复不满意，或者采购人、采购代理机构未在规定时间内作出答复的，可以在答复期满后</w:t>
      </w:r>
      <w:r>
        <w:rPr>
          <w:rFonts w:hAnsi="宋体"/>
          <w:color w:val="auto"/>
          <w:kern w:val="2"/>
          <w:szCs w:val="24"/>
        </w:rPr>
        <w:t>15</w:t>
      </w:r>
      <w:r>
        <w:rPr>
          <w:rFonts w:hint="eastAsia" w:hAnsi="宋体"/>
          <w:color w:val="auto"/>
          <w:kern w:val="2"/>
          <w:szCs w:val="24"/>
        </w:rPr>
        <w:t>个工作日内向供应商须知前附表规定的投诉受理部门提起投诉。</w:t>
      </w:r>
    </w:p>
    <w:p w14:paraId="5474CA23">
      <w:pPr>
        <w:spacing w:line="360" w:lineRule="auto"/>
        <w:rPr>
          <w:rFonts w:hAnsi="宋体"/>
          <w:color w:val="auto"/>
          <w:kern w:val="2"/>
          <w:szCs w:val="24"/>
        </w:rPr>
      </w:pPr>
      <w:r>
        <w:rPr>
          <w:rFonts w:hAnsi="宋体"/>
          <w:color w:val="auto"/>
          <w:kern w:val="2"/>
          <w:szCs w:val="24"/>
        </w:rPr>
        <w:t>10.3.2</w:t>
      </w:r>
      <w:r>
        <w:rPr>
          <w:rFonts w:hint="eastAsia" w:hAnsi="宋体"/>
          <w:color w:val="auto"/>
          <w:kern w:val="2"/>
          <w:szCs w:val="24"/>
        </w:rPr>
        <w:t>投诉人提起投诉应当符合下列条件：</w:t>
      </w:r>
    </w:p>
    <w:p w14:paraId="33F26356">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1</w:t>
      </w:r>
      <w:r>
        <w:rPr>
          <w:rFonts w:hint="eastAsia" w:hAnsi="宋体"/>
          <w:color w:val="auto"/>
          <w:kern w:val="2"/>
          <w:szCs w:val="24"/>
        </w:rPr>
        <w:t>）提起投诉前已依法进行质疑；</w:t>
      </w:r>
    </w:p>
    <w:p w14:paraId="5BBB1B27">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2</w:t>
      </w:r>
      <w:r>
        <w:rPr>
          <w:rFonts w:hint="eastAsia" w:hAnsi="宋体"/>
          <w:color w:val="auto"/>
          <w:kern w:val="2"/>
          <w:szCs w:val="24"/>
        </w:rPr>
        <w:t>）投诉书内容符合《政府采购质疑和投诉办法》（财政部令第</w:t>
      </w:r>
      <w:r>
        <w:rPr>
          <w:rFonts w:hAnsi="宋体"/>
          <w:color w:val="auto"/>
          <w:kern w:val="2"/>
          <w:szCs w:val="24"/>
        </w:rPr>
        <w:t>94</w:t>
      </w:r>
      <w:r>
        <w:rPr>
          <w:rFonts w:hint="eastAsia" w:hAnsi="宋体"/>
          <w:color w:val="auto"/>
          <w:kern w:val="2"/>
          <w:szCs w:val="24"/>
        </w:rPr>
        <w:t>号）的规定；</w:t>
      </w:r>
    </w:p>
    <w:p w14:paraId="7CF1113A">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3</w:t>
      </w:r>
      <w:r>
        <w:rPr>
          <w:rFonts w:hint="eastAsia" w:hAnsi="宋体"/>
          <w:color w:val="auto"/>
          <w:kern w:val="2"/>
          <w:szCs w:val="24"/>
        </w:rPr>
        <w:t>）在投诉有效期限内提起投诉；</w:t>
      </w:r>
    </w:p>
    <w:p w14:paraId="4730C38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4</w:t>
      </w:r>
      <w:r>
        <w:rPr>
          <w:rFonts w:hint="eastAsia" w:hAnsi="宋体"/>
          <w:color w:val="auto"/>
          <w:kern w:val="2"/>
          <w:szCs w:val="24"/>
        </w:rPr>
        <w:t>）同一投诉事项未经财政部门投诉处理；</w:t>
      </w:r>
    </w:p>
    <w:p w14:paraId="6B7C7BE2">
      <w:pPr>
        <w:spacing w:line="360" w:lineRule="auto"/>
        <w:rPr>
          <w:rFonts w:hAnsi="宋体"/>
          <w:color w:val="auto"/>
          <w:kern w:val="2"/>
          <w:szCs w:val="24"/>
        </w:rPr>
      </w:pPr>
      <w:r>
        <w:rPr>
          <w:rFonts w:hint="eastAsia" w:hAnsi="宋体"/>
          <w:color w:val="auto"/>
          <w:kern w:val="2"/>
          <w:szCs w:val="24"/>
        </w:rPr>
        <w:t>（</w:t>
      </w:r>
      <w:r>
        <w:rPr>
          <w:rFonts w:hAnsi="宋体"/>
          <w:color w:val="auto"/>
          <w:kern w:val="2"/>
          <w:szCs w:val="24"/>
        </w:rPr>
        <w:t>5</w:t>
      </w:r>
      <w:r>
        <w:rPr>
          <w:rFonts w:hint="eastAsia" w:hAnsi="宋体"/>
          <w:color w:val="auto"/>
          <w:kern w:val="2"/>
          <w:szCs w:val="24"/>
        </w:rPr>
        <w:t>）财政部规定的其他条件。</w:t>
      </w:r>
    </w:p>
    <w:p w14:paraId="4C2CC291">
      <w:pPr>
        <w:spacing w:line="360" w:lineRule="auto"/>
        <w:rPr>
          <w:rFonts w:hAnsi="宋体"/>
          <w:color w:val="auto"/>
          <w:kern w:val="2"/>
          <w:szCs w:val="24"/>
        </w:rPr>
      </w:pPr>
      <w:r>
        <w:rPr>
          <w:rFonts w:hAnsi="宋体"/>
          <w:color w:val="auto"/>
          <w:kern w:val="2"/>
          <w:szCs w:val="24"/>
        </w:rPr>
        <w:t>10.3.3</w:t>
      </w:r>
      <w:r>
        <w:rPr>
          <w:rFonts w:hint="eastAsia" w:hAnsi="宋体"/>
          <w:color w:val="auto"/>
          <w:kern w:val="2"/>
          <w:szCs w:val="24"/>
        </w:rPr>
        <w:t>投诉人投诉时</w:t>
      </w:r>
      <w:r>
        <w:rPr>
          <w:rFonts w:hAnsi="宋体"/>
          <w:color w:val="auto"/>
          <w:kern w:val="2"/>
          <w:szCs w:val="24"/>
        </w:rPr>
        <w:t>,</w:t>
      </w:r>
      <w:r>
        <w:rPr>
          <w:rFonts w:hint="eastAsia" w:hAnsi="宋体"/>
          <w:color w:val="auto"/>
          <w:kern w:val="2"/>
          <w:szCs w:val="24"/>
        </w:rPr>
        <w:t>应当提交投诉书和必要的证明材料，并按照被投诉采购人、采购代理机构（以下简称被投诉人）和与投诉事项有关的供应商数量提供投诉书的副本。投诉书应当包括下列内容：</w:t>
      </w:r>
    </w:p>
    <w:p w14:paraId="405F2334">
      <w:pPr>
        <w:spacing w:line="360" w:lineRule="auto"/>
        <w:rPr>
          <w:rFonts w:hAnsi="宋体"/>
          <w:color w:val="auto"/>
          <w:kern w:val="2"/>
          <w:szCs w:val="24"/>
        </w:rPr>
      </w:pPr>
      <w:r>
        <w:rPr>
          <w:rFonts w:hint="eastAsia" w:hAnsi="宋体"/>
          <w:color w:val="auto"/>
          <w:kern w:val="2"/>
          <w:szCs w:val="24"/>
        </w:rPr>
        <w:t>（一）投诉人和被投诉人的姓名或者名称、通讯地址、邮编、联系人及联系电话；</w:t>
      </w:r>
    </w:p>
    <w:p w14:paraId="41A4A1C4">
      <w:pPr>
        <w:spacing w:line="360" w:lineRule="auto"/>
        <w:rPr>
          <w:rFonts w:hAnsi="宋体"/>
          <w:color w:val="auto"/>
          <w:kern w:val="2"/>
          <w:szCs w:val="24"/>
        </w:rPr>
      </w:pPr>
      <w:r>
        <w:rPr>
          <w:rFonts w:hint="eastAsia" w:hAnsi="宋体"/>
          <w:color w:val="auto"/>
          <w:kern w:val="2"/>
          <w:szCs w:val="24"/>
        </w:rPr>
        <w:t>（二）质疑和质疑答复情况说明及相关证明材料；</w:t>
      </w:r>
    </w:p>
    <w:p w14:paraId="3F66F571">
      <w:pPr>
        <w:spacing w:line="360" w:lineRule="auto"/>
        <w:rPr>
          <w:rFonts w:hAnsi="宋体"/>
          <w:color w:val="auto"/>
          <w:kern w:val="2"/>
          <w:szCs w:val="24"/>
        </w:rPr>
      </w:pPr>
      <w:r>
        <w:rPr>
          <w:rFonts w:hint="eastAsia" w:hAnsi="宋体"/>
          <w:color w:val="auto"/>
          <w:kern w:val="2"/>
          <w:szCs w:val="24"/>
        </w:rPr>
        <w:t>（三）具体、明确的投诉事项和与投诉事项相关的投诉请求；</w:t>
      </w:r>
    </w:p>
    <w:p w14:paraId="442660BF">
      <w:pPr>
        <w:spacing w:line="360" w:lineRule="auto"/>
        <w:rPr>
          <w:rFonts w:hAnsi="宋体"/>
          <w:color w:val="auto"/>
          <w:kern w:val="2"/>
          <w:szCs w:val="24"/>
        </w:rPr>
      </w:pPr>
      <w:r>
        <w:rPr>
          <w:rFonts w:hint="eastAsia" w:hAnsi="宋体"/>
          <w:color w:val="auto"/>
          <w:kern w:val="2"/>
          <w:szCs w:val="24"/>
        </w:rPr>
        <w:t>（四）事实依据；</w:t>
      </w:r>
    </w:p>
    <w:p w14:paraId="5C8E97E5">
      <w:pPr>
        <w:spacing w:line="360" w:lineRule="auto"/>
        <w:rPr>
          <w:rFonts w:hAnsi="宋体"/>
          <w:color w:val="auto"/>
          <w:kern w:val="2"/>
          <w:szCs w:val="24"/>
        </w:rPr>
      </w:pPr>
      <w:r>
        <w:rPr>
          <w:rFonts w:hint="eastAsia" w:hAnsi="宋体"/>
          <w:color w:val="auto"/>
          <w:kern w:val="2"/>
          <w:szCs w:val="24"/>
        </w:rPr>
        <w:t>（五）法律依据；</w:t>
      </w:r>
    </w:p>
    <w:p w14:paraId="07E02B31">
      <w:pPr>
        <w:spacing w:line="360" w:lineRule="auto"/>
        <w:rPr>
          <w:rFonts w:hAnsi="宋体"/>
          <w:color w:val="auto"/>
          <w:kern w:val="2"/>
          <w:szCs w:val="24"/>
        </w:rPr>
      </w:pPr>
      <w:r>
        <w:rPr>
          <w:rFonts w:hint="eastAsia" w:hAnsi="宋体"/>
          <w:color w:val="auto"/>
          <w:kern w:val="2"/>
          <w:szCs w:val="24"/>
        </w:rPr>
        <w:t>（六）提起投诉的日期。</w:t>
      </w:r>
    </w:p>
    <w:p w14:paraId="284B4B07">
      <w:pPr>
        <w:spacing w:line="360" w:lineRule="auto"/>
        <w:rPr>
          <w:rFonts w:hAnsi="宋体"/>
          <w:color w:val="auto"/>
          <w:kern w:val="2"/>
          <w:szCs w:val="24"/>
        </w:rPr>
      </w:pPr>
      <w:r>
        <w:rPr>
          <w:rFonts w:hint="eastAsia" w:hAnsi="宋体"/>
          <w:color w:val="auto"/>
          <w:kern w:val="2"/>
          <w:szCs w:val="24"/>
        </w:rPr>
        <w:t>投诉人为自然人的，应当由本人签字；投诉人为法人或者其他组织的，应当由法定代表人、主要负责人，或者其授权代表签字或者盖章，并加盖公章。</w:t>
      </w:r>
    </w:p>
    <w:p w14:paraId="6C297C74">
      <w:pPr>
        <w:keepNext/>
        <w:keepLines/>
        <w:spacing w:line="360" w:lineRule="auto"/>
        <w:outlineLvl w:val="2"/>
        <w:rPr>
          <w:rFonts w:hAnsi="宋体"/>
          <w:b/>
          <w:bCs/>
          <w:color w:val="auto"/>
          <w:kern w:val="2"/>
          <w:sz w:val="24"/>
          <w:szCs w:val="28"/>
        </w:rPr>
      </w:pPr>
      <w:bookmarkStart w:id="36" w:name="_Toc533781567"/>
      <w:bookmarkStart w:id="37" w:name="_Toc533783519"/>
      <w:r>
        <w:rPr>
          <w:rFonts w:hAnsi="宋体"/>
          <w:b/>
          <w:bCs/>
          <w:color w:val="auto"/>
          <w:kern w:val="2"/>
          <w:sz w:val="24"/>
          <w:szCs w:val="28"/>
        </w:rPr>
        <w:t>11.</w:t>
      </w:r>
      <w:r>
        <w:rPr>
          <w:rFonts w:hint="eastAsia" w:hAnsi="宋体"/>
          <w:b/>
          <w:bCs/>
          <w:color w:val="auto"/>
          <w:kern w:val="2"/>
          <w:sz w:val="24"/>
          <w:szCs w:val="28"/>
        </w:rPr>
        <w:t>其他补充内容</w:t>
      </w:r>
      <w:bookmarkEnd w:id="36"/>
      <w:bookmarkEnd w:id="37"/>
    </w:p>
    <w:p w14:paraId="64C43FB4">
      <w:pPr>
        <w:spacing w:line="360" w:lineRule="auto"/>
        <w:rPr>
          <w:rFonts w:hAnsi="宋体"/>
          <w:color w:val="auto"/>
          <w:kern w:val="2"/>
          <w:szCs w:val="24"/>
        </w:rPr>
      </w:pPr>
      <w:r>
        <w:rPr>
          <w:rFonts w:hint="eastAsia" w:hAnsi="宋体"/>
          <w:color w:val="auto"/>
          <w:kern w:val="2"/>
          <w:szCs w:val="24"/>
        </w:rPr>
        <w:t>见供应商须知前附表。</w:t>
      </w:r>
    </w:p>
    <w:p w14:paraId="5A4E4218">
      <w:pPr>
        <w:pStyle w:val="19"/>
        <w:ind w:left="0" w:leftChars="0"/>
        <w:rPr>
          <w:color w:val="auto"/>
        </w:rPr>
      </w:pPr>
      <w:r>
        <w:rPr>
          <w:color w:val="auto"/>
        </w:rPr>
        <w:br w:type="page"/>
      </w:r>
    </w:p>
    <w:p w14:paraId="659434E6">
      <w:pPr>
        <w:rPr>
          <w:rFonts w:hAnsi="宋体" w:cs="Times New Roman"/>
          <w:b/>
          <w:color w:val="auto"/>
          <w:kern w:val="2"/>
          <w:sz w:val="28"/>
          <w:szCs w:val="24"/>
        </w:rPr>
      </w:pPr>
      <w:r>
        <w:rPr>
          <w:rFonts w:hAnsi="宋体" w:cs="Times New Roman"/>
          <w:b/>
          <w:color w:val="auto"/>
          <w:kern w:val="2"/>
          <w:sz w:val="28"/>
          <w:szCs w:val="24"/>
        </w:rPr>
        <w:t>附件</w:t>
      </w:r>
      <w:r>
        <w:rPr>
          <w:rFonts w:hint="eastAsia" w:hAnsi="宋体" w:cs="Times New Roman"/>
          <w:b/>
          <w:color w:val="auto"/>
          <w:kern w:val="2"/>
          <w:sz w:val="28"/>
          <w:szCs w:val="24"/>
        </w:rPr>
        <w:t>1：</w:t>
      </w:r>
    </w:p>
    <w:p w14:paraId="23FF4AF6">
      <w:pPr>
        <w:jc w:val="center"/>
        <w:outlineLvl w:val="0"/>
        <w:rPr>
          <w:rFonts w:hAnsi="宋体"/>
          <w:b/>
          <w:bCs/>
          <w:color w:val="auto"/>
          <w:kern w:val="2"/>
          <w:sz w:val="44"/>
          <w:szCs w:val="44"/>
        </w:rPr>
      </w:pPr>
      <w:bookmarkStart w:id="38" w:name="_Toc27770"/>
      <w:bookmarkStart w:id="39" w:name="_Toc15850"/>
      <w:r>
        <w:rPr>
          <w:rFonts w:hint="eastAsia" w:hAnsi="宋体"/>
          <w:b/>
          <w:bCs/>
          <w:color w:val="auto"/>
          <w:kern w:val="2"/>
          <w:sz w:val="44"/>
          <w:szCs w:val="44"/>
        </w:rPr>
        <w:t>“政采贷”政策告知函</w:t>
      </w:r>
      <w:bookmarkEnd w:id="38"/>
      <w:bookmarkEnd w:id="39"/>
    </w:p>
    <w:p w14:paraId="2BB860B0">
      <w:pPr>
        <w:spacing w:line="460" w:lineRule="exact"/>
        <w:rPr>
          <w:rFonts w:hAnsi="宋体"/>
          <w:color w:val="auto"/>
          <w:kern w:val="2"/>
        </w:rPr>
      </w:pPr>
      <w:r>
        <w:rPr>
          <w:rFonts w:hint="eastAsia" w:hAnsi="宋体"/>
          <w:color w:val="auto"/>
          <w:kern w:val="2"/>
        </w:rPr>
        <w:t>各供应商:</w:t>
      </w:r>
    </w:p>
    <w:p w14:paraId="36928364">
      <w:pPr>
        <w:spacing w:line="460" w:lineRule="exact"/>
        <w:rPr>
          <w:rFonts w:hAnsi="宋体"/>
          <w:color w:val="auto"/>
          <w:kern w:val="2"/>
        </w:rPr>
      </w:pPr>
      <w:r>
        <w:rPr>
          <w:rFonts w:hint="eastAsia" w:hAnsi="宋体"/>
          <w:color w:val="auto"/>
          <w:kern w:val="2"/>
        </w:rPr>
        <w:t>欢迎贵公司参与贺州市政府采购活动!</w:t>
      </w:r>
    </w:p>
    <w:p w14:paraId="6DE4A9C8">
      <w:pPr>
        <w:widowControl/>
        <w:adjustRightInd w:val="0"/>
        <w:snapToGrid w:val="0"/>
        <w:spacing w:line="460" w:lineRule="exact"/>
        <w:rPr>
          <w:rFonts w:hAnsi="宋体"/>
          <w:color w:val="auto"/>
          <w:kern w:val="2"/>
        </w:rPr>
      </w:pPr>
      <w:r>
        <w:rPr>
          <w:rFonts w:hint="eastAsia" w:hAnsi="宋体"/>
          <w:color w:val="auto"/>
          <w:kern w:val="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39274F54">
      <w:pPr>
        <w:widowControl/>
        <w:adjustRightInd w:val="0"/>
        <w:snapToGrid w:val="0"/>
        <w:spacing w:line="460" w:lineRule="exact"/>
        <w:rPr>
          <w:rFonts w:hAnsi="宋体"/>
          <w:color w:val="auto"/>
          <w:kern w:val="2"/>
        </w:rPr>
      </w:pPr>
      <w:r>
        <w:rPr>
          <w:rFonts w:hint="eastAsia" w:hAnsi="宋体"/>
          <w:color w:val="auto"/>
          <w:kern w:val="2"/>
        </w:rPr>
        <w:t>一、“政采贷”操作流程</w:t>
      </w:r>
    </w:p>
    <w:p w14:paraId="155CD43B">
      <w:pPr>
        <w:widowControl/>
        <w:adjustRightInd w:val="0"/>
        <w:snapToGrid w:val="0"/>
        <w:spacing w:line="460" w:lineRule="exact"/>
        <w:rPr>
          <w:rFonts w:hAnsi="宋体"/>
          <w:color w:val="auto"/>
          <w:kern w:val="2"/>
        </w:rPr>
      </w:pPr>
      <w:r>
        <w:rPr>
          <w:rFonts w:hint="eastAsia" w:hAnsi="宋体"/>
          <w:color w:val="auto"/>
          <w:kern w:val="2"/>
        </w:rPr>
        <w:t>进入“广西政府采购网”（</w:t>
      </w:r>
      <w:r>
        <w:rPr>
          <w:color w:val="auto"/>
        </w:rPr>
        <w:fldChar w:fldCharType="begin"/>
      </w:r>
      <w:r>
        <w:rPr>
          <w:color w:val="auto"/>
        </w:rPr>
        <w:instrText xml:space="preserve"> HYPERLINK "http://zfcg.gxzf.gov.cn/" </w:instrText>
      </w:r>
      <w:r>
        <w:rPr>
          <w:color w:val="auto"/>
        </w:rPr>
        <w:fldChar w:fldCharType="separate"/>
      </w:r>
      <w:r>
        <w:rPr>
          <w:rFonts w:hint="eastAsia" w:hAnsi="宋体"/>
          <w:color w:val="auto"/>
          <w:kern w:val="2"/>
        </w:rPr>
        <w:t>http://zfcg.gxzf.gov.cn/</w:t>
      </w:r>
      <w:r>
        <w:rPr>
          <w:rFonts w:hint="eastAsia" w:hAnsi="宋体"/>
          <w:color w:val="auto"/>
          <w:kern w:val="2"/>
        </w:rPr>
        <w:fldChar w:fldCharType="end"/>
      </w:r>
      <w:r>
        <w:rPr>
          <w:rFonts w:hint="eastAsia" w:hAnsi="宋体"/>
          <w:color w:val="auto"/>
          <w:kern w:val="2"/>
        </w:rPr>
        <w:t>）“办事指南”专栏找到“金融融资”板块，进入“广西政府采购金融服务平台”登录，选择试点银行机构进行合同融资预申请。（详情请按照《贺州市财政局关于进一步推行“政采贷”工作的通知》（贺财采〔2024〕3号）文件执行）</w:t>
      </w:r>
    </w:p>
    <w:p w14:paraId="77D41F73">
      <w:pPr>
        <w:widowControl/>
        <w:adjustRightInd w:val="0"/>
        <w:snapToGrid w:val="0"/>
        <w:spacing w:line="460" w:lineRule="exact"/>
        <w:rPr>
          <w:rFonts w:hAnsi="宋体"/>
          <w:color w:val="auto"/>
          <w:kern w:val="2"/>
        </w:rPr>
      </w:pPr>
      <w:r>
        <w:rPr>
          <w:rFonts w:hint="eastAsia" w:hAnsi="宋体"/>
          <w:color w:val="auto"/>
          <w:kern w:val="2"/>
        </w:rPr>
        <w:t>二、承接银行联系方式</w:t>
      </w:r>
    </w:p>
    <w:p w14:paraId="40EA5062">
      <w:pPr>
        <w:widowControl/>
        <w:adjustRightInd w:val="0"/>
        <w:snapToGrid w:val="0"/>
        <w:spacing w:line="460" w:lineRule="exact"/>
        <w:rPr>
          <w:rFonts w:hAnsi="宋体" w:cs="黑体"/>
          <w:color w:val="auto"/>
          <w:kern w:val="2"/>
        </w:rPr>
      </w:pPr>
      <w:r>
        <w:rPr>
          <w:rFonts w:hint="eastAsia" w:hAnsi="宋体" w:cs="黑体"/>
          <w:color w:val="auto"/>
          <w:kern w:val="2"/>
        </w:rPr>
        <w:t>1.中国建设银行贺州分行</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54"/>
        <w:gridCol w:w="1172"/>
        <w:gridCol w:w="1137"/>
        <w:gridCol w:w="1570"/>
        <w:gridCol w:w="2835"/>
      </w:tblGrid>
      <w:tr w14:paraId="6E1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shd w:val="clear" w:color="auto" w:fill="auto"/>
            <w:vAlign w:val="center"/>
          </w:tcPr>
          <w:p w14:paraId="52BC00D5">
            <w:pPr>
              <w:keepNext w:val="0"/>
              <w:keepLines w:val="0"/>
              <w:widowControl/>
              <w:suppressLineNumbers w:val="0"/>
              <w:tabs>
                <w:tab w:val="left" w:pos="2172"/>
              </w:tabs>
              <w:adjustRightInd w:val="0"/>
              <w:snapToGrid w:val="0"/>
              <w:spacing w:before="0" w:beforeAutospacing="0" w:after="0" w:afterAutospacing="0"/>
              <w:ind w:left="0" w:right="0"/>
              <w:rPr>
                <w:rFonts w:hint="default" w:hAnsi="宋体"/>
                <w:color w:val="auto"/>
                <w:kern w:val="2"/>
              </w:rPr>
            </w:pPr>
            <w:r>
              <w:rPr>
                <w:rFonts w:hint="eastAsia" w:hAnsi="宋体"/>
                <w:color w:val="auto"/>
                <w:lang w:bidi="ar"/>
              </w:rPr>
              <w:t>中国建设银行贺州分行 总协调人：杨宏毅  职务：公司业务部副总经理  手机号码：18077397188</w:t>
            </w:r>
          </w:p>
        </w:tc>
      </w:tr>
      <w:tr w14:paraId="17AE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0656E69">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序号</w:t>
            </w:r>
          </w:p>
        </w:tc>
        <w:tc>
          <w:tcPr>
            <w:tcW w:w="1954" w:type="dxa"/>
            <w:shd w:val="clear" w:color="auto" w:fill="auto"/>
            <w:vAlign w:val="center"/>
          </w:tcPr>
          <w:p w14:paraId="7DD11245">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金融机构</w:t>
            </w:r>
          </w:p>
        </w:tc>
        <w:tc>
          <w:tcPr>
            <w:tcW w:w="1172" w:type="dxa"/>
            <w:shd w:val="clear" w:color="auto" w:fill="auto"/>
            <w:vAlign w:val="center"/>
          </w:tcPr>
          <w:p w14:paraId="0C69B6FC">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联系人</w:t>
            </w:r>
          </w:p>
        </w:tc>
        <w:tc>
          <w:tcPr>
            <w:tcW w:w="1137" w:type="dxa"/>
            <w:shd w:val="clear" w:color="auto" w:fill="auto"/>
            <w:vAlign w:val="center"/>
          </w:tcPr>
          <w:p w14:paraId="32F50CDB">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职务</w:t>
            </w:r>
          </w:p>
        </w:tc>
        <w:tc>
          <w:tcPr>
            <w:tcW w:w="1570" w:type="dxa"/>
            <w:shd w:val="clear" w:color="auto" w:fill="auto"/>
            <w:vAlign w:val="center"/>
          </w:tcPr>
          <w:p w14:paraId="604C11FA">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手机号码</w:t>
            </w:r>
          </w:p>
        </w:tc>
        <w:tc>
          <w:tcPr>
            <w:tcW w:w="2835" w:type="dxa"/>
            <w:shd w:val="clear" w:color="auto" w:fill="auto"/>
            <w:vAlign w:val="center"/>
          </w:tcPr>
          <w:p w14:paraId="4C1A0147">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olor w:val="auto"/>
                <w:kern w:val="2"/>
              </w:rPr>
            </w:pPr>
            <w:r>
              <w:rPr>
                <w:rFonts w:hint="eastAsia" w:hAnsi="宋体"/>
                <w:color w:val="auto"/>
                <w:kern w:val="2"/>
              </w:rPr>
              <w:t>银行地址</w:t>
            </w:r>
          </w:p>
        </w:tc>
      </w:tr>
      <w:tr w14:paraId="7F0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4BAAB996">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1954" w:type="dxa"/>
            <w:shd w:val="clear" w:color="auto" w:fill="auto"/>
            <w:vAlign w:val="center"/>
          </w:tcPr>
          <w:p w14:paraId="29E99EF7">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中国建设银行贺州分行营业部</w:t>
            </w:r>
          </w:p>
        </w:tc>
        <w:tc>
          <w:tcPr>
            <w:tcW w:w="1172" w:type="dxa"/>
            <w:shd w:val="clear" w:color="auto" w:fill="auto"/>
            <w:vAlign w:val="center"/>
          </w:tcPr>
          <w:p w14:paraId="5B32D053">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刘  雍</w:t>
            </w:r>
          </w:p>
        </w:tc>
        <w:tc>
          <w:tcPr>
            <w:tcW w:w="1137" w:type="dxa"/>
            <w:shd w:val="clear" w:color="auto" w:fill="auto"/>
            <w:vAlign w:val="center"/>
          </w:tcPr>
          <w:p w14:paraId="6E533F3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客户经理</w:t>
            </w:r>
          </w:p>
        </w:tc>
        <w:tc>
          <w:tcPr>
            <w:tcW w:w="1570" w:type="dxa"/>
            <w:shd w:val="clear" w:color="auto" w:fill="auto"/>
            <w:vAlign w:val="center"/>
          </w:tcPr>
          <w:p w14:paraId="23CC4DB8">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18778943521</w:t>
            </w:r>
          </w:p>
        </w:tc>
        <w:tc>
          <w:tcPr>
            <w:tcW w:w="2835" w:type="dxa"/>
            <w:shd w:val="clear" w:color="auto" w:fill="auto"/>
            <w:vAlign w:val="center"/>
          </w:tcPr>
          <w:p w14:paraId="235AFD36">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贺州市八步区建设中路1号</w:t>
            </w:r>
          </w:p>
        </w:tc>
      </w:tr>
      <w:tr w14:paraId="3C8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3FA85B5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1954" w:type="dxa"/>
            <w:shd w:val="clear" w:color="auto" w:fill="auto"/>
            <w:vAlign w:val="center"/>
          </w:tcPr>
          <w:p w14:paraId="51E80DE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中国建设银行贺州城东支行</w:t>
            </w:r>
          </w:p>
        </w:tc>
        <w:tc>
          <w:tcPr>
            <w:tcW w:w="1172" w:type="dxa"/>
            <w:shd w:val="clear" w:color="auto" w:fill="auto"/>
            <w:vAlign w:val="center"/>
          </w:tcPr>
          <w:p w14:paraId="0A86925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刘昭勇</w:t>
            </w:r>
          </w:p>
        </w:tc>
        <w:tc>
          <w:tcPr>
            <w:tcW w:w="1137" w:type="dxa"/>
            <w:shd w:val="clear" w:color="auto" w:fill="auto"/>
            <w:vAlign w:val="center"/>
          </w:tcPr>
          <w:p w14:paraId="45F8BF6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7BC13B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18877499257</w:t>
            </w:r>
          </w:p>
        </w:tc>
        <w:tc>
          <w:tcPr>
            <w:tcW w:w="2835" w:type="dxa"/>
            <w:shd w:val="clear" w:color="auto" w:fill="auto"/>
            <w:vAlign w:val="center"/>
          </w:tcPr>
          <w:p w14:paraId="52D636C9">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贺州市八步区平安西路266号贺州广场购物中心1号楼一层东面</w:t>
            </w:r>
          </w:p>
        </w:tc>
      </w:tr>
      <w:tr w14:paraId="6EDD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6C8566BE">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1954" w:type="dxa"/>
            <w:shd w:val="clear" w:color="auto" w:fill="auto"/>
            <w:vAlign w:val="center"/>
          </w:tcPr>
          <w:p w14:paraId="3E572A9C">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中国建设银行贺州城西支行</w:t>
            </w:r>
          </w:p>
        </w:tc>
        <w:tc>
          <w:tcPr>
            <w:tcW w:w="1172" w:type="dxa"/>
            <w:shd w:val="clear" w:color="auto" w:fill="auto"/>
            <w:vAlign w:val="center"/>
          </w:tcPr>
          <w:p w14:paraId="66E7AF7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于丛家</w:t>
            </w:r>
          </w:p>
        </w:tc>
        <w:tc>
          <w:tcPr>
            <w:tcW w:w="1137" w:type="dxa"/>
            <w:shd w:val="clear" w:color="auto" w:fill="auto"/>
            <w:vAlign w:val="center"/>
          </w:tcPr>
          <w:p w14:paraId="7C2AA37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32F3D6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15177666737</w:t>
            </w:r>
          </w:p>
        </w:tc>
        <w:tc>
          <w:tcPr>
            <w:tcW w:w="2835" w:type="dxa"/>
            <w:shd w:val="clear" w:color="auto" w:fill="auto"/>
            <w:vAlign w:val="center"/>
          </w:tcPr>
          <w:p w14:paraId="6B1D3834">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贺州市八步区八达西路689号1栋11号商铺</w:t>
            </w:r>
          </w:p>
        </w:tc>
      </w:tr>
      <w:tr w14:paraId="2EA1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70955B6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1954" w:type="dxa"/>
            <w:shd w:val="clear" w:color="auto" w:fill="auto"/>
            <w:vAlign w:val="center"/>
          </w:tcPr>
          <w:p w14:paraId="7877A49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中国建设银行贺州平桂支行</w:t>
            </w:r>
          </w:p>
        </w:tc>
        <w:tc>
          <w:tcPr>
            <w:tcW w:w="1172" w:type="dxa"/>
            <w:shd w:val="clear" w:color="auto" w:fill="auto"/>
            <w:vAlign w:val="center"/>
          </w:tcPr>
          <w:p w14:paraId="700DB14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邱  伟</w:t>
            </w:r>
          </w:p>
        </w:tc>
        <w:tc>
          <w:tcPr>
            <w:tcW w:w="1137" w:type="dxa"/>
            <w:shd w:val="clear" w:color="auto" w:fill="auto"/>
            <w:vAlign w:val="center"/>
          </w:tcPr>
          <w:p w14:paraId="21B2E2E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32A071D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18007840720</w:t>
            </w:r>
          </w:p>
        </w:tc>
        <w:tc>
          <w:tcPr>
            <w:tcW w:w="2835" w:type="dxa"/>
            <w:shd w:val="clear" w:color="auto" w:fill="auto"/>
            <w:vAlign w:val="center"/>
          </w:tcPr>
          <w:p w14:paraId="54809C35">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贺州市平桂区平桂大道15号富旺小区1号楼105号商铺</w:t>
            </w:r>
          </w:p>
        </w:tc>
      </w:tr>
      <w:tr w14:paraId="4953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4C767C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5</w:t>
            </w:r>
          </w:p>
        </w:tc>
        <w:tc>
          <w:tcPr>
            <w:tcW w:w="1954" w:type="dxa"/>
            <w:shd w:val="clear" w:color="auto" w:fill="auto"/>
            <w:vAlign w:val="center"/>
          </w:tcPr>
          <w:p w14:paraId="69C542E6">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中国建设银行钟山支行</w:t>
            </w:r>
          </w:p>
        </w:tc>
        <w:tc>
          <w:tcPr>
            <w:tcW w:w="1172" w:type="dxa"/>
            <w:shd w:val="clear" w:color="auto" w:fill="auto"/>
            <w:vAlign w:val="center"/>
          </w:tcPr>
          <w:p w14:paraId="7D14944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张文韬</w:t>
            </w:r>
          </w:p>
        </w:tc>
        <w:tc>
          <w:tcPr>
            <w:tcW w:w="1137" w:type="dxa"/>
            <w:shd w:val="clear" w:color="auto" w:fill="auto"/>
            <w:vAlign w:val="center"/>
          </w:tcPr>
          <w:p w14:paraId="34AE3BFA">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546AE45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13047836009</w:t>
            </w:r>
          </w:p>
        </w:tc>
        <w:tc>
          <w:tcPr>
            <w:tcW w:w="2835" w:type="dxa"/>
            <w:shd w:val="clear" w:color="auto" w:fill="auto"/>
            <w:vAlign w:val="center"/>
          </w:tcPr>
          <w:p w14:paraId="36CD03D9">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贺州市钟山县城书香西路南侧</w:t>
            </w:r>
          </w:p>
        </w:tc>
      </w:tr>
      <w:tr w14:paraId="0495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55759E8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6</w:t>
            </w:r>
          </w:p>
        </w:tc>
        <w:tc>
          <w:tcPr>
            <w:tcW w:w="1954" w:type="dxa"/>
            <w:shd w:val="clear" w:color="auto" w:fill="auto"/>
            <w:vAlign w:val="center"/>
          </w:tcPr>
          <w:p w14:paraId="4D65218D">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中国建设银行富川支行</w:t>
            </w:r>
          </w:p>
        </w:tc>
        <w:tc>
          <w:tcPr>
            <w:tcW w:w="1172" w:type="dxa"/>
            <w:shd w:val="clear" w:color="auto" w:fill="auto"/>
            <w:vAlign w:val="center"/>
          </w:tcPr>
          <w:p w14:paraId="1CAEACB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邓李杰</w:t>
            </w:r>
          </w:p>
        </w:tc>
        <w:tc>
          <w:tcPr>
            <w:tcW w:w="1137" w:type="dxa"/>
            <w:shd w:val="clear" w:color="auto" w:fill="auto"/>
            <w:vAlign w:val="center"/>
          </w:tcPr>
          <w:p w14:paraId="37B97B6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营业室总经理</w:t>
            </w:r>
          </w:p>
        </w:tc>
        <w:tc>
          <w:tcPr>
            <w:tcW w:w="1570" w:type="dxa"/>
            <w:shd w:val="clear" w:color="auto" w:fill="auto"/>
            <w:vAlign w:val="center"/>
          </w:tcPr>
          <w:p w14:paraId="00ACB58F">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18276498401</w:t>
            </w:r>
          </w:p>
        </w:tc>
        <w:tc>
          <w:tcPr>
            <w:tcW w:w="2835" w:type="dxa"/>
            <w:shd w:val="clear" w:color="auto" w:fill="auto"/>
            <w:vAlign w:val="center"/>
          </w:tcPr>
          <w:p w14:paraId="34B38ED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贺州市富川瑶族自治县富阳镇凤凰路汇龙华府第13号楼</w:t>
            </w:r>
          </w:p>
        </w:tc>
      </w:tr>
      <w:tr w14:paraId="6AE0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vAlign w:val="center"/>
          </w:tcPr>
          <w:p w14:paraId="2A9FF4B8">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7</w:t>
            </w:r>
          </w:p>
        </w:tc>
        <w:tc>
          <w:tcPr>
            <w:tcW w:w="1954" w:type="dxa"/>
            <w:shd w:val="clear" w:color="auto" w:fill="auto"/>
            <w:vAlign w:val="center"/>
          </w:tcPr>
          <w:p w14:paraId="3E7C1170">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中国建设银行昭平支行</w:t>
            </w:r>
          </w:p>
        </w:tc>
        <w:tc>
          <w:tcPr>
            <w:tcW w:w="1172" w:type="dxa"/>
            <w:shd w:val="clear" w:color="auto" w:fill="auto"/>
            <w:vAlign w:val="center"/>
          </w:tcPr>
          <w:p w14:paraId="695C66B0">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贝晟延</w:t>
            </w:r>
          </w:p>
        </w:tc>
        <w:tc>
          <w:tcPr>
            <w:tcW w:w="1137" w:type="dxa"/>
            <w:shd w:val="clear" w:color="auto" w:fill="auto"/>
            <w:vAlign w:val="center"/>
          </w:tcPr>
          <w:p w14:paraId="5681027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客户经理</w:t>
            </w:r>
          </w:p>
        </w:tc>
        <w:tc>
          <w:tcPr>
            <w:tcW w:w="1570" w:type="dxa"/>
            <w:shd w:val="clear" w:color="auto" w:fill="auto"/>
            <w:vAlign w:val="center"/>
          </w:tcPr>
          <w:p w14:paraId="69ED1AE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15676427374</w:t>
            </w:r>
          </w:p>
        </w:tc>
        <w:tc>
          <w:tcPr>
            <w:tcW w:w="2835" w:type="dxa"/>
            <w:shd w:val="clear" w:color="auto" w:fill="auto"/>
            <w:vAlign w:val="center"/>
          </w:tcPr>
          <w:p w14:paraId="13060692">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贺州市昭平县昭平镇东宁中路19号</w:t>
            </w:r>
          </w:p>
        </w:tc>
      </w:tr>
    </w:tbl>
    <w:p w14:paraId="677ED46F">
      <w:pPr>
        <w:widowControl/>
        <w:adjustRightInd w:val="0"/>
        <w:snapToGrid w:val="0"/>
        <w:spacing w:line="460" w:lineRule="exact"/>
        <w:rPr>
          <w:rFonts w:hint="eastAsia" w:hAnsi="宋体" w:cs="黑体"/>
          <w:color w:val="auto"/>
          <w:kern w:val="2"/>
        </w:rPr>
      </w:pPr>
    </w:p>
    <w:p w14:paraId="093BC741">
      <w:pPr>
        <w:widowControl/>
        <w:adjustRightInd w:val="0"/>
        <w:snapToGrid w:val="0"/>
        <w:spacing w:line="460" w:lineRule="exact"/>
        <w:rPr>
          <w:rFonts w:hint="eastAsia" w:hAnsi="宋体" w:cs="黑体"/>
          <w:color w:val="auto"/>
          <w:kern w:val="2"/>
        </w:rPr>
      </w:pPr>
    </w:p>
    <w:p w14:paraId="5646B259">
      <w:pPr>
        <w:widowControl/>
        <w:adjustRightInd w:val="0"/>
        <w:snapToGrid w:val="0"/>
        <w:spacing w:line="460" w:lineRule="exact"/>
        <w:rPr>
          <w:rFonts w:hint="eastAsia" w:hAnsi="宋体" w:cs="黑体"/>
          <w:color w:val="auto"/>
          <w:kern w:val="2"/>
        </w:rPr>
      </w:pPr>
    </w:p>
    <w:p w14:paraId="35F8DC52">
      <w:pPr>
        <w:widowControl/>
        <w:adjustRightInd w:val="0"/>
        <w:snapToGrid w:val="0"/>
        <w:spacing w:line="460" w:lineRule="exact"/>
        <w:rPr>
          <w:rFonts w:hAnsi="宋体" w:cs="黑体"/>
          <w:color w:val="auto"/>
          <w:kern w:val="2"/>
        </w:rPr>
      </w:pPr>
      <w:r>
        <w:rPr>
          <w:rFonts w:hint="eastAsia" w:hAnsi="宋体" w:cs="黑体"/>
          <w:color w:val="auto"/>
          <w:kern w:val="2"/>
        </w:rPr>
        <w:t>2.广西北部湾银行</w:t>
      </w:r>
    </w:p>
    <w:tbl>
      <w:tblPr>
        <w:tblStyle w:val="48"/>
        <w:tblpPr w:leftFromText="180" w:rightFromText="180" w:vertAnchor="text" w:horzAnchor="page" w:tblpX="1362" w:tblpY="142"/>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042"/>
        <w:gridCol w:w="949"/>
        <w:gridCol w:w="1210"/>
        <w:gridCol w:w="1464"/>
        <w:gridCol w:w="3240"/>
      </w:tblGrid>
      <w:tr w14:paraId="4000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66" w:type="dxa"/>
            <w:gridSpan w:val="6"/>
            <w:shd w:val="clear" w:color="auto" w:fill="auto"/>
            <w:vAlign w:val="center"/>
          </w:tcPr>
          <w:p w14:paraId="0E7E20C8">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广西北部湾银行贺州分行 总协调人：杨政  职务：普惠金融部总经理  手机号码：18978413000</w:t>
            </w:r>
          </w:p>
        </w:tc>
      </w:tr>
      <w:tr w14:paraId="067E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shd w:val="clear" w:color="auto" w:fill="auto"/>
            <w:vAlign w:val="center"/>
          </w:tcPr>
          <w:p w14:paraId="002A6D08">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序号</w:t>
            </w:r>
          </w:p>
        </w:tc>
        <w:tc>
          <w:tcPr>
            <w:tcW w:w="2042" w:type="dxa"/>
            <w:shd w:val="clear" w:color="auto" w:fill="auto"/>
            <w:vAlign w:val="center"/>
          </w:tcPr>
          <w:p w14:paraId="2CB48BC3">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金融机构</w:t>
            </w:r>
          </w:p>
        </w:tc>
        <w:tc>
          <w:tcPr>
            <w:tcW w:w="949" w:type="dxa"/>
            <w:shd w:val="clear" w:color="auto" w:fill="auto"/>
            <w:vAlign w:val="center"/>
          </w:tcPr>
          <w:p w14:paraId="48296D44">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联系人</w:t>
            </w:r>
          </w:p>
        </w:tc>
        <w:tc>
          <w:tcPr>
            <w:tcW w:w="1210" w:type="dxa"/>
            <w:shd w:val="clear" w:color="auto" w:fill="auto"/>
            <w:vAlign w:val="center"/>
          </w:tcPr>
          <w:p w14:paraId="7E6A7149">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职务</w:t>
            </w:r>
          </w:p>
        </w:tc>
        <w:tc>
          <w:tcPr>
            <w:tcW w:w="1464" w:type="dxa"/>
            <w:shd w:val="clear" w:color="auto" w:fill="auto"/>
            <w:vAlign w:val="center"/>
          </w:tcPr>
          <w:p w14:paraId="1877A766">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手机号码</w:t>
            </w:r>
          </w:p>
        </w:tc>
        <w:tc>
          <w:tcPr>
            <w:tcW w:w="3240" w:type="dxa"/>
            <w:shd w:val="clear" w:color="auto" w:fill="auto"/>
            <w:vAlign w:val="center"/>
          </w:tcPr>
          <w:p w14:paraId="29C4CAC3">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b/>
                <w:color w:val="auto"/>
                <w:lang w:bidi="ar"/>
              </w:rPr>
              <w:t>银行地址</w:t>
            </w:r>
          </w:p>
        </w:tc>
      </w:tr>
      <w:tr w14:paraId="0A69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19B218D0">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2042" w:type="dxa"/>
            <w:shd w:val="clear" w:color="auto" w:fill="auto"/>
            <w:vAlign w:val="center"/>
          </w:tcPr>
          <w:p w14:paraId="56563F84">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广西北部湾银行贺州分行</w:t>
            </w:r>
          </w:p>
        </w:tc>
        <w:tc>
          <w:tcPr>
            <w:tcW w:w="949" w:type="dxa"/>
            <w:shd w:val="clear" w:color="auto" w:fill="auto"/>
            <w:vAlign w:val="center"/>
          </w:tcPr>
          <w:p w14:paraId="08BDCDB0">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黄剑锐</w:t>
            </w:r>
          </w:p>
        </w:tc>
        <w:tc>
          <w:tcPr>
            <w:tcW w:w="1210" w:type="dxa"/>
            <w:shd w:val="clear" w:color="auto" w:fill="auto"/>
            <w:vAlign w:val="center"/>
          </w:tcPr>
          <w:p w14:paraId="60F5A487">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个人金融部副经理</w:t>
            </w:r>
          </w:p>
        </w:tc>
        <w:tc>
          <w:tcPr>
            <w:tcW w:w="1464" w:type="dxa"/>
            <w:shd w:val="clear" w:color="auto" w:fill="auto"/>
            <w:vAlign w:val="center"/>
          </w:tcPr>
          <w:p w14:paraId="0250CE4C">
            <w:pPr>
              <w:keepNext w:val="0"/>
              <w:keepLines w:val="0"/>
              <w:widowControl/>
              <w:suppressLineNumbers w:val="0"/>
              <w:snapToGrid w:val="0"/>
              <w:spacing w:before="0" w:beforeAutospacing="0" w:after="0" w:afterAutospacing="0"/>
              <w:ind w:left="0" w:right="0"/>
              <w:textAlignment w:val="center"/>
              <w:rPr>
                <w:rFonts w:hint="default" w:hAnsi="宋体"/>
                <w:color w:val="auto"/>
                <w:kern w:val="2"/>
              </w:rPr>
            </w:pPr>
            <w:r>
              <w:rPr>
                <w:rFonts w:hint="eastAsia" w:hAnsi="宋体"/>
                <w:color w:val="auto"/>
                <w:lang w:bidi="ar"/>
              </w:rPr>
              <w:t>15507848190</w:t>
            </w:r>
          </w:p>
        </w:tc>
        <w:tc>
          <w:tcPr>
            <w:tcW w:w="3240" w:type="dxa"/>
            <w:shd w:val="clear" w:color="auto" w:fill="auto"/>
            <w:vAlign w:val="center"/>
          </w:tcPr>
          <w:p w14:paraId="0E330B95">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贺州市八步区太白西路153号8号楼</w:t>
            </w:r>
          </w:p>
        </w:tc>
      </w:tr>
      <w:tr w14:paraId="7B5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476EB0D1">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2042" w:type="dxa"/>
            <w:shd w:val="clear" w:color="auto" w:fill="auto"/>
            <w:vAlign w:val="center"/>
          </w:tcPr>
          <w:p w14:paraId="6A1B54FE">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广西北部湾银行贺州市平桂支行</w:t>
            </w:r>
          </w:p>
        </w:tc>
        <w:tc>
          <w:tcPr>
            <w:tcW w:w="949" w:type="dxa"/>
            <w:shd w:val="clear" w:color="auto" w:fill="auto"/>
            <w:vAlign w:val="center"/>
          </w:tcPr>
          <w:p w14:paraId="1526489B">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刘  乐</w:t>
            </w:r>
          </w:p>
        </w:tc>
        <w:tc>
          <w:tcPr>
            <w:tcW w:w="1210" w:type="dxa"/>
            <w:shd w:val="clear" w:color="auto" w:fill="auto"/>
            <w:vAlign w:val="center"/>
          </w:tcPr>
          <w:p w14:paraId="73C48BB1">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公司客户经理</w:t>
            </w:r>
          </w:p>
        </w:tc>
        <w:tc>
          <w:tcPr>
            <w:tcW w:w="1464" w:type="dxa"/>
            <w:shd w:val="clear" w:color="auto" w:fill="auto"/>
            <w:vAlign w:val="center"/>
          </w:tcPr>
          <w:p w14:paraId="351C1298">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13036871008</w:t>
            </w:r>
          </w:p>
        </w:tc>
        <w:tc>
          <w:tcPr>
            <w:tcW w:w="3240" w:type="dxa"/>
            <w:shd w:val="clear" w:color="auto" w:fill="auto"/>
            <w:vAlign w:val="center"/>
          </w:tcPr>
          <w:p w14:paraId="4B8C56A1">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贺州市平桂区平桂大道4号3号楼103号商铺</w:t>
            </w:r>
          </w:p>
        </w:tc>
      </w:tr>
      <w:tr w14:paraId="1E92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56F54F84">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2042" w:type="dxa"/>
            <w:shd w:val="clear" w:color="auto" w:fill="auto"/>
            <w:vAlign w:val="center"/>
          </w:tcPr>
          <w:p w14:paraId="6C9E2085">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广西北部湾银行钟山支行</w:t>
            </w:r>
          </w:p>
        </w:tc>
        <w:tc>
          <w:tcPr>
            <w:tcW w:w="949" w:type="dxa"/>
            <w:shd w:val="clear" w:color="auto" w:fill="auto"/>
            <w:vAlign w:val="center"/>
          </w:tcPr>
          <w:p w14:paraId="377B2818">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唐振豪</w:t>
            </w:r>
          </w:p>
        </w:tc>
        <w:tc>
          <w:tcPr>
            <w:tcW w:w="1210" w:type="dxa"/>
            <w:shd w:val="clear" w:color="auto" w:fill="auto"/>
            <w:vAlign w:val="center"/>
          </w:tcPr>
          <w:p w14:paraId="68ED8FB2">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公司客户经理</w:t>
            </w:r>
          </w:p>
        </w:tc>
        <w:tc>
          <w:tcPr>
            <w:tcW w:w="1464" w:type="dxa"/>
            <w:shd w:val="clear" w:color="auto" w:fill="auto"/>
            <w:vAlign w:val="center"/>
          </w:tcPr>
          <w:p w14:paraId="2D597C29">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18878480702</w:t>
            </w:r>
          </w:p>
        </w:tc>
        <w:tc>
          <w:tcPr>
            <w:tcW w:w="3240" w:type="dxa"/>
            <w:shd w:val="clear" w:color="auto" w:fill="auto"/>
            <w:vAlign w:val="center"/>
          </w:tcPr>
          <w:p w14:paraId="54139BF6">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贺州市钟山县广场西路南侧悦城壹号院B区1#楼B09-13号商铺</w:t>
            </w:r>
          </w:p>
        </w:tc>
      </w:tr>
      <w:tr w14:paraId="2B5F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1BC78E36">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2042" w:type="dxa"/>
            <w:shd w:val="clear" w:color="auto" w:fill="auto"/>
            <w:vAlign w:val="center"/>
          </w:tcPr>
          <w:p w14:paraId="5FF4449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广西北部湾银行富川支行</w:t>
            </w:r>
          </w:p>
        </w:tc>
        <w:tc>
          <w:tcPr>
            <w:tcW w:w="949" w:type="dxa"/>
            <w:shd w:val="clear" w:color="auto" w:fill="auto"/>
            <w:vAlign w:val="center"/>
          </w:tcPr>
          <w:p w14:paraId="7633EF1C">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秦明龙</w:t>
            </w:r>
          </w:p>
        </w:tc>
        <w:tc>
          <w:tcPr>
            <w:tcW w:w="1210" w:type="dxa"/>
            <w:shd w:val="clear" w:color="auto" w:fill="auto"/>
            <w:vAlign w:val="center"/>
          </w:tcPr>
          <w:p w14:paraId="29AAC51F">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业务发展部经理</w:t>
            </w:r>
          </w:p>
        </w:tc>
        <w:tc>
          <w:tcPr>
            <w:tcW w:w="1464" w:type="dxa"/>
            <w:shd w:val="clear" w:color="auto" w:fill="auto"/>
            <w:vAlign w:val="center"/>
          </w:tcPr>
          <w:p w14:paraId="4AC99029">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17776119667</w:t>
            </w:r>
          </w:p>
        </w:tc>
        <w:tc>
          <w:tcPr>
            <w:tcW w:w="3240" w:type="dxa"/>
            <w:shd w:val="clear" w:color="auto" w:fill="auto"/>
            <w:vAlign w:val="center"/>
          </w:tcPr>
          <w:p w14:paraId="2899FF6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贺州市富川瑶族自治县富阳镇凤凰路121号</w:t>
            </w:r>
          </w:p>
        </w:tc>
      </w:tr>
      <w:tr w14:paraId="58B3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shd w:val="clear" w:color="auto" w:fill="auto"/>
            <w:vAlign w:val="center"/>
          </w:tcPr>
          <w:p w14:paraId="21795839">
            <w:pPr>
              <w:keepNext w:val="0"/>
              <w:keepLines w:val="0"/>
              <w:widowControl/>
              <w:suppressLineNumbers w:val="0"/>
              <w:snapToGrid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5</w:t>
            </w:r>
          </w:p>
        </w:tc>
        <w:tc>
          <w:tcPr>
            <w:tcW w:w="2042" w:type="dxa"/>
            <w:shd w:val="clear" w:color="auto" w:fill="auto"/>
            <w:vAlign w:val="center"/>
          </w:tcPr>
          <w:p w14:paraId="3365926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广西北部湾银行昭平支行</w:t>
            </w:r>
          </w:p>
        </w:tc>
        <w:tc>
          <w:tcPr>
            <w:tcW w:w="949" w:type="dxa"/>
            <w:shd w:val="clear" w:color="auto" w:fill="auto"/>
            <w:vAlign w:val="center"/>
          </w:tcPr>
          <w:p w14:paraId="42E02972">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邱俊豪</w:t>
            </w:r>
          </w:p>
        </w:tc>
        <w:tc>
          <w:tcPr>
            <w:tcW w:w="1210" w:type="dxa"/>
            <w:shd w:val="clear" w:color="auto" w:fill="auto"/>
            <w:vAlign w:val="center"/>
          </w:tcPr>
          <w:p w14:paraId="130E410A">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综合客户经理</w:t>
            </w:r>
          </w:p>
        </w:tc>
        <w:tc>
          <w:tcPr>
            <w:tcW w:w="1464" w:type="dxa"/>
            <w:shd w:val="clear" w:color="auto" w:fill="auto"/>
            <w:vAlign w:val="center"/>
          </w:tcPr>
          <w:p w14:paraId="27CD4CAB">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18107842696</w:t>
            </w:r>
          </w:p>
        </w:tc>
        <w:tc>
          <w:tcPr>
            <w:tcW w:w="3240" w:type="dxa"/>
            <w:shd w:val="clear" w:color="auto" w:fill="auto"/>
            <w:vAlign w:val="center"/>
          </w:tcPr>
          <w:p w14:paraId="6B3532A6">
            <w:pPr>
              <w:keepNext w:val="0"/>
              <w:keepLines w:val="0"/>
              <w:widowControl/>
              <w:suppressLineNumbers w:val="0"/>
              <w:snapToGrid w:val="0"/>
              <w:spacing w:before="0" w:beforeAutospacing="0" w:after="0" w:afterAutospacing="0"/>
              <w:ind w:left="0" w:right="0"/>
              <w:textAlignment w:val="center"/>
              <w:rPr>
                <w:rFonts w:hint="default" w:hAnsi="宋体"/>
                <w:color w:val="auto"/>
                <w:lang w:bidi="ar"/>
              </w:rPr>
            </w:pPr>
            <w:r>
              <w:rPr>
                <w:rFonts w:hint="eastAsia" w:hAnsi="宋体"/>
                <w:color w:val="auto"/>
                <w:lang w:bidi="ar"/>
              </w:rPr>
              <w:t>贺州市昭平县昭平镇河西东路（江湾一号）101-103铺面</w:t>
            </w:r>
          </w:p>
        </w:tc>
      </w:tr>
    </w:tbl>
    <w:p w14:paraId="21E134B7">
      <w:pPr>
        <w:rPr>
          <w:rFonts w:hAnsi="宋体" w:cs="Times New Roman"/>
          <w:color w:val="auto"/>
          <w:kern w:val="2"/>
        </w:rPr>
      </w:pPr>
    </w:p>
    <w:p w14:paraId="6187F580">
      <w:pPr>
        <w:widowControl/>
        <w:adjustRightInd w:val="0"/>
        <w:snapToGrid w:val="0"/>
        <w:spacing w:line="460" w:lineRule="exact"/>
        <w:rPr>
          <w:rFonts w:hAnsi="宋体" w:cs="黑体"/>
          <w:color w:val="auto"/>
          <w:kern w:val="2"/>
        </w:rPr>
      </w:pPr>
      <w:r>
        <w:rPr>
          <w:rFonts w:hint="eastAsia" w:hAnsi="宋体" w:cs="黑体"/>
          <w:color w:val="auto"/>
          <w:kern w:val="2"/>
        </w:rPr>
        <w:t>3.广西贺州桂东农村合作银行</w:t>
      </w:r>
    </w:p>
    <w:tbl>
      <w:tblPr>
        <w:tblStyle w:val="4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38"/>
        <w:gridCol w:w="994"/>
        <w:gridCol w:w="1585"/>
        <w:gridCol w:w="1565"/>
        <w:gridCol w:w="2574"/>
      </w:tblGrid>
      <w:tr w14:paraId="1CA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42C701DE">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广西贺州桂东农村合作银行 总协调人：卢士强  职务：授信审批部总经理  手机号码：18077409115</w:t>
            </w:r>
          </w:p>
        </w:tc>
      </w:tr>
      <w:tr w14:paraId="4A82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shd w:val="clear" w:color="auto" w:fill="auto"/>
            <w:vAlign w:val="center"/>
          </w:tcPr>
          <w:p w14:paraId="28DFF66B">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序号</w:t>
            </w:r>
          </w:p>
        </w:tc>
        <w:tc>
          <w:tcPr>
            <w:tcW w:w="1838" w:type="dxa"/>
            <w:shd w:val="clear" w:color="auto" w:fill="auto"/>
            <w:vAlign w:val="center"/>
          </w:tcPr>
          <w:p w14:paraId="1A4198C4">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金融机构</w:t>
            </w:r>
          </w:p>
        </w:tc>
        <w:tc>
          <w:tcPr>
            <w:tcW w:w="994" w:type="dxa"/>
            <w:shd w:val="clear" w:color="auto" w:fill="auto"/>
            <w:vAlign w:val="center"/>
          </w:tcPr>
          <w:p w14:paraId="683D888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联系人</w:t>
            </w:r>
          </w:p>
        </w:tc>
        <w:tc>
          <w:tcPr>
            <w:tcW w:w="1585" w:type="dxa"/>
            <w:shd w:val="clear" w:color="auto" w:fill="auto"/>
            <w:vAlign w:val="center"/>
          </w:tcPr>
          <w:p w14:paraId="48738090">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职务</w:t>
            </w:r>
          </w:p>
        </w:tc>
        <w:tc>
          <w:tcPr>
            <w:tcW w:w="1565" w:type="dxa"/>
            <w:shd w:val="clear" w:color="auto" w:fill="auto"/>
            <w:vAlign w:val="center"/>
          </w:tcPr>
          <w:p w14:paraId="6FEE744D">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手机号码</w:t>
            </w:r>
          </w:p>
        </w:tc>
        <w:tc>
          <w:tcPr>
            <w:tcW w:w="2574" w:type="dxa"/>
            <w:shd w:val="clear" w:color="auto" w:fill="auto"/>
            <w:vAlign w:val="center"/>
          </w:tcPr>
          <w:p w14:paraId="3BB08993">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b/>
                <w:color w:val="auto"/>
                <w:lang w:bidi="ar"/>
              </w:rPr>
              <w:t>银行地址</w:t>
            </w:r>
          </w:p>
        </w:tc>
      </w:tr>
      <w:tr w14:paraId="3F0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6DAC8826">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w:t>
            </w:r>
          </w:p>
        </w:tc>
        <w:tc>
          <w:tcPr>
            <w:tcW w:w="1838" w:type="dxa"/>
            <w:shd w:val="clear" w:color="auto" w:fill="auto"/>
            <w:vAlign w:val="center"/>
          </w:tcPr>
          <w:p w14:paraId="6C6F3758">
            <w:pPr>
              <w:keepNext w:val="0"/>
              <w:keepLines w:val="0"/>
              <w:widowControl/>
              <w:suppressLineNumbers w:val="0"/>
              <w:spacing w:before="0" w:beforeAutospacing="0" w:after="0" w:afterAutospacing="0"/>
              <w:ind w:left="0" w:right="0"/>
              <w:jc w:val="left"/>
              <w:textAlignment w:val="center"/>
              <w:rPr>
                <w:rFonts w:hint="default" w:hAnsi="宋体"/>
                <w:color w:val="auto"/>
                <w:kern w:val="2"/>
              </w:rPr>
            </w:pPr>
            <w:r>
              <w:rPr>
                <w:rFonts w:hint="eastAsia" w:hAnsi="宋体"/>
                <w:color w:val="auto"/>
                <w:lang w:bidi="ar"/>
              </w:rPr>
              <w:t>广西贺州桂东农村合作银行</w:t>
            </w:r>
          </w:p>
        </w:tc>
        <w:tc>
          <w:tcPr>
            <w:tcW w:w="994" w:type="dxa"/>
            <w:shd w:val="clear" w:color="auto" w:fill="auto"/>
            <w:vAlign w:val="center"/>
          </w:tcPr>
          <w:p w14:paraId="415E7435">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黄  腾</w:t>
            </w:r>
          </w:p>
        </w:tc>
        <w:tc>
          <w:tcPr>
            <w:tcW w:w="1585" w:type="dxa"/>
            <w:shd w:val="clear" w:color="auto" w:fill="auto"/>
            <w:vAlign w:val="center"/>
          </w:tcPr>
          <w:p w14:paraId="0033915C">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授信审批部审查员</w:t>
            </w:r>
          </w:p>
        </w:tc>
        <w:tc>
          <w:tcPr>
            <w:tcW w:w="1565" w:type="dxa"/>
            <w:shd w:val="clear" w:color="auto" w:fill="auto"/>
            <w:vAlign w:val="center"/>
          </w:tcPr>
          <w:p w14:paraId="3FE9429A">
            <w:pPr>
              <w:keepNext w:val="0"/>
              <w:keepLines w:val="0"/>
              <w:widowControl/>
              <w:suppressLineNumbers w:val="0"/>
              <w:spacing w:before="0" w:beforeAutospacing="0" w:after="0" w:afterAutospacing="0"/>
              <w:ind w:left="0" w:right="0"/>
              <w:jc w:val="center"/>
              <w:textAlignment w:val="center"/>
              <w:rPr>
                <w:rFonts w:hint="default" w:hAnsi="宋体"/>
                <w:color w:val="auto"/>
                <w:kern w:val="2"/>
              </w:rPr>
            </w:pPr>
            <w:r>
              <w:rPr>
                <w:rFonts w:hint="eastAsia" w:hAnsi="宋体"/>
                <w:color w:val="auto"/>
                <w:lang w:bidi="ar"/>
              </w:rPr>
              <w:t>15078333887</w:t>
            </w:r>
          </w:p>
        </w:tc>
        <w:tc>
          <w:tcPr>
            <w:tcW w:w="2574" w:type="dxa"/>
            <w:shd w:val="clear" w:color="auto" w:fill="auto"/>
            <w:vAlign w:val="center"/>
          </w:tcPr>
          <w:p w14:paraId="4CEFC55E">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贺州市八步区建设东路6号</w:t>
            </w:r>
          </w:p>
        </w:tc>
      </w:tr>
      <w:tr w14:paraId="4D47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5E6C27F7">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2</w:t>
            </w:r>
          </w:p>
        </w:tc>
        <w:tc>
          <w:tcPr>
            <w:tcW w:w="1838" w:type="dxa"/>
            <w:shd w:val="clear" w:color="auto" w:fill="auto"/>
            <w:vAlign w:val="center"/>
          </w:tcPr>
          <w:p w14:paraId="30EBDE1B">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广西贺州桂东农村合作银行营业部</w:t>
            </w:r>
          </w:p>
        </w:tc>
        <w:tc>
          <w:tcPr>
            <w:tcW w:w="994" w:type="dxa"/>
            <w:shd w:val="clear" w:color="auto" w:fill="auto"/>
            <w:vAlign w:val="center"/>
          </w:tcPr>
          <w:p w14:paraId="531D221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刘  瑜</w:t>
            </w:r>
          </w:p>
        </w:tc>
        <w:tc>
          <w:tcPr>
            <w:tcW w:w="1585" w:type="dxa"/>
            <w:shd w:val="clear" w:color="auto" w:fill="auto"/>
            <w:vAlign w:val="center"/>
          </w:tcPr>
          <w:p w14:paraId="6B2EBD1B">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营业部副总经理</w:t>
            </w:r>
          </w:p>
        </w:tc>
        <w:tc>
          <w:tcPr>
            <w:tcW w:w="1565" w:type="dxa"/>
            <w:shd w:val="clear" w:color="auto" w:fill="auto"/>
            <w:vAlign w:val="center"/>
          </w:tcPr>
          <w:p w14:paraId="0E5B6D1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18007843000</w:t>
            </w:r>
          </w:p>
        </w:tc>
        <w:tc>
          <w:tcPr>
            <w:tcW w:w="2574" w:type="dxa"/>
            <w:shd w:val="clear" w:color="auto" w:fill="auto"/>
            <w:vAlign w:val="center"/>
          </w:tcPr>
          <w:p w14:paraId="21E968D8">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贺州市八步区建设东路6号</w:t>
            </w:r>
          </w:p>
        </w:tc>
      </w:tr>
      <w:tr w14:paraId="1D83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5358A59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3</w:t>
            </w:r>
          </w:p>
        </w:tc>
        <w:tc>
          <w:tcPr>
            <w:tcW w:w="1838" w:type="dxa"/>
            <w:shd w:val="clear" w:color="auto" w:fill="auto"/>
            <w:vAlign w:val="center"/>
          </w:tcPr>
          <w:p w14:paraId="4A55F3FC">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广西贺州桂东农村合作银行八步支行</w:t>
            </w:r>
          </w:p>
        </w:tc>
        <w:tc>
          <w:tcPr>
            <w:tcW w:w="994" w:type="dxa"/>
            <w:shd w:val="clear" w:color="auto" w:fill="auto"/>
            <w:vAlign w:val="center"/>
          </w:tcPr>
          <w:p w14:paraId="43C1CAC1">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谢地恩</w:t>
            </w:r>
          </w:p>
        </w:tc>
        <w:tc>
          <w:tcPr>
            <w:tcW w:w="1585" w:type="dxa"/>
            <w:shd w:val="clear" w:color="auto" w:fill="auto"/>
            <w:vAlign w:val="center"/>
          </w:tcPr>
          <w:p w14:paraId="530FF374">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信贷副行长</w:t>
            </w:r>
          </w:p>
        </w:tc>
        <w:tc>
          <w:tcPr>
            <w:tcW w:w="1565" w:type="dxa"/>
            <w:shd w:val="clear" w:color="auto" w:fill="auto"/>
            <w:vAlign w:val="center"/>
          </w:tcPr>
          <w:p w14:paraId="64C75E3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18007840168</w:t>
            </w:r>
          </w:p>
        </w:tc>
        <w:tc>
          <w:tcPr>
            <w:tcW w:w="2574" w:type="dxa"/>
            <w:shd w:val="clear" w:color="auto" w:fill="auto"/>
            <w:vAlign w:val="center"/>
          </w:tcPr>
          <w:p w14:paraId="7732DF1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贺州市八步区八达西路652-1号</w:t>
            </w:r>
          </w:p>
        </w:tc>
      </w:tr>
      <w:tr w14:paraId="4EA6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5" w:type="dxa"/>
            <w:shd w:val="clear" w:color="auto" w:fill="auto"/>
            <w:vAlign w:val="center"/>
          </w:tcPr>
          <w:p w14:paraId="738EBA89">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4</w:t>
            </w:r>
          </w:p>
        </w:tc>
        <w:tc>
          <w:tcPr>
            <w:tcW w:w="1838" w:type="dxa"/>
            <w:shd w:val="clear" w:color="auto" w:fill="auto"/>
            <w:vAlign w:val="center"/>
          </w:tcPr>
          <w:p w14:paraId="6CA3B288">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广西贺州桂东农村合作银行平桂支行</w:t>
            </w:r>
          </w:p>
        </w:tc>
        <w:tc>
          <w:tcPr>
            <w:tcW w:w="994" w:type="dxa"/>
            <w:shd w:val="clear" w:color="auto" w:fill="auto"/>
            <w:vAlign w:val="center"/>
          </w:tcPr>
          <w:p w14:paraId="3014E30D">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古  睿</w:t>
            </w:r>
          </w:p>
        </w:tc>
        <w:tc>
          <w:tcPr>
            <w:tcW w:w="1585" w:type="dxa"/>
            <w:shd w:val="clear" w:color="auto" w:fill="auto"/>
            <w:vAlign w:val="center"/>
          </w:tcPr>
          <w:p w14:paraId="0BC1B67C">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信贷副行长</w:t>
            </w:r>
          </w:p>
        </w:tc>
        <w:tc>
          <w:tcPr>
            <w:tcW w:w="1565" w:type="dxa"/>
            <w:shd w:val="clear" w:color="auto" w:fill="auto"/>
            <w:vAlign w:val="center"/>
          </w:tcPr>
          <w:p w14:paraId="56722F86">
            <w:pPr>
              <w:keepNext w:val="0"/>
              <w:keepLines w:val="0"/>
              <w:widowControl/>
              <w:suppressLineNumbers w:val="0"/>
              <w:spacing w:before="0" w:beforeAutospacing="0" w:after="0" w:afterAutospacing="0"/>
              <w:ind w:left="0" w:right="0"/>
              <w:jc w:val="center"/>
              <w:textAlignment w:val="center"/>
              <w:rPr>
                <w:rFonts w:hint="default" w:hAnsi="宋体"/>
                <w:color w:val="auto"/>
                <w:lang w:bidi="ar"/>
              </w:rPr>
            </w:pPr>
            <w:r>
              <w:rPr>
                <w:rFonts w:hint="eastAsia" w:hAnsi="宋体"/>
                <w:color w:val="auto"/>
                <w:lang w:bidi="ar"/>
              </w:rPr>
              <w:t>18007840375</w:t>
            </w:r>
          </w:p>
        </w:tc>
        <w:tc>
          <w:tcPr>
            <w:tcW w:w="2574" w:type="dxa"/>
            <w:shd w:val="clear" w:color="auto" w:fill="auto"/>
            <w:vAlign w:val="center"/>
          </w:tcPr>
          <w:p w14:paraId="4F2F6F77">
            <w:pPr>
              <w:keepNext w:val="0"/>
              <w:keepLines w:val="0"/>
              <w:widowControl/>
              <w:suppressLineNumbers w:val="0"/>
              <w:spacing w:before="0" w:beforeAutospacing="0" w:after="0" w:afterAutospacing="0"/>
              <w:ind w:left="0" w:right="0"/>
              <w:jc w:val="left"/>
              <w:textAlignment w:val="center"/>
              <w:rPr>
                <w:rFonts w:hint="default" w:hAnsi="宋体"/>
                <w:color w:val="auto"/>
                <w:lang w:bidi="ar"/>
              </w:rPr>
            </w:pPr>
            <w:r>
              <w:rPr>
                <w:rFonts w:hint="eastAsia" w:hAnsi="宋体"/>
                <w:color w:val="auto"/>
                <w:lang w:bidi="ar"/>
              </w:rPr>
              <w:t>贺州市平桂区平桂大道财政局一楼</w:t>
            </w:r>
          </w:p>
        </w:tc>
      </w:tr>
    </w:tbl>
    <w:p w14:paraId="1753CCBC">
      <w:pPr>
        <w:spacing w:line="360" w:lineRule="auto"/>
        <w:rPr>
          <w:rFonts w:hAnsi="宋体"/>
          <w:color w:val="auto"/>
          <w:kern w:val="2"/>
          <w:szCs w:val="24"/>
        </w:rPr>
      </w:pPr>
    </w:p>
    <w:p w14:paraId="77145412">
      <w:pPr>
        <w:widowControl/>
        <w:jc w:val="left"/>
        <w:rPr>
          <w:rFonts w:hAnsi="宋体"/>
          <w:color w:val="auto"/>
          <w:kern w:val="2"/>
          <w:szCs w:val="24"/>
        </w:rPr>
      </w:pPr>
      <w:r>
        <w:rPr>
          <w:rFonts w:hAnsi="宋体"/>
          <w:color w:val="auto"/>
          <w:kern w:val="2"/>
          <w:szCs w:val="24"/>
        </w:rPr>
        <w:br w:type="page"/>
      </w:r>
    </w:p>
    <w:p w14:paraId="232C8126">
      <w:pPr>
        <w:pStyle w:val="2"/>
        <w:jc w:val="center"/>
        <w:rPr>
          <w:rFonts w:ascii="宋体" w:hAnsi="宋体" w:eastAsia="宋体"/>
          <w:color w:val="auto"/>
          <w:kern w:val="0"/>
        </w:rPr>
      </w:pPr>
      <w:bookmarkStart w:id="40" w:name="_Toc21176"/>
      <w:r>
        <w:rPr>
          <w:rFonts w:hint="eastAsia" w:ascii="宋体" w:hAnsi="宋体" w:eastAsia="宋体" w:cs="宋体"/>
          <w:color w:val="auto"/>
          <w:kern w:val="0"/>
        </w:rPr>
        <w:t>第三章</w:t>
      </w:r>
      <w:r>
        <w:rPr>
          <w:rFonts w:ascii="宋体" w:hAnsi="宋体" w:eastAsia="宋体" w:cs="宋体"/>
          <w:color w:val="auto"/>
          <w:kern w:val="0"/>
        </w:rPr>
        <w:t xml:space="preserve">  </w:t>
      </w:r>
      <w:r>
        <w:rPr>
          <w:rFonts w:hint="eastAsia" w:ascii="宋体" w:hAnsi="宋体" w:eastAsia="宋体" w:cs="宋体"/>
          <w:color w:val="auto"/>
          <w:kern w:val="0"/>
        </w:rPr>
        <w:t>评标办法</w:t>
      </w:r>
      <w:bookmarkEnd w:id="6"/>
      <w:bookmarkEnd w:id="7"/>
      <w:bookmarkEnd w:id="40"/>
    </w:p>
    <w:p w14:paraId="6C619D08">
      <w:pPr>
        <w:pStyle w:val="3"/>
        <w:rPr>
          <w:color w:val="auto"/>
        </w:rPr>
      </w:pPr>
      <w:bookmarkStart w:id="41" w:name="_Toc61961171"/>
      <w:bookmarkStart w:id="42" w:name="_Toc10142"/>
      <w:bookmarkStart w:id="43" w:name="_Toc533783521"/>
      <w:bookmarkStart w:id="44" w:name="_Toc533781569"/>
      <w:bookmarkStart w:id="45" w:name="_Toc533783522"/>
      <w:bookmarkStart w:id="46" w:name="_Toc533781570"/>
      <w:r>
        <w:rPr>
          <w:rFonts w:hint="eastAsia"/>
          <w:color w:val="auto"/>
        </w:rPr>
        <w:t>评标办法前附表</w:t>
      </w:r>
      <w:bookmarkEnd w:id="41"/>
      <w:bookmarkEnd w:id="42"/>
    </w:p>
    <w:tbl>
      <w:tblPr>
        <w:tblStyle w:val="48"/>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98"/>
        <w:gridCol w:w="996"/>
        <w:gridCol w:w="624"/>
        <w:gridCol w:w="1746"/>
        <w:gridCol w:w="5856"/>
      </w:tblGrid>
      <w:tr w14:paraId="2027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9" w:type="dxa"/>
            <w:shd w:val="clear" w:color="auto" w:fill="E7E6E6"/>
            <w:vAlign w:val="center"/>
          </w:tcPr>
          <w:p w14:paraId="6B3D4853">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条款号</w:t>
            </w:r>
          </w:p>
        </w:tc>
        <w:tc>
          <w:tcPr>
            <w:tcW w:w="3764" w:type="dxa"/>
            <w:gridSpan w:val="4"/>
            <w:shd w:val="clear" w:color="auto" w:fill="E7E6E6"/>
            <w:vAlign w:val="center"/>
          </w:tcPr>
          <w:p w14:paraId="759BC14D">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评审因素</w:t>
            </w:r>
          </w:p>
        </w:tc>
        <w:tc>
          <w:tcPr>
            <w:tcW w:w="5856" w:type="dxa"/>
            <w:shd w:val="clear" w:color="auto" w:fill="E7E6E6"/>
            <w:vAlign w:val="center"/>
          </w:tcPr>
          <w:p w14:paraId="37CCC7FB">
            <w:pPr>
              <w:keepNext w:val="0"/>
              <w:keepLines w:val="0"/>
              <w:suppressLineNumbers w:val="0"/>
              <w:spacing w:before="120" w:beforeLines="50" w:beforeAutospacing="0" w:after="0" w:afterAutospacing="0" w:line="380" w:lineRule="exact"/>
              <w:ind w:left="0" w:right="0"/>
              <w:rPr>
                <w:rFonts w:hint="default"/>
                <w:color w:val="auto"/>
              </w:rPr>
            </w:pPr>
            <w:r>
              <w:rPr>
                <w:rFonts w:hint="eastAsia"/>
                <w:color w:val="auto"/>
              </w:rPr>
              <w:t>评审标准</w:t>
            </w:r>
          </w:p>
        </w:tc>
      </w:tr>
      <w:tr w14:paraId="225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49" w:type="dxa"/>
            <w:gridSpan w:val="6"/>
            <w:shd w:val="clear" w:color="auto" w:fill="FFFFFF"/>
            <w:vAlign w:val="center"/>
          </w:tcPr>
          <w:p w14:paraId="61C69F8E">
            <w:pPr>
              <w:keepNext w:val="0"/>
              <w:keepLines w:val="0"/>
              <w:suppressLineNumbers w:val="0"/>
              <w:spacing w:before="120" w:beforeLines="50" w:beforeAutospacing="0" w:after="0" w:afterAutospacing="0" w:line="360" w:lineRule="auto"/>
              <w:ind w:left="0" w:right="0"/>
              <w:rPr>
                <w:rFonts w:hint="default"/>
                <w:b/>
                <w:color w:val="auto"/>
              </w:rPr>
            </w:pPr>
            <w:r>
              <w:rPr>
                <w:rFonts w:hint="default"/>
                <w:b/>
                <w:color w:val="auto"/>
              </w:rPr>
              <w:t>2.1</w:t>
            </w:r>
            <w:r>
              <w:rPr>
                <w:rFonts w:hint="eastAsia"/>
                <w:b/>
                <w:color w:val="auto"/>
              </w:rPr>
              <w:t>初步评审</w:t>
            </w:r>
          </w:p>
        </w:tc>
      </w:tr>
      <w:tr w14:paraId="3B3F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restart"/>
            <w:vAlign w:val="center"/>
          </w:tcPr>
          <w:p w14:paraId="4371E5FB">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2.1.1</w:t>
            </w:r>
          </w:p>
        </w:tc>
        <w:tc>
          <w:tcPr>
            <w:tcW w:w="1394" w:type="dxa"/>
            <w:gridSpan w:val="2"/>
            <w:vMerge w:val="restart"/>
            <w:vAlign w:val="center"/>
          </w:tcPr>
          <w:p w14:paraId="42DE4505">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资格审查</w:t>
            </w:r>
          </w:p>
        </w:tc>
        <w:tc>
          <w:tcPr>
            <w:tcW w:w="8226" w:type="dxa"/>
            <w:gridSpan w:val="3"/>
            <w:vAlign w:val="center"/>
          </w:tcPr>
          <w:p w14:paraId="71759652">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合格标准：缺少任何一项或有任何一项不合格者，其资格审查视为不合格</w:t>
            </w:r>
          </w:p>
        </w:tc>
      </w:tr>
      <w:tr w14:paraId="0A22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9E5DBD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0CAC035C">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restart"/>
            <w:vAlign w:val="center"/>
          </w:tcPr>
          <w:p w14:paraId="6F91C467">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基本资质</w:t>
            </w:r>
          </w:p>
        </w:tc>
        <w:tc>
          <w:tcPr>
            <w:tcW w:w="1746" w:type="dxa"/>
            <w:vAlign w:val="center"/>
          </w:tcPr>
          <w:p w14:paraId="44518EA4">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身份证明</w:t>
            </w:r>
          </w:p>
          <w:p w14:paraId="6AA12FB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文件</w:t>
            </w:r>
          </w:p>
        </w:tc>
        <w:tc>
          <w:tcPr>
            <w:tcW w:w="5856" w:type="dxa"/>
            <w:vAlign w:val="center"/>
          </w:tcPr>
          <w:p w14:paraId="4CEDAE6A">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具有有效的法定代表人（负责人）身份证明扫描件、法定代表人（负责人）授权委托书扫描件（委托代理人签署响应文件）</w:t>
            </w:r>
          </w:p>
        </w:tc>
      </w:tr>
      <w:tr w14:paraId="3F0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0096615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04E4801D">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6218798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32CB3B89">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政府采购供应商信用承诺函</w:t>
            </w:r>
          </w:p>
        </w:tc>
        <w:tc>
          <w:tcPr>
            <w:tcW w:w="5856" w:type="dxa"/>
            <w:vAlign w:val="center"/>
          </w:tcPr>
          <w:p w14:paraId="4E4D0145">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3.1.1项规定</w:t>
            </w:r>
          </w:p>
        </w:tc>
      </w:tr>
      <w:tr w14:paraId="456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636A79B4">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7B7A7BE">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7F598F2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11612D5C">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诚信要求</w:t>
            </w:r>
          </w:p>
        </w:tc>
        <w:tc>
          <w:tcPr>
            <w:tcW w:w="5856" w:type="dxa"/>
            <w:vAlign w:val="center"/>
          </w:tcPr>
          <w:p w14:paraId="64E3E3F4">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11.4</w:t>
            </w:r>
            <w:r>
              <w:rPr>
                <w:rFonts w:hint="eastAsia"/>
                <w:color w:val="auto"/>
              </w:rPr>
              <w:t>款规定</w:t>
            </w:r>
          </w:p>
        </w:tc>
      </w:tr>
      <w:tr w14:paraId="353C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2182E0A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127C9B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635464E8">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77A854C2">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磋商保证金</w:t>
            </w:r>
          </w:p>
        </w:tc>
        <w:tc>
          <w:tcPr>
            <w:tcW w:w="5856" w:type="dxa"/>
            <w:vAlign w:val="center"/>
          </w:tcPr>
          <w:p w14:paraId="33923002">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3.4.1</w:t>
            </w:r>
            <w:r>
              <w:rPr>
                <w:rFonts w:hint="eastAsia"/>
                <w:color w:val="auto"/>
              </w:rPr>
              <w:t>项规定</w:t>
            </w:r>
          </w:p>
        </w:tc>
      </w:tr>
      <w:tr w14:paraId="5E3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30140AE7">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B40E6E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0CD96091">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1D18DB03">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其他要求</w:t>
            </w:r>
          </w:p>
        </w:tc>
        <w:tc>
          <w:tcPr>
            <w:tcW w:w="5856" w:type="dxa"/>
            <w:vAlign w:val="center"/>
          </w:tcPr>
          <w:p w14:paraId="1F01E4E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3.1.5</w:t>
            </w:r>
            <w:r>
              <w:rPr>
                <w:rFonts w:hint="eastAsia"/>
                <w:color w:val="auto"/>
              </w:rPr>
              <w:t>项规定</w:t>
            </w:r>
          </w:p>
        </w:tc>
      </w:tr>
      <w:tr w14:paraId="6B38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6CAD286C">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06065733">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Align w:val="center"/>
          </w:tcPr>
          <w:p w14:paraId="52AE12C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特定资质条件</w:t>
            </w:r>
          </w:p>
        </w:tc>
        <w:tc>
          <w:tcPr>
            <w:tcW w:w="1746" w:type="dxa"/>
            <w:shd w:val="clear" w:color="auto" w:fill="auto"/>
            <w:vAlign w:val="center"/>
          </w:tcPr>
          <w:p w14:paraId="00A2282C">
            <w:pPr>
              <w:keepNext w:val="0"/>
              <w:keepLines w:val="0"/>
              <w:suppressLineNumbers w:val="0"/>
              <w:spacing w:before="120" w:beforeLines="50" w:beforeAutospacing="0" w:after="0" w:afterAutospacing="0" w:line="360" w:lineRule="exact"/>
              <w:ind w:left="0" w:leftChars="0" w:right="0" w:rightChars="0"/>
              <w:jc w:val="center"/>
              <w:rPr>
                <w:rFonts w:hint="eastAsia" w:ascii="宋体" w:hAnsi="Times New Roman" w:eastAsia="宋体" w:cs="宋体"/>
                <w:color w:val="auto"/>
                <w:sz w:val="21"/>
                <w:szCs w:val="21"/>
                <w:lang w:val="en-US" w:eastAsia="zh-CN" w:bidi="ar-SA"/>
              </w:rPr>
            </w:pPr>
            <w:r>
              <w:rPr>
                <w:rFonts w:hint="eastAsia"/>
                <w:color w:val="auto"/>
              </w:rPr>
              <w:t>资质条件</w:t>
            </w:r>
          </w:p>
        </w:tc>
        <w:tc>
          <w:tcPr>
            <w:tcW w:w="5856" w:type="dxa"/>
            <w:shd w:val="clear" w:color="auto" w:fill="auto"/>
            <w:vAlign w:val="center"/>
          </w:tcPr>
          <w:p w14:paraId="289F1B52">
            <w:pPr>
              <w:keepNext w:val="0"/>
              <w:keepLines w:val="0"/>
              <w:suppressLineNumbers w:val="0"/>
              <w:spacing w:before="120" w:beforeLines="50" w:beforeAutospacing="0" w:after="0" w:afterAutospacing="0" w:line="360" w:lineRule="exact"/>
              <w:ind w:left="0" w:leftChars="0" w:right="0" w:rightChars="0"/>
              <w:rPr>
                <w:rFonts w:hint="eastAsia" w:ascii="宋体" w:hAnsi="Times New Roman" w:eastAsia="宋体" w:cs="宋体"/>
                <w:color w:val="auto"/>
                <w:sz w:val="21"/>
                <w:szCs w:val="21"/>
                <w:lang w:val="en-US" w:eastAsia="zh-CN" w:bidi="ar-SA"/>
              </w:rPr>
            </w:pPr>
            <w:r>
              <w:rPr>
                <w:rFonts w:hint="eastAsia"/>
                <w:color w:val="auto"/>
              </w:rPr>
              <w:t>符合第二章“供应商须知”第</w:t>
            </w:r>
            <w:r>
              <w:rPr>
                <w:rFonts w:hint="default"/>
                <w:color w:val="auto"/>
              </w:rPr>
              <w:t>1.3.1</w:t>
            </w:r>
            <w:r>
              <w:rPr>
                <w:rFonts w:hint="eastAsia"/>
                <w:color w:val="auto"/>
              </w:rPr>
              <w:t>项规定</w:t>
            </w:r>
          </w:p>
        </w:tc>
      </w:tr>
      <w:tr w14:paraId="28B6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9" w:type="dxa"/>
            <w:vMerge w:val="continue"/>
            <w:vAlign w:val="center"/>
          </w:tcPr>
          <w:p w14:paraId="1A81C189">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37F340B2">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restart"/>
            <w:vAlign w:val="center"/>
          </w:tcPr>
          <w:p w14:paraId="050D437A">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hAnsi="宋体"/>
                <w:color w:val="auto"/>
                <w:highlight w:val="none"/>
                <w:lang w:bidi="ar"/>
              </w:rPr>
              <w:t>采购政策</w:t>
            </w:r>
          </w:p>
        </w:tc>
        <w:tc>
          <w:tcPr>
            <w:tcW w:w="1746" w:type="dxa"/>
            <w:vAlign w:val="center"/>
          </w:tcPr>
          <w:p w14:paraId="1EC48C4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rPr>
            </w:pPr>
            <w:r>
              <w:rPr>
                <w:rFonts w:hint="eastAsia" w:ascii="宋体" w:hAnsi="宋体" w:eastAsia="宋体" w:cs="宋体"/>
                <w:color w:val="auto"/>
                <w:kern w:val="2"/>
                <w:sz w:val="21"/>
                <w:szCs w:val="24"/>
                <w:highlight w:val="none"/>
                <w:lang w:val="en-US" w:eastAsia="zh-CN" w:bidi="ar"/>
              </w:rPr>
              <w:t>中小微企业</w:t>
            </w:r>
          </w:p>
        </w:tc>
        <w:tc>
          <w:tcPr>
            <w:tcW w:w="5856" w:type="dxa"/>
            <w:vAlign w:val="center"/>
          </w:tcPr>
          <w:p w14:paraId="65A01956">
            <w:pPr>
              <w:keepNext w:val="0"/>
              <w:keepLines w:val="0"/>
              <w:suppressLineNumbers w:val="0"/>
              <w:spacing w:before="120" w:beforeLines="50" w:beforeAutospacing="0" w:after="0" w:afterAutospacing="0" w:line="360" w:lineRule="exact"/>
              <w:ind w:left="0" w:leftChars="0" w:right="0" w:rightChars="0"/>
              <w:rPr>
                <w:rFonts w:hint="eastAsia"/>
                <w:color w:val="auto"/>
              </w:rPr>
            </w:pPr>
            <w:r>
              <w:rPr>
                <w:rFonts w:hint="eastAsia"/>
                <w:color w:val="auto"/>
                <w:highlight w:val="none"/>
              </w:rPr>
              <w:t>符合第二章“供应商须知”第11.1.4项规定</w:t>
            </w:r>
          </w:p>
        </w:tc>
      </w:tr>
      <w:tr w14:paraId="5FA8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240E9011">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2D8101C8">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12E98592">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276AA98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ascii="Times New Roman" w:hAnsi="宋体" w:cs="Arial"/>
                <w:color w:val="auto"/>
                <w:kern w:val="2"/>
                <w:highlight w:val="none"/>
                <w:lang w:bidi="ar"/>
              </w:rPr>
            </w:pPr>
            <w:r>
              <w:rPr>
                <w:rFonts w:hint="eastAsia" w:ascii="Times New Roman" w:hAnsi="宋体" w:cs="Arial"/>
                <w:color w:val="auto"/>
                <w:kern w:val="2"/>
                <w:highlight w:val="none"/>
                <w:lang w:bidi="ar"/>
              </w:rPr>
              <w:t>监狱企业</w:t>
            </w:r>
          </w:p>
          <w:p w14:paraId="218BAA3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rPr>
            </w:pPr>
            <w:r>
              <w:rPr>
                <w:rFonts w:hint="eastAsia" w:ascii="Times New Roman" w:hAnsi="宋体" w:cs="Arial"/>
                <w:color w:val="auto"/>
                <w:kern w:val="2"/>
                <w:highlight w:val="none"/>
                <w:lang w:bidi="ar"/>
              </w:rPr>
              <w:t>（如是）</w:t>
            </w:r>
          </w:p>
        </w:tc>
        <w:tc>
          <w:tcPr>
            <w:tcW w:w="5856" w:type="dxa"/>
            <w:vAlign w:val="center"/>
          </w:tcPr>
          <w:p w14:paraId="34AFA54B">
            <w:pPr>
              <w:keepNext w:val="0"/>
              <w:keepLines w:val="0"/>
              <w:suppressLineNumbers w:val="0"/>
              <w:spacing w:before="120" w:beforeLines="50" w:beforeAutospacing="0" w:after="0" w:afterAutospacing="0" w:line="360" w:lineRule="exact"/>
              <w:ind w:left="0" w:leftChars="0" w:right="0" w:rightChars="0"/>
              <w:rPr>
                <w:rFonts w:hint="eastAsia"/>
                <w:color w:val="auto"/>
              </w:rPr>
            </w:pPr>
            <w:r>
              <w:rPr>
                <w:rFonts w:hint="eastAsia"/>
                <w:color w:val="auto"/>
                <w:highlight w:val="none"/>
              </w:rPr>
              <w:t>监狱企业视同小型、微型企业享受相关中小企业扶持政策；如是，应符合第二章“供应商须知”第11.1.6项规定</w:t>
            </w:r>
          </w:p>
        </w:tc>
      </w:tr>
      <w:tr w14:paraId="4C0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9" w:type="dxa"/>
            <w:vMerge w:val="continue"/>
            <w:vAlign w:val="center"/>
          </w:tcPr>
          <w:p w14:paraId="49B3FCEF">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16DBEF1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624" w:type="dxa"/>
            <w:vMerge w:val="continue"/>
            <w:vAlign w:val="center"/>
          </w:tcPr>
          <w:p w14:paraId="62F95FDB">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7505C32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default"/>
                <w:color w:val="auto"/>
              </w:rPr>
            </w:pPr>
            <w:r>
              <w:rPr>
                <w:rFonts w:hint="eastAsia" w:ascii="Times New Roman" w:hAnsi="宋体" w:cs="Arial"/>
                <w:color w:val="auto"/>
                <w:kern w:val="2"/>
                <w:highlight w:val="none"/>
                <w:lang w:bidi="ar"/>
              </w:rPr>
              <w:t>残疾人福利企业（如是）</w:t>
            </w:r>
          </w:p>
        </w:tc>
        <w:tc>
          <w:tcPr>
            <w:tcW w:w="5856" w:type="dxa"/>
            <w:vAlign w:val="center"/>
          </w:tcPr>
          <w:p w14:paraId="66AAC1E6">
            <w:pPr>
              <w:keepNext w:val="0"/>
              <w:keepLines w:val="0"/>
              <w:suppressLineNumbers w:val="0"/>
              <w:spacing w:before="120" w:beforeLines="50" w:beforeAutospacing="0" w:after="0" w:afterAutospacing="0" w:line="360" w:lineRule="exact"/>
              <w:ind w:left="0" w:leftChars="0" w:right="0" w:rightChars="0"/>
              <w:rPr>
                <w:rFonts w:hint="default"/>
                <w:color w:val="auto"/>
              </w:rPr>
            </w:pPr>
            <w:r>
              <w:rPr>
                <w:rFonts w:hint="eastAsia"/>
                <w:color w:val="auto"/>
                <w:highlight w:val="none"/>
              </w:rPr>
              <w:t>残疾人福利企业视同小型、微型企业享受相关中小企业扶持政策；如是，应符合第二章“供应商须知”第11.1.5项规定</w:t>
            </w:r>
          </w:p>
        </w:tc>
      </w:tr>
      <w:tr w14:paraId="3AAE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9" w:type="dxa"/>
            <w:vMerge w:val="restart"/>
            <w:vAlign w:val="center"/>
          </w:tcPr>
          <w:p w14:paraId="7166DF37">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2.1.2</w:t>
            </w:r>
          </w:p>
        </w:tc>
        <w:tc>
          <w:tcPr>
            <w:tcW w:w="1394" w:type="dxa"/>
            <w:gridSpan w:val="2"/>
            <w:vMerge w:val="restart"/>
            <w:vAlign w:val="center"/>
          </w:tcPr>
          <w:p w14:paraId="5BA5E6E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符合性</w:t>
            </w:r>
          </w:p>
          <w:p w14:paraId="7A98817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审查</w:t>
            </w:r>
          </w:p>
        </w:tc>
        <w:tc>
          <w:tcPr>
            <w:tcW w:w="8226" w:type="dxa"/>
            <w:gridSpan w:val="3"/>
            <w:vAlign w:val="center"/>
          </w:tcPr>
          <w:p w14:paraId="4749118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合格标准：缺少任何一项或有任何一项不合格者，其符合性审查视为不合格</w:t>
            </w:r>
          </w:p>
        </w:tc>
      </w:tr>
      <w:tr w14:paraId="516C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141D657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648EBEF3">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restart"/>
            <w:vAlign w:val="center"/>
          </w:tcPr>
          <w:p w14:paraId="48A8A81C">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商务资信</w:t>
            </w:r>
          </w:p>
        </w:tc>
        <w:tc>
          <w:tcPr>
            <w:tcW w:w="1746" w:type="dxa"/>
            <w:vAlign w:val="center"/>
          </w:tcPr>
          <w:p w14:paraId="4FD799D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供应商名称</w:t>
            </w:r>
          </w:p>
        </w:tc>
        <w:tc>
          <w:tcPr>
            <w:tcW w:w="5856" w:type="dxa"/>
            <w:vAlign w:val="center"/>
          </w:tcPr>
          <w:p w14:paraId="24C1B209">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与供应商盖的公章一致</w:t>
            </w:r>
          </w:p>
        </w:tc>
      </w:tr>
      <w:tr w14:paraId="724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6A2E6A6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6D01341">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6500B70F">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24590F55">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签字盖章</w:t>
            </w:r>
          </w:p>
        </w:tc>
        <w:tc>
          <w:tcPr>
            <w:tcW w:w="5856" w:type="dxa"/>
            <w:vAlign w:val="center"/>
          </w:tcPr>
          <w:p w14:paraId="3403B0D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3.5.3</w:t>
            </w:r>
            <w:r>
              <w:rPr>
                <w:rFonts w:hint="eastAsia"/>
                <w:color w:val="auto"/>
              </w:rPr>
              <w:t>项规定</w:t>
            </w:r>
          </w:p>
        </w:tc>
      </w:tr>
      <w:tr w14:paraId="3B9E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7EBE156">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2022EDC1">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630F1F3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6EEA452E">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响应文件格式</w:t>
            </w:r>
          </w:p>
        </w:tc>
        <w:tc>
          <w:tcPr>
            <w:tcW w:w="5856" w:type="dxa"/>
            <w:vAlign w:val="center"/>
          </w:tcPr>
          <w:p w14:paraId="76C77C5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符合第六章“响应文件格式”的要求</w:t>
            </w:r>
          </w:p>
        </w:tc>
      </w:tr>
      <w:tr w14:paraId="368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9" w:type="dxa"/>
            <w:vMerge w:val="continue"/>
            <w:vAlign w:val="center"/>
          </w:tcPr>
          <w:p w14:paraId="7C1CFB63">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569F2FF2">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2BEC7685">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470396A0">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竞标内容</w:t>
            </w:r>
          </w:p>
        </w:tc>
        <w:tc>
          <w:tcPr>
            <w:tcW w:w="5856" w:type="dxa"/>
            <w:vAlign w:val="center"/>
          </w:tcPr>
          <w:p w14:paraId="3835D96E">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1.1.5</w:t>
            </w:r>
            <w:r>
              <w:rPr>
                <w:rFonts w:hint="eastAsia"/>
                <w:color w:val="auto"/>
              </w:rPr>
              <w:t>项规定</w:t>
            </w:r>
          </w:p>
        </w:tc>
      </w:tr>
      <w:tr w14:paraId="449F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595A74B5">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45C960F">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17561531">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480F9B5F">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hAnsi="宋体"/>
                <w:bCs/>
                <w:color w:val="auto"/>
                <w:kern w:val="2"/>
                <w:szCs w:val="24"/>
                <w:lang w:bidi="ar"/>
              </w:rPr>
              <w:t>合同履行期限</w:t>
            </w:r>
          </w:p>
        </w:tc>
        <w:tc>
          <w:tcPr>
            <w:tcW w:w="5856" w:type="dxa"/>
            <w:vAlign w:val="center"/>
          </w:tcPr>
          <w:p w14:paraId="01985092">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1.1.5</w:t>
            </w:r>
            <w:r>
              <w:rPr>
                <w:rFonts w:hint="eastAsia"/>
                <w:color w:val="auto"/>
              </w:rPr>
              <w:t>项规定</w:t>
            </w:r>
          </w:p>
        </w:tc>
      </w:tr>
      <w:tr w14:paraId="781E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BF93B75">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4171EEBF">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52CBDDE0">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5D4B5C56">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磋商有效期</w:t>
            </w:r>
          </w:p>
        </w:tc>
        <w:tc>
          <w:tcPr>
            <w:tcW w:w="5856" w:type="dxa"/>
            <w:vAlign w:val="center"/>
          </w:tcPr>
          <w:p w14:paraId="60C8508B">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符合第二章“供应商须知”第</w:t>
            </w:r>
            <w:r>
              <w:rPr>
                <w:rFonts w:hint="default"/>
                <w:color w:val="auto"/>
              </w:rPr>
              <w:t>3.3.1</w:t>
            </w:r>
            <w:r>
              <w:rPr>
                <w:rFonts w:hint="eastAsia"/>
                <w:color w:val="auto"/>
              </w:rPr>
              <w:t>项规定</w:t>
            </w:r>
          </w:p>
        </w:tc>
      </w:tr>
      <w:tr w14:paraId="030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BB304C9">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65C48F31">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6A77FB88">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610B3F83">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权利义务</w:t>
            </w:r>
          </w:p>
        </w:tc>
        <w:tc>
          <w:tcPr>
            <w:tcW w:w="5856" w:type="dxa"/>
            <w:vAlign w:val="center"/>
          </w:tcPr>
          <w:p w14:paraId="0E47E3E7">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竞标函附录中的相关承诺符合或优于第四章“合同条款及格式”的相关规定</w:t>
            </w:r>
          </w:p>
        </w:tc>
      </w:tr>
      <w:tr w14:paraId="53B4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5C566201">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7DABC1D4">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Merge w:val="continue"/>
            <w:vAlign w:val="center"/>
          </w:tcPr>
          <w:p w14:paraId="352B775A">
            <w:pPr>
              <w:keepNext w:val="0"/>
              <w:keepLines w:val="0"/>
              <w:suppressLineNumbers w:val="0"/>
              <w:spacing w:before="120" w:beforeLines="50" w:beforeAutospacing="0" w:after="0" w:afterAutospacing="0" w:line="360" w:lineRule="auto"/>
              <w:ind w:left="0" w:right="0"/>
              <w:jc w:val="center"/>
              <w:rPr>
                <w:rFonts w:hint="default"/>
                <w:color w:val="auto"/>
              </w:rPr>
            </w:pPr>
          </w:p>
        </w:tc>
        <w:tc>
          <w:tcPr>
            <w:tcW w:w="1746" w:type="dxa"/>
            <w:vAlign w:val="center"/>
          </w:tcPr>
          <w:p w14:paraId="7333009F">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项目需求</w:t>
            </w:r>
          </w:p>
        </w:tc>
        <w:tc>
          <w:tcPr>
            <w:tcW w:w="5856" w:type="dxa"/>
            <w:vAlign w:val="center"/>
          </w:tcPr>
          <w:p w14:paraId="11403866">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符合第七章“</w:t>
            </w:r>
            <w:r>
              <w:rPr>
                <w:rFonts w:hint="eastAsia" w:hAnsi="宋体"/>
                <w:color w:val="auto"/>
              </w:rPr>
              <w:t>项目需求和</w:t>
            </w:r>
            <w:r>
              <w:rPr>
                <w:rFonts w:hint="default" w:hAnsi="宋体"/>
                <w:color w:val="auto"/>
              </w:rPr>
              <w:t>说明</w:t>
            </w:r>
            <w:r>
              <w:rPr>
                <w:rFonts w:hint="eastAsia"/>
                <w:color w:val="auto"/>
              </w:rPr>
              <w:t>”的要求</w:t>
            </w:r>
          </w:p>
        </w:tc>
      </w:tr>
      <w:tr w14:paraId="0260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2D87ED50">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2DD0C3DD">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Align w:val="center"/>
          </w:tcPr>
          <w:p w14:paraId="76DA2842">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报价</w:t>
            </w:r>
          </w:p>
        </w:tc>
        <w:tc>
          <w:tcPr>
            <w:tcW w:w="1746" w:type="dxa"/>
            <w:vAlign w:val="center"/>
          </w:tcPr>
          <w:p w14:paraId="73CF2637">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default"/>
                <w:color w:val="auto"/>
              </w:rPr>
              <w:t>报价符合性</w:t>
            </w:r>
          </w:p>
        </w:tc>
        <w:tc>
          <w:tcPr>
            <w:tcW w:w="5856" w:type="dxa"/>
            <w:vAlign w:val="center"/>
          </w:tcPr>
          <w:p w14:paraId="152DA1D8">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只能有一个有效报价，且符合第二章“供应商须知”第</w:t>
            </w:r>
            <w:r>
              <w:rPr>
                <w:rFonts w:hint="default"/>
                <w:color w:val="auto"/>
              </w:rPr>
              <w:t>3.2.2</w:t>
            </w:r>
            <w:r>
              <w:rPr>
                <w:rFonts w:hint="eastAsia"/>
                <w:color w:val="auto"/>
              </w:rPr>
              <w:t>项、第</w:t>
            </w:r>
            <w:r>
              <w:rPr>
                <w:rFonts w:hint="default"/>
                <w:color w:val="auto"/>
              </w:rPr>
              <w:t>3.2.3</w:t>
            </w:r>
            <w:r>
              <w:rPr>
                <w:rFonts w:hint="eastAsia"/>
                <w:color w:val="auto"/>
              </w:rPr>
              <w:t>项规定</w:t>
            </w:r>
          </w:p>
        </w:tc>
      </w:tr>
      <w:tr w14:paraId="401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1E91BEE">
            <w:pPr>
              <w:keepNext w:val="0"/>
              <w:keepLines w:val="0"/>
              <w:suppressLineNumbers w:val="0"/>
              <w:spacing w:before="120" w:beforeLines="50" w:beforeAutospacing="0" w:after="0" w:afterAutospacing="0" w:line="360" w:lineRule="auto"/>
              <w:ind w:left="0" w:right="0"/>
              <w:rPr>
                <w:rFonts w:hint="default"/>
                <w:color w:val="auto"/>
              </w:rPr>
            </w:pPr>
          </w:p>
        </w:tc>
        <w:tc>
          <w:tcPr>
            <w:tcW w:w="1394" w:type="dxa"/>
            <w:gridSpan w:val="2"/>
            <w:vMerge w:val="continue"/>
            <w:vAlign w:val="center"/>
          </w:tcPr>
          <w:p w14:paraId="111F2E40">
            <w:pPr>
              <w:keepNext w:val="0"/>
              <w:keepLines w:val="0"/>
              <w:suppressLineNumbers w:val="0"/>
              <w:spacing w:before="120" w:beforeLines="50" w:beforeAutospacing="0" w:after="0" w:afterAutospacing="0" w:line="360" w:lineRule="auto"/>
              <w:ind w:left="0" w:right="0"/>
              <w:rPr>
                <w:rFonts w:hint="default"/>
                <w:color w:val="auto"/>
              </w:rPr>
            </w:pPr>
          </w:p>
        </w:tc>
        <w:tc>
          <w:tcPr>
            <w:tcW w:w="624" w:type="dxa"/>
            <w:vAlign w:val="center"/>
          </w:tcPr>
          <w:p w14:paraId="3021048E">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技术</w:t>
            </w:r>
          </w:p>
        </w:tc>
        <w:tc>
          <w:tcPr>
            <w:tcW w:w="1746" w:type="dxa"/>
            <w:vAlign w:val="center"/>
          </w:tcPr>
          <w:p w14:paraId="6F2F5A1C">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技术标准和</w:t>
            </w:r>
          </w:p>
          <w:p w14:paraId="2B1442B1">
            <w:pPr>
              <w:keepNext w:val="0"/>
              <w:keepLines w:val="0"/>
              <w:suppressLineNumbers w:val="0"/>
              <w:spacing w:before="120" w:beforeLines="50" w:beforeAutospacing="0" w:after="0" w:afterAutospacing="0" w:line="360" w:lineRule="exact"/>
              <w:ind w:left="0" w:right="0"/>
              <w:jc w:val="center"/>
              <w:rPr>
                <w:rFonts w:hint="default"/>
                <w:color w:val="auto"/>
              </w:rPr>
            </w:pPr>
            <w:r>
              <w:rPr>
                <w:rFonts w:hint="eastAsia"/>
                <w:color w:val="auto"/>
              </w:rPr>
              <w:t>要求</w:t>
            </w:r>
          </w:p>
        </w:tc>
        <w:tc>
          <w:tcPr>
            <w:tcW w:w="5856" w:type="dxa"/>
            <w:vAlign w:val="center"/>
          </w:tcPr>
          <w:p w14:paraId="54EC434C">
            <w:pPr>
              <w:keepNext w:val="0"/>
              <w:keepLines w:val="0"/>
              <w:suppressLineNumbers w:val="0"/>
              <w:spacing w:before="120" w:beforeLines="50" w:beforeAutospacing="0" w:after="0" w:afterAutospacing="0" w:line="360" w:lineRule="exact"/>
              <w:ind w:left="0" w:right="0"/>
              <w:rPr>
                <w:rFonts w:hint="default"/>
                <w:color w:val="auto"/>
              </w:rPr>
            </w:pPr>
            <w:r>
              <w:rPr>
                <w:rFonts w:hint="eastAsia"/>
                <w:color w:val="auto"/>
              </w:rPr>
              <w:t>符合第</w:t>
            </w:r>
            <w:r>
              <w:rPr>
                <w:rFonts w:hint="eastAsia" w:hAnsi="宋体"/>
                <w:color w:val="auto"/>
              </w:rPr>
              <w:t>五章“技术标准和要求”规定</w:t>
            </w:r>
          </w:p>
        </w:tc>
      </w:tr>
      <w:tr w14:paraId="34D7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49" w:type="dxa"/>
            <w:gridSpan w:val="6"/>
            <w:vAlign w:val="center"/>
          </w:tcPr>
          <w:p w14:paraId="7DCE37D5">
            <w:pPr>
              <w:keepNext w:val="0"/>
              <w:keepLines w:val="0"/>
              <w:suppressLineNumbers w:val="0"/>
              <w:spacing w:before="120" w:beforeLines="50" w:beforeAutospacing="0" w:after="0" w:afterAutospacing="0" w:line="360" w:lineRule="auto"/>
              <w:ind w:left="0" w:right="0"/>
              <w:rPr>
                <w:rFonts w:hint="default"/>
                <w:b/>
                <w:color w:val="auto"/>
              </w:rPr>
            </w:pPr>
            <w:r>
              <w:rPr>
                <w:rFonts w:hint="default"/>
                <w:b/>
                <w:color w:val="auto"/>
              </w:rPr>
              <w:t>2.2</w:t>
            </w:r>
            <w:r>
              <w:rPr>
                <w:rFonts w:hint="eastAsia"/>
                <w:b/>
                <w:color w:val="auto"/>
              </w:rPr>
              <w:t>综合评分</w:t>
            </w:r>
          </w:p>
        </w:tc>
      </w:tr>
      <w:tr w14:paraId="1A70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73B404F3">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2.2.1</w:t>
            </w:r>
          </w:p>
        </w:tc>
        <w:tc>
          <w:tcPr>
            <w:tcW w:w="1394" w:type="dxa"/>
            <w:gridSpan w:val="2"/>
            <w:vAlign w:val="center"/>
          </w:tcPr>
          <w:p w14:paraId="76F0AFFB">
            <w:pPr>
              <w:keepNext w:val="0"/>
              <w:keepLines w:val="0"/>
              <w:suppressLineNumbers w:val="0"/>
              <w:spacing w:before="120" w:beforeLines="50" w:beforeAutospacing="0" w:after="0" w:afterAutospacing="0" w:line="360" w:lineRule="auto"/>
              <w:ind w:left="0" w:right="0"/>
              <w:jc w:val="center"/>
              <w:rPr>
                <w:rFonts w:hint="default"/>
                <w:color w:val="auto"/>
              </w:rPr>
            </w:pPr>
            <w:r>
              <w:rPr>
                <w:rFonts w:hint="eastAsia"/>
                <w:color w:val="auto"/>
              </w:rPr>
              <w:t>分值构成（总分</w:t>
            </w:r>
            <w:r>
              <w:rPr>
                <w:rFonts w:hint="default"/>
                <w:color w:val="auto"/>
              </w:rPr>
              <w:t>100</w:t>
            </w:r>
            <w:r>
              <w:rPr>
                <w:rFonts w:hint="eastAsia"/>
                <w:color w:val="auto"/>
              </w:rPr>
              <w:t>分）</w:t>
            </w:r>
          </w:p>
        </w:tc>
        <w:tc>
          <w:tcPr>
            <w:tcW w:w="8226" w:type="dxa"/>
            <w:gridSpan w:val="3"/>
            <w:vAlign w:val="center"/>
          </w:tcPr>
          <w:p w14:paraId="55B027AE">
            <w:pPr>
              <w:keepNext w:val="0"/>
              <w:keepLines w:val="0"/>
              <w:pageBreakBefore w:val="0"/>
              <w:widowControl/>
              <w:suppressLineNumbers w:val="0"/>
              <w:kinsoku/>
              <w:wordWrap/>
              <w:overflowPunct/>
              <w:topLinePunct w:val="0"/>
              <w:autoSpaceDE/>
              <w:autoSpaceDN/>
              <w:bidi w:val="0"/>
              <w:adjustRightInd/>
              <w:snapToGrid/>
              <w:spacing w:before="120" w:beforeLines="50" w:beforeAutospacing="0" w:after="0" w:afterAutospacing="0" w:line="320" w:lineRule="exact"/>
              <w:ind w:left="0" w:right="0"/>
              <w:jc w:val="left"/>
              <w:textAlignment w:val="auto"/>
              <w:rPr>
                <w:rFonts w:hint="default"/>
                <w:color w:val="auto"/>
              </w:rPr>
            </w:pPr>
            <w:r>
              <w:rPr>
                <w:rFonts w:hint="eastAsia"/>
                <w:color w:val="auto"/>
              </w:rPr>
              <w:t>报价分：</w:t>
            </w:r>
            <w:r>
              <w:rPr>
                <w:rFonts w:hint="default"/>
                <w:color w:val="auto"/>
              </w:rPr>
              <w:t>1</w:t>
            </w:r>
            <w:r>
              <w:rPr>
                <w:rFonts w:hint="eastAsia"/>
                <w:color w:val="auto"/>
              </w:rPr>
              <w:t>0分</w:t>
            </w:r>
          </w:p>
          <w:p w14:paraId="4EE0B962">
            <w:pPr>
              <w:keepNext w:val="0"/>
              <w:keepLines w:val="0"/>
              <w:pageBreakBefore w:val="0"/>
              <w:widowControl/>
              <w:suppressLineNumbers w:val="0"/>
              <w:kinsoku/>
              <w:wordWrap/>
              <w:overflowPunct/>
              <w:topLinePunct w:val="0"/>
              <w:autoSpaceDE/>
              <w:autoSpaceDN/>
              <w:bidi w:val="0"/>
              <w:adjustRightInd/>
              <w:snapToGrid/>
              <w:spacing w:before="120" w:beforeLines="50" w:beforeAutospacing="0" w:after="0" w:afterAutospacing="0" w:line="320" w:lineRule="exact"/>
              <w:ind w:left="0" w:right="0"/>
              <w:jc w:val="left"/>
              <w:textAlignment w:val="auto"/>
              <w:rPr>
                <w:rFonts w:hint="default"/>
                <w:color w:val="auto"/>
              </w:rPr>
            </w:pPr>
            <w:r>
              <w:rPr>
                <w:rFonts w:hint="eastAsia"/>
                <w:color w:val="auto"/>
              </w:rPr>
              <w:t>商务</w:t>
            </w:r>
            <w:r>
              <w:rPr>
                <w:rFonts w:hint="default"/>
                <w:color w:val="auto"/>
              </w:rPr>
              <w:t>分：</w:t>
            </w:r>
            <w:r>
              <w:rPr>
                <w:rFonts w:hint="eastAsia"/>
                <w:color w:val="auto"/>
                <w:lang w:val="en-US" w:eastAsia="zh-CN"/>
              </w:rPr>
              <w:t>10</w:t>
            </w:r>
            <w:r>
              <w:rPr>
                <w:rFonts w:hint="eastAsia"/>
                <w:color w:val="auto"/>
              </w:rPr>
              <w:t>分</w:t>
            </w:r>
          </w:p>
          <w:p w14:paraId="117CB442">
            <w:pPr>
              <w:keepNext w:val="0"/>
              <w:keepLines w:val="0"/>
              <w:pageBreakBefore w:val="0"/>
              <w:widowControl/>
              <w:suppressLineNumbers w:val="0"/>
              <w:kinsoku/>
              <w:wordWrap/>
              <w:overflowPunct/>
              <w:topLinePunct w:val="0"/>
              <w:autoSpaceDE/>
              <w:autoSpaceDN/>
              <w:bidi w:val="0"/>
              <w:adjustRightInd/>
              <w:snapToGrid/>
              <w:spacing w:before="120" w:beforeLines="50" w:beforeAutospacing="0" w:after="0" w:afterAutospacing="0" w:line="320" w:lineRule="exact"/>
              <w:ind w:left="0" w:right="0"/>
              <w:jc w:val="left"/>
              <w:textAlignment w:val="auto"/>
              <w:rPr>
                <w:rFonts w:hint="default"/>
                <w:color w:val="auto"/>
              </w:rPr>
            </w:pPr>
            <w:r>
              <w:rPr>
                <w:rFonts w:hint="eastAsia"/>
                <w:color w:val="auto"/>
              </w:rPr>
              <w:t>技术分：</w:t>
            </w:r>
            <w:r>
              <w:rPr>
                <w:rFonts w:hint="eastAsia"/>
                <w:color w:val="auto"/>
                <w:lang w:val="en-US" w:eastAsia="zh-CN"/>
              </w:rPr>
              <w:t>80</w:t>
            </w:r>
            <w:r>
              <w:rPr>
                <w:rFonts w:hint="eastAsia"/>
                <w:color w:val="auto"/>
              </w:rPr>
              <w:t>分</w:t>
            </w:r>
          </w:p>
        </w:tc>
      </w:tr>
      <w:tr w14:paraId="1CF5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0127E06E">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2.2.2</w:t>
            </w:r>
          </w:p>
        </w:tc>
        <w:tc>
          <w:tcPr>
            <w:tcW w:w="1394" w:type="dxa"/>
            <w:gridSpan w:val="2"/>
            <w:vAlign w:val="center"/>
          </w:tcPr>
          <w:p w14:paraId="1925868F">
            <w:pPr>
              <w:keepNext w:val="0"/>
              <w:keepLines w:val="0"/>
              <w:suppressLineNumbers w:val="0"/>
              <w:spacing w:before="120" w:beforeLines="50" w:beforeAutospacing="0" w:after="0" w:afterAutospacing="0" w:line="360" w:lineRule="auto"/>
              <w:ind w:left="0" w:right="0"/>
              <w:jc w:val="both"/>
              <w:rPr>
                <w:rFonts w:hint="default"/>
                <w:color w:val="auto"/>
              </w:rPr>
            </w:pPr>
            <w:r>
              <w:rPr>
                <w:rFonts w:hint="eastAsia"/>
                <w:color w:val="auto"/>
              </w:rPr>
              <w:t>评标报价</w:t>
            </w:r>
          </w:p>
        </w:tc>
        <w:tc>
          <w:tcPr>
            <w:tcW w:w="8226" w:type="dxa"/>
            <w:gridSpan w:val="3"/>
            <w:vAlign w:val="center"/>
          </w:tcPr>
          <w:p w14:paraId="5005F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hAnsi="宋体"/>
                <w:bCs/>
                <w:color w:val="auto"/>
                <w:highlight w:val="none"/>
              </w:rPr>
            </w:pPr>
            <w:r>
              <w:rPr>
                <w:rFonts w:hint="default" w:hAnsi="宋体"/>
                <w:bCs/>
                <w:color w:val="auto"/>
                <w:highlight w:val="none"/>
              </w:rPr>
              <w:t>本项目为专门面向“中小企业”的项目，价格评审不再</w:t>
            </w:r>
            <w:r>
              <w:rPr>
                <w:rFonts w:hint="eastAsia" w:hAnsi="宋体"/>
                <w:bCs/>
                <w:color w:val="auto"/>
                <w:highlight w:val="none"/>
              </w:rPr>
              <w:t>享受相关</w:t>
            </w:r>
            <w:r>
              <w:rPr>
                <w:rFonts w:hint="default" w:hAnsi="宋体"/>
                <w:bCs/>
                <w:color w:val="auto"/>
                <w:highlight w:val="none"/>
              </w:rPr>
              <w:t>扶持政策。</w:t>
            </w:r>
          </w:p>
          <w:p w14:paraId="18E3E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hAnsi="宋体"/>
                <w:color w:val="auto"/>
              </w:rPr>
            </w:pPr>
            <w:r>
              <w:rPr>
                <w:rFonts w:hint="eastAsia" w:hAnsi="宋体"/>
                <w:b/>
                <w:color w:val="auto"/>
                <w:highlight w:val="none"/>
              </w:rPr>
              <w:t>评标报价</w:t>
            </w:r>
            <w:r>
              <w:rPr>
                <w:rFonts w:hint="default" w:hAnsi="宋体"/>
                <w:b/>
                <w:color w:val="auto"/>
                <w:highlight w:val="none"/>
              </w:rPr>
              <w:t>=</w:t>
            </w:r>
            <w:r>
              <w:rPr>
                <w:rFonts w:hint="eastAsia" w:hAnsi="宋体"/>
                <w:b/>
                <w:color w:val="auto"/>
                <w:highlight w:val="none"/>
              </w:rPr>
              <w:t>最后磋商报价</w:t>
            </w:r>
            <w:r>
              <w:rPr>
                <w:rFonts w:hint="eastAsia" w:hAnsi="宋体"/>
                <w:color w:val="auto"/>
                <w:highlight w:val="none"/>
              </w:rPr>
              <w:t>。</w:t>
            </w:r>
          </w:p>
        </w:tc>
      </w:tr>
      <w:tr w14:paraId="2B9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29" w:type="dxa"/>
            <w:vAlign w:val="center"/>
          </w:tcPr>
          <w:p w14:paraId="04F60ADA">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2.2.3</w:t>
            </w:r>
          </w:p>
        </w:tc>
        <w:tc>
          <w:tcPr>
            <w:tcW w:w="398" w:type="dxa"/>
            <w:vAlign w:val="center"/>
          </w:tcPr>
          <w:p w14:paraId="1D8DDD81">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一</w:t>
            </w:r>
          </w:p>
        </w:tc>
        <w:tc>
          <w:tcPr>
            <w:tcW w:w="996" w:type="dxa"/>
            <w:vAlign w:val="center"/>
          </w:tcPr>
          <w:p w14:paraId="4AC5B475">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报价分（</w:t>
            </w:r>
            <w:r>
              <w:rPr>
                <w:rFonts w:hint="default"/>
                <w:color w:val="auto"/>
              </w:rPr>
              <w:t>1</w:t>
            </w:r>
            <w:r>
              <w:rPr>
                <w:rFonts w:hint="eastAsia"/>
                <w:color w:val="auto"/>
              </w:rPr>
              <w:t>0分）</w:t>
            </w:r>
          </w:p>
        </w:tc>
        <w:tc>
          <w:tcPr>
            <w:tcW w:w="8226" w:type="dxa"/>
            <w:gridSpan w:val="3"/>
            <w:vAlign w:val="center"/>
          </w:tcPr>
          <w:p w14:paraId="65661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2"/>
                <w:szCs w:val="24"/>
              </w:rPr>
            </w:pPr>
            <w:r>
              <w:rPr>
                <w:rFonts w:hint="eastAsia" w:ascii="宋体" w:hAnsi="宋体" w:eastAsia="宋体" w:cs="宋体"/>
                <w:b w:val="0"/>
                <w:bCs w:val="0"/>
                <w:color w:val="auto"/>
                <w:kern w:val="2"/>
                <w:szCs w:val="24"/>
              </w:rPr>
              <w:t>1.评标基准价：以最低评标报价作为评标基准价。</w:t>
            </w:r>
          </w:p>
          <w:p w14:paraId="4F472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2"/>
                <w:szCs w:val="24"/>
              </w:rPr>
            </w:pPr>
            <w:r>
              <w:rPr>
                <w:rFonts w:hint="eastAsia" w:ascii="宋体" w:hAnsi="宋体" w:eastAsia="宋体" w:cs="宋体"/>
                <w:b w:val="0"/>
                <w:bCs w:val="0"/>
                <w:color w:val="auto"/>
                <w:kern w:val="2"/>
                <w:szCs w:val="24"/>
              </w:rPr>
              <w:t>2.在评标过程中，磋商小组发现供应商的磋商报价明显低于其他供应商的磋商报价的</w:t>
            </w:r>
            <w:r>
              <w:rPr>
                <w:rFonts w:hint="eastAsia" w:ascii="宋体" w:hAnsi="宋体" w:eastAsia="宋体" w:cs="宋体"/>
                <w:b w:val="0"/>
                <w:bCs w:val="0"/>
                <w:color w:val="auto"/>
                <w:kern w:val="2"/>
              </w:rPr>
              <w:t>或者明显低于上限控制价</w:t>
            </w:r>
            <w:r>
              <w:rPr>
                <w:rFonts w:hint="eastAsia" w:ascii="宋体" w:hAnsi="宋体" w:eastAsia="宋体" w:cs="宋体"/>
                <w:b w:val="0"/>
                <w:bCs w:val="0"/>
                <w:color w:val="auto"/>
                <w:kern w:val="2"/>
                <w:szCs w:val="24"/>
              </w:rPr>
              <w:t>，有理由怀疑其磋商报价可能低于其成本的，应当要求该供应商做出书面说明并提供相关证明材料。如不提供或评委认定其资料不能详尽合理说明其成本的，则视为供应商低于成本价报价，其报价按无效处理。</w:t>
            </w:r>
          </w:p>
          <w:p w14:paraId="12A46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rPr>
            </w:pPr>
            <w:r>
              <w:rPr>
                <w:rFonts w:hint="eastAsia" w:ascii="宋体" w:hAnsi="宋体" w:eastAsia="宋体" w:cs="宋体"/>
                <w:b w:val="0"/>
                <w:bCs w:val="0"/>
                <w:color w:val="auto"/>
                <w:kern w:val="2"/>
                <w:szCs w:val="24"/>
              </w:rPr>
              <w:t>3.报价分=（评标基准价/评标报价）×报价分满分分值</w:t>
            </w:r>
          </w:p>
        </w:tc>
      </w:tr>
      <w:tr w14:paraId="0C63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29" w:type="dxa"/>
            <w:vMerge w:val="restart"/>
            <w:vAlign w:val="center"/>
          </w:tcPr>
          <w:p w14:paraId="293658A7">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Align w:val="center"/>
          </w:tcPr>
          <w:p w14:paraId="32DC9F7D">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二</w:t>
            </w:r>
          </w:p>
        </w:tc>
        <w:tc>
          <w:tcPr>
            <w:tcW w:w="996" w:type="dxa"/>
            <w:vAlign w:val="center"/>
          </w:tcPr>
          <w:p w14:paraId="6D702AFA">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商务</w:t>
            </w:r>
            <w:r>
              <w:rPr>
                <w:rFonts w:hint="default"/>
                <w:color w:val="auto"/>
              </w:rPr>
              <w:t>分</w:t>
            </w:r>
          </w:p>
          <w:p w14:paraId="6AB0DB04">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w:t>
            </w:r>
            <w:r>
              <w:rPr>
                <w:rFonts w:hint="eastAsia"/>
                <w:color w:val="auto"/>
                <w:lang w:val="en-US" w:eastAsia="zh-CN"/>
              </w:rPr>
              <w:t>10</w:t>
            </w:r>
            <w:r>
              <w:rPr>
                <w:rFonts w:hint="eastAsia"/>
                <w:color w:val="auto"/>
              </w:rPr>
              <w:t>分</w:t>
            </w:r>
            <w:r>
              <w:rPr>
                <w:rFonts w:hint="default"/>
                <w:color w:val="auto"/>
              </w:rPr>
              <w:t>）</w:t>
            </w:r>
          </w:p>
        </w:tc>
        <w:tc>
          <w:tcPr>
            <w:tcW w:w="2370" w:type="dxa"/>
            <w:gridSpan w:val="2"/>
            <w:vAlign w:val="center"/>
          </w:tcPr>
          <w:p w14:paraId="4ECD8381">
            <w:pPr>
              <w:keepNext w:val="0"/>
              <w:keepLines w:val="0"/>
              <w:suppressLineNumbers w:val="0"/>
              <w:spacing w:before="0" w:beforeAutospacing="0" w:after="0" w:afterAutospacing="0" w:line="400" w:lineRule="exact"/>
              <w:ind w:left="0" w:right="0"/>
              <w:jc w:val="center"/>
              <w:rPr>
                <w:rFonts w:hint="eastAsia" w:hAnsi="宋体"/>
                <w:color w:val="auto"/>
              </w:rPr>
            </w:pPr>
            <w:r>
              <w:rPr>
                <w:rFonts w:hint="eastAsia" w:hAnsi="宋体"/>
                <w:color w:val="auto"/>
              </w:rPr>
              <w:t>企业</w:t>
            </w:r>
            <w:r>
              <w:rPr>
                <w:rFonts w:hint="eastAsia" w:hAnsi="宋体"/>
                <w:color w:val="auto"/>
                <w:lang w:val="en-US" w:eastAsia="zh-CN"/>
              </w:rPr>
              <w:t>管理体系认证</w:t>
            </w:r>
          </w:p>
          <w:p w14:paraId="2C91AB17">
            <w:pPr>
              <w:keepNext w:val="0"/>
              <w:keepLines w:val="0"/>
              <w:suppressLineNumbers w:val="0"/>
              <w:spacing w:before="0" w:beforeAutospacing="0" w:after="0" w:afterAutospacing="0" w:line="400" w:lineRule="exact"/>
              <w:ind w:left="0" w:right="0"/>
              <w:jc w:val="center"/>
              <w:rPr>
                <w:rFonts w:hint="default" w:hAnsi="宋体"/>
                <w:color w:val="auto"/>
              </w:rPr>
            </w:pPr>
            <w:r>
              <w:rPr>
                <w:rFonts w:hint="eastAsia" w:hAnsi="宋体"/>
                <w:color w:val="auto"/>
              </w:rPr>
              <w:t>（满分</w:t>
            </w:r>
            <w:r>
              <w:rPr>
                <w:rFonts w:hint="eastAsia" w:hAnsi="宋体"/>
                <w:color w:val="auto"/>
                <w:lang w:val="en-US" w:eastAsia="zh-CN"/>
              </w:rPr>
              <w:t>10</w:t>
            </w:r>
            <w:r>
              <w:rPr>
                <w:rFonts w:hint="eastAsia" w:hAnsi="宋体"/>
                <w:color w:val="auto"/>
              </w:rPr>
              <w:t>分）</w:t>
            </w:r>
          </w:p>
        </w:tc>
        <w:tc>
          <w:tcPr>
            <w:tcW w:w="5856" w:type="dxa"/>
            <w:vAlign w:val="center"/>
          </w:tcPr>
          <w:p w14:paraId="343D0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hAnsi="宋体"/>
                <w:b w:val="0"/>
                <w:bCs/>
                <w:color w:val="auto"/>
              </w:rPr>
            </w:pPr>
            <w:r>
              <w:rPr>
                <w:rFonts w:hint="eastAsia" w:hAnsi="宋体"/>
                <w:bCs/>
                <w:color w:val="auto"/>
              </w:rPr>
              <w:t>供应商</w:t>
            </w:r>
            <w:r>
              <w:rPr>
                <w:rFonts w:hint="eastAsia" w:ascii="宋体" w:hAnsi="宋体" w:eastAsia="宋体" w:cs="宋体"/>
                <w:bCs/>
                <w:color w:val="auto"/>
              </w:rPr>
              <w:t>同时具有有效的</w:t>
            </w:r>
            <w:r>
              <w:rPr>
                <w:rFonts w:hint="eastAsia" w:ascii="宋体" w:hAnsi="宋体" w:eastAsia="宋体" w:cs="宋体"/>
                <w:bCs/>
                <w:color w:val="auto"/>
                <w:lang w:val="en-US" w:eastAsia="zh-CN"/>
              </w:rPr>
              <w:t>ISO9001质量管理体系认证、ISO14001管理体系认证、ISO45001职业健康安全管理认证的得10分</w:t>
            </w:r>
            <w:r>
              <w:rPr>
                <w:rFonts w:hint="eastAsia" w:ascii="宋体" w:hAnsi="宋体" w:eastAsia="宋体" w:cs="宋体"/>
                <w:bCs/>
                <w:color w:val="auto"/>
                <w:lang w:eastAsia="zh-CN"/>
              </w:rPr>
              <w:t>，本项</w:t>
            </w:r>
            <w:r>
              <w:rPr>
                <w:rFonts w:hint="eastAsia" w:ascii="宋体" w:hAnsi="宋体" w:eastAsia="宋体" w:cs="宋体"/>
                <w:bCs/>
                <w:color w:val="auto"/>
              </w:rPr>
              <w:t>满分</w:t>
            </w:r>
            <w:r>
              <w:rPr>
                <w:rFonts w:hint="eastAsia" w:ascii="宋体" w:hAnsi="宋体" w:eastAsia="宋体" w:cs="宋体"/>
                <w:bCs/>
                <w:color w:val="auto"/>
                <w:lang w:val="en-US" w:eastAsia="zh-CN"/>
              </w:rPr>
              <w:t>10</w:t>
            </w:r>
            <w:r>
              <w:rPr>
                <w:rFonts w:hint="eastAsia" w:ascii="宋体" w:hAnsi="宋体" w:eastAsia="宋体" w:cs="宋体"/>
                <w:bCs/>
                <w:color w:val="auto"/>
              </w:rPr>
              <w:t>分</w:t>
            </w:r>
            <w:r>
              <w:rPr>
                <w:rFonts w:hint="eastAsia" w:hAnsi="宋体"/>
                <w:b w:val="0"/>
                <w:bCs/>
                <w:color w:val="auto"/>
              </w:rPr>
              <w:t>。</w:t>
            </w:r>
          </w:p>
          <w:p w14:paraId="6F971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hAnsi="宋体"/>
                <w:b/>
                <w:color w:val="auto"/>
              </w:rPr>
            </w:pPr>
            <w:r>
              <w:rPr>
                <w:rFonts w:hint="eastAsia" w:ascii="宋体" w:hAnsi="宋体" w:eastAsia="宋体" w:cs="宋体"/>
                <w:b/>
                <w:bCs w:val="0"/>
                <w:color w:val="auto"/>
                <w:lang w:val="en-US" w:eastAsia="zh-CN"/>
              </w:rPr>
              <w:t>注：</w:t>
            </w:r>
            <w:r>
              <w:rPr>
                <w:rFonts w:hint="default" w:ascii="宋体" w:hAnsi="宋体" w:eastAsia="宋体" w:cs="宋体"/>
                <w:b/>
                <w:bCs w:val="0"/>
                <w:color w:val="auto"/>
                <w:lang w:val="en-US" w:eastAsia="zh-CN"/>
              </w:rPr>
              <w:t>供应商须提供</w:t>
            </w:r>
            <w:r>
              <w:rPr>
                <w:rFonts w:hint="eastAsia" w:ascii="宋体" w:hAnsi="宋体" w:eastAsia="宋体" w:cs="宋体"/>
                <w:b/>
                <w:bCs w:val="0"/>
                <w:color w:val="auto"/>
                <w:lang w:val="en-US" w:eastAsia="zh-CN"/>
              </w:rPr>
              <w:t>有效期内的</w:t>
            </w:r>
            <w:r>
              <w:rPr>
                <w:rFonts w:hint="default" w:ascii="宋体" w:hAnsi="宋体" w:eastAsia="宋体" w:cs="宋体"/>
                <w:b/>
                <w:bCs w:val="0"/>
                <w:color w:val="auto"/>
                <w:lang w:val="en-US" w:eastAsia="zh-CN"/>
              </w:rPr>
              <w:t>证书</w:t>
            </w:r>
            <w:r>
              <w:rPr>
                <w:rFonts w:hint="eastAsia" w:ascii="宋体" w:hAnsi="宋体" w:eastAsia="宋体" w:cs="宋体"/>
                <w:b/>
                <w:bCs w:val="0"/>
                <w:color w:val="auto"/>
                <w:lang w:val="en-US" w:eastAsia="zh-CN"/>
              </w:rPr>
              <w:t>扫描</w:t>
            </w:r>
            <w:r>
              <w:rPr>
                <w:rFonts w:hint="default" w:ascii="宋体" w:hAnsi="宋体" w:eastAsia="宋体" w:cs="宋体"/>
                <w:b/>
                <w:bCs w:val="0"/>
                <w:color w:val="auto"/>
                <w:lang w:val="en-US" w:eastAsia="zh-CN"/>
              </w:rPr>
              <w:t>件</w:t>
            </w:r>
            <w:r>
              <w:rPr>
                <w:rFonts w:hint="eastAsia" w:ascii="宋体" w:hAnsi="宋体" w:eastAsia="宋体" w:cs="宋体"/>
                <w:b/>
                <w:bCs w:val="0"/>
                <w:color w:val="auto"/>
                <w:lang w:val="en-US" w:eastAsia="zh-CN"/>
              </w:rPr>
              <w:t>并</w:t>
            </w:r>
            <w:r>
              <w:rPr>
                <w:rFonts w:hint="default" w:ascii="宋体" w:hAnsi="宋体" w:eastAsia="宋体" w:cs="宋体"/>
                <w:b/>
                <w:bCs w:val="0"/>
                <w:color w:val="auto"/>
                <w:lang w:val="en-US" w:eastAsia="zh-CN"/>
              </w:rPr>
              <w:t>加盖公章</w:t>
            </w:r>
            <w:r>
              <w:rPr>
                <w:rFonts w:hint="eastAsia" w:ascii="宋体" w:hAnsi="宋体" w:eastAsia="宋体" w:cs="宋体"/>
                <w:b/>
                <w:bCs w:val="0"/>
                <w:color w:val="auto"/>
                <w:lang w:val="en-US" w:eastAsia="zh-CN"/>
              </w:rPr>
              <w:t>，不提供或缺少任意一个体系证书的不得分</w:t>
            </w:r>
            <w:r>
              <w:rPr>
                <w:rFonts w:hint="default" w:ascii="宋体" w:hAnsi="宋体" w:eastAsia="宋体" w:cs="宋体"/>
                <w:b/>
                <w:bCs w:val="0"/>
                <w:color w:val="auto"/>
                <w:lang w:val="en-US" w:eastAsia="zh-CN"/>
              </w:rPr>
              <w:t>】。</w:t>
            </w:r>
          </w:p>
        </w:tc>
      </w:tr>
      <w:tr w14:paraId="3DA0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29" w:type="dxa"/>
            <w:vMerge w:val="continue"/>
            <w:vAlign w:val="center"/>
          </w:tcPr>
          <w:p w14:paraId="4C4F9793">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restart"/>
            <w:vAlign w:val="center"/>
          </w:tcPr>
          <w:p w14:paraId="5F04C1E8">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三</w:t>
            </w:r>
          </w:p>
        </w:tc>
        <w:tc>
          <w:tcPr>
            <w:tcW w:w="996" w:type="dxa"/>
            <w:vMerge w:val="restart"/>
            <w:vAlign w:val="center"/>
          </w:tcPr>
          <w:p w14:paraId="1CAE4F6A">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技术分（</w:t>
            </w:r>
            <w:r>
              <w:rPr>
                <w:rFonts w:hint="eastAsia"/>
                <w:color w:val="auto"/>
                <w:lang w:val="en-US" w:eastAsia="zh-CN"/>
              </w:rPr>
              <w:t>80</w:t>
            </w:r>
            <w:r>
              <w:rPr>
                <w:rFonts w:hint="eastAsia"/>
                <w:color w:val="auto"/>
              </w:rPr>
              <w:t>分）</w:t>
            </w:r>
          </w:p>
        </w:tc>
        <w:tc>
          <w:tcPr>
            <w:tcW w:w="2370" w:type="dxa"/>
            <w:gridSpan w:val="2"/>
            <w:vAlign w:val="center"/>
          </w:tcPr>
          <w:p w14:paraId="25249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Courier New" w:eastAsia="宋体" w:cs="Times New Roman"/>
                <w:bCs/>
                <w:color w:val="auto"/>
                <w:kern w:val="2"/>
                <w:sz w:val="21"/>
                <w:szCs w:val="21"/>
                <w:highlight w:val="none"/>
                <w:lang w:val="en-US" w:eastAsia="zh-CN" w:bidi="ar-SA"/>
              </w:rPr>
            </w:pPr>
          </w:p>
          <w:p w14:paraId="636C4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Courier New" w:eastAsia="宋体" w:cs="Times New Roman"/>
                <w:bCs/>
                <w:color w:val="auto"/>
                <w:kern w:val="2"/>
                <w:sz w:val="21"/>
                <w:szCs w:val="21"/>
                <w:highlight w:val="none"/>
                <w:lang w:val="en-US" w:eastAsia="zh-CN" w:bidi="ar-SA"/>
              </w:rPr>
            </w:pPr>
          </w:p>
          <w:p w14:paraId="065CA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Courier New" w:eastAsia="宋体" w:cs="Times New Roman"/>
                <w:bCs/>
                <w:color w:val="auto"/>
                <w:kern w:val="2"/>
                <w:sz w:val="21"/>
                <w:szCs w:val="21"/>
                <w:highlight w:val="none"/>
                <w:lang w:val="en-US" w:eastAsia="zh-CN" w:bidi="ar-SA"/>
              </w:rPr>
            </w:pPr>
          </w:p>
          <w:p w14:paraId="095453FB">
            <w:pPr>
              <w:keepNext w:val="0"/>
              <w:keepLines w:val="0"/>
              <w:widowControl/>
              <w:suppressLineNumbers w:val="0"/>
              <w:spacing w:before="0" w:beforeAutospacing="0" w:after="0" w:afterAutospacing="0" w:line="360" w:lineRule="auto"/>
              <w:ind w:left="210" w:right="0" w:hanging="210" w:hangingChars="100"/>
              <w:jc w:val="center"/>
              <w:rPr>
                <w:rFonts w:hint="eastAsia" w:hAnsi="宋体"/>
                <w:b w:val="0"/>
                <w:bCs/>
                <w:color w:val="auto"/>
              </w:rPr>
            </w:pPr>
            <w:r>
              <w:rPr>
                <w:rFonts w:hint="eastAsia" w:ascii="宋体" w:hAnsi="宋体" w:cs="宋体"/>
                <w:color w:val="auto"/>
              </w:rPr>
              <w:t>服务方案</w:t>
            </w:r>
          </w:p>
          <w:p w14:paraId="697C62F2">
            <w:pPr>
              <w:keepNext w:val="0"/>
              <w:keepLines w:val="0"/>
              <w:widowControl/>
              <w:suppressLineNumbers w:val="0"/>
              <w:spacing w:before="0" w:beforeAutospacing="0" w:after="0" w:afterAutospacing="0" w:line="360" w:lineRule="auto"/>
              <w:ind w:left="210" w:right="0" w:hanging="210" w:hangingChars="100"/>
              <w:jc w:val="center"/>
              <w:rPr>
                <w:rFonts w:hint="default" w:hAnsi="宋体"/>
                <w:b w:val="0"/>
                <w:bCs/>
                <w:color w:val="auto"/>
              </w:rPr>
            </w:pPr>
            <w:r>
              <w:rPr>
                <w:rFonts w:hint="eastAsia" w:hAnsi="宋体"/>
                <w:b w:val="0"/>
                <w:bCs/>
                <w:color w:val="auto"/>
              </w:rPr>
              <w:t>（满分</w:t>
            </w:r>
            <w:r>
              <w:rPr>
                <w:rFonts w:hint="eastAsia" w:hAnsi="宋体"/>
                <w:b w:val="0"/>
                <w:bCs/>
                <w:color w:val="auto"/>
                <w:lang w:val="en-US" w:eastAsia="zh-CN"/>
              </w:rPr>
              <w:t>25</w:t>
            </w:r>
            <w:r>
              <w:rPr>
                <w:rFonts w:hint="eastAsia" w:hAnsi="宋体"/>
                <w:b w:val="0"/>
                <w:bCs/>
                <w:color w:val="auto"/>
              </w:rPr>
              <w:t>分）</w:t>
            </w:r>
          </w:p>
        </w:tc>
        <w:tc>
          <w:tcPr>
            <w:tcW w:w="5856" w:type="dxa"/>
          </w:tcPr>
          <w:p w14:paraId="765F1F8E">
            <w:pPr>
              <w:pStyle w:val="385"/>
              <w:keepNext w:val="0"/>
              <w:keepLines w:val="0"/>
              <w:suppressLineNumbers w:val="0"/>
              <w:adjustRightInd w:val="0"/>
              <w:snapToGrid w:val="0"/>
              <w:spacing w:before="0" w:beforeAutospacing="0" w:after="0" w:afterAutospacing="0" w:line="360" w:lineRule="auto"/>
              <w:ind w:left="0" w:right="0"/>
              <w:rPr>
                <w:rFonts w:hint="eastAsia" w:cs="Times New Roman"/>
                <w:bCs/>
                <w:color w:val="auto"/>
                <w:sz w:val="21"/>
                <w:szCs w:val="21"/>
                <w:highlight w:val="none"/>
                <w:lang w:val="en-US" w:eastAsia="zh-CN"/>
              </w:rPr>
            </w:pPr>
            <w:r>
              <w:rPr>
                <w:rFonts w:hint="eastAsia"/>
                <w:bCs/>
                <w:color w:val="auto"/>
                <w:sz w:val="21"/>
                <w:szCs w:val="21"/>
                <w:highlight w:val="none"/>
                <w:lang w:eastAsia="zh-CN"/>
              </w:rPr>
              <w:t>一</w:t>
            </w:r>
            <w:r>
              <w:rPr>
                <w:rFonts w:hint="eastAsia" w:cs="Times New Roman"/>
                <w:bCs/>
                <w:color w:val="auto"/>
                <w:sz w:val="21"/>
                <w:szCs w:val="21"/>
                <w:highlight w:val="none"/>
                <w:lang w:val="en-US" w:eastAsia="zh-CN"/>
              </w:rPr>
              <w:t>档（25分）：供应商</w:t>
            </w:r>
            <w:r>
              <w:rPr>
                <w:rFonts w:hint="eastAsia"/>
                <w:color w:val="auto"/>
              </w:rPr>
              <w:t>对整个项目的情况及要求等内容理解充分、编制内容合理、清晰、明确,服务保障措施优秀、质量保证措施、服务措施方案完善</w:t>
            </w:r>
            <w:r>
              <w:rPr>
                <w:rFonts w:hint="eastAsia"/>
                <w:color w:val="auto"/>
                <w:lang w:eastAsia="zh-CN"/>
              </w:rPr>
              <w:t>，</w:t>
            </w:r>
            <w:r>
              <w:rPr>
                <w:rFonts w:hint="eastAsia"/>
                <w:color w:val="auto"/>
              </w:rPr>
              <w:t>解决重点和难点问题的方法比较清晰，完全满足</w:t>
            </w:r>
            <w:r>
              <w:rPr>
                <w:rFonts w:hint="eastAsia" w:hAnsi="宋体" w:cs="Times New Roman"/>
                <w:bCs/>
                <w:color w:val="auto"/>
                <w:lang w:val="en-US" w:eastAsia="zh-CN"/>
              </w:rPr>
              <w:t>项目</w:t>
            </w:r>
            <w:r>
              <w:rPr>
                <w:rFonts w:hint="eastAsia"/>
                <w:color w:val="auto"/>
              </w:rPr>
              <w:t>服务需要。</w:t>
            </w:r>
          </w:p>
          <w:p w14:paraId="34CC593A">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二档（20分）：供应商</w:t>
            </w:r>
            <w:r>
              <w:rPr>
                <w:rFonts w:hint="eastAsia" w:ascii="宋体" w:hAnsi="宋体" w:cs="宋体"/>
                <w:color w:val="auto"/>
                <w:szCs w:val="21"/>
              </w:rPr>
              <w:t>对整个项目的情况及要求等内容理解充分，编制内容合理</w:t>
            </w:r>
            <w:r>
              <w:rPr>
                <w:rFonts w:hint="eastAsia" w:ascii="宋体" w:hAnsi="宋体" w:cs="宋体"/>
                <w:color w:val="auto"/>
                <w:szCs w:val="21"/>
                <w:lang w:eastAsia="zh-CN"/>
              </w:rPr>
              <w:t>、</w:t>
            </w:r>
            <w:r>
              <w:rPr>
                <w:rFonts w:hint="eastAsia" w:ascii="宋体" w:hAnsi="宋体" w:cs="宋体"/>
                <w:color w:val="auto"/>
                <w:szCs w:val="21"/>
              </w:rPr>
              <w:t>服务保障措施、质量保证措施良好、服务措施方案比较完善，解决重点和难点问题的方法比较合理，满足</w:t>
            </w:r>
            <w:r>
              <w:rPr>
                <w:rFonts w:hint="eastAsia" w:hAnsi="宋体" w:cs="Times New Roman"/>
                <w:bCs/>
                <w:color w:val="auto"/>
                <w:lang w:val="en-US" w:eastAsia="zh-CN"/>
              </w:rPr>
              <w:t>项目</w:t>
            </w:r>
            <w:r>
              <w:rPr>
                <w:rFonts w:hint="eastAsia" w:ascii="宋体" w:hAnsi="宋体" w:cs="宋体"/>
                <w:color w:val="auto"/>
                <w:szCs w:val="21"/>
              </w:rPr>
              <w:t>服务需要。</w:t>
            </w:r>
          </w:p>
          <w:p w14:paraId="245D138F">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三档（15分）：供应商</w:t>
            </w:r>
            <w:r>
              <w:rPr>
                <w:rFonts w:hint="eastAsia" w:ascii="宋体" w:hAnsi="宋体" w:cs="宋体"/>
                <w:color w:val="auto"/>
                <w:szCs w:val="21"/>
              </w:rPr>
              <w:t>对整个项目的情况及要求等内容基本理解，编制内容、服务保障措施、质量保证措施、服务措施方案基本完善，解决重点和难点问题的方法基本可行，</w:t>
            </w:r>
            <w:r>
              <w:rPr>
                <w:rFonts w:hint="eastAsia" w:hAnsi="宋体" w:cs="Times New Roman"/>
                <w:bCs/>
                <w:color w:val="auto"/>
                <w:lang w:val="en-US" w:eastAsia="zh-CN"/>
              </w:rPr>
              <w:t>能满足</w:t>
            </w:r>
            <w:r>
              <w:rPr>
                <w:rFonts w:hint="eastAsia" w:ascii="宋体" w:hAnsi="宋体" w:cs="宋体"/>
                <w:color w:val="auto"/>
                <w:szCs w:val="21"/>
                <w:lang w:eastAsia="zh-CN"/>
              </w:rPr>
              <w:t>项目</w:t>
            </w:r>
            <w:r>
              <w:rPr>
                <w:rFonts w:hint="eastAsia" w:ascii="宋体" w:hAnsi="宋体" w:cs="宋体"/>
                <w:color w:val="auto"/>
                <w:szCs w:val="21"/>
              </w:rPr>
              <w:t>服务需要</w:t>
            </w:r>
            <w:r>
              <w:rPr>
                <w:rFonts w:hint="eastAsia" w:cs="Times New Roman"/>
                <w:bCs/>
                <w:color w:val="auto"/>
                <w:sz w:val="21"/>
                <w:szCs w:val="21"/>
                <w:highlight w:val="none"/>
                <w:lang w:val="en-US" w:eastAsia="zh-CN"/>
              </w:rPr>
              <w:t>。</w:t>
            </w:r>
          </w:p>
          <w:p w14:paraId="6EE4E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hAnsi="宋体"/>
                <w:color w:val="auto"/>
              </w:rPr>
            </w:pPr>
            <w:r>
              <w:rPr>
                <w:rFonts w:hint="eastAsia" w:cs="Times New Roman"/>
                <w:bCs/>
                <w:color w:val="auto"/>
                <w:sz w:val="21"/>
                <w:szCs w:val="21"/>
                <w:highlight w:val="none"/>
                <w:lang w:val="en-US" w:eastAsia="zh-CN"/>
              </w:rPr>
              <w:t>四档（6分）：供应商</w:t>
            </w:r>
            <w:r>
              <w:rPr>
                <w:rFonts w:hint="eastAsia" w:ascii="宋体" w:hAnsi="宋体" w:cs="宋体"/>
                <w:color w:val="auto"/>
                <w:szCs w:val="21"/>
              </w:rPr>
              <w:t>对整个项目的情况及要求等内容理解一般，编制内容一般、服务保障措施、质量保证措施、服务措施方案一般，解决重点和难点问题的方法基本可行，基本满足</w:t>
            </w:r>
            <w:r>
              <w:rPr>
                <w:rFonts w:hint="eastAsia" w:hAnsi="宋体" w:cs="Times New Roman"/>
                <w:bCs/>
                <w:color w:val="auto"/>
                <w:lang w:val="en-US" w:eastAsia="zh-CN"/>
              </w:rPr>
              <w:t>项目</w:t>
            </w:r>
            <w:r>
              <w:rPr>
                <w:rFonts w:hint="eastAsia" w:ascii="宋体" w:hAnsi="宋体" w:cs="宋体"/>
                <w:color w:val="auto"/>
                <w:szCs w:val="21"/>
              </w:rPr>
              <w:t>服务需要。</w:t>
            </w:r>
          </w:p>
        </w:tc>
      </w:tr>
      <w:tr w14:paraId="0EAB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9" w:type="dxa"/>
            <w:vMerge w:val="continue"/>
            <w:vAlign w:val="center"/>
          </w:tcPr>
          <w:p w14:paraId="40170CA1">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2F2B3767">
            <w:pPr>
              <w:keepNext w:val="0"/>
              <w:keepLines w:val="0"/>
              <w:suppressLineNumbers w:val="0"/>
              <w:spacing w:before="120" w:beforeLines="50" w:beforeAutospacing="0" w:after="0" w:afterAutospacing="0" w:line="360" w:lineRule="auto"/>
              <w:ind w:left="0" w:right="0"/>
              <w:rPr>
                <w:rFonts w:hint="eastAsia"/>
                <w:color w:val="auto"/>
              </w:rPr>
            </w:pPr>
          </w:p>
        </w:tc>
        <w:tc>
          <w:tcPr>
            <w:tcW w:w="996" w:type="dxa"/>
            <w:vMerge w:val="continue"/>
            <w:vAlign w:val="center"/>
          </w:tcPr>
          <w:p w14:paraId="43403D50">
            <w:pPr>
              <w:keepNext w:val="0"/>
              <w:keepLines w:val="0"/>
              <w:suppressLineNumbers w:val="0"/>
              <w:spacing w:before="120" w:beforeLines="50" w:beforeAutospacing="0" w:after="0" w:afterAutospacing="0" w:line="360" w:lineRule="auto"/>
              <w:ind w:left="0" w:right="0"/>
              <w:rPr>
                <w:rFonts w:hint="eastAsia"/>
                <w:color w:val="auto"/>
              </w:rPr>
            </w:pPr>
          </w:p>
        </w:tc>
        <w:tc>
          <w:tcPr>
            <w:tcW w:w="2370" w:type="dxa"/>
            <w:gridSpan w:val="2"/>
            <w:vAlign w:val="center"/>
          </w:tcPr>
          <w:p w14:paraId="0117E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hAnsi="宋体"/>
                <w:b w:val="0"/>
                <w:bCs/>
                <w:color w:val="auto"/>
              </w:rPr>
            </w:pPr>
            <w:r>
              <w:rPr>
                <w:rFonts w:hint="eastAsia" w:hAnsi="宋体"/>
                <w:b w:val="0"/>
                <w:bCs/>
                <w:color w:val="auto"/>
                <w:lang w:val="en-US" w:eastAsia="zh-CN"/>
              </w:rPr>
              <w:t>工作组织、进度安排方案</w:t>
            </w:r>
          </w:p>
          <w:p w14:paraId="10AC1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hAnsi="宋体"/>
                <w:b w:val="0"/>
                <w:bCs/>
                <w:color w:val="auto"/>
              </w:rPr>
            </w:pPr>
            <w:r>
              <w:rPr>
                <w:rFonts w:hint="eastAsia" w:hAnsi="宋体"/>
                <w:b w:val="0"/>
                <w:bCs/>
                <w:color w:val="auto"/>
              </w:rPr>
              <w:t>（满分</w:t>
            </w:r>
            <w:r>
              <w:rPr>
                <w:rFonts w:hint="eastAsia" w:hAnsi="宋体"/>
                <w:b w:val="0"/>
                <w:bCs/>
                <w:color w:val="auto"/>
                <w:lang w:val="en-US" w:eastAsia="zh-CN"/>
              </w:rPr>
              <w:t>25</w:t>
            </w:r>
            <w:r>
              <w:rPr>
                <w:rFonts w:hint="eastAsia" w:hAnsi="宋体"/>
                <w:b w:val="0"/>
                <w:bCs/>
                <w:color w:val="auto"/>
              </w:rPr>
              <w:t>分）</w:t>
            </w:r>
          </w:p>
        </w:tc>
        <w:tc>
          <w:tcPr>
            <w:tcW w:w="5856" w:type="dxa"/>
          </w:tcPr>
          <w:p w14:paraId="44558267">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lang w:eastAsia="zh-CN"/>
              </w:rPr>
              <w:t>一</w:t>
            </w:r>
            <w:r>
              <w:rPr>
                <w:rFonts w:hint="eastAsia" w:hAnsi="宋体"/>
                <w:bCs/>
                <w:color w:val="auto"/>
              </w:rPr>
              <w:t>档（</w:t>
            </w:r>
            <w:r>
              <w:rPr>
                <w:rFonts w:hint="eastAsia" w:hAnsi="宋体"/>
                <w:bCs/>
                <w:color w:val="auto"/>
                <w:lang w:val="en-US" w:eastAsia="zh-CN"/>
              </w:rPr>
              <w:t>25</w:t>
            </w:r>
            <w:r>
              <w:rPr>
                <w:rFonts w:hint="eastAsia" w:hAnsi="宋体"/>
                <w:bCs/>
                <w:color w:val="auto"/>
              </w:rPr>
              <w:t>分）：</w:t>
            </w:r>
            <w:r>
              <w:rPr>
                <w:rFonts w:hint="eastAsia" w:hAnsi="宋体"/>
                <w:bCs/>
                <w:color w:val="auto"/>
                <w:lang w:val="en-US" w:eastAsia="zh-CN"/>
              </w:rPr>
              <w:t>提交的工作组织、进度安排</w:t>
            </w:r>
            <w:r>
              <w:rPr>
                <w:rFonts w:hint="eastAsia" w:hAnsi="宋体"/>
                <w:b w:val="0"/>
                <w:bCs/>
                <w:color w:val="auto"/>
                <w:lang w:val="en-US" w:eastAsia="zh-CN"/>
              </w:rPr>
              <w:t>方案</w:t>
            </w:r>
            <w:r>
              <w:rPr>
                <w:rFonts w:hint="eastAsia" w:hAnsi="宋体"/>
                <w:bCs/>
                <w:color w:val="auto"/>
                <w:lang w:val="en-US" w:eastAsia="zh-CN"/>
              </w:rPr>
              <w:t>中，组织协调方案内容全面且合理，可行性强；进度计划十分明确，进度计划保证措施可行性强，</w:t>
            </w:r>
            <w:r>
              <w:rPr>
                <w:rFonts w:hint="default" w:ascii="宋体" w:hAnsi="宋体" w:eastAsia="宋体" w:cs="宋体"/>
                <w:bCs/>
                <w:color w:val="auto"/>
                <w:sz w:val="21"/>
                <w:szCs w:val="21"/>
                <w:highlight w:val="none"/>
                <w:lang w:val="en-US" w:eastAsia="zh-CN"/>
              </w:rPr>
              <w:t>参赛服装</w:t>
            </w:r>
            <w:r>
              <w:rPr>
                <w:rFonts w:hint="eastAsia" w:hAnsi="宋体" w:cs="宋体"/>
                <w:bCs/>
                <w:color w:val="auto"/>
                <w:sz w:val="21"/>
                <w:szCs w:val="21"/>
                <w:highlight w:val="none"/>
                <w:lang w:val="en-US" w:eastAsia="zh-CN"/>
              </w:rPr>
              <w:t>计划</w:t>
            </w:r>
            <w:r>
              <w:rPr>
                <w:rFonts w:hint="eastAsia" w:hAnsi="宋体"/>
                <w:bCs/>
                <w:color w:val="auto"/>
                <w:lang w:val="en-US" w:eastAsia="zh-CN"/>
              </w:rPr>
              <w:t>安排及质量保障措施方案完善，</w:t>
            </w:r>
            <w:r>
              <w:rPr>
                <w:rFonts w:hint="eastAsia" w:ascii="宋体" w:hAnsi="宋体" w:eastAsia="宋体"/>
                <w:bCs/>
                <w:color w:val="auto"/>
                <w:lang w:val="en-US" w:eastAsia="zh-CN"/>
              </w:rPr>
              <w:t>投入的主要负责人员具有丰富的服装类相关专业技能工作经验（提供服装类相关专业技能证书扫描件）。</w:t>
            </w:r>
          </w:p>
          <w:p w14:paraId="6E750548">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lang w:eastAsia="zh-CN"/>
              </w:rPr>
              <w:t>二</w:t>
            </w:r>
            <w:r>
              <w:rPr>
                <w:rFonts w:hint="eastAsia" w:hAnsi="宋体"/>
                <w:bCs/>
                <w:color w:val="auto"/>
              </w:rPr>
              <w:t>档（</w:t>
            </w:r>
            <w:r>
              <w:rPr>
                <w:rFonts w:hint="eastAsia" w:hAnsi="宋体"/>
                <w:bCs/>
                <w:color w:val="auto"/>
                <w:lang w:val="en-US" w:eastAsia="zh-CN"/>
              </w:rPr>
              <w:t>20</w:t>
            </w:r>
            <w:r>
              <w:rPr>
                <w:rFonts w:hint="eastAsia" w:hAnsi="宋体"/>
                <w:bCs/>
                <w:color w:val="auto"/>
              </w:rPr>
              <w:t>分）：</w:t>
            </w:r>
            <w:r>
              <w:rPr>
                <w:rFonts w:hint="eastAsia" w:hAnsi="宋体"/>
                <w:bCs/>
                <w:color w:val="auto"/>
                <w:lang w:val="en-US" w:eastAsia="zh-CN"/>
              </w:rPr>
              <w:t>提交的工作组织、进度安排</w:t>
            </w:r>
            <w:r>
              <w:rPr>
                <w:rFonts w:hint="eastAsia" w:hAnsi="宋体"/>
                <w:b w:val="0"/>
                <w:bCs/>
                <w:color w:val="auto"/>
                <w:lang w:val="en-US" w:eastAsia="zh-CN"/>
              </w:rPr>
              <w:t>方案</w:t>
            </w:r>
            <w:r>
              <w:rPr>
                <w:rFonts w:hint="eastAsia" w:hAnsi="宋体"/>
                <w:bCs/>
                <w:color w:val="auto"/>
                <w:lang w:val="en-US" w:eastAsia="zh-CN"/>
              </w:rPr>
              <w:t>中，组织协调方案内容较全面，有一定合理性；进度计划较明确，进度计划保证措施具有一定可行性，</w:t>
            </w:r>
            <w:r>
              <w:rPr>
                <w:rFonts w:hint="default" w:ascii="宋体" w:hAnsi="宋体" w:eastAsia="宋体" w:cs="宋体"/>
                <w:bCs/>
                <w:color w:val="auto"/>
                <w:sz w:val="21"/>
                <w:szCs w:val="21"/>
                <w:highlight w:val="none"/>
                <w:lang w:val="en-US" w:eastAsia="zh-CN"/>
              </w:rPr>
              <w:t>参赛服装</w:t>
            </w:r>
            <w:r>
              <w:rPr>
                <w:rFonts w:hint="eastAsia" w:hAnsi="宋体" w:cs="宋体"/>
                <w:bCs/>
                <w:color w:val="auto"/>
                <w:sz w:val="21"/>
                <w:szCs w:val="21"/>
                <w:highlight w:val="none"/>
                <w:lang w:val="en-US" w:eastAsia="zh-CN"/>
              </w:rPr>
              <w:t>计划</w:t>
            </w:r>
            <w:r>
              <w:rPr>
                <w:rFonts w:hint="eastAsia" w:hAnsi="宋体"/>
                <w:bCs/>
                <w:color w:val="auto"/>
                <w:lang w:val="en-US" w:eastAsia="zh-CN"/>
              </w:rPr>
              <w:t>安排及质量保障措施方案较完善，</w:t>
            </w:r>
            <w:r>
              <w:rPr>
                <w:rFonts w:hint="eastAsia" w:ascii="宋体" w:hAnsi="宋体" w:eastAsia="宋体"/>
                <w:bCs/>
                <w:color w:val="auto"/>
                <w:lang w:val="en-US" w:eastAsia="zh-CN"/>
              </w:rPr>
              <w:t>投入的主要负责人员具有一定的服装类相关专业技能工作经验</w:t>
            </w:r>
            <w:r>
              <w:rPr>
                <w:rFonts w:hint="eastAsia" w:hAnsi="宋体"/>
                <w:bCs/>
                <w:color w:val="auto"/>
                <w:lang w:val="en-US" w:eastAsia="zh-CN"/>
              </w:rPr>
              <w:t>。</w:t>
            </w:r>
          </w:p>
          <w:p w14:paraId="773C5D89">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eastAsia="宋体"/>
                <w:bCs/>
                <w:color w:val="auto"/>
                <w:lang w:eastAsia="zh-CN"/>
              </w:rPr>
            </w:pPr>
            <w:r>
              <w:rPr>
                <w:rFonts w:hint="eastAsia" w:hAnsi="宋体"/>
                <w:bCs/>
                <w:color w:val="auto"/>
                <w:lang w:eastAsia="zh-CN"/>
              </w:rPr>
              <w:t>三</w:t>
            </w:r>
            <w:r>
              <w:rPr>
                <w:rFonts w:hint="eastAsia" w:hAnsi="宋体"/>
                <w:bCs/>
                <w:color w:val="auto"/>
              </w:rPr>
              <w:t>档（</w:t>
            </w:r>
            <w:r>
              <w:rPr>
                <w:rFonts w:hint="eastAsia" w:hAnsi="宋体"/>
                <w:bCs/>
                <w:color w:val="auto"/>
                <w:lang w:val="en-US" w:eastAsia="zh-CN"/>
              </w:rPr>
              <w:t>15</w:t>
            </w:r>
            <w:r>
              <w:rPr>
                <w:rFonts w:hint="eastAsia" w:hAnsi="宋体"/>
                <w:bCs/>
                <w:color w:val="auto"/>
              </w:rPr>
              <w:t>分）：</w:t>
            </w:r>
            <w:r>
              <w:rPr>
                <w:rFonts w:hint="eastAsia" w:hAnsi="宋体"/>
                <w:bCs/>
                <w:color w:val="auto"/>
                <w:lang w:val="en-US" w:eastAsia="zh-CN"/>
              </w:rPr>
              <w:t>提交的工作组织、进度安排</w:t>
            </w:r>
            <w:r>
              <w:rPr>
                <w:rFonts w:hint="eastAsia" w:hAnsi="宋体"/>
                <w:b w:val="0"/>
                <w:bCs/>
                <w:color w:val="auto"/>
                <w:lang w:val="en-US" w:eastAsia="zh-CN"/>
              </w:rPr>
              <w:t>方案</w:t>
            </w:r>
            <w:r>
              <w:rPr>
                <w:rFonts w:hint="eastAsia" w:hAnsi="宋体"/>
                <w:bCs/>
                <w:color w:val="auto"/>
                <w:lang w:val="en-US" w:eastAsia="zh-CN"/>
              </w:rPr>
              <w:t>中，组织协调方案、进度计划内容</w:t>
            </w:r>
            <w:r>
              <w:rPr>
                <w:rFonts w:hint="eastAsia" w:hAnsi="宋体"/>
                <w:bCs/>
                <w:color w:val="auto"/>
                <w:lang w:eastAsia="zh-CN"/>
              </w:rPr>
              <w:t>基本明确</w:t>
            </w:r>
            <w:r>
              <w:rPr>
                <w:rFonts w:hint="eastAsia" w:hAnsi="宋体"/>
                <w:bCs/>
                <w:color w:val="auto"/>
              </w:rPr>
              <w:t>，</w:t>
            </w:r>
            <w:r>
              <w:rPr>
                <w:rFonts w:hint="eastAsia" w:hAnsi="宋体"/>
                <w:bCs/>
                <w:color w:val="auto"/>
                <w:lang w:val="en-US" w:eastAsia="zh-CN"/>
              </w:rPr>
              <w:t>进度计划保证措施具基本可行</w:t>
            </w:r>
            <w:r>
              <w:rPr>
                <w:rFonts w:hint="eastAsia" w:hAnsi="宋体"/>
                <w:bCs/>
                <w:color w:val="auto"/>
                <w:lang w:eastAsia="zh-CN"/>
              </w:rPr>
              <w:t>，</w:t>
            </w:r>
            <w:r>
              <w:rPr>
                <w:rFonts w:hint="default" w:ascii="宋体" w:hAnsi="宋体" w:eastAsia="宋体" w:cs="宋体"/>
                <w:bCs/>
                <w:color w:val="auto"/>
                <w:sz w:val="21"/>
                <w:szCs w:val="21"/>
                <w:highlight w:val="none"/>
                <w:lang w:val="en-US" w:eastAsia="zh-CN"/>
              </w:rPr>
              <w:t>参赛服装</w:t>
            </w:r>
            <w:r>
              <w:rPr>
                <w:rFonts w:hint="eastAsia" w:hAnsi="宋体" w:cs="宋体"/>
                <w:bCs/>
                <w:color w:val="auto"/>
                <w:sz w:val="21"/>
                <w:szCs w:val="21"/>
                <w:highlight w:val="none"/>
                <w:lang w:val="en-US" w:eastAsia="zh-CN"/>
              </w:rPr>
              <w:t>计划</w:t>
            </w:r>
            <w:r>
              <w:rPr>
                <w:rFonts w:hint="eastAsia" w:hAnsi="宋体"/>
                <w:bCs/>
                <w:color w:val="auto"/>
                <w:lang w:val="en-US" w:eastAsia="zh-CN"/>
              </w:rPr>
              <w:t>安排及质量保障措施方案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w:t>
            </w:r>
            <w:r>
              <w:rPr>
                <w:rFonts w:hint="eastAsia" w:hAnsi="宋体"/>
                <w:bCs/>
                <w:color w:val="auto"/>
                <w:lang w:val="en-US" w:eastAsia="zh-CN"/>
              </w:rPr>
              <w:t>，</w:t>
            </w:r>
            <w:r>
              <w:rPr>
                <w:rFonts w:hint="eastAsia" w:ascii="宋体" w:hAnsi="宋体" w:eastAsia="宋体"/>
                <w:bCs/>
                <w:color w:val="auto"/>
                <w:lang w:val="en-US" w:eastAsia="zh-CN"/>
              </w:rPr>
              <w:t>投入的主要负责人员服装类相关</w:t>
            </w:r>
            <w:r>
              <w:rPr>
                <w:rFonts w:hint="eastAsia" w:hAnsi="宋体"/>
                <w:bCs/>
                <w:color w:val="auto"/>
                <w:lang w:val="en-US" w:eastAsia="zh-CN"/>
              </w:rPr>
              <w:t>专业</w:t>
            </w:r>
            <w:r>
              <w:rPr>
                <w:rFonts w:hint="eastAsia" w:ascii="宋体" w:hAnsi="宋体" w:eastAsia="宋体"/>
                <w:bCs/>
                <w:color w:val="auto"/>
                <w:lang w:val="en-US" w:eastAsia="zh-CN"/>
              </w:rPr>
              <w:t>技能工作经验一般</w:t>
            </w:r>
            <w:r>
              <w:rPr>
                <w:rFonts w:hint="eastAsia" w:hAnsi="宋体"/>
                <w:bCs/>
                <w:color w:val="auto"/>
                <w:lang w:val="en-US" w:eastAsia="zh-CN"/>
              </w:rPr>
              <w:t>。</w:t>
            </w:r>
          </w:p>
          <w:p w14:paraId="3D78752A">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lang w:eastAsia="zh-CN"/>
              </w:rPr>
            </w:pPr>
            <w:r>
              <w:rPr>
                <w:rFonts w:hint="eastAsia" w:hAnsi="宋体"/>
                <w:bCs/>
                <w:color w:val="auto"/>
                <w:lang w:eastAsia="zh-CN"/>
              </w:rPr>
              <w:t>四</w:t>
            </w:r>
            <w:r>
              <w:rPr>
                <w:rFonts w:hint="eastAsia" w:hAnsi="宋体"/>
                <w:bCs/>
                <w:color w:val="auto"/>
              </w:rPr>
              <w:t>档（</w:t>
            </w:r>
            <w:r>
              <w:rPr>
                <w:rFonts w:hint="eastAsia" w:hAnsi="宋体"/>
                <w:bCs/>
                <w:color w:val="auto"/>
                <w:lang w:val="en-US" w:eastAsia="zh-CN"/>
              </w:rPr>
              <w:t>6</w:t>
            </w:r>
            <w:r>
              <w:rPr>
                <w:rFonts w:hint="eastAsia" w:hAnsi="宋体"/>
                <w:bCs/>
                <w:color w:val="auto"/>
              </w:rPr>
              <w:t>分）：</w:t>
            </w:r>
            <w:r>
              <w:rPr>
                <w:rFonts w:hint="eastAsia" w:hAnsi="宋体"/>
                <w:bCs/>
                <w:color w:val="auto"/>
                <w:lang w:val="en-US" w:eastAsia="zh-CN"/>
              </w:rPr>
              <w:t>提交的工作组织、进度安排</w:t>
            </w:r>
            <w:r>
              <w:rPr>
                <w:rFonts w:hint="eastAsia" w:hAnsi="宋体"/>
                <w:b w:val="0"/>
                <w:bCs/>
                <w:color w:val="auto"/>
                <w:lang w:val="en-US" w:eastAsia="zh-CN"/>
              </w:rPr>
              <w:t>方案</w:t>
            </w:r>
            <w:r>
              <w:rPr>
                <w:rFonts w:hint="eastAsia" w:hAnsi="宋体"/>
                <w:bCs/>
                <w:color w:val="auto"/>
                <w:lang w:val="en-US" w:eastAsia="zh-CN"/>
              </w:rPr>
              <w:t>中，组织协调方案内容简单，没有合理性；进度计划不明确，进度计划保证措施不具有可行性，</w:t>
            </w:r>
            <w:r>
              <w:rPr>
                <w:rFonts w:hint="default" w:ascii="宋体" w:hAnsi="宋体" w:eastAsia="宋体" w:cs="宋体"/>
                <w:bCs/>
                <w:color w:val="auto"/>
                <w:sz w:val="21"/>
                <w:szCs w:val="21"/>
                <w:highlight w:val="none"/>
                <w:lang w:val="en-US" w:eastAsia="zh-CN"/>
              </w:rPr>
              <w:t>参赛服装</w:t>
            </w:r>
            <w:r>
              <w:rPr>
                <w:rFonts w:hint="eastAsia" w:hAnsi="宋体" w:cs="宋体"/>
                <w:bCs/>
                <w:color w:val="auto"/>
                <w:sz w:val="21"/>
                <w:szCs w:val="21"/>
                <w:highlight w:val="none"/>
                <w:lang w:val="en-US" w:eastAsia="zh-CN"/>
              </w:rPr>
              <w:t>计划</w:t>
            </w:r>
            <w:r>
              <w:rPr>
                <w:rFonts w:hint="eastAsia" w:hAnsi="宋体"/>
                <w:bCs/>
                <w:color w:val="auto"/>
                <w:lang w:val="en-US" w:eastAsia="zh-CN"/>
              </w:rPr>
              <w:t>安排及质量保障措施方案</w:t>
            </w:r>
            <w:r>
              <w:rPr>
                <w:rFonts w:hint="eastAsia" w:hAnsi="宋体" w:cs="宋体"/>
                <w:b w:val="0"/>
                <w:bCs/>
                <w:color w:val="auto"/>
                <w:kern w:val="0"/>
                <w:szCs w:val="21"/>
                <w:highlight w:val="none"/>
                <w:lang w:val="en-US" w:eastAsia="zh-CN"/>
              </w:rPr>
              <w:t>不</w:t>
            </w:r>
            <w:r>
              <w:rPr>
                <w:rFonts w:hint="eastAsia" w:ascii="宋体" w:hAnsi="宋体" w:eastAsia="宋体" w:cs="宋体"/>
                <w:b w:val="0"/>
                <w:bCs/>
                <w:color w:val="auto"/>
                <w:kern w:val="0"/>
                <w:szCs w:val="21"/>
                <w:highlight w:val="none"/>
                <w:lang w:val="en-US" w:eastAsia="zh-CN"/>
              </w:rPr>
              <w:t>完整</w:t>
            </w:r>
            <w:r>
              <w:rPr>
                <w:rFonts w:hint="eastAsia" w:hAnsi="宋体"/>
                <w:bCs/>
                <w:color w:val="auto"/>
                <w:lang w:val="en-US" w:eastAsia="zh-CN"/>
              </w:rPr>
              <w:t>，</w:t>
            </w:r>
            <w:r>
              <w:rPr>
                <w:rFonts w:hint="eastAsia" w:ascii="宋体" w:hAnsi="宋体" w:eastAsia="宋体"/>
                <w:bCs/>
                <w:color w:val="auto"/>
                <w:lang w:val="en-US" w:eastAsia="zh-CN"/>
              </w:rPr>
              <w:t>投入的主要负责人员没有服装类相关</w:t>
            </w:r>
            <w:r>
              <w:rPr>
                <w:rFonts w:hint="eastAsia" w:hAnsi="宋体"/>
                <w:bCs/>
                <w:color w:val="auto"/>
                <w:lang w:val="en-US" w:eastAsia="zh-CN"/>
              </w:rPr>
              <w:t>专业</w:t>
            </w:r>
            <w:r>
              <w:rPr>
                <w:rFonts w:hint="eastAsia" w:ascii="宋体" w:hAnsi="宋体" w:eastAsia="宋体"/>
                <w:bCs/>
                <w:color w:val="auto"/>
                <w:lang w:val="en-US" w:eastAsia="zh-CN"/>
              </w:rPr>
              <w:t>技能工作经验</w:t>
            </w:r>
            <w:r>
              <w:rPr>
                <w:rFonts w:hint="eastAsia" w:hAnsi="宋体"/>
                <w:bCs/>
                <w:color w:val="auto"/>
                <w:lang w:eastAsia="zh-CN"/>
              </w:rPr>
              <w:t>。</w:t>
            </w:r>
          </w:p>
        </w:tc>
      </w:tr>
      <w:tr w14:paraId="6A24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9" w:type="dxa"/>
            <w:vMerge w:val="continue"/>
            <w:vAlign w:val="center"/>
          </w:tcPr>
          <w:p w14:paraId="34D7D7DA">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06A6782E">
            <w:pPr>
              <w:keepNext w:val="0"/>
              <w:keepLines w:val="0"/>
              <w:suppressLineNumbers w:val="0"/>
              <w:spacing w:before="120" w:beforeLines="50" w:beforeAutospacing="0" w:after="0" w:afterAutospacing="0" w:line="360" w:lineRule="auto"/>
              <w:ind w:left="0" w:right="0"/>
              <w:rPr>
                <w:rFonts w:hint="eastAsia"/>
                <w:color w:val="auto"/>
              </w:rPr>
            </w:pPr>
          </w:p>
        </w:tc>
        <w:tc>
          <w:tcPr>
            <w:tcW w:w="996" w:type="dxa"/>
            <w:vMerge w:val="continue"/>
            <w:vAlign w:val="center"/>
          </w:tcPr>
          <w:p w14:paraId="59762D97">
            <w:pPr>
              <w:keepNext w:val="0"/>
              <w:keepLines w:val="0"/>
              <w:suppressLineNumbers w:val="0"/>
              <w:spacing w:before="120" w:beforeLines="50" w:beforeAutospacing="0" w:after="0" w:afterAutospacing="0" w:line="360" w:lineRule="auto"/>
              <w:ind w:left="0" w:right="0"/>
              <w:rPr>
                <w:rFonts w:hint="eastAsia"/>
                <w:color w:val="auto"/>
              </w:rPr>
            </w:pPr>
          </w:p>
        </w:tc>
        <w:tc>
          <w:tcPr>
            <w:tcW w:w="2370" w:type="dxa"/>
            <w:gridSpan w:val="2"/>
            <w:shd w:val="clear" w:color="auto" w:fill="auto"/>
            <w:vAlign w:val="center"/>
          </w:tcPr>
          <w:p w14:paraId="73CE066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bCs/>
                <w:color w:val="auto"/>
                <w:kern w:val="2"/>
                <w:sz w:val="21"/>
                <w:szCs w:val="24"/>
                <w:lang w:val="en-US" w:eastAsia="zh-CN" w:bidi="ar-SA"/>
              </w:rPr>
            </w:pPr>
            <w:r>
              <w:rPr>
                <w:rFonts w:hint="eastAsia" w:ascii="宋体" w:hAnsi="宋体" w:eastAsia="宋体" w:cs="Times New Roman"/>
                <w:bCs/>
                <w:color w:val="auto"/>
                <w:kern w:val="2"/>
                <w:sz w:val="21"/>
                <w:szCs w:val="24"/>
                <w:lang w:val="en-US" w:eastAsia="zh-CN" w:bidi="ar-SA"/>
              </w:rPr>
              <w:t>服务承诺</w:t>
            </w:r>
          </w:p>
          <w:p w14:paraId="0BF13D5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bidi="ar-SA"/>
              </w:rPr>
            </w:pPr>
            <w:r>
              <w:rPr>
                <w:rFonts w:hint="eastAsia" w:hAnsi="宋体"/>
                <w:color w:val="auto"/>
              </w:rPr>
              <w:t>（满分</w:t>
            </w:r>
            <w:r>
              <w:rPr>
                <w:rFonts w:hint="eastAsia" w:hAnsi="宋体"/>
                <w:color w:val="auto"/>
                <w:lang w:val="en-US" w:eastAsia="zh-CN"/>
              </w:rPr>
              <w:t>20</w:t>
            </w:r>
            <w:r>
              <w:rPr>
                <w:rFonts w:hint="eastAsia" w:hAnsi="宋体"/>
                <w:color w:val="auto"/>
              </w:rPr>
              <w:t>分</w:t>
            </w:r>
            <w:r>
              <w:rPr>
                <w:rFonts w:hint="eastAsia" w:hAnsi="宋体"/>
                <w:color w:val="auto"/>
                <w:sz w:val="24"/>
              </w:rPr>
              <w:t>）</w:t>
            </w:r>
          </w:p>
        </w:tc>
        <w:tc>
          <w:tcPr>
            <w:tcW w:w="5856" w:type="dxa"/>
            <w:shd w:val="clear" w:color="auto" w:fill="auto"/>
            <w:vAlign w:val="top"/>
          </w:tcPr>
          <w:p w14:paraId="3DD10190">
            <w:pPr>
              <w:pStyle w:val="25"/>
              <w:keepNext w:val="0"/>
              <w:keepLines w:val="0"/>
              <w:pageBreakBefore w:val="0"/>
              <w:widowControl w:val="0"/>
              <w:suppressLineNumbers w:val="0"/>
              <w:tabs>
                <w:tab w:val="left" w:pos="4214"/>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b/>
                <w:bCs/>
                <w:color w:val="auto"/>
                <w:sz w:val="22"/>
                <w:szCs w:val="22"/>
              </w:rPr>
            </w:pPr>
            <w:r>
              <w:rPr>
                <w:rFonts w:hint="eastAsia" w:hAnsi="宋体"/>
                <w:bCs/>
                <w:color w:val="auto"/>
                <w:lang w:eastAsia="zh-CN"/>
              </w:rPr>
              <w:t>一</w:t>
            </w:r>
            <w:r>
              <w:rPr>
                <w:rFonts w:hint="eastAsia" w:hAnsi="宋体"/>
                <w:bCs/>
                <w:color w:val="auto"/>
              </w:rPr>
              <w:t>档（</w:t>
            </w:r>
            <w:r>
              <w:rPr>
                <w:rFonts w:hint="eastAsia" w:hAnsi="宋体"/>
                <w:bCs/>
                <w:color w:val="auto"/>
                <w:lang w:val="en-US" w:eastAsia="zh-CN"/>
              </w:rPr>
              <w:t>20</w:t>
            </w:r>
            <w:r>
              <w:rPr>
                <w:rFonts w:hint="eastAsia" w:hAnsi="宋体"/>
                <w:bCs/>
                <w:color w:val="auto"/>
              </w:rPr>
              <w:t>分）：服务承诺内容（服务内容、服务措施、服务响应速度、应急服务承诺、设备安装、后续清场服务承诺等方面）详细，各项承诺内容合理，针对性强，服务措施详细可行，完全满足项目需求，充分为采购人考虑。</w:t>
            </w:r>
          </w:p>
          <w:p w14:paraId="006A9E30">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bCs/>
                <w:color w:val="auto"/>
              </w:rPr>
            </w:pPr>
            <w:r>
              <w:rPr>
                <w:rFonts w:hint="eastAsia" w:hAnsi="宋体"/>
                <w:bCs/>
                <w:color w:val="auto"/>
              </w:rPr>
              <w:t>二档（</w:t>
            </w:r>
            <w:r>
              <w:rPr>
                <w:rFonts w:hint="eastAsia" w:hAnsi="宋体"/>
                <w:bCs/>
                <w:color w:val="auto"/>
                <w:lang w:val="en-US" w:eastAsia="zh-CN"/>
              </w:rPr>
              <w:t>15</w:t>
            </w:r>
            <w:r>
              <w:rPr>
                <w:rFonts w:hint="eastAsia" w:hAnsi="宋体"/>
                <w:bCs/>
                <w:color w:val="auto"/>
              </w:rPr>
              <w:t>分）：服务承诺内容（服务内容、服务措施、服务响应速度、应急服务承诺、设备安装、后续清场服务承诺等方面）完整，各项承诺内容合理，具有一定针对性，满足项目需求；</w:t>
            </w:r>
          </w:p>
          <w:p w14:paraId="567B7D3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imes New Roman"/>
                <w:b w:val="0"/>
                <w:bCs/>
                <w:color w:val="auto"/>
                <w:kern w:val="2"/>
                <w:sz w:val="21"/>
                <w:szCs w:val="24"/>
                <w:lang w:val="en-US" w:eastAsia="zh-CN" w:bidi="ar-SA"/>
              </w:rPr>
            </w:pPr>
            <w:r>
              <w:rPr>
                <w:rFonts w:hint="eastAsia" w:hAnsi="宋体"/>
                <w:bCs/>
                <w:color w:val="auto"/>
                <w:lang w:eastAsia="zh-CN"/>
              </w:rPr>
              <w:t>三</w:t>
            </w:r>
            <w:r>
              <w:rPr>
                <w:rFonts w:hint="eastAsia" w:ascii="宋体" w:hAnsi="宋体" w:eastAsia="宋体" w:cs="Times New Roman"/>
                <w:b w:val="0"/>
                <w:bCs/>
                <w:color w:val="auto"/>
                <w:kern w:val="2"/>
                <w:sz w:val="21"/>
                <w:szCs w:val="24"/>
                <w:lang w:val="en-US" w:eastAsia="zh-CN" w:bidi="ar-SA"/>
              </w:rPr>
              <w:t>档（</w:t>
            </w:r>
            <w:r>
              <w:rPr>
                <w:rFonts w:hint="eastAsia" w:ascii="宋体" w:hAnsi="宋体" w:cs="Times New Roman"/>
                <w:b w:val="0"/>
                <w:bCs/>
                <w:color w:val="auto"/>
                <w:kern w:val="2"/>
                <w:sz w:val="21"/>
                <w:szCs w:val="24"/>
                <w:lang w:val="en-US" w:eastAsia="zh-CN" w:bidi="ar-SA"/>
              </w:rPr>
              <w:t>10</w:t>
            </w:r>
            <w:r>
              <w:rPr>
                <w:rFonts w:hint="eastAsia" w:ascii="宋体" w:hAnsi="宋体" w:eastAsia="宋体" w:cs="Times New Roman"/>
                <w:b w:val="0"/>
                <w:bCs/>
                <w:color w:val="auto"/>
                <w:kern w:val="2"/>
                <w:sz w:val="21"/>
                <w:szCs w:val="24"/>
                <w:lang w:val="en-US" w:eastAsia="zh-CN" w:bidi="ar-SA"/>
              </w:rPr>
              <w:t>分）：服务承诺内容（服务内容、服务措施、服务响应速度、应急服务承诺、设备安装、后续清场服务承诺等方面）较完整，各项承诺内容基本合理；</w:t>
            </w:r>
          </w:p>
          <w:p w14:paraId="204B074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Arial" w:hAnsi="Arial" w:eastAsia="宋体" w:cs="Times New Roman"/>
                <w:b/>
                <w:bCs/>
                <w:color w:val="auto"/>
                <w:kern w:val="2"/>
                <w:sz w:val="21"/>
                <w:szCs w:val="28"/>
                <w:lang w:val="en-US" w:eastAsia="zh-CN" w:bidi="ar-SA"/>
              </w:rPr>
            </w:pPr>
            <w:r>
              <w:rPr>
                <w:rFonts w:hint="eastAsia" w:ascii="宋体" w:hAnsi="宋体" w:cs="Times New Roman"/>
                <w:b w:val="0"/>
                <w:bCs/>
                <w:color w:val="auto"/>
                <w:kern w:val="2"/>
                <w:sz w:val="21"/>
                <w:szCs w:val="24"/>
                <w:lang w:val="en-US" w:eastAsia="zh-CN" w:bidi="ar-SA"/>
              </w:rPr>
              <w:t>四</w:t>
            </w:r>
            <w:r>
              <w:rPr>
                <w:rFonts w:hint="eastAsia" w:ascii="宋体" w:hAnsi="宋体" w:eastAsia="宋体" w:cs="Times New Roman"/>
                <w:b w:val="0"/>
                <w:bCs/>
                <w:color w:val="auto"/>
                <w:kern w:val="2"/>
                <w:sz w:val="21"/>
                <w:szCs w:val="24"/>
                <w:lang w:val="en-US" w:eastAsia="zh-CN" w:bidi="ar-SA"/>
              </w:rPr>
              <w:t>档（</w:t>
            </w:r>
            <w:r>
              <w:rPr>
                <w:rFonts w:hint="eastAsia" w:ascii="宋体" w:hAnsi="宋体" w:cs="Times New Roman"/>
                <w:b w:val="0"/>
                <w:bCs/>
                <w:color w:val="auto"/>
                <w:kern w:val="2"/>
                <w:sz w:val="21"/>
                <w:szCs w:val="24"/>
                <w:lang w:val="en-US" w:eastAsia="zh-CN" w:bidi="ar-SA"/>
              </w:rPr>
              <w:t>5</w:t>
            </w:r>
            <w:r>
              <w:rPr>
                <w:rFonts w:hint="eastAsia" w:ascii="宋体" w:hAnsi="宋体" w:eastAsia="宋体" w:cs="Times New Roman"/>
                <w:b w:val="0"/>
                <w:bCs/>
                <w:color w:val="auto"/>
                <w:kern w:val="2"/>
                <w:sz w:val="21"/>
                <w:szCs w:val="24"/>
                <w:lang w:val="en-US" w:eastAsia="zh-CN" w:bidi="ar-SA"/>
              </w:rPr>
              <w:t>分）：服务承诺内容（服务内容、服务措施、服务响应速度、应急服务承诺、设备安装、后续清场服务承诺等方面）简单，各项承诺内容不够全面或缺项</w:t>
            </w:r>
            <w:r>
              <w:rPr>
                <w:rFonts w:hint="eastAsia" w:ascii="宋体" w:hAnsi="宋体" w:cs="Times New Roman"/>
                <w:b w:val="0"/>
                <w:bCs/>
                <w:color w:val="auto"/>
                <w:kern w:val="2"/>
                <w:sz w:val="21"/>
                <w:szCs w:val="24"/>
                <w:lang w:val="en-US" w:eastAsia="zh-CN" w:bidi="ar-SA"/>
              </w:rPr>
              <w:t>。</w:t>
            </w:r>
          </w:p>
        </w:tc>
      </w:tr>
      <w:tr w14:paraId="48AC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29" w:type="dxa"/>
            <w:vMerge w:val="continue"/>
            <w:vAlign w:val="center"/>
          </w:tcPr>
          <w:p w14:paraId="173F6CE6">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Merge w:val="continue"/>
            <w:vAlign w:val="center"/>
          </w:tcPr>
          <w:p w14:paraId="51D2E0CC">
            <w:pPr>
              <w:keepNext w:val="0"/>
              <w:keepLines w:val="0"/>
              <w:suppressLineNumbers w:val="0"/>
              <w:spacing w:before="120" w:beforeLines="50" w:beforeAutospacing="0" w:after="0" w:afterAutospacing="0" w:line="360" w:lineRule="auto"/>
              <w:ind w:left="0" w:right="0"/>
              <w:rPr>
                <w:rFonts w:hint="default"/>
                <w:color w:val="auto"/>
              </w:rPr>
            </w:pPr>
          </w:p>
        </w:tc>
        <w:tc>
          <w:tcPr>
            <w:tcW w:w="996" w:type="dxa"/>
            <w:vMerge w:val="continue"/>
            <w:vAlign w:val="center"/>
          </w:tcPr>
          <w:p w14:paraId="6C368BB8">
            <w:pPr>
              <w:keepNext w:val="0"/>
              <w:keepLines w:val="0"/>
              <w:suppressLineNumbers w:val="0"/>
              <w:spacing w:before="120" w:beforeLines="50" w:beforeAutospacing="0" w:after="0" w:afterAutospacing="0" w:line="360" w:lineRule="auto"/>
              <w:ind w:left="0" w:right="0"/>
              <w:rPr>
                <w:rFonts w:hint="default"/>
                <w:color w:val="auto"/>
              </w:rPr>
            </w:pPr>
          </w:p>
        </w:tc>
        <w:tc>
          <w:tcPr>
            <w:tcW w:w="2370" w:type="dxa"/>
            <w:gridSpan w:val="2"/>
            <w:vAlign w:val="center"/>
          </w:tcPr>
          <w:p w14:paraId="3FB20A2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bCs/>
                <w:color w:val="auto"/>
                <w:kern w:val="2"/>
                <w:sz w:val="21"/>
                <w:szCs w:val="24"/>
                <w:lang w:val="en-US" w:eastAsia="zh-CN" w:bidi="ar-SA"/>
              </w:rPr>
            </w:pPr>
            <w:r>
              <w:rPr>
                <w:rFonts w:hint="eastAsia" w:ascii="宋体" w:hAnsi="宋体" w:eastAsia="宋体" w:cs="Times New Roman"/>
                <w:bCs/>
                <w:color w:val="auto"/>
                <w:kern w:val="2"/>
                <w:sz w:val="21"/>
                <w:szCs w:val="24"/>
                <w:lang w:val="en-US" w:eastAsia="zh-CN" w:bidi="ar-SA"/>
              </w:rPr>
              <w:t>投入项目的人员情况</w:t>
            </w:r>
          </w:p>
          <w:p w14:paraId="1A519CB2">
            <w:pPr>
              <w:keepNext w:val="0"/>
              <w:keepLines w:val="0"/>
              <w:suppressLineNumbers w:val="0"/>
              <w:spacing w:before="0" w:beforeAutospacing="0" w:after="0" w:afterAutospacing="0" w:line="360" w:lineRule="auto"/>
              <w:ind w:left="0" w:leftChars="0" w:right="0" w:rightChars="0"/>
              <w:jc w:val="center"/>
              <w:rPr>
                <w:rFonts w:hint="default"/>
                <w:color w:val="auto"/>
              </w:rPr>
            </w:pPr>
            <w:r>
              <w:rPr>
                <w:rFonts w:hint="eastAsia" w:ascii="宋体" w:hAnsi="宋体" w:eastAsia="宋体" w:cs="Times New Roman"/>
                <w:bCs/>
                <w:color w:val="auto"/>
                <w:kern w:val="2"/>
                <w:sz w:val="21"/>
                <w:szCs w:val="24"/>
                <w:lang w:val="en-US" w:eastAsia="zh-CN" w:bidi="ar-SA"/>
              </w:rPr>
              <w:t>（满分1</w:t>
            </w:r>
            <w:r>
              <w:rPr>
                <w:rFonts w:hint="default" w:ascii="宋体" w:hAnsi="宋体" w:eastAsia="宋体" w:cs="Times New Roman"/>
                <w:bCs/>
                <w:color w:val="auto"/>
                <w:kern w:val="2"/>
                <w:sz w:val="21"/>
                <w:szCs w:val="24"/>
                <w:lang w:val="en-US" w:eastAsia="zh-CN" w:bidi="ar-SA"/>
              </w:rPr>
              <w:t>0</w:t>
            </w:r>
            <w:r>
              <w:rPr>
                <w:rFonts w:hint="eastAsia" w:ascii="宋体" w:hAnsi="宋体" w:eastAsia="宋体" w:cs="Times New Roman"/>
                <w:bCs/>
                <w:color w:val="auto"/>
                <w:kern w:val="2"/>
                <w:sz w:val="21"/>
                <w:szCs w:val="24"/>
                <w:lang w:val="en-US" w:eastAsia="zh-CN" w:bidi="ar-SA"/>
              </w:rPr>
              <w:t>分）</w:t>
            </w:r>
          </w:p>
        </w:tc>
        <w:tc>
          <w:tcPr>
            <w:tcW w:w="5856" w:type="dxa"/>
          </w:tcPr>
          <w:p w14:paraId="6E4ED3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auto"/>
              <w:rPr>
                <w:rFonts w:hint="eastAsia" w:ascii="宋体" w:hAnsi="宋体" w:eastAsia="宋体" w:cs="Times New Roman"/>
                <w:b w:val="0"/>
                <w:bCs/>
                <w:color w:val="auto"/>
                <w:kern w:val="2"/>
                <w:sz w:val="21"/>
                <w:szCs w:val="24"/>
                <w:lang w:val="en-US" w:eastAsia="zh-CN" w:bidi="ar-SA"/>
              </w:rPr>
            </w:pPr>
            <w:r>
              <w:rPr>
                <w:rFonts w:hint="eastAsia" w:ascii="宋体" w:hAnsi="宋体" w:eastAsia="宋体" w:cs="Times New Roman"/>
                <w:b w:val="0"/>
                <w:bCs/>
                <w:color w:val="auto"/>
                <w:kern w:val="2"/>
                <w:sz w:val="21"/>
                <w:szCs w:val="24"/>
                <w:lang w:val="en-US" w:eastAsia="zh-CN" w:bidi="ar-SA"/>
              </w:rPr>
              <w:t>供应商拟投入本项目实施人员</w:t>
            </w:r>
            <w:r>
              <w:rPr>
                <w:rFonts w:hint="eastAsia" w:hAnsi="宋体" w:cs="Times New Roman"/>
                <w:b w:val="0"/>
                <w:bCs/>
                <w:color w:val="auto"/>
                <w:kern w:val="2"/>
                <w:sz w:val="21"/>
                <w:szCs w:val="24"/>
                <w:lang w:val="en-US" w:eastAsia="zh-CN" w:bidi="ar-SA"/>
              </w:rPr>
              <w:t>10</w:t>
            </w:r>
            <w:r>
              <w:rPr>
                <w:rFonts w:hint="eastAsia" w:ascii="宋体" w:hAnsi="宋体" w:eastAsia="宋体" w:cs="Times New Roman"/>
                <w:b w:val="0"/>
                <w:bCs/>
                <w:color w:val="auto"/>
                <w:kern w:val="2"/>
                <w:sz w:val="21"/>
                <w:szCs w:val="24"/>
                <w:lang w:val="en-US" w:eastAsia="zh-CN" w:bidi="ar-SA"/>
              </w:rPr>
              <w:t>人</w:t>
            </w:r>
            <w:r>
              <w:rPr>
                <w:rFonts w:hint="eastAsia" w:hAnsi="宋体" w:cs="Times New Roman"/>
                <w:b w:val="0"/>
                <w:bCs/>
                <w:color w:val="auto"/>
                <w:kern w:val="2"/>
                <w:sz w:val="21"/>
                <w:szCs w:val="24"/>
                <w:lang w:val="en-US" w:eastAsia="zh-CN" w:bidi="ar-SA"/>
              </w:rPr>
              <w:t>以上（含本数）</w:t>
            </w:r>
            <w:r>
              <w:rPr>
                <w:rFonts w:hint="eastAsia" w:ascii="宋体" w:hAnsi="宋体" w:eastAsia="宋体" w:cs="Times New Roman"/>
                <w:b w:val="0"/>
                <w:bCs/>
                <w:color w:val="auto"/>
                <w:kern w:val="2"/>
                <w:sz w:val="21"/>
                <w:szCs w:val="24"/>
                <w:lang w:val="en-US" w:eastAsia="zh-CN" w:bidi="ar-SA"/>
              </w:rPr>
              <w:t>的得10分；拟投入本项目实施人员</w:t>
            </w:r>
            <w:r>
              <w:rPr>
                <w:rFonts w:hint="eastAsia" w:hAnsi="宋体" w:cs="Times New Roman"/>
                <w:b w:val="0"/>
                <w:bCs/>
                <w:color w:val="auto"/>
                <w:kern w:val="2"/>
                <w:sz w:val="21"/>
                <w:szCs w:val="24"/>
                <w:lang w:val="en-US" w:eastAsia="zh-CN" w:bidi="ar-SA"/>
              </w:rPr>
              <w:t>5～9人（含本数）</w:t>
            </w:r>
            <w:r>
              <w:rPr>
                <w:rFonts w:hint="eastAsia" w:ascii="宋体" w:hAnsi="宋体" w:eastAsia="宋体" w:cs="Times New Roman"/>
                <w:b w:val="0"/>
                <w:bCs/>
                <w:color w:val="auto"/>
                <w:kern w:val="2"/>
                <w:sz w:val="21"/>
                <w:szCs w:val="24"/>
                <w:lang w:val="en-US" w:eastAsia="zh-CN" w:bidi="ar-SA"/>
              </w:rPr>
              <w:t>的得</w:t>
            </w:r>
            <w:r>
              <w:rPr>
                <w:rFonts w:hint="eastAsia" w:hAnsi="宋体" w:cs="Times New Roman"/>
                <w:b w:val="0"/>
                <w:bCs/>
                <w:color w:val="auto"/>
                <w:kern w:val="2"/>
                <w:sz w:val="21"/>
                <w:szCs w:val="24"/>
                <w:lang w:val="en-US" w:eastAsia="zh-CN" w:bidi="ar-SA"/>
              </w:rPr>
              <w:t>5</w:t>
            </w:r>
            <w:r>
              <w:rPr>
                <w:rFonts w:hint="eastAsia" w:ascii="宋体" w:hAnsi="宋体" w:eastAsia="宋体" w:cs="Times New Roman"/>
                <w:b w:val="0"/>
                <w:bCs/>
                <w:color w:val="auto"/>
                <w:kern w:val="2"/>
                <w:sz w:val="21"/>
                <w:szCs w:val="24"/>
                <w:lang w:val="en-US" w:eastAsia="zh-CN" w:bidi="ar-SA"/>
              </w:rPr>
              <w:t>分</w:t>
            </w:r>
            <w:r>
              <w:rPr>
                <w:rFonts w:hint="eastAsia" w:hAnsi="宋体" w:cs="Times New Roman"/>
                <w:b w:val="0"/>
                <w:bCs/>
                <w:color w:val="auto"/>
                <w:kern w:val="2"/>
                <w:sz w:val="21"/>
                <w:szCs w:val="24"/>
                <w:lang w:val="en-US" w:eastAsia="zh-CN" w:bidi="ar-SA"/>
              </w:rPr>
              <w:t>；</w:t>
            </w:r>
            <w:r>
              <w:rPr>
                <w:rFonts w:hint="eastAsia" w:ascii="宋体" w:hAnsi="宋体" w:eastAsia="宋体" w:cs="Times New Roman"/>
                <w:b w:val="0"/>
                <w:bCs/>
                <w:color w:val="auto"/>
                <w:kern w:val="2"/>
                <w:sz w:val="21"/>
                <w:szCs w:val="24"/>
                <w:lang w:val="en-US" w:eastAsia="zh-CN" w:bidi="ar-SA"/>
              </w:rPr>
              <w:t>拟投入本项目实施人员</w:t>
            </w:r>
            <w:r>
              <w:rPr>
                <w:rFonts w:hint="eastAsia" w:hAnsi="宋体" w:cs="Times New Roman"/>
                <w:b w:val="0"/>
                <w:bCs/>
                <w:color w:val="auto"/>
                <w:kern w:val="2"/>
                <w:sz w:val="21"/>
                <w:szCs w:val="24"/>
                <w:lang w:val="en-US" w:eastAsia="zh-CN" w:bidi="ar-SA"/>
              </w:rPr>
              <w:t>4</w:t>
            </w:r>
            <w:r>
              <w:rPr>
                <w:rFonts w:hint="eastAsia" w:ascii="宋体" w:hAnsi="宋体" w:eastAsia="宋体" w:cs="Times New Roman"/>
                <w:b w:val="0"/>
                <w:bCs/>
                <w:color w:val="auto"/>
                <w:kern w:val="2"/>
                <w:sz w:val="21"/>
                <w:szCs w:val="24"/>
                <w:lang w:val="en-US" w:eastAsia="zh-CN" w:bidi="ar-SA"/>
              </w:rPr>
              <w:t>人以下（</w:t>
            </w:r>
            <w:r>
              <w:rPr>
                <w:rFonts w:hint="eastAsia" w:hAnsi="宋体" w:cs="Times New Roman"/>
                <w:b w:val="0"/>
                <w:bCs/>
                <w:color w:val="auto"/>
                <w:kern w:val="2"/>
                <w:sz w:val="21"/>
                <w:szCs w:val="24"/>
                <w:lang w:val="en-US" w:eastAsia="zh-CN" w:bidi="ar-SA"/>
              </w:rPr>
              <w:t>含本数</w:t>
            </w:r>
            <w:r>
              <w:rPr>
                <w:rFonts w:hint="eastAsia" w:ascii="宋体" w:hAnsi="宋体" w:eastAsia="宋体" w:cs="Times New Roman"/>
                <w:b w:val="0"/>
                <w:bCs/>
                <w:color w:val="auto"/>
                <w:kern w:val="2"/>
                <w:sz w:val="21"/>
                <w:szCs w:val="24"/>
                <w:lang w:val="en-US" w:eastAsia="zh-CN" w:bidi="ar-SA"/>
              </w:rPr>
              <w:t>）的得3分。</w:t>
            </w:r>
            <w:r>
              <w:rPr>
                <w:rFonts w:hint="eastAsia" w:ascii="宋体" w:hAnsi="宋体" w:eastAsia="宋体" w:cs="宋体"/>
                <w:b w:val="0"/>
                <w:bCs/>
                <w:color w:val="auto"/>
                <w:kern w:val="0"/>
                <w:szCs w:val="21"/>
                <w:highlight w:val="none"/>
                <w:lang w:val="en-US" w:eastAsia="zh-CN"/>
              </w:rPr>
              <w:t>本项</w:t>
            </w:r>
            <w:r>
              <w:rPr>
                <w:rFonts w:hint="eastAsia" w:ascii="宋体" w:hAnsi="宋体" w:eastAsia="宋体" w:cs="Times New Roman"/>
                <w:b w:val="0"/>
                <w:bCs/>
                <w:color w:val="auto"/>
                <w:kern w:val="2"/>
                <w:sz w:val="21"/>
                <w:szCs w:val="24"/>
                <w:lang w:val="en-US" w:eastAsia="zh-CN" w:bidi="ar-SA"/>
              </w:rPr>
              <w:t>满分10分。</w:t>
            </w:r>
          </w:p>
          <w:p w14:paraId="1599DC4D">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rPr>
            </w:pPr>
            <w:r>
              <w:rPr>
                <w:rFonts w:hint="eastAsia" w:ascii="宋体" w:hAnsi="宋体" w:eastAsia="宋体" w:cs="Times New Roman"/>
                <w:b w:val="0"/>
                <w:bCs/>
                <w:color w:val="auto"/>
                <w:kern w:val="2"/>
                <w:sz w:val="21"/>
                <w:szCs w:val="24"/>
                <w:lang w:val="en-US" w:eastAsia="zh-CN" w:bidi="ar-SA"/>
              </w:rPr>
              <w:t>注：需提供拟投入本项目实施人员的身份证扫描件、资格证件（如有）、劳动合同等证明材料扫描件并加盖单位公章</w:t>
            </w:r>
            <w:r>
              <w:rPr>
                <w:rFonts w:hint="eastAsia" w:hAnsi="宋体" w:cs="Times New Roman"/>
                <w:b w:val="0"/>
                <w:bCs/>
                <w:color w:val="auto"/>
                <w:kern w:val="2"/>
                <w:sz w:val="21"/>
                <w:szCs w:val="24"/>
                <w:lang w:val="en-US" w:eastAsia="zh-CN" w:bidi="ar-SA"/>
              </w:rPr>
              <w:t>，未提供</w:t>
            </w:r>
            <w:r>
              <w:rPr>
                <w:rFonts w:hint="eastAsia" w:ascii="宋体" w:hAnsi="宋体" w:eastAsia="宋体" w:cs="Times New Roman"/>
                <w:b w:val="0"/>
                <w:bCs/>
                <w:color w:val="auto"/>
                <w:kern w:val="2"/>
                <w:sz w:val="21"/>
                <w:szCs w:val="24"/>
                <w:lang w:val="en-US" w:eastAsia="zh-CN" w:bidi="ar-SA"/>
              </w:rPr>
              <w:t>投入本项目实施人员</w:t>
            </w:r>
            <w:r>
              <w:rPr>
                <w:rFonts w:hint="eastAsia" w:hAnsi="宋体" w:cs="Times New Roman"/>
                <w:b w:val="0"/>
                <w:bCs/>
                <w:color w:val="auto"/>
                <w:kern w:val="2"/>
                <w:sz w:val="21"/>
                <w:szCs w:val="24"/>
                <w:lang w:val="en-US" w:eastAsia="zh-CN" w:bidi="ar-SA"/>
              </w:rPr>
              <w:t>或</w:t>
            </w:r>
            <w:r>
              <w:rPr>
                <w:rFonts w:hint="eastAsia" w:ascii="宋体" w:hAnsi="宋体" w:eastAsia="宋体" w:cs="Times New Roman"/>
                <w:b w:val="0"/>
                <w:bCs/>
                <w:color w:val="auto"/>
                <w:kern w:val="2"/>
                <w:sz w:val="21"/>
                <w:szCs w:val="24"/>
                <w:lang w:val="en-US" w:eastAsia="zh-CN" w:bidi="ar-SA"/>
              </w:rPr>
              <w:t>未按要求提供人员证明材料</w:t>
            </w:r>
            <w:r>
              <w:rPr>
                <w:rFonts w:hint="eastAsia" w:hAnsi="宋体" w:cs="Times New Roman"/>
                <w:b w:val="0"/>
                <w:bCs/>
                <w:color w:val="auto"/>
                <w:kern w:val="2"/>
                <w:sz w:val="21"/>
                <w:szCs w:val="24"/>
                <w:lang w:val="en-US" w:eastAsia="zh-CN" w:bidi="ar-SA"/>
              </w:rPr>
              <w:t>的</w:t>
            </w:r>
            <w:r>
              <w:rPr>
                <w:rFonts w:hint="eastAsia" w:ascii="宋体" w:hAnsi="宋体" w:eastAsia="宋体" w:cs="Times New Roman"/>
                <w:b w:val="0"/>
                <w:bCs/>
                <w:color w:val="auto"/>
                <w:kern w:val="2"/>
                <w:sz w:val="21"/>
                <w:szCs w:val="24"/>
                <w:lang w:val="en-US" w:eastAsia="zh-CN" w:bidi="ar-SA"/>
              </w:rPr>
              <w:t>不得分。</w:t>
            </w:r>
          </w:p>
        </w:tc>
      </w:tr>
      <w:tr w14:paraId="0E83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9" w:type="dxa"/>
            <w:vMerge w:val="continue"/>
            <w:vAlign w:val="center"/>
          </w:tcPr>
          <w:p w14:paraId="44D3B91B">
            <w:pPr>
              <w:keepNext w:val="0"/>
              <w:keepLines w:val="0"/>
              <w:suppressLineNumbers w:val="0"/>
              <w:spacing w:before="120" w:beforeLines="50" w:beforeAutospacing="0" w:after="0" w:afterAutospacing="0" w:line="360" w:lineRule="auto"/>
              <w:ind w:left="0" w:right="0"/>
              <w:rPr>
                <w:rFonts w:hint="default"/>
                <w:color w:val="auto"/>
              </w:rPr>
            </w:pPr>
          </w:p>
        </w:tc>
        <w:tc>
          <w:tcPr>
            <w:tcW w:w="398" w:type="dxa"/>
            <w:vAlign w:val="center"/>
          </w:tcPr>
          <w:p w14:paraId="46A0B60C">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四</w:t>
            </w:r>
          </w:p>
        </w:tc>
        <w:tc>
          <w:tcPr>
            <w:tcW w:w="9222" w:type="dxa"/>
            <w:gridSpan w:val="4"/>
            <w:vAlign w:val="center"/>
          </w:tcPr>
          <w:p w14:paraId="50CD58A6">
            <w:pPr>
              <w:keepNext w:val="0"/>
              <w:keepLines w:val="0"/>
              <w:suppressLineNumbers w:val="0"/>
              <w:spacing w:before="120" w:beforeLines="50" w:beforeAutospacing="0" w:after="0" w:afterAutospacing="0" w:line="360" w:lineRule="auto"/>
              <w:ind w:left="0" w:right="0"/>
              <w:rPr>
                <w:rFonts w:hint="default"/>
                <w:color w:val="auto"/>
              </w:rPr>
            </w:pPr>
            <w:r>
              <w:rPr>
                <w:rFonts w:hint="eastAsia"/>
                <w:color w:val="auto"/>
              </w:rPr>
              <w:t>总分</w:t>
            </w:r>
            <w:r>
              <w:rPr>
                <w:rFonts w:hint="default"/>
                <w:color w:val="auto"/>
              </w:rPr>
              <w:t>=</w:t>
            </w:r>
            <w:r>
              <w:rPr>
                <w:rFonts w:hint="eastAsia"/>
                <w:color w:val="auto"/>
              </w:rPr>
              <w:t>一</w:t>
            </w:r>
            <w:r>
              <w:rPr>
                <w:rFonts w:hint="default"/>
                <w:color w:val="auto"/>
              </w:rPr>
              <w:t>+</w:t>
            </w:r>
            <w:r>
              <w:rPr>
                <w:rFonts w:hint="eastAsia"/>
                <w:color w:val="auto"/>
              </w:rPr>
              <w:t>二</w:t>
            </w:r>
            <w:r>
              <w:rPr>
                <w:rFonts w:hint="default"/>
                <w:color w:val="auto"/>
              </w:rPr>
              <w:t>+三</w:t>
            </w:r>
          </w:p>
        </w:tc>
      </w:tr>
      <w:tr w14:paraId="11E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29" w:type="dxa"/>
            <w:vAlign w:val="center"/>
          </w:tcPr>
          <w:p w14:paraId="282B04EA">
            <w:pPr>
              <w:keepNext w:val="0"/>
              <w:keepLines w:val="0"/>
              <w:suppressLineNumbers w:val="0"/>
              <w:spacing w:before="120" w:beforeLines="50" w:beforeAutospacing="0" w:after="0" w:afterAutospacing="0" w:line="360" w:lineRule="auto"/>
              <w:ind w:left="0" w:right="0"/>
              <w:rPr>
                <w:rFonts w:hint="default"/>
                <w:color w:val="auto"/>
              </w:rPr>
            </w:pPr>
            <w:r>
              <w:rPr>
                <w:rFonts w:hint="default"/>
                <w:color w:val="auto"/>
              </w:rPr>
              <w:t>2.4.1</w:t>
            </w:r>
          </w:p>
        </w:tc>
        <w:tc>
          <w:tcPr>
            <w:tcW w:w="1394" w:type="dxa"/>
            <w:gridSpan w:val="2"/>
            <w:vAlign w:val="center"/>
          </w:tcPr>
          <w:p w14:paraId="7C7F937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rPr>
            </w:pPr>
            <w:r>
              <w:rPr>
                <w:rFonts w:hint="eastAsia"/>
                <w:color w:val="auto"/>
              </w:rPr>
              <w:t>评审得分</w:t>
            </w:r>
          </w:p>
          <w:p w14:paraId="385A932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rPr>
            </w:pPr>
            <w:r>
              <w:rPr>
                <w:rFonts w:hint="eastAsia"/>
                <w:color w:val="auto"/>
              </w:rPr>
              <w:t>排序</w:t>
            </w:r>
          </w:p>
        </w:tc>
        <w:tc>
          <w:tcPr>
            <w:tcW w:w="8226" w:type="dxa"/>
            <w:gridSpan w:val="3"/>
            <w:vAlign w:val="center"/>
          </w:tcPr>
          <w:p w14:paraId="72CE3D6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rPr>
            </w:pPr>
            <w:r>
              <w:rPr>
                <w:rFonts w:hint="eastAsia"/>
                <w:color w:val="auto"/>
              </w:rPr>
              <w:t>按评审得分由高到低排序。评审得分相同的，按技术分得分由高到低排序；若技术分得分仍相同的，按报价由低到高顺序排列。</w:t>
            </w:r>
          </w:p>
        </w:tc>
      </w:tr>
    </w:tbl>
    <w:p w14:paraId="0E50A718">
      <w:pPr>
        <w:rPr>
          <w:b/>
          <w:color w:val="auto"/>
        </w:rPr>
      </w:pPr>
      <w:r>
        <w:rPr>
          <w:rFonts w:hint="eastAsia" w:hAnsi="宋体"/>
          <w:b/>
          <w:color w:val="auto"/>
        </w:rPr>
        <w:t>备注</w:t>
      </w:r>
      <w:r>
        <w:rPr>
          <w:rFonts w:hAnsi="宋体"/>
          <w:b/>
          <w:color w:val="auto"/>
        </w:rPr>
        <w:t>：银行、保</w:t>
      </w:r>
      <w:r>
        <w:rPr>
          <w:rFonts w:hAnsi="宋体"/>
          <w:b/>
          <w:color w:val="auto"/>
          <w:szCs w:val="22"/>
        </w:rPr>
        <w:t>险、石油石化、电力、电信等</w:t>
      </w:r>
      <w:r>
        <w:rPr>
          <w:rFonts w:hint="eastAsia" w:hAnsi="宋体"/>
          <w:b/>
          <w:color w:val="auto"/>
          <w:szCs w:val="22"/>
        </w:rPr>
        <w:t>有</w:t>
      </w:r>
      <w:r>
        <w:rPr>
          <w:rFonts w:hAnsi="宋体"/>
          <w:b/>
          <w:color w:val="auto"/>
          <w:szCs w:val="22"/>
        </w:rPr>
        <w:t>行业特殊情况，以分支机构参加政府采购活动的，可以提供其上级公司或集团</w:t>
      </w:r>
      <w:r>
        <w:rPr>
          <w:rFonts w:hint="eastAsia" w:hAnsi="宋体"/>
          <w:b/>
          <w:color w:val="auto"/>
          <w:szCs w:val="22"/>
        </w:rPr>
        <w:t>的</w:t>
      </w:r>
      <w:r>
        <w:rPr>
          <w:rFonts w:hAnsi="宋体"/>
          <w:b/>
          <w:color w:val="auto"/>
          <w:szCs w:val="22"/>
        </w:rPr>
        <w:t>人员、车辆</w:t>
      </w:r>
      <w:r>
        <w:rPr>
          <w:rFonts w:hint="eastAsia" w:hAnsi="宋体"/>
          <w:b/>
          <w:color w:val="auto"/>
          <w:szCs w:val="22"/>
        </w:rPr>
        <w:t>、</w:t>
      </w:r>
      <w:r>
        <w:rPr>
          <w:rFonts w:hAnsi="宋体"/>
          <w:b/>
          <w:color w:val="auto"/>
          <w:szCs w:val="22"/>
        </w:rPr>
        <w:t>业绩</w:t>
      </w:r>
      <w:r>
        <w:rPr>
          <w:rFonts w:hint="eastAsia" w:hAnsi="宋体"/>
          <w:b/>
          <w:color w:val="auto"/>
          <w:szCs w:val="22"/>
        </w:rPr>
        <w:t>、证书</w:t>
      </w:r>
      <w:r>
        <w:rPr>
          <w:rFonts w:hAnsi="宋体"/>
          <w:b/>
          <w:color w:val="auto"/>
          <w:szCs w:val="22"/>
        </w:rPr>
        <w:t>。</w:t>
      </w:r>
    </w:p>
    <w:bookmarkEnd w:id="43"/>
    <w:bookmarkEnd w:id="44"/>
    <w:p w14:paraId="18279659">
      <w:pPr>
        <w:widowControl/>
        <w:jc w:val="left"/>
        <w:rPr>
          <w:rFonts w:hAnsi="宋体"/>
          <w:b/>
          <w:bCs/>
          <w:color w:val="auto"/>
          <w:sz w:val="24"/>
          <w:szCs w:val="32"/>
        </w:rPr>
      </w:pPr>
      <w:r>
        <w:rPr>
          <w:rFonts w:hAnsi="宋体"/>
          <w:color w:val="auto"/>
        </w:rPr>
        <w:br w:type="page"/>
      </w:r>
    </w:p>
    <w:p w14:paraId="61D0F90F">
      <w:pPr>
        <w:pStyle w:val="3"/>
        <w:rPr>
          <w:rFonts w:ascii="宋体"/>
          <w:color w:val="auto"/>
        </w:rPr>
      </w:pPr>
      <w:bookmarkStart w:id="47" w:name="_Toc6005"/>
      <w:r>
        <w:rPr>
          <w:rFonts w:hint="eastAsia" w:ascii="宋体" w:hAnsi="宋体" w:cs="宋体"/>
          <w:color w:val="auto"/>
        </w:rPr>
        <w:t>评标办法正文</w:t>
      </w:r>
      <w:bookmarkEnd w:id="45"/>
      <w:bookmarkEnd w:id="46"/>
      <w:bookmarkEnd w:id="47"/>
    </w:p>
    <w:p w14:paraId="1021B519">
      <w:pPr>
        <w:pStyle w:val="4"/>
        <w:rPr>
          <w:rFonts w:ascii="宋体" w:hAnsi="宋体" w:eastAsia="宋体"/>
          <w:color w:val="auto"/>
        </w:rPr>
      </w:pPr>
      <w:bookmarkStart w:id="48" w:name="_Toc533781571"/>
      <w:bookmarkStart w:id="49" w:name="_Toc533783523"/>
      <w:r>
        <w:rPr>
          <w:rFonts w:ascii="宋体" w:hAnsi="宋体" w:eastAsia="宋体" w:cs="宋体"/>
          <w:color w:val="auto"/>
        </w:rPr>
        <w:t>1.</w:t>
      </w:r>
      <w:r>
        <w:rPr>
          <w:rFonts w:hint="eastAsia" w:ascii="宋体" w:hAnsi="宋体" w:eastAsia="宋体" w:cs="宋体"/>
          <w:color w:val="auto"/>
        </w:rPr>
        <w:t>评审标准</w:t>
      </w:r>
      <w:bookmarkEnd w:id="48"/>
      <w:bookmarkEnd w:id="49"/>
    </w:p>
    <w:p w14:paraId="026729FA">
      <w:pPr>
        <w:pStyle w:val="5"/>
        <w:rPr>
          <w:rFonts w:ascii="宋体"/>
          <w:color w:val="auto"/>
        </w:rPr>
      </w:pPr>
      <w:r>
        <w:rPr>
          <w:rFonts w:ascii="宋体" w:hAnsi="宋体" w:cs="宋体"/>
          <w:color w:val="auto"/>
        </w:rPr>
        <w:t>1.1</w:t>
      </w:r>
      <w:r>
        <w:rPr>
          <w:rFonts w:hint="eastAsia" w:ascii="宋体" w:hAnsi="宋体" w:cs="宋体"/>
          <w:color w:val="auto"/>
        </w:rPr>
        <w:t>初步评审标准</w:t>
      </w:r>
    </w:p>
    <w:p w14:paraId="6F8AE7E6">
      <w:pPr>
        <w:spacing w:line="360" w:lineRule="auto"/>
        <w:rPr>
          <w:rFonts w:hAnsi="宋体"/>
          <w:color w:val="auto"/>
        </w:rPr>
      </w:pPr>
      <w:r>
        <w:rPr>
          <w:rFonts w:hAnsi="宋体"/>
          <w:color w:val="auto"/>
        </w:rPr>
        <w:t>1.1.1</w:t>
      </w:r>
      <w:r>
        <w:rPr>
          <w:rFonts w:hint="eastAsia" w:hAnsi="宋体"/>
          <w:color w:val="auto"/>
        </w:rPr>
        <w:t>资格审查：见评标办法前附表。</w:t>
      </w:r>
    </w:p>
    <w:p w14:paraId="4F245E5A">
      <w:pPr>
        <w:spacing w:line="360" w:lineRule="auto"/>
        <w:rPr>
          <w:rFonts w:hAnsi="宋体"/>
          <w:color w:val="auto"/>
        </w:rPr>
      </w:pPr>
      <w:r>
        <w:rPr>
          <w:rFonts w:hAnsi="宋体"/>
          <w:color w:val="auto"/>
        </w:rPr>
        <w:t>1.1.2</w:t>
      </w:r>
      <w:r>
        <w:rPr>
          <w:rFonts w:hint="eastAsia" w:hAnsi="宋体"/>
          <w:color w:val="auto"/>
        </w:rPr>
        <w:t>符合性审查：见评标办法前附表。</w:t>
      </w:r>
    </w:p>
    <w:p w14:paraId="6FCE29E9">
      <w:pPr>
        <w:pStyle w:val="5"/>
        <w:rPr>
          <w:rFonts w:ascii="宋体"/>
          <w:color w:val="auto"/>
        </w:rPr>
      </w:pPr>
      <w:r>
        <w:rPr>
          <w:rFonts w:ascii="宋体" w:hAnsi="宋体" w:cs="宋体"/>
          <w:color w:val="auto"/>
        </w:rPr>
        <w:t>1.2</w:t>
      </w:r>
      <w:r>
        <w:rPr>
          <w:rFonts w:hint="eastAsia" w:ascii="宋体" w:hAnsi="宋体" w:cs="宋体"/>
          <w:color w:val="auto"/>
        </w:rPr>
        <w:t>评定标准</w:t>
      </w:r>
    </w:p>
    <w:p w14:paraId="1EEF6A14">
      <w:pPr>
        <w:spacing w:line="360" w:lineRule="auto"/>
        <w:rPr>
          <w:rFonts w:hAnsi="宋体"/>
          <w:color w:val="auto"/>
        </w:rPr>
      </w:pPr>
      <w:r>
        <w:rPr>
          <w:rFonts w:hint="eastAsia" w:hAnsi="宋体"/>
          <w:color w:val="auto"/>
        </w:rPr>
        <w:t>综合评分法。</w:t>
      </w:r>
    </w:p>
    <w:p w14:paraId="218C29CB">
      <w:pPr>
        <w:pStyle w:val="4"/>
        <w:rPr>
          <w:rFonts w:ascii="宋体" w:hAnsi="宋体" w:eastAsia="宋体"/>
          <w:color w:val="auto"/>
        </w:rPr>
      </w:pPr>
      <w:bookmarkStart w:id="50" w:name="_Toc533781572"/>
      <w:bookmarkStart w:id="51" w:name="_Toc533783524"/>
      <w:r>
        <w:rPr>
          <w:rFonts w:ascii="宋体" w:hAnsi="宋体" w:eastAsia="宋体" w:cs="宋体"/>
          <w:color w:val="auto"/>
        </w:rPr>
        <w:t>2.</w:t>
      </w:r>
      <w:r>
        <w:rPr>
          <w:rFonts w:hint="eastAsia" w:ascii="宋体" w:hAnsi="宋体" w:eastAsia="宋体" w:cs="宋体"/>
          <w:color w:val="auto"/>
        </w:rPr>
        <w:t>评标程序</w:t>
      </w:r>
      <w:bookmarkEnd w:id="50"/>
      <w:bookmarkEnd w:id="51"/>
    </w:p>
    <w:p w14:paraId="41A0AF35">
      <w:pPr>
        <w:pStyle w:val="5"/>
        <w:rPr>
          <w:rFonts w:ascii="宋体"/>
          <w:color w:val="auto"/>
        </w:rPr>
      </w:pPr>
      <w:r>
        <w:rPr>
          <w:rFonts w:ascii="宋体" w:hAnsi="宋体" w:cs="宋体"/>
          <w:color w:val="auto"/>
        </w:rPr>
        <w:t>2.1</w:t>
      </w:r>
      <w:r>
        <w:rPr>
          <w:rFonts w:hint="eastAsia" w:ascii="宋体" w:hAnsi="宋体" w:cs="宋体"/>
          <w:color w:val="auto"/>
        </w:rPr>
        <w:t>初步评审</w:t>
      </w:r>
    </w:p>
    <w:p w14:paraId="2C522121">
      <w:pPr>
        <w:spacing w:line="360" w:lineRule="auto"/>
        <w:rPr>
          <w:rFonts w:hAnsi="宋体"/>
          <w:color w:val="auto"/>
        </w:rPr>
      </w:pPr>
      <w:r>
        <w:rPr>
          <w:rFonts w:hAnsi="宋体"/>
          <w:color w:val="auto"/>
        </w:rPr>
        <w:t>2.1.1</w:t>
      </w:r>
      <w:r>
        <w:rPr>
          <w:rFonts w:hint="eastAsia" w:hAnsi="宋体"/>
          <w:color w:val="auto"/>
        </w:rPr>
        <w:t>磋商小组依据本章第</w:t>
      </w:r>
      <w:r>
        <w:rPr>
          <w:rFonts w:hAnsi="宋体"/>
          <w:color w:val="auto"/>
        </w:rPr>
        <w:t>1.1</w:t>
      </w:r>
      <w:r>
        <w:rPr>
          <w:rFonts w:hint="eastAsia" w:hAnsi="宋体"/>
          <w:color w:val="auto"/>
        </w:rPr>
        <w:t>款规定的标准对响应文件进行初步评审。有一项不符合评审标准的，其响应文件作无效处理。</w:t>
      </w:r>
    </w:p>
    <w:p w14:paraId="727BE605">
      <w:pPr>
        <w:spacing w:line="360" w:lineRule="auto"/>
        <w:rPr>
          <w:rFonts w:hAnsi="宋体"/>
          <w:color w:val="auto"/>
        </w:rPr>
      </w:pPr>
      <w:r>
        <w:rPr>
          <w:rFonts w:hAnsi="宋体"/>
          <w:color w:val="auto"/>
        </w:rPr>
        <w:t>2.1.2</w:t>
      </w:r>
      <w:r>
        <w:rPr>
          <w:rFonts w:hint="eastAsia" w:hAnsi="宋体"/>
          <w:color w:val="auto"/>
        </w:rPr>
        <w:t>供应商有以下情形之一的，其响应文件作无效处理：</w:t>
      </w:r>
    </w:p>
    <w:p w14:paraId="1A928951">
      <w:pPr>
        <w:spacing w:line="360" w:lineRule="auto"/>
        <w:rPr>
          <w:rFonts w:hAnsi="宋体"/>
          <w:color w:val="auto"/>
        </w:rPr>
      </w:pPr>
      <w:r>
        <w:rPr>
          <w:rFonts w:hint="eastAsia" w:hAnsi="宋体"/>
          <w:color w:val="auto"/>
        </w:rPr>
        <w:t>（</w:t>
      </w:r>
      <w:r>
        <w:rPr>
          <w:rFonts w:hAnsi="宋体"/>
          <w:color w:val="auto"/>
        </w:rPr>
        <w:t>1</w:t>
      </w:r>
      <w:r>
        <w:rPr>
          <w:rFonts w:hint="eastAsia" w:hAnsi="宋体"/>
          <w:color w:val="auto"/>
        </w:rPr>
        <w:t>）第二章“供应商须知”第</w:t>
      </w:r>
      <w:r>
        <w:rPr>
          <w:rFonts w:hAnsi="宋体"/>
          <w:color w:val="auto"/>
        </w:rPr>
        <w:t>1.3.3</w:t>
      </w:r>
      <w:r>
        <w:rPr>
          <w:rFonts w:hint="eastAsia" w:hAnsi="宋体"/>
          <w:color w:val="auto"/>
        </w:rPr>
        <w:t>项规定的任一情形；</w:t>
      </w:r>
    </w:p>
    <w:p w14:paraId="0C903440">
      <w:pPr>
        <w:spacing w:line="360" w:lineRule="auto"/>
        <w:rPr>
          <w:rFonts w:hAnsi="宋体"/>
          <w:color w:val="auto"/>
        </w:rPr>
      </w:pPr>
      <w:r>
        <w:rPr>
          <w:rFonts w:hint="eastAsia" w:hAnsi="宋体"/>
          <w:color w:val="auto"/>
        </w:rPr>
        <w:t>（</w:t>
      </w:r>
      <w:r>
        <w:rPr>
          <w:rFonts w:hAnsi="宋体"/>
          <w:color w:val="auto"/>
        </w:rPr>
        <w:t>2</w:t>
      </w:r>
      <w:r>
        <w:rPr>
          <w:rFonts w:hint="eastAsia" w:hAnsi="宋体"/>
          <w:color w:val="auto"/>
        </w:rPr>
        <w:t>）串通投标或弄虚作假或有其他违法行为的；</w:t>
      </w:r>
    </w:p>
    <w:p w14:paraId="516C4D6A">
      <w:pPr>
        <w:spacing w:line="360" w:lineRule="auto"/>
        <w:rPr>
          <w:rFonts w:hAnsi="宋体"/>
          <w:color w:val="auto"/>
        </w:rPr>
      </w:pPr>
      <w:r>
        <w:rPr>
          <w:rFonts w:hint="eastAsia" w:hAnsi="宋体"/>
          <w:color w:val="auto"/>
        </w:rPr>
        <w:t>（</w:t>
      </w:r>
      <w:r>
        <w:rPr>
          <w:rFonts w:hAnsi="宋体"/>
          <w:color w:val="auto"/>
        </w:rPr>
        <w:t>3</w:t>
      </w:r>
      <w:r>
        <w:rPr>
          <w:rFonts w:hint="eastAsia" w:hAnsi="宋体"/>
          <w:color w:val="auto"/>
        </w:rPr>
        <w:t>）响应文件中含有采购人不能接受的附件条件的；</w:t>
      </w:r>
    </w:p>
    <w:p w14:paraId="4001965F">
      <w:pPr>
        <w:spacing w:line="360" w:lineRule="auto"/>
        <w:rPr>
          <w:rFonts w:hAnsi="宋体"/>
          <w:color w:val="auto"/>
        </w:rPr>
      </w:pPr>
      <w:r>
        <w:rPr>
          <w:rFonts w:hint="eastAsia" w:hAnsi="宋体"/>
          <w:color w:val="auto"/>
        </w:rPr>
        <w:t>（</w:t>
      </w:r>
      <w:r>
        <w:rPr>
          <w:rFonts w:hAnsi="宋体"/>
          <w:color w:val="auto"/>
        </w:rPr>
        <w:t>4</w:t>
      </w:r>
      <w:r>
        <w:rPr>
          <w:rFonts w:hint="eastAsia" w:hAnsi="宋体"/>
          <w:color w:val="auto"/>
        </w:rPr>
        <w:t>）不按磋商小组要求澄清、说明或补正的。</w:t>
      </w:r>
    </w:p>
    <w:p w14:paraId="1B3BE5B6">
      <w:pPr>
        <w:pStyle w:val="5"/>
        <w:rPr>
          <w:rFonts w:ascii="宋体"/>
          <w:color w:val="auto"/>
        </w:rPr>
      </w:pPr>
      <w:r>
        <w:rPr>
          <w:rFonts w:ascii="宋体" w:hAnsi="宋体" w:cs="宋体"/>
          <w:color w:val="auto"/>
        </w:rPr>
        <w:t>2.2</w:t>
      </w:r>
      <w:r>
        <w:rPr>
          <w:rFonts w:hint="eastAsia" w:ascii="宋体" w:hAnsi="宋体" w:cs="宋体"/>
          <w:color w:val="auto"/>
        </w:rPr>
        <w:t>综合评分</w:t>
      </w:r>
    </w:p>
    <w:p w14:paraId="72160D34">
      <w:pPr>
        <w:spacing w:line="360" w:lineRule="auto"/>
        <w:rPr>
          <w:rFonts w:hAnsi="宋体"/>
          <w:color w:val="auto"/>
        </w:rPr>
      </w:pPr>
      <w:r>
        <w:rPr>
          <w:rFonts w:hint="eastAsia" w:hAnsi="宋体"/>
          <w:color w:val="auto"/>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F2FB222">
      <w:pPr>
        <w:spacing w:line="360" w:lineRule="auto"/>
        <w:rPr>
          <w:rFonts w:hAnsi="宋体"/>
          <w:color w:val="auto"/>
        </w:rPr>
      </w:pPr>
      <w:r>
        <w:rPr>
          <w:rFonts w:hAnsi="宋体"/>
          <w:color w:val="auto"/>
        </w:rPr>
        <w:t>2.2.1</w:t>
      </w:r>
      <w:r>
        <w:rPr>
          <w:rFonts w:hint="eastAsia" w:hAnsi="宋体"/>
          <w:color w:val="auto"/>
        </w:rPr>
        <w:t>分值构成：见评标办法前附表。</w:t>
      </w:r>
    </w:p>
    <w:p w14:paraId="23F398B5">
      <w:pPr>
        <w:spacing w:line="360" w:lineRule="auto"/>
        <w:rPr>
          <w:rFonts w:hAnsi="宋体"/>
          <w:color w:val="auto"/>
        </w:rPr>
      </w:pPr>
      <w:r>
        <w:rPr>
          <w:rFonts w:hAnsi="宋体"/>
          <w:color w:val="auto"/>
        </w:rPr>
        <w:t>2.2.2</w:t>
      </w:r>
      <w:r>
        <w:rPr>
          <w:rFonts w:hint="eastAsia" w:hAnsi="宋体"/>
          <w:color w:val="auto"/>
        </w:rPr>
        <w:t>评标报价：见评标办法前附表。</w:t>
      </w:r>
    </w:p>
    <w:p w14:paraId="08C30889">
      <w:pPr>
        <w:spacing w:line="360" w:lineRule="auto"/>
        <w:rPr>
          <w:rFonts w:hAnsi="宋体"/>
          <w:color w:val="auto"/>
        </w:rPr>
      </w:pPr>
      <w:r>
        <w:rPr>
          <w:rFonts w:hAnsi="宋体"/>
          <w:color w:val="auto"/>
        </w:rPr>
        <w:t>2.2.3</w:t>
      </w:r>
      <w:r>
        <w:rPr>
          <w:rFonts w:hint="eastAsia" w:hAnsi="宋体"/>
          <w:color w:val="auto"/>
        </w:rPr>
        <w:t>评分标准：见评标办法前附表。</w:t>
      </w:r>
    </w:p>
    <w:p w14:paraId="3201F033">
      <w:pPr>
        <w:spacing w:line="360" w:lineRule="auto"/>
        <w:rPr>
          <w:rFonts w:hAnsi="宋体"/>
          <w:color w:val="auto"/>
        </w:rPr>
      </w:pPr>
      <w:r>
        <w:rPr>
          <w:rFonts w:hAnsi="宋体"/>
          <w:color w:val="auto"/>
        </w:rPr>
        <w:t>2.2.4</w:t>
      </w:r>
      <w:r>
        <w:rPr>
          <w:rFonts w:hint="eastAsia" w:hAnsi="宋体"/>
          <w:color w:val="auto"/>
        </w:rPr>
        <w:t>评分分值计算保留小数点后两位，小数点后第三位“四舍五入”。</w:t>
      </w:r>
    </w:p>
    <w:p w14:paraId="2AD4A8C2">
      <w:pPr>
        <w:spacing w:line="360" w:lineRule="auto"/>
        <w:rPr>
          <w:rFonts w:hAnsi="宋体"/>
          <w:color w:val="auto"/>
        </w:rPr>
      </w:pPr>
      <w:r>
        <w:rPr>
          <w:rFonts w:hAnsi="宋体"/>
          <w:color w:val="auto"/>
        </w:rPr>
        <w:t>2.2.5</w:t>
      </w:r>
      <w:r>
        <w:rPr>
          <w:rFonts w:hint="eastAsia" w:hAnsi="宋体"/>
          <w:color w:val="auto"/>
        </w:rPr>
        <w:t>判断磋商报价是否低于成本：由磋商小组认定供应商是否以低于成本竞标。</w:t>
      </w:r>
    </w:p>
    <w:p w14:paraId="343B36C1">
      <w:pPr>
        <w:pStyle w:val="5"/>
        <w:rPr>
          <w:rFonts w:ascii="宋体"/>
          <w:color w:val="auto"/>
        </w:rPr>
      </w:pPr>
      <w:r>
        <w:rPr>
          <w:rFonts w:ascii="宋体" w:hAnsi="宋体" w:cs="宋体"/>
          <w:color w:val="auto"/>
        </w:rPr>
        <w:t>2.3</w:t>
      </w:r>
      <w:r>
        <w:rPr>
          <w:rFonts w:hint="eastAsia" w:ascii="宋体" w:hAnsi="宋体" w:cs="宋体"/>
          <w:color w:val="auto"/>
        </w:rPr>
        <w:t>响应文件的澄清、说明和补正</w:t>
      </w:r>
    </w:p>
    <w:p w14:paraId="4721533D">
      <w:pPr>
        <w:spacing w:line="360" w:lineRule="auto"/>
        <w:rPr>
          <w:rFonts w:hAnsi="宋体"/>
          <w:color w:val="auto"/>
        </w:rPr>
      </w:pPr>
      <w:r>
        <w:rPr>
          <w:rFonts w:hAnsi="宋体"/>
          <w:color w:val="auto"/>
        </w:rPr>
        <w:t>2.3.1</w:t>
      </w:r>
      <w:r>
        <w:rPr>
          <w:rFonts w:hint="eastAsia" w:hAnsi="宋体"/>
          <w:color w:val="auto"/>
        </w:rPr>
        <w:t>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2E21D466">
      <w:pPr>
        <w:spacing w:line="360" w:lineRule="auto"/>
        <w:rPr>
          <w:rFonts w:hAnsi="宋体"/>
          <w:color w:val="auto"/>
        </w:rPr>
      </w:pPr>
      <w:r>
        <w:rPr>
          <w:rFonts w:hAnsi="宋体"/>
          <w:color w:val="auto"/>
        </w:rPr>
        <w:t>2.3.2</w:t>
      </w:r>
      <w:r>
        <w:rPr>
          <w:rFonts w:hint="eastAsia" w:hAnsi="宋体"/>
          <w:color w:val="auto"/>
        </w:rPr>
        <w:t>磋商报价有算术错误的，磋商小组按以下原则对磋商报价进行修正，修正的价格经供应商书面确认后具有约束力。供应商不接受修正价格的，其响应文件无效。</w:t>
      </w:r>
    </w:p>
    <w:p w14:paraId="3344E0BF">
      <w:pPr>
        <w:spacing w:line="360" w:lineRule="auto"/>
        <w:rPr>
          <w:rFonts w:hAnsi="宋体"/>
          <w:color w:val="auto"/>
        </w:rPr>
      </w:pPr>
      <w:r>
        <w:rPr>
          <w:rFonts w:hint="eastAsia" w:hAnsi="宋体"/>
          <w:color w:val="auto"/>
        </w:rPr>
        <w:t>（</w:t>
      </w:r>
      <w:r>
        <w:rPr>
          <w:rFonts w:hAnsi="宋体"/>
          <w:color w:val="auto"/>
        </w:rPr>
        <w:t>1</w:t>
      </w:r>
      <w:r>
        <w:rPr>
          <w:rFonts w:hint="eastAsia" w:hAnsi="宋体"/>
          <w:color w:val="auto"/>
        </w:rPr>
        <w:t>）磋商报价的大写金额与小写金额不一致的，以大写金额为准；</w:t>
      </w:r>
    </w:p>
    <w:p w14:paraId="368D60D1">
      <w:pPr>
        <w:spacing w:line="360" w:lineRule="auto"/>
        <w:rPr>
          <w:rFonts w:hAnsi="宋体"/>
          <w:color w:val="auto"/>
        </w:rPr>
      </w:pPr>
      <w:r>
        <w:rPr>
          <w:rFonts w:hint="eastAsia" w:hAnsi="宋体"/>
          <w:color w:val="auto"/>
        </w:rPr>
        <w:t>（</w:t>
      </w:r>
      <w:r>
        <w:rPr>
          <w:rFonts w:hAnsi="宋体"/>
          <w:color w:val="auto"/>
        </w:rPr>
        <w:t>2</w:t>
      </w:r>
      <w:r>
        <w:rPr>
          <w:rFonts w:hint="eastAsia" w:hAnsi="宋体"/>
          <w:color w:val="auto"/>
        </w:rPr>
        <w:t>）总价金额与依据单价计算出的结果不一致的，以单价金额为准修正总价，但单价金额小数点有明显错误的除外。</w:t>
      </w:r>
    </w:p>
    <w:p w14:paraId="67355128">
      <w:pPr>
        <w:spacing w:line="360" w:lineRule="auto"/>
        <w:rPr>
          <w:rFonts w:hAnsi="宋体"/>
          <w:color w:val="auto"/>
        </w:rPr>
      </w:pPr>
      <w:r>
        <w:rPr>
          <w:rFonts w:hint="eastAsia" w:hAnsi="宋体"/>
          <w:color w:val="auto"/>
        </w:rPr>
        <w:t>同时出现两种以上不一致的，按照前款规定的顺序修正。</w:t>
      </w:r>
    </w:p>
    <w:p w14:paraId="468BD449">
      <w:pPr>
        <w:spacing w:line="360" w:lineRule="auto"/>
        <w:rPr>
          <w:rFonts w:hAnsi="宋体"/>
          <w:color w:val="auto"/>
        </w:rPr>
      </w:pPr>
      <w:r>
        <w:rPr>
          <w:rFonts w:hAnsi="宋体"/>
          <w:color w:val="auto"/>
        </w:rPr>
        <w:t>2.3.3</w:t>
      </w:r>
      <w:r>
        <w:rPr>
          <w:rFonts w:hint="eastAsia" w:hAnsi="宋体"/>
          <w:color w:val="auto"/>
        </w:rPr>
        <w:t>供应商的澄清、说明或者更正不得超出响应文件的范围或者改变响应文件的实质性内容（算术性错误修正的除外）。供应商的书面澄清、说明和补正属于响应文件的组成部分。</w:t>
      </w:r>
    </w:p>
    <w:p w14:paraId="49A5F23A">
      <w:pPr>
        <w:spacing w:line="360" w:lineRule="auto"/>
        <w:rPr>
          <w:rFonts w:hAnsi="宋体"/>
          <w:color w:val="auto"/>
        </w:rPr>
      </w:pPr>
      <w:r>
        <w:rPr>
          <w:rFonts w:hAnsi="宋体"/>
          <w:color w:val="auto"/>
        </w:rPr>
        <w:t>2.3.4</w:t>
      </w:r>
      <w:r>
        <w:rPr>
          <w:rFonts w:hint="eastAsia" w:hAnsi="宋体"/>
          <w:color w:val="auto"/>
        </w:rPr>
        <w:t>磋商小组对供应商提交的澄清、说明或补正有疑问的，可以要求供应商进一步澄清、说明或补正，直至满足磋商小组的要求。</w:t>
      </w:r>
    </w:p>
    <w:p w14:paraId="34695F89">
      <w:pPr>
        <w:spacing w:line="360" w:lineRule="auto"/>
        <w:rPr>
          <w:rFonts w:hAnsi="宋体"/>
          <w:color w:val="auto"/>
        </w:rPr>
      </w:pPr>
      <w:r>
        <w:rPr>
          <w:rFonts w:hAnsi="宋体"/>
          <w:color w:val="auto"/>
        </w:rPr>
        <w:t>2.3.5</w:t>
      </w:r>
      <w:r>
        <w:rPr>
          <w:rFonts w:hint="eastAsia" w:hAnsi="宋体"/>
          <w:color w:val="auto"/>
        </w:rPr>
        <w:t>对响应文件进行澄清、说明和补正时来往的书面材料传递，由采购代理机构的专职代理员或者交易中心的工作人员进行。</w:t>
      </w:r>
    </w:p>
    <w:p w14:paraId="1E68C234">
      <w:pPr>
        <w:pStyle w:val="5"/>
        <w:rPr>
          <w:rFonts w:ascii="宋体"/>
          <w:color w:val="auto"/>
        </w:rPr>
      </w:pPr>
      <w:r>
        <w:rPr>
          <w:rFonts w:ascii="宋体" w:hAnsi="宋体" w:cs="宋体"/>
          <w:color w:val="auto"/>
        </w:rPr>
        <w:t>2.4</w:t>
      </w:r>
      <w:r>
        <w:rPr>
          <w:rFonts w:hint="eastAsia" w:ascii="宋体" w:hAnsi="宋体" w:cs="宋体"/>
          <w:color w:val="auto"/>
        </w:rPr>
        <w:t>评标结果</w:t>
      </w:r>
    </w:p>
    <w:p w14:paraId="61DACE12">
      <w:pPr>
        <w:spacing w:line="360" w:lineRule="auto"/>
        <w:rPr>
          <w:rFonts w:hAnsi="宋体"/>
          <w:color w:val="auto"/>
        </w:rPr>
      </w:pPr>
      <w:r>
        <w:rPr>
          <w:rFonts w:hAnsi="宋体"/>
          <w:color w:val="auto"/>
        </w:rPr>
        <w:t>2.4.1</w:t>
      </w:r>
      <w:r>
        <w:rPr>
          <w:rFonts w:hint="eastAsia" w:hAnsi="宋体"/>
          <w:color w:val="auto"/>
        </w:rPr>
        <w:t>供应商评审得分排序规则：见评标办法须知前附表。</w:t>
      </w:r>
    </w:p>
    <w:p w14:paraId="2FD779A0">
      <w:pPr>
        <w:spacing w:line="360" w:lineRule="auto"/>
        <w:rPr>
          <w:rFonts w:hAnsi="宋体"/>
          <w:color w:val="auto"/>
        </w:rPr>
      </w:pPr>
      <w:r>
        <w:rPr>
          <w:rFonts w:hAnsi="宋体"/>
          <w:color w:val="auto"/>
        </w:rPr>
        <w:t>2.4.2</w:t>
      </w:r>
      <w:r>
        <w:rPr>
          <w:rFonts w:hint="eastAsia" w:hAnsi="宋体"/>
          <w:color w:val="auto"/>
        </w:rPr>
        <w:t>磋商小组按照供应商评审得分由高到低的顺序推荐成交候选人，并标明排序。</w:t>
      </w:r>
    </w:p>
    <w:p w14:paraId="2952B840">
      <w:pPr>
        <w:spacing w:line="360" w:lineRule="auto"/>
        <w:rPr>
          <w:rFonts w:hAnsi="宋体"/>
          <w:color w:val="auto"/>
        </w:rPr>
      </w:pPr>
      <w:r>
        <w:rPr>
          <w:rFonts w:hAnsi="宋体"/>
          <w:color w:val="auto"/>
        </w:rPr>
        <w:t>2.4.3</w:t>
      </w:r>
      <w:r>
        <w:rPr>
          <w:rFonts w:hint="eastAsia" w:hAnsi="宋体"/>
          <w:color w:val="auto"/>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75598EAD">
      <w:pPr>
        <w:spacing w:line="360" w:lineRule="auto"/>
        <w:rPr>
          <w:rFonts w:hAnsi="宋体"/>
          <w:color w:val="auto"/>
        </w:rPr>
      </w:pPr>
      <w:r>
        <w:rPr>
          <w:rFonts w:hAnsi="宋体"/>
          <w:color w:val="auto"/>
        </w:rPr>
        <w:t>2.4.4</w:t>
      </w:r>
      <w:r>
        <w:rPr>
          <w:rFonts w:hint="eastAsia" w:hAnsi="宋体"/>
          <w:color w:val="auto"/>
        </w:rPr>
        <w:t>磋商小组应将评标过程中使用的文件、表</w:t>
      </w:r>
      <w:r>
        <w:rPr>
          <w:rFonts w:hAnsi="宋体"/>
          <w:color w:val="auto"/>
        </w:rPr>
        <w:t>2.4.4</w:t>
      </w:r>
      <w:r>
        <w:rPr>
          <w:rFonts w:hint="eastAsia" w:hAnsi="宋体"/>
          <w:color w:val="auto"/>
        </w:rPr>
        <w:t>以及其他材料即时归还采购人。</w:t>
      </w:r>
    </w:p>
    <w:p w14:paraId="23B06C40">
      <w:pPr>
        <w:pStyle w:val="4"/>
        <w:rPr>
          <w:rFonts w:ascii="宋体" w:hAnsi="宋体" w:eastAsia="宋体"/>
          <w:color w:val="auto"/>
        </w:rPr>
      </w:pPr>
      <w:bookmarkStart w:id="52" w:name="_Toc533781573"/>
      <w:bookmarkStart w:id="53" w:name="_Toc533783525"/>
      <w:r>
        <w:rPr>
          <w:rFonts w:ascii="宋体" w:hAnsi="宋体" w:eastAsia="宋体" w:cs="宋体"/>
          <w:color w:val="auto"/>
        </w:rPr>
        <w:t>3.</w:t>
      </w:r>
      <w:r>
        <w:rPr>
          <w:rFonts w:hint="eastAsia" w:ascii="宋体" w:hAnsi="宋体" w:eastAsia="宋体" w:cs="宋体"/>
          <w:color w:val="auto"/>
        </w:rPr>
        <w:t>特殊情况的处置程序</w:t>
      </w:r>
      <w:bookmarkEnd w:id="52"/>
      <w:bookmarkEnd w:id="53"/>
    </w:p>
    <w:p w14:paraId="0C5E7A5B">
      <w:pPr>
        <w:pStyle w:val="5"/>
        <w:rPr>
          <w:rFonts w:ascii="宋体"/>
          <w:color w:val="auto"/>
        </w:rPr>
      </w:pPr>
      <w:r>
        <w:rPr>
          <w:rFonts w:ascii="宋体" w:hAnsi="宋体" w:cs="宋体"/>
          <w:color w:val="auto"/>
        </w:rPr>
        <w:t>3.1</w:t>
      </w:r>
      <w:r>
        <w:rPr>
          <w:rFonts w:hint="eastAsia" w:ascii="宋体" w:hAnsi="宋体" w:cs="宋体"/>
          <w:color w:val="auto"/>
        </w:rPr>
        <w:t>关于评标活动暂停</w:t>
      </w:r>
    </w:p>
    <w:p w14:paraId="1D03B1FC">
      <w:pPr>
        <w:spacing w:line="360" w:lineRule="auto"/>
        <w:rPr>
          <w:rFonts w:hAnsi="宋体"/>
          <w:color w:val="auto"/>
        </w:rPr>
      </w:pPr>
      <w:r>
        <w:rPr>
          <w:rFonts w:hAnsi="宋体"/>
          <w:color w:val="auto"/>
        </w:rPr>
        <w:t>3.1.1</w:t>
      </w:r>
      <w:r>
        <w:rPr>
          <w:rFonts w:hint="eastAsia" w:hAnsi="宋体"/>
          <w:color w:val="auto"/>
        </w:rPr>
        <w:t>磋商小组应当执行连续评标的原则，按评标办法中规定的程序、内容、方法、标准完成全部评标工作。只有发生不可抗力导致评标工作无法继续时，评标活动方可暂停。</w:t>
      </w:r>
    </w:p>
    <w:p w14:paraId="5FBCBE3F">
      <w:pPr>
        <w:spacing w:line="360" w:lineRule="auto"/>
        <w:rPr>
          <w:rFonts w:hAnsi="宋体"/>
          <w:color w:val="auto"/>
        </w:rPr>
      </w:pPr>
      <w:r>
        <w:rPr>
          <w:rFonts w:hAnsi="宋体"/>
          <w:color w:val="auto"/>
        </w:rPr>
        <w:t>3.1.2</w:t>
      </w:r>
      <w:r>
        <w:rPr>
          <w:rFonts w:hint="eastAsia" w:hAnsi="宋体"/>
          <w:color w:val="auto"/>
        </w:rPr>
        <w:t>发生评标暂停情况时，磋商小组应当封存全部投标文件和评标记录，待不可抗力的影响结束且具备继续评标的条件时，由原磋商小组继续评标。</w:t>
      </w:r>
    </w:p>
    <w:p w14:paraId="3D600D86">
      <w:pPr>
        <w:pStyle w:val="5"/>
        <w:rPr>
          <w:rFonts w:ascii="宋体"/>
          <w:color w:val="auto"/>
        </w:rPr>
      </w:pPr>
      <w:r>
        <w:rPr>
          <w:rFonts w:ascii="宋体" w:hAnsi="宋体" w:cs="宋体"/>
          <w:color w:val="auto"/>
        </w:rPr>
        <w:t>3.2</w:t>
      </w:r>
      <w:r>
        <w:rPr>
          <w:rFonts w:hint="eastAsia" w:ascii="宋体" w:hAnsi="宋体" w:cs="宋体"/>
          <w:color w:val="auto"/>
        </w:rPr>
        <w:t>关于评标中途更换评委</w:t>
      </w:r>
    </w:p>
    <w:p w14:paraId="774EF733">
      <w:pPr>
        <w:spacing w:line="360" w:lineRule="auto"/>
        <w:rPr>
          <w:rFonts w:hAnsi="宋体"/>
          <w:color w:val="auto"/>
        </w:rPr>
      </w:pPr>
      <w:r>
        <w:rPr>
          <w:rFonts w:hAnsi="宋体"/>
          <w:color w:val="auto"/>
        </w:rPr>
        <w:t>3.2.1</w:t>
      </w:r>
      <w:r>
        <w:rPr>
          <w:rFonts w:hint="eastAsia" w:hAnsi="宋体"/>
          <w:color w:val="auto"/>
        </w:rPr>
        <w:t>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703E643F">
      <w:pPr>
        <w:spacing w:line="360" w:lineRule="auto"/>
        <w:rPr>
          <w:rFonts w:hAnsi="宋体"/>
          <w:color w:val="auto"/>
        </w:rPr>
      </w:pPr>
      <w:r>
        <w:rPr>
          <w:rFonts w:hint="eastAsia" w:hAnsi="宋体"/>
          <w:color w:val="auto"/>
        </w:rPr>
        <w:t>无法及时补足评审专家的，采购人或者采购代理机构应当立即停止评审工作，妥善保存磋商文件，依法重新组建磋商小组进行评审。原评磋商小组所作出的评标意见无效。</w:t>
      </w:r>
    </w:p>
    <w:p w14:paraId="1016EACE">
      <w:pPr>
        <w:spacing w:line="360" w:lineRule="auto"/>
        <w:rPr>
          <w:rFonts w:hAnsi="宋体"/>
          <w:color w:val="auto"/>
        </w:rPr>
      </w:pPr>
      <w:r>
        <w:rPr>
          <w:rFonts w:hAnsi="宋体"/>
          <w:color w:val="auto"/>
        </w:rPr>
        <w:t>3.2.2</w:t>
      </w:r>
      <w:r>
        <w:rPr>
          <w:rFonts w:hint="eastAsia" w:hAnsi="宋体"/>
          <w:color w:val="auto"/>
        </w:rPr>
        <w:t>评审专家发现磋商文件内容违反国家有关强制性规定或者磋商文件存在歧义、重大缺陷导致评审工作无法进行时，应当停止评审并向采购人或者采购代理机构书面说明情况。</w:t>
      </w:r>
    </w:p>
    <w:p w14:paraId="71E7FF83">
      <w:pPr>
        <w:pStyle w:val="5"/>
        <w:rPr>
          <w:rFonts w:ascii="宋体"/>
          <w:color w:val="auto"/>
        </w:rPr>
      </w:pPr>
      <w:r>
        <w:rPr>
          <w:rFonts w:ascii="宋体" w:hAnsi="宋体" w:cs="宋体"/>
          <w:color w:val="auto"/>
        </w:rPr>
        <w:t>3.3</w:t>
      </w:r>
      <w:r>
        <w:rPr>
          <w:rFonts w:hint="eastAsia" w:ascii="宋体" w:hAnsi="宋体" w:cs="宋体"/>
          <w:color w:val="auto"/>
        </w:rPr>
        <w:t>关于争议解决</w:t>
      </w:r>
    </w:p>
    <w:p w14:paraId="066C65D2">
      <w:pPr>
        <w:rPr>
          <w:rFonts w:hAnsi="宋体"/>
          <w:b/>
          <w:color w:val="auto"/>
        </w:rPr>
      </w:pPr>
      <w:r>
        <w:rPr>
          <w:rFonts w:hint="eastAsia" w:hAnsi="宋体"/>
          <w:color w:val="auto"/>
        </w:rPr>
        <w:t>对需要共同认定的事项存在争议的，按照少数服从多数的原则做出结论。</w:t>
      </w:r>
      <w:r>
        <w:rPr>
          <w:rFonts w:hAnsi="宋体"/>
          <w:b/>
          <w:color w:val="auto"/>
        </w:rPr>
        <w:br w:type="page"/>
      </w:r>
    </w:p>
    <w:p w14:paraId="4972D197">
      <w:pPr>
        <w:keepNext/>
        <w:keepLines/>
        <w:spacing w:line="360" w:lineRule="auto"/>
        <w:jc w:val="center"/>
        <w:outlineLvl w:val="0"/>
        <w:rPr>
          <w:rFonts w:hAnsi="宋体"/>
          <w:b/>
          <w:bCs/>
          <w:color w:val="auto"/>
          <w:sz w:val="32"/>
          <w:szCs w:val="44"/>
          <w:lang w:val="zh-CN"/>
        </w:rPr>
      </w:pPr>
      <w:bookmarkStart w:id="54" w:name="_Toc15973712"/>
      <w:bookmarkStart w:id="55" w:name="_Toc53129783"/>
      <w:bookmarkStart w:id="56" w:name="_Toc11272"/>
      <w:bookmarkStart w:id="57" w:name="_Toc37834288"/>
      <w:bookmarkStart w:id="58" w:name="_Toc533783526"/>
      <w:bookmarkStart w:id="59" w:name="_Toc533781574"/>
      <w:r>
        <w:rPr>
          <w:rFonts w:hint="eastAsia" w:hAnsi="宋体"/>
          <w:b/>
          <w:bCs/>
          <w:color w:val="auto"/>
          <w:sz w:val="32"/>
          <w:szCs w:val="44"/>
          <w:lang w:val="zh-CN"/>
        </w:rPr>
        <w:t>第四章</w:t>
      </w:r>
      <w:r>
        <w:rPr>
          <w:rFonts w:hAnsi="宋体"/>
          <w:b/>
          <w:bCs/>
          <w:color w:val="auto"/>
          <w:sz w:val="32"/>
          <w:szCs w:val="44"/>
          <w:lang w:val="zh-CN"/>
        </w:rPr>
        <w:t xml:space="preserve">  </w:t>
      </w:r>
      <w:r>
        <w:rPr>
          <w:rFonts w:hint="eastAsia" w:hAnsi="宋体"/>
          <w:b/>
          <w:bCs/>
          <w:color w:val="auto"/>
          <w:sz w:val="32"/>
          <w:szCs w:val="44"/>
          <w:lang w:val="zh-CN"/>
        </w:rPr>
        <w:t>合同条款及格式</w:t>
      </w:r>
      <w:bookmarkEnd w:id="54"/>
      <w:bookmarkEnd w:id="55"/>
      <w:bookmarkEnd w:id="56"/>
      <w:bookmarkEnd w:id="57"/>
      <w:bookmarkEnd w:id="58"/>
      <w:bookmarkEnd w:id="59"/>
    </w:p>
    <w:p w14:paraId="0D1990C1">
      <w:pPr>
        <w:rPr>
          <w:color w:val="auto"/>
          <w:lang w:val="zh-CN"/>
        </w:rPr>
      </w:pPr>
      <w:bookmarkStart w:id="60" w:name="EBd75ef856cbfc41f4b1b1d0253167c5da"/>
    </w:p>
    <w:bookmarkEnd w:id="60"/>
    <w:p w14:paraId="4466D926">
      <w:pPr>
        <w:spacing w:before="214"/>
        <w:jc w:val="center"/>
        <w:rPr>
          <w:color w:val="auto"/>
          <w:highlight w:val="none"/>
        </w:rPr>
      </w:pPr>
      <w:r>
        <w:rPr>
          <w:rFonts w:ascii="Times New Roman" w:hAnsi="Times New Roman"/>
          <w:b/>
          <w:color w:val="auto"/>
          <w:sz w:val="32"/>
          <w:szCs w:val="24"/>
          <w:highlight w:val="none"/>
        </w:rPr>
        <w:t>《广西壮族自治区政府采购合同》</w:t>
      </w:r>
    </w:p>
    <w:p w14:paraId="69069C79">
      <w:pPr>
        <w:keepNext w:val="0"/>
        <w:keepLines w:val="0"/>
        <w:widowControl/>
        <w:suppressLineNumbers w:val="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合同编号： </w:t>
      </w:r>
    </w:p>
    <w:p w14:paraId="4C2A204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0A0753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采购单位（甲方）：</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供应商（乙方）：</w:t>
      </w:r>
      <w:r>
        <w:rPr>
          <w:rFonts w:hint="eastAsia" w:ascii="宋体" w:hAnsi="宋体" w:eastAsia="宋体" w:cs="宋体"/>
          <w:color w:val="auto"/>
          <w:kern w:val="0"/>
          <w:sz w:val="21"/>
          <w:szCs w:val="21"/>
          <w:highlight w:val="none"/>
          <w:u w:val="single"/>
          <w:lang w:val="en-US" w:eastAsia="zh-CN" w:bidi="ar"/>
        </w:rPr>
        <w:t xml:space="preserve">    </w:t>
      </w:r>
      <w:r>
        <w:rPr>
          <w:rFonts w:hint="eastAsia"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14:paraId="76B45D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项目名称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项目编号 ：</w:t>
      </w:r>
      <w:r>
        <w:rPr>
          <w:rFonts w:hint="eastAsia" w:ascii="宋体" w:hAnsi="宋体" w:eastAsia="宋体" w:cs="宋体"/>
          <w:color w:val="auto"/>
          <w:kern w:val="0"/>
          <w:sz w:val="21"/>
          <w:szCs w:val="21"/>
          <w:highlight w:val="none"/>
          <w:u w:val="single"/>
          <w:lang w:val="en-US" w:eastAsia="zh-CN" w:bidi="ar"/>
        </w:rPr>
        <w:t xml:space="preserve">                             </w:t>
      </w:r>
    </w:p>
    <w:p w14:paraId="13B702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签订地点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签订时间 ：</w:t>
      </w:r>
      <w:r>
        <w:rPr>
          <w:rFonts w:hint="eastAsia" w:ascii="宋体" w:hAnsi="宋体" w:eastAsia="宋体" w:cs="宋体"/>
          <w:color w:val="auto"/>
          <w:kern w:val="0"/>
          <w:sz w:val="21"/>
          <w:szCs w:val="21"/>
          <w:highlight w:val="none"/>
          <w:u w:val="single"/>
          <w:lang w:val="en-US" w:eastAsia="zh-CN" w:bidi="ar"/>
        </w:rPr>
        <w:t xml:space="preserve">                           </w:t>
      </w:r>
    </w:p>
    <w:p w14:paraId="4EFC2D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根据《中华人民共和国政府采购法》、《中华人民共和国民法典》等法律、法规规定，按照招标文 </w:t>
      </w:r>
    </w:p>
    <w:p w14:paraId="5C871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件规定条款和乙方</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及其承诺，甲乙双方签订本合同。 </w:t>
      </w:r>
    </w:p>
    <w:p w14:paraId="398D0A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第一条 项目概况及服务范围 </w:t>
      </w:r>
    </w:p>
    <w:p w14:paraId="44C505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1.项目名称：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6BD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2.服务内容及范围：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3E9D0A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3.服务期：</w:t>
      </w:r>
      <w:r>
        <w:rPr>
          <w:rFonts w:hint="eastAsia" w:ascii="宋体" w:hAnsi="宋体" w:eastAsia="宋体" w:cs="宋体"/>
          <w:color w:val="auto"/>
          <w:kern w:val="0"/>
          <w:sz w:val="21"/>
          <w:szCs w:val="21"/>
          <w:highlight w:val="none"/>
          <w:u w:val="single"/>
          <w:lang w:val="en-US" w:eastAsia="zh-CN" w:bidi="ar"/>
        </w:rPr>
        <w:t xml:space="preserve">                            </w:t>
      </w:r>
      <w:r>
        <w:rPr>
          <w:rFonts w:hint="eastAsia"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6EF57C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4.服务地点：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0F30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5.报价要求：合同合计金额</w:t>
      </w:r>
      <w:r>
        <w:rPr>
          <w:rFonts w:hint="eastAsia" w:ascii="宋体" w:hAnsi="宋体" w:eastAsia="宋体" w:cs="宋体"/>
          <w:color w:val="auto"/>
          <w:spacing w:val="-2"/>
          <w:sz w:val="21"/>
          <w:szCs w:val="21"/>
          <w:highlight w:val="none"/>
          <w:lang w:eastAsia="zh-CN"/>
        </w:rPr>
        <w:t>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w:t>
      </w:r>
      <w:r>
        <w:rPr>
          <w:rFonts w:hint="eastAsia" w:ascii="宋体" w:hAnsi="宋体" w:eastAsia="宋体" w:cs="宋体"/>
          <w:color w:val="auto"/>
          <w:kern w:val="0"/>
          <w:sz w:val="21"/>
          <w:szCs w:val="21"/>
          <w:highlight w:val="none"/>
          <w:lang w:val="en-US" w:eastAsia="zh-CN" w:bidi="ar"/>
        </w:rPr>
        <w:t>及其它所有成本费用的总和以及所有的不定因素的风险等一切与本项目有关费用。如</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文件对其另有规定的，从其规定。 </w:t>
      </w:r>
    </w:p>
    <w:p w14:paraId="288051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6.采购合同履行中，甲方需追加与合同标的相同的服务的，在不改变合同其他条款的前提下，可 </w:t>
      </w:r>
    </w:p>
    <w:p w14:paraId="1AD817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以与乙方协商签订补充合同，但所有补充合同的采购金额不得超过原合同采购金额的10%。</w:t>
      </w:r>
    </w:p>
    <w:p w14:paraId="27362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第二条 服务交付成果清单（含服务及费用清单）</w:t>
      </w:r>
    </w:p>
    <w:tbl>
      <w:tblPr>
        <w:tblStyle w:val="48"/>
        <w:tblW w:w="9284"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8"/>
        <w:gridCol w:w="1524"/>
        <w:gridCol w:w="1200"/>
        <w:gridCol w:w="1488"/>
        <w:gridCol w:w="1452"/>
        <w:gridCol w:w="1304"/>
      </w:tblGrid>
      <w:tr w14:paraId="5FB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08" w:type="dxa"/>
            <w:vAlign w:val="center"/>
          </w:tcPr>
          <w:p w14:paraId="7988E92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序号</w:t>
            </w:r>
          </w:p>
        </w:tc>
        <w:tc>
          <w:tcPr>
            <w:tcW w:w="1608" w:type="dxa"/>
            <w:vAlign w:val="center"/>
          </w:tcPr>
          <w:p w14:paraId="03BCB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hAnsi="宋体" w:cs="宋体"/>
                <w:color w:val="auto"/>
                <w:kern w:val="0"/>
                <w:sz w:val="21"/>
                <w:szCs w:val="21"/>
                <w:highlight w:val="none"/>
                <w:lang w:val="en-US" w:eastAsia="zh-CN" w:bidi="ar"/>
              </w:rPr>
              <w:t>项目名称</w:t>
            </w:r>
          </w:p>
        </w:tc>
        <w:tc>
          <w:tcPr>
            <w:tcW w:w="1524" w:type="dxa"/>
            <w:vAlign w:val="center"/>
          </w:tcPr>
          <w:p w14:paraId="16EED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服务内容</w:t>
            </w:r>
          </w:p>
        </w:tc>
        <w:tc>
          <w:tcPr>
            <w:tcW w:w="1200" w:type="dxa"/>
            <w:vAlign w:val="center"/>
          </w:tcPr>
          <w:p w14:paraId="39754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数量</w:t>
            </w:r>
          </w:p>
        </w:tc>
        <w:tc>
          <w:tcPr>
            <w:tcW w:w="1488" w:type="dxa"/>
            <w:vAlign w:val="center"/>
          </w:tcPr>
          <w:p w14:paraId="7687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单位</w:t>
            </w:r>
          </w:p>
        </w:tc>
        <w:tc>
          <w:tcPr>
            <w:tcW w:w="1452" w:type="dxa"/>
            <w:vAlign w:val="center"/>
          </w:tcPr>
          <w:p w14:paraId="3501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单价（元）</w:t>
            </w:r>
          </w:p>
        </w:tc>
        <w:tc>
          <w:tcPr>
            <w:tcW w:w="1304" w:type="dxa"/>
            <w:vAlign w:val="center"/>
          </w:tcPr>
          <w:p w14:paraId="66C99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6D65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6E0459F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1</w:t>
            </w:r>
          </w:p>
        </w:tc>
        <w:tc>
          <w:tcPr>
            <w:tcW w:w="1608" w:type="dxa"/>
            <w:vAlign w:val="center"/>
          </w:tcPr>
          <w:p w14:paraId="1D1039F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069F53D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670A323E">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566EBBB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5DC4156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5A0BF6E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155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14C3845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2</w:t>
            </w:r>
          </w:p>
        </w:tc>
        <w:tc>
          <w:tcPr>
            <w:tcW w:w="1608" w:type="dxa"/>
            <w:vAlign w:val="center"/>
          </w:tcPr>
          <w:p w14:paraId="2AE1F81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27989D0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7F96FC47">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03565C9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790128FD">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3E653D8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09B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08" w:type="dxa"/>
            <w:vAlign w:val="center"/>
          </w:tcPr>
          <w:p w14:paraId="36E29A2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3</w:t>
            </w:r>
          </w:p>
        </w:tc>
        <w:tc>
          <w:tcPr>
            <w:tcW w:w="1608" w:type="dxa"/>
            <w:vAlign w:val="center"/>
          </w:tcPr>
          <w:p w14:paraId="5C2E664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12645A9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12B6B1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1D89FE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2CDF157C">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0E58BC7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415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284" w:type="dxa"/>
            <w:gridSpan w:val="7"/>
            <w:vAlign w:val="center"/>
          </w:tcPr>
          <w:p w14:paraId="10F80B8B">
            <w:pPr>
              <w:keepNext w:val="0"/>
              <w:keepLines w:val="0"/>
              <w:suppressLineNumbers w:val="0"/>
              <w:snapToGrid w:val="0"/>
              <w:spacing w:before="0" w:beforeAutospacing="0" w:after="0" w:afterAutospacing="0" w:line="400" w:lineRule="exact"/>
              <w:ind w:left="0" w:right="0"/>
              <w:jc w:val="left"/>
              <w:rPr>
                <w:rFonts w:hint="eastAsia" w:hAnsi="宋体" w:eastAsia="宋体"/>
                <w:color w:val="auto"/>
                <w:szCs w:val="20"/>
                <w:highlight w:val="none"/>
                <w:lang w:eastAsia="zh-CN"/>
              </w:rPr>
            </w:pPr>
            <w:r>
              <w:rPr>
                <w:rFonts w:hint="eastAsia" w:hAnsi="宋体"/>
                <w:color w:val="auto"/>
                <w:szCs w:val="20"/>
                <w:highlight w:val="none"/>
              </w:rPr>
              <w:t>人民币合计金额（大写）                                  （小写）</w:t>
            </w:r>
          </w:p>
        </w:tc>
      </w:tr>
    </w:tbl>
    <w:p w14:paraId="7F326A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第三条 甲方权利和义务 </w:t>
      </w:r>
    </w:p>
    <w:p w14:paraId="1C39AE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1.甲方有权要求乙方按时、按质、按量、按计划与合同协议约定完成本项目，并有权对乙方工作情况进行监督。 </w:t>
      </w:r>
    </w:p>
    <w:p w14:paraId="1B72DE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根据项目进度，甲方有权及时对乙方提交的方案提出修改意见，并要求乙方按修改意见完成服务工作。 </w:t>
      </w:r>
    </w:p>
    <w:p w14:paraId="22EB42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甲方有权要求乙方更换不合格的工作人员。 </w:t>
      </w:r>
    </w:p>
    <w:p w14:paraId="4FFC5C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按合同要求及时向乙方支付产品和服务费用</w:t>
      </w:r>
    </w:p>
    <w:p w14:paraId="596884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第四条 乙方权利和义务</w:t>
      </w:r>
      <w:r>
        <w:rPr>
          <w:rFonts w:hint="eastAsia" w:ascii="宋体" w:hAnsi="宋体" w:eastAsia="宋体" w:cs="宋体"/>
          <w:b/>
          <w:bCs/>
          <w:color w:val="auto"/>
          <w:kern w:val="0"/>
          <w:sz w:val="20"/>
          <w:szCs w:val="20"/>
          <w:highlight w:val="none"/>
          <w:lang w:val="en-US" w:eastAsia="zh-CN" w:bidi="ar"/>
        </w:rPr>
        <w:t xml:space="preserve"> </w:t>
      </w:r>
    </w:p>
    <w:p w14:paraId="64091B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1.严格履行合同文件（含</w:t>
      </w:r>
      <w:r>
        <w:rPr>
          <w:rFonts w:hint="eastAsia"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文件、</w:t>
      </w:r>
      <w:r>
        <w:rPr>
          <w:rFonts w:hint="eastAsia"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 xml:space="preserve">文件等）约定和承诺的服务内容和质量标准，保证甲方项目的相关工作质量和进度。 </w:t>
      </w:r>
    </w:p>
    <w:p w14:paraId="6CD007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必须严格实施乙方</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中承诺的人力资源配置。在必须补充或更换人员时，必须补充或更换优于或等同于</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所承诺资质的服务人员，并需取得甲方书面同意。 </w:t>
      </w:r>
    </w:p>
    <w:p w14:paraId="678DA1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乙方项目负责人及服务团队成员须与</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保持一致。合同存续期内，未经甲方书面要求或同意，项目负责人不应调整。项目负责人及服务团队成员必须保证在岗工作时间和重要活动在岗，如有变化，须取得甲方同意。 </w:t>
      </w:r>
    </w:p>
    <w:p w14:paraId="1427BD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 </w:t>
      </w:r>
    </w:p>
    <w:p w14:paraId="0287C6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乙方服务人员应履行保密义务。如乙方因违反本条约定给甲方造成损失的，乙方应当承担相应的法律责任，并赔偿由此给甲方造成的一切损失。 </w:t>
      </w:r>
    </w:p>
    <w:p w14:paraId="1EC721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按照合同约定收取服务费，当甲方出现无故拖欠费用时，乙方有权采取适当方式进行催缴，若甲方仍未支付费用，乙方有权停止工作。</w:t>
      </w:r>
    </w:p>
    <w:p w14:paraId="6CCE56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第五条 交付和验收 </w:t>
      </w:r>
    </w:p>
    <w:p w14:paraId="2909B1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1.交付使用时间：按乙方</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中所承诺的时间；地点：甲方指定地点。 </w:t>
      </w:r>
    </w:p>
    <w:p w14:paraId="088EED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乙方提供不符合招</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和本合同规定的货物或服务，甲方有权拒绝接受。 </w:t>
      </w:r>
    </w:p>
    <w:p w14:paraId="5A9894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甲方应当在服务成果提交后七个工作日内进行验收，逾期不验收的，乙方可视同验收合格。验收合格后由甲乙双方签署验收单并加盖采购单位公章，甲乙双方各执一份。 </w:t>
      </w:r>
    </w:p>
    <w:p w14:paraId="54A9A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甲方对验收有异议的，在验收后五个工作日内以书面形式向乙方提出，乙方应自收到甲方书面异议后 </w:t>
      </w:r>
      <w:r>
        <w:rPr>
          <w:rFonts w:hint="default" w:ascii="宋体" w:hAnsi="宋体" w:eastAsia="宋体" w:cs="宋体"/>
          <w:color w:val="auto"/>
          <w:kern w:val="0"/>
          <w:sz w:val="21"/>
          <w:szCs w:val="21"/>
          <w:highlight w:val="none"/>
          <w:lang w:val="en-US" w:eastAsia="zh-CN" w:bidi="ar"/>
        </w:rPr>
        <w:t xml:space="preserve">7 </w:t>
      </w:r>
      <w:r>
        <w:rPr>
          <w:rFonts w:hint="eastAsia" w:ascii="宋体" w:hAnsi="宋体" w:eastAsia="宋体" w:cs="宋体"/>
          <w:color w:val="auto"/>
          <w:kern w:val="0"/>
          <w:sz w:val="21"/>
          <w:szCs w:val="21"/>
          <w:highlight w:val="none"/>
          <w:lang w:val="en-US" w:eastAsia="zh-CN" w:bidi="ar"/>
        </w:rPr>
        <w:t xml:space="preserve">日内及时予以解决。 </w:t>
      </w:r>
    </w:p>
    <w:p w14:paraId="65588D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其他未尽事宜应严格按照《关于印发广西壮族自治区政府采购项目履约验收管理办法的通知》</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桂 </w:t>
      </w:r>
    </w:p>
    <w:p w14:paraId="1D7EC3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财采〔</w:t>
      </w:r>
      <w:r>
        <w:rPr>
          <w:rFonts w:hint="default" w:ascii="宋体" w:hAnsi="宋体" w:eastAsia="宋体" w:cs="宋体"/>
          <w:color w:val="auto"/>
          <w:kern w:val="0"/>
          <w:sz w:val="21"/>
          <w:szCs w:val="21"/>
          <w:highlight w:val="none"/>
          <w:lang w:val="en-US" w:eastAsia="zh-CN" w:bidi="ar"/>
        </w:rPr>
        <w:t>2015</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 xml:space="preserve">22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以及《财政部关于进一步加强政府采购需求和履约验收管理的指导意见》</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财库〔</w:t>
      </w:r>
      <w:r>
        <w:rPr>
          <w:rFonts w:hint="default" w:ascii="宋体" w:hAnsi="宋体" w:eastAsia="宋体" w:cs="宋体"/>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 xml:space="preserve">〕 </w:t>
      </w:r>
    </w:p>
    <w:p w14:paraId="28326E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205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规定执行。</w:t>
      </w:r>
    </w:p>
    <w:p w14:paraId="6E8A98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第六条 安装和培训 </w:t>
      </w:r>
    </w:p>
    <w:p w14:paraId="2A2EEC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 xml:space="preserve">乙方应提供必要安装条件（如场地搭建布置等）。 </w:t>
      </w:r>
    </w:p>
    <w:p w14:paraId="285DC8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 xml:space="preserve">乙方负责甲方有关人员的培训。培训时间、地点： 由甲方决定。 </w:t>
      </w:r>
    </w:p>
    <w:p w14:paraId="37C692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第七条 售后服务、质保期 </w:t>
      </w:r>
    </w:p>
    <w:p w14:paraId="0BC53D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乙方应按照国家有关法律法规和</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三包</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规定以及招</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和本合同附件，为甲方提供售后服务。 </w:t>
      </w:r>
    </w:p>
    <w:p w14:paraId="17E3B8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货物或服务成果质保期：按乙方承诺，但是不得低于国家相关标准。 </w:t>
      </w:r>
    </w:p>
    <w:p w14:paraId="5CE838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乙方提供的服务承诺和售后服务及质保期责任等其它具体约定事项。（见合同附件） </w:t>
      </w:r>
    </w:p>
    <w:p w14:paraId="1B67D4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第八条 付款方式 </w:t>
      </w:r>
    </w:p>
    <w:p w14:paraId="446C5B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当货物或服务成果采购数量与实际使用数量不一致时，乙方应根据实际使用量提供，合同的最终 </w:t>
      </w:r>
    </w:p>
    <w:p w14:paraId="1E7415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结算金额按实际使用量乘以成交单价进行计算。 </w:t>
      </w:r>
    </w:p>
    <w:p w14:paraId="4A02BD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资金性质：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5A6444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付款方式：</w:t>
      </w:r>
    </w:p>
    <w:p w14:paraId="01E1B0A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auto"/>
          <w:highlight w:val="none"/>
          <w:u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lang w:val="en-US" w:eastAsia="zh-CN"/>
        </w:rPr>
        <w:t>项目分两次付款</w:t>
      </w:r>
      <w:r>
        <w:rPr>
          <w:rFonts w:hint="eastAsia" w:hAnsi="宋体"/>
          <w:bCs/>
          <w:color w:val="auto"/>
          <w:u w:val="single"/>
        </w:rPr>
        <w:t>，</w:t>
      </w:r>
      <w:r>
        <w:rPr>
          <w:rFonts w:hint="eastAsia" w:ascii="宋体" w:hAnsi="宋体" w:eastAsia="宋体" w:cs="宋体"/>
          <w:bCs/>
          <w:color w:val="auto"/>
          <w:sz w:val="21"/>
          <w:szCs w:val="21"/>
          <w:highlight w:val="none"/>
          <w:u w:val="single"/>
          <w:lang w:val="en-US" w:eastAsia="zh-CN"/>
        </w:rPr>
        <w:t>完成青少年组赛事执行后</w:t>
      </w:r>
      <w:r>
        <w:rPr>
          <w:rFonts w:hint="eastAsia" w:ascii="宋体" w:hAnsi="宋体" w:eastAsia="宋体" w:cs="宋体"/>
          <w:bCs/>
          <w:color w:val="auto"/>
          <w:sz w:val="21"/>
          <w:szCs w:val="21"/>
          <w:highlight w:val="none"/>
          <w:u w:val="single"/>
          <w:lang w:eastAsia="zh-CN"/>
        </w:rPr>
        <w:t>支付合同款的50%，中标人完成所有赛事工作，提交赛事总结（</w:t>
      </w:r>
      <w:r>
        <w:rPr>
          <w:rFonts w:hint="eastAsia" w:ascii="宋体" w:hAnsi="宋体" w:eastAsia="宋体" w:cs="宋体"/>
          <w:bCs/>
          <w:color w:val="auto"/>
          <w:sz w:val="21"/>
          <w:szCs w:val="21"/>
          <w:highlight w:val="none"/>
          <w:u w:val="single"/>
          <w:lang w:val="en-US" w:eastAsia="zh-CN"/>
        </w:rPr>
        <w:t>含服务及费用清单</w:t>
      </w:r>
      <w:r>
        <w:rPr>
          <w:rFonts w:hint="eastAsia" w:ascii="宋体" w:hAnsi="宋体" w:eastAsia="宋体" w:cs="宋体"/>
          <w:bCs/>
          <w:color w:val="auto"/>
          <w:sz w:val="21"/>
          <w:szCs w:val="21"/>
          <w:highlight w:val="none"/>
          <w:u w:val="single"/>
          <w:lang w:eastAsia="zh-CN"/>
        </w:rPr>
        <w:t>）并经采购人验收合格后，采购人在合同价格内，在10个工作日内</w:t>
      </w:r>
      <w:r>
        <w:rPr>
          <w:rFonts w:hint="eastAsia" w:ascii="宋体" w:hAnsi="宋体" w:eastAsia="宋体" w:cs="宋体"/>
          <w:bCs/>
          <w:color w:val="auto"/>
          <w:sz w:val="21"/>
          <w:szCs w:val="21"/>
          <w:highlight w:val="none"/>
          <w:u w:val="single"/>
          <w:lang w:val="en-US" w:eastAsia="zh-CN"/>
        </w:rPr>
        <w:t>依据服务及实际验收费用清单</w:t>
      </w:r>
      <w:r>
        <w:rPr>
          <w:rFonts w:hint="eastAsia" w:ascii="宋体" w:hAnsi="宋体" w:eastAsia="宋体" w:cs="宋体"/>
          <w:bCs/>
          <w:color w:val="auto"/>
          <w:sz w:val="21"/>
          <w:szCs w:val="21"/>
          <w:highlight w:val="none"/>
          <w:u w:val="single"/>
          <w:lang w:eastAsia="zh-CN"/>
        </w:rPr>
        <w:t>向中标人一次性支付剩余</w:t>
      </w:r>
      <w:r>
        <w:rPr>
          <w:rFonts w:hint="eastAsia" w:ascii="宋体" w:hAnsi="宋体" w:eastAsia="宋体" w:cs="宋体"/>
          <w:bCs/>
          <w:color w:val="auto"/>
          <w:sz w:val="21"/>
          <w:szCs w:val="21"/>
          <w:highlight w:val="none"/>
          <w:u w:val="single"/>
          <w:lang w:val="en-US" w:eastAsia="zh-CN"/>
        </w:rPr>
        <w:t>款项</w:t>
      </w:r>
      <w:r>
        <w:rPr>
          <w:rFonts w:hint="eastAsia" w:ascii="宋体" w:hAnsi="宋体" w:eastAsia="宋体" w:cs="宋体"/>
          <w:bCs/>
          <w:color w:val="auto"/>
          <w:sz w:val="21"/>
          <w:szCs w:val="21"/>
          <w:highlight w:val="none"/>
          <w:u w:val="single"/>
          <w:lang w:eastAsia="zh-CN"/>
        </w:rPr>
        <w:t>。中标人每次收款前应先开具等额合规的发票及请款函给采购人。在项目完成且收到乙方验收申请后5个工作日内组织开展履约验收。对于满足合同约定支付条件的项目，在收到发票后10个工作日内将资金支付到合同约定的乙方账户，不得以进行审计作为支付乙方款项的条件，不得以机构变动、人员更替、政策调整、履行内部付款流程等为由延迟付款</w:t>
      </w:r>
      <w:r>
        <w:rPr>
          <w:rFonts w:hint="eastAsia" w:ascii="宋体" w:hAnsi="宋体" w:eastAsia="宋体" w:cs="宋体"/>
          <w:bCs/>
          <w:color w:val="auto"/>
          <w:sz w:val="21"/>
          <w:szCs w:val="21"/>
          <w:highlight w:val="none"/>
          <w:u w:val="none"/>
          <w:lang w:eastAsia="zh-CN"/>
        </w:rPr>
        <w:t>。</w:t>
      </w:r>
    </w:p>
    <w:p w14:paraId="6918D926">
      <w:pPr>
        <w:spacing w:line="360" w:lineRule="auto"/>
        <w:ind w:left="0" w:leftChars="0" w:firstLine="420" w:firstLineChars="200"/>
        <w:rPr>
          <w:rFonts w:hint="eastAsia" w:ascii="宋体" w:hAnsi="宋体"/>
          <w:color w:val="auto"/>
          <w:highlight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highlight w:val="none"/>
        </w:rPr>
        <w:t>预付款保函</w:t>
      </w:r>
      <w:r>
        <w:rPr>
          <w:rFonts w:hint="eastAsia" w:hAnsi="宋体" w:cs="宋体"/>
          <w:color w:val="auto"/>
          <w:highlight w:val="none"/>
          <w:lang w:val="en-US" w:eastAsia="zh-CN"/>
        </w:rPr>
        <w:t>:</w:t>
      </w:r>
      <w:r>
        <w:rPr>
          <w:rFonts w:hint="eastAsia" w:hAnsi="宋体" w:cs="Times New Roman"/>
          <w:bCs/>
          <w:color w:val="auto"/>
          <w:highlight w:val="none"/>
          <w:u w:val="single"/>
          <w:lang w:eastAsia="zh-CN"/>
        </w:rPr>
        <w:t>无</w:t>
      </w:r>
      <w:r>
        <w:rPr>
          <w:rFonts w:hint="eastAsia" w:ascii="宋体" w:hAnsi="宋体" w:eastAsia="宋体" w:cs="Times New Roman"/>
          <w:bCs/>
          <w:color w:val="auto"/>
          <w:highlight w:val="none"/>
          <w:u w:val="single"/>
        </w:rPr>
        <w:t>。</w:t>
      </w:r>
    </w:p>
    <w:p w14:paraId="656A51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第九条 质量保证金及履约保证金 ：</w:t>
      </w:r>
      <w:r>
        <w:rPr>
          <w:rFonts w:hint="eastAsia" w:hAnsi="宋体" w:cs="宋体"/>
          <w:color w:val="auto"/>
          <w:kern w:val="0"/>
          <w:sz w:val="21"/>
          <w:szCs w:val="21"/>
          <w:highlight w:val="none"/>
          <w:u w:val="single"/>
          <w:lang w:val="en-US" w:eastAsia="zh-CN" w:bidi="ar"/>
        </w:rPr>
        <w:t>无</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7E0C18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第十条 税费 </w:t>
      </w:r>
    </w:p>
    <w:p w14:paraId="13589A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 xml:space="preserve">本合同执行中相关的一切税费均由乙方负担。 </w:t>
      </w:r>
    </w:p>
    <w:p w14:paraId="5DFBDA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第十一条 质量保证及售后服务 </w:t>
      </w:r>
    </w:p>
    <w:p w14:paraId="153B6E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1.按采购文件规定的服务质量标准，并达到或优于中标人承诺的标准。 </w:t>
      </w:r>
    </w:p>
    <w:p w14:paraId="00B6F8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乙方所提供的服务必须与招</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和承诺相一致。 </w:t>
      </w:r>
    </w:p>
    <w:p w14:paraId="4A95C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如在使用过程中发生质量问题，乙方在接到甲方通知后在小时内到达甲方现场。 </w:t>
      </w:r>
    </w:p>
    <w:p w14:paraId="4E84EC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 xml:space="preserve">在质保期内，乙方应对货物或服务成果出现的质量及安全问题负责处理解决并承担一切费用。 </w:t>
      </w:r>
    </w:p>
    <w:p w14:paraId="733A03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第十二条 违约责任 </w:t>
      </w:r>
    </w:p>
    <w:p w14:paraId="4E213E64">
      <w:pPr>
        <w:keepNext w:val="0"/>
        <w:keepLines w:val="0"/>
        <w:pageBreakBefore w:val="0"/>
        <w:widowControl/>
        <w:suppressLineNumbers w:val="0"/>
        <w:kinsoku/>
        <w:wordWrap/>
        <w:overflowPunct/>
        <w:topLinePunct w:val="0"/>
        <w:autoSpaceDE/>
        <w:autoSpaceDN/>
        <w:bidi w:val="0"/>
        <w:adjustRightInd/>
        <w:snapToGrid/>
        <w:spacing w:line="360" w:lineRule="auto"/>
        <w:ind w:right="-241" w:rightChars="-115"/>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若因乙方原因而未能履行合同或未达到合同约定的要求</w:t>
      </w:r>
      <w:r>
        <w:rPr>
          <w:rFonts w:hint="eastAsia"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甲方有权书面敦促乙方履行合同，乙方应在收到甲方书面通知之日起七日内给予书面答复并进行整改；如乙方在上述时间未答复，或无故拖延履行合同超过</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日，或经</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次整改后仍未达到甲方要求，甲方有权书面通知乙方解除服务合同，且无需支付合同解除后的合同后续费用。同时，乙方必须退还甲方已付出的所有服务费用，并赔偿由此给甲方造成的全部损失。 </w:t>
      </w:r>
    </w:p>
    <w:p w14:paraId="27F8BD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乙方或乙方人员违反保密义务时，甲方有权书面通知乙方解除咨询合同，且无需支付合同解除后的合同后续费用。同时，乙方必须退还甲方已付出的所有咨询费用，并赔偿由此给甲方造成的全部损失。 </w:t>
      </w:r>
    </w:p>
    <w:p w14:paraId="569520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乙方提供的货物或服务如侵犯了第三方合法权益而引发的任何纠纷或诉讼，均由乙方负责交涉并承担全部责任。 </w:t>
      </w:r>
    </w:p>
    <w:p w14:paraId="5631B3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因包装、运输引起的货物或服务成果损坏，按质量不合格处罚。 </w:t>
      </w:r>
    </w:p>
    <w:p w14:paraId="4689F8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甲方无故延期接收货物或服务交付成果、乙方逾期交付的，每天向对方偿付违约货物或服务费用金额的 </w:t>
      </w:r>
      <w:r>
        <w:rPr>
          <w:rFonts w:hint="eastAsia" w:hAnsi="宋体" w:cs="宋体"/>
          <w:color w:val="auto"/>
          <w:kern w:val="0"/>
          <w:sz w:val="21"/>
          <w:szCs w:val="21"/>
          <w:highlight w:val="none"/>
          <w:lang w:val="en-US" w:eastAsia="zh-CN" w:bidi="ar"/>
        </w:rPr>
        <w:t>万分之五的</w:t>
      </w:r>
      <w:r>
        <w:rPr>
          <w:rFonts w:hint="eastAsia" w:ascii="宋体" w:hAnsi="宋体" w:eastAsia="宋体" w:cs="宋体"/>
          <w:color w:val="auto"/>
          <w:kern w:val="0"/>
          <w:sz w:val="21"/>
          <w:szCs w:val="21"/>
          <w:highlight w:val="none"/>
          <w:lang w:val="en-US" w:eastAsia="zh-CN" w:bidi="ar"/>
        </w:rPr>
        <w:t>违约金，但违约金累计不得超过违约货物或服务费用金额的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，超过</w:t>
      </w:r>
      <w:r>
        <w:rPr>
          <w:rFonts w:hint="default" w:ascii="宋体" w:hAnsi="宋体" w:eastAsia="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天对方有权解除合同，违约方承担因此给对方造成的经济损失；甲方延期付货物或服务费用金额的，每天向乙方偿付延期货物或服务费用金额的</w:t>
      </w:r>
      <w:r>
        <w:rPr>
          <w:rFonts w:hint="eastAsia" w:hAnsi="宋体" w:cs="宋体"/>
          <w:color w:val="auto"/>
          <w:kern w:val="0"/>
          <w:sz w:val="21"/>
          <w:szCs w:val="21"/>
          <w:highlight w:val="none"/>
          <w:lang w:val="en-US" w:eastAsia="zh-CN" w:bidi="ar"/>
        </w:rPr>
        <w:t>万分之五</w:t>
      </w:r>
      <w:r>
        <w:rPr>
          <w:rFonts w:hint="eastAsia" w:ascii="宋体" w:hAnsi="宋体" w:eastAsia="宋体" w:cs="宋体"/>
          <w:color w:val="auto"/>
          <w:kern w:val="0"/>
          <w:sz w:val="21"/>
          <w:szCs w:val="21"/>
          <w:highlight w:val="none"/>
          <w:lang w:val="en-US" w:eastAsia="zh-CN" w:bidi="ar"/>
        </w:rPr>
        <w:t>作为滞纳金，但滞纳金累计不得超过延期货物或服务费用金额的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p>
    <w:p w14:paraId="1F1032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乙方未按本合同和</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中规定的服务承诺提供服务的，乙方应按</w:t>
      </w:r>
      <w:r>
        <w:rPr>
          <w:rFonts w:hint="eastAsia" w:hAnsi="宋体" w:cs="宋体"/>
          <w:color w:val="auto"/>
          <w:kern w:val="0"/>
          <w:sz w:val="21"/>
          <w:szCs w:val="21"/>
          <w:highlight w:val="none"/>
          <w:lang w:val="en-US" w:eastAsia="zh-CN" w:bidi="ar"/>
        </w:rPr>
        <w:t>违约部分</w:t>
      </w:r>
      <w:r>
        <w:rPr>
          <w:rFonts w:hint="eastAsia" w:ascii="宋体" w:hAnsi="宋体" w:eastAsia="宋体" w:cs="宋体"/>
          <w:color w:val="auto"/>
          <w:kern w:val="0"/>
          <w:sz w:val="21"/>
          <w:szCs w:val="21"/>
          <w:highlight w:val="none"/>
          <w:lang w:val="en-US" w:eastAsia="zh-CN" w:bidi="ar"/>
        </w:rPr>
        <w:t>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向甲方支付违约金。 </w:t>
      </w:r>
    </w:p>
    <w:p w14:paraId="3AFEF9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其它违约行为按违约货物或服务成果费用金额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收取违约金并赔偿经济损失。</w:t>
      </w:r>
    </w:p>
    <w:p w14:paraId="2EF308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第十三条 不可抗力事件处理 </w:t>
      </w:r>
    </w:p>
    <w:p w14:paraId="334296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1.在合同有效期内，任何一方因不可抗力事件导致不能履行合同，则合同履行期可延长，其延长期与不可抗力影响期相同。 </w:t>
      </w:r>
    </w:p>
    <w:p w14:paraId="6D13A8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不可抗力事件发生后，应立即通知对方，并寄送有关权威机构出具的证明。</w:t>
      </w:r>
    </w:p>
    <w:p w14:paraId="473781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3.不可抗力事件延续一百二十天以上，双方应通过友好协商，确定是否继续履行合同。</w:t>
      </w:r>
    </w:p>
    <w:p w14:paraId="483EFB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第十四条 合同争议解决 </w:t>
      </w:r>
    </w:p>
    <w:p w14:paraId="36D527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1.因履行本合同引起的或与本合同有关的争议，甲乙双方应首先通过友好协商解决，如果协商不能解决，可向甲方所在地人民法院提起诉讼。 </w:t>
      </w:r>
    </w:p>
    <w:p w14:paraId="64C5E8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诉讼期间，本合同继续履行。</w:t>
      </w:r>
    </w:p>
    <w:p w14:paraId="1B0D7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第十五条 合同生效及其它 </w:t>
      </w:r>
    </w:p>
    <w:p w14:paraId="5D4C52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1．本合同履行期限为：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；合同履行地点为：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合同履行的方式：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none"/>
          <w:lang w:val="en-US" w:eastAsia="zh-CN" w:bidi="ar"/>
        </w:rPr>
        <w:t xml:space="preserve">   </w:t>
      </w:r>
    </w:p>
    <w:p w14:paraId="4E619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．合同经双方法定代表人或授权代表签字并加盖单位公章后生效。 </w:t>
      </w:r>
    </w:p>
    <w:p w14:paraId="2B280F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．合同执行中涉及采购资金和采购内容修改或补充的，须经财政部门审批，并签书面补充协议报 </w:t>
      </w:r>
    </w:p>
    <w:p w14:paraId="09D315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财政部门备案，方可作为主合同不可分割的一部分。 </w:t>
      </w:r>
    </w:p>
    <w:p w14:paraId="1D687A7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本合同未尽事宜，遵照《中华人民共和国民法典》有关条文执行。</w:t>
      </w:r>
    </w:p>
    <w:p w14:paraId="4A2664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第十六条 合同的变更、终止与转让 </w:t>
      </w:r>
    </w:p>
    <w:p w14:paraId="37212A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1.除《中华人民共和国政府采购法》第五十条规定的情形外，本合同一经签订，甲乙双方不得擅自变更、中止或终止。 </w:t>
      </w:r>
    </w:p>
    <w:p w14:paraId="1BD431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未经甲方书面同意，乙方不得擅自转让其应履行的合同义务。 </w:t>
      </w:r>
    </w:p>
    <w:p w14:paraId="4725CD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第十七条 签订本合同依据 </w:t>
      </w:r>
    </w:p>
    <w:p w14:paraId="578634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政府采购</w:t>
      </w:r>
      <w:r>
        <w:rPr>
          <w:rFonts w:hint="eastAsia" w:hAnsi="宋体" w:cs="宋体"/>
          <w:color w:val="auto"/>
          <w:kern w:val="0"/>
          <w:sz w:val="21"/>
          <w:szCs w:val="21"/>
          <w:highlight w:val="none"/>
          <w:lang w:val="en-US" w:eastAsia="zh-CN" w:bidi="ar"/>
        </w:rPr>
        <w:t>采购文件</w:t>
      </w:r>
      <w:r>
        <w:rPr>
          <w:rFonts w:hint="eastAsia" w:ascii="宋体" w:hAnsi="宋体" w:eastAsia="宋体" w:cs="宋体"/>
          <w:color w:val="auto"/>
          <w:kern w:val="0"/>
          <w:sz w:val="21"/>
          <w:szCs w:val="21"/>
          <w:highlight w:val="none"/>
          <w:lang w:val="en-US" w:eastAsia="zh-CN" w:bidi="ar"/>
        </w:rPr>
        <w:t xml:space="preserve">； </w:t>
      </w:r>
    </w:p>
    <w:p w14:paraId="59C72B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乙方提供的</w:t>
      </w:r>
      <w:r>
        <w:rPr>
          <w:rFonts w:hint="eastAsia" w:hAnsi="宋体" w:cs="宋体"/>
          <w:color w:val="auto"/>
          <w:kern w:val="0"/>
          <w:sz w:val="21"/>
          <w:szCs w:val="21"/>
          <w:highlight w:val="none"/>
          <w:lang w:val="en-US" w:eastAsia="zh-CN" w:bidi="ar"/>
        </w:rPr>
        <w:t>响应文件</w:t>
      </w:r>
      <w:r>
        <w:rPr>
          <w:rFonts w:hint="eastAsia" w:ascii="宋体" w:hAnsi="宋体" w:eastAsia="宋体" w:cs="宋体"/>
          <w:color w:val="auto"/>
          <w:kern w:val="0"/>
          <w:sz w:val="21"/>
          <w:szCs w:val="21"/>
          <w:highlight w:val="none"/>
          <w:lang w:val="en-US" w:eastAsia="zh-CN" w:bidi="ar"/>
        </w:rPr>
        <w:t xml:space="preserve">； </w:t>
      </w:r>
    </w:p>
    <w:p w14:paraId="699A91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中标通知书。 </w:t>
      </w:r>
    </w:p>
    <w:p w14:paraId="022C87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第十八条 </w:t>
      </w:r>
      <w:r>
        <w:rPr>
          <w:rFonts w:hint="eastAsia" w:ascii="宋体" w:hAnsi="宋体" w:eastAsia="宋体" w:cs="宋体"/>
          <w:color w:val="auto"/>
          <w:kern w:val="0"/>
          <w:sz w:val="21"/>
          <w:szCs w:val="21"/>
          <w:highlight w:val="none"/>
          <w:lang w:val="en-US" w:eastAsia="zh-CN" w:bidi="ar"/>
        </w:rPr>
        <w:t>本合同一式六份，具有同等法律效力。政府采购监督管理部门、采购代理机构各一份，甲方两份，乙方两份。</w:t>
      </w:r>
    </w:p>
    <w:tbl>
      <w:tblPr>
        <w:tblStyle w:val="48"/>
        <w:tblpPr w:leftFromText="180" w:rightFromText="180" w:vertAnchor="text" w:horzAnchor="page" w:tblpX="1577" w:tblpY="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8"/>
        <w:gridCol w:w="4387"/>
      </w:tblGrid>
      <w:tr w14:paraId="4A51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848" w:type="dxa"/>
          </w:tcPr>
          <w:p w14:paraId="77343FE6">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甲方（章）</w:t>
            </w:r>
          </w:p>
          <w:p w14:paraId="56B3726D">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c>
          <w:tcPr>
            <w:tcW w:w="4387" w:type="dxa"/>
          </w:tcPr>
          <w:p w14:paraId="1E526D5F">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乙方（章）</w:t>
            </w:r>
          </w:p>
          <w:p w14:paraId="4CD306F9">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r>
      <w:tr w14:paraId="7D92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8" w:type="dxa"/>
          </w:tcPr>
          <w:p w14:paraId="033E2FB3">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c>
          <w:tcPr>
            <w:tcW w:w="4387" w:type="dxa"/>
          </w:tcPr>
          <w:p w14:paraId="5FA57E4E">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r>
      <w:tr w14:paraId="39B7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848" w:type="dxa"/>
          </w:tcPr>
          <w:p w14:paraId="12B9B56D">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c>
          <w:tcPr>
            <w:tcW w:w="4387" w:type="dxa"/>
          </w:tcPr>
          <w:p w14:paraId="6F673327">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r>
      <w:tr w14:paraId="2A93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3BE0DAFA">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c>
          <w:tcPr>
            <w:tcW w:w="4387" w:type="dxa"/>
          </w:tcPr>
          <w:p w14:paraId="1298EA87">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r>
      <w:tr w14:paraId="26F5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0433CC60">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c>
          <w:tcPr>
            <w:tcW w:w="4387" w:type="dxa"/>
          </w:tcPr>
          <w:p w14:paraId="774DA161">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r>
      <w:tr w14:paraId="3316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848" w:type="dxa"/>
          </w:tcPr>
          <w:p w14:paraId="6A2EBF31">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c>
          <w:tcPr>
            <w:tcW w:w="4387" w:type="dxa"/>
          </w:tcPr>
          <w:p w14:paraId="3DFD319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r>
      <w:tr w14:paraId="36D6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5856781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c>
          <w:tcPr>
            <w:tcW w:w="4387" w:type="dxa"/>
          </w:tcPr>
          <w:p w14:paraId="0515D1D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r>
      <w:tr w14:paraId="3568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48" w:type="dxa"/>
          </w:tcPr>
          <w:p w14:paraId="381D4A7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c>
          <w:tcPr>
            <w:tcW w:w="4387" w:type="dxa"/>
          </w:tcPr>
          <w:p w14:paraId="7BAE673C">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r>
      <w:tr w14:paraId="123E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48" w:type="dxa"/>
          </w:tcPr>
          <w:p w14:paraId="0ED989CB">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c>
          <w:tcPr>
            <w:tcW w:w="4387" w:type="dxa"/>
          </w:tcPr>
          <w:p w14:paraId="1E58E343">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r>
    </w:tbl>
    <w:p w14:paraId="1D37803D">
      <w:pPr>
        <w:widowControl/>
        <w:jc w:val="left"/>
        <w:rPr>
          <w:rFonts w:hAnsi="宋体"/>
          <w:b/>
          <w:color w:val="auto"/>
          <w:sz w:val="28"/>
          <w:szCs w:val="28"/>
        </w:rPr>
      </w:pPr>
    </w:p>
    <w:p w14:paraId="7707990A">
      <w:pPr>
        <w:widowControl/>
        <w:jc w:val="left"/>
        <w:rPr>
          <w:rFonts w:hAnsi="宋体"/>
          <w:b/>
          <w:color w:val="auto"/>
          <w:sz w:val="28"/>
          <w:szCs w:val="28"/>
        </w:rPr>
      </w:pPr>
    </w:p>
    <w:p w14:paraId="49F3799D">
      <w:pPr>
        <w:widowControl/>
        <w:jc w:val="left"/>
        <w:rPr>
          <w:rFonts w:hAnsi="宋体"/>
          <w:b/>
          <w:color w:val="auto"/>
          <w:sz w:val="28"/>
          <w:szCs w:val="28"/>
        </w:rPr>
      </w:pPr>
    </w:p>
    <w:p w14:paraId="540C2883">
      <w:pPr>
        <w:pStyle w:val="19"/>
        <w:rPr>
          <w:rFonts w:hAnsi="宋体"/>
          <w:b/>
          <w:color w:val="auto"/>
          <w:sz w:val="28"/>
          <w:szCs w:val="28"/>
        </w:rPr>
      </w:pPr>
    </w:p>
    <w:p w14:paraId="6CF85729">
      <w:pPr>
        <w:pStyle w:val="19"/>
        <w:rPr>
          <w:rFonts w:hAnsi="宋体"/>
          <w:b/>
          <w:color w:val="auto"/>
          <w:sz w:val="28"/>
          <w:szCs w:val="28"/>
        </w:rPr>
      </w:pPr>
    </w:p>
    <w:p w14:paraId="158BBF53">
      <w:pPr>
        <w:pStyle w:val="19"/>
        <w:rPr>
          <w:rFonts w:hAnsi="宋体"/>
          <w:b/>
          <w:color w:val="auto"/>
          <w:sz w:val="28"/>
          <w:szCs w:val="28"/>
        </w:rPr>
      </w:pPr>
    </w:p>
    <w:p w14:paraId="1F9CC8E0">
      <w:pPr>
        <w:pStyle w:val="19"/>
        <w:rPr>
          <w:rFonts w:hAnsi="宋体"/>
          <w:b/>
          <w:color w:val="auto"/>
          <w:sz w:val="28"/>
          <w:szCs w:val="28"/>
        </w:rPr>
      </w:pPr>
    </w:p>
    <w:p w14:paraId="512C421C">
      <w:pPr>
        <w:pStyle w:val="19"/>
        <w:rPr>
          <w:rFonts w:hAnsi="宋体"/>
          <w:b/>
          <w:color w:val="auto"/>
          <w:sz w:val="28"/>
          <w:szCs w:val="28"/>
        </w:rPr>
      </w:pPr>
    </w:p>
    <w:p w14:paraId="69B7B3D2">
      <w:pPr>
        <w:pStyle w:val="19"/>
        <w:rPr>
          <w:rFonts w:hAnsi="宋体"/>
          <w:b/>
          <w:color w:val="auto"/>
          <w:sz w:val="28"/>
          <w:szCs w:val="28"/>
        </w:rPr>
      </w:pPr>
    </w:p>
    <w:p w14:paraId="2E56E48D">
      <w:pPr>
        <w:pStyle w:val="19"/>
        <w:rPr>
          <w:rFonts w:hAnsi="宋体"/>
          <w:b/>
          <w:color w:val="auto"/>
          <w:sz w:val="28"/>
          <w:szCs w:val="28"/>
        </w:rPr>
      </w:pPr>
    </w:p>
    <w:p w14:paraId="2FEA12B0">
      <w:pPr>
        <w:pStyle w:val="19"/>
        <w:rPr>
          <w:rFonts w:hAnsi="宋体"/>
          <w:b/>
          <w:color w:val="auto"/>
          <w:sz w:val="28"/>
          <w:szCs w:val="28"/>
        </w:rPr>
      </w:pPr>
    </w:p>
    <w:p w14:paraId="718EFB22">
      <w:pPr>
        <w:pStyle w:val="19"/>
        <w:rPr>
          <w:rFonts w:hAnsi="宋体"/>
          <w:b/>
          <w:color w:val="auto"/>
          <w:sz w:val="28"/>
          <w:szCs w:val="28"/>
        </w:rPr>
      </w:pPr>
    </w:p>
    <w:p w14:paraId="24B63C91">
      <w:pPr>
        <w:pStyle w:val="19"/>
        <w:rPr>
          <w:rFonts w:hAnsi="宋体"/>
          <w:b/>
          <w:color w:val="auto"/>
          <w:sz w:val="28"/>
          <w:szCs w:val="28"/>
        </w:rPr>
      </w:pPr>
    </w:p>
    <w:p w14:paraId="3B799785">
      <w:pPr>
        <w:pStyle w:val="19"/>
        <w:rPr>
          <w:rFonts w:hAnsi="宋体"/>
          <w:b/>
          <w:color w:val="auto"/>
          <w:sz w:val="28"/>
          <w:szCs w:val="28"/>
        </w:rPr>
      </w:pPr>
    </w:p>
    <w:p w14:paraId="4CC262E3">
      <w:pPr>
        <w:pStyle w:val="19"/>
        <w:rPr>
          <w:rFonts w:hAnsi="宋体"/>
          <w:b/>
          <w:color w:val="auto"/>
          <w:sz w:val="28"/>
          <w:szCs w:val="28"/>
        </w:rPr>
      </w:pPr>
    </w:p>
    <w:p w14:paraId="6594E2F1">
      <w:pPr>
        <w:pStyle w:val="19"/>
        <w:rPr>
          <w:rFonts w:hAnsi="宋体"/>
          <w:b/>
          <w:color w:val="auto"/>
          <w:sz w:val="28"/>
          <w:szCs w:val="28"/>
        </w:rPr>
      </w:pPr>
    </w:p>
    <w:p w14:paraId="1212BB78">
      <w:pPr>
        <w:pStyle w:val="19"/>
        <w:rPr>
          <w:rFonts w:hAnsi="宋体"/>
          <w:b/>
          <w:color w:val="auto"/>
          <w:sz w:val="28"/>
          <w:szCs w:val="28"/>
        </w:rPr>
      </w:pPr>
    </w:p>
    <w:p w14:paraId="386916FA">
      <w:pPr>
        <w:pStyle w:val="19"/>
        <w:rPr>
          <w:rFonts w:hAnsi="宋体"/>
          <w:b/>
          <w:color w:val="auto"/>
          <w:sz w:val="28"/>
          <w:szCs w:val="28"/>
        </w:rPr>
      </w:pPr>
    </w:p>
    <w:p w14:paraId="151534C8">
      <w:pPr>
        <w:pStyle w:val="19"/>
        <w:rPr>
          <w:rFonts w:hAnsi="宋体"/>
          <w:b/>
          <w:color w:val="auto"/>
          <w:sz w:val="28"/>
          <w:szCs w:val="28"/>
        </w:rPr>
      </w:pPr>
    </w:p>
    <w:p w14:paraId="6DE109AE">
      <w:pPr>
        <w:pStyle w:val="19"/>
        <w:rPr>
          <w:rFonts w:hAnsi="宋体"/>
          <w:b/>
          <w:color w:val="auto"/>
          <w:sz w:val="28"/>
          <w:szCs w:val="28"/>
        </w:rPr>
      </w:pPr>
    </w:p>
    <w:p w14:paraId="60BC4F78">
      <w:pPr>
        <w:pStyle w:val="19"/>
        <w:rPr>
          <w:rFonts w:hAnsi="宋体"/>
          <w:b/>
          <w:color w:val="auto"/>
          <w:sz w:val="28"/>
          <w:szCs w:val="28"/>
        </w:rPr>
      </w:pPr>
    </w:p>
    <w:p w14:paraId="75163139">
      <w:pPr>
        <w:pStyle w:val="19"/>
        <w:rPr>
          <w:rFonts w:hAnsi="宋体"/>
          <w:b/>
          <w:color w:val="auto"/>
          <w:sz w:val="28"/>
          <w:szCs w:val="28"/>
        </w:rPr>
      </w:pPr>
    </w:p>
    <w:p w14:paraId="6064DBF5">
      <w:pPr>
        <w:pStyle w:val="19"/>
        <w:rPr>
          <w:rFonts w:hAnsi="宋体"/>
          <w:b/>
          <w:color w:val="auto"/>
          <w:sz w:val="28"/>
          <w:szCs w:val="28"/>
        </w:rPr>
      </w:pPr>
    </w:p>
    <w:p w14:paraId="57F342EA">
      <w:pPr>
        <w:pStyle w:val="19"/>
        <w:rPr>
          <w:rFonts w:hAnsi="宋体"/>
          <w:b/>
          <w:color w:val="auto"/>
          <w:sz w:val="28"/>
          <w:szCs w:val="28"/>
        </w:rPr>
      </w:pPr>
    </w:p>
    <w:p w14:paraId="381560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附件：预付款担保格式</w:t>
      </w:r>
    </w:p>
    <w:p w14:paraId="3FAEFEC6">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预付款担保</w:t>
      </w:r>
    </w:p>
    <w:p w14:paraId="01E9DB18">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olor w:val="auto"/>
          <w:kern w:val="2"/>
          <w:highlight w:val="none"/>
        </w:rPr>
        <w:t>（发包人名称）：</w:t>
      </w:r>
    </w:p>
    <w:p w14:paraId="5F046D2B">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日签订的</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057B60C">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7159D1CE">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担保有效期自预付款支付给承包人起生效，至你方签发的进度款支付证书说明已完全扣清止。</w:t>
      </w:r>
    </w:p>
    <w:p w14:paraId="0D912AC2">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250143A">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你方和承包人按合同约定变更合同时，我方承担本保函规定的义务不变。</w:t>
      </w:r>
    </w:p>
    <w:p w14:paraId="22CABDE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75AA5B97">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2A9A62CB">
      <w:pPr>
        <w:spacing w:line="360" w:lineRule="auto"/>
        <w:rPr>
          <w:rFonts w:hAnsi="宋体" w:cs="Times New Roman"/>
          <w:color w:val="auto"/>
          <w:kern w:val="2"/>
          <w:highlight w:val="none"/>
        </w:rPr>
      </w:pPr>
    </w:p>
    <w:p w14:paraId="7CDF8F1B">
      <w:pPr>
        <w:spacing w:line="360" w:lineRule="auto"/>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5C451957">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2CD69452">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10FA0028">
      <w:pPr>
        <w:spacing w:line="360" w:lineRule="auto"/>
        <w:rPr>
          <w:rFonts w:hAnsi="宋体" w:cs="Times New Roman"/>
          <w:color w:val="auto"/>
          <w:kern w:val="2"/>
          <w:highlight w:val="none"/>
          <w:u w:val="singl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1BD1A926">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23520CD7">
      <w:pPr>
        <w:spacing w:line="360" w:lineRule="auto"/>
        <w:rPr>
          <w:rFonts w:hAnsi="宋体" w:cs="Times New Roman"/>
          <w:color w:val="auto"/>
          <w:kern w:val="2"/>
          <w:highlight w:val="none"/>
          <w:u w:val="singl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6313E639">
      <w:pPr>
        <w:spacing w:line="360" w:lineRule="auto"/>
        <w:rPr>
          <w:rFonts w:hAnsi="宋体" w:cs="Times New Roman"/>
          <w:color w:val="auto"/>
          <w:kern w:val="2"/>
          <w:highlight w:val="none"/>
          <w:u w:val="single"/>
        </w:rPr>
      </w:pPr>
    </w:p>
    <w:p w14:paraId="126D9CBB">
      <w:pPr>
        <w:spacing w:line="360" w:lineRule="auto"/>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6B39DAA5">
      <w:pPr>
        <w:pStyle w:val="19"/>
        <w:rPr>
          <w:rFonts w:hAnsi="宋体"/>
          <w:b/>
          <w:color w:val="auto"/>
          <w:sz w:val="28"/>
          <w:szCs w:val="28"/>
        </w:rPr>
      </w:pPr>
    </w:p>
    <w:p w14:paraId="026CFE8D">
      <w:pPr>
        <w:pStyle w:val="19"/>
        <w:rPr>
          <w:rFonts w:hAnsi="宋体"/>
          <w:b/>
          <w:color w:val="auto"/>
          <w:sz w:val="28"/>
          <w:szCs w:val="28"/>
        </w:rPr>
      </w:pPr>
    </w:p>
    <w:p w14:paraId="7A1824FC">
      <w:pPr>
        <w:pStyle w:val="19"/>
        <w:rPr>
          <w:rFonts w:hAnsi="宋体"/>
          <w:b/>
          <w:color w:val="auto"/>
          <w:sz w:val="28"/>
          <w:szCs w:val="28"/>
        </w:rPr>
      </w:pPr>
    </w:p>
    <w:p w14:paraId="414AE7E1">
      <w:pPr>
        <w:pStyle w:val="19"/>
        <w:rPr>
          <w:rFonts w:hAnsi="宋体"/>
          <w:b/>
          <w:color w:val="auto"/>
          <w:sz w:val="28"/>
          <w:szCs w:val="28"/>
        </w:rPr>
      </w:pPr>
    </w:p>
    <w:p w14:paraId="0CC9F703">
      <w:pPr>
        <w:pStyle w:val="19"/>
        <w:rPr>
          <w:rFonts w:hAnsi="宋体"/>
          <w:b/>
          <w:color w:val="auto"/>
          <w:sz w:val="28"/>
          <w:szCs w:val="28"/>
        </w:rPr>
      </w:pPr>
    </w:p>
    <w:p w14:paraId="741DD84B">
      <w:pPr>
        <w:pStyle w:val="19"/>
        <w:ind w:left="0" w:leftChars="0" w:firstLine="0" w:firstLineChars="0"/>
        <w:rPr>
          <w:rFonts w:hAnsi="宋体"/>
          <w:b/>
          <w:color w:val="auto"/>
          <w:sz w:val="28"/>
          <w:szCs w:val="28"/>
        </w:rPr>
      </w:pPr>
    </w:p>
    <w:p w14:paraId="0B7EEC97">
      <w:pPr>
        <w:pStyle w:val="19"/>
        <w:rPr>
          <w:rFonts w:hAnsi="宋体"/>
          <w:b/>
          <w:color w:val="auto"/>
          <w:sz w:val="28"/>
          <w:szCs w:val="28"/>
        </w:rPr>
      </w:pPr>
    </w:p>
    <w:p w14:paraId="01DA14E6">
      <w:pPr>
        <w:pStyle w:val="19"/>
        <w:rPr>
          <w:rFonts w:hAnsi="宋体"/>
          <w:b/>
          <w:color w:val="auto"/>
          <w:sz w:val="28"/>
          <w:szCs w:val="28"/>
        </w:rPr>
      </w:pPr>
    </w:p>
    <w:p w14:paraId="18077005">
      <w:pPr>
        <w:pStyle w:val="46"/>
        <w:rPr>
          <w:color w:val="auto"/>
        </w:rPr>
      </w:pPr>
      <w:bookmarkStart w:id="61" w:name="_Toc29432"/>
      <w:r>
        <w:rPr>
          <w:rFonts w:hint="eastAsia"/>
          <w:color w:val="auto"/>
        </w:rPr>
        <w:t>第五章</w:t>
      </w:r>
      <w:bookmarkStart w:id="62" w:name="_Toc459103910"/>
      <w:r>
        <w:rPr>
          <w:color w:val="auto"/>
        </w:rPr>
        <w:t xml:space="preserve">  </w:t>
      </w:r>
      <w:bookmarkEnd w:id="62"/>
      <w:r>
        <w:rPr>
          <w:rFonts w:hint="eastAsia"/>
          <w:color w:val="auto"/>
        </w:rPr>
        <w:t>技术标准和要求</w:t>
      </w:r>
      <w:bookmarkEnd w:id="61"/>
    </w:p>
    <w:p w14:paraId="5C270D4F">
      <w:pPr>
        <w:pStyle w:val="383"/>
        <w:ind w:firstLine="420"/>
        <w:rPr>
          <w:rFonts w:cs="仿宋_GB2312" w:asciiTheme="minorEastAsia" w:hAnsiTheme="minorEastAsia" w:eastAsiaTheme="minorEastAsia"/>
          <w:color w:val="auto"/>
          <w:kern w:val="2"/>
          <w:sz w:val="21"/>
          <w:szCs w:val="21"/>
        </w:rPr>
      </w:pPr>
    </w:p>
    <w:p w14:paraId="2AF7643C">
      <w:pPr>
        <w:pStyle w:val="383"/>
        <w:ind w:firstLine="420"/>
        <w:jc w:val="center"/>
        <w:rPr>
          <w:rFonts w:hAnsi="宋体"/>
          <w:color w:val="auto"/>
          <w:kern w:val="2"/>
          <w:szCs w:val="24"/>
        </w:rPr>
      </w:pPr>
      <w:r>
        <w:rPr>
          <w:rFonts w:hint="eastAsia" w:hAnsi="宋体"/>
          <w:color w:val="auto"/>
          <w:kern w:val="2"/>
          <w:szCs w:val="24"/>
        </w:rPr>
        <w:t>包括国家行业和地方现行标准、规范和规程。</w:t>
      </w:r>
      <w:r>
        <w:rPr>
          <w:rFonts w:hAnsi="宋体"/>
          <w:color w:val="auto"/>
          <w:kern w:val="2"/>
          <w:szCs w:val="24"/>
        </w:rPr>
        <w:br w:type="page"/>
      </w:r>
    </w:p>
    <w:p w14:paraId="038FF27C">
      <w:pPr>
        <w:rPr>
          <w:rFonts w:hAnsi="宋体"/>
          <w:color w:val="auto"/>
        </w:rPr>
      </w:pPr>
    </w:p>
    <w:p w14:paraId="204AAECF">
      <w:pPr>
        <w:pStyle w:val="2"/>
        <w:rPr>
          <w:rFonts w:ascii="宋体" w:hAnsi="宋体" w:eastAsia="宋体"/>
          <w:color w:val="auto"/>
          <w:kern w:val="0"/>
        </w:rPr>
      </w:pPr>
      <w:bookmarkStart w:id="63" w:name="_Toc533781575"/>
      <w:bookmarkStart w:id="64" w:name="_Toc533783527"/>
      <w:bookmarkStart w:id="65" w:name="_Toc15707"/>
      <w:r>
        <w:rPr>
          <w:rFonts w:hint="eastAsia" w:ascii="宋体" w:hAnsi="宋体" w:eastAsia="宋体" w:cs="宋体"/>
          <w:color w:val="auto"/>
          <w:kern w:val="0"/>
        </w:rPr>
        <w:t>第六章</w:t>
      </w:r>
      <w:r>
        <w:rPr>
          <w:rFonts w:ascii="宋体" w:hAnsi="宋体" w:eastAsia="宋体" w:cs="宋体"/>
          <w:color w:val="auto"/>
          <w:kern w:val="0"/>
        </w:rPr>
        <w:t xml:space="preserve">  </w:t>
      </w:r>
      <w:bookmarkEnd w:id="63"/>
      <w:bookmarkEnd w:id="64"/>
      <w:r>
        <w:rPr>
          <w:rFonts w:hint="eastAsia" w:ascii="宋体" w:hAnsi="宋体" w:eastAsia="宋体" w:cs="宋体"/>
          <w:color w:val="auto"/>
          <w:kern w:val="0"/>
        </w:rPr>
        <w:t>响应文件格式</w:t>
      </w:r>
      <w:bookmarkEnd w:id="65"/>
    </w:p>
    <w:p w14:paraId="49414F17">
      <w:pPr>
        <w:jc w:val="center"/>
        <w:rPr>
          <w:rFonts w:hint="eastAsia" w:asciiTheme="majorEastAsia" w:hAnsiTheme="majorEastAsia" w:eastAsiaTheme="majorEastAsia" w:cstheme="majorEastAsia"/>
          <w:b/>
          <w:color w:val="auto"/>
          <w:kern w:val="2"/>
          <w:sz w:val="44"/>
          <w:szCs w:val="44"/>
        </w:rPr>
      </w:pPr>
      <w:bookmarkStart w:id="66" w:name="_Toc533783534"/>
      <w:bookmarkStart w:id="67" w:name="_Toc533781576"/>
    </w:p>
    <w:p w14:paraId="59B0962A">
      <w:pPr>
        <w:jc w:val="cente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rPr>
        <w:t>（封面格式）</w:t>
      </w:r>
    </w:p>
    <w:p w14:paraId="7EEFA8FB">
      <w:pP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rPr>
        <w:t xml:space="preserve">                          </w:t>
      </w:r>
      <w:r>
        <w:rPr>
          <w:rFonts w:hint="eastAsia" w:asciiTheme="majorEastAsia" w:hAnsiTheme="majorEastAsia" w:eastAsiaTheme="majorEastAsia" w:cstheme="majorEastAsia"/>
          <w:color w:val="auto"/>
          <w:kern w:val="2"/>
          <w:sz w:val="36"/>
          <w:szCs w:val="36"/>
          <w:u w:val="single"/>
        </w:rPr>
        <w:t xml:space="preserve"> 正/副 </w:t>
      </w:r>
      <w:r>
        <w:rPr>
          <w:rFonts w:hint="eastAsia" w:asciiTheme="majorEastAsia" w:hAnsiTheme="majorEastAsia" w:eastAsiaTheme="majorEastAsia" w:cstheme="majorEastAsia"/>
          <w:color w:val="auto"/>
          <w:kern w:val="2"/>
          <w:sz w:val="36"/>
          <w:szCs w:val="36"/>
        </w:rPr>
        <w:t>本</w:t>
      </w:r>
    </w:p>
    <w:p w14:paraId="7AB68CE6">
      <w:pPr>
        <w:jc w:val="center"/>
        <w:rPr>
          <w:rFonts w:hint="eastAsia" w:asciiTheme="majorEastAsia" w:hAnsiTheme="majorEastAsia" w:eastAsiaTheme="majorEastAsia" w:cstheme="majorEastAsia"/>
          <w:color w:val="auto"/>
          <w:kern w:val="2"/>
          <w:sz w:val="36"/>
          <w:szCs w:val="36"/>
        </w:rPr>
      </w:pPr>
    </w:p>
    <w:p w14:paraId="3572E4F5">
      <w:pPr>
        <w:jc w:val="center"/>
        <w:rPr>
          <w:rFonts w:hint="eastAsia" w:asciiTheme="majorEastAsia" w:hAnsiTheme="majorEastAsia" w:eastAsiaTheme="majorEastAsia" w:cstheme="majorEastAsia"/>
          <w:color w:val="auto"/>
          <w:kern w:val="2"/>
          <w:sz w:val="36"/>
          <w:szCs w:val="36"/>
        </w:rPr>
      </w:pPr>
      <w:r>
        <w:rPr>
          <w:rFonts w:hint="eastAsia" w:asciiTheme="majorEastAsia" w:hAnsiTheme="majorEastAsia" w:eastAsiaTheme="majorEastAsia" w:cstheme="majorEastAsia"/>
          <w:color w:val="auto"/>
          <w:kern w:val="2"/>
          <w:sz w:val="36"/>
          <w:szCs w:val="36"/>
          <w:highlight w:val="none"/>
          <w:u w:val="single"/>
          <w:lang w:val="en-US" w:eastAsia="zh-CN"/>
        </w:rPr>
        <w:t xml:space="preserve">                  </w:t>
      </w:r>
      <w:r>
        <w:rPr>
          <w:rFonts w:hint="eastAsia" w:asciiTheme="majorEastAsia" w:hAnsiTheme="majorEastAsia" w:eastAsiaTheme="majorEastAsia" w:cstheme="majorEastAsia"/>
          <w:color w:val="auto"/>
          <w:kern w:val="2"/>
          <w:sz w:val="36"/>
          <w:szCs w:val="36"/>
        </w:rPr>
        <w:t>（供应商名称）</w:t>
      </w:r>
    </w:p>
    <w:p w14:paraId="3F86040B">
      <w:pPr>
        <w:jc w:val="center"/>
        <w:rPr>
          <w:rFonts w:hint="eastAsia" w:asciiTheme="majorEastAsia" w:hAnsiTheme="majorEastAsia" w:eastAsiaTheme="majorEastAsia" w:cstheme="majorEastAsia"/>
          <w:color w:val="auto"/>
          <w:kern w:val="2"/>
          <w:sz w:val="36"/>
          <w:szCs w:val="36"/>
        </w:rPr>
      </w:pPr>
    </w:p>
    <w:p w14:paraId="141332A9">
      <w:pPr>
        <w:jc w:val="center"/>
        <w:rPr>
          <w:rFonts w:hint="eastAsia" w:asciiTheme="majorEastAsia" w:hAnsiTheme="majorEastAsia" w:eastAsiaTheme="majorEastAsia" w:cstheme="majorEastAsia"/>
          <w:color w:val="auto"/>
          <w:kern w:val="2"/>
          <w:sz w:val="36"/>
          <w:szCs w:val="36"/>
        </w:rPr>
      </w:pPr>
    </w:p>
    <w:p w14:paraId="207F308C">
      <w:pPr>
        <w:jc w:val="center"/>
        <w:rPr>
          <w:rFonts w:hint="eastAsia" w:asciiTheme="majorEastAsia" w:hAnsiTheme="majorEastAsia" w:eastAsiaTheme="majorEastAsia" w:cstheme="majorEastAsia"/>
          <w:b/>
          <w:color w:val="auto"/>
          <w:kern w:val="2"/>
          <w:sz w:val="44"/>
          <w:szCs w:val="44"/>
        </w:rPr>
      </w:pPr>
      <w:r>
        <w:rPr>
          <w:rFonts w:hint="eastAsia" w:asciiTheme="majorEastAsia" w:hAnsiTheme="majorEastAsia" w:eastAsiaTheme="majorEastAsia" w:cstheme="majorEastAsia"/>
          <w:b/>
          <w:color w:val="auto"/>
          <w:kern w:val="2"/>
          <w:sz w:val="44"/>
          <w:szCs w:val="44"/>
        </w:rPr>
        <w:t>竞争性磋商响应文件</w:t>
      </w:r>
    </w:p>
    <w:p w14:paraId="238EF642">
      <w:pPr>
        <w:rPr>
          <w:rFonts w:hAnsi="宋体"/>
          <w:color w:val="auto"/>
          <w:kern w:val="2"/>
          <w:sz w:val="36"/>
          <w:szCs w:val="36"/>
        </w:rPr>
      </w:pPr>
    </w:p>
    <w:p w14:paraId="6CC25E46">
      <w:pPr>
        <w:jc w:val="center"/>
        <w:rPr>
          <w:rFonts w:hAnsi="宋体"/>
          <w:color w:val="auto"/>
          <w:kern w:val="2"/>
          <w:sz w:val="36"/>
          <w:szCs w:val="36"/>
        </w:rPr>
      </w:pPr>
    </w:p>
    <w:p w14:paraId="454445BD">
      <w:pPr>
        <w:jc w:val="center"/>
        <w:rPr>
          <w:rFonts w:hAnsi="宋体"/>
          <w:color w:val="auto"/>
          <w:kern w:val="2"/>
          <w:sz w:val="36"/>
          <w:szCs w:val="36"/>
        </w:rPr>
      </w:pPr>
    </w:p>
    <w:p w14:paraId="03BDB6B1">
      <w:pPr>
        <w:jc w:val="left"/>
        <w:rPr>
          <w:rFonts w:hAnsi="宋体"/>
          <w:b/>
          <w:color w:val="auto"/>
          <w:kern w:val="2"/>
          <w:sz w:val="32"/>
          <w:szCs w:val="32"/>
          <w:u w:val="single"/>
        </w:rPr>
      </w:pPr>
      <w:r>
        <w:rPr>
          <w:rFonts w:hint="eastAsia" w:hAnsi="宋体"/>
          <w:b/>
          <w:color w:val="auto"/>
          <w:kern w:val="2"/>
          <w:sz w:val="32"/>
          <w:szCs w:val="32"/>
        </w:rPr>
        <w:t>项目名称：</w:t>
      </w:r>
      <w:r>
        <w:rPr>
          <w:rFonts w:hAnsi="宋体"/>
          <w:b/>
          <w:color w:val="auto"/>
          <w:kern w:val="2"/>
          <w:sz w:val="32"/>
          <w:szCs w:val="32"/>
          <w:u w:val="single"/>
        </w:rPr>
        <w:t xml:space="preserve">                                         </w:t>
      </w:r>
    </w:p>
    <w:p w14:paraId="4FD45AC3">
      <w:pPr>
        <w:rPr>
          <w:rFonts w:hAnsi="宋体"/>
          <w:b/>
          <w:color w:val="auto"/>
          <w:kern w:val="2"/>
          <w:sz w:val="32"/>
          <w:szCs w:val="32"/>
          <w:u w:val="single"/>
        </w:rPr>
      </w:pPr>
    </w:p>
    <w:p w14:paraId="63CA3CCB">
      <w:pPr>
        <w:rPr>
          <w:rFonts w:hAnsi="宋体"/>
          <w:b/>
          <w:color w:val="auto"/>
          <w:kern w:val="2"/>
          <w:sz w:val="32"/>
          <w:szCs w:val="32"/>
          <w:u w:val="single"/>
        </w:rPr>
      </w:pPr>
      <w:r>
        <w:rPr>
          <w:rFonts w:hint="eastAsia" w:hAnsi="宋体"/>
          <w:b/>
          <w:color w:val="auto"/>
          <w:kern w:val="2"/>
          <w:sz w:val="32"/>
          <w:szCs w:val="32"/>
        </w:rPr>
        <w:t>项目编号:</w:t>
      </w:r>
      <w:r>
        <w:rPr>
          <w:rFonts w:hAnsi="宋体"/>
          <w:b/>
          <w:color w:val="auto"/>
          <w:kern w:val="2"/>
          <w:sz w:val="32"/>
          <w:szCs w:val="32"/>
          <w:u w:val="single"/>
        </w:rPr>
        <w:t xml:space="preserve">                       </w:t>
      </w:r>
      <w:r>
        <w:rPr>
          <w:rFonts w:hint="eastAsia" w:hAnsi="宋体"/>
          <w:b/>
          <w:color w:val="auto"/>
          <w:kern w:val="2"/>
          <w:sz w:val="32"/>
          <w:szCs w:val="32"/>
          <w:u w:val="single"/>
        </w:rPr>
        <w:t xml:space="preserve">   </w:t>
      </w:r>
      <w:r>
        <w:rPr>
          <w:rFonts w:hAnsi="宋体"/>
          <w:b/>
          <w:color w:val="auto"/>
          <w:kern w:val="2"/>
          <w:sz w:val="32"/>
          <w:szCs w:val="32"/>
          <w:u w:val="single"/>
        </w:rPr>
        <w:t xml:space="preserve">                 </w:t>
      </w:r>
    </w:p>
    <w:p w14:paraId="6A2F15A9">
      <w:pPr>
        <w:jc w:val="center"/>
        <w:rPr>
          <w:rFonts w:hAnsi="宋体"/>
          <w:color w:val="auto"/>
          <w:kern w:val="2"/>
          <w:sz w:val="32"/>
          <w:szCs w:val="32"/>
          <w:u w:val="single"/>
        </w:rPr>
      </w:pPr>
    </w:p>
    <w:p w14:paraId="4F512532">
      <w:pPr>
        <w:jc w:val="center"/>
        <w:rPr>
          <w:rFonts w:hAnsi="宋体"/>
          <w:color w:val="auto"/>
          <w:kern w:val="2"/>
          <w:sz w:val="32"/>
          <w:szCs w:val="32"/>
          <w:u w:val="single"/>
        </w:rPr>
      </w:pPr>
    </w:p>
    <w:p w14:paraId="28707D3B">
      <w:pPr>
        <w:pStyle w:val="19"/>
        <w:rPr>
          <w:color w:val="auto"/>
        </w:rPr>
      </w:pPr>
    </w:p>
    <w:p w14:paraId="014D841C">
      <w:pPr>
        <w:spacing w:line="480" w:lineRule="auto"/>
        <w:rPr>
          <w:rFonts w:hAnsi="宋体"/>
          <w:color w:val="auto"/>
          <w:kern w:val="2"/>
          <w:sz w:val="28"/>
          <w:szCs w:val="28"/>
          <w:u w:val="single"/>
        </w:rPr>
      </w:pPr>
      <w:r>
        <w:rPr>
          <w:rFonts w:hint="eastAsia" w:hAnsi="宋体"/>
          <w:color w:val="auto"/>
          <w:kern w:val="2"/>
          <w:sz w:val="28"/>
          <w:szCs w:val="28"/>
        </w:rPr>
        <w:t>供应商</w:t>
      </w:r>
      <w:r>
        <w:rPr>
          <w:rFonts w:hint="eastAsia" w:ascii="宋体" w:hAnsi="宋体" w:eastAsia="宋体" w:cs="宋体"/>
          <w:color w:val="auto"/>
          <w:sz w:val="28"/>
          <w:szCs w:val="28"/>
          <w:highlight w:val="none"/>
        </w:rPr>
        <w:t>名称(盖单位电子公章)</w:t>
      </w:r>
      <w:r>
        <w:rPr>
          <w:rFonts w:hint="eastAsia" w:hAnsi="宋体"/>
          <w:color w:val="auto"/>
          <w:kern w:val="2"/>
          <w:sz w:val="28"/>
          <w:szCs w:val="28"/>
        </w:rPr>
        <w:t>：</w:t>
      </w:r>
      <w:r>
        <w:rPr>
          <w:rFonts w:hAnsi="宋体"/>
          <w:color w:val="auto"/>
          <w:kern w:val="2"/>
          <w:sz w:val="28"/>
          <w:szCs w:val="28"/>
          <w:u w:val="single"/>
        </w:rPr>
        <w:t xml:space="preserve">                        </w:t>
      </w:r>
      <w:r>
        <w:rPr>
          <w:rFonts w:hint="eastAsia" w:hAnsi="宋体"/>
          <w:color w:val="auto"/>
          <w:kern w:val="2"/>
          <w:sz w:val="28"/>
          <w:szCs w:val="28"/>
          <w:u w:val="single"/>
          <w:lang w:val="en-US" w:eastAsia="zh-CN"/>
        </w:rPr>
        <w:t xml:space="preserve">      </w:t>
      </w:r>
      <w:r>
        <w:rPr>
          <w:rFonts w:hAnsi="宋体"/>
          <w:color w:val="auto"/>
          <w:kern w:val="2"/>
          <w:sz w:val="28"/>
          <w:szCs w:val="28"/>
          <w:u w:val="single"/>
        </w:rPr>
        <w:t xml:space="preserve">     </w:t>
      </w:r>
    </w:p>
    <w:p w14:paraId="4BE50C4B">
      <w:pPr>
        <w:spacing w:line="480" w:lineRule="auto"/>
        <w:rPr>
          <w:rFonts w:hAnsi="宋体"/>
          <w:color w:val="auto"/>
          <w:kern w:val="2"/>
          <w:sz w:val="28"/>
          <w:szCs w:val="28"/>
        </w:rPr>
      </w:pPr>
      <w:r>
        <w:rPr>
          <w:rFonts w:hint="eastAsia" w:hAnsi="宋体"/>
          <w:color w:val="auto"/>
          <w:kern w:val="2"/>
          <w:sz w:val="28"/>
          <w:szCs w:val="28"/>
        </w:rPr>
        <w:t>法定代表人（负责人）或其委托代理人：</w:t>
      </w:r>
      <w:r>
        <w:rPr>
          <w:rFonts w:hAnsi="宋体"/>
          <w:color w:val="auto"/>
          <w:kern w:val="2"/>
          <w:sz w:val="28"/>
          <w:szCs w:val="28"/>
          <w:u w:val="single"/>
        </w:rPr>
        <w:t xml:space="preserve">            </w:t>
      </w:r>
      <w:r>
        <w:rPr>
          <w:rFonts w:hint="eastAsia" w:hAnsi="宋体"/>
          <w:color w:val="auto"/>
          <w:kern w:val="2"/>
          <w:sz w:val="28"/>
          <w:szCs w:val="28"/>
          <w:u w:val="single"/>
        </w:rPr>
        <w:t>（签字或盖章）</w:t>
      </w:r>
    </w:p>
    <w:p w14:paraId="3A2AC7B3">
      <w:pPr>
        <w:spacing w:line="480" w:lineRule="auto"/>
        <w:ind w:right="265"/>
        <w:rPr>
          <w:rFonts w:hAnsi="宋体"/>
          <w:color w:val="auto"/>
          <w:kern w:val="2"/>
          <w:sz w:val="28"/>
          <w:szCs w:val="28"/>
        </w:rPr>
      </w:pPr>
      <w:r>
        <w:rPr>
          <w:rFonts w:hint="eastAsia" w:hAnsi="宋体"/>
          <w:color w:val="auto"/>
          <w:kern w:val="2"/>
          <w:sz w:val="28"/>
          <w:szCs w:val="28"/>
        </w:rPr>
        <w:t>日期：</w:t>
      </w:r>
      <w:r>
        <w:rPr>
          <w:rFonts w:hAnsi="宋体"/>
          <w:color w:val="auto"/>
          <w:kern w:val="2"/>
          <w:sz w:val="28"/>
          <w:szCs w:val="28"/>
          <w:u w:val="single"/>
        </w:rPr>
        <w:t xml:space="preserve">         </w:t>
      </w:r>
      <w:r>
        <w:rPr>
          <w:rFonts w:hint="eastAsia" w:hAnsi="宋体"/>
          <w:color w:val="auto"/>
          <w:kern w:val="2"/>
          <w:sz w:val="28"/>
          <w:szCs w:val="28"/>
        </w:rPr>
        <w:t>年</w:t>
      </w:r>
      <w:r>
        <w:rPr>
          <w:rFonts w:hAnsi="宋体"/>
          <w:color w:val="auto"/>
          <w:kern w:val="2"/>
          <w:sz w:val="28"/>
          <w:szCs w:val="28"/>
          <w:u w:val="single"/>
        </w:rPr>
        <w:t xml:space="preserve">     </w:t>
      </w:r>
      <w:r>
        <w:rPr>
          <w:rFonts w:hint="eastAsia" w:hAnsi="宋体"/>
          <w:color w:val="auto"/>
          <w:kern w:val="2"/>
          <w:sz w:val="28"/>
          <w:szCs w:val="28"/>
        </w:rPr>
        <w:t>月</w:t>
      </w:r>
      <w:r>
        <w:rPr>
          <w:rFonts w:hAnsi="宋体"/>
          <w:color w:val="auto"/>
          <w:kern w:val="2"/>
          <w:sz w:val="28"/>
          <w:szCs w:val="28"/>
          <w:u w:val="single"/>
        </w:rPr>
        <w:t xml:space="preserve">     </w:t>
      </w:r>
      <w:r>
        <w:rPr>
          <w:rFonts w:hint="eastAsia" w:hAnsi="宋体"/>
          <w:color w:val="auto"/>
          <w:kern w:val="2"/>
          <w:sz w:val="28"/>
          <w:szCs w:val="28"/>
        </w:rPr>
        <w:t>日</w:t>
      </w:r>
    </w:p>
    <w:p w14:paraId="52464D54">
      <w:pPr>
        <w:widowControl/>
        <w:jc w:val="left"/>
        <w:rPr>
          <w:rFonts w:hAnsi="宋体"/>
          <w:color w:val="auto"/>
        </w:rPr>
      </w:pPr>
    </w:p>
    <w:p w14:paraId="446C1A63">
      <w:pPr>
        <w:widowControl/>
        <w:jc w:val="left"/>
        <w:rPr>
          <w:rFonts w:hAnsi="宋体"/>
          <w:color w:val="auto"/>
        </w:rPr>
      </w:pPr>
      <w:r>
        <w:rPr>
          <w:rFonts w:hAnsi="宋体"/>
          <w:color w:val="auto"/>
        </w:rPr>
        <w:br w:type="page"/>
      </w:r>
    </w:p>
    <w:p w14:paraId="11479291">
      <w:pPr>
        <w:widowControl/>
        <w:jc w:val="center"/>
        <w:rPr>
          <w:rFonts w:hAnsi="宋体"/>
          <w:b/>
          <w:color w:val="auto"/>
          <w:sz w:val="30"/>
          <w:szCs w:val="30"/>
        </w:rPr>
      </w:pPr>
      <w:r>
        <w:rPr>
          <w:rFonts w:hint="eastAsia" w:hAnsi="宋体"/>
          <w:b/>
          <w:color w:val="auto"/>
          <w:sz w:val="30"/>
          <w:szCs w:val="30"/>
        </w:rPr>
        <w:t>目录</w:t>
      </w:r>
    </w:p>
    <w:p w14:paraId="48DA8D3C">
      <w:pPr>
        <w:widowControl/>
        <w:jc w:val="left"/>
        <w:rPr>
          <w:rFonts w:hAnsi="宋体"/>
          <w:color w:val="auto"/>
        </w:rPr>
      </w:pPr>
    </w:p>
    <w:p w14:paraId="400CEFE4">
      <w:pPr>
        <w:pStyle w:val="19"/>
        <w:ind w:left="0" w:leftChars="0"/>
        <w:rPr>
          <w:color w:val="auto"/>
        </w:rPr>
      </w:pPr>
    </w:p>
    <w:p w14:paraId="3BAD4275">
      <w:pPr>
        <w:pStyle w:val="19"/>
        <w:ind w:left="0" w:leftChars="0"/>
        <w:rPr>
          <w:color w:val="auto"/>
        </w:rPr>
      </w:pPr>
      <w:r>
        <w:rPr>
          <w:rFonts w:hint="eastAsia"/>
          <w:color w:val="auto"/>
        </w:rPr>
        <w:t>目录由供应商自行编制</w:t>
      </w:r>
    </w:p>
    <w:p w14:paraId="2F6F44E9">
      <w:pPr>
        <w:widowControl/>
        <w:jc w:val="left"/>
        <w:rPr>
          <w:rFonts w:hAnsi="宋体"/>
          <w:color w:val="auto"/>
        </w:rPr>
      </w:pPr>
      <w:r>
        <w:rPr>
          <w:rFonts w:hAnsi="宋体"/>
          <w:color w:val="auto"/>
        </w:rPr>
        <w:br w:type="page"/>
      </w:r>
    </w:p>
    <w:p w14:paraId="0F919424">
      <w:pPr>
        <w:pStyle w:val="4"/>
        <w:rPr>
          <w:rFonts w:ascii="宋体" w:hAnsi="宋体" w:eastAsia="宋体"/>
          <w:b w:val="0"/>
          <w:bCs w:val="0"/>
          <w:color w:val="auto"/>
          <w:sz w:val="28"/>
          <w:szCs w:val="28"/>
        </w:rPr>
      </w:pPr>
      <w:r>
        <w:rPr>
          <w:rFonts w:hint="eastAsia" w:ascii="宋体" w:hAnsi="宋体" w:eastAsia="宋体" w:cs="宋体"/>
          <w:color w:val="auto"/>
          <w:sz w:val="28"/>
          <w:szCs w:val="28"/>
        </w:rPr>
        <w:t>一、商务部分</w:t>
      </w:r>
    </w:p>
    <w:p w14:paraId="01944CB9">
      <w:pPr>
        <w:pStyle w:val="4"/>
        <w:jc w:val="center"/>
        <w:rPr>
          <w:rFonts w:ascii="宋体" w:hAnsi="宋体" w:eastAsia="宋体"/>
          <w:b w:val="0"/>
          <w:bCs w:val="0"/>
          <w:color w:val="auto"/>
          <w:sz w:val="28"/>
          <w:szCs w:val="28"/>
        </w:rPr>
      </w:pPr>
      <w:r>
        <w:rPr>
          <w:rFonts w:hint="eastAsia" w:ascii="宋体" w:hAnsi="宋体" w:eastAsia="宋体" w:cs="宋体"/>
          <w:color w:val="auto"/>
          <w:sz w:val="28"/>
          <w:szCs w:val="28"/>
        </w:rPr>
        <w:t>（一）竞标函</w:t>
      </w:r>
    </w:p>
    <w:p w14:paraId="72DE63E5">
      <w:pPr>
        <w:spacing w:line="360" w:lineRule="auto"/>
        <w:rPr>
          <w:rFonts w:hAnsi="宋体"/>
          <w:color w:val="auto"/>
          <w:kern w:val="2"/>
          <w:szCs w:val="24"/>
        </w:rPr>
      </w:pPr>
    </w:p>
    <w:p w14:paraId="7B7634C9">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cs="Times New Roman"/>
          <w:color w:val="auto"/>
          <w:kern w:val="2"/>
          <w:szCs w:val="24"/>
        </w:rPr>
      </w:pPr>
      <w:r>
        <w:rPr>
          <w:rFonts w:hint="eastAsia" w:hAnsi="宋体" w:cs="Times New Roman"/>
          <w:color w:val="auto"/>
          <w:kern w:val="2"/>
          <w:szCs w:val="24"/>
          <w:u w:val="single"/>
        </w:rPr>
        <w:t>　　　　         （采购单位）</w:t>
      </w:r>
      <w:r>
        <w:rPr>
          <w:rFonts w:hint="eastAsia" w:hAnsi="宋体" w:cs="Times New Roman"/>
          <w:color w:val="auto"/>
          <w:kern w:val="2"/>
          <w:szCs w:val="24"/>
        </w:rPr>
        <w:t>：</w:t>
      </w:r>
    </w:p>
    <w:p w14:paraId="3F8FA99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rPr>
      </w:pPr>
      <w:r>
        <w:rPr>
          <w:rFonts w:hint="eastAsia" w:hAnsi="宋体" w:cs="Times New Roman"/>
          <w:color w:val="auto"/>
          <w:kern w:val="2"/>
          <w:szCs w:val="20"/>
        </w:rPr>
        <w:t>根据贵方</w:t>
      </w:r>
      <w:r>
        <w:rPr>
          <w:rFonts w:hint="eastAsia" w:hAnsi="宋体" w:cs="Times New Roman"/>
          <w:color w:val="auto"/>
          <w:kern w:val="2"/>
          <w:szCs w:val="20"/>
          <w:u w:val="single"/>
        </w:rPr>
        <w:t xml:space="preserve">      </w:t>
      </w:r>
      <w:r>
        <w:rPr>
          <w:rFonts w:hint="eastAsia" w:hAnsi="宋体" w:cs="Times New Roman"/>
          <w:color w:val="auto"/>
          <w:kern w:val="2"/>
          <w:szCs w:val="20"/>
        </w:rPr>
        <w:t>采购项目竞争性磋商文件，项目编号：</w:t>
      </w:r>
      <w:r>
        <w:rPr>
          <w:rFonts w:hint="eastAsia" w:hAnsi="宋体" w:cs="Times New Roman"/>
          <w:color w:val="auto"/>
          <w:kern w:val="2"/>
          <w:szCs w:val="20"/>
          <w:u w:val="single"/>
        </w:rPr>
        <w:t xml:space="preserve">         </w:t>
      </w:r>
      <w:r>
        <w:rPr>
          <w:rFonts w:hint="eastAsia" w:hAnsi="宋体" w:cs="Times New Roman"/>
          <w:color w:val="auto"/>
          <w:kern w:val="2"/>
          <w:szCs w:val="20"/>
        </w:rPr>
        <w:t>，正式授权下述签字人</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（姓名）代表 </w:t>
      </w:r>
      <w:r>
        <w:rPr>
          <w:rFonts w:hint="eastAsia" w:hAnsi="宋体" w:cs="Times New Roman"/>
          <w:color w:val="auto"/>
          <w:kern w:val="2"/>
          <w:szCs w:val="20"/>
          <w:u w:val="single"/>
        </w:rPr>
        <w:t xml:space="preserve">             </w:t>
      </w:r>
      <w:r>
        <w:rPr>
          <w:rFonts w:hint="eastAsia" w:hAnsi="宋体" w:cs="Times New Roman"/>
          <w:color w:val="auto"/>
          <w:kern w:val="2"/>
          <w:szCs w:val="20"/>
        </w:rPr>
        <w:t>（供应商名称）</w:t>
      </w:r>
      <w:r>
        <w:rPr>
          <w:rFonts w:hint="eastAsia" w:hAnsi="宋体" w:cs="Times New Roman"/>
          <w:color w:val="auto"/>
          <w:kern w:val="2"/>
          <w:szCs w:val="24"/>
        </w:rPr>
        <w:t>提交</w:t>
      </w:r>
      <w:r>
        <w:rPr>
          <w:rFonts w:hint="eastAsia" w:ascii="Times New Roman" w:cs="Times New Roman"/>
          <w:color w:val="auto"/>
          <w:kern w:val="2"/>
          <w:szCs w:val="24"/>
        </w:rPr>
        <w:t>竞争性磋商</w:t>
      </w:r>
      <w:r>
        <w:rPr>
          <w:rFonts w:hint="eastAsia" w:hAnsi="宋体" w:cs="Times New Roman"/>
          <w:color w:val="auto"/>
          <w:kern w:val="2"/>
          <w:szCs w:val="24"/>
        </w:rPr>
        <w:t>响应文件。</w:t>
      </w:r>
    </w:p>
    <w:p w14:paraId="5DD86024">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据此函，签字人兹宣布同意如下：</w:t>
      </w:r>
    </w:p>
    <w:p w14:paraId="302E944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4"/>
        </w:rPr>
      </w:pPr>
      <w:r>
        <w:rPr>
          <w:rFonts w:hint="eastAsia" w:hAnsi="宋体" w:cs="Times New Roman"/>
          <w:color w:val="auto"/>
          <w:kern w:val="2"/>
          <w:szCs w:val="20"/>
        </w:rPr>
        <w:t>按竞争性磋商条件《项目需求和说明》，</w:t>
      </w:r>
      <w:r>
        <w:rPr>
          <w:rFonts w:hint="eastAsia" w:ascii="Times New Roman" w:hAnsi="宋体" w:cs="Times New Roman"/>
          <w:color w:val="auto"/>
          <w:kern w:val="2"/>
        </w:rPr>
        <w:t>我方</w:t>
      </w:r>
      <w:r>
        <w:rPr>
          <w:rFonts w:hint="eastAsia" w:hAnsi="宋体" w:cs="Times New Roman"/>
          <w:color w:val="auto"/>
          <w:kern w:val="2"/>
          <w:szCs w:val="20"/>
        </w:rPr>
        <w:t>愿以磋商总报价</w:t>
      </w:r>
      <w:r>
        <w:rPr>
          <w:rFonts w:hAnsi="宋体" w:cs="Times New Roman"/>
          <w:color w:val="auto"/>
          <w:kern w:val="2"/>
          <w:szCs w:val="20"/>
          <w:u w:val="single"/>
        </w:rPr>
        <w:t xml:space="preserve">         </w:t>
      </w:r>
      <w:r>
        <w:rPr>
          <w:rFonts w:hint="eastAsia" w:hAnsi="宋体" w:cs="Times New Roman"/>
          <w:color w:val="auto"/>
          <w:kern w:val="2"/>
          <w:szCs w:val="20"/>
        </w:rPr>
        <w:t>承接本项目的工作任务，</w:t>
      </w:r>
      <w:r>
        <w:rPr>
          <w:rFonts w:hint="eastAsia" w:hAnsi="宋体" w:cs="Times New Roman"/>
          <w:color w:val="auto"/>
          <w:kern w:val="2"/>
          <w:szCs w:val="24"/>
        </w:rPr>
        <w:t>合同履行期限</w:t>
      </w:r>
      <w:r>
        <w:rPr>
          <w:rFonts w:hint="eastAsia" w:hAnsi="宋体" w:cs="Times New Roman"/>
          <w:color w:val="auto"/>
          <w:kern w:val="2"/>
          <w:szCs w:val="20"/>
        </w:rPr>
        <w:t>：</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spacing w:val="-4"/>
          <w:kern w:val="2"/>
          <w:szCs w:val="24"/>
        </w:rPr>
        <w:t>，</w:t>
      </w:r>
      <w:r>
        <w:rPr>
          <w:rFonts w:hint="eastAsia" w:hAnsi="宋体" w:cs="Times New Roman"/>
          <w:color w:val="auto"/>
          <w:kern w:val="2"/>
          <w:szCs w:val="24"/>
        </w:rPr>
        <w:t>磋商</w:t>
      </w:r>
      <w:r>
        <w:rPr>
          <w:rFonts w:hAnsi="宋体" w:cs="Times New Roman"/>
          <w:color w:val="auto"/>
          <w:kern w:val="2"/>
          <w:szCs w:val="24"/>
        </w:rPr>
        <w:t>有效期</w:t>
      </w:r>
      <w:r>
        <w:rPr>
          <w:rFonts w:hint="eastAsia" w:hAnsi="宋体" w:cs="Times New Roman"/>
          <w:color w:val="auto"/>
          <w:kern w:val="2"/>
          <w:szCs w:val="20"/>
        </w:rPr>
        <w:t>:</w:t>
      </w:r>
      <w:r>
        <w:rPr>
          <w:rFonts w:hint="eastAsia" w:hAnsi="宋体" w:cs="Times New Roman"/>
          <w:color w:val="auto"/>
          <w:kern w:val="2"/>
          <w:szCs w:val="20"/>
          <w:u w:val="single"/>
        </w:rPr>
        <w:t xml:space="preserve"> </w:t>
      </w:r>
      <w:r>
        <w:rPr>
          <w:rFonts w:hAnsi="宋体" w:cs="Times New Roman"/>
          <w:color w:val="auto"/>
          <w:kern w:val="2"/>
          <w:szCs w:val="20"/>
          <w:u w:val="single"/>
        </w:rPr>
        <w:t xml:space="preserve">                  </w:t>
      </w:r>
      <w:r>
        <w:rPr>
          <w:rFonts w:hint="eastAsia" w:hAnsi="宋体" w:cs="Times New Roman"/>
          <w:color w:val="auto"/>
          <w:spacing w:val="-4"/>
          <w:kern w:val="2"/>
          <w:szCs w:val="24"/>
        </w:rPr>
        <w:t>。</w:t>
      </w:r>
    </w:p>
    <w:p w14:paraId="7C51AB1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1、我方同意在供应商须知规定的开标日期起遵循本响应文件，并在磋商有效期满之前均具有约束力。</w:t>
      </w:r>
    </w:p>
    <w:p w14:paraId="0ED191D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2、我方承诺：</w:t>
      </w:r>
    </w:p>
    <w:p w14:paraId="7CEF802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rPr>
      </w:pPr>
      <w:r>
        <w:rPr>
          <w:rFonts w:hint="eastAsia" w:hAnsi="宋体" w:cs="Times New Roman"/>
          <w:color w:val="auto"/>
          <w:kern w:val="2"/>
          <w:szCs w:val="20"/>
        </w:rPr>
        <w:t>（1）具有独立承担民事责任的能力；</w:t>
      </w:r>
    </w:p>
    <w:p w14:paraId="2955377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（2）具有良好的商业信誉和健全的财务会计制度；</w:t>
      </w:r>
    </w:p>
    <w:p w14:paraId="0F34F5A0">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（3）具有履行合同所必需的设备和专业技术能力；</w:t>
      </w:r>
    </w:p>
    <w:p w14:paraId="346204F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（4）有依法缴纳税收和社会保障资金的良好记录；</w:t>
      </w:r>
    </w:p>
    <w:p w14:paraId="31DF3C07">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（5）参加此项采购活动前三年内，在经营活动中没有重大违法记录。</w:t>
      </w:r>
    </w:p>
    <w:p w14:paraId="324D8E8B">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3、我方根据磋商文件的规定，承担完成合同的责任和义务。</w:t>
      </w:r>
    </w:p>
    <w:p w14:paraId="3225FF0E">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4、我方已详细审核</w:t>
      </w:r>
      <w:r>
        <w:rPr>
          <w:rFonts w:hint="eastAsia" w:hAnsi="宋体" w:cs="Times New Roman"/>
          <w:color w:val="auto"/>
          <w:kern w:val="2"/>
          <w:szCs w:val="24"/>
        </w:rPr>
        <w:t>磋商</w:t>
      </w:r>
      <w:r>
        <w:rPr>
          <w:rFonts w:hint="eastAsia" w:hAnsi="宋体" w:cs="Times New Roman"/>
          <w:color w:val="auto"/>
          <w:kern w:val="2"/>
          <w:szCs w:val="20"/>
        </w:rPr>
        <w:t>文件，我方知道必须放弃提出含糊不清或误解问题的权利。</w:t>
      </w:r>
    </w:p>
    <w:p w14:paraId="41BA52B0">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5、如果在磋商截止时间后的磋商有效期内撤销响应文件或者有其他违约行为，贵方可不退还我方的磋商保证金。</w:t>
      </w:r>
    </w:p>
    <w:p w14:paraId="0BAC2464">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6、同意向贵方提供贵方可能要求的与本磋商有关的任何数据或资料。</w:t>
      </w:r>
    </w:p>
    <w:p w14:paraId="0ECB971D">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7、我方完全理解贵方不一定接受最低报价的供应商为成交供应商。</w:t>
      </w:r>
    </w:p>
    <w:p w14:paraId="5E84406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8、若贵方需要，我方愿意提供我方作出的一切承诺的证明材料。</w:t>
      </w:r>
    </w:p>
    <w:p w14:paraId="43433DA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与本磋商有关的正式通讯地址为：</w:t>
      </w:r>
    </w:p>
    <w:p w14:paraId="6DD87C33">
      <w:pPr>
        <w:pStyle w:val="2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E1EEAD5">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hAnsi="宋体"/>
          <w:color w:val="auto"/>
          <w:szCs w:val="21"/>
          <w:highlight w:val="none"/>
          <w:u w:val="single"/>
          <w:lang w:val="en-US" w:eastAsia="zh-CN"/>
        </w:rPr>
      </w:pPr>
      <w:r>
        <w:rPr>
          <w:rFonts w:hint="eastAsia" w:hAnsi="宋体" w:cs="Times New Roman"/>
          <w:color w:val="auto"/>
          <w:kern w:val="2"/>
          <w:szCs w:val="24"/>
        </w:rPr>
        <w:t>法定代表人（负责人）</w:t>
      </w:r>
      <w:r>
        <w:rPr>
          <w:rFonts w:hint="eastAsia" w:hAnsi="宋体" w:cs="Times New Roman"/>
          <w:color w:val="auto"/>
          <w:kern w:val="2"/>
          <w:szCs w:val="20"/>
        </w:rPr>
        <w:t>或委托代理人（签字或盖章）：</w:t>
      </w:r>
      <w:r>
        <w:rPr>
          <w:rFonts w:hint="eastAsia" w:hAnsi="宋体" w:cs="Times New Roman"/>
          <w:color w:val="auto"/>
          <w:kern w:val="2"/>
          <w:szCs w:val="20"/>
          <w:u w:val="single"/>
        </w:rPr>
        <w:t xml:space="preserve">                </w:t>
      </w:r>
    </w:p>
    <w:p w14:paraId="4E05E9E9">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地址：</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 邮政编码：</w:t>
      </w:r>
      <w:r>
        <w:rPr>
          <w:rFonts w:hint="eastAsia" w:hAnsi="宋体" w:cs="Times New Roman"/>
          <w:color w:val="auto"/>
          <w:kern w:val="2"/>
          <w:szCs w:val="20"/>
          <w:u w:val="single"/>
        </w:rPr>
        <w:t xml:space="preserve">             </w:t>
      </w:r>
    </w:p>
    <w:p w14:paraId="3B0504BB">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u w:val="single"/>
        </w:rPr>
      </w:pPr>
      <w:r>
        <w:rPr>
          <w:rFonts w:hint="eastAsia" w:hAnsi="宋体" w:cs="Times New Roman"/>
          <w:color w:val="auto"/>
          <w:kern w:val="2"/>
          <w:szCs w:val="20"/>
        </w:rPr>
        <w:t>电话、电报、传真或电传：</w:t>
      </w:r>
      <w:r>
        <w:rPr>
          <w:rFonts w:hint="eastAsia" w:hAnsi="宋体" w:cs="Times New Roman"/>
          <w:color w:val="auto"/>
          <w:kern w:val="2"/>
          <w:szCs w:val="20"/>
          <w:u w:val="single"/>
        </w:rPr>
        <w:t xml:space="preserve">                                      </w:t>
      </w:r>
    </w:p>
    <w:p w14:paraId="7DD07F69">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开户名称：</w:t>
      </w:r>
      <w:r>
        <w:rPr>
          <w:rFonts w:hint="eastAsia" w:hAnsi="宋体" w:cs="Times New Roman"/>
          <w:color w:val="auto"/>
          <w:kern w:val="2"/>
          <w:szCs w:val="20"/>
          <w:u w:val="single"/>
        </w:rPr>
        <w:t xml:space="preserve">                                                    </w:t>
      </w:r>
      <w:r>
        <w:rPr>
          <w:rFonts w:hint="eastAsia" w:hAnsi="宋体" w:cs="Times New Roman"/>
          <w:color w:val="auto"/>
          <w:kern w:val="2"/>
          <w:szCs w:val="20"/>
        </w:rPr>
        <w:t xml:space="preserve"> </w:t>
      </w:r>
    </w:p>
    <w:p w14:paraId="086F1BBF">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开户银行：</w:t>
      </w:r>
      <w:r>
        <w:rPr>
          <w:rFonts w:hint="eastAsia" w:hAnsi="宋体" w:cs="Times New Roman"/>
          <w:color w:val="auto"/>
          <w:kern w:val="2"/>
          <w:szCs w:val="20"/>
          <w:u w:val="single"/>
        </w:rPr>
        <w:t xml:space="preserve">                                                    </w:t>
      </w:r>
    </w:p>
    <w:p w14:paraId="0353B69A">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Ansi="宋体" w:cs="Times New Roman"/>
          <w:color w:val="auto"/>
          <w:kern w:val="2"/>
          <w:szCs w:val="20"/>
        </w:rPr>
      </w:pPr>
      <w:r>
        <w:rPr>
          <w:rFonts w:hint="eastAsia" w:hAnsi="宋体" w:cs="Times New Roman"/>
          <w:color w:val="auto"/>
          <w:kern w:val="2"/>
          <w:szCs w:val="20"/>
        </w:rPr>
        <w:t>账号：</w:t>
      </w:r>
      <w:r>
        <w:rPr>
          <w:rFonts w:hint="eastAsia" w:hAnsi="宋体" w:cs="Times New Roman"/>
          <w:color w:val="auto"/>
          <w:kern w:val="2"/>
          <w:szCs w:val="20"/>
          <w:u w:val="single"/>
        </w:rPr>
        <w:t xml:space="preserve">                                                        </w:t>
      </w:r>
    </w:p>
    <w:p w14:paraId="1720B0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Times New Roman"/>
          <w:color w:val="auto"/>
          <w:kern w:val="2"/>
          <w:szCs w:val="20"/>
          <w:u w:val="single"/>
        </w:rPr>
      </w:pPr>
      <w:r>
        <w:rPr>
          <w:rFonts w:hint="eastAsia" w:hAnsi="宋体" w:cs="Times New Roman"/>
          <w:color w:val="auto"/>
          <w:kern w:val="2"/>
          <w:szCs w:val="20"/>
        </w:rPr>
        <w:t>日期：</w:t>
      </w:r>
      <w:r>
        <w:rPr>
          <w:rFonts w:hint="eastAsia" w:hAnsi="宋体" w:cs="Times New Roman"/>
          <w:color w:val="auto"/>
          <w:kern w:val="2"/>
          <w:szCs w:val="20"/>
          <w:u w:val="single"/>
        </w:rPr>
        <w:t xml:space="preserve">                                                    </w:t>
      </w:r>
    </w:p>
    <w:p w14:paraId="6DBDCC61">
      <w:pPr>
        <w:spacing w:line="440" w:lineRule="exact"/>
        <w:ind w:firstLine="422" w:firstLineChars="200"/>
        <w:rPr>
          <w:rFonts w:hAnsi="宋体" w:cs="Times New Roman"/>
          <w:color w:val="auto"/>
          <w:kern w:val="2"/>
          <w:szCs w:val="24"/>
        </w:rPr>
      </w:pPr>
      <w:r>
        <w:rPr>
          <w:rFonts w:hint="eastAsia" w:hAnsi="宋体" w:cs="Times New Roman"/>
          <w:b/>
          <w:bCs/>
          <w:color w:val="auto"/>
          <w:kern w:val="2"/>
          <w:szCs w:val="24"/>
        </w:rPr>
        <w:t>注：未按照本竞标函要求填报的竞标函将被视为非实质性响应磋商。</w:t>
      </w:r>
    </w:p>
    <w:p w14:paraId="66D9ADB7">
      <w:pPr>
        <w:widowControl/>
        <w:jc w:val="left"/>
        <w:rPr>
          <w:rFonts w:hAnsi="宋体"/>
          <w:color w:val="auto"/>
        </w:rPr>
      </w:pPr>
      <w:r>
        <w:rPr>
          <w:rFonts w:hAnsi="宋体"/>
          <w:color w:val="auto"/>
        </w:rPr>
        <w:br w:type="page"/>
      </w:r>
    </w:p>
    <w:p w14:paraId="1B8AB02A">
      <w:pPr>
        <w:pStyle w:val="4"/>
        <w:jc w:val="center"/>
        <w:rPr>
          <w:rFonts w:ascii="宋体" w:hAnsi="宋体" w:eastAsia="宋体"/>
          <w:bCs w:val="0"/>
          <w:color w:val="auto"/>
          <w:sz w:val="28"/>
          <w:szCs w:val="28"/>
        </w:rPr>
      </w:pPr>
      <w:r>
        <w:rPr>
          <w:rFonts w:hint="eastAsia" w:ascii="宋体" w:hAnsi="宋体" w:eastAsia="宋体" w:cs="宋体"/>
          <w:color w:val="auto"/>
          <w:sz w:val="28"/>
          <w:szCs w:val="28"/>
        </w:rPr>
        <w:t>（二）竞标函附录</w:t>
      </w:r>
    </w:p>
    <w:p w14:paraId="6643C79C">
      <w:pPr>
        <w:jc w:val="center"/>
        <w:rPr>
          <w:rFonts w:hAnsi="宋体"/>
          <w:color w:val="auto"/>
          <w:kern w:val="2"/>
          <w:sz w:val="28"/>
          <w:szCs w:val="28"/>
        </w:rPr>
      </w:pPr>
    </w:p>
    <w:p w14:paraId="709DD657">
      <w:pPr>
        <w:ind w:firstLine="420" w:firstLineChars="200"/>
        <w:rPr>
          <w:rFonts w:hint="default" w:hAnsi="宋体" w:eastAsia="宋体" w:cs="Times New Roman"/>
          <w:color w:val="auto"/>
          <w:kern w:val="2"/>
          <w:lang w:val="en-US" w:eastAsia="zh-CN"/>
        </w:rPr>
      </w:pPr>
      <w:r>
        <w:rPr>
          <w:rFonts w:hint="eastAsia" w:hAnsi="宋体"/>
          <w:color w:val="auto"/>
          <w:kern w:val="2"/>
        </w:rPr>
        <w:t>项目名称：</w:t>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Ansi="宋体" w:cs="Times New Roman"/>
          <w:color w:val="auto"/>
          <w:kern w:val="2"/>
          <w:u w:val="single"/>
        </w:rPr>
        <w:tab/>
      </w:r>
      <w:r>
        <w:rPr>
          <w:rFonts w:hint="eastAsia" w:hAnsi="宋体" w:cs="Times New Roman"/>
          <w:color w:val="auto"/>
          <w:kern w:val="2"/>
          <w:u w:val="none"/>
          <w:lang w:val="en-US" w:eastAsia="zh-CN"/>
        </w:rPr>
        <w:t xml:space="preserve">                    </w:t>
      </w:r>
      <w:r>
        <w:rPr>
          <w:rFonts w:hint="eastAsia" w:hAnsi="宋体"/>
          <w:color w:val="auto"/>
          <w:kern w:val="2"/>
        </w:rPr>
        <w:t>项目编号：</w:t>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r>
        <w:rPr>
          <w:rFonts w:hAnsi="宋体"/>
          <w:color w:val="auto"/>
          <w:kern w:val="2"/>
          <w:u w:val="single"/>
        </w:rPr>
        <w:tab/>
      </w:r>
    </w:p>
    <w:tbl>
      <w:tblPr>
        <w:tblStyle w:val="4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5245"/>
        <w:gridCol w:w="992"/>
      </w:tblGrid>
      <w:tr w14:paraId="2A3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10" w:type="dxa"/>
            <w:vAlign w:val="center"/>
          </w:tcPr>
          <w:p w14:paraId="02F124D2">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序号</w:t>
            </w:r>
          </w:p>
        </w:tc>
        <w:tc>
          <w:tcPr>
            <w:tcW w:w="2409" w:type="dxa"/>
            <w:vAlign w:val="center"/>
          </w:tcPr>
          <w:p w14:paraId="423F76AD">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项目</w:t>
            </w:r>
          </w:p>
        </w:tc>
        <w:tc>
          <w:tcPr>
            <w:tcW w:w="5245" w:type="dxa"/>
            <w:vAlign w:val="center"/>
          </w:tcPr>
          <w:p w14:paraId="3A98984C">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内容</w:t>
            </w:r>
          </w:p>
        </w:tc>
        <w:tc>
          <w:tcPr>
            <w:tcW w:w="992" w:type="dxa"/>
            <w:vAlign w:val="center"/>
          </w:tcPr>
          <w:p w14:paraId="46C66030">
            <w:pPr>
              <w:keepNext w:val="0"/>
              <w:keepLines w:val="0"/>
              <w:suppressLineNumbers w:val="0"/>
              <w:spacing w:before="0" w:beforeAutospacing="0" w:after="0" w:afterAutospacing="0" w:line="300" w:lineRule="exact"/>
              <w:ind w:left="0" w:right="0"/>
              <w:jc w:val="center"/>
              <w:rPr>
                <w:rFonts w:hint="default" w:hAnsi="宋体" w:cs="Times New Roman"/>
                <w:b/>
                <w:color w:val="auto"/>
                <w:kern w:val="2"/>
              </w:rPr>
            </w:pPr>
            <w:r>
              <w:rPr>
                <w:rFonts w:hint="eastAsia" w:hAnsi="宋体" w:cs="Times New Roman"/>
                <w:b/>
                <w:color w:val="auto"/>
                <w:kern w:val="2"/>
              </w:rPr>
              <w:t>备注</w:t>
            </w:r>
          </w:p>
        </w:tc>
      </w:tr>
      <w:tr w14:paraId="0B96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71F370F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1</w:t>
            </w:r>
          </w:p>
        </w:tc>
        <w:tc>
          <w:tcPr>
            <w:tcW w:w="2409" w:type="dxa"/>
            <w:vAlign w:val="center"/>
          </w:tcPr>
          <w:p w14:paraId="7CC3F8A2">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cs="Times New Roman"/>
                <w:b/>
                <w:color w:val="auto"/>
                <w:kern w:val="2"/>
              </w:rPr>
              <w:t>磋商保证金</w:t>
            </w:r>
          </w:p>
        </w:tc>
        <w:tc>
          <w:tcPr>
            <w:tcW w:w="5245" w:type="dxa"/>
            <w:vAlign w:val="center"/>
          </w:tcPr>
          <w:p w14:paraId="4B2F8545">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（大写）人民币</w:t>
            </w:r>
            <w:r>
              <w:rPr>
                <w:rFonts w:hint="default" w:hAnsi="宋体" w:cs="Times New Roman"/>
                <w:color w:val="auto"/>
                <w:kern w:val="2"/>
                <w:u w:val="single"/>
              </w:rPr>
              <w:t xml:space="preserve">          </w:t>
            </w:r>
            <w:r>
              <w:rPr>
                <w:rFonts w:hint="eastAsia" w:hAnsi="宋体" w:cs="Times New Roman"/>
                <w:color w:val="auto"/>
                <w:kern w:val="2"/>
                <w:u w:val="single"/>
              </w:rPr>
              <w:t>元</w:t>
            </w:r>
            <w:r>
              <w:rPr>
                <w:rFonts w:hint="eastAsia" w:hAnsi="宋体" w:cs="Times New Roman"/>
                <w:color w:val="auto"/>
                <w:kern w:val="2"/>
              </w:rPr>
              <w:t>（小写￥</w:t>
            </w:r>
            <w:r>
              <w:rPr>
                <w:rFonts w:hint="default" w:hAnsi="宋体" w:cs="Times New Roman"/>
                <w:color w:val="auto"/>
                <w:kern w:val="2"/>
                <w:u w:val="single"/>
              </w:rPr>
              <w:t xml:space="preserve">             </w:t>
            </w:r>
            <w:r>
              <w:rPr>
                <w:rFonts w:hint="default" w:hAnsi="宋体" w:cs="Times New Roman"/>
                <w:color w:val="auto"/>
                <w:kern w:val="2"/>
              </w:rPr>
              <w:t>）</w:t>
            </w:r>
          </w:p>
        </w:tc>
        <w:tc>
          <w:tcPr>
            <w:tcW w:w="992" w:type="dxa"/>
            <w:vAlign w:val="center"/>
          </w:tcPr>
          <w:p w14:paraId="3355F0B7">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C32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0" w:type="dxa"/>
            <w:vAlign w:val="center"/>
          </w:tcPr>
          <w:p w14:paraId="161E637F">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2</w:t>
            </w:r>
          </w:p>
        </w:tc>
        <w:tc>
          <w:tcPr>
            <w:tcW w:w="2409" w:type="dxa"/>
            <w:vAlign w:val="center"/>
          </w:tcPr>
          <w:p w14:paraId="65F5EE5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rPr>
              <w:t>磋商总报价</w:t>
            </w:r>
          </w:p>
        </w:tc>
        <w:tc>
          <w:tcPr>
            <w:tcW w:w="5245" w:type="dxa"/>
            <w:vAlign w:val="center"/>
          </w:tcPr>
          <w:p w14:paraId="7438AAC6">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（大写）人民币</w:t>
            </w:r>
            <w:r>
              <w:rPr>
                <w:rFonts w:hint="default" w:hAnsi="宋体" w:cs="Times New Roman"/>
                <w:color w:val="auto"/>
                <w:kern w:val="2"/>
                <w:u w:val="single"/>
              </w:rPr>
              <w:t xml:space="preserve">          </w:t>
            </w:r>
            <w:r>
              <w:rPr>
                <w:rFonts w:hint="eastAsia" w:hAnsi="宋体" w:cs="Times New Roman"/>
                <w:color w:val="auto"/>
                <w:kern w:val="2"/>
                <w:u w:val="single"/>
              </w:rPr>
              <w:t>元</w:t>
            </w:r>
            <w:r>
              <w:rPr>
                <w:rFonts w:hint="eastAsia" w:hAnsi="宋体" w:cs="Times New Roman"/>
                <w:color w:val="auto"/>
                <w:kern w:val="2"/>
              </w:rPr>
              <w:t>（小写￥</w:t>
            </w:r>
            <w:r>
              <w:rPr>
                <w:rFonts w:hint="default" w:hAnsi="宋体" w:cs="Times New Roman"/>
                <w:color w:val="auto"/>
                <w:kern w:val="2"/>
                <w:u w:val="single"/>
              </w:rPr>
              <w:t xml:space="preserve">             </w:t>
            </w:r>
            <w:r>
              <w:rPr>
                <w:rFonts w:hint="default" w:hAnsi="宋体" w:cs="Times New Roman"/>
                <w:color w:val="auto"/>
                <w:kern w:val="2"/>
              </w:rPr>
              <w:t>）</w:t>
            </w:r>
          </w:p>
        </w:tc>
        <w:tc>
          <w:tcPr>
            <w:tcW w:w="992" w:type="dxa"/>
            <w:vAlign w:val="center"/>
          </w:tcPr>
          <w:p w14:paraId="5A09E5F2">
            <w:pPr>
              <w:keepNext w:val="0"/>
              <w:keepLines w:val="0"/>
              <w:suppressLineNumbers w:val="0"/>
              <w:spacing w:before="0" w:beforeAutospacing="0" w:after="0" w:afterAutospacing="0" w:line="360" w:lineRule="auto"/>
              <w:ind w:left="0" w:right="0"/>
              <w:rPr>
                <w:rFonts w:hint="default" w:hAnsi="宋体" w:cs="Times New Roman"/>
                <w:color w:val="auto"/>
                <w:kern w:val="2"/>
              </w:rPr>
            </w:pPr>
          </w:p>
        </w:tc>
      </w:tr>
      <w:tr w14:paraId="5623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10" w:type="dxa"/>
            <w:vAlign w:val="center"/>
          </w:tcPr>
          <w:p w14:paraId="776AAE20">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3</w:t>
            </w:r>
          </w:p>
        </w:tc>
        <w:tc>
          <w:tcPr>
            <w:tcW w:w="2409" w:type="dxa"/>
            <w:vAlign w:val="center"/>
          </w:tcPr>
          <w:p w14:paraId="2F2369EB">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bCs/>
                <w:color w:val="auto"/>
              </w:rPr>
              <w:t>合同履行期限</w:t>
            </w:r>
          </w:p>
        </w:tc>
        <w:tc>
          <w:tcPr>
            <w:tcW w:w="5245" w:type="dxa"/>
            <w:vAlign w:val="center"/>
          </w:tcPr>
          <w:p w14:paraId="793DAE7F">
            <w:pPr>
              <w:keepNext w:val="0"/>
              <w:keepLines w:val="0"/>
              <w:suppressLineNumbers w:val="0"/>
              <w:spacing w:before="0" w:beforeAutospacing="0" w:after="0" w:afterAutospacing="0" w:line="360" w:lineRule="auto"/>
              <w:ind w:left="0" w:right="0"/>
              <w:rPr>
                <w:rFonts w:hint="default" w:hAnsi="宋体" w:cs="Times New Roman"/>
                <w:color w:val="auto"/>
                <w:kern w:val="2"/>
              </w:rPr>
            </w:pPr>
          </w:p>
        </w:tc>
        <w:tc>
          <w:tcPr>
            <w:tcW w:w="992" w:type="dxa"/>
            <w:vAlign w:val="center"/>
          </w:tcPr>
          <w:p w14:paraId="2C1141AA">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1C14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231E9BAA">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4</w:t>
            </w:r>
          </w:p>
        </w:tc>
        <w:tc>
          <w:tcPr>
            <w:tcW w:w="2409" w:type="dxa"/>
            <w:vAlign w:val="center"/>
          </w:tcPr>
          <w:p w14:paraId="7497D47B">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磋商</w:t>
            </w:r>
            <w:r>
              <w:rPr>
                <w:rFonts w:hint="default" w:hAnsi="宋体"/>
                <w:b/>
                <w:color w:val="auto"/>
                <w:kern w:val="2"/>
              </w:rPr>
              <w:t>有效期</w:t>
            </w:r>
          </w:p>
        </w:tc>
        <w:tc>
          <w:tcPr>
            <w:tcW w:w="5245" w:type="dxa"/>
            <w:vAlign w:val="center"/>
          </w:tcPr>
          <w:p w14:paraId="02EF24F1">
            <w:pPr>
              <w:keepNext w:val="0"/>
              <w:keepLines w:val="0"/>
              <w:suppressLineNumbers w:val="0"/>
              <w:spacing w:before="0" w:beforeAutospacing="0" w:after="0" w:afterAutospacing="0" w:line="360" w:lineRule="auto"/>
              <w:ind w:left="0" w:right="0"/>
              <w:rPr>
                <w:rFonts w:hint="default" w:hAnsi="宋体" w:cs="Times New Roman"/>
                <w:color w:val="auto"/>
                <w:kern w:val="2"/>
              </w:rPr>
            </w:pPr>
          </w:p>
        </w:tc>
        <w:tc>
          <w:tcPr>
            <w:tcW w:w="992" w:type="dxa"/>
            <w:vAlign w:val="center"/>
          </w:tcPr>
          <w:p w14:paraId="54D52624">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177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1DE51782">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5</w:t>
            </w:r>
          </w:p>
        </w:tc>
        <w:tc>
          <w:tcPr>
            <w:tcW w:w="2409" w:type="dxa"/>
            <w:vAlign w:val="center"/>
          </w:tcPr>
          <w:p w14:paraId="07C4EF5D">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eastAsia" w:hAnsi="宋体"/>
                <w:b/>
                <w:color w:val="auto"/>
                <w:kern w:val="2"/>
              </w:rPr>
              <w:t>权利和义务</w:t>
            </w:r>
          </w:p>
        </w:tc>
        <w:tc>
          <w:tcPr>
            <w:tcW w:w="5245" w:type="dxa"/>
            <w:vAlign w:val="center"/>
          </w:tcPr>
          <w:p w14:paraId="63350D6A">
            <w:pPr>
              <w:keepNext w:val="0"/>
              <w:keepLines w:val="0"/>
              <w:suppressLineNumbers w:val="0"/>
              <w:spacing w:before="0" w:beforeAutospacing="0" w:after="0" w:afterAutospacing="0" w:line="360" w:lineRule="auto"/>
              <w:ind w:left="0" w:right="0"/>
              <w:rPr>
                <w:rFonts w:hint="default" w:hAnsi="宋体" w:cs="Times New Roman"/>
                <w:color w:val="auto"/>
                <w:kern w:val="2"/>
              </w:rPr>
            </w:pPr>
            <w:r>
              <w:rPr>
                <w:rFonts w:hint="eastAsia" w:hAnsi="宋体" w:cs="Times New Roman"/>
                <w:color w:val="auto"/>
                <w:kern w:val="2"/>
              </w:rPr>
              <w:t>是否响应本竞争性大磋商文件第四章“合同条款及格式”相应约定：是（</w:t>
            </w:r>
            <w:r>
              <w:rPr>
                <w:rFonts w:hint="default" w:hAnsi="宋体" w:cs="Times New Roman"/>
                <w:color w:val="auto"/>
                <w:kern w:val="2"/>
              </w:rPr>
              <w:t xml:space="preserve">       </w:t>
            </w:r>
            <w:r>
              <w:rPr>
                <w:rFonts w:hint="eastAsia" w:hAnsi="宋体" w:cs="Times New Roman"/>
                <w:color w:val="auto"/>
                <w:kern w:val="2"/>
              </w:rPr>
              <w:t>）</w:t>
            </w:r>
            <w:r>
              <w:rPr>
                <w:rFonts w:hint="default" w:hAnsi="宋体" w:cs="Times New Roman"/>
                <w:color w:val="auto"/>
                <w:kern w:val="2"/>
              </w:rPr>
              <w:t xml:space="preserve">    </w:t>
            </w:r>
            <w:r>
              <w:rPr>
                <w:rFonts w:hint="eastAsia" w:hAnsi="宋体" w:cs="Times New Roman"/>
                <w:color w:val="auto"/>
                <w:kern w:val="2"/>
              </w:rPr>
              <w:t>否（</w:t>
            </w:r>
            <w:r>
              <w:rPr>
                <w:rFonts w:hint="default" w:hAnsi="宋体" w:cs="Times New Roman"/>
                <w:color w:val="auto"/>
                <w:kern w:val="2"/>
              </w:rPr>
              <w:t xml:space="preserve">       </w:t>
            </w:r>
            <w:r>
              <w:rPr>
                <w:rFonts w:hint="eastAsia" w:hAnsi="宋体" w:cs="Times New Roman"/>
                <w:color w:val="auto"/>
                <w:kern w:val="2"/>
              </w:rPr>
              <w:t>）</w:t>
            </w:r>
          </w:p>
        </w:tc>
        <w:tc>
          <w:tcPr>
            <w:tcW w:w="992" w:type="dxa"/>
            <w:vAlign w:val="center"/>
          </w:tcPr>
          <w:p w14:paraId="5DF09420">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2F6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19D7E546">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6</w:t>
            </w:r>
          </w:p>
        </w:tc>
        <w:tc>
          <w:tcPr>
            <w:tcW w:w="2409" w:type="dxa"/>
            <w:vAlign w:val="center"/>
          </w:tcPr>
          <w:p w14:paraId="2B5BEB1E">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项目</w:t>
            </w:r>
            <w:r>
              <w:rPr>
                <w:rFonts w:hint="default" w:hAnsi="宋体"/>
                <w:b/>
                <w:color w:val="auto"/>
              </w:rPr>
              <w:t>需求</w:t>
            </w:r>
          </w:p>
        </w:tc>
        <w:tc>
          <w:tcPr>
            <w:tcW w:w="5245" w:type="dxa"/>
            <w:vAlign w:val="center"/>
          </w:tcPr>
          <w:p w14:paraId="5EA9610A">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是否响应本竞争性磋商文件第七章“项目需求和</w:t>
            </w:r>
            <w:r>
              <w:rPr>
                <w:rFonts w:hint="default" w:hAnsi="宋体"/>
                <w:color w:val="auto"/>
              </w:rPr>
              <w:t>说明</w:t>
            </w:r>
            <w:r>
              <w:rPr>
                <w:rFonts w:hint="eastAsia" w:hAnsi="宋体"/>
                <w:color w:val="auto"/>
              </w:rPr>
              <w:t>”相应约定：是（      ）否（        ）</w:t>
            </w:r>
          </w:p>
        </w:tc>
        <w:tc>
          <w:tcPr>
            <w:tcW w:w="992" w:type="dxa"/>
            <w:vAlign w:val="center"/>
          </w:tcPr>
          <w:p w14:paraId="110735B9">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4FC4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44D66F60">
            <w:pPr>
              <w:keepNext w:val="0"/>
              <w:keepLines w:val="0"/>
              <w:suppressLineNumbers w:val="0"/>
              <w:spacing w:before="0" w:beforeAutospacing="0" w:after="0" w:afterAutospacing="0" w:line="360" w:lineRule="auto"/>
              <w:ind w:left="0" w:right="0"/>
              <w:jc w:val="center"/>
              <w:rPr>
                <w:rFonts w:hint="default" w:hAnsi="宋体"/>
                <w:b/>
                <w:color w:val="auto"/>
                <w:kern w:val="2"/>
              </w:rPr>
            </w:pPr>
            <w:r>
              <w:rPr>
                <w:rFonts w:hint="default" w:hAnsi="宋体"/>
                <w:b/>
                <w:color w:val="auto"/>
                <w:kern w:val="2"/>
              </w:rPr>
              <w:t>7</w:t>
            </w:r>
          </w:p>
        </w:tc>
        <w:tc>
          <w:tcPr>
            <w:tcW w:w="2409" w:type="dxa"/>
            <w:vAlign w:val="center"/>
          </w:tcPr>
          <w:p w14:paraId="5F8BC41E">
            <w:pPr>
              <w:keepNext w:val="0"/>
              <w:keepLines w:val="0"/>
              <w:suppressLineNumbers w:val="0"/>
              <w:spacing w:before="0" w:beforeAutospacing="0" w:after="0" w:afterAutospacing="0" w:line="360" w:lineRule="auto"/>
              <w:ind w:left="0" w:right="0"/>
              <w:jc w:val="center"/>
              <w:rPr>
                <w:rFonts w:hint="default" w:hAnsi="宋体"/>
                <w:b/>
                <w:color w:val="auto"/>
              </w:rPr>
            </w:pPr>
            <w:r>
              <w:rPr>
                <w:rFonts w:hint="eastAsia" w:hAnsi="宋体"/>
                <w:b/>
                <w:color w:val="auto"/>
              </w:rPr>
              <w:t>技术标准和要求</w:t>
            </w:r>
          </w:p>
        </w:tc>
        <w:tc>
          <w:tcPr>
            <w:tcW w:w="5245" w:type="dxa"/>
            <w:vAlign w:val="center"/>
          </w:tcPr>
          <w:p w14:paraId="7776F232">
            <w:pPr>
              <w:keepNext w:val="0"/>
              <w:keepLines w:val="0"/>
              <w:suppressLineNumbers w:val="0"/>
              <w:spacing w:before="0" w:beforeAutospacing="0" w:after="0" w:afterAutospacing="0" w:line="360" w:lineRule="auto"/>
              <w:ind w:left="0" w:right="0"/>
              <w:jc w:val="left"/>
              <w:rPr>
                <w:rFonts w:hint="default" w:hAnsi="宋体"/>
                <w:color w:val="auto"/>
                <w:kern w:val="2"/>
              </w:rPr>
            </w:pPr>
            <w:r>
              <w:rPr>
                <w:rFonts w:hint="eastAsia" w:hAnsi="宋体"/>
                <w:color w:val="auto"/>
                <w:kern w:val="2"/>
              </w:rPr>
              <w:t>是否符合磋商文件第五章“技术标准和要求”</w:t>
            </w:r>
          </w:p>
          <w:p w14:paraId="1EA95598">
            <w:pPr>
              <w:keepNext w:val="0"/>
              <w:keepLines w:val="0"/>
              <w:suppressLineNumbers w:val="0"/>
              <w:spacing w:before="0" w:beforeAutospacing="0" w:after="0" w:afterAutospacing="0" w:line="360" w:lineRule="auto"/>
              <w:ind w:left="0" w:right="0"/>
              <w:rPr>
                <w:rFonts w:hint="default" w:hAnsi="宋体"/>
                <w:color w:val="auto"/>
              </w:rPr>
            </w:pPr>
            <w:r>
              <w:rPr>
                <w:rFonts w:hint="eastAsia" w:hAnsi="宋体"/>
                <w:color w:val="auto"/>
              </w:rPr>
              <w:t>是（    ）否（      ）</w:t>
            </w:r>
          </w:p>
        </w:tc>
        <w:tc>
          <w:tcPr>
            <w:tcW w:w="992" w:type="dxa"/>
            <w:vAlign w:val="center"/>
          </w:tcPr>
          <w:p w14:paraId="6314A9FC">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5BD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Align w:val="center"/>
          </w:tcPr>
          <w:p w14:paraId="22231222">
            <w:pPr>
              <w:keepNext w:val="0"/>
              <w:keepLines w:val="0"/>
              <w:suppressLineNumbers w:val="0"/>
              <w:spacing w:before="0" w:beforeAutospacing="0" w:after="0" w:afterAutospacing="0" w:line="360" w:lineRule="auto"/>
              <w:ind w:left="0" w:right="0"/>
              <w:jc w:val="center"/>
              <w:rPr>
                <w:rFonts w:hint="default" w:hAnsi="宋体"/>
                <w:color w:val="auto"/>
                <w:kern w:val="2"/>
              </w:rPr>
            </w:pPr>
            <w:r>
              <w:rPr>
                <w:rFonts w:hint="default" w:hAnsi="宋体"/>
                <w:color w:val="auto"/>
                <w:kern w:val="2"/>
              </w:rPr>
              <w:t>N</w:t>
            </w:r>
          </w:p>
        </w:tc>
        <w:tc>
          <w:tcPr>
            <w:tcW w:w="2409" w:type="dxa"/>
            <w:vAlign w:val="center"/>
          </w:tcPr>
          <w:p w14:paraId="4BFA451C">
            <w:pPr>
              <w:keepNext w:val="0"/>
              <w:keepLines w:val="0"/>
              <w:suppressLineNumbers w:val="0"/>
              <w:spacing w:before="0" w:beforeAutospacing="0" w:after="0" w:afterAutospacing="0" w:line="360" w:lineRule="auto"/>
              <w:ind w:left="0" w:right="0"/>
              <w:rPr>
                <w:rFonts w:hint="default" w:hAnsi="宋体"/>
                <w:color w:val="auto"/>
                <w:kern w:val="2"/>
              </w:rPr>
            </w:pPr>
            <w:r>
              <w:rPr>
                <w:rFonts w:hint="default" w:hAnsi="宋体"/>
                <w:color w:val="auto"/>
                <w:kern w:val="2"/>
              </w:rPr>
              <w:t>…</w:t>
            </w:r>
          </w:p>
        </w:tc>
        <w:tc>
          <w:tcPr>
            <w:tcW w:w="5245" w:type="dxa"/>
            <w:vAlign w:val="center"/>
          </w:tcPr>
          <w:p w14:paraId="4B3232D0">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c>
          <w:tcPr>
            <w:tcW w:w="992" w:type="dxa"/>
            <w:vAlign w:val="center"/>
          </w:tcPr>
          <w:p w14:paraId="6CFF03E5">
            <w:pPr>
              <w:keepNext w:val="0"/>
              <w:keepLines w:val="0"/>
              <w:suppressLineNumbers w:val="0"/>
              <w:spacing w:before="0" w:beforeAutospacing="0" w:after="0" w:afterAutospacing="0" w:line="360" w:lineRule="auto"/>
              <w:ind w:left="0" w:right="0"/>
              <w:jc w:val="center"/>
              <w:rPr>
                <w:rFonts w:hint="default" w:hAnsi="宋体" w:cs="Times New Roman"/>
                <w:color w:val="auto"/>
                <w:kern w:val="2"/>
              </w:rPr>
            </w:pPr>
          </w:p>
        </w:tc>
      </w:tr>
      <w:tr w14:paraId="6AA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356" w:type="dxa"/>
            <w:gridSpan w:val="4"/>
            <w:vAlign w:val="center"/>
          </w:tcPr>
          <w:p w14:paraId="0208DA93">
            <w:pPr>
              <w:keepNext w:val="0"/>
              <w:keepLines w:val="0"/>
              <w:suppressLineNumbers w:val="0"/>
              <w:spacing w:before="0" w:beforeAutospacing="0" w:after="0" w:afterAutospacing="0" w:line="360" w:lineRule="auto"/>
              <w:ind w:left="0" w:right="0"/>
              <w:jc w:val="left"/>
              <w:rPr>
                <w:rFonts w:hint="default" w:hAnsi="宋体" w:cs="Times New Roman"/>
                <w:color w:val="auto"/>
                <w:kern w:val="2"/>
              </w:rPr>
            </w:pPr>
            <w:r>
              <w:rPr>
                <w:rFonts w:hint="eastAsia" w:hAnsi="宋体"/>
                <w:color w:val="auto"/>
                <w:kern w:val="2"/>
              </w:rPr>
              <w:t>说明：供应商在响应竞争性磋商文件中规定的实质性要求和条件的基础上，可做出其他有利于采购人的承诺。此类承诺可在本表中予以补充填写。</w:t>
            </w:r>
          </w:p>
        </w:tc>
      </w:tr>
    </w:tbl>
    <w:p w14:paraId="442B749A">
      <w:pPr>
        <w:spacing w:line="480" w:lineRule="exact"/>
        <w:ind w:left="0" w:leftChars="0" w:firstLine="3780" w:firstLineChars="18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29EEFAB">
      <w:pPr>
        <w:spacing w:line="480" w:lineRule="exact"/>
        <w:ind w:left="0" w:leftChars="0" w:firstLine="3780" w:firstLineChars="18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4CB8E83C">
      <w:pPr>
        <w:spacing w:line="480" w:lineRule="exact"/>
        <w:ind w:left="0" w:leftChars="0" w:firstLine="3780" w:firstLineChars="1800"/>
        <w:rPr>
          <w:rFonts w:hAnsi="宋体"/>
          <w:color w:val="auto"/>
          <w:kern w:val="2"/>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2F6AC983">
      <w:pPr>
        <w:widowControl/>
        <w:jc w:val="left"/>
        <w:rPr>
          <w:rFonts w:hAnsi="宋体"/>
          <w:color w:val="auto"/>
          <w:sz w:val="24"/>
          <w:szCs w:val="24"/>
        </w:rPr>
      </w:pPr>
      <w:r>
        <w:rPr>
          <w:rFonts w:hAnsi="宋体"/>
          <w:color w:val="auto"/>
          <w:sz w:val="24"/>
          <w:szCs w:val="24"/>
        </w:rPr>
        <w:br w:type="page"/>
      </w:r>
    </w:p>
    <w:p w14:paraId="59912957">
      <w:pPr>
        <w:rPr>
          <w:color w:val="auto"/>
        </w:rPr>
      </w:pPr>
    </w:p>
    <w:p w14:paraId="726A3DA9">
      <w:pPr>
        <w:numPr>
          <w:ilvl w:val="0"/>
          <w:numId w:val="0"/>
        </w:numPr>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（三）商务、服务（技术）偏离情况说明表</w:t>
      </w:r>
    </w:p>
    <w:p w14:paraId="0634121B">
      <w:pPr>
        <w:pStyle w:val="19"/>
        <w:ind w:firstLine="630" w:firstLineChars="300"/>
        <w:jc w:val="both"/>
        <w:rPr>
          <w:rFonts w:hint="eastAsia" w:hAnsi="宋体"/>
          <w:color w:val="auto"/>
          <w:kern w:val="2"/>
          <w:highlight w:val="none"/>
        </w:rPr>
      </w:pPr>
    </w:p>
    <w:p w14:paraId="40A54117">
      <w:pPr>
        <w:pStyle w:val="19"/>
        <w:ind w:left="0" w:leftChars="0" w:firstLine="438" w:firstLineChars="209"/>
        <w:jc w:val="both"/>
        <w:rPr>
          <w:rFonts w:hAnsi="宋体"/>
          <w:color w:val="auto"/>
          <w:sz w:val="21"/>
          <w:szCs w:val="21"/>
          <w:highlight w:val="none"/>
          <w:u w:val="single"/>
        </w:rPr>
      </w:pPr>
      <w:r>
        <w:rPr>
          <w:rFonts w:hint="eastAsia" w:hAnsi="宋体"/>
          <w:color w:val="auto"/>
          <w:kern w:val="2"/>
          <w:sz w:val="21"/>
          <w:szCs w:val="21"/>
          <w:highlight w:val="none"/>
        </w:rPr>
        <w:t>项目名称：</w:t>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rPr>
        <w:tab/>
      </w:r>
      <w:r>
        <w:rPr>
          <w:rFonts w:hAnsi="宋体"/>
          <w:color w:val="auto"/>
          <w:kern w:val="2"/>
          <w:sz w:val="21"/>
          <w:szCs w:val="21"/>
          <w:highlight w:val="none"/>
        </w:rPr>
        <w:tab/>
      </w:r>
      <w:r>
        <w:rPr>
          <w:rFonts w:hint="eastAsia" w:hAnsi="宋体"/>
          <w:color w:val="auto"/>
          <w:kern w:val="2"/>
          <w:sz w:val="21"/>
          <w:szCs w:val="21"/>
          <w:highlight w:val="none"/>
          <w:lang w:eastAsia="zh-CN"/>
        </w:rPr>
        <w:t xml:space="preserve"> 项目编号:</w:t>
      </w:r>
      <w:r>
        <w:rPr>
          <w:rFonts w:hAnsi="宋体"/>
          <w:color w:val="auto"/>
          <w:sz w:val="21"/>
          <w:szCs w:val="21"/>
          <w:highlight w:val="none"/>
          <w:u w:val="single"/>
        </w:rPr>
        <w:t xml:space="preserve">                           </w:t>
      </w:r>
    </w:p>
    <w:tbl>
      <w:tblPr>
        <w:tblStyle w:val="48"/>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223"/>
        <w:gridCol w:w="2340"/>
        <w:gridCol w:w="2191"/>
        <w:gridCol w:w="1464"/>
        <w:gridCol w:w="1361"/>
      </w:tblGrid>
      <w:tr w14:paraId="0080F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7254611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序号</w:t>
            </w:r>
          </w:p>
        </w:tc>
        <w:tc>
          <w:tcPr>
            <w:tcW w:w="1223" w:type="dxa"/>
            <w:tcBorders>
              <w:top w:val="single" w:color="auto" w:sz="4" w:space="0"/>
              <w:left w:val="nil"/>
              <w:bottom w:val="single" w:color="auto" w:sz="6" w:space="0"/>
              <w:right w:val="single" w:color="auto" w:sz="6" w:space="0"/>
            </w:tcBorders>
            <w:noWrap w:val="0"/>
            <w:vAlign w:val="center"/>
          </w:tcPr>
          <w:p w14:paraId="30EEC20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项目名称</w:t>
            </w:r>
          </w:p>
        </w:tc>
        <w:tc>
          <w:tcPr>
            <w:tcW w:w="2340" w:type="dxa"/>
            <w:tcBorders>
              <w:top w:val="single" w:color="auto" w:sz="4" w:space="0"/>
              <w:left w:val="nil"/>
              <w:bottom w:val="single" w:color="auto" w:sz="6" w:space="0"/>
              <w:right w:val="single" w:color="auto" w:sz="6" w:space="0"/>
            </w:tcBorders>
            <w:noWrap w:val="0"/>
            <w:vAlign w:val="center"/>
          </w:tcPr>
          <w:p w14:paraId="673BDD0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hAnsi="宋体"/>
                <w:color w:val="auto"/>
                <w:szCs w:val="20"/>
                <w:highlight w:val="none"/>
                <w:lang w:eastAsia="zh-CN"/>
              </w:rPr>
              <w:t>采购文件</w:t>
            </w:r>
            <w:r>
              <w:rPr>
                <w:rFonts w:hint="eastAsia" w:ascii="宋体" w:hAnsi="宋体"/>
                <w:color w:val="auto"/>
                <w:szCs w:val="20"/>
                <w:highlight w:val="none"/>
              </w:rPr>
              <w:t>要求</w:t>
            </w:r>
          </w:p>
        </w:tc>
        <w:tc>
          <w:tcPr>
            <w:tcW w:w="2191" w:type="dxa"/>
            <w:tcBorders>
              <w:top w:val="single" w:color="auto" w:sz="4" w:space="0"/>
              <w:left w:val="nil"/>
              <w:bottom w:val="single" w:color="auto" w:sz="6" w:space="0"/>
              <w:right w:val="single" w:color="auto" w:sz="6" w:space="0"/>
            </w:tcBorders>
            <w:noWrap w:val="0"/>
            <w:vAlign w:val="center"/>
          </w:tcPr>
          <w:p w14:paraId="325C736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hAnsi="宋体"/>
                <w:color w:val="auto"/>
                <w:szCs w:val="20"/>
                <w:highlight w:val="none"/>
                <w:lang w:eastAsia="zh-CN"/>
              </w:rPr>
              <w:t>响应文件</w:t>
            </w:r>
            <w:r>
              <w:rPr>
                <w:rFonts w:hint="eastAsia" w:ascii="宋体" w:hAnsi="宋体"/>
                <w:color w:val="auto"/>
                <w:szCs w:val="20"/>
                <w:highlight w:val="none"/>
              </w:rPr>
              <w:t>具体响应</w:t>
            </w:r>
          </w:p>
        </w:tc>
        <w:tc>
          <w:tcPr>
            <w:tcW w:w="1464" w:type="dxa"/>
            <w:tcBorders>
              <w:top w:val="single" w:color="auto" w:sz="4" w:space="0"/>
              <w:left w:val="nil"/>
              <w:bottom w:val="single" w:color="auto" w:sz="6" w:space="0"/>
              <w:right w:val="single" w:color="auto" w:sz="6" w:space="0"/>
            </w:tcBorders>
            <w:noWrap w:val="0"/>
            <w:vAlign w:val="center"/>
          </w:tcPr>
          <w:p w14:paraId="526E778E">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olor w:val="auto"/>
                <w:szCs w:val="20"/>
                <w:highlight w:val="none"/>
              </w:rPr>
            </w:pPr>
            <w:r>
              <w:rPr>
                <w:rFonts w:hint="eastAsia" w:ascii="宋体" w:hAnsi="宋体"/>
                <w:color w:val="auto"/>
                <w:szCs w:val="20"/>
                <w:highlight w:val="none"/>
              </w:rPr>
              <w:t>偏离说明</w:t>
            </w:r>
          </w:p>
        </w:tc>
        <w:tc>
          <w:tcPr>
            <w:tcW w:w="1361" w:type="dxa"/>
            <w:tcBorders>
              <w:top w:val="single" w:color="auto" w:sz="4" w:space="0"/>
              <w:left w:val="nil"/>
              <w:bottom w:val="single" w:color="auto" w:sz="6" w:space="0"/>
              <w:right w:val="single" w:color="auto" w:sz="4" w:space="0"/>
            </w:tcBorders>
            <w:noWrap w:val="0"/>
            <w:vAlign w:val="center"/>
          </w:tcPr>
          <w:p w14:paraId="36A0172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备注</w:t>
            </w:r>
          </w:p>
        </w:tc>
      </w:tr>
      <w:tr w14:paraId="30A85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736670E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服务（技术）部分</w:t>
            </w:r>
          </w:p>
        </w:tc>
      </w:tr>
      <w:tr w14:paraId="16C4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9D3C76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right w:val="single" w:color="auto" w:sz="6" w:space="0"/>
            </w:tcBorders>
            <w:shd w:val="clear" w:color="auto" w:fill="auto"/>
            <w:noWrap w:val="0"/>
            <w:vAlign w:val="center"/>
          </w:tcPr>
          <w:p w14:paraId="27A8313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right w:val="single" w:color="auto" w:sz="6" w:space="0"/>
            </w:tcBorders>
            <w:shd w:val="clear" w:color="auto" w:fill="auto"/>
            <w:noWrap w:val="0"/>
            <w:vAlign w:val="center"/>
          </w:tcPr>
          <w:p w14:paraId="6DC0F15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2BBB45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3D26D29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5DAC3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DDA9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465B4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left w:val="nil"/>
              <w:right w:val="single" w:color="auto" w:sz="6" w:space="0"/>
            </w:tcBorders>
            <w:shd w:val="clear" w:color="auto" w:fill="auto"/>
            <w:noWrap w:val="0"/>
            <w:vAlign w:val="center"/>
          </w:tcPr>
          <w:p w14:paraId="5DCA0FB8">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0A287423">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D0AF80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5B4BE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62DB56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09F91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384F24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left w:val="nil"/>
              <w:right w:val="single" w:color="auto" w:sz="6" w:space="0"/>
            </w:tcBorders>
            <w:shd w:val="clear" w:color="auto" w:fill="auto"/>
            <w:noWrap w:val="0"/>
            <w:vAlign w:val="center"/>
          </w:tcPr>
          <w:p w14:paraId="76A3AA4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4BEC62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010C97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BE9483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68F14AE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174D8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00F2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left w:val="nil"/>
              <w:bottom w:val="single" w:color="auto" w:sz="6" w:space="0"/>
              <w:right w:val="single" w:color="auto" w:sz="6" w:space="0"/>
            </w:tcBorders>
            <w:shd w:val="clear" w:color="auto" w:fill="auto"/>
            <w:noWrap w:val="0"/>
            <w:vAlign w:val="center"/>
          </w:tcPr>
          <w:p w14:paraId="641E25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bottom w:val="single" w:color="auto" w:sz="6" w:space="0"/>
              <w:right w:val="single" w:color="auto" w:sz="6" w:space="0"/>
            </w:tcBorders>
            <w:shd w:val="clear" w:color="auto" w:fill="auto"/>
            <w:noWrap w:val="0"/>
            <w:vAlign w:val="center"/>
          </w:tcPr>
          <w:p w14:paraId="10A7B92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04EE1A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1A62445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00AB567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6EDC0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2A491C6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商务部分</w:t>
            </w:r>
          </w:p>
        </w:tc>
      </w:tr>
      <w:tr w14:paraId="104EB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23A298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bottom w:val="single" w:color="auto" w:sz="6" w:space="0"/>
              <w:right w:val="single" w:color="auto" w:sz="6" w:space="0"/>
            </w:tcBorders>
            <w:noWrap w:val="0"/>
            <w:vAlign w:val="center"/>
          </w:tcPr>
          <w:p w14:paraId="51B008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52C5DC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24EAC2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5720A41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1DE623E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3C5B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3526E5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top w:val="single" w:color="auto" w:sz="6" w:space="0"/>
              <w:left w:val="nil"/>
              <w:bottom w:val="single" w:color="auto" w:sz="6" w:space="0"/>
              <w:right w:val="single" w:color="auto" w:sz="6" w:space="0"/>
            </w:tcBorders>
            <w:noWrap w:val="0"/>
            <w:vAlign w:val="center"/>
          </w:tcPr>
          <w:p w14:paraId="6BCA0560">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22FE13B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43E65F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1DB39E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394A11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55A0A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433CC0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top w:val="single" w:color="auto" w:sz="6" w:space="0"/>
              <w:left w:val="nil"/>
              <w:bottom w:val="single" w:color="auto" w:sz="6" w:space="0"/>
              <w:right w:val="single" w:color="auto" w:sz="6" w:space="0"/>
            </w:tcBorders>
            <w:noWrap w:val="0"/>
            <w:vAlign w:val="center"/>
          </w:tcPr>
          <w:p w14:paraId="0A9192A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6" w:space="0"/>
              <w:right w:val="single" w:color="auto" w:sz="6" w:space="0"/>
            </w:tcBorders>
            <w:noWrap w:val="0"/>
            <w:vAlign w:val="center"/>
          </w:tcPr>
          <w:p w14:paraId="772CEFB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37C3A2F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43D3E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5DD35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FD95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7D1CECF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top w:val="single" w:color="auto" w:sz="6" w:space="0"/>
              <w:left w:val="nil"/>
              <w:bottom w:val="single" w:color="auto" w:sz="4" w:space="0"/>
              <w:right w:val="single" w:color="auto" w:sz="6" w:space="0"/>
            </w:tcBorders>
            <w:noWrap w:val="0"/>
            <w:vAlign w:val="center"/>
          </w:tcPr>
          <w:p w14:paraId="66333A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bottom w:val="single" w:color="auto" w:sz="4" w:space="0"/>
              <w:right w:val="single" w:color="auto" w:sz="6" w:space="0"/>
            </w:tcBorders>
            <w:noWrap w:val="0"/>
            <w:vAlign w:val="center"/>
          </w:tcPr>
          <w:p w14:paraId="1F24669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4" w:space="0"/>
              <w:right w:val="single" w:color="auto" w:sz="6" w:space="0"/>
            </w:tcBorders>
            <w:noWrap w:val="0"/>
            <w:vAlign w:val="center"/>
          </w:tcPr>
          <w:p w14:paraId="24A029E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4" w:space="0"/>
              <w:right w:val="single" w:color="auto" w:sz="4" w:space="0"/>
            </w:tcBorders>
            <w:noWrap w:val="0"/>
            <w:vAlign w:val="center"/>
          </w:tcPr>
          <w:p w14:paraId="21F14E4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4" w:space="0"/>
              <w:right w:val="single" w:color="auto" w:sz="4" w:space="0"/>
            </w:tcBorders>
            <w:noWrap w:val="0"/>
            <w:vAlign w:val="center"/>
          </w:tcPr>
          <w:p w14:paraId="2159E31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bl>
    <w:p w14:paraId="0F7792DC">
      <w:pPr>
        <w:pStyle w:val="19"/>
        <w:jc w:val="both"/>
        <w:rPr>
          <w:rFonts w:hAnsi="宋体"/>
          <w:color w:val="auto"/>
          <w:szCs w:val="21"/>
          <w:highlight w:val="none"/>
          <w:u w:val="single"/>
        </w:rPr>
      </w:pPr>
    </w:p>
    <w:p w14:paraId="3E53539F">
      <w:pPr>
        <w:spacing w:line="480" w:lineRule="exact"/>
        <w:ind w:firstLine="3570" w:firstLineChars="17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4411C62D">
      <w:pPr>
        <w:spacing w:line="480" w:lineRule="exact"/>
        <w:ind w:firstLine="3570" w:firstLineChars="17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04629FD3">
      <w:pPr>
        <w:spacing w:line="480" w:lineRule="exact"/>
        <w:ind w:firstLine="3570" w:firstLineChars="1700"/>
        <w:rPr>
          <w:rFonts w:hAnsi="宋体"/>
          <w:color w:val="auto"/>
          <w:kern w:val="2"/>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0994F12E">
      <w:pPr>
        <w:spacing w:line="440" w:lineRule="exact"/>
        <w:contextualSpacing/>
        <w:jc w:val="left"/>
        <w:rPr>
          <w:rFonts w:hint="eastAsia" w:ascii="宋体" w:hAnsi="宋体" w:eastAsia="宋体" w:cs="宋体"/>
          <w:color w:val="auto"/>
          <w:szCs w:val="21"/>
          <w:highlight w:val="none"/>
        </w:rPr>
      </w:pPr>
      <w:r>
        <w:rPr>
          <w:rFonts w:hint="eastAsia" w:ascii="宋体" w:hAnsi="宋体"/>
          <w:color w:val="auto"/>
          <w:highlight w:val="none"/>
        </w:rPr>
        <w:t>说明：</w:t>
      </w:r>
    </w:p>
    <w:p w14:paraId="759C5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color w:val="auto"/>
          <w:highlight w:val="none"/>
        </w:rPr>
        <w:t>1.</w:t>
      </w:r>
      <w:r>
        <w:rPr>
          <w:rFonts w:hint="eastAsia" w:hAnsi="宋体" w:cs="Times New Roman"/>
          <w:color w:val="auto"/>
          <w:kern w:val="2"/>
          <w:szCs w:val="20"/>
        </w:rPr>
        <w:t>供应商</w:t>
      </w:r>
      <w:r>
        <w:rPr>
          <w:rFonts w:hint="eastAsia" w:ascii="宋体" w:hAnsi="宋体"/>
          <w:color w:val="auto"/>
          <w:highlight w:val="none"/>
        </w:rPr>
        <w:t>应</w:t>
      </w:r>
      <w:r>
        <w:rPr>
          <w:rFonts w:hint="eastAsia" w:ascii="宋体" w:hAnsi="宋体"/>
          <w:color w:val="auto"/>
          <w:highlight w:val="none"/>
          <w:lang w:eastAsia="zh-CN"/>
        </w:rPr>
        <w:t>对应</w:t>
      </w:r>
      <w:r>
        <w:rPr>
          <w:rFonts w:hint="eastAsia" w:hAnsi="宋体"/>
          <w:color w:val="auto"/>
          <w:highlight w:val="none"/>
          <w:lang w:eastAsia="zh-CN"/>
        </w:rPr>
        <w:t>采购</w:t>
      </w:r>
      <w:r>
        <w:rPr>
          <w:rFonts w:hint="eastAsia" w:ascii="宋体" w:hAnsi="宋体" w:eastAsia="宋体" w:cs="宋体"/>
          <w:color w:val="auto"/>
          <w:sz w:val="21"/>
          <w:szCs w:val="21"/>
          <w:highlight w:val="none"/>
        </w:rPr>
        <w:t>文件第</w:t>
      </w:r>
      <w:r>
        <w:rPr>
          <w:rFonts w:hint="eastAsia" w:hAnsi="宋体" w:cs="宋体"/>
          <w:color w:val="auto"/>
          <w:sz w:val="21"/>
          <w:szCs w:val="21"/>
          <w:highlight w:val="none"/>
          <w:lang w:eastAsia="zh-CN"/>
        </w:rPr>
        <w:t>七</w:t>
      </w:r>
      <w:r>
        <w:rPr>
          <w:rFonts w:hint="eastAsia" w:ascii="宋体" w:hAnsi="宋体" w:eastAsia="宋体" w:cs="宋体"/>
          <w:color w:val="auto"/>
          <w:sz w:val="21"/>
          <w:szCs w:val="21"/>
          <w:highlight w:val="none"/>
        </w:rPr>
        <w:t>章《项目需求和说明》</w:t>
      </w:r>
      <w:r>
        <w:rPr>
          <w:rFonts w:hint="eastAsia" w:hAnsi="宋体" w:cs="宋体"/>
          <w:color w:val="auto"/>
          <w:sz w:val="21"/>
          <w:szCs w:val="21"/>
          <w:highlight w:val="none"/>
          <w:lang w:eastAsia="zh-CN"/>
        </w:rPr>
        <w:t>中的</w:t>
      </w:r>
      <w:r>
        <w:rPr>
          <w:rFonts w:hint="eastAsia" w:ascii="宋体" w:hAnsi="宋体"/>
          <w:color w:val="auto"/>
          <w:highlight w:val="none"/>
        </w:rPr>
        <w:t>商务</w:t>
      </w:r>
      <w:r>
        <w:rPr>
          <w:rFonts w:hint="eastAsia" w:ascii="宋体" w:hAnsi="宋体"/>
          <w:color w:val="auto"/>
          <w:highlight w:val="none"/>
          <w:lang w:eastAsia="zh-CN"/>
        </w:rPr>
        <w:t>及其他要求、</w:t>
      </w:r>
      <w:r>
        <w:rPr>
          <w:rFonts w:hint="eastAsia" w:ascii="宋体" w:hAnsi="宋体"/>
          <w:color w:val="auto"/>
          <w:highlight w:val="none"/>
        </w:rPr>
        <w:t>服务</w:t>
      </w:r>
      <w:r>
        <w:rPr>
          <w:rFonts w:hint="eastAsia" w:ascii="宋体" w:hAnsi="宋体"/>
          <w:color w:val="auto"/>
          <w:highlight w:val="none"/>
          <w:lang w:eastAsia="zh-CN"/>
        </w:rPr>
        <w:t>（</w:t>
      </w:r>
      <w:r>
        <w:rPr>
          <w:rFonts w:hint="eastAsia" w:ascii="宋体" w:hAnsi="宋体"/>
          <w:color w:val="auto"/>
          <w:highlight w:val="none"/>
        </w:rPr>
        <w:t>技术</w:t>
      </w:r>
      <w:r>
        <w:rPr>
          <w:rFonts w:hint="eastAsia" w:ascii="宋体" w:hAnsi="宋体"/>
          <w:color w:val="auto"/>
          <w:highlight w:val="none"/>
          <w:lang w:eastAsia="zh-CN"/>
        </w:rPr>
        <w:t>）</w:t>
      </w:r>
      <w:r>
        <w:rPr>
          <w:rFonts w:hint="eastAsia" w:ascii="宋体" w:hAnsi="宋体"/>
          <w:color w:val="auto"/>
          <w:highlight w:val="none"/>
        </w:rPr>
        <w:t>要求</w:t>
      </w:r>
      <w:r>
        <w:rPr>
          <w:rFonts w:hint="eastAsia" w:ascii="宋体" w:hAnsi="宋体" w:eastAsia="宋体" w:cs="宋体"/>
          <w:color w:val="auto"/>
          <w:sz w:val="21"/>
          <w:szCs w:val="21"/>
          <w:highlight w:val="none"/>
        </w:rPr>
        <w:t>逐条</w:t>
      </w:r>
      <w:r>
        <w:rPr>
          <w:rFonts w:hint="eastAsia" w:hAnsi="宋体" w:cs="宋体"/>
          <w:color w:val="auto"/>
          <w:sz w:val="21"/>
          <w:szCs w:val="21"/>
          <w:highlight w:val="none"/>
          <w:lang w:eastAsia="zh-CN"/>
        </w:rPr>
        <w:t>填写并</w:t>
      </w:r>
      <w:r>
        <w:rPr>
          <w:rFonts w:hint="eastAsia" w:ascii="宋体" w:hAnsi="宋体"/>
          <w:color w:val="auto"/>
          <w:highlight w:val="none"/>
        </w:rPr>
        <w:t>写明偏离情况；</w:t>
      </w:r>
    </w:p>
    <w:p w14:paraId="3B5EBF54">
      <w:pPr>
        <w:widowControl/>
        <w:spacing w:line="360" w:lineRule="auto"/>
        <w:jc w:val="left"/>
        <w:rPr>
          <w:rFonts w:hAnsi="宋体"/>
          <w:color w:val="auto"/>
        </w:rPr>
      </w:pPr>
      <w:r>
        <w:rPr>
          <w:rFonts w:hint="eastAsia" w:ascii="宋体" w:hAnsi="宋体" w:eastAsia="宋体" w:cs="宋体"/>
          <w:color w:val="auto"/>
          <w:sz w:val="21"/>
          <w:szCs w:val="21"/>
          <w:highlight w:val="none"/>
          <w:lang w:val="en-US" w:eastAsia="zh-CN"/>
        </w:rPr>
        <w:t>2.</w:t>
      </w:r>
      <w:r>
        <w:rPr>
          <w:rFonts w:hint="eastAsia" w:hAnsi="宋体" w:cs="Times New Roman"/>
          <w:color w:val="auto"/>
          <w:kern w:val="2"/>
          <w:szCs w:val="20"/>
        </w:rPr>
        <w:t>供应商</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eastAsia="zh-CN"/>
        </w:rPr>
        <w:t>竞</w:t>
      </w:r>
      <w:r>
        <w:rPr>
          <w:rFonts w:hint="eastAsia" w:ascii="宋体" w:hAnsi="宋体" w:eastAsia="宋体" w:cs="宋体"/>
          <w:color w:val="auto"/>
          <w:sz w:val="21"/>
          <w:szCs w:val="21"/>
          <w:highlight w:val="none"/>
        </w:rPr>
        <w:t>标内容与采购要求无偏离时，请在偏离表中填写“无偏离”；若</w:t>
      </w:r>
      <w:r>
        <w:rPr>
          <w:rFonts w:hint="eastAsia" w:hAnsi="宋体" w:cs="宋体"/>
          <w:color w:val="auto"/>
          <w:sz w:val="21"/>
          <w:szCs w:val="21"/>
          <w:highlight w:val="none"/>
          <w:lang w:eastAsia="zh-CN"/>
        </w:rPr>
        <w:t>竞</w:t>
      </w:r>
      <w:r>
        <w:rPr>
          <w:rFonts w:hint="eastAsia" w:ascii="宋体" w:hAnsi="宋体" w:eastAsia="宋体" w:cs="宋体"/>
          <w:color w:val="auto"/>
          <w:sz w:val="21"/>
          <w:szCs w:val="21"/>
          <w:highlight w:val="none"/>
        </w:rPr>
        <w:t>标内容优于采购要求无偏离时，请在偏离表中填写“正偏离”；若内容低于采购要求无偏离时，请在偏离表中填写“负偏离”）。</w:t>
      </w:r>
      <w:r>
        <w:rPr>
          <w:rFonts w:hAnsi="宋体"/>
          <w:color w:val="auto"/>
        </w:rPr>
        <w:br w:type="page"/>
      </w:r>
    </w:p>
    <w:p w14:paraId="336DD40C">
      <w:pPr>
        <w:pStyle w:val="64"/>
        <w:rPr>
          <w:rFonts w:hAnsi="宋体"/>
          <w:color w:val="auto"/>
        </w:rPr>
      </w:pPr>
    </w:p>
    <w:p w14:paraId="1F29EEA8">
      <w:pPr>
        <w:pStyle w:val="4"/>
        <w:rPr>
          <w:rFonts w:ascii="宋体" w:hAnsi="宋体" w:eastAsia="宋体"/>
          <w:color w:val="auto"/>
          <w:sz w:val="28"/>
          <w:szCs w:val="28"/>
        </w:rPr>
      </w:pPr>
      <w:r>
        <w:rPr>
          <w:rFonts w:hint="eastAsia" w:ascii="宋体" w:hAnsi="宋体" w:eastAsia="宋体" w:cs="宋体"/>
          <w:color w:val="auto"/>
          <w:sz w:val="28"/>
          <w:szCs w:val="28"/>
        </w:rPr>
        <w:t>二、资格审查部分</w:t>
      </w:r>
    </w:p>
    <w:p w14:paraId="3CC5E6E9">
      <w:pPr>
        <w:pStyle w:val="4"/>
        <w:jc w:val="center"/>
        <w:rPr>
          <w:rFonts w:ascii="宋体" w:hAnsi="宋体" w:eastAsia="宋体"/>
          <w:color w:val="auto"/>
          <w:sz w:val="24"/>
          <w:szCs w:val="24"/>
        </w:rPr>
      </w:pPr>
      <w:r>
        <w:rPr>
          <w:rFonts w:hint="eastAsia" w:ascii="宋体" w:hAnsi="宋体" w:eastAsia="宋体" w:cs="宋体"/>
          <w:color w:val="auto"/>
          <w:sz w:val="24"/>
          <w:szCs w:val="24"/>
        </w:rPr>
        <w:t>（一）法定代表人（负责人）身份证明</w:t>
      </w:r>
    </w:p>
    <w:p w14:paraId="5BBE90EB">
      <w:pPr>
        <w:spacing w:line="480" w:lineRule="auto"/>
        <w:jc w:val="center"/>
        <w:rPr>
          <w:rFonts w:hAnsi="宋体"/>
          <w:b/>
          <w:color w:val="auto"/>
          <w:kern w:val="2"/>
          <w:sz w:val="28"/>
          <w:szCs w:val="28"/>
        </w:rPr>
      </w:pPr>
    </w:p>
    <w:p w14:paraId="537B408D">
      <w:pPr>
        <w:spacing w:line="560" w:lineRule="exact"/>
        <w:rPr>
          <w:rFonts w:hAnsi="宋体"/>
          <w:color w:val="auto"/>
          <w:kern w:val="2"/>
        </w:rPr>
      </w:pPr>
      <w:r>
        <w:rPr>
          <w:rFonts w:hint="eastAsia" w:hAnsi="宋体"/>
          <w:color w:val="auto"/>
          <w:kern w:val="2"/>
        </w:rPr>
        <w:t>供</w:t>
      </w:r>
      <w:r>
        <w:rPr>
          <w:rFonts w:hAnsi="宋体"/>
          <w:color w:val="auto"/>
          <w:kern w:val="2"/>
        </w:rPr>
        <w:t xml:space="preserve"> </w:t>
      </w:r>
      <w:r>
        <w:rPr>
          <w:rFonts w:hint="eastAsia" w:hAnsi="宋体"/>
          <w:color w:val="auto"/>
          <w:kern w:val="2"/>
        </w:rPr>
        <w:t>应</w:t>
      </w:r>
      <w:r>
        <w:rPr>
          <w:rFonts w:hAnsi="宋体"/>
          <w:color w:val="auto"/>
          <w:kern w:val="2"/>
        </w:rPr>
        <w:t xml:space="preserve"> </w:t>
      </w:r>
      <w:r>
        <w:rPr>
          <w:rFonts w:hint="eastAsia" w:hAnsi="宋体"/>
          <w:color w:val="auto"/>
          <w:kern w:val="2"/>
        </w:rPr>
        <w:t>商：</w:t>
      </w:r>
      <w:r>
        <w:rPr>
          <w:rFonts w:hAnsi="宋体"/>
          <w:color w:val="auto"/>
          <w:kern w:val="2"/>
          <w:u w:val="single"/>
        </w:rPr>
        <w:t xml:space="preserve">                                                        </w:t>
      </w:r>
    </w:p>
    <w:p w14:paraId="0CDF12F9">
      <w:pPr>
        <w:spacing w:line="560" w:lineRule="exact"/>
        <w:rPr>
          <w:rFonts w:hAnsi="宋体"/>
          <w:color w:val="auto"/>
          <w:kern w:val="2"/>
        </w:rPr>
      </w:pPr>
      <w:r>
        <w:rPr>
          <w:rFonts w:hint="eastAsia" w:hAnsi="宋体"/>
          <w:color w:val="auto"/>
          <w:kern w:val="2"/>
        </w:rPr>
        <w:t>单位性质：</w:t>
      </w:r>
      <w:r>
        <w:rPr>
          <w:rFonts w:hAnsi="宋体"/>
          <w:color w:val="auto"/>
          <w:kern w:val="2"/>
          <w:u w:val="single"/>
        </w:rPr>
        <w:t xml:space="preserve">                                                        </w:t>
      </w:r>
    </w:p>
    <w:p w14:paraId="0D4D5BC2">
      <w:pPr>
        <w:spacing w:line="560" w:lineRule="exact"/>
        <w:rPr>
          <w:rFonts w:hAnsi="宋体"/>
          <w:color w:val="auto"/>
          <w:kern w:val="2"/>
        </w:rPr>
      </w:pPr>
      <w:r>
        <w:rPr>
          <w:rFonts w:hint="eastAsia" w:hAnsi="宋体"/>
          <w:color w:val="auto"/>
          <w:kern w:val="2"/>
        </w:rPr>
        <w:t>地</w:t>
      </w:r>
      <w:r>
        <w:rPr>
          <w:rFonts w:hAnsi="宋体"/>
          <w:color w:val="auto"/>
          <w:kern w:val="2"/>
        </w:rPr>
        <w:t xml:space="preserve">    </w:t>
      </w:r>
      <w:r>
        <w:rPr>
          <w:rFonts w:hint="eastAsia" w:hAnsi="宋体"/>
          <w:color w:val="auto"/>
          <w:kern w:val="2"/>
        </w:rPr>
        <w:t>址：</w:t>
      </w:r>
      <w:r>
        <w:rPr>
          <w:rFonts w:hAnsi="宋体"/>
          <w:color w:val="auto"/>
          <w:kern w:val="2"/>
          <w:u w:val="single"/>
        </w:rPr>
        <w:t xml:space="preserve">                                                        </w:t>
      </w:r>
    </w:p>
    <w:p w14:paraId="12D8C667">
      <w:pPr>
        <w:spacing w:line="560" w:lineRule="exact"/>
        <w:rPr>
          <w:rFonts w:hAnsi="宋体"/>
          <w:color w:val="auto"/>
          <w:kern w:val="2"/>
        </w:rPr>
      </w:pPr>
      <w:r>
        <w:rPr>
          <w:rFonts w:hint="eastAsia" w:hAnsi="宋体"/>
          <w:color w:val="auto"/>
          <w:kern w:val="2"/>
        </w:rPr>
        <w:t>成立时间：</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5B133BD3">
      <w:pPr>
        <w:spacing w:line="560" w:lineRule="exact"/>
        <w:rPr>
          <w:rFonts w:hAnsi="宋体"/>
          <w:color w:val="auto"/>
          <w:kern w:val="2"/>
        </w:rPr>
      </w:pPr>
      <w:r>
        <w:rPr>
          <w:rFonts w:hint="eastAsia" w:hAnsi="宋体"/>
          <w:color w:val="auto"/>
          <w:kern w:val="2"/>
        </w:rPr>
        <w:t>经营期限：</w:t>
      </w:r>
      <w:r>
        <w:rPr>
          <w:rFonts w:hAnsi="宋体"/>
          <w:color w:val="auto"/>
          <w:kern w:val="2"/>
          <w:u w:val="single"/>
        </w:rPr>
        <w:t xml:space="preserve">                                                        </w:t>
      </w:r>
    </w:p>
    <w:p w14:paraId="1E03DA32">
      <w:pPr>
        <w:spacing w:line="560" w:lineRule="exact"/>
        <w:rPr>
          <w:rFonts w:hAnsi="宋体"/>
          <w:color w:val="auto"/>
          <w:kern w:val="2"/>
        </w:rPr>
      </w:pPr>
      <w:r>
        <w:rPr>
          <w:rFonts w:hint="eastAsia" w:hAnsi="宋体"/>
          <w:color w:val="auto"/>
          <w:kern w:val="2"/>
        </w:rPr>
        <w:t>姓</w:t>
      </w:r>
      <w:r>
        <w:rPr>
          <w:rFonts w:hAnsi="宋体"/>
          <w:color w:val="auto"/>
          <w:kern w:val="2"/>
        </w:rPr>
        <w:t xml:space="preserve">    </w:t>
      </w:r>
      <w:r>
        <w:rPr>
          <w:rFonts w:hint="eastAsia" w:hAnsi="宋体"/>
          <w:color w:val="auto"/>
          <w:kern w:val="2"/>
        </w:rPr>
        <w:t>名：</w:t>
      </w:r>
      <w:r>
        <w:rPr>
          <w:rFonts w:hAnsi="宋体"/>
          <w:color w:val="auto"/>
          <w:kern w:val="2"/>
          <w:u w:val="single"/>
        </w:rPr>
        <w:t xml:space="preserve">                          </w:t>
      </w:r>
      <w:r>
        <w:rPr>
          <w:rFonts w:hint="eastAsia" w:hAnsi="宋体"/>
          <w:color w:val="auto"/>
          <w:kern w:val="2"/>
        </w:rPr>
        <w:t>性</w:t>
      </w:r>
      <w:r>
        <w:rPr>
          <w:rFonts w:hAnsi="宋体"/>
          <w:color w:val="auto"/>
          <w:kern w:val="2"/>
        </w:rPr>
        <w:t xml:space="preserve">     </w:t>
      </w:r>
      <w:r>
        <w:rPr>
          <w:rFonts w:hint="eastAsia" w:hAnsi="宋体"/>
          <w:color w:val="auto"/>
          <w:kern w:val="2"/>
        </w:rPr>
        <w:t>别：</w:t>
      </w:r>
      <w:r>
        <w:rPr>
          <w:rFonts w:hAnsi="宋体"/>
          <w:color w:val="auto"/>
          <w:kern w:val="2"/>
          <w:u w:val="single"/>
        </w:rPr>
        <w:t xml:space="preserve">                   </w:t>
      </w:r>
    </w:p>
    <w:p w14:paraId="234E520A">
      <w:pPr>
        <w:spacing w:line="560" w:lineRule="exact"/>
        <w:rPr>
          <w:rFonts w:hAnsi="宋体"/>
          <w:color w:val="auto"/>
          <w:kern w:val="2"/>
          <w:u w:val="single"/>
        </w:rPr>
      </w:pPr>
      <w:r>
        <w:rPr>
          <w:rFonts w:hint="eastAsia" w:hAnsi="宋体"/>
          <w:color w:val="auto"/>
          <w:kern w:val="2"/>
        </w:rPr>
        <w:t>年</w:t>
      </w:r>
      <w:r>
        <w:rPr>
          <w:rFonts w:hAnsi="宋体"/>
          <w:color w:val="auto"/>
          <w:kern w:val="2"/>
        </w:rPr>
        <w:t xml:space="preserve">    </w:t>
      </w:r>
      <w:r>
        <w:rPr>
          <w:rFonts w:hint="eastAsia" w:hAnsi="宋体"/>
          <w:color w:val="auto"/>
          <w:kern w:val="2"/>
        </w:rPr>
        <w:t>龄：</w:t>
      </w:r>
      <w:r>
        <w:rPr>
          <w:rFonts w:hAnsi="宋体"/>
          <w:color w:val="auto"/>
          <w:kern w:val="2"/>
          <w:u w:val="single"/>
        </w:rPr>
        <w:t xml:space="preserve">                          </w:t>
      </w:r>
      <w:r>
        <w:rPr>
          <w:rFonts w:hint="eastAsia" w:hAnsi="宋体"/>
          <w:color w:val="auto"/>
          <w:kern w:val="2"/>
        </w:rPr>
        <w:t>职</w:t>
      </w:r>
      <w:r>
        <w:rPr>
          <w:rFonts w:hAnsi="宋体"/>
          <w:color w:val="auto"/>
          <w:kern w:val="2"/>
        </w:rPr>
        <w:t xml:space="preserve">     </w:t>
      </w:r>
      <w:r>
        <w:rPr>
          <w:rFonts w:hint="eastAsia" w:hAnsi="宋体"/>
          <w:color w:val="auto"/>
          <w:kern w:val="2"/>
        </w:rPr>
        <w:t>务：</w:t>
      </w:r>
      <w:r>
        <w:rPr>
          <w:rFonts w:hAnsi="宋体"/>
          <w:color w:val="auto"/>
          <w:kern w:val="2"/>
          <w:u w:val="single"/>
        </w:rPr>
        <w:t xml:space="preserve">                   </w:t>
      </w:r>
    </w:p>
    <w:p w14:paraId="3DA948EF">
      <w:pPr>
        <w:spacing w:line="560" w:lineRule="exact"/>
        <w:rPr>
          <w:rFonts w:hAnsi="宋体"/>
          <w:color w:val="auto"/>
          <w:kern w:val="2"/>
          <w:u w:val="single"/>
        </w:rPr>
      </w:pPr>
      <w:r>
        <w:rPr>
          <w:rFonts w:hint="eastAsia" w:hAnsi="宋体"/>
          <w:color w:val="auto"/>
          <w:kern w:val="2"/>
        </w:rPr>
        <w:t>身份证号：</w:t>
      </w:r>
      <w:r>
        <w:rPr>
          <w:rFonts w:hAnsi="宋体"/>
          <w:color w:val="auto"/>
          <w:kern w:val="2"/>
          <w:u w:val="single"/>
        </w:rPr>
        <w:t xml:space="preserve">                           </w:t>
      </w:r>
    </w:p>
    <w:p w14:paraId="38DA0992">
      <w:pPr>
        <w:spacing w:line="560" w:lineRule="exact"/>
        <w:rPr>
          <w:rFonts w:hAnsi="宋体"/>
          <w:color w:val="auto"/>
          <w:kern w:val="2"/>
        </w:rPr>
      </w:pPr>
      <w:r>
        <w:rPr>
          <w:rFonts w:hint="eastAsia" w:hAnsi="宋体"/>
          <w:color w:val="auto"/>
          <w:kern w:val="2"/>
        </w:rPr>
        <w:t>系</w:t>
      </w:r>
      <w:r>
        <w:rPr>
          <w:rFonts w:hAnsi="宋体"/>
          <w:color w:val="auto"/>
          <w:kern w:val="2"/>
          <w:u w:val="single"/>
        </w:rPr>
        <w:t xml:space="preserve">                                                 </w:t>
      </w:r>
      <w:r>
        <w:rPr>
          <w:rFonts w:hint="eastAsia" w:hAnsi="宋体"/>
          <w:color w:val="auto"/>
          <w:kern w:val="2"/>
        </w:rPr>
        <w:t>（供应商名称）的法定代表人（负责人）。</w:t>
      </w:r>
    </w:p>
    <w:p w14:paraId="16E6E46D">
      <w:pPr>
        <w:spacing w:line="560" w:lineRule="exact"/>
        <w:rPr>
          <w:rFonts w:hAnsi="宋体"/>
          <w:color w:val="auto"/>
          <w:kern w:val="2"/>
        </w:rPr>
      </w:pPr>
      <w:r>
        <w:rPr>
          <w:rFonts w:hint="eastAsia" w:hAnsi="宋体"/>
          <w:color w:val="auto"/>
          <w:kern w:val="2"/>
        </w:rPr>
        <w:t>特此证明。</w:t>
      </w:r>
    </w:p>
    <w:p w14:paraId="3212C83A">
      <w:pPr>
        <w:spacing w:line="500" w:lineRule="exact"/>
        <w:rPr>
          <w:rFonts w:hAnsi="宋体"/>
          <w:color w:val="auto"/>
          <w:kern w:val="2"/>
        </w:rPr>
      </w:pPr>
    </w:p>
    <w:p w14:paraId="37D4076B">
      <w:pPr>
        <w:spacing w:line="500" w:lineRule="exact"/>
        <w:rPr>
          <w:rFonts w:hAnsi="宋体"/>
          <w:color w:val="auto"/>
          <w:kern w:val="2"/>
        </w:rPr>
      </w:pPr>
    </w:p>
    <w:p w14:paraId="2F3DFCDB">
      <w:pPr>
        <w:spacing w:line="480" w:lineRule="exact"/>
        <w:ind w:left="0" w:leftChars="0" w:firstLine="5258" w:firstLineChars="2504"/>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5352BE80">
      <w:pPr>
        <w:wordWrap w:val="0"/>
        <w:spacing w:line="500" w:lineRule="exact"/>
        <w:jc w:val="center"/>
        <w:rPr>
          <w:rFonts w:hAnsi="宋体"/>
          <w:color w:val="auto"/>
          <w:kern w:val="2"/>
        </w:rPr>
      </w:pPr>
      <w:r>
        <w:rPr>
          <w:rFonts w:hint="eastAsia" w:hAnsi="宋体"/>
          <w:color w:val="auto"/>
          <w:kern w:val="2"/>
          <w:lang w:val="en-US" w:eastAsia="zh-CN"/>
        </w:rPr>
        <w:t xml:space="preserve">                                              </w:t>
      </w: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5F18BA4D">
      <w:pPr>
        <w:widowControl/>
        <w:jc w:val="left"/>
        <w:rPr>
          <w:rFonts w:hAnsi="宋体"/>
          <w:color w:val="auto"/>
        </w:rPr>
      </w:pPr>
    </w:p>
    <w:p w14:paraId="35CED5F5">
      <w:pPr>
        <w:widowControl/>
        <w:jc w:val="left"/>
        <w:rPr>
          <w:rFonts w:hAnsi="宋体"/>
          <w:color w:val="auto"/>
        </w:rPr>
      </w:pPr>
    </w:p>
    <w:p w14:paraId="3C6172FC">
      <w:pPr>
        <w:widowControl/>
        <w:jc w:val="left"/>
        <w:rPr>
          <w:rFonts w:hAnsi="宋体"/>
          <w:color w:val="auto"/>
        </w:rPr>
      </w:pPr>
      <w:r>
        <w:rPr>
          <w:rFonts w:hint="eastAsia" w:hAnsi="宋体"/>
          <w:b/>
          <w:color w:val="auto"/>
        </w:rPr>
        <w:t>附：加盖供应商单位公章的法定代表人（负责人）二代居民身份证扫描件。</w:t>
      </w:r>
    </w:p>
    <w:p w14:paraId="5C8CA22A">
      <w:pPr>
        <w:widowControl/>
        <w:jc w:val="left"/>
        <w:rPr>
          <w:rFonts w:hAnsi="宋体"/>
          <w:b/>
          <w:bCs/>
          <w:color w:val="auto"/>
          <w:szCs w:val="32"/>
        </w:rPr>
      </w:pPr>
      <w:r>
        <w:rPr>
          <w:rFonts w:hAnsi="宋体"/>
          <w:color w:val="auto"/>
        </w:rPr>
        <w:br w:type="page"/>
      </w:r>
    </w:p>
    <w:p w14:paraId="2969984A">
      <w:pPr>
        <w:pStyle w:val="4"/>
        <w:jc w:val="center"/>
        <w:rPr>
          <w:rFonts w:ascii="宋体" w:hAnsi="宋体" w:eastAsia="宋体"/>
          <w:color w:val="auto"/>
          <w:sz w:val="24"/>
          <w:szCs w:val="24"/>
        </w:rPr>
      </w:pPr>
      <w:r>
        <w:rPr>
          <w:rFonts w:hint="eastAsia" w:ascii="宋体" w:hAnsi="宋体" w:eastAsia="宋体" w:cs="宋体"/>
          <w:color w:val="auto"/>
          <w:sz w:val="24"/>
          <w:szCs w:val="24"/>
        </w:rPr>
        <w:t>（二）法定代表人（负责人）授权委托书</w:t>
      </w:r>
    </w:p>
    <w:p w14:paraId="0D095CFF">
      <w:pPr>
        <w:autoSpaceDE w:val="0"/>
        <w:autoSpaceDN w:val="0"/>
        <w:adjustRightInd w:val="0"/>
        <w:jc w:val="center"/>
        <w:rPr>
          <w:rFonts w:hAnsi="宋体"/>
          <w:b/>
          <w:color w:val="auto"/>
        </w:rPr>
      </w:pPr>
    </w:p>
    <w:p w14:paraId="0C96062B">
      <w:pPr>
        <w:autoSpaceDE w:val="0"/>
        <w:autoSpaceDN w:val="0"/>
        <w:adjustRightInd w:val="0"/>
        <w:rPr>
          <w:rFonts w:hAnsi="宋体"/>
          <w:b/>
          <w:color w:val="auto"/>
        </w:rPr>
      </w:pPr>
    </w:p>
    <w:p w14:paraId="61AD1785">
      <w:pPr>
        <w:autoSpaceDE w:val="0"/>
        <w:autoSpaceDN w:val="0"/>
        <w:adjustRightInd w:val="0"/>
        <w:rPr>
          <w:rFonts w:hAnsi="宋体"/>
          <w:b/>
          <w:color w:val="auto"/>
        </w:rPr>
      </w:pPr>
    </w:p>
    <w:p w14:paraId="551429D3">
      <w:pPr>
        <w:autoSpaceDE w:val="0"/>
        <w:autoSpaceDN w:val="0"/>
        <w:adjustRightInd w:val="0"/>
        <w:spacing w:line="480" w:lineRule="auto"/>
        <w:jc w:val="left"/>
        <w:rPr>
          <w:rFonts w:hAnsi="宋体"/>
          <w:color w:val="auto"/>
        </w:rPr>
      </w:pPr>
      <w:r>
        <w:rPr>
          <w:rFonts w:hint="eastAsia" w:hAnsi="宋体"/>
          <w:color w:val="auto"/>
        </w:rPr>
        <w:t>本人</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（姓名）系</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（供应商名称）的法定代表人（负责人），现委托</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（姓名）为我方代理人。代理人根据授权，以我方名义签署、澄清、说明、补正、递交、撤回、修改</w:t>
      </w:r>
      <w:r>
        <w:rPr>
          <w:rFonts w:hAnsi="宋体"/>
          <w:color w:val="auto"/>
        </w:rPr>
        <w:t xml:space="preserve"> </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u w:val="single"/>
        </w:rPr>
        <w:t>（项目名称）（项目编号）</w:t>
      </w:r>
      <w:r>
        <w:rPr>
          <w:rFonts w:hint="eastAsia" w:hAnsi="宋体"/>
          <w:color w:val="auto"/>
        </w:rPr>
        <w:t>响应文件、签订合同和处理有关事宜，其法律后果由我方承担。</w:t>
      </w:r>
    </w:p>
    <w:p w14:paraId="3FA606E6">
      <w:pPr>
        <w:autoSpaceDE w:val="0"/>
        <w:autoSpaceDN w:val="0"/>
        <w:adjustRightInd w:val="0"/>
        <w:spacing w:line="480" w:lineRule="auto"/>
        <w:jc w:val="left"/>
        <w:rPr>
          <w:rFonts w:hAnsi="宋体"/>
          <w:color w:val="auto"/>
        </w:rPr>
      </w:pPr>
      <w:r>
        <w:rPr>
          <w:rFonts w:hint="eastAsia" w:hAnsi="宋体"/>
          <w:color w:val="auto"/>
        </w:rPr>
        <w:t>委托期限：</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int="eastAsia" w:hAnsi="宋体"/>
          <w:color w:val="auto"/>
        </w:rPr>
        <w:t>。</w:t>
      </w:r>
    </w:p>
    <w:p w14:paraId="18193E6C">
      <w:pPr>
        <w:autoSpaceDE w:val="0"/>
        <w:autoSpaceDN w:val="0"/>
        <w:adjustRightInd w:val="0"/>
        <w:spacing w:line="480" w:lineRule="auto"/>
        <w:jc w:val="left"/>
        <w:rPr>
          <w:rFonts w:hAnsi="宋体"/>
          <w:color w:val="auto"/>
        </w:rPr>
      </w:pPr>
      <w:r>
        <w:rPr>
          <w:rFonts w:hint="eastAsia" w:hAnsi="宋体"/>
          <w:color w:val="auto"/>
        </w:rPr>
        <w:t>代理人无转委托权。</w:t>
      </w:r>
    </w:p>
    <w:p w14:paraId="7C8D80C7">
      <w:pPr>
        <w:autoSpaceDE w:val="0"/>
        <w:autoSpaceDN w:val="0"/>
        <w:adjustRightInd w:val="0"/>
        <w:spacing w:line="480" w:lineRule="auto"/>
        <w:jc w:val="left"/>
        <w:rPr>
          <w:rFonts w:hAnsi="宋体"/>
          <w:b/>
          <w:color w:val="auto"/>
        </w:rPr>
      </w:pPr>
    </w:p>
    <w:p w14:paraId="310449DF">
      <w:pPr>
        <w:pStyle w:val="25"/>
        <w:keepNext w:val="0"/>
        <w:keepLines w:val="0"/>
        <w:pageBreakBefore w:val="0"/>
        <w:widowControl w:val="0"/>
        <w:kinsoku/>
        <w:wordWrap/>
        <w:overflowPunct/>
        <w:topLinePunct w:val="0"/>
        <w:bidi w:val="0"/>
        <w:snapToGrid/>
        <w:spacing w:line="480" w:lineRule="auto"/>
        <w:textAlignment w:val="auto"/>
        <w:rPr>
          <w:rFonts w:hAnsi="宋体"/>
          <w:color w:val="auto"/>
        </w:rPr>
      </w:pPr>
      <w:r>
        <w:rPr>
          <w:rFonts w:hint="eastAsia" w:hAnsi="宋体"/>
          <w:color w:val="auto"/>
        </w:rPr>
        <w:t>供应商</w:t>
      </w:r>
      <w:r>
        <w:rPr>
          <w:rFonts w:hint="eastAsia" w:hAnsi="宋体"/>
          <w:color w:val="auto"/>
          <w:szCs w:val="21"/>
          <w:highlight w:val="none"/>
        </w:rPr>
        <w:t>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1FAF773E">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rPr>
        <w:t>法定代表人（负责人）：</w:t>
      </w:r>
      <w:r>
        <w:rPr>
          <w:rFonts w:hAnsi="宋体"/>
          <w:color w:val="auto"/>
          <w:u w:val="single"/>
        </w:rPr>
        <w:t xml:space="preserve">                       </w:t>
      </w:r>
      <w:r>
        <w:rPr>
          <w:rFonts w:hint="eastAsia" w:hAnsi="宋体"/>
          <w:color w:val="auto"/>
        </w:rPr>
        <w:t>（签字或盖章）</w:t>
      </w:r>
    </w:p>
    <w:p w14:paraId="0E3A41BF">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u w:val="single"/>
        </w:rPr>
      </w:pPr>
      <w:r>
        <w:rPr>
          <w:rFonts w:hint="eastAsia" w:hAnsi="宋体"/>
          <w:color w:val="auto"/>
        </w:rPr>
        <w:t>身份证号码：</w:t>
      </w:r>
      <w:r>
        <w:rPr>
          <w:rFonts w:hAnsi="宋体"/>
          <w:color w:val="auto"/>
          <w:u w:val="single"/>
        </w:rPr>
        <w:t xml:space="preserve">                         </w:t>
      </w:r>
      <w:r>
        <w:rPr>
          <w:rFonts w:hAnsi="宋体"/>
          <w:color w:val="auto"/>
        </w:rPr>
        <w:t xml:space="preserve"> </w:t>
      </w:r>
    </w:p>
    <w:p w14:paraId="4433E23A">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rPr>
        <w:t>委托代理人：</w:t>
      </w:r>
      <w:r>
        <w:rPr>
          <w:rFonts w:hAnsi="宋体"/>
          <w:color w:val="auto"/>
        </w:rPr>
        <w:t xml:space="preserve"> </w:t>
      </w:r>
      <w:r>
        <w:rPr>
          <w:rFonts w:hAnsi="宋体"/>
          <w:color w:val="auto"/>
          <w:u w:val="single"/>
        </w:rPr>
        <w:t xml:space="preserve">                        </w:t>
      </w:r>
      <w:r>
        <w:rPr>
          <w:rFonts w:hint="eastAsia" w:hAnsi="宋体"/>
          <w:color w:val="auto"/>
        </w:rPr>
        <w:t>（签字）</w:t>
      </w:r>
    </w:p>
    <w:p w14:paraId="660D0566">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u w:val="single"/>
        </w:rPr>
      </w:pPr>
      <w:r>
        <w:rPr>
          <w:rFonts w:hint="eastAsia" w:hAnsi="宋体"/>
          <w:color w:val="auto"/>
        </w:rPr>
        <w:t>身份证号码：</w:t>
      </w:r>
      <w:r>
        <w:rPr>
          <w:rFonts w:hAnsi="宋体"/>
          <w:color w:val="auto"/>
          <w:u w:val="single"/>
        </w:rPr>
        <w:t xml:space="preserve">                         </w:t>
      </w:r>
      <w:r>
        <w:rPr>
          <w:rFonts w:hAnsi="宋体"/>
          <w:color w:val="auto"/>
        </w:rPr>
        <w:t xml:space="preserve"> </w:t>
      </w:r>
    </w:p>
    <w:p w14:paraId="40D3B459">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Ansi="宋体"/>
          <w:color w:val="auto"/>
        </w:rPr>
      </w:pPr>
      <w:r>
        <w:rPr>
          <w:rFonts w:hint="eastAsia" w:hAnsi="宋体"/>
          <w:color w:val="auto"/>
          <w:kern w:val="2"/>
        </w:rPr>
        <w:t>日期：</w:t>
      </w: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w:t>
      </w:r>
    </w:p>
    <w:p w14:paraId="72D31532">
      <w:pPr>
        <w:widowControl/>
        <w:jc w:val="left"/>
        <w:rPr>
          <w:rFonts w:hAnsi="宋体"/>
          <w:color w:val="auto"/>
        </w:rPr>
      </w:pPr>
    </w:p>
    <w:p w14:paraId="1810E873">
      <w:pPr>
        <w:autoSpaceDE w:val="0"/>
        <w:autoSpaceDN w:val="0"/>
        <w:adjustRightInd w:val="0"/>
        <w:spacing w:line="320" w:lineRule="exact"/>
        <w:jc w:val="left"/>
        <w:rPr>
          <w:rFonts w:hAnsi="宋体"/>
          <w:color w:val="auto"/>
        </w:rPr>
      </w:pPr>
      <w:r>
        <w:rPr>
          <w:rFonts w:hint="eastAsia" w:hAnsi="宋体"/>
          <w:b/>
          <w:color w:val="auto"/>
        </w:rPr>
        <w:t>附：加盖供应商单位公章的委托代理人二代居民身份证扫描件</w:t>
      </w:r>
    </w:p>
    <w:p w14:paraId="75BC62DD">
      <w:pPr>
        <w:widowControl/>
        <w:jc w:val="left"/>
        <w:rPr>
          <w:rFonts w:hAnsi="宋体"/>
          <w:b/>
          <w:bCs/>
          <w:color w:val="auto"/>
          <w:sz w:val="24"/>
          <w:szCs w:val="24"/>
        </w:rPr>
      </w:pPr>
      <w:r>
        <w:rPr>
          <w:rFonts w:hAnsi="宋体"/>
          <w:b/>
          <w:color w:val="auto"/>
          <w:sz w:val="24"/>
          <w:szCs w:val="24"/>
        </w:rPr>
        <w:br w:type="page"/>
      </w:r>
    </w:p>
    <w:p w14:paraId="504C2E83">
      <w:pPr>
        <w:pStyle w:val="4"/>
        <w:jc w:val="center"/>
        <w:rPr>
          <w:rFonts w:ascii="宋体" w:hAnsi="宋体" w:eastAsia="宋体"/>
          <w:color w:val="auto"/>
          <w:sz w:val="24"/>
          <w:szCs w:val="24"/>
        </w:rPr>
      </w:pPr>
      <w:r>
        <w:rPr>
          <w:rFonts w:hint="eastAsia" w:ascii="宋体" w:hAnsi="宋体" w:eastAsia="宋体" w:cs="宋体"/>
          <w:color w:val="auto"/>
          <w:sz w:val="24"/>
          <w:szCs w:val="24"/>
        </w:rPr>
        <w:t>（三）供应商基本情况表</w:t>
      </w:r>
    </w:p>
    <w:tbl>
      <w:tblPr>
        <w:tblStyle w:val="48"/>
        <w:tblW w:w="0" w:type="auto"/>
        <w:jc w:val="center"/>
        <w:tblLayout w:type="fixed"/>
        <w:tblCellMar>
          <w:top w:w="0" w:type="dxa"/>
          <w:left w:w="108" w:type="dxa"/>
          <w:bottom w:w="0" w:type="dxa"/>
          <w:right w:w="108" w:type="dxa"/>
        </w:tblCellMar>
      </w:tblPr>
      <w:tblGrid>
        <w:gridCol w:w="1598"/>
        <w:gridCol w:w="929"/>
        <w:gridCol w:w="929"/>
        <w:gridCol w:w="1486"/>
        <w:gridCol w:w="1300"/>
        <w:gridCol w:w="1254"/>
        <w:gridCol w:w="1963"/>
      </w:tblGrid>
      <w:tr w14:paraId="0A20B51B">
        <w:tblPrEx>
          <w:tblCellMar>
            <w:top w:w="0" w:type="dxa"/>
            <w:left w:w="108" w:type="dxa"/>
            <w:bottom w:w="0" w:type="dxa"/>
            <w:right w:w="108" w:type="dxa"/>
          </w:tblCellMar>
        </w:tblPrEx>
        <w:trPr>
          <w:trHeight w:val="655"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6946517">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eastAsia="zh-CN" w:bidi="ar"/>
              </w:rPr>
              <w:t>供应商</w:t>
            </w:r>
            <w:r>
              <w:rPr>
                <w:rFonts w:hint="eastAsia" w:hAnsi="宋体" w:cs="宋体"/>
                <w:color w:val="auto"/>
                <w:spacing w:val="2"/>
                <w:kern w:val="0"/>
                <w:szCs w:val="21"/>
                <w:highlight w:val="none"/>
                <w:lang w:bidi="ar"/>
              </w:rPr>
              <w:t>名称</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25F6DA4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5D501891">
        <w:tblPrEx>
          <w:tblCellMar>
            <w:top w:w="0" w:type="dxa"/>
            <w:left w:w="108" w:type="dxa"/>
            <w:bottom w:w="0" w:type="dxa"/>
            <w:right w:w="108" w:type="dxa"/>
          </w:tblCellMar>
        </w:tblPrEx>
        <w:trPr>
          <w:trHeight w:val="611"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3D08216">
            <w:pPr>
              <w:keepNext w:val="0"/>
              <w:keepLines w:val="0"/>
              <w:suppressLineNumbers w:val="0"/>
              <w:spacing w:before="0" w:beforeAutospacing="0" w:after="0" w:afterAutospacing="0"/>
              <w:ind w:left="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注册地址</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111B3F1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E15976C">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4CB49E4">
            <w:pPr>
              <w:keepNext w:val="0"/>
              <w:keepLines w:val="0"/>
              <w:suppressLineNumbers w:val="0"/>
              <w:spacing w:before="0" w:beforeAutospacing="0" w:after="0" w:afterAutospacing="0"/>
              <w:ind w:left="0" w:right="0"/>
              <w:jc w:val="center"/>
              <w:rPr>
                <w:rFonts w:hint="eastAsia" w:hAnsi="宋体" w:eastAsia="宋体" w:cs="宋体"/>
                <w:color w:val="auto"/>
                <w:szCs w:val="21"/>
                <w:highlight w:val="none"/>
                <w:lang w:eastAsia="zh-CN"/>
              </w:rPr>
            </w:pPr>
            <w:r>
              <w:rPr>
                <w:rFonts w:hint="eastAsia" w:hAnsi="宋体" w:cs="宋体"/>
                <w:color w:val="auto"/>
                <w:spacing w:val="2"/>
                <w:kern w:val="0"/>
                <w:szCs w:val="21"/>
                <w:highlight w:val="none"/>
                <w:lang w:eastAsia="zh-CN" w:bidi="ar"/>
              </w:rPr>
              <w:t>法定代表人（负责人）</w:t>
            </w:r>
          </w:p>
          <w:p w14:paraId="65DE9A26">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CC9A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6F49E31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0099708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197F957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E967BB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6A58230E">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1D5F14B4">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技术负责人</w:t>
            </w:r>
          </w:p>
          <w:p w14:paraId="63AA0AA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6719D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4756DB9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6A3225A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20DCACE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CE0E2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1CF48294">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5245CF2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zCs w:val="21"/>
                <w:highlight w:val="none"/>
                <w:lang w:bidi="ar"/>
              </w:rPr>
              <w:t>统一社会信用代码</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B295A7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C81849D">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注册资金</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C96A00">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353AD176">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B4235E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基本账户银行</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61B3D2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3E05F7C8">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账号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FF7BB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D8DE30C">
        <w:tblPrEx>
          <w:tblCellMar>
            <w:top w:w="0" w:type="dxa"/>
            <w:left w:w="108" w:type="dxa"/>
            <w:bottom w:w="0" w:type="dxa"/>
            <w:right w:w="108" w:type="dxa"/>
          </w:tblCellMar>
        </w:tblPrEx>
        <w:trPr>
          <w:trHeight w:val="58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C82608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联系方式</w:t>
            </w: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BCF707">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联系人</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5D89E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7B8146C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电话</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84250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2A150B9">
        <w:tblPrEx>
          <w:tblCellMar>
            <w:top w:w="0" w:type="dxa"/>
            <w:left w:w="108" w:type="dxa"/>
            <w:bottom w:w="0" w:type="dxa"/>
            <w:right w:w="108" w:type="dxa"/>
          </w:tblCellMar>
        </w:tblPrEx>
        <w:trPr>
          <w:cantSplit/>
          <w:trHeight w:val="527"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4C2B35">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228704">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传  真</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A27A7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F413B83">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电子信箱</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94FC5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2D2305B2">
        <w:tblPrEx>
          <w:tblCellMar>
            <w:top w:w="0" w:type="dxa"/>
            <w:left w:w="108" w:type="dxa"/>
            <w:bottom w:w="0" w:type="dxa"/>
            <w:right w:w="108" w:type="dxa"/>
          </w:tblCellMar>
        </w:tblPrEx>
        <w:trPr>
          <w:cantSplit/>
          <w:trHeight w:val="2301" w:hRule="atLeast"/>
          <w:jc w:val="center"/>
        </w:trPr>
        <w:tc>
          <w:tcPr>
            <w:tcW w:w="1598" w:type="dxa"/>
            <w:tcBorders>
              <w:top w:val="single" w:color="auto" w:sz="6" w:space="0"/>
              <w:left w:val="single" w:color="auto" w:sz="6" w:space="0"/>
              <w:bottom w:val="nil"/>
              <w:right w:val="single" w:color="auto" w:sz="6" w:space="0"/>
            </w:tcBorders>
            <w:shd w:val="clear" w:color="auto" w:fill="auto"/>
            <w:vAlign w:val="center"/>
          </w:tcPr>
          <w:p w14:paraId="41A2AF1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经营范围</w:t>
            </w:r>
          </w:p>
        </w:tc>
        <w:tc>
          <w:tcPr>
            <w:tcW w:w="7861" w:type="dxa"/>
            <w:gridSpan w:val="6"/>
            <w:tcBorders>
              <w:top w:val="single" w:color="auto" w:sz="6" w:space="0"/>
              <w:left w:val="single" w:color="auto" w:sz="6" w:space="0"/>
              <w:bottom w:val="nil"/>
              <w:right w:val="single" w:color="auto" w:sz="6" w:space="0"/>
            </w:tcBorders>
            <w:shd w:val="clear" w:color="auto" w:fill="auto"/>
            <w:vAlign w:val="center"/>
          </w:tcPr>
          <w:p w14:paraId="1924A03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721CB0C">
        <w:tblPrEx>
          <w:tblCellMar>
            <w:top w:w="0" w:type="dxa"/>
            <w:left w:w="108" w:type="dxa"/>
            <w:bottom w:w="0" w:type="dxa"/>
            <w:right w:w="108" w:type="dxa"/>
          </w:tblCellMar>
        </w:tblPrEx>
        <w:trPr>
          <w:cantSplit/>
          <w:trHeight w:val="63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39E3B7B">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olor w:val="auto"/>
              </w:rPr>
              <w:t>供应商</w:t>
            </w:r>
            <w:r>
              <w:rPr>
                <w:rFonts w:hint="eastAsia" w:hAnsi="宋体"/>
                <w:color w:val="auto"/>
                <w:szCs w:val="20"/>
                <w:highlight w:val="none"/>
              </w:rPr>
              <w:t>关联企业情况</w:t>
            </w:r>
          </w:p>
        </w:tc>
        <w:tc>
          <w:tcPr>
            <w:tcW w:w="7861" w:type="dxa"/>
            <w:gridSpan w:val="6"/>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rPr>
              <w:t>供应商</w:t>
            </w:r>
            <w:r>
              <w:rPr>
                <w:rFonts w:hint="eastAsia" w:hAnsi="宋体"/>
                <w:color w:val="auto"/>
                <w:szCs w:val="20"/>
                <w:highlight w:val="none"/>
              </w:rPr>
              <w:t>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1</w:t>
            </w:r>
            <w:r>
              <w:rPr>
                <w:rFonts w:hint="eastAsia" w:hAnsi="宋体"/>
                <w:color w:val="auto"/>
                <w:szCs w:val="20"/>
                <w:highlight w:val="none"/>
              </w:rPr>
              <w:t>）</w:t>
            </w:r>
            <w:r>
              <w:rPr>
                <w:rFonts w:hint="eastAsia" w:hAnsi="宋体"/>
                <w:color w:val="auto"/>
                <w:szCs w:val="20"/>
                <w:highlight w:val="none"/>
                <w:lang w:eastAsia="zh-CN"/>
              </w:rPr>
              <w:t>供应商</w:t>
            </w:r>
            <w:r>
              <w:rPr>
                <w:rFonts w:hint="eastAsia" w:hAnsi="宋体"/>
                <w:color w:val="auto"/>
                <w:szCs w:val="20"/>
                <w:highlight w:val="none"/>
              </w:rPr>
              <w:t>的所有股东名称及相应股权（出资额）比例；如</w:t>
            </w:r>
            <w:r>
              <w:rPr>
                <w:rFonts w:hint="eastAsia" w:hAnsi="宋体"/>
                <w:color w:val="auto"/>
                <w:szCs w:val="20"/>
                <w:highlight w:val="none"/>
                <w:lang w:eastAsia="zh-CN"/>
              </w:rPr>
              <w:t>供应商</w:t>
            </w:r>
            <w:r>
              <w:rPr>
                <w:rFonts w:hint="eastAsia" w:hAnsi="宋体"/>
                <w:color w:val="auto"/>
                <w:szCs w:val="20"/>
                <w:highlight w:val="none"/>
              </w:rPr>
              <w:t>为上市公司，</w:t>
            </w:r>
            <w:r>
              <w:rPr>
                <w:rFonts w:hint="eastAsia" w:hAnsi="宋体"/>
                <w:color w:val="auto"/>
                <w:szCs w:val="20"/>
                <w:highlight w:val="none"/>
                <w:lang w:eastAsia="zh-CN"/>
              </w:rPr>
              <w:t>供应商</w:t>
            </w:r>
            <w:r>
              <w:rPr>
                <w:rFonts w:hint="eastAsia" w:hAnsi="宋体"/>
                <w:color w:val="auto"/>
                <w:szCs w:val="20"/>
                <w:highlight w:val="none"/>
              </w:rPr>
              <w:t>应提供股权占公司股份总数</w:t>
            </w:r>
            <w:r>
              <w:rPr>
                <w:rFonts w:hint="default" w:hAnsi="宋体"/>
                <w:color w:val="auto"/>
                <w:szCs w:val="20"/>
                <w:highlight w:val="none"/>
                <w:u w:val="single"/>
              </w:rPr>
              <w:t xml:space="preserve">   </w:t>
            </w:r>
            <w:r>
              <w:rPr>
                <w:rFonts w:hint="default" w:hAnsi="宋体"/>
                <w:color w:val="auto"/>
                <w:szCs w:val="20"/>
                <w:highlight w:val="none"/>
              </w:rPr>
              <w:t>%</w:t>
            </w:r>
            <w:r>
              <w:rPr>
                <w:rFonts w:hint="eastAsia" w:hAnsi="宋体"/>
                <w:color w:val="auto"/>
                <w:szCs w:val="20"/>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2</w:t>
            </w:r>
            <w:r>
              <w:rPr>
                <w:rFonts w:hint="eastAsia" w:hAnsi="宋体"/>
                <w:color w:val="auto"/>
                <w:szCs w:val="20"/>
                <w:highlight w:val="none"/>
              </w:rPr>
              <w:t>）</w:t>
            </w:r>
            <w:r>
              <w:rPr>
                <w:rFonts w:hint="eastAsia" w:hAnsi="宋体"/>
                <w:color w:val="auto"/>
              </w:rPr>
              <w:t>供应商</w:t>
            </w:r>
            <w:r>
              <w:rPr>
                <w:rFonts w:hint="eastAsia" w:hAnsi="宋体"/>
                <w:color w:val="auto"/>
                <w:szCs w:val="20"/>
                <w:highlight w:val="none"/>
              </w:rPr>
              <w:t>投资（控股）或管理的下属企业名称、持有股权（出资额）比例；</w:t>
            </w:r>
          </w:p>
          <w:p w14:paraId="588754F9">
            <w:pPr>
              <w:keepNext w:val="0"/>
              <w:keepLines w:val="0"/>
              <w:suppressLineNumbers w:val="0"/>
              <w:spacing w:before="0" w:beforeAutospacing="0" w:after="0" w:afterAutospacing="0"/>
              <w:ind w:left="-90" w:leftChars="0" w:right="0" w:firstLine="88" w:firstLineChars="42"/>
              <w:jc w:val="both"/>
              <w:rPr>
                <w:rFonts w:hint="default" w:hAnsi="宋体" w:cs="宋体"/>
                <w:color w:val="auto"/>
                <w:szCs w:val="21"/>
                <w:highlight w:val="none"/>
              </w:rPr>
            </w:pPr>
            <w:r>
              <w:rPr>
                <w:rFonts w:hint="eastAsia" w:hAnsi="宋体"/>
                <w:color w:val="auto"/>
                <w:szCs w:val="20"/>
                <w:highlight w:val="none"/>
              </w:rPr>
              <w:t>（</w:t>
            </w:r>
            <w:r>
              <w:rPr>
                <w:rFonts w:hint="default" w:hAnsi="宋体"/>
                <w:color w:val="auto"/>
                <w:szCs w:val="20"/>
                <w:highlight w:val="none"/>
              </w:rPr>
              <w:t>3</w:t>
            </w:r>
            <w:r>
              <w:rPr>
                <w:rFonts w:hint="eastAsia" w:hAnsi="宋体"/>
                <w:color w:val="auto"/>
                <w:szCs w:val="20"/>
                <w:highlight w:val="none"/>
              </w:rPr>
              <w:t>）与</w:t>
            </w:r>
            <w:r>
              <w:rPr>
                <w:rFonts w:hint="eastAsia" w:hAnsi="宋体"/>
                <w:color w:val="auto"/>
              </w:rPr>
              <w:t>供应商</w:t>
            </w:r>
            <w:r>
              <w:rPr>
                <w:rFonts w:hint="eastAsia" w:hAnsi="宋体"/>
                <w:color w:val="auto"/>
                <w:szCs w:val="20"/>
                <w:highlight w:val="none"/>
              </w:rPr>
              <w:t>单位负责人（</w:t>
            </w:r>
            <w:r>
              <w:rPr>
                <w:rFonts w:hint="eastAsia" w:hAnsi="宋体"/>
                <w:color w:val="auto"/>
                <w:szCs w:val="20"/>
                <w:highlight w:val="none"/>
                <w:lang w:eastAsia="zh-CN"/>
              </w:rPr>
              <w:t>法定代表人（负责人）</w:t>
            </w:r>
            <w:r>
              <w:rPr>
                <w:rFonts w:hint="eastAsia" w:hAnsi="宋体"/>
                <w:color w:val="auto"/>
                <w:szCs w:val="20"/>
                <w:highlight w:val="none"/>
              </w:rPr>
              <w:t>）为同一人的其他单位名称；</w:t>
            </w:r>
          </w:p>
        </w:tc>
      </w:tr>
      <w:tr w14:paraId="6483B429">
        <w:tblPrEx>
          <w:tblCellMar>
            <w:top w:w="0" w:type="dxa"/>
            <w:left w:w="108" w:type="dxa"/>
            <w:bottom w:w="0" w:type="dxa"/>
            <w:right w:w="108" w:type="dxa"/>
          </w:tblCellMar>
        </w:tblPrEx>
        <w:trPr>
          <w:cantSplit/>
          <w:trHeight w:val="1064"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778D48">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861" w:type="dxa"/>
            <w:gridSpan w:val="6"/>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74022A">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bl>
    <w:p w14:paraId="5DD8EC06">
      <w:pPr>
        <w:widowControl/>
        <w:spacing w:line="360" w:lineRule="auto"/>
        <w:ind w:firstLine="422" w:firstLineChars="200"/>
        <w:jc w:val="left"/>
        <w:rPr>
          <w:rFonts w:hint="eastAsia" w:hAnsi="宋体"/>
          <w:b/>
          <w:color w:val="auto"/>
          <w:highlight w:val="none"/>
        </w:rPr>
      </w:pPr>
    </w:p>
    <w:p w14:paraId="5EEFFDCA">
      <w:pPr>
        <w:widowControl/>
        <w:spacing w:line="360" w:lineRule="auto"/>
        <w:ind w:firstLine="422" w:firstLineChars="200"/>
        <w:jc w:val="left"/>
        <w:rPr>
          <w:rFonts w:hAnsi="宋体" w:cs="宋体"/>
          <w:color w:val="auto"/>
          <w:kern w:val="0"/>
          <w:szCs w:val="21"/>
          <w:highlight w:val="none"/>
        </w:rPr>
      </w:pPr>
      <w:r>
        <w:rPr>
          <w:rFonts w:hint="eastAsia" w:hAnsi="宋体"/>
          <w:b/>
          <w:color w:val="auto"/>
          <w:highlight w:val="none"/>
        </w:rPr>
        <w:t>备注：</w:t>
      </w:r>
      <w:r>
        <w:rPr>
          <w:rFonts w:hint="eastAsia" w:hAnsi="宋体"/>
          <w:color w:val="auto"/>
          <w:highlight w:val="none"/>
        </w:rPr>
        <w:t>供应商应根据磋商文件第二章“供应商须知”第</w:t>
      </w:r>
      <w:r>
        <w:rPr>
          <w:rFonts w:hAnsi="宋体"/>
          <w:color w:val="auto"/>
          <w:highlight w:val="none"/>
        </w:rPr>
        <w:t>3.1.1</w:t>
      </w:r>
      <w:r>
        <w:rPr>
          <w:rFonts w:hint="eastAsia" w:hAnsi="宋体"/>
          <w:color w:val="auto"/>
          <w:highlight w:val="none"/>
        </w:rPr>
        <w:t>项的要求在本表后附相关证明材料</w:t>
      </w:r>
      <w:r>
        <w:rPr>
          <w:rFonts w:hint="eastAsia" w:hAnsi="宋体" w:cs="宋体"/>
          <w:color w:val="auto"/>
          <w:kern w:val="0"/>
          <w:szCs w:val="21"/>
          <w:highlight w:val="none"/>
        </w:rPr>
        <w:t>。</w:t>
      </w:r>
    </w:p>
    <w:p w14:paraId="1D09418F">
      <w:pPr>
        <w:pStyle w:val="31"/>
        <w:rPr>
          <w:rFonts w:hAnsi="宋体"/>
          <w:b/>
          <w:bCs/>
          <w:color w:val="auto"/>
          <w:szCs w:val="32"/>
        </w:rPr>
      </w:pPr>
    </w:p>
    <w:p w14:paraId="743996B9">
      <w:pPr>
        <w:rPr>
          <w:color w:val="auto"/>
        </w:rPr>
      </w:pPr>
    </w:p>
    <w:p w14:paraId="13494CF4">
      <w:pPr>
        <w:pStyle w:val="19"/>
        <w:rPr>
          <w:color w:val="auto"/>
        </w:rPr>
      </w:pPr>
    </w:p>
    <w:p w14:paraId="215E078C">
      <w:pPr>
        <w:pStyle w:val="19"/>
        <w:rPr>
          <w:color w:val="auto"/>
        </w:rPr>
      </w:pPr>
    </w:p>
    <w:p w14:paraId="0E01971E">
      <w:pPr>
        <w:pStyle w:val="19"/>
        <w:rPr>
          <w:color w:val="auto"/>
        </w:rPr>
      </w:pPr>
    </w:p>
    <w:p w14:paraId="1B26696F">
      <w:pPr>
        <w:pStyle w:val="4"/>
        <w:jc w:val="center"/>
        <w:rPr>
          <w:rFonts w:ascii="宋体" w:hAnsi="宋体" w:eastAsia="宋体"/>
          <w:b w:val="0"/>
          <w:bCs w:val="0"/>
          <w:color w:val="auto"/>
          <w:sz w:val="24"/>
          <w:szCs w:val="24"/>
        </w:rPr>
      </w:pPr>
      <w:r>
        <w:rPr>
          <w:rFonts w:hint="eastAsia" w:ascii="宋体" w:hAnsi="宋体" w:eastAsia="宋体" w:cs="宋体"/>
          <w:color w:val="auto"/>
          <w:sz w:val="24"/>
          <w:szCs w:val="24"/>
        </w:rPr>
        <w:t>（四）磋商保证金缴纳证明材料</w:t>
      </w:r>
    </w:p>
    <w:p w14:paraId="7A8E19BB">
      <w:pPr>
        <w:spacing w:line="360" w:lineRule="auto"/>
        <w:rPr>
          <w:rFonts w:hAnsi="宋体"/>
          <w:color w:val="auto"/>
        </w:rPr>
      </w:pPr>
    </w:p>
    <w:p w14:paraId="36ED8136">
      <w:pPr>
        <w:spacing w:line="360" w:lineRule="auto"/>
        <w:rPr>
          <w:rFonts w:hAnsi="宋体"/>
          <w:color w:val="auto"/>
        </w:rPr>
      </w:pPr>
      <w:r>
        <w:rPr>
          <w:rFonts w:hint="eastAsia" w:hAnsi="宋体"/>
          <w:color w:val="auto"/>
        </w:rPr>
        <w:t>供应商应根据磋商文件第二章“供应商须知”第</w:t>
      </w:r>
      <w:r>
        <w:rPr>
          <w:rFonts w:hAnsi="宋体"/>
          <w:color w:val="auto"/>
        </w:rPr>
        <w:t>3.1.1</w:t>
      </w:r>
      <w:r>
        <w:rPr>
          <w:rFonts w:hint="eastAsia" w:hAnsi="宋体"/>
          <w:color w:val="auto"/>
        </w:rPr>
        <w:t>项的规定提供相关证明材料。</w:t>
      </w:r>
    </w:p>
    <w:p w14:paraId="0147B33B">
      <w:pPr>
        <w:widowControl/>
        <w:spacing w:line="360" w:lineRule="auto"/>
        <w:jc w:val="left"/>
        <w:rPr>
          <w:rFonts w:hAnsi="宋体"/>
          <w:color w:val="auto"/>
        </w:rPr>
      </w:pPr>
    </w:p>
    <w:p w14:paraId="3A60D7ED">
      <w:pPr>
        <w:widowControl/>
        <w:spacing w:line="360" w:lineRule="auto"/>
        <w:jc w:val="left"/>
        <w:rPr>
          <w:rFonts w:hAnsi="宋体"/>
          <w:color w:val="auto"/>
        </w:rPr>
      </w:pPr>
    </w:p>
    <w:p w14:paraId="7D4E0556">
      <w:pPr>
        <w:widowControl/>
        <w:jc w:val="left"/>
        <w:rPr>
          <w:rFonts w:hAnsi="宋体"/>
          <w:color w:val="auto"/>
        </w:rPr>
      </w:pPr>
      <w:r>
        <w:rPr>
          <w:rFonts w:hAnsi="宋体"/>
          <w:color w:val="auto"/>
        </w:rPr>
        <w:br w:type="page"/>
      </w:r>
    </w:p>
    <w:p w14:paraId="5EE373E8">
      <w:pPr>
        <w:pStyle w:val="4"/>
        <w:jc w:val="left"/>
        <w:rPr>
          <w:rFonts w:ascii="宋体" w:hAnsi="宋体" w:eastAsia="宋体"/>
          <w:color w:val="auto"/>
          <w:sz w:val="24"/>
          <w:szCs w:val="24"/>
        </w:rPr>
      </w:pPr>
      <w:r>
        <w:rPr>
          <w:rFonts w:hint="eastAsia" w:ascii="宋体" w:hAnsi="宋体" w:eastAsia="宋体" w:cs="宋体"/>
          <w:color w:val="auto"/>
          <w:sz w:val="24"/>
          <w:szCs w:val="24"/>
        </w:rPr>
        <w:t>（五）资格审查需要的其他材料</w:t>
      </w:r>
    </w:p>
    <w:p w14:paraId="703BA7B8">
      <w:pPr>
        <w:widowControl/>
        <w:jc w:val="left"/>
        <w:rPr>
          <w:rFonts w:hAnsi="宋体"/>
          <w:color w:val="auto"/>
        </w:rPr>
      </w:pPr>
    </w:p>
    <w:p w14:paraId="38CF06EF">
      <w:pPr>
        <w:widowControl/>
        <w:spacing w:line="360" w:lineRule="auto"/>
        <w:jc w:val="left"/>
        <w:rPr>
          <w:rFonts w:hAnsi="宋体"/>
          <w:color w:val="auto"/>
        </w:rPr>
      </w:pPr>
      <w:r>
        <w:rPr>
          <w:rFonts w:hint="eastAsia" w:hAnsi="宋体"/>
          <w:color w:val="auto"/>
        </w:rPr>
        <w:t>供应商应根据第二章“供应商须知”第</w:t>
      </w:r>
      <w:r>
        <w:rPr>
          <w:rFonts w:hAnsi="宋体"/>
          <w:color w:val="auto"/>
        </w:rPr>
        <w:t>3.1.5</w:t>
      </w:r>
      <w:r>
        <w:rPr>
          <w:rFonts w:hint="eastAsia" w:hAnsi="宋体"/>
          <w:color w:val="auto"/>
        </w:rPr>
        <w:t>项的规定提供相关证明材料。</w:t>
      </w:r>
    </w:p>
    <w:p w14:paraId="4DC9E807">
      <w:pPr>
        <w:widowControl/>
        <w:jc w:val="left"/>
        <w:rPr>
          <w:rFonts w:hAnsi="宋体"/>
          <w:b/>
          <w:bCs/>
          <w:color w:val="auto"/>
          <w:sz w:val="36"/>
          <w:szCs w:val="36"/>
        </w:rPr>
      </w:pPr>
      <w:r>
        <w:rPr>
          <w:rFonts w:hAnsi="宋体"/>
          <w:b/>
          <w:bCs/>
          <w:color w:val="auto"/>
          <w:sz w:val="36"/>
          <w:szCs w:val="36"/>
        </w:rPr>
        <w:br w:type="page"/>
      </w:r>
    </w:p>
    <w:p w14:paraId="0DAA88FC">
      <w:pPr>
        <w:autoSpaceDE w:val="0"/>
        <w:autoSpaceDN w:val="0"/>
        <w:adjustRightInd w:val="0"/>
        <w:jc w:val="center"/>
        <w:rPr>
          <w:rFonts w:hAnsi="宋体"/>
          <w:b/>
          <w:bCs/>
          <w:color w:val="auto"/>
          <w:sz w:val="36"/>
          <w:szCs w:val="36"/>
        </w:rPr>
      </w:pPr>
      <w:r>
        <w:rPr>
          <w:rFonts w:hint="eastAsia" w:hAnsi="宋体"/>
          <w:b/>
          <w:bCs/>
          <w:color w:val="auto"/>
          <w:sz w:val="36"/>
          <w:szCs w:val="36"/>
        </w:rPr>
        <w:t>政府采购供应商信用承诺函(格式)</w:t>
      </w:r>
    </w:p>
    <w:p w14:paraId="20706184">
      <w:pPr>
        <w:widowControl/>
        <w:spacing w:line="500" w:lineRule="atLeast"/>
        <w:jc w:val="left"/>
        <w:rPr>
          <w:rFonts w:hAnsi="宋体"/>
          <w:color w:val="auto"/>
        </w:rPr>
      </w:pPr>
    </w:p>
    <w:p w14:paraId="2EBDF31E">
      <w:pPr>
        <w:widowControl/>
        <w:spacing w:line="500" w:lineRule="atLeast"/>
        <w:jc w:val="left"/>
        <w:rPr>
          <w:rFonts w:hAnsi="宋体"/>
          <w:color w:val="auto"/>
        </w:rPr>
      </w:pPr>
      <w:r>
        <w:rPr>
          <w:rFonts w:hint="eastAsia" w:hAnsi="宋体"/>
          <w:color w:val="auto"/>
        </w:rPr>
        <w:t>致(采购人或采购代理机构):</w:t>
      </w:r>
    </w:p>
    <w:p w14:paraId="7C3BE53D">
      <w:pPr>
        <w:widowControl/>
        <w:spacing w:line="500" w:lineRule="atLeast"/>
        <w:jc w:val="left"/>
        <w:rPr>
          <w:rFonts w:hAnsi="宋体"/>
          <w:color w:val="auto"/>
        </w:rPr>
      </w:pPr>
      <w:r>
        <w:rPr>
          <w:rFonts w:hint="eastAsia" w:hAnsi="宋体"/>
          <w:color w:val="auto"/>
        </w:rPr>
        <w:t>供应商名称:</w:t>
      </w:r>
    </w:p>
    <w:p w14:paraId="7BC2E1C6">
      <w:pPr>
        <w:widowControl/>
        <w:spacing w:line="500" w:lineRule="atLeast"/>
        <w:jc w:val="left"/>
        <w:rPr>
          <w:rFonts w:hAnsi="宋体"/>
          <w:color w:val="auto"/>
        </w:rPr>
      </w:pPr>
      <w:r>
        <w:rPr>
          <w:rFonts w:hint="eastAsia" w:hAnsi="宋体"/>
          <w:color w:val="auto"/>
        </w:rPr>
        <w:t xml:space="preserve">统一社会信用代码: </w:t>
      </w:r>
    </w:p>
    <w:p w14:paraId="324C6976">
      <w:pPr>
        <w:widowControl/>
        <w:spacing w:line="500" w:lineRule="atLeast"/>
        <w:jc w:val="left"/>
        <w:rPr>
          <w:rFonts w:hAnsi="宋体"/>
          <w:color w:val="auto"/>
        </w:rPr>
      </w:pPr>
      <w:r>
        <w:rPr>
          <w:rFonts w:hint="eastAsia" w:hAnsi="宋体"/>
          <w:color w:val="auto"/>
        </w:rPr>
        <w:t>供应商地址:</w:t>
      </w:r>
    </w:p>
    <w:p w14:paraId="244695AB">
      <w:pPr>
        <w:widowControl/>
        <w:spacing w:line="500" w:lineRule="atLeast"/>
        <w:jc w:val="left"/>
        <w:rPr>
          <w:rFonts w:hAnsi="宋体"/>
          <w:color w:val="auto"/>
        </w:rPr>
      </w:pPr>
      <w:r>
        <w:rPr>
          <w:rFonts w:hint="eastAsia" w:hAnsi="宋体"/>
          <w:color w:val="auto"/>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DCAF354">
      <w:pPr>
        <w:widowControl/>
        <w:spacing w:line="500" w:lineRule="atLeast"/>
        <w:jc w:val="left"/>
        <w:rPr>
          <w:rFonts w:hAnsi="宋体"/>
          <w:color w:val="auto"/>
        </w:rPr>
      </w:pPr>
      <w:r>
        <w:rPr>
          <w:rFonts w:hint="eastAsia" w:hAnsi="宋体"/>
          <w:color w:val="auto"/>
        </w:rPr>
        <w:t>1.我单位具有符合采购文件资格要求独立承担民事责任的能力。</w:t>
      </w:r>
    </w:p>
    <w:p w14:paraId="49BC7D2D">
      <w:pPr>
        <w:widowControl/>
        <w:spacing w:line="500" w:lineRule="atLeast"/>
        <w:jc w:val="left"/>
        <w:rPr>
          <w:rFonts w:hAnsi="宋体"/>
          <w:color w:val="auto"/>
        </w:rPr>
      </w:pPr>
      <w:r>
        <w:rPr>
          <w:rFonts w:hint="eastAsia" w:hAnsi="宋体"/>
          <w:color w:val="auto"/>
        </w:rPr>
        <w:t>2.我单位具有符合采购文件资格要求的财务状况报告。</w:t>
      </w:r>
    </w:p>
    <w:p w14:paraId="151A82F0">
      <w:pPr>
        <w:widowControl/>
        <w:spacing w:line="500" w:lineRule="atLeast"/>
        <w:jc w:val="left"/>
        <w:rPr>
          <w:rFonts w:hAnsi="宋体"/>
          <w:color w:val="auto"/>
        </w:rPr>
      </w:pPr>
      <w:r>
        <w:rPr>
          <w:rFonts w:hint="eastAsia" w:hAnsi="宋体"/>
          <w:color w:val="auto"/>
        </w:rPr>
        <w:t>3.我单位具有符合采购文件资格要求的依法缴纳税收和社会保障记录的良好记录。</w:t>
      </w:r>
    </w:p>
    <w:p w14:paraId="51EB283C">
      <w:pPr>
        <w:widowControl/>
        <w:spacing w:line="500" w:lineRule="atLeast"/>
        <w:jc w:val="left"/>
        <w:rPr>
          <w:rFonts w:hAnsi="宋体"/>
          <w:color w:val="auto"/>
        </w:rPr>
      </w:pPr>
      <w:r>
        <w:rPr>
          <w:rFonts w:hint="eastAsia" w:hAnsi="宋体"/>
          <w:color w:val="auto"/>
        </w:rPr>
        <w:t>4.我单位具有符合采购文件资格要求履行合同所必需的设备和专业技术能力。</w:t>
      </w:r>
    </w:p>
    <w:p w14:paraId="0885DF39">
      <w:pPr>
        <w:widowControl/>
        <w:spacing w:line="500" w:lineRule="atLeast"/>
        <w:jc w:val="left"/>
        <w:rPr>
          <w:rFonts w:hAnsi="宋体"/>
          <w:color w:val="auto"/>
        </w:rPr>
      </w:pPr>
      <w:r>
        <w:rPr>
          <w:rFonts w:hint="eastAsia" w:hAnsi="宋体"/>
          <w:color w:val="auto"/>
        </w:rPr>
        <w:t>5.参加政府采购活动前三年内，在经营活动中没有重大违法记录。</w:t>
      </w:r>
    </w:p>
    <w:p w14:paraId="34516853">
      <w:pPr>
        <w:widowControl/>
        <w:spacing w:line="500" w:lineRule="atLeast"/>
        <w:jc w:val="left"/>
        <w:rPr>
          <w:rFonts w:hAnsi="宋体"/>
          <w:color w:val="auto"/>
        </w:rPr>
      </w:pPr>
      <w:r>
        <w:rPr>
          <w:rFonts w:hint="eastAsia" w:hAnsi="宋体"/>
          <w:color w:val="auto"/>
        </w:rPr>
        <w:t>若我单位承诺不实，自愿承担提供虚假材料谋取中标、成交的法律责任。</w:t>
      </w:r>
    </w:p>
    <w:p w14:paraId="7D5D9838">
      <w:pPr>
        <w:widowControl/>
        <w:spacing w:line="360" w:lineRule="auto"/>
        <w:rPr>
          <w:rFonts w:hAnsi="宋体"/>
          <w:color w:val="auto"/>
        </w:rPr>
      </w:pPr>
    </w:p>
    <w:p w14:paraId="24152F21">
      <w:pPr>
        <w:widowControl/>
        <w:spacing w:line="360" w:lineRule="auto"/>
        <w:jc w:val="center"/>
        <w:rPr>
          <w:rFonts w:hAnsi="宋体"/>
          <w:color w:val="auto"/>
        </w:rPr>
      </w:pPr>
      <w:r>
        <w:rPr>
          <w:rFonts w:hint="eastAsia" w:hAnsi="宋体"/>
          <w:color w:val="auto"/>
        </w:rPr>
        <w:t xml:space="preserve">                                                        </w:t>
      </w:r>
    </w:p>
    <w:p w14:paraId="4024C469">
      <w:pPr>
        <w:widowControl/>
        <w:spacing w:line="440" w:lineRule="exact"/>
        <w:jc w:val="center"/>
        <w:rPr>
          <w:rFonts w:hAnsi="宋体"/>
          <w:color w:val="auto"/>
        </w:rPr>
      </w:pPr>
      <w:r>
        <w:rPr>
          <w:rFonts w:hint="eastAsia" w:hAnsi="宋体"/>
          <w:color w:val="auto"/>
        </w:rPr>
        <w:t xml:space="preserve">                   供应商名称(公章):</w:t>
      </w:r>
    </w:p>
    <w:p w14:paraId="3178A411">
      <w:pPr>
        <w:widowControl/>
        <w:spacing w:line="440" w:lineRule="exact"/>
        <w:jc w:val="center"/>
        <w:rPr>
          <w:rFonts w:hAnsi="宋体"/>
          <w:color w:val="auto"/>
        </w:rPr>
      </w:pPr>
      <w:r>
        <w:rPr>
          <w:rFonts w:hint="eastAsia" w:hAnsi="宋体"/>
          <w:color w:val="auto"/>
        </w:rPr>
        <w:t xml:space="preserve">                                   法定代表人或授权代表(</w:t>
      </w:r>
      <w:r>
        <w:rPr>
          <w:rFonts w:hint="eastAsia" w:hAnsi="宋体"/>
          <w:color w:val="auto"/>
          <w:kern w:val="2"/>
        </w:rPr>
        <w:t>签字或盖章</w:t>
      </w:r>
      <w:r>
        <w:rPr>
          <w:rFonts w:hint="eastAsia" w:hAnsi="宋体"/>
          <w:color w:val="auto"/>
        </w:rPr>
        <w:t>):</w:t>
      </w:r>
    </w:p>
    <w:p w14:paraId="4F9ABBB7">
      <w:pPr>
        <w:widowControl/>
        <w:spacing w:line="440" w:lineRule="exact"/>
        <w:jc w:val="center"/>
        <w:rPr>
          <w:rFonts w:hAnsi="宋体"/>
          <w:color w:val="auto"/>
        </w:rPr>
      </w:pPr>
      <w:r>
        <w:rPr>
          <w:rFonts w:hint="eastAsia" w:hAnsi="宋体"/>
          <w:color w:val="auto"/>
        </w:rPr>
        <w:t xml:space="preserve">                       日 期:   年   月   日</w:t>
      </w:r>
    </w:p>
    <w:p w14:paraId="416BBFE4">
      <w:pPr>
        <w:pStyle w:val="19"/>
        <w:ind w:left="0" w:leftChars="0"/>
        <w:rPr>
          <w:color w:val="auto"/>
        </w:rPr>
      </w:pPr>
    </w:p>
    <w:p w14:paraId="70903CC3">
      <w:pPr>
        <w:widowControl/>
        <w:spacing w:line="360" w:lineRule="exact"/>
        <w:jc w:val="left"/>
        <w:rPr>
          <w:rFonts w:hAnsi="宋体"/>
          <w:color w:val="auto"/>
        </w:rPr>
      </w:pPr>
      <w:r>
        <w:rPr>
          <w:rFonts w:hint="eastAsia" w:hAnsi="宋体"/>
          <w:color w:val="auto"/>
        </w:rPr>
        <w:t>注:1.供应商须在投标(响应)文件中按此模板提供承诺函,未提供视为未实质性响应招标(采购)文件要求，按无效投标(响应)处理。</w:t>
      </w:r>
    </w:p>
    <w:p w14:paraId="4CD29656">
      <w:pPr>
        <w:widowControl/>
        <w:spacing w:line="360" w:lineRule="exact"/>
        <w:jc w:val="left"/>
        <w:rPr>
          <w:rFonts w:hAnsi="宋体"/>
          <w:color w:val="auto"/>
        </w:rPr>
      </w:pPr>
      <w:r>
        <w:rPr>
          <w:rFonts w:hint="eastAsia" w:hAnsi="宋体"/>
          <w:color w:val="auto"/>
        </w:rPr>
        <w:t>2.供应商的法定代表人(其他组织的为负责人)或者授权代表的签名或盖章应真实、有效，如由授权代表签名或盖章的，应提供“法定代表人授权书”。</w:t>
      </w:r>
    </w:p>
    <w:p w14:paraId="56CC5E8B">
      <w:pPr>
        <w:widowControl/>
        <w:spacing w:line="360" w:lineRule="exact"/>
        <w:jc w:val="left"/>
        <w:rPr>
          <w:rFonts w:hAnsi="宋体"/>
          <w:color w:val="auto"/>
        </w:rPr>
      </w:pPr>
      <w:r>
        <w:rPr>
          <w:rFonts w:hint="eastAsia" w:hAnsi="宋体"/>
          <w:color w:val="auto"/>
        </w:rPr>
        <w:t>3.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同时，将其列为政府采购领域严重违法失信主体进行联合惩戒。</w:t>
      </w:r>
    </w:p>
    <w:p w14:paraId="30D37DFD">
      <w:pPr>
        <w:pStyle w:val="19"/>
        <w:ind w:left="0" w:leftChars="0"/>
        <w:rPr>
          <w:color w:val="auto"/>
        </w:rPr>
      </w:pPr>
    </w:p>
    <w:p w14:paraId="1BDB9EBC">
      <w:pPr>
        <w:pStyle w:val="4"/>
        <w:jc w:val="left"/>
        <w:rPr>
          <w:rFonts w:ascii="宋体" w:hAnsi="宋体" w:eastAsia="宋体" w:cs="宋体"/>
          <w:color w:val="auto"/>
          <w:sz w:val="24"/>
          <w:szCs w:val="24"/>
        </w:rPr>
      </w:pPr>
      <w:r>
        <w:rPr>
          <w:rFonts w:hint="eastAsia" w:ascii="宋体" w:hAnsi="宋体" w:eastAsia="宋体" w:cs="宋体"/>
          <w:color w:val="auto"/>
          <w:sz w:val="24"/>
          <w:szCs w:val="24"/>
        </w:rPr>
        <w:t>（六）中小企业声明函或者残疾人福利性单位声明函或者供应商属于监狱企业的证明材料；（本项目如为专门面向中小企业采购时必须提供，否则响应文件按无效响应处理）。</w:t>
      </w:r>
    </w:p>
    <w:p w14:paraId="5EEBDE98">
      <w:pPr>
        <w:widowControl/>
        <w:jc w:val="left"/>
        <w:rPr>
          <w:rFonts w:hAnsi="宋体"/>
          <w:color w:val="auto"/>
        </w:rPr>
      </w:pPr>
    </w:p>
    <w:p w14:paraId="63758523">
      <w:pPr>
        <w:autoSpaceDE w:val="0"/>
        <w:autoSpaceDN w:val="0"/>
        <w:adjustRightInd w:val="0"/>
        <w:jc w:val="center"/>
        <w:rPr>
          <w:rFonts w:hAnsi="宋体"/>
          <w:color w:val="auto"/>
          <w:sz w:val="36"/>
          <w:szCs w:val="36"/>
        </w:rPr>
      </w:pPr>
    </w:p>
    <w:p w14:paraId="1597BF4E">
      <w:pPr>
        <w:autoSpaceDE w:val="0"/>
        <w:autoSpaceDN w:val="0"/>
        <w:adjustRightInd w:val="0"/>
        <w:jc w:val="center"/>
        <w:rPr>
          <w:rFonts w:cs="Times New Roman"/>
          <w:color w:val="auto"/>
          <w:kern w:val="2"/>
          <w:sz w:val="36"/>
          <w:szCs w:val="36"/>
        </w:rPr>
      </w:pPr>
      <w:r>
        <w:rPr>
          <w:rFonts w:hint="eastAsia" w:cs="Times New Roman"/>
          <w:color w:val="auto"/>
          <w:kern w:val="2"/>
          <w:sz w:val="36"/>
          <w:szCs w:val="36"/>
        </w:rPr>
        <w:t>中小企业声明函（服务）</w:t>
      </w:r>
    </w:p>
    <w:p w14:paraId="656BC327">
      <w:pPr>
        <w:ind w:right="63"/>
        <w:rPr>
          <w:rFonts w:ascii="Times New Roman" w:cs="Times New Roman"/>
          <w:color w:val="auto"/>
          <w:kern w:val="2"/>
          <w:sz w:val="28"/>
          <w:szCs w:val="24"/>
          <w:lang w:val="zh-CN"/>
        </w:rPr>
      </w:pPr>
    </w:p>
    <w:p w14:paraId="7CE3B398">
      <w:pPr>
        <w:spacing w:line="360" w:lineRule="auto"/>
        <w:ind w:left="63" w:right="63" w:firstLine="420" w:firstLineChars="200"/>
        <w:jc w:val="left"/>
        <w:rPr>
          <w:rFonts w:ascii="Times New Roman" w:hAnsi="宋体" w:cs="仿宋"/>
          <w:color w:val="auto"/>
          <w:kern w:val="2"/>
          <w:lang w:val="zh-CN"/>
        </w:rPr>
      </w:pPr>
      <w:r>
        <w:rPr>
          <w:rFonts w:hint="eastAsia" w:ascii="Times New Roman" w:hAnsi="宋体" w:cs="仿宋"/>
          <w:color w:val="auto"/>
          <w:kern w:val="2"/>
          <w:lang w:val="zh-CN"/>
        </w:rPr>
        <w:t>本公司（联合体）郑重声明，根据《政府采购促进中小企业发展管理办法》（财库﹝2020﹞46 号）的规定，本公司（联合体）参加</w:t>
      </w:r>
      <w:r>
        <w:rPr>
          <w:rFonts w:hint="eastAsia" w:ascii="Times New Roman" w:hAnsi="宋体" w:cs="仿宋"/>
          <w:color w:val="auto"/>
          <w:kern w:val="2"/>
          <w:u w:val="single"/>
          <w:lang w:val="zh-CN"/>
        </w:rPr>
        <w:t>（单位名称）</w:t>
      </w:r>
      <w:r>
        <w:rPr>
          <w:rFonts w:hint="eastAsia" w:ascii="Times New Roman" w:hAnsi="宋体" w:cs="仿宋"/>
          <w:color w:val="auto"/>
          <w:kern w:val="2"/>
          <w:lang w:val="zh-CN"/>
        </w:rPr>
        <w:t>的</w:t>
      </w:r>
      <w:r>
        <w:rPr>
          <w:rFonts w:hint="eastAsia" w:ascii="Times New Roman" w:hAnsi="宋体" w:cs="仿宋"/>
          <w:color w:val="auto"/>
          <w:kern w:val="2"/>
          <w:u w:val="single"/>
          <w:lang w:val="zh-CN"/>
        </w:rPr>
        <w:t>（项目名称）</w:t>
      </w:r>
      <w:r>
        <w:rPr>
          <w:rFonts w:hint="eastAsia" w:ascii="Times New Roman" w:hAnsi="宋体" w:cs="仿宋"/>
          <w:color w:val="auto"/>
          <w:kern w:val="2"/>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04BF4DC">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 xml:space="preserve">1. </w:t>
      </w:r>
      <w:r>
        <w:rPr>
          <w:rFonts w:hint="eastAsia" w:ascii="Times New Roman" w:hAnsi="宋体" w:cs="仿宋"/>
          <w:color w:val="auto"/>
          <w:kern w:val="2"/>
          <w:u w:val="single"/>
          <w:lang w:val="zh-CN"/>
        </w:rPr>
        <w:t xml:space="preserve">（标的名称）   </w:t>
      </w:r>
      <w:r>
        <w:rPr>
          <w:rFonts w:hint="eastAsia" w:ascii="Times New Roman" w:hAnsi="宋体" w:cs="仿宋"/>
          <w:color w:val="auto"/>
          <w:kern w:val="2"/>
          <w:lang w:val="zh-CN"/>
        </w:rPr>
        <w:t xml:space="preserve">，属于 </w:t>
      </w:r>
      <w:r>
        <w:rPr>
          <w:rFonts w:hint="eastAsia" w:ascii="Times New Roman" w:hAnsi="宋体" w:cs="仿宋"/>
          <w:color w:val="auto"/>
          <w:kern w:val="2"/>
          <w:u w:val="single"/>
          <w:lang w:val="zh-CN"/>
        </w:rPr>
        <w:t xml:space="preserve">（采购文件中明确的所属行业） </w:t>
      </w:r>
      <w:r>
        <w:rPr>
          <w:rFonts w:hint="eastAsia" w:ascii="Times New Roman" w:hAnsi="宋体" w:cs="仿宋"/>
          <w:color w:val="auto"/>
          <w:kern w:val="2"/>
          <w:lang w:val="zh-CN"/>
        </w:rPr>
        <w:t>；承建（承接）企业为</w:t>
      </w:r>
      <w:r>
        <w:rPr>
          <w:rFonts w:hint="eastAsia" w:ascii="Times New Roman" w:hAnsi="宋体" w:cs="仿宋"/>
          <w:color w:val="auto"/>
          <w:kern w:val="2"/>
          <w:u w:val="single"/>
          <w:lang w:val="zh-CN"/>
        </w:rPr>
        <w:t xml:space="preserve"> （企业名称）  </w:t>
      </w:r>
      <w:r>
        <w:rPr>
          <w:rFonts w:hint="eastAsia" w:ascii="Times New Roman" w:hAnsi="宋体" w:cs="仿宋"/>
          <w:color w:val="auto"/>
          <w:kern w:val="2"/>
          <w:lang w:val="zh-CN"/>
        </w:rPr>
        <w:t>，从业人员</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人，营业收入为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万元，资产总额为</w:t>
      </w:r>
      <w:r>
        <w:rPr>
          <w:rFonts w:hint="eastAsia" w:ascii="Times New Roman" w:hAnsi="宋体" w:cs="仿宋"/>
          <w:color w:val="auto"/>
          <w:kern w:val="2"/>
          <w:u w:val="single"/>
          <w:lang w:val="zh-CN"/>
        </w:rPr>
        <w:t xml:space="preserve">  </w:t>
      </w:r>
      <w:r>
        <w:rPr>
          <w:rFonts w:ascii="Times New Roman" w:hAnsi="宋体" w:cs="仿宋"/>
          <w:color w:val="auto"/>
          <w:kern w:val="2"/>
          <w:u w:val="single"/>
          <w:lang w:val="zh-CN"/>
        </w:rPr>
        <w:t xml:space="preserve"> </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万元，属于</w:t>
      </w:r>
      <w:r>
        <w:rPr>
          <w:rFonts w:hint="eastAsia" w:ascii="Times New Roman" w:hAnsi="宋体" w:cs="仿宋"/>
          <w:color w:val="auto"/>
          <w:kern w:val="2"/>
          <w:u w:val="single"/>
          <w:lang w:val="zh-CN"/>
        </w:rPr>
        <w:t>（中型企业、小型企业、微型企业）</w:t>
      </w:r>
      <w:r>
        <w:rPr>
          <w:rFonts w:hint="eastAsia" w:ascii="Times New Roman" w:hAnsi="宋体" w:cs="仿宋"/>
          <w:color w:val="auto"/>
          <w:kern w:val="2"/>
          <w:lang w:val="zh-CN"/>
        </w:rPr>
        <w:t>；</w:t>
      </w:r>
    </w:p>
    <w:p w14:paraId="65AA1DD2">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 xml:space="preserve">2. </w:t>
      </w:r>
      <w:r>
        <w:rPr>
          <w:rFonts w:hint="eastAsia" w:ascii="Times New Roman" w:hAnsi="宋体" w:cs="仿宋"/>
          <w:color w:val="auto"/>
          <w:kern w:val="2"/>
          <w:u w:val="single"/>
          <w:lang w:val="zh-CN"/>
        </w:rPr>
        <w:t xml:space="preserve">（标的名称）  </w:t>
      </w:r>
      <w:r>
        <w:rPr>
          <w:rFonts w:hint="eastAsia" w:ascii="Times New Roman" w:hAnsi="宋体" w:cs="仿宋"/>
          <w:color w:val="auto"/>
          <w:kern w:val="2"/>
          <w:lang w:val="zh-CN"/>
        </w:rPr>
        <w:t xml:space="preserve">，属于 </w:t>
      </w:r>
      <w:r>
        <w:rPr>
          <w:rFonts w:hint="eastAsia" w:ascii="Times New Roman" w:hAnsi="宋体" w:cs="仿宋"/>
          <w:color w:val="auto"/>
          <w:kern w:val="2"/>
          <w:u w:val="single"/>
          <w:lang w:val="zh-CN"/>
        </w:rPr>
        <w:t xml:space="preserve">（采购文件中明确的所属行业） </w:t>
      </w:r>
      <w:r>
        <w:rPr>
          <w:rFonts w:hint="eastAsia" w:ascii="Times New Roman" w:hAnsi="宋体" w:cs="仿宋"/>
          <w:color w:val="auto"/>
          <w:kern w:val="2"/>
          <w:lang w:val="zh-CN"/>
        </w:rPr>
        <w:t>；承建（承接）企业为</w:t>
      </w:r>
      <w:r>
        <w:rPr>
          <w:rFonts w:hint="eastAsia" w:ascii="Times New Roman" w:hAnsi="宋体" w:cs="仿宋"/>
          <w:color w:val="auto"/>
          <w:kern w:val="2"/>
          <w:u w:val="single"/>
          <w:lang w:val="zh-CN"/>
        </w:rPr>
        <w:t xml:space="preserve"> （企业名称） </w:t>
      </w:r>
      <w:r>
        <w:rPr>
          <w:rFonts w:hint="eastAsia" w:ascii="Times New Roman" w:hAnsi="宋体" w:cs="仿宋"/>
          <w:color w:val="auto"/>
          <w:kern w:val="2"/>
          <w:lang w:val="zh-CN"/>
        </w:rPr>
        <w:t>，从业人员</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人，营业收入为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万元，资产总额为</w:t>
      </w:r>
      <w:r>
        <w:rPr>
          <w:rFonts w:hint="eastAsia" w:ascii="Times New Roman" w:hAnsi="宋体" w:cs="仿宋"/>
          <w:color w:val="auto"/>
          <w:kern w:val="2"/>
          <w:u w:val="single"/>
          <w:lang w:val="zh-CN"/>
        </w:rPr>
        <w:t xml:space="preserve">   </w:t>
      </w:r>
      <w:r>
        <w:rPr>
          <w:rFonts w:hint="eastAsia" w:ascii="Times New Roman" w:hAnsi="宋体" w:cs="仿宋"/>
          <w:color w:val="auto"/>
          <w:kern w:val="2"/>
          <w:lang w:val="zh-CN"/>
        </w:rPr>
        <w:t>万元，属于</w:t>
      </w:r>
      <w:r>
        <w:rPr>
          <w:rFonts w:hint="eastAsia" w:ascii="Times New Roman" w:hAnsi="宋体" w:cs="仿宋"/>
          <w:color w:val="auto"/>
          <w:kern w:val="2"/>
          <w:u w:val="single"/>
          <w:lang w:val="zh-CN"/>
        </w:rPr>
        <w:t>（中型企业、小型企业、微型企业）</w:t>
      </w:r>
      <w:r>
        <w:rPr>
          <w:rFonts w:hint="eastAsia" w:ascii="Times New Roman" w:hAnsi="宋体" w:cs="仿宋"/>
          <w:color w:val="auto"/>
          <w:kern w:val="2"/>
          <w:lang w:val="zh-CN"/>
        </w:rPr>
        <w:t>；</w:t>
      </w:r>
    </w:p>
    <w:p w14:paraId="79C8E2AE">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w:t>
      </w:r>
    </w:p>
    <w:p w14:paraId="3135AF6D">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以上企业，不属于大企业的分支机构，不存在控股股东为大企业的情形，也不存在与大企业的负责人为同一人的情形。</w:t>
      </w:r>
    </w:p>
    <w:p w14:paraId="20E2C4C7">
      <w:pPr>
        <w:spacing w:line="360" w:lineRule="auto"/>
        <w:ind w:left="63" w:right="63"/>
        <w:jc w:val="left"/>
        <w:rPr>
          <w:rFonts w:ascii="Times New Roman" w:hAnsi="宋体" w:cs="仿宋"/>
          <w:color w:val="auto"/>
          <w:kern w:val="2"/>
          <w:lang w:val="zh-CN"/>
        </w:rPr>
      </w:pPr>
      <w:r>
        <w:rPr>
          <w:rFonts w:hint="eastAsia" w:ascii="Times New Roman" w:hAnsi="宋体" w:cs="仿宋"/>
          <w:color w:val="auto"/>
          <w:kern w:val="2"/>
          <w:lang w:val="zh-CN"/>
        </w:rPr>
        <w:t>本企业对上述声明内容的真实性负责。如有虚假，将依法承担相应责任。</w:t>
      </w:r>
    </w:p>
    <w:p w14:paraId="1E812160">
      <w:pPr>
        <w:spacing w:line="360" w:lineRule="auto"/>
        <w:ind w:left="63" w:right="63"/>
        <w:jc w:val="left"/>
        <w:rPr>
          <w:rFonts w:ascii="Times New Roman" w:hAnsi="宋体" w:cs="仿宋"/>
          <w:color w:val="auto"/>
          <w:kern w:val="2"/>
          <w:lang w:val="zh-CN"/>
        </w:rPr>
      </w:pPr>
    </w:p>
    <w:p w14:paraId="71E098F1">
      <w:pPr>
        <w:autoSpaceDE w:val="0"/>
        <w:autoSpaceDN w:val="0"/>
        <w:adjustRightInd w:val="0"/>
        <w:spacing w:line="480" w:lineRule="auto"/>
        <w:ind w:right="296" w:rightChars="141" w:firstLine="5250" w:firstLineChars="2500"/>
        <w:jc w:val="left"/>
        <w:rPr>
          <w:rFonts w:hAnsi="宋体"/>
          <w:color w:val="auto"/>
          <w:highlight w:val="none"/>
        </w:rPr>
      </w:pPr>
      <w:r>
        <w:rPr>
          <w:rFonts w:hint="eastAsia" w:hAnsi="宋体"/>
          <w:color w:val="auto"/>
          <w:highlight w:val="none"/>
        </w:rPr>
        <w:t>企业名称（</w:t>
      </w:r>
      <w:r>
        <w:rPr>
          <w:rFonts w:hint="eastAsia" w:hAnsi="宋体" w:cs="Times New Roman"/>
          <w:color w:val="auto"/>
          <w:szCs w:val="21"/>
          <w:highlight w:val="none"/>
        </w:rPr>
        <w:t>盖单位电子公章</w:t>
      </w:r>
      <w:r>
        <w:rPr>
          <w:rFonts w:hint="eastAsia" w:hAnsi="宋体"/>
          <w:color w:val="auto"/>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11A4714C">
      <w:pPr>
        <w:spacing w:line="360" w:lineRule="auto"/>
        <w:ind w:left="63" w:right="63" w:firstLine="5250" w:firstLineChars="2500"/>
        <w:jc w:val="both"/>
        <w:rPr>
          <w:rFonts w:hint="eastAsia"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0A372841">
      <w:pPr>
        <w:pStyle w:val="19"/>
        <w:rPr>
          <w:rFonts w:hint="eastAsia" w:hAnsi="宋体"/>
          <w:color w:val="auto"/>
          <w:highlight w:val="none"/>
        </w:rPr>
      </w:pPr>
    </w:p>
    <w:p w14:paraId="3EDA9372">
      <w:pPr>
        <w:pStyle w:val="19"/>
        <w:rPr>
          <w:rFonts w:hint="eastAsia" w:hAnsi="宋体"/>
          <w:color w:val="auto"/>
          <w:highlight w:val="none"/>
          <w:lang w:val="zh-CN"/>
        </w:rPr>
      </w:pPr>
    </w:p>
    <w:p w14:paraId="142F95B7">
      <w:pPr>
        <w:keepNext w:val="0"/>
        <w:keepLines w:val="0"/>
        <w:pageBreakBefore w:val="0"/>
        <w:kinsoku/>
        <w:wordWrap/>
        <w:overflowPunct/>
        <w:topLinePunct w:val="0"/>
        <w:autoSpaceDE/>
        <w:autoSpaceDN/>
        <w:bidi w:val="0"/>
        <w:adjustRightInd/>
        <w:snapToGrid/>
        <w:spacing w:line="360" w:lineRule="auto"/>
        <w:ind w:left="63" w:leftChars="0" w:right="63" w:hanging="63" w:hangingChars="30"/>
        <w:jc w:val="left"/>
        <w:textAlignment w:val="auto"/>
        <w:rPr>
          <w:rFonts w:ascii="Times New Roman" w:cs="Times New Roman"/>
          <w:color w:val="auto"/>
          <w:kern w:val="2"/>
          <w:lang w:val="zh-CN"/>
        </w:rPr>
      </w:pPr>
      <w:r>
        <w:rPr>
          <w:rFonts w:hint="eastAsia" w:ascii="Times New Roman" w:hAnsi="宋体" w:cs="仿宋"/>
          <w:color w:val="auto"/>
          <w:kern w:val="2"/>
          <w:lang w:val="zh-CN"/>
        </w:rPr>
        <w:t>1</w:t>
      </w:r>
      <w:r>
        <w:rPr>
          <w:rFonts w:hint="eastAsia" w:ascii="Times New Roman" w:hAnsi="宋体" w:cs="仿宋"/>
          <w:color w:val="auto"/>
          <w:kern w:val="2"/>
          <w:lang w:val="en-US" w:eastAsia="zh-CN"/>
        </w:rPr>
        <w:t>.</w:t>
      </w:r>
      <w:r>
        <w:rPr>
          <w:rFonts w:hint="eastAsia" w:ascii="Times New Roman" w:hAnsi="宋体" w:cs="仿宋"/>
          <w:color w:val="auto"/>
          <w:kern w:val="2"/>
          <w:lang w:val="zh-CN"/>
        </w:rPr>
        <w:t xml:space="preserve"> 从业人员、营业收入、资产总额填报上一年度数据，无上一年度数据的新成立企业可不填报。</w:t>
      </w:r>
    </w:p>
    <w:p w14:paraId="30E5796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Ansi="宋体"/>
          <w:color w:val="auto"/>
          <w:lang w:val="zh-CN"/>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7D4D32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Ansi="宋体"/>
          <w:color w:val="auto"/>
        </w:rPr>
      </w:pPr>
      <w:r>
        <w:rPr>
          <w:rFonts w:hAnsi="宋体"/>
          <w:color w:val="auto"/>
        </w:rPr>
        <w:br w:type="page"/>
      </w:r>
    </w:p>
    <w:p w14:paraId="33878865">
      <w:pPr>
        <w:widowControl/>
        <w:spacing w:before="120" w:beforeAutospacing="1" w:after="100" w:afterAutospacing="1"/>
        <w:textAlignment w:val="top"/>
        <w:rPr>
          <w:rFonts w:hAnsi="宋体"/>
          <w:color w:val="auto"/>
          <w:szCs w:val="24"/>
        </w:rPr>
      </w:pPr>
    </w:p>
    <w:p w14:paraId="72D6DC00">
      <w:pPr>
        <w:widowControl/>
        <w:spacing w:before="120" w:beforeAutospacing="1" w:after="100" w:afterAutospacing="1"/>
        <w:jc w:val="center"/>
        <w:textAlignment w:val="top"/>
        <w:rPr>
          <w:rFonts w:hAnsi="宋体"/>
          <w:b/>
          <w:bCs/>
          <w:color w:val="auto"/>
          <w:sz w:val="30"/>
          <w:szCs w:val="24"/>
        </w:rPr>
      </w:pPr>
      <w:r>
        <w:rPr>
          <w:rFonts w:hint="eastAsia" w:hAnsi="宋体"/>
          <w:b/>
          <w:bCs/>
          <w:color w:val="auto"/>
          <w:sz w:val="30"/>
          <w:szCs w:val="24"/>
        </w:rPr>
        <w:t>残疾人福利性单位声明函</w:t>
      </w:r>
      <w:r>
        <w:rPr>
          <w:rFonts w:hint="eastAsia" w:hAnsi="宋体"/>
          <w:b/>
          <w:color w:val="auto"/>
          <w:sz w:val="32"/>
          <w:szCs w:val="24"/>
        </w:rPr>
        <w:t>（格式）</w:t>
      </w:r>
    </w:p>
    <w:p w14:paraId="09B94C87">
      <w:pPr>
        <w:spacing w:line="588" w:lineRule="exact"/>
        <w:rPr>
          <w:rFonts w:hAnsi="宋体"/>
          <w:b/>
          <w:color w:val="auto"/>
          <w:spacing w:val="6"/>
          <w:kern w:val="2"/>
          <w:sz w:val="30"/>
          <w:szCs w:val="30"/>
        </w:rPr>
      </w:pPr>
    </w:p>
    <w:p w14:paraId="04C05B0E">
      <w:pPr>
        <w:spacing w:line="360" w:lineRule="auto"/>
        <w:rPr>
          <w:rFonts w:hAnsi="宋体"/>
          <w:color w:val="auto"/>
          <w:spacing w:val="6"/>
          <w:kern w:val="2"/>
          <w:szCs w:val="24"/>
        </w:rPr>
      </w:pPr>
      <w:r>
        <w:rPr>
          <w:rFonts w:hint="eastAsia" w:hAnsi="宋体"/>
          <w:color w:val="auto"/>
          <w:spacing w:val="6"/>
          <w:kern w:val="2"/>
          <w:szCs w:val="24"/>
        </w:rPr>
        <w:t>本单位郑重声明，根据《财政部</w:t>
      </w:r>
      <w:r>
        <w:rPr>
          <w:rFonts w:hAnsi="宋体"/>
          <w:color w:val="auto"/>
          <w:spacing w:val="6"/>
          <w:kern w:val="2"/>
          <w:szCs w:val="24"/>
        </w:rPr>
        <w:t xml:space="preserve"> </w:t>
      </w:r>
      <w:r>
        <w:rPr>
          <w:rFonts w:hint="eastAsia" w:hAnsi="宋体"/>
          <w:color w:val="auto"/>
          <w:spacing w:val="6"/>
          <w:kern w:val="2"/>
          <w:szCs w:val="24"/>
        </w:rPr>
        <w:t>民政部</w:t>
      </w:r>
      <w:r>
        <w:rPr>
          <w:rFonts w:hAnsi="宋体"/>
          <w:color w:val="auto"/>
          <w:spacing w:val="6"/>
          <w:kern w:val="2"/>
          <w:szCs w:val="24"/>
        </w:rPr>
        <w:t xml:space="preserve"> </w:t>
      </w:r>
      <w:r>
        <w:rPr>
          <w:rFonts w:hint="eastAsia" w:hAnsi="宋体"/>
          <w:color w:val="auto"/>
          <w:spacing w:val="6"/>
          <w:kern w:val="2"/>
          <w:szCs w:val="24"/>
        </w:rPr>
        <w:t>中国残疾人联合会关于促进残疾人就业政府采购政策的通知》（财库</w:t>
      </w:r>
      <w:r>
        <w:rPr>
          <w:rFonts w:hint="eastAsia" w:hAnsi="宋体"/>
          <w:color w:val="auto"/>
          <w:kern w:val="2"/>
          <w:szCs w:val="24"/>
        </w:rPr>
        <w:t>〔</w:t>
      </w:r>
      <w:r>
        <w:rPr>
          <w:rFonts w:hAnsi="宋体"/>
          <w:color w:val="auto"/>
          <w:kern w:val="2"/>
          <w:szCs w:val="24"/>
        </w:rPr>
        <w:t>2017</w:t>
      </w:r>
      <w:r>
        <w:rPr>
          <w:rFonts w:hint="eastAsia" w:hAnsi="宋体"/>
          <w:color w:val="auto"/>
          <w:kern w:val="2"/>
          <w:szCs w:val="24"/>
        </w:rPr>
        <w:t>〕</w:t>
      </w:r>
      <w:r>
        <w:rPr>
          <w:rFonts w:hAnsi="宋体"/>
          <w:color w:val="auto"/>
          <w:kern w:val="2"/>
          <w:szCs w:val="24"/>
        </w:rPr>
        <w:t xml:space="preserve"> 141</w:t>
      </w:r>
      <w:r>
        <w:rPr>
          <w:rFonts w:hint="eastAsia" w:hAnsi="宋体"/>
          <w:color w:val="auto"/>
          <w:spacing w:val="6"/>
          <w:kern w:val="2"/>
          <w:szCs w:val="24"/>
        </w:rPr>
        <w:t>号）的规定，本单位为符合条件的残疾人福利性单位，且本单位参加</w:t>
      </w:r>
      <w:r>
        <w:rPr>
          <w:rFonts w:hAnsi="宋体"/>
          <w:color w:val="auto"/>
          <w:spacing w:val="6"/>
          <w:kern w:val="2"/>
          <w:szCs w:val="24"/>
          <w:u w:val="single"/>
        </w:rPr>
        <w:t xml:space="preserve">       </w:t>
      </w:r>
      <w:r>
        <w:rPr>
          <w:rFonts w:hint="eastAsia" w:hAnsi="宋体"/>
          <w:color w:val="auto"/>
          <w:spacing w:val="6"/>
          <w:kern w:val="2"/>
          <w:szCs w:val="24"/>
        </w:rPr>
        <w:t>单位的</w:t>
      </w:r>
      <w:r>
        <w:rPr>
          <w:rFonts w:hAnsi="宋体"/>
          <w:color w:val="auto"/>
          <w:spacing w:val="6"/>
          <w:kern w:val="2"/>
          <w:szCs w:val="24"/>
          <w:u w:val="single"/>
        </w:rPr>
        <w:t xml:space="preserve">        </w:t>
      </w:r>
      <w:r>
        <w:rPr>
          <w:rFonts w:hint="eastAsia" w:hAnsi="宋体"/>
          <w:color w:val="auto"/>
          <w:spacing w:val="6"/>
          <w:kern w:val="2"/>
          <w:szCs w:val="24"/>
        </w:rPr>
        <w:t>项目采购活动提供本单位制造的货物（由本单位承担工程</w:t>
      </w:r>
      <w:r>
        <w:rPr>
          <w:rFonts w:hAnsi="宋体"/>
          <w:color w:val="auto"/>
          <w:spacing w:val="6"/>
          <w:kern w:val="2"/>
          <w:szCs w:val="24"/>
        </w:rPr>
        <w:t>/</w:t>
      </w:r>
      <w:r>
        <w:rPr>
          <w:rFonts w:hint="eastAsia" w:hAnsi="宋体"/>
          <w:color w:val="auto"/>
          <w:spacing w:val="6"/>
          <w:kern w:val="2"/>
          <w:szCs w:val="24"/>
        </w:rPr>
        <w:t>提供服务），或者提供其他残疾人福利性单位制造的货物（不包括使用非残疾人福利性单位注册商标的货物）。</w:t>
      </w:r>
    </w:p>
    <w:p w14:paraId="3F5CF62E">
      <w:pPr>
        <w:spacing w:line="360" w:lineRule="auto"/>
        <w:rPr>
          <w:rFonts w:hAnsi="宋体"/>
          <w:color w:val="auto"/>
          <w:spacing w:val="6"/>
          <w:kern w:val="2"/>
          <w:szCs w:val="24"/>
        </w:rPr>
      </w:pPr>
      <w:r>
        <w:rPr>
          <w:rFonts w:hint="eastAsia" w:hAnsi="宋体"/>
          <w:color w:val="auto"/>
          <w:spacing w:val="6"/>
          <w:kern w:val="2"/>
          <w:szCs w:val="24"/>
        </w:rPr>
        <w:t>本单位对上述声明的真实性负责。如有虚假，将依法承担相应责任。</w:t>
      </w:r>
    </w:p>
    <w:p w14:paraId="2A09FD6E">
      <w:pPr>
        <w:spacing w:line="360" w:lineRule="auto"/>
        <w:rPr>
          <w:rFonts w:hAnsi="宋体"/>
          <w:color w:val="auto"/>
          <w:spacing w:val="6"/>
          <w:kern w:val="2"/>
          <w:szCs w:val="24"/>
        </w:rPr>
      </w:pPr>
    </w:p>
    <w:p w14:paraId="000236C4">
      <w:pPr>
        <w:spacing w:line="360" w:lineRule="auto"/>
        <w:rPr>
          <w:rFonts w:hAnsi="宋体"/>
          <w:color w:val="auto"/>
          <w:spacing w:val="6"/>
          <w:kern w:val="2"/>
          <w:szCs w:val="24"/>
        </w:rPr>
      </w:pPr>
    </w:p>
    <w:p w14:paraId="2FA753B1">
      <w:pPr>
        <w:autoSpaceDE w:val="0"/>
        <w:autoSpaceDN w:val="0"/>
        <w:adjustRightInd w:val="0"/>
        <w:spacing w:line="480" w:lineRule="auto"/>
        <w:ind w:right="296" w:rightChars="141" w:firstLine="5328" w:firstLineChars="2400"/>
        <w:jc w:val="left"/>
        <w:rPr>
          <w:rFonts w:hAnsi="宋体"/>
          <w:color w:val="auto"/>
          <w:spacing w:val="6"/>
          <w:kern w:val="2"/>
          <w:szCs w:val="24"/>
          <w:highlight w:val="none"/>
        </w:rPr>
      </w:pPr>
      <w:r>
        <w:rPr>
          <w:rFonts w:hint="eastAsia" w:hAnsi="宋体"/>
          <w:color w:val="auto"/>
          <w:spacing w:val="6"/>
          <w:kern w:val="2"/>
          <w:szCs w:val="24"/>
          <w:highlight w:val="none"/>
        </w:rPr>
        <w:t>单位名称（</w:t>
      </w:r>
      <w:r>
        <w:rPr>
          <w:rFonts w:hint="eastAsia" w:hAnsi="宋体" w:cs="Times New Roman"/>
          <w:color w:val="auto"/>
          <w:szCs w:val="21"/>
          <w:highlight w:val="none"/>
        </w:rPr>
        <w:t>盖单位电子公章</w:t>
      </w:r>
      <w:r>
        <w:rPr>
          <w:rFonts w:hint="eastAsia" w:hAnsi="宋体"/>
          <w:color w:val="auto"/>
          <w:spacing w:val="6"/>
          <w:kern w:val="2"/>
          <w:szCs w:val="24"/>
          <w:highlight w:val="none"/>
        </w:rPr>
        <w:t>）：</w:t>
      </w:r>
      <w:r>
        <w:rPr>
          <w:rFonts w:hAnsi="宋体"/>
          <w:color w:val="auto"/>
          <w:szCs w:val="21"/>
          <w:highlight w:val="none"/>
          <w:u w:val="single"/>
        </w:rPr>
        <w:t xml:space="preserve">                  </w:t>
      </w:r>
    </w:p>
    <w:p w14:paraId="7C9C6170">
      <w:pPr>
        <w:tabs>
          <w:tab w:val="left" w:pos="4860"/>
        </w:tabs>
        <w:spacing w:line="360" w:lineRule="auto"/>
        <w:ind w:right="265"/>
        <w:jc w:val="center"/>
        <w:rPr>
          <w:rFonts w:hAnsi="宋体"/>
          <w:color w:val="auto"/>
          <w:spacing w:val="6"/>
          <w:kern w:val="2"/>
          <w:szCs w:val="24"/>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33144056">
      <w:pPr>
        <w:tabs>
          <w:tab w:val="left" w:pos="4860"/>
        </w:tabs>
        <w:spacing w:line="360" w:lineRule="auto"/>
        <w:ind w:right="265"/>
        <w:rPr>
          <w:rFonts w:hAnsi="宋体"/>
          <w:color w:val="auto"/>
          <w:spacing w:val="6"/>
          <w:kern w:val="2"/>
          <w:szCs w:val="24"/>
        </w:rPr>
      </w:pPr>
    </w:p>
    <w:p w14:paraId="1AECDA85">
      <w:pPr>
        <w:pStyle w:val="44"/>
        <w:widowControl w:val="0"/>
        <w:spacing w:before="120" w:beforeAutospacing="0" w:after="0" w:afterAutospacing="0" w:line="400" w:lineRule="exact"/>
        <w:rPr>
          <w:color w:val="auto"/>
        </w:rPr>
      </w:pPr>
      <w:r>
        <w:rPr>
          <w:rFonts w:hint="eastAsia" w:cs="Times New Roman"/>
          <w:color w:val="auto"/>
          <w:kern w:val="2"/>
          <w:sz w:val="21"/>
          <w:szCs w:val="20"/>
        </w:rPr>
        <w:t>说明：</w:t>
      </w:r>
    </w:p>
    <w:p w14:paraId="023D2F87">
      <w:pPr>
        <w:snapToGrid w:val="0"/>
        <w:spacing w:before="120" w:after="50"/>
        <w:rPr>
          <w:rFonts w:hAnsi="宋体"/>
          <w:bCs/>
          <w:color w:val="auto"/>
        </w:rPr>
      </w:pPr>
      <w:r>
        <w:rPr>
          <w:rFonts w:hint="eastAsia" w:hAnsi="宋体"/>
          <w:bCs/>
          <w:color w:val="auto"/>
          <w:kern w:val="2"/>
          <w:lang w:bidi="ar"/>
        </w:rPr>
        <w:t>1.本声明函主要供参加政府采购活动的残疾人福利性单位填写，非残疾人福利性单位无需填写。</w:t>
      </w:r>
    </w:p>
    <w:p w14:paraId="6DC83F8C">
      <w:pPr>
        <w:pStyle w:val="44"/>
        <w:widowControl w:val="0"/>
        <w:spacing w:before="120" w:beforeAutospacing="0" w:after="0" w:afterAutospacing="0" w:line="360" w:lineRule="auto"/>
        <w:rPr>
          <w:color w:val="auto"/>
        </w:rPr>
      </w:pPr>
      <w:r>
        <w:rPr>
          <w:rFonts w:cs="Times New Roman"/>
          <w:color w:val="auto"/>
          <w:kern w:val="2"/>
          <w:sz w:val="21"/>
        </w:rPr>
        <w:t>2.竞标人应根据国家相关规定及自身真实情况编制《残疾人福利性单位声明函》，并了解由此可能需要承担的法律责任。</w:t>
      </w:r>
    </w:p>
    <w:p w14:paraId="69343B2A">
      <w:pPr>
        <w:pStyle w:val="44"/>
        <w:widowControl w:val="0"/>
        <w:spacing w:before="120" w:beforeAutospacing="0" w:after="0" w:afterAutospacing="0" w:line="360" w:lineRule="auto"/>
        <w:rPr>
          <w:bCs/>
          <w:color w:val="auto"/>
        </w:rPr>
      </w:pPr>
      <w:r>
        <w:rPr>
          <w:bCs/>
          <w:color w:val="auto"/>
          <w:kern w:val="2"/>
          <w:sz w:val="21"/>
        </w:rPr>
        <w:t>3.成交人提供的《残疾人福利性单位声明函》随《成交结果公告》在相应网站一并公布。</w:t>
      </w:r>
    </w:p>
    <w:p w14:paraId="0A7852E9">
      <w:pPr>
        <w:widowControl/>
        <w:jc w:val="left"/>
        <w:rPr>
          <w:rFonts w:hAnsi="宋体"/>
          <w:color w:val="auto"/>
        </w:rPr>
      </w:pPr>
      <w:r>
        <w:rPr>
          <w:rFonts w:hAnsi="宋体"/>
          <w:color w:val="auto"/>
        </w:rPr>
        <w:br w:type="page"/>
      </w:r>
    </w:p>
    <w:p w14:paraId="64B5D5C8">
      <w:pPr>
        <w:pStyle w:val="19"/>
        <w:ind w:firstLine="419" w:firstLineChars="149"/>
        <w:jc w:val="center"/>
        <w:rPr>
          <w:rFonts w:hAnsi="宋体"/>
          <w:b/>
          <w:color w:val="auto"/>
          <w:spacing w:val="-17"/>
          <w:sz w:val="24"/>
          <w:szCs w:val="24"/>
          <w:highlight w:val="none"/>
        </w:rPr>
      </w:pPr>
      <w:r>
        <w:rPr>
          <w:rFonts w:hint="eastAsia" w:hAnsi="宋体"/>
          <w:b/>
          <w:color w:val="auto"/>
          <w:sz w:val="28"/>
          <w:szCs w:val="28"/>
          <w:highlight w:val="none"/>
        </w:rPr>
        <w:t>（</w:t>
      </w:r>
      <w:r>
        <w:rPr>
          <w:rFonts w:hint="eastAsia" w:hAnsi="宋体"/>
          <w:b/>
          <w:color w:val="auto"/>
          <w:sz w:val="28"/>
          <w:szCs w:val="28"/>
          <w:highlight w:val="none"/>
          <w:lang w:eastAsia="zh-CN"/>
        </w:rPr>
        <w:t>七</w:t>
      </w:r>
      <w:r>
        <w:rPr>
          <w:rFonts w:hint="eastAsia" w:hAnsi="宋体"/>
          <w:b/>
          <w:color w:val="auto"/>
          <w:sz w:val="28"/>
          <w:szCs w:val="28"/>
          <w:highlight w:val="none"/>
        </w:rPr>
        <w:t>）无串通投标行为的承诺函</w:t>
      </w:r>
    </w:p>
    <w:p w14:paraId="2ED74900">
      <w:pPr>
        <w:snapToGrid w:val="0"/>
        <w:spacing w:before="165" w:beforeLines="50" w:after="50"/>
        <w:rPr>
          <w:rFonts w:hAnsi="宋体"/>
          <w:b/>
          <w:color w:val="auto"/>
          <w:sz w:val="24"/>
          <w:szCs w:val="24"/>
          <w:highlight w:val="none"/>
        </w:rPr>
      </w:pPr>
    </w:p>
    <w:p w14:paraId="14185BB2">
      <w:pPr>
        <w:spacing w:line="400" w:lineRule="exact"/>
        <w:contextualSpacing/>
        <w:jc w:val="left"/>
        <w:rPr>
          <w:rFonts w:hAnsi="宋体"/>
          <w:b/>
          <w:color w:val="auto"/>
          <w:szCs w:val="21"/>
          <w:highlight w:val="none"/>
        </w:rPr>
      </w:pPr>
      <w:r>
        <w:rPr>
          <w:rFonts w:hint="eastAsia" w:hAnsi="宋体"/>
          <w:b/>
          <w:color w:val="auto"/>
          <w:szCs w:val="21"/>
          <w:highlight w:val="none"/>
        </w:rPr>
        <w:t>一、我方承诺无下列相互串通投标的情形：</w:t>
      </w:r>
    </w:p>
    <w:p w14:paraId="05827536">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 xml:space="preserve">由同一单位或者个人编制； </w:t>
      </w:r>
    </w:p>
    <w:p w14:paraId="78D75F4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2.不同</w:t>
      </w:r>
      <w:r>
        <w:rPr>
          <w:rFonts w:hint="eastAsia" w:hAnsi="宋体"/>
          <w:color w:val="auto"/>
          <w:szCs w:val="21"/>
          <w:highlight w:val="none"/>
          <w:lang w:eastAsia="zh-CN"/>
        </w:rPr>
        <w:t>供应商</w:t>
      </w:r>
      <w:r>
        <w:rPr>
          <w:rFonts w:hint="eastAsia" w:hAnsi="宋体"/>
          <w:color w:val="auto"/>
          <w:szCs w:val="21"/>
          <w:highlight w:val="none"/>
        </w:rPr>
        <w:t>委托同一单位或者个人办理投标事宜；</w:t>
      </w:r>
    </w:p>
    <w:p w14:paraId="796EE54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3.不同的</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载明的项目管理员为同一个人；</w:t>
      </w:r>
    </w:p>
    <w:p w14:paraId="2E5EE7E1">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异常一致或者投标报价呈规律性差异；</w:t>
      </w:r>
    </w:p>
    <w:p w14:paraId="09F26BCC">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5.不同</w:t>
      </w:r>
      <w:r>
        <w:rPr>
          <w:rFonts w:hint="eastAsia" w:hAnsi="宋体"/>
          <w:color w:val="auto"/>
          <w:szCs w:val="21"/>
          <w:highlight w:val="none"/>
          <w:lang w:eastAsia="zh-CN"/>
        </w:rPr>
        <w:t>供应商</w:t>
      </w:r>
      <w:r>
        <w:rPr>
          <w:rFonts w:hint="eastAsia" w:hAnsi="宋体"/>
          <w:color w:val="auto"/>
          <w:szCs w:val="21"/>
          <w:highlight w:val="none"/>
        </w:rPr>
        <w:t>的</w:t>
      </w:r>
      <w:r>
        <w:rPr>
          <w:rFonts w:hint="eastAsia" w:hAnsi="宋体"/>
          <w:color w:val="auto"/>
          <w:szCs w:val="21"/>
          <w:highlight w:val="none"/>
          <w:lang w:eastAsia="zh-CN"/>
        </w:rPr>
        <w:t>响应文件</w:t>
      </w:r>
      <w:r>
        <w:rPr>
          <w:rFonts w:hint="eastAsia" w:hAnsi="宋体"/>
          <w:color w:val="auto"/>
          <w:szCs w:val="21"/>
          <w:highlight w:val="none"/>
        </w:rPr>
        <w:t>相互混装；</w:t>
      </w:r>
    </w:p>
    <w:p w14:paraId="341E286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6.不同</w:t>
      </w:r>
      <w:r>
        <w:rPr>
          <w:rFonts w:hint="eastAsia" w:hAnsi="宋体"/>
          <w:color w:val="auto"/>
          <w:szCs w:val="21"/>
          <w:highlight w:val="none"/>
          <w:lang w:eastAsia="zh-CN"/>
        </w:rPr>
        <w:t>供应商</w:t>
      </w:r>
      <w:r>
        <w:rPr>
          <w:rFonts w:hint="eastAsia" w:hAnsi="宋体"/>
          <w:color w:val="auto"/>
          <w:szCs w:val="21"/>
          <w:highlight w:val="none"/>
        </w:rPr>
        <w:t>的投标保证金从同一单位或者个人账户转出。</w:t>
      </w:r>
    </w:p>
    <w:p w14:paraId="0400F993">
      <w:pPr>
        <w:spacing w:line="400" w:lineRule="exact"/>
        <w:contextualSpacing/>
        <w:jc w:val="left"/>
        <w:rPr>
          <w:rFonts w:hAnsi="宋体"/>
          <w:color w:val="auto"/>
          <w:szCs w:val="21"/>
          <w:highlight w:val="none"/>
        </w:rPr>
      </w:pPr>
      <w:r>
        <w:rPr>
          <w:rFonts w:hint="eastAsia" w:hAnsi="宋体"/>
          <w:b/>
          <w:color w:val="auto"/>
          <w:szCs w:val="21"/>
          <w:highlight w:val="none"/>
        </w:rPr>
        <w:t>二、我方承诺无下列恶意串通的情形：</w:t>
      </w:r>
    </w:p>
    <w:p w14:paraId="34731D12">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eastAsia="zh-CN"/>
        </w:rPr>
        <w:t>供应商</w:t>
      </w:r>
      <w:r>
        <w:rPr>
          <w:rFonts w:hint="eastAsia" w:hAnsi="宋体"/>
          <w:color w:val="auto"/>
          <w:szCs w:val="21"/>
          <w:highlight w:val="none"/>
        </w:rPr>
        <w:t>直接或者间接从采购人或者采购代理机构处获得其他</w:t>
      </w:r>
      <w:r>
        <w:rPr>
          <w:rFonts w:hint="eastAsia" w:hAnsi="宋体"/>
          <w:color w:val="auto"/>
          <w:szCs w:val="21"/>
          <w:highlight w:val="none"/>
          <w:lang w:eastAsia="zh-CN"/>
        </w:rPr>
        <w:t>供应商</w:t>
      </w:r>
      <w:r>
        <w:rPr>
          <w:rFonts w:hint="eastAsia" w:hAnsi="宋体"/>
          <w:color w:val="auto"/>
          <w:szCs w:val="21"/>
          <w:highlight w:val="none"/>
        </w:rPr>
        <w:t>的相关信息并修改其投标文件或者</w:t>
      </w:r>
      <w:r>
        <w:rPr>
          <w:rFonts w:hint="eastAsia" w:hAnsi="宋体"/>
          <w:bCs/>
          <w:color w:val="auto"/>
          <w:szCs w:val="21"/>
          <w:highlight w:val="none"/>
        </w:rPr>
        <w:t>响应文件</w:t>
      </w:r>
      <w:r>
        <w:rPr>
          <w:rFonts w:hint="eastAsia" w:hAnsi="宋体"/>
          <w:color w:val="auto"/>
          <w:szCs w:val="21"/>
          <w:highlight w:val="none"/>
        </w:rPr>
        <w:t>；</w:t>
      </w:r>
    </w:p>
    <w:p w14:paraId="3F2F1CDF">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供应商</w:t>
      </w:r>
      <w:r>
        <w:rPr>
          <w:rFonts w:hint="eastAsia" w:hAnsi="宋体"/>
          <w:color w:val="auto"/>
          <w:szCs w:val="21"/>
          <w:highlight w:val="none"/>
        </w:rPr>
        <w:t>按照采购人或者采购代理机构的授意撤换、修改投标文件或者</w:t>
      </w:r>
      <w:r>
        <w:rPr>
          <w:rFonts w:hint="eastAsia" w:hAnsi="宋体"/>
          <w:color w:val="auto"/>
          <w:szCs w:val="21"/>
          <w:highlight w:val="none"/>
          <w:lang w:eastAsia="zh-CN"/>
        </w:rPr>
        <w:t>响应文件</w:t>
      </w:r>
      <w:r>
        <w:rPr>
          <w:rFonts w:hint="eastAsia" w:hAnsi="宋体"/>
          <w:color w:val="auto"/>
          <w:szCs w:val="21"/>
          <w:highlight w:val="none"/>
        </w:rPr>
        <w:t>；</w:t>
      </w:r>
    </w:p>
    <w:p w14:paraId="0D736EFB">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eastAsia="zh-CN"/>
        </w:rPr>
        <w:t>供应商</w:t>
      </w:r>
      <w:r>
        <w:rPr>
          <w:rFonts w:hint="eastAsia" w:hAnsi="宋体"/>
          <w:color w:val="auto"/>
          <w:szCs w:val="21"/>
          <w:highlight w:val="none"/>
        </w:rPr>
        <w:t>之间协商报价、技术方案等投标文件或者</w:t>
      </w:r>
      <w:r>
        <w:rPr>
          <w:rFonts w:hint="eastAsia" w:hAnsi="宋体"/>
          <w:bCs/>
          <w:color w:val="auto"/>
          <w:szCs w:val="21"/>
          <w:highlight w:val="none"/>
        </w:rPr>
        <w:t>响应文件</w:t>
      </w:r>
      <w:r>
        <w:rPr>
          <w:rFonts w:hint="eastAsia" w:hAnsi="宋体"/>
          <w:color w:val="auto"/>
          <w:szCs w:val="21"/>
          <w:highlight w:val="none"/>
        </w:rPr>
        <w:t>的实质性内容；</w:t>
      </w:r>
    </w:p>
    <w:p w14:paraId="2075501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4.属于同一集团、协会、商会等组织成员的</w:t>
      </w:r>
      <w:r>
        <w:rPr>
          <w:rFonts w:hint="eastAsia" w:hAnsi="宋体"/>
          <w:color w:val="auto"/>
          <w:szCs w:val="21"/>
          <w:highlight w:val="none"/>
          <w:lang w:eastAsia="zh-CN"/>
        </w:rPr>
        <w:t>供应商</w:t>
      </w:r>
      <w:r>
        <w:rPr>
          <w:rFonts w:hint="eastAsia" w:hAnsi="宋体"/>
          <w:color w:val="auto"/>
          <w:szCs w:val="21"/>
          <w:highlight w:val="none"/>
        </w:rPr>
        <w:t>按照该组织要求协同参加政府采购活动；</w:t>
      </w:r>
    </w:p>
    <w:p w14:paraId="4F8EC2C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w:t>
      </w:r>
      <w:r>
        <w:rPr>
          <w:rFonts w:hint="eastAsia" w:hAnsi="宋体"/>
          <w:color w:val="auto"/>
          <w:szCs w:val="21"/>
          <w:highlight w:val="none"/>
          <w:lang w:eastAsia="zh-CN"/>
        </w:rPr>
        <w:t>供应商</w:t>
      </w:r>
      <w:r>
        <w:rPr>
          <w:rFonts w:hint="eastAsia" w:hAnsi="宋体"/>
          <w:color w:val="auto"/>
          <w:szCs w:val="21"/>
          <w:highlight w:val="none"/>
        </w:rPr>
        <w:t>之间事先约定一致抬高或者压低投标报价，或者在招标项目中事先约定轮流以高价位或者低价位中标，或者事先约定由某一特定</w:t>
      </w:r>
      <w:r>
        <w:rPr>
          <w:rFonts w:hint="eastAsia" w:hAnsi="宋体"/>
          <w:color w:val="auto"/>
          <w:szCs w:val="21"/>
          <w:highlight w:val="none"/>
          <w:lang w:eastAsia="zh-CN"/>
        </w:rPr>
        <w:t>供应商</w:t>
      </w:r>
      <w:r>
        <w:rPr>
          <w:rFonts w:hint="eastAsia" w:hAnsi="宋体"/>
          <w:color w:val="auto"/>
          <w:szCs w:val="21"/>
          <w:highlight w:val="none"/>
        </w:rPr>
        <w:t>中标，然后再参加投标；</w:t>
      </w:r>
    </w:p>
    <w:p w14:paraId="32D2EAC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w:t>
      </w:r>
      <w:r>
        <w:rPr>
          <w:rFonts w:hint="eastAsia" w:hAnsi="宋体"/>
          <w:color w:val="auto"/>
          <w:szCs w:val="21"/>
          <w:highlight w:val="none"/>
          <w:lang w:eastAsia="zh-CN"/>
        </w:rPr>
        <w:t>供应商</w:t>
      </w:r>
      <w:r>
        <w:rPr>
          <w:rFonts w:hint="eastAsia" w:hAnsi="宋体"/>
          <w:color w:val="auto"/>
          <w:szCs w:val="21"/>
          <w:highlight w:val="none"/>
        </w:rPr>
        <w:t>之间商定部分</w:t>
      </w:r>
      <w:r>
        <w:rPr>
          <w:rFonts w:hint="eastAsia" w:hAnsi="宋体"/>
          <w:color w:val="auto"/>
          <w:szCs w:val="21"/>
          <w:highlight w:val="none"/>
          <w:lang w:eastAsia="zh-CN"/>
        </w:rPr>
        <w:t>供应商</w:t>
      </w:r>
      <w:r>
        <w:rPr>
          <w:rFonts w:hint="eastAsia" w:hAnsi="宋体"/>
          <w:color w:val="auto"/>
          <w:szCs w:val="21"/>
          <w:highlight w:val="none"/>
        </w:rPr>
        <w:t>放弃参加政府采购活动或者放弃中标；</w:t>
      </w:r>
    </w:p>
    <w:p w14:paraId="60861E73">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7.</w:t>
      </w:r>
      <w:r>
        <w:rPr>
          <w:rFonts w:hint="eastAsia" w:hAnsi="宋体"/>
          <w:color w:val="auto"/>
          <w:szCs w:val="21"/>
          <w:highlight w:val="none"/>
          <w:lang w:eastAsia="zh-CN"/>
        </w:rPr>
        <w:t>供应商</w:t>
      </w:r>
      <w:r>
        <w:rPr>
          <w:rFonts w:hint="eastAsia" w:hAnsi="宋体"/>
          <w:color w:val="auto"/>
          <w:szCs w:val="21"/>
          <w:highlight w:val="none"/>
        </w:rPr>
        <w:t>与采购人或者采购代理机构之间、</w:t>
      </w:r>
      <w:r>
        <w:rPr>
          <w:rFonts w:hint="eastAsia" w:hAnsi="宋体"/>
          <w:color w:val="auto"/>
          <w:szCs w:val="21"/>
          <w:highlight w:val="none"/>
          <w:lang w:eastAsia="zh-CN"/>
        </w:rPr>
        <w:t>供应商</w:t>
      </w:r>
      <w:r>
        <w:rPr>
          <w:rFonts w:hint="eastAsia" w:hAnsi="宋体"/>
          <w:color w:val="auto"/>
          <w:szCs w:val="21"/>
          <w:highlight w:val="none"/>
        </w:rPr>
        <w:t>相互之间，为谋求特定</w:t>
      </w:r>
      <w:r>
        <w:rPr>
          <w:rFonts w:hint="eastAsia" w:hAnsi="宋体"/>
          <w:color w:val="auto"/>
          <w:szCs w:val="21"/>
          <w:highlight w:val="none"/>
          <w:lang w:eastAsia="zh-CN"/>
        </w:rPr>
        <w:t>供应商</w:t>
      </w:r>
      <w:r>
        <w:rPr>
          <w:rFonts w:hint="eastAsia" w:hAnsi="宋体"/>
          <w:color w:val="auto"/>
          <w:szCs w:val="21"/>
          <w:highlight w:val="none"/>
        </w:rPr>
        <w:t>中标或者排斥其他</w:t>
      </w:r>
      <w:r>
        <w:rPr>
          <w:rFonts w:hint="eastAsia" w:hAnsi="宋体"/>
          <w:color w:val="auto"/>
          <w:szCs w:val="21"/>
          <w:highlight w:val="none"/>
          <w:lang w:eastAsia="zh-CN"/>
        </w:rPr>
        <w:t>供应商</w:t>
      </w:r>
      <w:r>
        <w:rPr>
          <w:rFonts w:hint="eastAsia" w:hAnsi="宋体"/>
          <w:color w:val="auto"/>
          <w:szCs w:val="21"/>
          <w:highlight w:val="none"/>
        </w:rPr>
        <w:t>的其他串通行为。</w:t>
      </w:r>
    </w:p>
    <w:p w14:paraId="144AFE2B">
      <w:pPr>
        <w:spacing w:line="400" w:lineRule="exact"/>
        <w:ind w:firstLine="413" w:firstLineChars="196"/>
        <w:contextualSpacing/>
        <w:jc w:val="left"/>
        <w:rPr>
          <w:rFonts w:hAnsi="宋体"/>
          <w:b/>
          <w:color w:val="auto"/>
          <w:szCs w:val="21"/>
          <w:highlight w:val="none"/>
        </w:rPr>
      </w:pPr>
      <w:r>
        <w:rPr>
          <w:rFonts w:hint="eastAsia" w:hAnsi="宋体"/>
          <w:b/>
          <w:color w:val="auto"/>
          <w:szCs w:val="21"/>
          <w:highlight w:val="none"/>
        </w:rPr>
        <w:t>以上情形一经核查属实，我方愿意承担一切后果，并不再寻求任何旨在减轻或者免除法律责任的辩解。</w:t>
      </w:r>
    </w:p>
    <w:p w14:paraId="66AECD47">
      <w:pPr>
        <w:pStyle w:val="19"/>
        <w:rPr>
          <w:rFonts w:hAnsi="宋体"/>
          <w:color w:val="auto"/>
        </w:rPr>
      </w:pPr>
    </w:p>
    <w:p w14:paraId="6C128F55">
      <w:pPr>
        <w:pStyle w:val="19"/>
        <w:rPr>
          <w:rFonts w:hAnsi="宋体"/>
          <w:color w:val="auto"/>
        </w:rPr>
      </w:pPr>
    </w:p>
    <w:p w14:paraId="15E1CE45">
      <w:pPr>
        <w:pStyle w:val="19"/>
        <w:rPr>
          <w:rFonts w:hAnsi="宋体"/>
          <w:color w:val="auto"/>
        </w:rPr>
      </w:pPr>
    </w:p>
    <w:p w14:paraId="6E1FEDFB">
      <w:pPr>
        <w:keepNext w:val="0"/>
        <w:keepLines w:val="0"/>
        <w:pageBreakBefore w:val="0"/>
        <w:widowControl w:val="0"/>
        <w:kinsoku/>
        <w:wordWrap/>
        <w:overflowPunct/>
        <w:topLinePunct w:val="0"/>
        <w:autoSpaceDE/>
        <w:autoSpaceDN/>
        <w:bidi w:val="0"/>
        <w:snapToGrid/>
        <w:spacing w:line="360" w:lineRule="auto"/>
        <w:ind w:left="0" w:leftChars="0" w:firstLine="3780" w:firstLineChars="1800"/>
        <w:rPr>
          <w:rFonts w:hint="eastAsia" w:hAnsi="宋体"/>
          <w:color w:val="auto"/>
          <w:szCs w:val="21"/>
          <w:highlight w:val="none"/>
          <w:u w:val="single"/>
          <w:lang w:val="en-US" w:eastAsia="zh-CN"/>
        </w:rPr>
      </w:pPr>
      <w:r>
        <w:rPr>
          <w:rFonts w:hint="eastAsia" w:hAnsi="宋体" w:cs="Times New Roman"/>
          <w:color w:val="auto"/>
          <w:kern w:val="2"/>
          <w:szCs w:val="20"/>
        </w:rPr>
        <w:t>供应商名称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14:paraId="27EA18DF">
      <w:pPr>
        <w:keepNext w:val="0"/>
        <w:keepLines w:val="0"/>
        <w:pageBreakBefore w:val="0"/>
        <w:widowControl w:val="0"/>
        <w:kinsoku/>
        <w:wordWrap/>
        <w:overflowPunct/>
        <w:topLinePunct w:val="0"/>
        <w:autoSpaceDE/>
        <w:autoSpaceDN/>
        <w:bidi w:val="0"/>
        <w:snapToGrid/>
        <w:spacing w:line="360" w:lineRule="auto"/>
        <w:ind w:left="0" w:leftChars="0" w:firstLine="3780" w:firstLineChars="1800"/>
        <w:rPr>
          <w:rFonts w:hAnsi="宋体"/>
          <w:color w:val="auto"/>
          <w:kern w:val="2"/>
        </w:rPr>
      </w:pPr>
      <w:r>
        <w:rPr>
          <w:rFonts w:hint="eastAsia" w:hAnsi="宋体"/>
          <w:color w:val="auto"/>
          <w:kern w:val="2"/>
        </w:rPr>
        <w:t>法定代表人（负责人）或其委托代理人（签字或盖章）：</w:t>
      </w:r>
      <w:r>
        <w:rPr>
          <w:rFonts w:hAnsi="宋体"/>
          <w:color w:val="auto"/>
          <w:kern w:val="2"/>
          <w:u w:val="single"/>
        </w:rPr>
        <w:t xml:space="preserve">                        </w:t>
      </w:r>
    </w:p>
    <w:p w14:paraId="45E0C5DE">
      <w:pPr>
        <w:pStyle w:val="19"/>
        <w:keepNext w:val="0"/>
        <w:keepLines w:val="0"/>
        <w:pageBreakBefore w:val="0"/>
        <w:widowControl w:val="0"/>
        <w:kinsoku/>
        <w:wordWrap/>
        <w:overflowPunct/>
        <w:topLinePunct w:val="0"/>
        <w:autoSpaceDE/>
        <w:autoSpaceDN/>
        <w:bidi w:val="0"/>
        <w:snapToGrid/>
        <w:spacing w:line="360" w:lineRule="auto"/>
        <w:ind w:left="63" w:leftChars="30" w:firstLine="3717" w:firstLineChars="1770"/>
        <w:jc w:val="left"/>
        <w:rPr>
          <w:rFonts w:hAnsi="宋体"/>
          <w:color w:val="auto"/>
        </w:rPr>
      </w:pPr>
      <w:r>
        <w:rPr>
          <w:rFonts w:hint="eastAsia" w:hAnsi="宋体"/>
          <w:color w:val="auto"/>
          <w:kern w:val="2"/>
        </w:rPr>
        <w:t>日期：</w:t>
      </w:r>
      <w:r>
        <w:rPr>
          <w:rFonts w:hAnsi="宋体"/>
          <w:color w:val="auto"/>
          <w:kern w:val="2"/>
          <w:u w:val="single"/>
        </w:rPr>
        <w:t xml:space="preserve">              </w:t>
      </w:r>
      <w:r>
        <w:rPr>
          <w:rFonts w:hint="eastAsia" w:hAnsi="宋体"/>
          <w:color w:val="auto"/>
          <w:kern w:val="2"/>
        </w:rPr>
        <w:t>年</w:t>
      </w:r>
      <w:r>
        <w:rPr>
          <w:rFonts w:hAnsi="宋体"/>
          <w:color w:val="auto"/>
          <w:kern w:val="2"/>
          <w:u w:val="single"/>
        </w:rPr>
        <w:t xml:space="preserve">      </w:t>
      </w:r>
      <w:r>
        <w:rPr>
          <w:rFonts w:hint="eastAsia" w:hAnsi="宋体"/>
          <w:color w:val="auto"/>
          <w:kern w:val="2"/>
        </w:rPr>
        <w:t>月</w:t>
      </w:r>
      <w:r>
        <w:rPr>
          <w:rFonts w:hAnsi="宋体"/>
          <w:color w:val="auto"/>
          <w:kern w:val="2"/>
          <w:u w:val="single"/>
        </w:rPr>
        <w:t xml:space="preserve">      </w:t>
      </w:r>
      <w:r>
        <w:rPr>
          <w:rFonts w:hint="eastAsia" w:hAnsi="宋体"/>
          <w:color w:val="auto"/>
          <w:kern w:val="2"/>
        </w:rPr>
        <w:t>日</w:t>
      </w:r>
    </w:p>
    <w:p w14:paraId="314C510F">
      <w:pPr>
        <w:pStyle w:val="19"/>
        <w:rPr>
          <w:rFonts w:hAnsi="宋体"/>
          <w:color w:val="auto"/>
        </w:rPr>
      </w:pPr>
    </w:p>
    <w:p w14:paraId="13787349">
      <w:pPr>
        <w:pStyle w:val="19"/>
        <w:rPr>
          <w:rFonts w:hAnsi="宋体"/>
          <w:color w:val="auto"/>
        </w:rPr>
      </w:pPr>
    </w:p>
    <w:p w14:paraId="13F9CDCB">
      <w:pPr>
        <w:pStyle w:val="19"/>
        <w:rPr>
          <w:rFonts w:hAnsi="宋体"/>
          <w:color w:val="auto"/>
        </w:rPr>
      </w:pPr>
    </w:p>
    <w:p w14:paraId="64608110">
      <w:pPr>
        <w:pStyle w:val="19"/>
        <w:rPr>
          <w:rFonts w:hAnsi="宋体"/>
          <w:color w:val="auto"/>
        </w:rPr>
      </w:pPr>
    </w:p>
    <w:p w14:paraId="407453A0">
      <w:pPr>
        <w:pStyle w:val="19"/>
        <w:rPr>
          <w:rFonts w:hAnsi="宋体"/>
          <w:color w:val="auto"/>
        </w:rPr>
      </w:pPr>
    </w:p>
    <w:p w14:paraId="0267177D">
      <w:pPr>
        <w:pStyle w:val="19"/>
        <w:rPr>
          <w:rFonts w:hAnsi="宋体"/>
          <w:color w:val="auto"/>
        </w:rPr>
      </w:pPr>
    </w:p>
    <w:p w14:paraId="53F2D0B1">
      <w:pPr>
        <w:pStyle w:val="19"/>
        <w:ind w:left="0" w:leftChars="0" w:firstLine="0" w:firstLineChars="0"/>
        <w:rPr>
          <w:rFonts w:hAnsi="宋体"/>
          <w:color w:val="auto"/>
        </w:rPr>
      </w:pPr>
    </w:p>
    <w:p w14:paraId="60A0632F">
      <w:pPr>
        <w:pStyle w:val="19"/>
        <w:rPr>
          <w:rFonts w:hAnsi="宋体"/>
          <w:color w:val="auto"/>
        </w:rPr>
      </w:pPr>
    </w:p>
    <w:p w14:paraId="45130D9A">
      <w:pPr>
        <w:pStyle w:val="4"/>
        <w:rPr>
          <w:rFonts w:ascii="宋体" w:hAnsi="宋体" w:eastAsia="宋体"/>
          <w:color w:val="auto"/>
          <w:sz w:val="28"/>
          <w:szCs w:val="28"/>
        </w:rPr>
      </w:pPr>
      <w:r>
        <w:rPr>
          <w:rFonts w:hint="eastAsia" w:ascii="宋体" w:hAnsi="宋体" w:eastAsia="宋体" w:cs="宋体"/>
          <w:color w:val="auto"/>
          <w:sz w:val="28"/>
          <w:szCs w:val="28"/>
        </w:rPr>
        <w:t>三、技术部分</w:t>
      </w:r>
    </w:p>
    <w:p w14:paraId="5E9790D0">
      <w:pPr>
        <w:spacing w:line="360" w:lineRule="auto"/>
        <w:rPr>
          <w:rFonts w:hint="eastAsia" w:hAnsi="宋体"/>
          <w:color w:val="auto"/>
          <w:sz w:val="24"/>
          <w:szCs w:val="24"/>
          <w:lang w:val="zh-CN"/>
        </w:rPr>
      </w:pPr>
      <w:r>
        <w:rPr>
          <w:rFonts w:hint="eastAsia" w:hAnsi="宋体"/>
          <w:color w:val="auto"/>
          <w:sz w:val="24"/>
          <w:szCs w:val="24"/>
          <w:lang w:val="en-US" w:eastAsia="zh-CN"/>
        </w:rPr>
        <w:t>(一)</w:t>
      </w:r>
      <w:r>
        <w:rPr>
          <w:rFonts w:hint="eastAsia" w:hAnsi="宋体"/>
          <w:color w:val="auto"/>
          <w:sz w:val="24"/>
          <w:szCs w:val="24"/>
          <w:lang w:val="zh-CN"/>
        </w:rPr>
        <w:t>竞标人编制技术部分时，可采用文字并结合图表形式说明包括但不限于以下内容：</w:t>
      </w:r>
    </w:p>
    <w:p w14:paraId="02B9221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bookmarkStart w:id="68" w:name="bookmark2221"/>
      <w:bookmarkEnd w:id="68"/>
      <w:r>
        <w:rPr>
          <w:rFonts w:hint="eastAsia" w:ascii="Times New Roman" w:hAnsi="Times New Roman" w:eastAsia="宋体" w:cs="Times New Roman"/>
          <w:color w:val="auto"/>
          <w:kern w:val="2"/>
          <w:sz w:val="21"/>
          <w:szCs w:val="22"/>
          <w:lang w:val="zh-CN" w:eastAsia="zh-CN" w:bidi="ar"/>
        </w:rPr>
        <w:t>（</w:t>
      </w:r>
      <w:r>
        <w:rPr>
          <w:rFonts w:hint="eastAsia" w:ascii="Times New Roman" w:cs="Times New Roman"/>
          <w:color w:val="auto"/>
          <w:kern w:val="2"/>
          <w:sz w:val="21"/>
          <w:szCs w:val="22"/>
          <w:lang w:val="en-US" w:eastAsia="zh-CN" w:bidi="ar"/>
        </w:rPr>
        <w:t>1</w:t>
      </w:r>
      <w:r>
        <w:rPr>
          <w:rFonts w:hint="eastAsia" w:ascii="Times New Roman" w:hAnsi="Times New Roman" w:eastAsia="宋体" w:cs="Times New Roman"/>
          <w:color w:val="auto"/>
          <w:kern w:val="2"/>
          <w:sz w:val="21"/>
          <w:szCs w:val="22"/>
          <w:lang w:val="zh-CN" w:eastAsia="zh-CN" w:bidi="ar"/>
        </w:rPr>
        <w:t>）服务方案</w:t>
      </w:r>
    </w:p>
    <w:p w14:paraId="3D98117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cs="Times New Roman"/>
          <w:color w:val="auto"/>
          <w:kern w:val="2"/>
          <w:sz w:val="21"/>
          <w:szCs w:val="22"/>
          <w:lang w:val="en-US" w:eastAsia="zh-CN" w:bidi="ar"/>
        </w:rPr>
        <w:t>2</w:t>
      </w:r>
      <w:r>
        <w:rPr>
          <w:rFonts w:hint="eastAsia" w:ascii="Times New Roman" w:hAnsi="Times New Roman" w:eastAsia="宋体" w:cs="Times New Roman"/>
          <w:color w:val="auto"/>
          <w:kern w:val="2"/>
          <w:sz w:val="21"/>
          <w:szCs w:val="22"/>
          <w:lang w:val="zh-CN" w:eastAsia="zh-CN" w:bidi="ar"/>
        </w:rPr>
        <w:t>）工作组织、进度安排方案</w:t>
      </w:r>
    </w:p>
    <w:p w14:paraId="2A38F25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cs="Times New Roman"/>
          <w:color w:val="auto"/>
          <w:kern w:val="2"/>
          <w:sz w:val="21"/>
          <w:szCs w:val="22"/>
          <w:lang w:val="en-US" w:eastAsia="zh-CN" w:bidi="ar"/>
        </w:rPr>
        <w:t>3</w:t>
      </w:r>
      <w:r>
        <w:rPr>
          <w:rFonts w:hint="eastAsia" w:ascii="Times New Roman" w:hAnsi="Times New Roman" w:eastAsia="宋体" w:cs="Times New Roman"/>
          <w:color w:val="auto"/>
          <w:kern w:val="2"/>
          <w:sz w:val="21"/>
          <w:szCs w:val="22"/>
          <w:lang w:val="zh-CN" w:eastAsia="zh-CN" w:bidi="ar"/>
        </w:rPr>
        <w:t>）服务承诺</w:t>
      </w:r>
    </w:p>
    <w:p w14:paraId="7741A0C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r>
        <w:rPr>
          <w:rFonts w:hint="eastAsia" w:ascii="Times New Roman" w:hAnsi="Times New Roman" w:eastAsia="宋体" w:cs="Times New Roman"/>
          <w:color w:val="auto"/>
          <w:kern w:val="2"/>
          <w:sz w:val="21"/>
          <w:szCs w:val="22"/>
          <w:lang w:val="zh-CN" w:eastAsia="zh-CN" w:bidi="ar"/>
        </w:rPr>
        <w:t>（</w:t>
      </w:r>
      <w:r>
        <w:rPr>
          <w:rFonts w:hint="eastAsia" w:ascii="Times New Roman" w:cs="Times New Roman"/>
          <w:color w:val="auto"/>
          <w:kern w:val="2"/>
          <w:sz w:val="21"/>
          <w:szCs w:val="22"/>
          <w:lang w:val="en-US" w:eastAsia="zh-CN" w:bidi="ar"/>
        </w:rPr>
        <w:t>4</w:t>
      </w:r>
      <w:r>
        <w:rPr>
          <w:rFonts w:hint="eastAsia" w:ascii="Times New Roman" w:hAnsi="Times New Roman" w:eastAsia="宋体" w:cs="Times New Roman"/>
          <w:color w:val="auto"/>
          <w:kern w:val="2"/>
          <w:sz w:val="21"/>
          <w:szCs w:val="22"/>
          <w:lang w:val="zh-CN" w:eastAsia="zh-CN" w:bidi="ar"/>
        </w:rPr>
        <w:t>）投入项目的人员情况</w:t>
      </w:r>
    </w:p>
    <w:p w14:paraId="4D26D79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imes New Roman" w:hAnsi="Times New Roman" w:eastAsia="宋体" w:cs="Times New Roman"/>
          <w:color w:val="auto"/>
          <w:kern w:val="2"/>
          <w:sz w:val="21"/>
          <w:szCs w:val="22"/>
          <w:lang w:val="zh-CN" w:eastAsia="zh-CN" w:bidi="ar"/>
        </w:rPr>
      </w:pPr>
    </w:p>
    <w:p w14:paraId="5988AF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63E349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504A3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F5535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464142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1CB742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A5686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14E88E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781C1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F4A23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6D27AA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904B0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17289B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12BCB8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58FAC2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76941D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7D1C1E6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1AB414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5E306F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DEE63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73D541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color w:val="auto"/>
          <w:sz w:val="24"/>
          <w:szCs w:val="24"/>
          <w:lang w:eastAsia="zh-CN"/>
        </w:rPr>
      </w:pPr>
    </w:p>
    <w:p w14:paraId="39738CB9">
      <w:pPr>
        <w:keepNext w:val="0"/>
        <w:keepLines w:val="0"/>
        <w:pageBreakBefore w:val="0"/>
        <w:widowControl w:val="0"/>
        <w:tabs>
          <w:tab w:val="left" w:pos="1305"/>
        </w:tabs>
        <w:kinsoku/>
        <w:wordWrap/>
        <w:overflowPunct/>
        <w:topLinePunct w:val="0"/>
        <w:autoSpaceDE/>
        <w:autoSpaceDN/>
        <w:bidi w:val="0"/>
        <w:adjustRightInd/>
        <w:snapToGrid/>
        <w:spacing w:line="360" w:lineRule="auto"/>
        <w:jc w:val="left"/>
        <w:textAlignment w:val="auto"/>
        <w:rPr>
          <w:rFonts w:hAnsi="宋体"/>
          <w:b/>
          <w:color w:val="auto"/>
          <w:sz w:val="24"/>
          <w:szCs w:val="24"/>
          <w:highlight w:val="none"/>
        </w:rPr>
      </w:pPr>
      <w:r>
        <w:rPr>
          <w:rFonts w:hint="eastAsia" w:hAnsi="宋体"/>
          <w:b/>
          <w:color w:val="auto"/>
          <w:sz w:val="24"/>
          <w:szCs w:val="24"/>
          <w:highlight w:val="none"/>
          <w:lang w:val="en-US" w:eastAsia="zh-CN"/>
        </w:rPr>
        <w:t>(二)拟投入项目的人员情况一览表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45"/>
        <w:gridCol w:w="773"/>
        <w:gridCol w:w="804"/>
        <w:gridCol w:w="1314"/>
        <w:gridCol w:w="1225"/>
        <w:gridCol w:w="1613"/>
        <w:gridCol w:w="1105"/>
        <w:gridCol w:w="1105"/>
      </w:tblGrid>
      <w:tr w14:paraId="3798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31" w:type="dxa"/>
            <w:vAlign w:val="center"/>
          </w:tcPr>
          <w:p w14:paraId="0233F3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序号</w:t>
            </w:r>
          </w:p>
        </w:tc>
        <w:tc>
          <w:tcPr>
            <w:tcW w:w="845" w:type="dxa"/>
            <w:vAlign w:val="center"/>
          </w:tcPr>
          <w:p w14:paraId="229C8D86">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姓名</w:t>
            </w:r>
          </w:p>
        </w:tc>
        <w:tc>
          <w:tcPr>
            <w:tcW w:w="773" w:type="dxa"/>
            <w:vAlign w:val="center"/>
          </w:tcPr>
          <w:p w14:paraId="26AB1B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年龄</w:t>
            </w:r>
          </w:p>
        </w:tc>
        <w:tc>
          <w:tcPr>
            <w:tcW w:w="804" w:type="dxa"/>
            <w:vAlign w:val="center"/>
          </w:tcPr>
          <w:p w14:paraId="0A22F314">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籍贯</w:t>
            </w:r>
          </w:p>
        </w:tc>
        <w:tc>
          <w:tcPr>
            <w:tcW w:w="1314" w:type="dxa"/>
            <w:vAlign w:val="center"/>
          </w:tcPr>
          <w:p w14:paraId="58913EFC">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文化程度</w:t>
            </w:r>
          </w:p>
        </w:tc>
        <w:tc>
          <w:tcPr>
            <w:tcW w:w="1225" w:type="dxa"/>
            <w:vAlign w:val="center"/>
          </w:tcPr>
          <w:p w14:paraId="21410D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岗位</w:t>
            </w:r>
          </w:p>
        </w:tc>
        <w:tc>
          <w:tcPr>
            <w:tcW w:w="1613" w:type="dxa"/>
            <w:vAlign w:val="center"/>
          </w:tcPr>
          <w:p w14:paraId="1CB85162">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拟承担工作内容</w:t>
            </w:r>
          </w:p>
        </w:tc>
        <w:tc>
          <w:tcPr>
            <w:tcW w:w="1105" w:type="dxa"/>
            <w:vAlign w:val="center"/>
          </w:tcPr>
          <w:p w14:paraId="30DF556A">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从业年限</w:t>
            </w:r>
          </w:p>
        </w:tc>
        <w:tc>
          <w:tcPr>
            <w:tcW w:w="1105" w:type="dxa"/>
            <w:vAlign w:val="center"/>
          </w:tcPr>
          <w:p w14:paraId="11E6EA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备注</w:t>
            </w:r>
          </w:p>
        </w:tc>
      </w:tr>
      <w:tr w14:paraId="296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91B6E4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14DA407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67D305F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652EBE8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120D0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F99BFA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0D9DD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A27D22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45BE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724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6946412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5F684E3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365A0DD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69C5C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4E16585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A0FA48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387F9D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CBBB6F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24E40B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41D9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B6D5D5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63AEE7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60632A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A401C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DA044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E0C211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5BAEFB6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BEC220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C2E306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37D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861CC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37ECAD7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0D19E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08984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A26761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355E65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6E08DB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A1B8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C9BBC1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90C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14860B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D3E02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E27C7C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AA785E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D5354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628E605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D88D9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3E8E7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774FA4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05E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093FA1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0D8A12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DE700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3CA29A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1DB0AB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B4506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82FF3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FEA10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690C56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C9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9D7591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3B6E7B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7C512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0413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2F1E705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BAC097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F5C9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3B570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6CC219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77B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054F6E8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4423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3B14B1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6823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A31DC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882D2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79DDCC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1BEFB2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0289F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1461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7C5F61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745C7A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7E1FBE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46C1D8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DBB7FA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1DBBF6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376D08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72E5A8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A46694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33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1" w:type="dxa"/>
            <w:vAlign w:val="center"/>
          </w:tcPr>
          <w:p w14:paraId="79B3D77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1D92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DF69D2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42CDC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4E02E6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586B31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9BF68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5E4115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01040E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bl>
    <w:p w14:paraId="21DC7A30">
      <w:pPr>
        <w:pStyle w:val="25"/>
        <w:spacing w:line="400" w:lineRule="exact"/>
        <w:rPr>
          <w:rFonts w:hint="eastAsia" w:ascii="宋体" w:hAnsi="宋体" w:eastAsia="宋体" w:cs="宋体"/>
          <w:color w:val="auto"/>
          <w:szCs w:val="21"/>
          <w:highlight w:val="none"/>
        </w:rPr>
      </w:pPr>
    </w:p>
    <w:p w14:paraId="0B31653C">
      <w:pPr>
        <w:pStyle w:val="2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Ansi="宋体"/>
          <w:color w:val="auto"/>
          <w:szCs w:val="21"/>
          <w:highlight w:val="none"/>
          <w:u w:val="single"/>
        </w:rPr>
      </w:pPr>
      <w:r>
        <w:rPr>
          <w:rFonts w:hint="eastAsia" w:hAnsi="宋体" w:cs="宋体"/>
          <w:color w:val="auto"/>
          <w:szCs w:val="21"/>
          <w:highlight w:val="none"/>
          <w:lang w:val="en-US" w:eastAsia="zh-CN"/>
        </w:rPr>
        <w:t xml:space="preserve">                                </w:t>
      </w:r>
      <w:r>
        <w:rPr>
          <w:rFonts w:hint="eastAsia" w:hAnsi="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hAnsi="宋体"/>
          <w:color w:val="auto"/>
          <w:szCs w:val="21"/>
          <w:highlight w:val="none"/>
        </w:rPr>
        <w:t>盖单位电子公章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1A13BEF">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hAnsi="宋体"/>
          <w:color w:val="auto"/>
          <w:kern w:val="2"/>
          <w:highlight w:val="none"/>
        </w:rPr>
        <w:t>（负责人）</w:t>
      </w:r>
      <w:r>
        <w:rPr>
          <w:rFonts w:hint="eastAsia" w:ascii="宋体" w:hAnsi="宋体" w:eastAsia="宋体" w:cs="宋体"/>
          <w:color w:val="auto"/>
          <w:szCs w:val="21"/>
          <w:highlight w:val="none"/>
        </w:rPr>
        <w:t>或授权委托代理人(签字或盖章）：</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D04E56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F868D8">
      <w:pPr>
        <w:tabs>
          <w:tab w:val="left" w:pos="0"/>
          <w:tab w:val="left" w:pos="2085"/>
        </w:tabs>
        <w:spacing w:line="360" w:lineRule="auto"/>
        <w:ind w:right="-21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AD54922">
      <w:pPr>
        <w:tabs>
          <w:tab w:val="left" w:pos="0"/>
          <w:tab w:val="left" w:pos="2085"/>
        </w:tabs>
        <w:spacing w:line="360" w:lineRule="auto"/>
        <w:ind w:right="-210"/>
        <w:rPr>
          <w:rFonts w:hint="eastAsia" w:hAnsi="宋体"/>
          <w:color w:val="auto"/>
          <w:kern w:val="2"/>
          <w:highlight w:val="none"/>
        </w:rPr>
      </w:pPr>
      <w:r>
        <w:rPr>
          <w:rFonts w:hint="eastAsia" w:hAnsi="宋体"/>
          <w:color w:val="auto"/>
          <w:kern w:val="2"/>
          <w:highlight w:val="none"/>
          <w:lang w:val="en-US" w:eastAsia="zh-CN"/>
        </w:rPr>
        <w:t>1.</w:t>
      </w:r>
      <w:r>
        <w:rPr>
          <w:rFonts w:hint="eastAsia" w:hAnsi="宋体"/>
          <w:color w:val="auto"/>
          <w:kern w:val="2"/>
          <w:highlight w:val="none"/>
        </w:rPr>
        <w:t>本表所列岗位的所有管理人员的情况均应如实填写。可按以上格式扩展为多页填写，每一页均应加盖</w:t>
      </w:r>
      <w:r>
        <w:rPr>
          <w:rFonts w:hint="eastAsia" w:hAnsi="宋体"/>
          <w:color w:val="auto"/>
          <w:kern w:val="2"/>
          <w:highlight w:val="none"/>
          <w:lang w:eastAsia="zh-CN"/>
        </w:rPr>
        <w:t>供应商</w:t>
      </w:r>
      <w:r>
        <w:rPr>
          <w:rFonts w:hint="eastAsia" w:hAnsi="宋体"/>
          <w:color w:val="auto"/>
          <w:kern w:val="2"/>
          <w:highlight w:val="none"/>
        </w:rPr>
        <w:t>单位章和由</w:t>
      </w:r>
      <w:r>
        <w:rPr>
          <w:rFonts w:hint="eastAsia" w:hAnsi="宋体"/>
          <w:color w:val="auto"/>
          <w:kern w:val="2"/>
          <w:highlight w:val="none"/>
          <w:lang w:eastAsia="zh-CN"/>
        </w:rPr>
        <w:t>法定代表人（负责人）</w:t>
      </w:r>
      <w:r>
        <w:rPr>
          <w:rFonts w:hint="eastAsia" w:hAnsi="宋体"/>
          <w:color w:val="auto"/>
          <w:kern w:val="2"/>
          <w:highlight w:val="none"/>
        </w:rPr>
        <w:t>或授权委托代理人签字或盖章。</w:t>
      </w:r>
    </w:p>
    <w:p w14:paraId="2DFF0A73">
      <w:pPr>
        <w:tabs>
          <w:tab w:val="left" w:pos="0"/>
          <w:tab w:val="left" w:pos="2085"/>
        </w:tabs>
        <w:spacing w:line="360" w:lineRule="auto"/>
        <w:ind w:right="-210"/>
        <w:rPr>
          <w:rFonts w:hint="eastAsia" w:hAnsi="宋体"/>
          <w:color w:val="auto"/>
          <w:kern w:val="2"/>
          <w:highlight w:val="none"/>
          <w:lang w:val="en-US" w:eastAsia="zh-CN"/>
        </w:rPr>
      </w:pPr>
      <w:r>
        <w:rPr>
          <w:rFonts w:hint="eastAsia" w:hAnsi="宋体"/>
          <w:color w:val="auto"/>
          <w:kern w:val="2"/>
          <w:highlight w:val="none"/>
          <w:lang w:val="en-US" w:eastAsia="zh-CN"/>
        </w:rPr>
        <w:t>2.附各岗位人员资格证件（如有</w:t>
      </w:r>
      <w:r>
        <w:rPr>
          <w:rFonts w:hint="eastAsia" w:ascii="宋体" w:hAnsi="宋体" w:eastAsia="宋体" w:cs="Times New Roman"/>
          <w:color w:val="auto"/>
          <w:kern w:val="2"/>
          <w:sz w:val="21"/>
          <w:highlight w:val="none"/>
          <w:lang w:val="en-US" w:eastAsia="zh-CN" w:bidi="ar-SA"/>
        </w:rPr>
        <w:t>）</w:t>
      </w:r>
      <w:r>
        <w:rPr>
          <w:rFonts w:hint="eastAsia" w:hAnsi="宋体"/>
          <w:color w:val="auto"/>
          <w:kern w:val="2"/>
          <w:highlight w:val="none"/>
          <w:lang w:val="en-US" w:eastAsia="zh-CN"/>
        </w:rPr>
        <w:t>及身份证扫描件、资格证件（如有）、劳动合同等证明材料扫描件并加盖单位公章。</w:t>
      </w:r>
    </w:p>
    <w:p w14:paraId="7BB6A0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Ansi="宋体"/>
          <w:b/>
          <w:bCs/>
          <w:color w:val="auto"/>
          <w:kern w:val="2"/>
          <w:sz w:val="28"/>
          <w:szCs w:val="28"/>
        </w:rPr>
      </w:pPr>
      <w:r>
        <w:rPr>
          <w:rFonts w:hAnsi="宋体"/>
          <w:color w:val="auto"/>
          <w:sz w:val="28"/>
          <w:szCs w:val="28"/>
        </w:rPr>
        <w:br w:type="page"/>
      </w:r>
    </w:p>
    <w:p w14:paraId="18DF2F37">
      <w:pPr>
        <w:pStyle w:val="4"/>
        <w:rPr>
          <w:rFonts w:ascii="宋体" w:hAnsi="宋体" w:eastAsia="宋体"/>
          <w:color w:val="auto"/>
        </w:rPr>
      </w:pPr>
      <w:r>
        <w:rPr>
          <w:rFonts w:hint="eastAsia" w:ascii="宋体" w:hAnsi="宋体" w:eastAsia="宋体" w:cs="宋体"/>
          <w:color w:val="auto"/>
          <w:sz w:val="28"/>
          <w:szCs w:val="28"/>
        </w:rPr>
        <w:t>四、信誉实力（如有）</w:t>
      </w:r>
    </w:p>
    <w:p w14:paraId="3300D897">
      <w:pPr>
        <w:widowControl/>
        <w:spacing w:line="360" w:lineRule="auto"/>
        <w:jc w:val="left"/>
        <w:rPr>
          <w:rFonts w:hAnsi="宋体"/>
          <w:color w:val="auto"/>
        </w:rPr>
      </w:pPr>
    </w:p>
    <w:p w14:paraId="6BEC338E">
      <w:pPr>
        <w:widowControl/>
        <w:spacing w:line="360" w:lineRule="auto"/>
        <w:jc w:val="left"/>
        <w:rPr>
          <w:rFonts w:hAnsi="宋体"/>
          <w:color w:val="auto"/>
        </w:rPr>
      </w:pPr>
    </w:p>
    <w:p w14:paraId="71F20347">
      <w:pPr>
        <w:widowControl/>
        <w:spacing w:line="360" w:lineRule="auto"/>
        <w:jc w:val="left"/>
        <w:rPr>
          <w:rFonts w:hAnsi="宋体"/>
          <w:color w:val="auto"/>
        </w:rPr>
      </w:pPr>
    </w:p>
    <w:p w14:paraId="33DD291B">
      <w:pPr>
        <w:widowControl/>
        <w:spacing w:line="360" w:lineRule="auto"/>
        <w:jc w:val="left"/>
        <w:rPr>
          <w:rFonts w:hAnsi="宋体"/>
          <w:b/>
          <w:bCs/>
          <w:color w:val="auto"/>
          <w:szCs w:val="32"/>
        </w:rPr>
      </w:pPr>
      <w:r>
        <w:rPr>
          <w:rFonts w:hAnsi="宋体"/>
          <w:color w:val="auto"/>
        </w:rPr>
        <w:br w:type="page"/>
      </w:r>
    </w:p>
    <w:p w14:paraId="388A15E2">
      <w:pPr>
        <w:pStyle w:val="4"/>
        <w:rPr>
          <w:rFonts w:ascii="宋体" w:hAnsi="宋体" w:eastAsia="宋体"/>
          <w:color w:val="auto"/>
          <w:sz w:val="28"/>
          <w:szCs w:val="28"/>
        </w:rPr>
      </w:pPr>
      <w:r>
        <w:rPr>
          <w:rFonts w:hint="eastAsia" w:ascii="宋体" w:hAnsi="宋体" w:eastAsia="宋体" w:cs="宋体"/>
          <w:color w:val="auto"/>
          <w:sz w:val="28"/>
          <w:szCs w:val="28"/>
        </w:rPr>
        <w:t>五、供应商认为需要提供的其他材料（如有）</w:t>
      </w:r>
    </w:p>
    <w:p w14:paraId="7748EE5C">
      <w:pPr>
        <w:widowControl/>
        <w:jc w:val="left"/>
        <w:rPr>
          <w:rFonts w:hAnsi="宋体"/>
          <w:b/>
          <w:bCs/>
          <w:color w:val="auto"/>
          <w:sz w:val="32"/>
          <w:szCs w:val="44"/>
        </w:rPr>
      </w:pPr>
      <w:r>
        <w:rPr>
          <w:rFonts w:hAnsi="宋体"/>
          <w:color w:val="auto"/>
        </w:rPr>
        <w:br w:type="page"/>
      </w:r>
    </w:p>
    <w:p w14:paraId="11E7F3A2">
      <w:pPr>
        <w:pStyle w:val="2"/>
        <w:jc w:val="center"/>
        <w:rPr>
          <w:rFonts w:ascii="宋体" w:hAnsi="宋体" w:eastAsia="宋体"/>
          <w:color w:val="auto"/>
          <w:kern w:val="0"/>
          <w:sz w:val="21"/>
          <w:szCs w:val="21"/>
        </w:rPr>
      </w:pPr>
      <w:bookmarkStart w:id="69" w:name="_Toc14600"/>
      <w:r>
        <w:rPr>
          <w:rFonts w:hint="eastAsia" w:ascii="宋体" w:hAnsi="宋体" w:eastAsia="宋体" w:cs="宋体"/>
          <w:color w:val="auto"/>
          <w:kern w:val="0"/>
        </w:rPr>
        <w:t>第七章</w:t>
      </w:r>
      <w:r>
        <w:rPr>
          <w:rFonts w:ascii="宋体" w:hAnsi="宋体" w:eastAsia="宋体" w:cs="宋体"/>
          <w:color w:val="auto"/>
          <w:kern w:val="0"/>
        </w:rPr>
        <w:t xml:space="preserve">  </w:t>
      </w:r>
      <w:bookmarkEnd w:id="66"/>
      <w:bookmarkEnd w:id="67"/>
      <w:r>
        <w:rPr>
          <w:rFonts w:hint="eastAsia" w:ascii="宋体" w:hAnsi="宋体" w:eastAsia="宋体"/>
          <w:color w:val="auto"/>
          <w:kern w:val="0"/>
        </w:rPr>
        <w:t>项目需求和</w:t>
      </w:r>
      <w:r>
        <w:rPr>
          <w:rFonts w:ascii="宋体" w:hAnsi="宋体" w:eastAsia="宋体"/>
          <w:color w:val="auto"/>
          <w:kern w:val="0"/>
        </w:rPr>
        <w:t>说明</w:t>
      </w:r>
      <w:bookmarkEnd w:id="69"/>
    </w:p>
    <w:tbl>
      <w:tblPr>
        <w:tblStyle w:val="48"/>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52"/>
        <w:gridCol w:w="720"/>
        <w:gridCol w:w="804"/>
        <w:gridCol w:w="6218"/>
      </w:tblGrid>
      <w:tr w14:paraId="2D2A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02E0B0C4">
            <w:pPr>
              <w:keepNext w:val="0"/>
              <w:keepLines w:val="0"/>
              <w:suppressLineNumbers w:val="0"/>
              <w:tabs>
                <w:tab w:val="left" w:pos="-40"/>
                <w:tab w:val="left" w:pos="1620"/>
              </w:tabs>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52" w:type="dxa"/>
            <w:noWrap w:val="0"/>
            <w:vAlign w:val="center"/>
          </w:tcPr>
          <w:p w14:paraId="189BEBC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服务名称</w:t>
            </w:r>
          </w:p>
        </w:tc>
        <w:tc>
          <w:tcPr>
            <w:tcW w:w="720" w:type="dxa"/>
            <w:noWrap w:val="0"/>
            <w:vAlign w:val="center"/>
          </w:tcPr>
          <w:p w14:paraId="6A367E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804" w:type="dxa"/>
            <w:noWrap w:val="0"/>
            <w:vAlign w:val="center"/>
          </w:tcPr>
          <w:p w14:paraId="5BAEE1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218" w:type="dxa"/>
            <w:noWrap w:val="0"/>
            <w:vAlign w:val="center"/>
          </w:tcPr>
          <w:p w14:paraId="60730EC2">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服务内容及技术质量要求</w:t>
            </w:r>
          </w:p>
        </w:tc>
      </w:tr>
      <w:tr w14:paraId="03B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54AC79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dxa"/>
            <w:noWrap w:val="0"/>
            <w:vAlign w:val="center"/>
          </w:tcPr>
          <w:p w14:paraId="17B777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贺州市第六届运动会暨第四届全民健身运动会八步区代表团参赛组织（青少年组、成年组）服务项目</w:t>
            </w:r>
          </w:p>
        </w:tc>
        <w:tc>
          <w:tcPr>
            <w:tcW w:w="720" w:type="dxa"/>
            <w:noWrap w:val="0"/>
            <w:vAlign w:val="center"/>
          </w:tcPr>
          <w:p w14:paraId="6E07B6B7">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250" w:right="0" w:hanging="249" w:hangingChars="119"/>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04" w:type="dxa"/>
            <w:noWrap w:val="0"/>
            <w:vAlign w:val="center"/>
          </w:tcPr>
          <w:p w14:paraId="4E9319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6218" w:type="dxa"/>
            <w:noWrap w:val="0"/>
            <w:vAlign w:val="top"/>
          </w:tcPr>
          <w:p w14:paraId="0EDC9F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10" w:lineRule="exact"/>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一、竞赛项目</w:t>
            </w:r>
          </w:p>
          <w:p w14:paraId="78DD0C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10" w:lineRule="exact"/>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1.青少年组：设足球、柔道、田径、游泳、举重、摔跤、跆拳道、拳击、武术散打、羽毛球、乒乓球、篮球、射箭、蹼泳、霹雳舞、轮滑共16个比赛项目。</w:t>
            </w:r>
          </w:p>
          <w:p w14:paraId="210F5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10" w:lineRule="exact"/>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2.成年组：设篮球、足球、气排球、羽毛球、乒乓球、网球、中国象棋、游泳、太极拳、钓鱼、门球、拔河、抛绣球、健身走（跑）共14个比赛项目。</w:t>
            </w:r>
          </w:p>
          <w:p w14:paraId="70F7D02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rPr>
            </w:pPr>
            <w:r>
              <w:rPr>
                <w:rFonts w:hint="eastAsia" w:hAnsi="宋体"/>
                <w:bCs/>
                <w:color w:val="auto"/>
              </w:rPr>
              <w:t>二、服务内容</w:t>
            </w:r>
          </w:p>
          <w:p w14:paraId="7CBF1CD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lang w:eastAsia="zh-CN"/>
              </w:rPr>
            </w:pPr>
            <w:r>
              <w:rPr>
                <w:rFonts w:hint="eastAsia" w:hAnsi="宋体"/>
                <w:bCs/>
                <w:color w:val="auto"/>
              </w:rPr>
              <w:t>1.</w:t>
            </w:r>
            <w:r>
              <w:rPr>
                <w:rFonts w:hint="eastAsia" w:hAnsi="宋体"/>
                <w:bCs/>
                <w:color w:val="auto"/>
                <w:lang w:eastAsia="zh-CN"/>
              </w:rPr>
              <w:t>为参赛人员共约 932 人（青少年组约616人，成年组约316人，实际出场人数以参赛为准），提供整体组织策划与执行服务。</w:t>
            </w:r>
            <w:r>
              <w:rPr>
                <w:rFonts w:hint="eastAsia" w:hAnsi="宋体"/>
                <w:bCs/>
                <w:color w:val="auto"/>
              </w:rPr>
              <w:t xml:space="preserve"> </w:t>
            </w:r>
          </w:p>
          <w:p w14:paraId="74998BC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lang w:eastAsia="zh-CN"/>
              </w:rPr>
            </w:pPr>
            <w:r>
              <w:rPr>
                <w:rFonts w:hint="eastAsia" w:hAnsi="宋体"/>
                <w:bCs/>
                <w:color w:val="auto"/>
                <w:lang w:val="en-US" w:eastAsia="zh-CN"/>
              </w:rPr>
              <w:t>2.</w:t>
            </w:r>
            <w:r>
              <w:rPr>
                <w:rFonts w:hint="eastAsia" w:hAnsi="宋体"/>
                <w:bCs/>
                <w:color w:val="auto"/>
              </w:rPr>
              <w:t>服务内容</w:t>
            </w:r>
            <w:r>
              <w:rPr>
                <w:rFonts w:hint="eastAsia" w:hAnsi="宋体"/>
                <w:bCs/>
                <w:color w:val="auto"/>
                <w:lang w:eastAsia="zh-CN"/>
              </w:rPr>
              <w:t>及要求</w:t>
            </w:r>
            <w:r>
              <w:rPr>
                <w:rFonts w:hint="eastAsia" w:hAnsi="宋体"/>
                <w:bCs/>
                <w:color w:val="auto"/>
                <w:lang w:val="en-US" w:eastAsia="zh-CN"/>
              </w:rPr>
              <w:t>(需包含但不限于</w:t>
            </w:r>
            <w:r>
              <w:rPr>
                <w:rFonts w:hint="eastAsia" w:hAnsi="宋体"/>
                <w:bCs/>
                <w:color w:val="auto"/>
                <w:lang w:eastAsia="zh-CN"/>
              </w:rPr>
              <w:t>以下内容</w:t>
            </w:r>
            <w:r>
              <w:rPr>
                <w:rFonts w:hint="eastAsia" w:hAnsi="宋体"/>
                <w:bCs/>
                <w:color w:val="auto"/>
                <w:lang w:val="en-US" w:eastAsia="zh-CN"/>
              </w:rPr>
              <w:t>)</w:t>
            </w:r>
            <w:r>
              <w:rPr>
                <w:rFonts w:hint="eastAsia" w:hAnsi="宋体"/>
                <w:bCs/>
                <w:color w:val="auto"/>
                <w:lang w:eastAsia="zh-CN"/>
              </w:rPr>
              <w:t>：</w:t>
            </w:r>
          </w:p>
          <w:p w14:paraId="086B656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default" w:hAnsi="宋体"/>
                <w:bCs/>
                <w:color w:val="auto"/>
                <w:lang w:val="en-US" w:eastAsia="zh-CN"/>
              </w:rPr>
            </w:pPr>
            <w:r>
              <w:rPr>
                <w:rFonts w:hint="eastAsia" w:hAnsi="宋体"/>
                <w:bCs/>
                <w:color w:val="auto"/>
                <w:lang w:eastAsia="zh-CN"/>
              </w:rPr>
              <w:t>（</w:t>
            </w:r>
            <w:r>
              <w:rPr>
                <w:rFonts w:hint="eastAsia" w:hAnsi="宋体"/>
                <w:bCs/>
                <w:color w:val="auto"/>
                <w:lang w:val="en-US" w:eastAsia="zh-CN"/>
              </w:rPr>
              <w:t>1</w:t>
            </w:r>
            <w:r>
              <w:rPr>
                <w:rFonts w:hint="eastAsia" w:hAnsi="宋体"/>
                <w:bCs/>
                <w:color w:val="auto"/>
                <w:lang w:eastAsia="zh-CN"/>
              </w:rPr>
              <w:t>）青少年组</w:t>
            </w:r>
            <w:r>
              <w:rPr>
                <w:rFonts w:hint="eastAsia" w:hAnsi="宋体"/>
                <w:bCs/>
                <w:color w:val="auto"/>
                <w:lang w:val="en-US" w:eastAsia="zh-CN"/>
              </w:rPr>
              <w:t>:</w:t>
            </w:r>
            <w:r>
              <w:rPr>
                <w:rFonts w:hint="eastAsia" w:hAnsi="宋体"/>
                <w:bCs/>
                <w:color w:val="auto"/>
                <w:lang w:eastAsia="zh-CN"/>
              </w:rPr>
              <w:t>负责组织及安排</w:t>
            </w:r>
            <w:r>
              <w:rPr>
                <w:rFonts w:hint="eastAsia" w:hAnsi="宋体"/>
                <w:bCs/>
                <w:color w:val="auto"/>
              </w:rPr>
              <w:t>参赛代表团</w:t>
            </w:r>
            <w:r>
              <w:rPr>
                <w:rFonts w:hint="eastAsia" w:hAnsi="宋体"/>
                <w:bCs/>
                <w:color w:val="auto"/>
                <w:lang w:eastAsia="zh-CN"/>
              </w:rPr>
              <w:t>、教练员、领队、运动员</w:t>
            </w:r>
            <w:r>
              <w:rPr>
                <w:rFonts w:hint="eastAsia" w:hAnsi="宋体"/>
                <w:bCs/>
                <w:color w:val="auto"/>
              </w:rPr>
              <w:t>参赛服装</w:t>
            </w:r>
            <w:r>
              <w:rPr>
                <w:rFonts w:hint="eastAsia" w:hAnsi="宋体"/>
                <w:bCs/>
                <w:color w:val="auto"/>
                <w:lang w:eastAsia="zh-CN"/>
              </w:rPr>
              <w:t>、团旗、</w:t>
            </w:r>
            <w:r>
              <w:rPr>
                <w:rFonts w:hint="eastAsia" w:hAnsi="宋体"/>
                <w:bCs/>
                <w:color w:val="auto"/>
              </w:rPr>
              <w:t>运动员装备</w:t>
            </w:r>
            <w:r>
              <w:rPr>
                <w:rFonts w:hint="eastAsia" w:hAnsi="宋体"/>
                <w:bCs/>
                <w:color w:val="auto"/>
                <w:lang w:eastAsia="zh-CN"/>
              </w:rPr>
              <w:t>、运动员赛前体检（包含跆拳道运动员专项体检、拳击运动员专项体检、武术散打运动员专项体检）、</w:t>
            </w:r>
            <w:r>
              <w:rPr>
                <w:rFonts w:hint="eastAsia" w:hAnsi="宋体"/>
                <w:bCs/>
                <w:color w:val="auto"/>
              </w:rPr>
              <w:t>青少年组训练补助</w:t>
            </w:r>
            <w:r>
              <w:rPr>
                <w:rFonts w:hint="eastAsia" w:hAnsi="宋体"/>
                <w:bCs/>
                <w:color w:val="auto"/>
                <w:lang w:eastAsia="zh-CN"/>
              </w:rPr>
              <w:t>、</w:t>
            </w:r>
            <w:r>
              <w:rPr>
                <w:rFonts w:hint="eastAsia" w:hAnsi="宋体"/>
                <w:bCs/>
                <w:color w:val="auto"/>
              </w:rPr>
              <w:t>青少年组比赛期间接送租车</w:t>
            </w:r>
            <w:r>
              <w:rPr>
                <w:rFonts w:hint="eastAsia" w:hAnsi="宋体"/>
                <w:bCs/>
                <w:color w:val="auto"/>
                <w:lang w:eastAsia="zh-CN"/>
              </w:rPr>
              <w:t>等服务。</w:t>
            </w:r>
          </w:p>
          <w:p w14:paraId="719F91E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rPr>
            </w:pPr>
            <w:r>
              <w:rPr>
                <w:rFonts w:hint="eastAsia" w:hAnsi="宋体"/>
                <w:bCs/>
                <w:color w:val="auto"/>
                <w:lang w:eastAsia="zh-CN"/>
              </w:rPr>
              <w:t>（</w:t>
            </w:r>
            <w:r>
              <w:rPr>
                <w:rFonts w:hint="eastAsia" w:hAnsi="宋体"/>
                <w:bCs/>
                <w:color w:val="auto"/>
                <w:lang w:val="en-US" w:eastAsia="zh-CN"/>
              </w:rPr>
              <w:t>2</w:t>
            </w:r>
            <w:r>
              <w:rPr>
                <w:rFonts w:hint="eastAsia" w:hAnsi="宋体"/>
                <w:bCs/>
                <w:color w:val="auto"/>
                <w:lang w:eastAsia="zh-CN"/>
              </w:rPr>
              <w:t>）成年组</w:t>
            </w:r>
            <w:r>
              <w:rPr>
                <w:rFonts w:hint="eastAsia" w:hAnsi="宋体"/>
                <w:bCs/>
                <w:color w:val="auto"/>
                <w:lang w:val="en-US" w:eastAsia="zh-CN"/>
              </w:rPr>
              <w:t>:</w:t>
            </w:r>
            <w:r>
              <w:rPr>
                <w:rFonts w:hint="eastAsia" w:hAnsi="宋体"/>
                <w:bCs/>
                <w:color w:val="auto"/>
                <w:lang w:eastAsia="zh-CN"/>
              </w:rPr>
              <w:t>负责组织及安排教练员、领队、运动员</w:t>
            </w:r>
            <w:r>
              <w:rPr>
                <w:rFonts w:hint="eastAsia" w:hAnsi="宋体"/>
                <w:bCs/>
                <w:color w:val="auto"/>
              </w:rPr>
              <w:t>参赛服装</w:t>
            </w:r>
            <w:r>
              <w:rPr>
                <w:rFonts w:hint="eastAsia" w:hAnsi="宋体"/>
                <w:bCs/>
                <w:color w:val="auto"/>
                <w:lang w:eastAsia="zh-CN"/>
              </w:rPr>
              <w:t>、</w:t>
            </w:r>
            <w:r>
              <w:rPr>
                <w:rFonts w:hint="eastAsia" w:hAnsi="宋体"/>
                <w:bCs/>
                <w:color w:val="auto"/>
              </w:rPr>
              <w:t>运动员装备</w:t>
            </w:r>
            <w:r>
              <w:rPr>
                <w:rFonts w:hint="eastAsia" w:hAnsi="宋体"/>
                <w:bCs/>
                <w:color w:val="auto"/>
                <w:lang w:eastAsia="zh-CN"/>
              </w:rPr>
              <w:t>、</w:t>
            </w:r>
            <w:r>
              <w:rPr>
                <w:rFonts w:hint="eastAsia" w:hAnsi="宋体"/>
                <w:bCs/>
                <w:color w:val="auto"/>
              </w:rPr>
              <w:t>体检费、成年组训练补助、成年组比赛期间接送租车、成年组外地运动员差旅费、吉祥物生产费用，伴手礼</w:t>
            </w:r>
            <w:r>
              <w:rPr>
                <w:rFonts w:hint="eastAsia" w:hAnsi="宋体"/>
                <w:bCs/>
                <w:color w:val="auto"/>
                <w:lang w:eastAsia="zh-CN"/>
              </w:rPr>
              <w:t>、其它服务执行工作</w:t>
            </w:r>
            <w:r>
              <w:rPr>
                <w:rFonts w:hint="eastAsia" w:hAnsi="宋体"/>
                <w:bCs/>
                <w:color w:val="auto"/>
              </w:rPr>
              <w:t>等服务。</w:t>
            </w:r>
          </w:p>
          <w:p w14:paraId="71412B5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rPr>
            </w:pPr>
            <w:r>
              <w:rPr>
                <w:rFonts w:hint="eastAsia" w:hAnsi="宋体"/>
                <w:bCs/>
                <w:color w:val="auto"/>
                <w:lang w:val="en-US" w:eastAsia="zh-CN"/>
              </w:rPr>
              <w:t>3</w:t>
            </w:r>
            <w:r>
              <w:rPr>
                <w:rFonts w:hint="eastAsia" w:hAnsi="宋体"/>
                <w:bCs/>
                <w:color w:val="auto"/>
              </w:rPr>
              <w:t>.其它服务：完成采购人需要的其他赛事执行工作。</w:t>
            </w:r>
          </w:p>
          <w:p w14:paraId="717EF97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rPr>
            </w:pPr>
            <w:r>
              <w:rPr>
                <w:rFonts w:hint="eastAsia" w:hAnsi="宋体"/>
                <w:bCs/>
                <w:color w:val="auto"/>
              </w:rPr>
              <w:t>三、服务要求</w:t>
            </w:r>
          </w:p>
          <w:p w14:paraId="7DDB2ED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10" w:lineRule="exact"/>
              <w:ind w:left="0" w:right="0"/>
              <w:textAlignment w:val="auto"/>
              <w:rPr>
                <w:rFonts w:hint="eastAsia" w:hAnsi="宋体"/>
                <w:bCs/>
                <w:color w:val="auto"/>
              </w:rPr>
            </w:pPr>
            <w:r>
              <w:rPr>
                <w:rFonts w:hint="eastAsia" w:hAnsi="宋体"/>
                <w:bCs/>
                <w:color w:val="auto"/>
              </w:rPr>
              <w:t>1.中标人在开展工作前须与采购人沟通，并按照采购人批准的相关方案，协助完成赛事组织工作。</w:t>
            </w:r>
          </w:p>
          <w:p w14:paraId="29C13A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10" w:lineRule="exact"/>
              <w:ind w:left="0" w:right="0"/>
              <w:textAlignment w:val="auto"/>
              <w:rPr>
                <w:rFonts w:hint="eastAsia" w:ascii="宋体" w:hAnsi="宋体" w:eastAsia="宋体" w:cs="宋体"/>
                <w:color w:val="auto"/>
                <w:sz w:val="21"/>
                <w:szCs w:val="21"/>
                <w:highlight w:val="none"/>
              </w:rPr>
            </w:pPr>
            <w:r>
              <w:rPr>
                <w:rFonts w:hint="eastAsia" w:hAnsi="宋体"/>
                <w:bCs/>
                <w:color w:val="auto"/>
              </w:rPr>
              <w:t>2.中标人必须遵照采购人的一切管理安排，所有服务必须达到采购人的标准要求。</w:t>
            </w:r>
          </w:p>
        </w:tc>
      </w:tr>
      <w:tr w14:paraId="2D1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noWrap w:val="0"/>
            <w:vAlign w:val="center"/>
          </w:tcPr>
          <w:p w14:paraId="346D60CD">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商务及其</w:t>
            </w:r>
            <w:r>
              <w:rPr>
                <w:rFonts w:hint="eastAsia" w:ascii="宋体" w:hAnsi="宋体" w:cs="宋体"/>
                <w:b/>
                <w:color w:val="auto"/>
                <w:sz w:val="21"/>
                <w:szCs w:val="21"/>
                <w:highlight w:val="none"/>
                <w:lang w:eastAsia="zh-CN"/>
              </w:rPr>
              <w:t>他</w:t>
            </w:r>
            <w:r>
              <w:rPr>
                <w:rFonts w:hint="eastAsia" w:ascii="宋体" w:hAnsi="宋体" w:eastAsia="宋体" w:cs="宋体"/>
                <w:b/>
                <w:color w:val="auto"/>
                <w:sz w:val="21"/>
                <w:szCs w:val="21"/>
                <w:highlight w:val="none"/>
                <w:lang w:eastAsia="zh-CN"/>
              </w:rPr>
              <w:t>要求</w:t>
            </w:r>
          </w:p>
        </w:tc>
      </w:tr>
      <w:tr w14:paraId="364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C439AF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42" w:type="dxa"/>
            <w:gridSpan w:val="3"/>
            <w:noWrap w:val="0"/>
            <w:vAlign w:val="center"/>
          </w:tcPr>
          <w:p w14:paraId="66872B2C">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本项目实行总承包报价；</w:t>
            </w:r>
            <w:r>
              <w:rPr>
                <w:rFonts w:hint="eastAsia" w:ascii="宋体" w:hAnsi="宋体" w:eastAsia="宋体" w:cs="宋体"/>
                <w:color w:val="auto"/>
                <w:spacing w:val="-2"/>
                <w:sz w:val="21"/>
                <w:szCs w:val="21"/>
                <w:highlight w:val="none"/>
                <w:lang w:eastAsia="zh-CN"/>
              </w:rPr>
              <w:t>报价应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等费用，及其他所有</w:t>
            </w:r>
            <w:r>
              <w:rPr>
                <w:rFonts w:hint="eastAsia" w:ascii="宋体" w:hAnsi="宋体" w:eastAsia="宋体" w:cs="宋体"/>
                <w:color w:val="auto"/>
                <w:spacing w:val="-2"/>
                <w:sz w:val="21"/>
                <w:szCs w:val="21"/>
                <w:highlight w:val="none"/>
              </w:rPr>
              <w:t>成本费用的总和。</w:t>
            </w:r>
          </w:p>
        </w:tc>
      </w:tr>
      <w:tr w14:paraId="0FFC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D9F5B42">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0" w:name="_Toc2784"/>
            <w:bookmarkStart w:id="71" w:name="_Toc1838"/>
            <w:r>
              <w:rPr>
                <w:rFonts w:hint="eastAsia" w:ascii="宋体" w:hAnsi="宋体" w:eastAsia="宋体" w:cs="宋体"/>
                <w:bCs/>
                <w:color w:val="auto"/>
                <w:kern w:val="2"/>
                <w:sz w:val="21"/>
                <w:szCs w:val="21"/>
                <w:highlight w:val="none"/>
                <w:lang w:val="en-US" w:eastAsia="zh-CN" w:bidi="ar-SA"/>
              </w:rPr>
              <w:t>合同履行期限</w:t>
            </w:r>
            <w:bookmarkEnd w:id="70"/>
            <w:bookmarkEnd w:id="71"/>
          </w:p>
        </w:tc>
        <w:tc>
          <w:tcPr>
            <w:tcW w:w="7742" w:type="dxa"/>
            <w:gridSpan w:val="3"/>
            <w:noWrap w:val="0"/>
            <w:vAlign w:val="center"/>
          </w:tcPr>
          <w:p w14:paraId="1D3AF717">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w:t>
            </w:r>
            <w:r>
              <w:rPr>
                <w:rFonts w:hint="eastAsia" w:ascii="宋体" w:hAnsi="宋体" w:eastAsia="宋体" w:cs="宋体"/>
                <w:color w:val="auto"/>
                <w:sz w:val="21"/>
                <w:szCs w:val="21"/>
                <w:highlight w:val="none"/>
              </w:rPr>
              <w:t>。</w:t>
            </w:r>
          </w:p>
        </w:tc>
      </w:tr>
      <w:tr w14:paraId="643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63A9D25">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2" w:name="_Toc6205"/>
            <w:bookmarkStart w:id="73" w:name="_Toc23183"/>
            <w:r>
              <w:rPr>
                <w:rFonts w:hint="eastAsia" w:ascii="宋体" w:hAnsi="宋体" w:eastAsia="宋体" w:cs="宋体"/>
                <w:bCs/>
                <w:color w:val="auto"/>
                <w:sz w:val="21"/>
                <w:szCs w:val="21"/>
                <w:highlight w:val="none"/>
              </w:rPr>
              <w:t>服务地点</w:t>
            </w:r>
            <w:bookmarkEnd w:id="72"/>
            <w:bookmarkEnd w:id="73"/>
          </w:p>
        </w:tc>
        <w:tc>
          <w:tcPr>
            <w:tcW w:w="7742" w:type="dxa"/>
            <w:gridSpan w:val="3"/>
            <w:noWrap w:val="0"/>
            <w:vAlign w:val="center"/>
          </w:tcPr>
          <w:p w14:paraId="00A61B4D">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采购人指定地点。</w:t>
            </w:r>
          </w:p>
        </w:tc>
      </w:tr>
      <w:tr w14:paraId="098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6" w:type="dxa"/>
            <w:gridSpan w:val="2"/>
            <w:noWrap w:val="0"/>
            <w:vAlign w:val="center"/>
          </w:tcPr>
          <w:p w14:paraId="36BBE198">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4" w:name="_Toc30474"/>
            <w:bookmarkStart w:id="75" w:name="_Toc29272"/>
            <w:r>
              <w:rPr>
                <w:rFonts w:hint="eastAsia" w:ascii="宋体" w:hAnsi="宋体" w:eastAsia="宋体" w:cs="宋体"/>
                <w:bCs/>
                <w:color w:val="auto"/>
                <w:sz w:val="21"/>
                <w:szCs w:val="21"/>
                <w:highlight w:val="none"/>
              </w:rPr>
              <w:t>签订合同时间</w:t>
            </w:r>
            <w:bookmarkEnd w:id="74"/>
            <w:bookmarkEnd w:id="75"/>
          </w:p>
        </w:tc>
        <w:tc>
          <w:tcPr>
            <w:tcW w:w="7742" w:type="dxa"/>
            <w:gridSpan w:val="3"/>
            <w:noWrap w:val="0"/>
            <w:vAlign w:val="center"/>
          </w:tcPr>
          <w:p w14:paraId="3C7A98CB">
            <w:pPr>
              <w:pStyle w:val="25"/>
              <w:keepNext w:val="0"/>
              <w:keepLines w:val="0"/>
              <w:pageBreakBefore w:val="0"/>
              <w:suppressLineNumbers w:val="0"/>
              <w:kinsoku/>
              <w:wordWrap w:val="0"/>
              <w:overflowPunct/>
              <w:topLinePunct w:val="0"/>
              <w:autoSpaceDE/>
              <w:autoSpaceDN/>
              <w:bidi w:val="0"/>
              <w:adjustRightInd/>
              <w:snapToGrid w:val="0"/>
              <w:spacing w:before="0" w:beforeAutospacing="0" w:after="0" w:afterAutospacing="0" w:line="400" w:lineRule="exact"/>
              <w:ind w:left="0" w:right="0"/>
              <w:jc w:val="left"/>
              <w:textAlignment w:val="auto"/>
              <w:outlineLvl w:val="0"/>
              <w:rPr>
                <w:rFonts w:hint="eastAsia" w:ascii="宋体" w:hAnsi="宋体" w:eastAsia="宋体" w:cs="宋体"/>
                <w:bCs/>
                <w:color w:val="auto"/>
                <w:sz w:val="21"/>
                <w:szCs w:val="21"/>
                <w:highlight w:val="none"/>
              </w:rPr>
            </w:pPr>
            <w:bookmarkStart w:id="76" w:name="_Toc28270"/>
            <w:bookmarkStart w:id="77" w:name="_Toc9900"/>
            <w:r>
              <w:rPr>
                <w:rFonts w:hint="eastAsia" w:ascii="宋体" w:hAnsi="宋体" w:eastAsia="宋体" w:cs="宋体"/>
                <w:color w:val="auto"/>
                <w:sz w:val="21"/>
                <w:szCs w:val="21"/>
                <w:highlight w:val="none"/>
                <w:lang w:eastAsia="zh-CN"/>
              </w:rPr>
              <w:t>自中标通知书发出之日起</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内与采购人签订合同</w:t>
            </w:r>
            <w:r>
              <w:rPr>
                <w:rFonts w:hint="eastAsia" w:ascii="宋体" w:hAnsi="宋体" w:eastAsia="宋体" w:cs="宋体"/>
                <w:color w:val="auto"/>
                <w:sz w:val="21"/>
                <w:szCs w:val="21"/>
                <w:highlight w:val="none"/>
              </w:rPr>
              <w:t>。</w:t>
            </w:r>
            <w:bookmarkEnd w:id="76"/>
            <w:bookmarkEnd w:id="77"/>
          </w:p>
        </w:tc>
      </w:tr>
      <w:tr w14:paraId="765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4FF5B8A3">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78" w:name="_Toc26634"/>
            <w:bookmarkStart w:id="79" w:name="_Toc28123"/>
            <w:r>
              <w:rPr>
                <w:rFonts w:hint="eastAsia" w:ascii="宋体" w:hAnsi="宋体" w:eastAsia="宋体" w:cs="宋体"/>
                <w:bCs/>
                <w:color w:val="auto"/>
                <w:sz w:val="21"/>
                <w:szCs w:val="21"/>
                <w:highlight w:val="none"/>
              </w:rPr>
              <w:t>付款方式</w:t>
            </w:r>
            <w:bookmarkEnd w:id="78"/>
            <w:bookmarkEnd w:id="79"/>
          </w:p>
        </w:tc>
        <w:tc>
          <w:tcPr>
            <w:tcW w:w="7742" w:type="dxa"/>
            <w:gridSpan w:val="3"/>
            <w:noWrap w:val="0"/>
            <w:vAlign w:val="center"/>
          </w:tcPr>
          <w:p w14:paraId="7D233D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none"/>
                <w:lang w:val="en-US" w:eastAsia="zh-CN"/>
              </w:rPr>
              <w:t>项目分两次付款</w:t>
            </w:r>
            <w:r>
              <w:rPr>
                <w:rFonts w:hint="eastAsia" w:hAnsi="宋体"/>
                <w:bCs/>
                <w:color w:val="auto"/>
              </w:rPr>
              <w:t>，</w:t>
            </w:r>
            <w:r>
              <w:rPr>
                <w:rFonts w:hint="eastAsia" w:ascii="宋体" w:hAnsi="宋体" w:cs="宋体"/>
                <w:bCs/>
                <w:color w:val="auto"/>
                <w:sz w:val="21"/>
                <w:szCs w:val="21"/>
                <w:highlight w:val="none"/>
                <w:lang w:val="en-US" w:eastAsia="zh-CN"/>
              </w:rPr>
              <w:t>完成青少年组赛事执行后</w:t>
            </w:r>
            <w:r>
              <w:rPr>
                <w:rFonts w:hint="eastAsia" w:ascii="宋体" w:hAnsi="宋体" w:eastAsia="宋体" w:cs="宋体"/>
                <w:bCs/>
                <w:color w:val="auto"/>
                <w:sz w:val="21"/>
                <w:szCs w:val="21"/>
                <w:highlight w:val="none"/>
              </w:rPr>
              <w:t>支付合同款的50%，</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完成所有赛事工作，提交赛事总结</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含服务及费用清单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并经采购人验收合格后</w:t>
            </w:r>
            <w:r>
              <w:rPr>
                <w:rFonts w:hint="eastAsia" w:ascii="宋体" w:hAnsi="宋体" w:eastAsia="宋体" w:cs="宋体"/>
                <w:bCs/>
                <w:color w:val="auto"/>
                <w:sz w:val="21"/>
                <w:szCs w:val="21"/>
                <w:highlight w:val="none"/>
                <w:lang w:eastAsia="zh-CN"/>
              </w:rPr>
              <w:t>，</w:t>
            </w:r>
            <w:r>
              <w:rPr>
                <w:rFonts w:hint="eastAsia" w:ascii="Arial" w:hAnsi="Arial" w:cs="Arial"/>
                <w:color w:val="auto"/>
                <w:szCs w:val="21"/>
                <w:highlight w:val="none"/>
                <w:u w:val="none"/>
                <w:lang w:eastAsia="zh-CN"/>
              </w:rPr>
              <w:t>采购人在合同价格内，在</w:t>
            </w: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rPr>
              <w:t>0个工作日内</w:t>
            </w:r>
            <w:r>
              <w:rPr>
                <w:rFonts w:hint="eastAsia" w:ascii="宋体" w:hAnsi="宋体" w:eastAsia="宋体" w:cs="宋体"/>
                <w:bCs/>
                <w:color w:val="auto"/>
                <w:sz w:val="21"/>
                <w:szCs w:val="21"/>
                <w:highlight w:val="none"/>
                <w:lang w:val="en-US" w:eastAsia="zh-CN"/>
              </w:rPr>
              <w:t>依据服务及实际验收费用清单</w:t>
            </w:r>
            <w:r>
              <w:rPr>
                <w:rFonts w:hint="eastAsia" w:ascii="宋体" w:hAnsi="宋体" w:eastAsia="宋体" w:cs="宋体"/>
                <w:bCs/>
                <w:color w:val="auto"/>
                <w:sz w:val="21"/>
                <w:szCs w:val="21"/>
                <w:highlight w:val="none"/>
              </w:rPr>
              <w:t>向</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一次性支付剩余</w:t>
            </w:r>
            <w:r>
              <w:rPr>
                <w:rFonts w:hint="eastAsia" w:ascii="宋体" w:hAnsi="宋体" w:eastAsia="宋体" w:cs="宋体"/>
                <w:bCs/>
                <w:color w:val="auto"/>
                <w:sz w:val="21"/>
                <w:szCs w:val="21"/>
                <w:highlight w:val="none"/>
                <w:lang w:val="en-US" w:eastAsia="zh-CN"/>
              </w:rPr>
              <w:t>款项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每次收款前应先开具等额合规的发票及请款函给采购人。</w:t>
            </w:r>
            <w:r>
              <w:rPr>
                <w:rFonts w:hint="eastAsia" w:ascii="宋体" w:hAnsi="宋体"/>
                <w:bCs/>
                <w:color w:val="auto"/>
                <w:szCs w:val="20"/>
                <w:highlight w:val="none"/>
                <w:u w:val="none"/>
              </w:rPr>
              <w:t>在项目完成且收到乙方验收申请后5个工作日内组织开展履约验收。对于满足合同约定支付条件的项目，在收到发票后</w:t>
            </w:r>
            <w:r>
              <w:rPr>
                <w:rFonts w:hint="default" w:ascii="宋体" w:hAnsi="宋体"/>
                <w:bCs/>
                <w:color w:val="auto"/>
                <w:szCs w:val="20"/>
                <w:highlight w:val="none"/>
                <w:u w:val="none"/>
              </w:rPr>
              <w:t>10</w:t>
            </w:r>
            <w:r>
              <w:rPr>
                <w:rFonts w:hint="eastAsia" w:ascii="宋体" w:hAnsi="宋体"/>
                <w:bCs/>
                <w:color w:val="auto"/>
                <w:szCs w:val="20"/>
                <w:highlight w:val="none"/>
                <w:u w:val="none"/>
              </w:rPr>
              <w:t>个工作日内将资金支付到合同约定的乙方账户，不得以进行审计作为支付乙方款项的条件，不得以机构变动、人员更替、政策调整、履行内部付款流程等为由延迟付款。</w:t>
            </w:r>
          </w:p>
        </w:tc>
      </w:tr>
      <w:tr w14:paraId="09CE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A5389B1">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80" w:name="_Toc10107"/>
            <w:bookmarkStart w:id="81" w:name="_Toc18697"/>
            <w:r>
              <w:rPr>
                <w:rFonts w:hint="eastAsia" w:ascii="宋体" w:hAnsi="宋体" w:eastAsia="宋体" w:cs="宋体"/>
                <w:color w:val="auto"/>
                <w:sz w:val="21"/>
                <w:szCs w:val="21"/>
                <w:highlight w:val="none"/>
              </w:rPr>
              <w:t>售后服务</w:t>
            </w:r>
            <w:bookmarkEnd w:id="80"/>
            <w:bookmarkEnd w:id="81"/>
          </w:p>
        </w:tc>
        <w:tc>
          <w:tcPr>
            <w:tcW w:w="7742" w:type="dxa"/>
            <w:gridSpan w:val="3"/>
            <w:noWrap w:val="0"/>
            <w:vAlign w:val="center"/>
          </w:tcPr>
          <w:p w14:paraId="343C330A">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必须承诺自行提供本项目所有服务内容，不得转让或转包。</w:t>
            </w:r>
          </w:p>
          <w:p w14:paraId="68641626">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服务期内供应商</w:t>
            </w:r>
            <w:r>
              <w:rPr>
                <w:rFonts w:hint="eastAsia" w:ascii="宋体" w:hAnsi="宋体" w:eastAsia="宋体" w:cs="宋体"/>
                <w:color w:val="auto"/>
                <w:sz w:val="21"/>
                <w:szCs w:val="21"/>
                <w:highlight w:val="none"/>
              </w:rPr>
              <w:t>接到紧急事件通知后1小时内响应，4小时内派人员到达现场，重大问题或</w:t>
            </w:r>
            <w:r>
              <w:rPr>
                <w:rFonts w:hint="eastAsia" w:ascii="宋体" w:hAnsi="宋体" w:cs="宋体"/>
                <w:color w:val="auto"/>
                <w:sz w:val="21"/>
                <w:szCs w:val="21"/>
                <w:highlight w:val="none"/>
                <w:lang w:eastAsia="zh-CN"/>
              </w:rPr>
              <w:t>其他</w:t>
            </w:r>
            <w:r>
              <w:rPr>
                <w:rFonts w:hint="eastAsia" w:ascii="宋体" w:hAnsi="宋体" w:eastAsia="宋体" w:cs="宋体"/>
                <w:color w:val="auto"/>
                <w:sz w:val="21"/>
                <w:szCs w:val="21"/>
                <w:highlight w:val="none"/>
              </w:rPr>
              <w:t>无法迅速解决的问题应在24小时内解决。</w:t>
            </w:r>
          </w:p>
          <w:p w14:paraId="5E4D54AC">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提供的服务应符合国家标准及行业标准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按国家有关规定举行赛事。 </w:t>
            </w:r>
          </w:p>
          <w:p w14:paraId="4C114A06">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提供的服务不满足</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文件要求验收不合格的，采购人有权解除合同并追究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的法律责任。</w:t>
            </w:r>
          </w:p>
          <w:p w14:paraId="03AA1B42">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在开展工作前</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与采购人沟通，并按照采购人批准的相关方案，负责完成活动组织工作。</w:t>
            </w:r>
          </w:p>
          <w:p w14:paraId="51349564">
            <w:pPr>
              <w:pStyle w:val="12"/>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00" w:lineRule="exact"/>
              <w:ind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中标人须</w:t>
            </w:r>
            <w:r>
              <w:rPr>
                <w:rFonts w:hint="eastAsia" w:ascii="宋体" w:hAnsi="宋体" w:eastAsia="宋体" w:cs="宋体"/>
                <w:color w:val="auto"/>
                <w:sz w:val="21"/>
                <w:szCs w:val="21"/>
                <w:highlight w:val="none"/>
              </w:rPr>
              <w:t>遵照采购人的管理安排，所有服务应达到采购人的标准要求。</w:t>
            </w:r>
          </w:p>
        </w:tc>
      </w:tr>
      <w:tr w14:paraId="747C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303431BB">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lang w:eastAsia="zh-CN"/>
              </w:rPr>
            </w:pPr>
            <w:bookmarkStart w:id="82" w:name="_Toc13894"/>
            <w:bookmarkStart w:id="83" w:name="_Toc22718"/>
            <w:r>
              <w:rPr>
                <w:rFonts w:hint="eastAsia" w:ascii="宋体" w:hAnsi="宋体" w:eastAsia="宋体" w:cs="宋体"/>
                <w:bCs/>
                <w:color w:val="auto"/>
                <w:sz w:val="21"/>
                <w:szCs w:val="21"/>
                <w:highlight w:val="none"/>
                <w:lang w:eastAsia="zh-CN"/>
              </w:rPr>
              <w:t>验收要求</w:t>
            </w:r>
            <w:bookmarkEnd w:id="82"/>
            <w:bookmarkEnd w:id="83"/>
          </w:p>
        </w:tc>
        <w:tc>
          <w:tcPr>
            <w:tcW w:w="7742" w:type="dxa"/>
            <w:gridSpan w:val="3"/>
            <w:noWrap w:val="0"/>
            <w:vAlign w:val="center"/>
          </w:tcPr>
          <w:p w14:paraId="75668101">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采购人按项目服务要求对中标人提供的总结报告进行验收，运动会结束后15天内，中标人向采购人提供验收相关材料，提供的服务与</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文件中承诺的技术参数不符的及提供虚假结论或承诺的，按相关规定做违约处理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由此导致的所有损失由中标人自行承担。</w:t>
            </w:r>
          </w:p>
          <w:p w14:paraId="61239A1B">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运动会开赛前，中标人须向采购人提出具体的活动实施方案，方案须征得采购人同意后方可实施。</w:t>
            </w:r>
          </w:p>
          <w:p w14:paraId="62FA3A1F">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供应商应提供与本项目采购内容相关的人员配备等相关资料。</w:t>
            </w:r>
          </w:p>
          <w:p w14:paraId="2E1D19FE">
            <w:pPr>
              <w:keepNext w:val="0"/>
              <w:keepLines w:val="0"/>
              <w:pageBreakBefore w:val="0"/>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验收过程中所产生的一切费用均由成交人承担，报价时应考虑相关费用。</w:t>
            </w:r>
          </w:p>
        </w:tc>
      </w:tr>
      <w:tr w14:paraId="6406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7103255">
            <w:pPr>
              <w:pStyle w:val="25"/>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84" w:name="_Toc18302"/>
            <w:bookmarkStart w:id="85" w:name="_Toc4311"/>
            <w:r>
              <w:rPr>
                <w:rFonts w:hint="eastAsia" w:ascii="宋体" w:hAnsi="宋体" w:eastAsia="宋体" w:cs="宋体"/>
                <w:bCs/>
                <w:color w:val="auto"/>
                <w:sz w:val="21"/>
                <w:szCs w:val="21"/>
                <w:highlight w:val="none"/>
              </w:rPr>
              <w:t>其他要求</w:t>
            </w:r>
            <w:bookmarkEnd w:id="84"/>
            <w:bookmarkEnd w:id="85"/>
          </w:p>
        </w:tc>
        <w:tc>
          <w:tcPr>
            <w:tcW w:w="7742" w:type="dxa"/>
            <w:gridSpan w:val="3"/>
            <w:noWrap w:val="0"/>
            <w:vAlign w:val="center"/>
          </w:tcPr>
          <w:p w14:paraId="25B41100">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项目期间</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应设一名项目负责人在现场，负责协调管理工作。</w:t>
            </w:r>
          </w:p>
          <w:p w14:paraId="1EA5580B">
            <w:pPr>
              <w:keepNext w:val="0"/>
              <w:keepLines w:val="0"/>
              <w:pageBreakBefore w:val="0"/>
              <w:widowControl/>
              <w:suppressLineNumbers w:val="0"/>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采购人授权</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开展市场开发所获赞助款项、物品由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收取并用于支付项目费用。</w:t>
            </w:r>
          </w:p>
          <w:p w14:paraId="3E936F12">
            <w:pPr>
              <w:keepNext w:val="0"/>
              <w:keepLines w:val="0"/>
              <w:pageBreakBefore w:val="0"/>
              <w:suppressLineNumbers w:val="0"/>
              <w:kinsoku/>
              <w:wordWrap w:val="0"/>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自行承担在组织服务过程中因侵犯他人知识产权或自身原因产</w:t>
            </w:r>
            <w:r>
              <w:rPr>
                <w:rFonts w:hint="eastAsia" w:ascii="宋体" w:hAnsi="宋体" w:eastAsia="宋体" w:cs="宋体"/>
                <w:color w:val="auto"/>
                <w:sz w:val="21"/>
                <w:szCs w:val="21"/>
                <w:highlight w:val="none"/>
                <w:lang w:eastAsia="zh-CN"/>
              </w:rPr>
              <w:t>生</w:t>
            </w:r>
            <w:r>
              <w:rPr>
                <w:rFonts w:hint="eastAsia" w:ascii="宋体" w:hAnsi="宋体" w:eastAsia="宋体" w:cs="宋体"/>
                <w:color w:val="auto"/>
                <w:sz w:val="21"/>
                <w:szCs w:val="21"/>
                <w:highlight w:val="none"/>
              </w:rPr>
              <w:t>的法律纠纷和责任并妥</w:t>
            </w:r>
            <w:r>
              <w:rPr>
                <w:rFonts w:hint="eastAsia" w:ascii="宋体" w:hAnsi="宋体" w:eastAsia="宋体" w:cs="宋体"/>
                <w:color w:val="auto"/>
                <w:kern w:val="0"/>
                <w:sz w:val="21"/>
                <w:szCs w:val="21"/>
                <w:highlight w:val="none"/>
              </w:rPr>
              <w:t>善处理，采购人不承担任何责任。</w:t>
            </w:r>
          </w:p>
        </w:tc>
      </w:tr>
      <w:tr w14:paraId="488E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616A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本项目采购标的所属行业</w:t>
            </w:r>
          </w:p>
        </w:tc>
        <w:tc>
          <w:tcPr>
            <w:tcW w:w="7742" w:type="dxa"/>
            <w:gridSpan w:val="3"/>
            <w:noWrap w:val="0"/>
            <w:vAlign w:val="center"/>
          </w:tcPr>
          <w:p w14:paraId="3EEF1E70">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其他未列明行业</w:t>
            </w:r>
            <w:r>
              <w:rPr>
                <w:rFonts w:hint="eastAsia" w:ascii="宋体" w:hAnsi="宋体" w:eastAsia="宋体" w:cs="宋体"/>
                <w:bCs/>
                <w:color w:val="auto"/>
                <w:sz w:val="21"/>
                <w:szCs w:val="21"/>
                <w:highlight w:val="none"/>
              </w:rPr>
              <w:t>（注：中小微企业划型标准详见附件）</w:t>
            </w:r>
          </w:p>
        </w:tc>
      </w:tr>
    </w:tbl>
    <w:p w14:paraId="3E23FFAB">
      <w:pPr>
        <w:pStyle w:val="19"/>
        <w:keepNext w:val="0"/>
        <w:keepLines w:val="0"/>
        <w:pageBreakBefore w:val="0"/>
        <w:widowControl w:val="0"/>
        <w:kinsoku/>
        <w:wordWrap/>
        <w:overflowPunct/>
        <w:topLinePunct w:val="0"/>
        <w:autoSpaceDE/>
        <w:autoSpaceDN/>
        <w:bidi w:val="0"/>
        <w:snapToGrid/>
        <w:spacing w:before="45" w:line="280" w:lineRule="exact"/>
        <w:ind w:left="0" w:leftChars="0" w:firstLine="0" w:firstLineChars="0"/>
        <w:jc w:val="both"/>
        <w:rPr>
          <w:color w:val="auto"/>
          <w:sz w:val="24"/>
          <w:szCs w:val="24"/>
          <w:highlight w:val="none"/>
        </w:rPr>
      </w:pPr>
      <w:r>
        <w:rPr>
          <w:b/>
          <w:bCs/>
          <w:color w:val="auto"/>
          <w:spacing w:val="-13"/>
          <w:sz w:val="24"/>
          <w:szCs w:val="24"/>
          <w:highlight w:val="none"/>
        </w:rPr>
        <w:t>附件</w:t>
      </w:r>
      <w:r>
        <w:rPr>
          <w:rFonts w:hint="eastAsia"/>
          <w:b/>
          <w:bCs/>
          <w:color w:val="auto"/>
          <w:spacing w:val="-13"/>
          <w:sz w:val="24"/>
          <w:szCs w:val="24"/>
          <w:highlight w:val="none"/>
          <w:lang w:eastAsia="zh-CN"/>
        </w:rPr>
        <w:t>：</w:t>
      </w:r>
      <w:r>
        <w:rPr>
          <w:b/>
          <w:bCs/>
          <w:color w:val="auto"/>
          <w:spacing w:val="4"/>
          <w:sz w:val="24"/>
          <w:szCs w:val="24"/>
          <w:highlight w:val="none"/>
        </w:rPr>
        <w:t>中小微企业划型标准</w:t>
      </w:r>
    </w:p>
    <w:tbl>
      <w:tblPr>
        <w:tblStyle w:val="387"/>
        <w:tblpPr w:leftFromText="180" w:rightFromText="180" w:vertAnchor="text" w:horzAnchor="page" w:tblpX="1415" w:tblpY="39"/>
        <w:tblOverlap w:val="never"/>
        <w:tblW w:w="100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812"/>
        <w:gridCol w:w="1176"/>
        <w:gridCol w:w="1925"/>
        <w:gridCol w:w="1711"/>
        <w:gridCol w:w="1104"/>
      </w:tblGrid>
      <w:tr w14:paraId="252DB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2328" w:type="dxa"/>
            <w:vAlign w:val="center"/>
          </w:tcPr>
          <w:p w14:paraId="25D7EC74">
            <w:pPr>
              <w:pStyle w:val="386"/>
              <w:keepNext w:val="0"/>
              <w:keepLines w:val="0"/>
              <w:pageBreakBefore w:val="0"/>
              <w:widowControl w:val="0"/>
              <w:kinsoku/>
              <w:wordWrap/>
              <w:overflowPunct/>
              <w:topLinePunct w:val="0"/>
              <w:autoSpaceDE/>
              <w:autoSpaceDN/>
              <w:bidi w:val="0"/>
              <w:adjustRightInd/>
              <w:snapToGrid/>
              <w:spacing w:before="193" w:line="294" w:lineRule="exact"/>
              <w:ind w:left="121"/>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行业名称</w:t>
            </w:r>
          </w:p>
        </w:tc>
        <w:tc>
          <w:tcPr>
            <w:tcW w:w="1812" w:type="dxa"/>
            <w:vAlign w:val="center"/>
          </w:tcPr>
          <w:p w14:paraId="325CB3D1">
            <w:pPr>
              <w:pStyle w:val="386"/>
              <w:keepNext w:val="0"/>
              <w:keepLines w:val="0"/>
              <w:pageBreakBefore w:val="0"/>
              <w:widowControl w:val="0"/>
              <w:kinsoku/>
              <w:wordWrap/>
              <w:overflowPunct/>
              <w:topLinePunct w:val="0"/>
              <w:autoSpaceDE/>
              <w:autoSpaceDN/>
              <w:bidi w:val="0"/>
              <w:adjustRightInd/>
              <w:snapToGrid/>
              <w:spacing w:before="193"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指标名称</w:t>
            </w:r>
          </w:p>
        </w:tc>
        <w:tc>
          <w:tcPr>
            <w:tcW w:w="1176" w:type="dxa"/>
            <w:vAlign w:val="center"/>
          </w:tcPr>
          <w:p w14:paraId="6E7A0290">
            <w:pPr>
              <w:pStyle w:val="386"/>
              <w:keepNext w:val="0"/>
              <w:keepLines w:val="0"/>
              <w:pageBreakBefore w:val="0"/>
              <w:widowControl w:val="0"/>
              <w:kinsoku/>
              <w:wordWrap/>
              <w:overflowPunct/>
              <w:topLinePunct w:val="0"/>
              <w:autoSpaceDE/>
              <w:autoSpaceDN/>
              <w:bidi w:val="0"/>
              <w:adjustRightInd/>
              <w:snapToGrid/>
              <w:spacing w:before="3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计量</w:t>
            </w:r>
            <w:r>
              <w:rPr>
                <w:rFonts w:hint="eastAsia" w:ascii="宋体" w:hAnsi="宋体" w:eastAsia="宋体" w:cs="宋体"/>
                <w:b/>
                <w:bCs/>
                <w:color w:val="auto"/>
                <w:spacing w:val="-9"/>
                <w:sz w:val="21"/>
                <w:szCs w:val="21"/>
                <w:highlight w:val="none"/>
              </w:rPr>
              <w:t>单位</w:t>
            </w:r>
          </w:p>
        </w:tc>
        <w:tc>
          <w:tcPr>
            <w:tcW w:w="1925" w:type="dxa"/>
            <w:vAlign w:val="center"/>
          </w:tcPr>
          <w:p w14:paraId="26E1660E">
            <w:pPr>
              <w:pStyle w:val="386"/>
              <w:keepNext w:val="0"/>
              <w:keepLines w:val="0"/>
              <w:pageBreakBefore w:val="0"/>
              <w:widowControl w:val="0"/>
              <w:kinsoku/>
              <w:wordWrap/>
              <w:overflowPunct/>
              <w:topLinePunct w:val="0"/>
              <w:autoSpaceDE/>
              <w:autoSpaceDN/>
              <w:bidi w:val="0"/>
              <w:adjustRightInd/>
              <w:snapToGrid/>
              <w:spacing w:before="193"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9"/>
                <w:sz w:val="21"/>
                <w:szCs w:val="21"/>
                <w:highlight w:val="none"/>
              </w:rPr>
              <w:t>中型</w:t>
            </w:r>
          </w:p>
        </w:tc>
        <w:tc>
          <w:tcPr>
            <w:tcW w:w="1711" w:type="dxa"/>
            <w:vAlign w:val="center"/>
          </w:tcPr>
          <w:p w14:paraId="72B1241F">
            <w:pPr>
              <w:pStyle w:val="386"/>
              <w:keepNext w:val="0"/>
              <w:keepLines w:val="0"/>
              <w:pageBreakBefore w:val="0"/>
              <w:widowControl w:val="0"/>
              <w:kinsoku/>
              <w:wordWrap/>
              <w:overflowPunct/>
              <w:topLinePunct w:val="0"/>
              <w:autoSpaceDE/>
              <w:autoSpaceDN/>
              <w:bidi w:val="0"/>
              <w:adjustRightInd/>
              <w:snapToGrid/>
              <w:spacing w:before="194"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小型</w:t>
            </w:r>
          </w:p>
        </w:tc>
        <w:tc>
          <w:tcPr>
            <w:tcW w:w="1104" w:type="dxa"/>
            <w:vAlign w:val="center"/>
          </w:tcPr>
          <w:p w14:paraId="5E1860D6">
            <w:pPr>
              <w:pStyle w:val="386"/>
              <w:keepNext w:val="0"/>
              <w:keepLines w:val="0"/>
              <w:pageBreakBefore w:val="0"/>
              <w:widowControl w:val="0"/>
              <w:kinsoku/>
              <w:wordWrap/>
              <w:overflowPunct/>
              <w:topLinePunct w:val="0"/>
              <w:autoSpaceDE/>
              <w:autoSpaceDN/>
              <w:bidi w:val="0"/>
              <w:adjustRightInd/>
              <w:snapToGrid/>
              <w:spacing w:before="194"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微型</w:t>
            </w:r>
          </w:p>
        </w:tc>
      </w:tr>
      <w:tr w14:paraId="4B737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Align w:val="center"/>
          </w:tcPr>
          <w:p w14:paraId="7CCAC995">
            <w:pPr>
              <w:pStyle w:val="386"/>
              <w:keepNext w:val="0"/>
              <w:keepLines w:val="0"/>
              <w:pageBreakBefore w:val="0"/>
              <w:widowControl w:val="0"/>
              <w:kinsoku/>
              <w:wordWrap/>
              <w:overflowPunct/>
              <w:topLinePunct w:val="0"/>
              <w:autoSpaceDE/>
              <w:autoSpaceDN/>
              <w:bidi w:val="0"/>
              <w:adjustRightInd/>
              <w:snapToGrid/>
              <w:spacing w:before="133" w:line="294" w:lineRule="exact"/>
              <w:ind w:left="2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农、林、牧、渔</w:t>
            </w:r>
          </w:p>
        </w:tc>
        <w:tc>
          <w:tcPr>
            <w:tcW w:w="1812" w:type="dxa"/>
            <w:vAlign w:val="top"/>
          </w:tcPr>
          <w:p w14:paraId="36F2E381">
            <w:pPr>
              <w:pStyle w:val="386"/>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6D5BD15D">
            <w:pPr>
              <w:pStyle w:val="386"/>
              <w:keepNext w:val="0"/>
              <w:keepLines w:val="0"/>
              <w:pageBreakBefore w:val="0"/>
              <w:widowControl w:val="0"/>
              <w:kinsoku/>
              <w:wordWrap/>
              <w:overflowPunct/>
              <w:topLinePunct w:val="0"/>
              <w:autoSpaceDE/>
              <w:autoSpaceDN/>
              <w:bidi w:val="0"/>
              <w:adjustRightInd/>
              <w:snapToGrid/>
              <w:spacing w:before="79"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87C5F0A">
            <w:pPr>
              <w:pStyle w:val="386"/>
              <w:keepNext w:val="0"/>
              <w:keepLines w:val="0"/>
              <w:pageBreakBefore w:val="0"/>
              <w:widowControl w:val="0"/>
              <w:kinsoku/>
              <w:wordWrap/>
              <w:overflowPunct/>
              <w:topLinePunct w:val="0"/>
              <w:autoSpaceDE/>
              <w:autoSpaceDN/>
              <w:bidi w:val="0"/>
              <w:adjustRightInd/>
              <w:snapToGrid/>
              <w:spacing w:before="79"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21C1DAD8">
            <w:pPr>
              <w:pStyle w:val="386"/>
              <w:keepNext w:val="0"/>
              <w:keepLines w:val="0"/>
              <w:pageBreakBefore w:val="0"/>
              <w:widowControl w:val="0"/>
              <w:kinsoku/>
              <w:wordWrap/>
              <w:overflowPunct/>
              <w:topLinePunct w:val="0"/>
              <w:autoSpaceDE/>
              <w:autoSpaceDN/>
              <w:bidi w:val="0"/>
              <w:adjustRightInd/>
              <w:snapToGrid/>
              <w:spacing w:before="79"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104" w:type="dxa"/>
            <w:vAlign w:val="top"/>
          </w:tcPr>
          <w:p w14:paraId="783ECCB0">
            <w:pPr>
              <w:pStyle w:val="386"/>
              <w:keepNext w:val="0"/>
              <w:keepLines w:val="0"/>
              <w:pageBreakBefore w:val="0"/>
              <w:widowControl w:val="0"/>
              <w:kinsoku/>
              <w:wordWrap/>
              <w:overflowPunct/>
              <w:topLinePunct w:val="0"/>
              <w:autoSpaceDE/>
              <w:autoSpaceDN/>
              <w:bidi w:val="0"/>
              <w:adjustRightInd/>
              <w:snapToGrid/>
              <w:spacing w:before="80"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B67B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0FC8B20E">
            <w:pPr>
              <w:pStyle w:val="386"/>
              <w:keepNext w:val="0"/>
              <w:keepLines w:val="0"/>
              <w:pageBreakBefore w:val="0"/>
              <w:widowControl w:val="0"/>
              <w:kinsoku/>
              <w:wordWrap/>
              <w:overflowPunct/>
              <w:topLinePunct w:val="0"/>
              <w:autoSpaceDE/>
              <w:autoSpaceDN/>
              <w:bidi w:val="0"/>
              <w:adjustRightInd/>
              <w:snapToGrid/>
              <w:spacing w:before="58"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工业</w:t>
            </w:r>
          </w:p>
        </w:tc>
        <w:tc>
          <w:tcPr>
            <w:tcW w:w="1812" w:type="dxa"/>
            <w:vAlign w:val="top"/>
          </w:tcPr>
          <w:p w14:paraId="0CCFBAC9">
            <w:pPr>
              <w:pStyle w:val="386"/>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1B53146">
            <w:pPr>
              <w:pStyle w:val="386"/>
              <w:keepNext w:val="0"/>
              <w:keepLines w:val="0"/>
              <w:pageBreakBefore w:val="0"/>
              <w:widowControl w:val="0"/>
              <w:kinsoku/>
              <w:wordWrap/>
              <w:overflowPunct/>
              <w:topLinePunct w:val="0"/>
              <w:autoSpaceDE/>
              <w:autoSpaceDN/>
              <w:bidi w:val="0"/>
              <w:adjustRightInd/>
              <w:snapToGrid/>
              <w:spacing w:before="82"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ECD6379">
            <w:pPr>
              <w:pStyle w:val="386"/>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450BC915">
            <w:pPr>
              <w:pStyle w:val="386"/>
              <w:keepNext w:val="0"/>
              <w:keepLines w:val="0"/>
              <w:pageBreakBefore w:val="0"/>
              <w:widowControl w:val="0"/>
              <w:kinsoku/>
              <w:wordWrap/>
              <w:overflowPunct/>
              <w:topLinePunct w:val="0"/>
              <w:autoSpaceDE/>
              <w:autoSpaceDN/>
              <w:bidi w:val="0"/>
              <w:adjustRightInd/>
              <w:snapToGrid/>
              <w:spacing w:before="82"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3663BC83">
            <w:pPr>
              <w:pStyle w:val="386"/>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7DD68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28" w:type="dxa"/>
            <w:vMerge w:val="continue"/>
            <w:tcBorders>
              <w:top w:val="nil"/>
            </w:tcBorders>
            <w:vAlign w:val="center"/>
          </w:tcPr>
          <w:p w14:paraId="0064D3EF">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31E3DA61">
            <w:pPr>
              <w:pStyle w:val="386"/>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33DFEBBD">
            <w:pPr>
              <w:pStyle w:val="386"/>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E7AB973">
            <w:pPr>
              <w:pStyle w:val="386"/>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711" w:type="dxa"/>
            <w:vAlign w:val="top"/>
          </w:tcPr>
          <w:p w14:paraId="204D1EB4">
            <w:pPr>
              <w:pStyle w:val="386"/>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104" w:type="dxa"/>
            <w:vAlign w:val="top"/>
          </w:tcPr>
          <w:p w14:paraId="42209B04">
            <w:pPr>
              <w:pStyle w:val="386"/>
              <w:keepNext w:val="0"/>
              <w:keepLines w:val="0"/>
              <w:pageBreakBefore w:val="0"/>
              <w:widowControl w:val="0"/>
              <w:kinsoku/>
              <w:wordWrap/>
              <w:overflowPunct/>
              <w:topLinePunct w:val="0"/>
              <w:autoSpaceDE/>
              <w:autoSpaceDN/>
              <w:bidi w:val="0"/>
              <w:adjustRightInd/>
              <w:snapToGrid/>
              <w:spacing w:before="81"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2251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28" w:type="dxa"/>
            <w:vMerge w:val="restart"/>
            <w:tcBorders>
              <w:bottom w:val="nil"/>
            </w:tcBorders>
            <w:vAlign w:val="center"/>
          </w:tcPr>
          <w:p w14:paraId="559D7AC2">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建筑业</w:t>
            </w:r>
          </w:p>
        </w:tc>
        <w:tc>
          <w:tcPr>
            <w:tcW w:w="1812" w:type="dxa"/>
            <w:vAlign w:val="top"/>
          </w:tcPr>
          <w:p w14:paraId="71420931">
            <w:pPr>
              <w:pStyle w:val="386"/>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3FCFA546">
            <w:pPr>
              <w:pStyle w:val="386"/>
              <w:keepNext w:val="0"/>
              <w:keepLines w:val="0"/>
              <w:pageBreakBefore w:val="0"/>
              <w:widowControl w:val="0"/>
              <w:kinsoku/>
              <w:wordWrap/>
              <w:overflowPunct/>
              <w:topLinePunct w:val="0"/>
              <w:autoSpaceDE/>
              <w:autoSpaceDN/>
              <w:bidi w:val="0"/>
              <w:adjustRightInd/>
              <w:snapToGrid/>
              <w:spacing w:before="80"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7A09D90">
            <w:pPr>
              <w:pStyle w:val="386"/>
              <w:keepNext w:val="0"/>
              <w:keepLines w:val="0"/>
              <w:pageBreakBefore w:val="0"/>
              <w:widowControl w:val="0"/>
              <w:kinsoku/>
              <w:wordWrap/>
              <w:overflowPunct/>
              <w:topLinePunct w:val="0"/>
              <w:autoSpaceDE/>
              <w:autoSpaceDN/>
              <w:bidi w:val="0"/>
              <w:adjustRightInd/>
              <w:snapToGrid/>
              <w:spacing w:before="80"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711" w:type="dxa"/>
            <w:vAlign w:val="top"/>
          </w:tcPr>
          <w:p w14:paraId="35DA074D">
            <w:pPr>
              <w:pStyle w:val="386"/>
              <w:keepNext w:val="0"/>
              <w:keepLines w:val="0"/>
              <w:pageBreakBefore w:val="0"/>
              <w:widowControl w:val="0"/>
              <w:kinsoku/>
              <w:wordWrap/>
              <w:overflowPunct/>
              <w:topLinePunct w:val="0"/>
              <w:autoSpaceDE/>
              <w:autoSpaceDN/>
              <w:bidi w:val="0"/>
              <w:adjustRightInd/>
              <w:snapToGrid/>
              <w:spacing w:before="80"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104" w:type="dxa"/>
            <w:vAlign w:val="top"/>
          </w:tcPr>
          <w:p w14:paraId="6B68B4E4">
            <w:pPr>
              <w:pStyle w:val="386"/>
              <w:keepNext w:val="0"/>
              <w:keepLines w:val="0"/>
              <w:pageBreakBefore w:val="0"/>
              <w:widowControl w:val="0"/>
              <w:kinsoku/>
              <w:wordWrap/>
              <w:overflowPunct/>
              <w:topLinePunct w:val="0"/>
              <w:autoSpaceDE/>
              <w:autoSpaceDN/>
              <w:bidi w:val="0"/>
              <w:adjustRightInd/>
              <w:snapToGrid/>
              <w:spacing w:before="80"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672B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28" w:type="dxa"/>
            <w:vMerge w:val="continue"/>
            <w:tcBorders>
              <w:top w:val="nil"/>
            </w:tcBorders>
            <w:vAlign w:val="center"/>
          </w:tcPr>
          <w:p w14:paraId="5EB46D68">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69B2519B">
            <w:pPr>
              <w:pStyle w:val="386"/>
              <w:keepNext w:val="0"/>
              <w:keepLines w:val="0"/>
              <w:pageBreakBefore w:val="0"/>
              <w:widowControl w:val="0"/>
              <w:kinsoku/>
              <w:wordWrap/>
              <w:overflowPunct/>
              <w:topLinePunct w:val="0"/>
              <w:autoSpaceDE/>
              <w:autoSpaceDN/>
              <w:bidi w:val="0"/>
              <w:adjustRightInd/>
              <w:snapToGrid/>
              <w:spacing w:before="82"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vAlign w:val="top"/>
          </w:tcPr>
          <w:p w14:paraId="20F03F74">
            <w:pPr>
              <w:pStyle w:val="386"/>
              <w:keepNext w:val="0"/>
              <w:keepLines w:val="0"/>
              <w:pageBreakBefore w:val="0"/>
              <w:widowControl w:val="0"/>
              <w:kinsoku/>
              <w:wordWrap/>
              <w:overflowPunct/>
              <w:topLinePunct w:val="0"/>
              <w:autoSpaceDE/>
              <w:autoSpaceDN/>
              <w:bidi w:val="0"/>
              <w:adjustRightInd/>
              <w:snapToGrid/>
              <w:spacing w:before="82"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259A7A4">
            <w:pPr>
              <w:pStyle w:val="386"/>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711" w:type="dxa"/>
            <w:vAlign w:val="top"/>
          </w:tcPr>
          <w:p w14:paraId="38A87EB8">
            <w:pPr>
              <w:pStyle w:val="386"/>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104" w:type="dxa"/>
            <w:vAlign w:val="top"/>
          </w:tcPr>
          <w:p w14:paraId="1E11A4BC">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Z＜300</w:t>
            </w:r>
          </w:p>
        </w:tc>
      </w:tr>
      <w:tr w14:paraId="1BF4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3054AAAC">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批发业</w:t>
            </w:r>
          </w:p>
        </w:tc>
        <w:tc>
          <w:tcPr>
            <w:tcW w:w="1812" w:type="dxa"/>
            <w:vAlign w:val="top"/>
          </w:tcPr>
          <w:p w14:paraId="54E69839">
            <w:pPr>
              <w:pStyle w:val="386"/>
              <w:keepNext w:val="0"/>
              <w:keepLines w:val="0"/>
              <w:pageBreakBefore w:val="0"/>
              <w:widowControl w:val="0"/>
              <w:kinsoku/>
              <w:wordWrap/>
              <w:overflowPunct/>
              <w:topLinePunct w:val="0"/>
              <w:autoSpaceDE/>
              <w:autoSpaceDN/>
              <w:bidi w:val="0"/>
              <w:adjustRightInd/>
              <w:snapToGrid/>
              <w:spacing w:before="81"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2C4A923">
            <w:pPr>
              <w:pStyle w:val="386"/>
              <w:keepNext w:val="0"/>
              <w:keepLines w:val="0"/>
              <w:pageBreakBefore w:val="0"/>
              <w:widowControl w:val="0"/>
              <w:kinsoku/>
              <w:wordWrap/>
              <w:overflowPunct/>
              <w:topLinePunct w:val="0"/>
              <w:autoSpaceDE/>
              <w:autoSpaceDN/>
              <w:bidi w:val="0"/>
              <w:adjustRightInd/>
              <w:snapToGrid/>
              <w:spacing w:before="81"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D1C9E5E">
            <w:pPr>
              <w:pStyle w:val="386"/>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20≤X＜200</w:t>
            </w:r>
          </w:p>
        </w:tc>
        <w:tc>
          <w:tcPr>
            <w:tcW w:w="1711" w:type="dxa"/>
            <w:vAlign w:val="top"/>
          </w:tcPr>
          <w:p w14:paraId="3536BAAB">
            <w:pPr>
              <w:pStyle w:val="386"/>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104" w:type="dxa"/>
            <w:vAlign w:val="top"/>
          </w:tcPr>
          <w:p w14:paraId="678FA98A">
            <w:pPr>
              <w:pStyle w:val="386"/>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53086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70795EB1">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39F1F3B7">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CC35A17">
            <w:pPr>
              <w:pStyle w:val="386"/>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52987DAA">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711" w:type="dxa"/>
            <w:vAlign w:val="top"/>
          </w:tcPr>
          <w:p w14:paraId="19354DB0">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104" w:type="dxa"/>
            <w:vAlign w:val="top"/>
          </w:tcPr>
          <w:p w14:paraId="32736F3C">
            <w:pPr>
              <w:pStyle w:val="386"/>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0F2FF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6DD94E61">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零售业</w:t>
            </w:r>
          </w:p>
        </w:tc>
        <w:tc>
          <w:tcPr>
            <w:tcW w:w="1812" w:type="dxa"/>
            <w:vAlign w:val="top"/>
          </w:tcPr>
          <w:p w14:paraId="400FFA2D">
            <w:pPr>
              <w:pStyle w:val="386"/>
              <w:keepNext w:val="0"/>
              <w:keepLines w:val="0"/>
              <w:pageBreakBefore w:val="0"/>
              <w:widowControl w:val="0"/>
              <w:kinsoku/>
              <w:wordWrap/>
              <w:overflowPunct/>
              <w:topLinePunct w:val="0"/>
              <w:autoSpaceDE/>
              <w:autoSpaceDN/>
              <w:bidi w:val="0"/>
              <w:adjustRightInd/>
              <w:snapToGrid/>
              <w:spacing w:before="82"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AFD1495">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41542C2">
            <w:pPr>
              <w:pStyle w:val="386"/>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711" w:type="dxa"/>
            <w:vAlign w:val="top"/>
          </w:tcPr>
          <w:p w14:paraId="61270B00">
            <w:pPr>
              <w:pStyle w:val="386"/>
              <w:keepNext w:val="0"/>
              <w:keepLines w:val="0"/>
              <w:pageBreakBefore w:val="0"/>
              <w:widowControl w:val="0"/>
              <w:kinsoku/>
              <w:wordWrap/>
              <w:overflowPunct/>
              <w:topLinePunct w:val="0"/>
              <w:autoSpaceDE/>
              <w:autoSpaceDN/>
              <w:bidi w:val="0"/>
              <w:adjustRightInd/>
              <w:snapToGrid/>
              <w:spacing w:before="82"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104" w:type="dxa"/>
            <w:vAlign w:val="top"/>
          </w:tcPr>
          <w:p w14:paraId="439A76F5">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5870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7B893F03">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51F80917">
            <w:pPr>
              <w:pStyle w:val="386"/>
              <w:keepNext w:val="0"/>
              <w:keepLines w:val="0"/>
              <w:pageBreakBefore w:val="0"/>
              <w:widowControl w:val="0"/>
              <w:kinsoku/>
              <w:wordWrap/>
              <w:overflowPunct/>
              <w:topLinePunct w:val="0"/>
              <w:autoSpaceDE/>
              <w:autoSpaceDN/>
              <w:bidi w:val="0"/>
              <w:adjustRightInd/>
              <w:snapToGrid/>
              <w:spacing w:before="82"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31E228C6">
            <w:pPr>
              <w:pStyle w:val="386"/>
              <w:keepNext w:val="0"/>
              <w:keepLines w:val="0"/>
              <w:pageBreakBefore w:val="0"/>
              <w:widowControl w:val="0"/>
              <w:kinsoku/>
              <w:wordWrap/>
              <w:overflowPunct/>
              <w:topLinePunct w:val="0"/>
              <w:autoSpaceDE/>
              <w:autoSpaceDN/>
              <w:bidi w:val="0"/>
              <w:adjustRightInd/>
              <w:snapToGrid/>
              <w:spacing w:before="81"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EDB1569">
            <w:pPr>
              <w:pStyle w:val="386"/>
              <w:keepNext w:val="0"/>
              <w:keepLines w:val="0"/>
              <w:pageBreakBefore w:val="0"/>
              <w:widowControl w:val="0"/>
              <w:kinsoku/>
              <w:wordWrap/>
              <w:overflowPunct/>
              <w:topLinePunct w:val="0"/>
              <w:autoSpaceDE/>
              <w:autoSpaceDN/>
              <w:bidi w:val="0"/>
              <w:adjustRightInd/>
              <w:snapToGrid/>
              <w:spacing w:before="81"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172366BD">
            <w:pPr>
              <w:pStyle w:val="386"/>
              <w:keepNext w:val="0"/>
              <w:keepLines w:val="0"/>
              <w:pageBreakBefore w:val="0"/>
              <w:widowControl w:val="0"/>
              <w:kinsoku/>
              <w:wordWrap/>
              <w:overflowPunct/>
              <w:topLinePunct w:val="0"/>
              <w:autoSpaceDE/>
              <w:autoSpaceDN/>
              <w:bidi w:val="0"/>
              <w:adjustRightInd/>
              <w:snapToGrid/>
              <w:spacing w:before="81"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104" w:type="dxa"/>
            <w:vAlign w:val="top"/>
          </w:tcPr>
          <w:p w14:paraId="33D08797">
            <w:pPr>
              <w:pStyle w:val="386"/>
              <w:keepNext w:val="0"/>
              <w:keepLines w:val="0"/>
              <w:pageBreakBefore w:val="0"/>
              <w:widowControl w:val="0"/>
              <w:kinsoku/>
              <w:wordWrap/>
              <w:overflowPunct/>
              <w:topLinePunct w:val="0"/>
              <w:autoSpaceDE/>
              <w:autoSpaceDN/>
              <w:bidi w:val="0"/>
              <w:adjustRightInd/>
              <w:snapToGrid/>
              <w:spacing w:before="82"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32E6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7EE1DAE7">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交通运输业</w:t>
            </w:r>
          </w:p>
        </w:tc>
        <w:tc>
          <w:tcPr>
            <w:tcW w:w="1812" w:type="dxa"/>
            <w:vAlign w:val="top"/>
          </w:tcPr>
          <w:p w14:paraId="309FECA6">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411C8C2">
            <w:pPr>
              <w:pStyle w:val="386"/>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7AFD04B">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70CCFE7D">
            <w:pPr>
              <w:pStyle w:val="386"/>
              <w:keepNext w:val="0"/>
              <w:keepLines w:val="0"/>
              <w:pageBreakBefore w:val="0"/>
              <w:widowControl w:val="0"/>
              <w:kinsoku/>
              <w:wordWrap/>
              <w:overflowPunct/>
              <w:topLinePunct w:val="0"/>
              <w:autoSpaceDE/>
              <w:autoSpaceDN/>
              <w:bidi w:val="0"/>
              <w:adjustRightInd/>
              <w:snapToGrid/>
              <w:spacing w:before="84"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058F1C5A">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34F8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378464F3">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05761C02">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792CA25">
            <w:pPr>
              <w:pStyle w:val="386"/>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AF47BF6">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711" w:type="dxa"/>
            <w:vAlign w:val="top"/>
          </w:tcPr>
          <w:p w14:paraId="5335FD7D">
            <w:pPr>
              <w:pStyle w:val="386"/>
              <w:keepNext w:val="0"/>
              <w:keepLines w:val="0"/>
              <w:pageBreakBefore w:val="0"/>
              <w:widowControl w:val="0"/>
              <w:kinsoku/>
              <w:wordWrap/>
              <w:overflowPunct/>
              <w:topLinePunct w:val="0"/>
              <w:autoSpaceDE/>
              <w:autoSpaceDN/>
              <w:bidi w:val="0"/>
              <w:adjustRightInd/>
              <w:snapToGrid/>
              <w:spacing w:before="83"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104" w:type="dxa"/>
            <w:vAlign w:val="top"/>
          </w:tcPr>
          <w:p w14:paraId="48DAAEC5">
            <w:pPr>
              <w:pStyle w:val="386"/>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57408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43101FE3">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仓储业</w:t>
            </w:r>
          </w:p>
        </w:tc>
        <w:tc>
          <w:tcPr>
            <w:tcW w:w="1812" w:type="dxa"/>
            <w:vAlign w:val="top"/>
          </w:tcPr>
          <w:p w14:paraId="6E118738">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8B3DA7D">
            <w:pPr>
              <w:pStyle w:val="386"/>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34C806D">
            <w:pPr>
              <w:pStyle w:val="386"/>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711" w:type="dxa"/>
            <w:vAlign w:val="top"/>
          </w:tcPr>
          <w:p w14:paraId="09B68009">
            <w:pPr>
              <w:pStyle w:val="386"/>
              <w:keepNext w:val="0"/>
              <w:keepLines w:val="0"/>
              <w:pageBreakBefore w:val="0"/>
              <w:widowControl w:val="0"/>
              <w:kinsoku/>
              <w:wordWrap/>
              <w:overflowPunct/>
              <w:topLinePunct w:val="0"/>
              <w:autoSpaceDE/>
              <w:autoSpaceDN/>
              <w:bidi w:val="0"/>
              <w:adjustRightInd/>
              <w:snapToGrid/>
              <w:spacing w:before="84"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104" w:type="dxa"/>
            <w:vAlign w:val="top"/>
          </w:tcPr>
          <w:p w14:paraId="53DFA8A6">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02AC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3F108B24">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4D2FC970">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39B9D4F7">
            <w:pPr>
              <w:pStyle w:val="386"/>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157BBB2C">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711" w:type="dxa"/>
            <w:vAlign w:val="top"/>
          </w:tcPr>
          <w:p w14:paraId="0F0D5C4D">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5EF8B1B7">
            <w:pPr>
              <w:pStyle w:val="386"/>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2703F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3B2A1F82">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邮政业</w:t>
            </w:r>
          </w:p>
        </w:tc>
        <w:tc>
          <w:tcPr>
            <w:tcW w:w="1812" w:type="dxa"/>
            <w:vAlign w:val="top"/>
          </w:tcPr>
          <w:p w14:paraId="02C1C17D">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368D3FFF">
            <w:pPr>
              <w:pStyle w:val="386"/>
              <w:keepNext w:val="0"/>
              <w:keepLines w:val="0"/>
              <w:pageBreakBefore w:val="0"/>
              <w:widowControl w:val="0"/>
              <w:kinsoku/>
              <w:wordWrap/>
              <w:overflowPunct/>
              <w:topLinePunct w:val="0"/>
              <w:autoSpaceDE/>
              <w:autoSpaceDN/>
              <w:bidi w:val="0"/>
              <w:adjustRightInd/>
              <w:snapToGrid/>
              <w:spacing w:before="85"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2BB818E">
            <w:pPr>
              <w:pStyle w:val="386"/>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05DF9909">
            <w:pPr>
              <w:pStyle w:val="386"/>
              <w:keepNext w:val="0"/>
              <w:keepLines w:val="0"/>
              <w:pageBreakBefore w:val="0"/>
              <w:widowControl w:val="0"/>
              <w:kinsoku/>
              <w:wordWrap/>
              <w:overflowPunct/>
              <w:topLinePunct w:val="0"/>
              <w:autoSpaceDE/>
              <w:autoSpaceDN/>
              <w:bidi w:val="0"/>
              <w:adjustRightInd/>
              <w:snapToGrid/>
              <w:spacing w:before="85"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70002C8C">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719E6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73E771A4">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089EA0FF">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959DD24">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12F3CE24">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711" w:type="dxa"/>
            <w:vAlign w:val="top"/>
          </w:tcPr>
          <w:p w14:paraId="15334E74">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3A5AAF04">
            <w:pPr>
              <w:pStyle w:val="386"/>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EE0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7FD30465">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住宿业</w:t>
            </w:r>
          </w:p>
        </w:tc>
        <w:tc>
          <w:tcPr>
            <w:tcW w:w="1812" w:type="dxa"/>
            <w:vAlign w:val="top"/>
          </w:tcPr>
          <w:p w14:paraId="0C4816FC">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16607BB4">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70F51923">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0804A02C">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4461E5A1">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5B355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328" w:type="dxa"/>
            <w:vMerge w:val="continue"/>
            <w:tcBorders>
              <w:top w:val="nil"/>
            </w:tcBorders>
            <w:vAlign w:val="center"/>
          </w:tcPr>
          <w:p w14:paraId="2651FEF3">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44082209">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1DE20F6">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8B5FF13">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2C3E9684">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47BD3BFC">
            <w:pPr>
              <w:pStyle w:val="386"/>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A620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168D2A6">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餐饮业</w:t>
            </w:r>
          </w:p>
        </w:tc>
        <w:tc>
          <w:tcPr>
            <w:tcW w:w="1812" w:type="dxa"/>
            <w:vAlign w:val="top"/>
          </w:tcPr>
          <w:p w14:paraId="5420B60C">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5FF3D757">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ADFA9BD">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33B0E300">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1E39B4B4">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05B6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0F71BE70">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58D5B447">
            <w:pPr>
              <w:pStyle w:val="386"/>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69BA24DE">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5E08669">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010E1D1E">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541F14D9">
            <w:pPr>
              <w:pStyle w:val="386"/>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2DC53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3A6D3E07">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信息传输业</w:t>
            </w:r>
          </w:p>
        </w:tc>
        <w:tc>
          <w:tcPr>
            <w:tcW w:w="1812" w:type="dxa"/>
            <w:vAlign w:val="top"/>
          </w:tcPr>
          <w:p w14:paraId="71339A27">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2486E9E9">
            <w:pPr>
              <w:pStyle w:val="386"/>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F6CCB51">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711" w:type="dxa"/>
            <w:vAlign w:val="top"/>
          </w:tcPr>
          <w:p w14:paraId="10F56448">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628B431F">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7C190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6E2FC3A5">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22DDBD1B">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0F36F0CE">
            <w:pPr>
              <w:pStyle w:val="386"/>
              <w:keepNext w:val="0"/>
              <w:keepLines w:val="0"/>
              <w:pageBreakBefore w:val="0"/>
              <w:widowControl w:val="0"/>
              <w:kinsoku/>
              <w:wordWrap/>
              <w:overflowPunct/>
              <w:topLinePunct w:val="0"/>
              <w:autoSpaceDE/>
              <w:autoSpaceDN/>
              <w:bidi w:val="0"/>
              <w:adjustRightInd/>
              <w:snapToGrid/>
              <w:spacing w:before="82"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CE51F59">
            <w:pPr>
              <w:pStyle w:val="386"/>
              <w:keepNext w:val="0"/>
              <w:keepLines w:val="0"/>
              <w:pageBreakBefore w:val="0"/>
              <w:widowControl w:val="0"/>
              <w:kinsoku/>
              <w:wordWrap/>
              <w:overflowPunct/>
              <w:topLinePunct w:val="0"/>
              <w:autoSpaceDE/>
              <w:autoSpaceDN/>
              <w:bidi w:val="0"/>
              <w:adjustRightInd/>
              <w:snapToGrid/>
              <w:spacing w:before="82"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711" w:type="dxa"/>
            <w:vAlign w:val="top"/>
          </w:tcPr>
          <w:p w14:paraId="7A03699F">
            <w:pPr>
              <w:pStyle w:val="386"/>
              <w:keepNext w:val="0"/>
              <w:keepLines w:val="0"/>
              <w:pageBreakBefore w:val="0"/>
              <w:widowControl w:val="0"/>
              <w:kinsoku/>
              <w:wordWrap/>
              <w:overflowPunct/>
              <w:topLinePunct w:val="0"/>
              <w:autoSpaceDE/>
              <w:autoSpaceDN/>
              <w:bidi w:val="0"/>
              <w:adjustRightInd/>
              <w:snapToGrid/>
              <w:spacing w:before="82"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26EAB7D6">
            <w:pPr>
              <w:pStyle w:val="386"/>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1BA0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7CD9E265">
            <w:pPr>
              <w:pStyle w:val="386"/>
              <w:keepNext w:val="0"/>
              <w:keepLines w:val="0"/>
              <w:pageBreakBefore w:val="0"/>
              <w:widowControl w:val="0"/>
              <w:kinsoku/>
              <w:wordWrap/>
              <w:overflowPunct/>
              <w:topLinePunct w:val="0"/>
              <w:autoSpaceDE/>
              <w:autoSpaceDN/>
              <w:bidi w:val="0"/>
              <w:adjustRightInd/>
              <w:snapToGrid/>
              <w:spacing w:before="252" w:line="294" w:lineRule="exact"/>
              <w:ind w:left="689" w:right="138" w:hanging="5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软件和信息技术服</w:t>
            </w:r>
            <w:r>
              <w:rPr>
                <w:rFonts w:hint="eastAsia" w:ascii="宋体" w:hAnsi="宋体" w:eastAsia="宋体" w:cs="宋体"/>
                <w:b/>
                <w:bCs/>
                <w:color w:val="auto"/>
                <w:spacing w:val="-7"/>
                <w:sz w:val="21"/>
                <w:szCs w:val="21"/>
                <w:highlight w:val="none"/>
              </w:rPr>
              <w:t>务业</w:t>
            </w:r>
          </w:p>
        </w:tc>
        <w:tc>
          <w:tcPr>
            <w:tcW w:w="1812" w:type="dxa"/>
            <w:vAlign w:val="top"/>
          </w:tcPr>
          <w:p w14:paraId="71A08086">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86A8254">
            <w:pPr>
              <w:pStyle w:val="386"/>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2296ACD2">
            <w:pPr>
              <w:pStyle w:val="386"/>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4BDD3128">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2F1DE4B2">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68E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28" w:type="dxa"/>
            <w:vMerge w:val="continue"/>
            <w:tcBorders>
              <w:top w:val="nil"/>
            </w:tcBorders>
            <w:vAlign w:val="center"/>
          </w:tcPr>
          <w:p w14:paraId="1B03E7B1">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vAlign w:val="top"/>
          </w:tcPr>
          <w:p w14:paraId="550122C5">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5BCEEBA7">
            <w:pPr>
              <w:pStyle w:val="386"/>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DBD3DF1">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711" w:type="dxa"/>
            <w:vAlign w:val="top"/>
          </w:tcPr>
          <w:p w14:paraId="567927F8">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104" w:type="dxa"/>
            <w:vAlign w:val="top"/>
          </w:tcPr>
          <w:p w14:paraId="2B75FE60">
            <w:pPr>
              <w:pStyle w:val="386"/>
              <w:keepNext w:val="0"/>
              <w:keepLines w:val="0"/>
              <w:pageBreakBefore w:val="0"/>
              <w:widowControl w:val="0"/>
              <w:kinsoku/>
              <w:wordWrap/>
              <w:overflowPunct/>
              <w:topLinePunct w:val="0"/>
              <w:autoSpaceDE/>
              <w:autoSpaceDN/>
              <w:bidi w:val="0"/>
              <w:adjustRightInd/>
              <w:snapToGrid/>
              <w:spacing w:before="83"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118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01E6DC7C">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房地产开发经营</w:t>
            </w:r>
          </w:p>
        </w:tc>
        <w:tc>
          <w:tcPr>
            <w:tcW w:w="1812" w:type="dxa"/>
            <w:vAlign w:val="top"/>
          </w:tcPr>
          <w:p w14:paraId="2E82BD20">
            <w:pPr>
              <w:pStyle w:val="386"/>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6AF03D39">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D4963F2">
            <w:pPr>
              <w:pStyle w:val="386"/>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711" w:type="dxa"/>
            <w:vAlign w:val="top"/>
          </w:tcPr>
          <w:p w14:paraId="29203A03">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100≤X＜1000</w:t>
            </w:r>
          </w:p>
        </w:tc>
        <w:tc>
          <w:tcPr>
            <w:tcW w:w="1104" w:type="dxa"/>
            <w:vAlign w:val="top"/>
          </w:tcPr>
          <w:p w14:paraId="397E8914">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12D2D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continue"/>
            <w:tcBorders>
              <w:top w:val="nil"/>
              <w:bottom w:val="single" w:color="auto" w:sz="4" w:space="0"/>
            </w:tcBorders>
            <w:vAlign w:val="center"/>
          </w:tcPr>
          <w:p w14:paraId="340F3407">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bottom w:val="single" w:color="auto" w:sz="4" w:space="0"/>
            </w:tcBorders>
            <w:vAlign w:val="top"/>
          </w:tcPr>
          <w:p w14:paraId="5FF4C721">
            <w:pPr>
              <w:pStyle w:val="386"/>
              <w:keepNext w:val="0"/>
              <w:keepLines w:val="0"/>
              <w:pageBreakBefore w:val="0"/>
              <w:widowControl w:val="0"/>
              <w:kinsoku/>
              <w:wordWrap/>
              <w:overflowPunct/>
              <w:topLinePunct w:val="0"/>
              <w:autoSpaceDE/>
              <w:autoSpaceDN/>
              <w:bidi w:val="0"/>
              <w:adjustRightInd/>
              <w:snapToGrid/>
              <w:spacing w:before="84"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bottom w:val="single" w:color="auto" w:sz="4" w:space="0"/>
            </w:tcBorders>
            <w:vAlign w:val="top"/>
          </w:tcPr>
          <w:p w14:paraId="756EB88A">
            <w:pPr>
              <w:pStyle w:val="386"/>
              <w:keepNext w:val="0"/>
              <w:keepLines w:val="0"/>
              <w:pageBreakBefore w:val="0"/>
              <w:widowControl w:val="0"/>
              <w:kinsoku/>
              <w:wordWrap/>
              <w:overflowPunct/>
              <w:topLinePunct w:val="0"/>
              <w:autoSpaceDE/>
              <w:autoSpaceDN/>
              <w:bidi w:val="0"/>
              <w:adjustRightInd/>
              <w:snapToGrid/>
              <w:spacing w:before="83"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bottom w:val="single" w:color="auto" w:sz="4" w:space="0"/>
            </w:tcBorders>
            <w:vAlign w:val="top"/>
          </w:tcPr>
          <w:p w14:paraId="529355DC">
            <w:pPr>
              <w:pStyle w:val="386"/>
              <w:keepNext w:val="0"/>
              <w:keepLines w:val="0"/>
              <w:pageBreakBefore w:val="0"/>
              <w:widowControl w:val="0"/>
              <w:kinsoku/>
              <w:wordWrap/>
              <w:overflowPunct/>
              <w:topLinePunct w:val="0"/>
              <w:autoSpaceDE/>
              <w:autoSpaceDN/>
              <w:bidi w:val="0"/>
              <w:adjustRightInd/>
              <w:snapToGrid/>
              <w:spacing w:before="83"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711" w:type="dxa"/>
            <w:tcBorders>
              <w:bottom w:val="single" w:color="auto" w:sz="4" w:space="0"/>
            </w:tcBorders>
            <w:vAlign w:val="top"/>
          </w:tcPr>
          <w:p w14:paraId="089645F5">
            <w:pPr>
              <w:pStyle w:val="386"/>
              <w:keepNext w:val="0"/>
              <w:keepLines w:val="0"/>
              <w:pageBreakBefore w:val="0"/>
              <w:widowControl w:val="0"/>
              <w:kinsoku/>
              <w:wordWrap/>
              <w:overflowPunct/>
              <w:topLinePunct w:val="0"/>
              <w:autoSpaceDE/>
              <w:autoSpaceDN/>
              <w:bidi w:val="0"/>
              <w:adjustRightInd/>
              <w:snapToGrid/>
              <w:spacing w:before="83" w:line="29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2000≤Y＜5000</w:t>
            </w:r>
          </w:p>
        </w:tc>
        <w:tc>
          <w:tcPr>
            <w:tcW w:w="1104" w:type="dxa"/>
            <w:tcBorders>
              <w:bottom w:val="single" w:color="auto" w:sz="4" w:space="0"/>
            </w:tcBorders>
            <w:vAlign w:val="top"/>
          </w:tcPr>
          <w:p w14:paraId="16E3F091">
            <w:pPr>
              <w:pStyle w:val="386"/>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w:t>
            </w:r>
          </w:p>
        </w:tc>
      </w:tr>
      <w:tr w14:paraId="3AB25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31145857">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p w14:paraId="09C69865">
            <w:pPr>
              <w:pStyle w:val="386"/>
              <w:keepNext w:val="0"/>
              <w:keepLines w:val="0"/>
              <w:pageBreakBefore w:val="0"/>
              <w:widowControl w:val="0"/>
              <w:kinsoku/>
              <w:wordWrap/>
              <w:overflowPunct/>
              <w:topLinePunct w:val="0"/>
              <w:autoSpaceDE/>
              <w:autoSpaceDN/>
              <w:bidi w:val="0"/>
              <w:adjustRightInd/>
              <w:snapToGrid/>
              <w:spacing w:before="59" w:line="294" w:lineRule="exact"/>
              <w:ind w:left="508"/>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物业管理</w:t>
            </w:r>
          </w:p>
        </w:tc>
        <w:tc>
          <w:tcPr>
            <w:tcW w:w="1812" w:type="dxa"/>
            <w:tcBorders>
              <w:top w:val="single" w:color="auto" w:sz="4" w:space="0"/>
              <w:left w:val="single" w:color="auto" w:sz="4" w:space="0"/>
              <w:bottom w:val="single" w:color="auto" w:sz="4" w:space="0"/>
              <w:right w:val="single" w:color="auto" w:sz="4" w:space="0"/>
            </w:tcBorders>
            <w:vAlign w:val="top"/>
          </w:tcPr>
          <w:p w14:paraId="286B50E1">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1C176F6C">
            <w:pPr>
              <w:pStyle w:val="386"/>
              <w:keepNext w:val="0"/>
              <w:keepLines w:val="0"/>
              <w:pageBreakBefore w:val="0"/>
              <w:widowControl w:val="0"/>
              <w:kinsoku/>
              <w:wordWrap/>
              <w:overflowPunct/>
              <w:topLinePunct w:val="0"/>
              <w:autoSpaceDE/>
              <w:autoSpaceDN/>
              <w:bidi w:val="0"/>
              <w:adjustRightInd/>
              <w:snapToGrid/>
              <w:spacing w:before="85"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649E8006">
            <w:pPr>
              <w:pStyle w:val="386"/>
              <w:keepNext w:val="0"/>
              <w:keepLines w:val="0"/>
              <w:pageBreakBefore w:val="0"/>
              <w:widowControl w:val="0"/>
              <w:kinsoku/>
              <w:wordWrap/>
              <w:overflowPunct/>
              <w:topLinePunct w:val="0"/>
              <w:autoSpaceDE/>
              <w:autoSpaceDN/>
              <w:bidi w:val="0"/>
              <w:adjustRightInd/>
              <w:snapToGrid/>
              <w:spacing w:before="85"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tcBorders>
              <w:top w:val="single" w:color="auto" w:sz="4" w:space="0"/>
              <w:left w:val="single" w:color="auto" w:sz="4" w:space="0"/>
              <w:bottom w:val="single" w:color="auto" w:sz="4" w:space="0"/>
              <w:right w:val="single" w:color="auto" w:sz="4" w:space="0"/>
            </w:tcBorders>
            <w:vAlign w:val="top"/>
          </w:tcPr>
          <w:p w14:paraId="3A9EA8F6">
            <w:pPr>
              <w:pStyle w:val="386"/>
              <w:keepNext w:val="0"/>
              <w:keepLines w:val="0"/>
              <w:pageBreakBefore w:val="0"/>
              <w:widowControl w:val="0"/>
              <w:kinsoku/>
              <w:wordWrap/>
              <w:overflowPunct/>
              <w:topLinePunct w:val="0"/>
              <w:autoSpaceDE/>
              <w:autoSpaceDN/>
              <w:bidi w:val="0"/>
              <w:adjustRightInd/>
              <w:snapToGrid/>
              <w:spacing w:before="85"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104" w:type="dxa"/>
            <w:tcBorders>
              <w:top w:val="single" w:color="auto" w:sz="4" w:space="0"/>
              <w:left w:val="single" w:color="auto" w:sz="4" w:space="0"/>
              <w:bottom w:val="single" w:color="auto" w:sz="4" w:space="0"/>
              <w:right w:val="single" w:color="auto" w:sz="4" w:space="0"/>
            </w:tcBorders>
            <w:vAlign w:val="top"/>
          </w:tcPr>
          <w:p w14:paraId="5F8833F9">
            <w:pPr>
              <w:pStyle w:val="386"/>
              <w:keepNext w:val="0"/>
              <w:keepLines w:val="0"/>
              <w:pageBreakBefore w:val="0"/>
              <w:widowControl w:val="0"/>
              <w:kinsoku/>
              <w:wordWrap/>
              <w:overflowPunct/>
              <w:topLinePunct w:val="0"/>
              <w:autoSpaceDE/>
              <w:autoSpaceDN/>
              <w:bidi w:val="0"/>
              <w:adjustRightInd/>
              <w:snapToGrid/>
              <w:spacing w:before="85"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0AE3F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328" w:type="dxa"/>
            <w:vMerge w:val="continue"/>
            <w:tcBorders>
              <w:top w:val="single" w:color="auto" w:sz="4" w:space="0"/>
              <w:left w:val="single" w:color="auto" w:sz="4" w:space="0"/>
              <w:bottom w:val="single" w:color="auto" w:sz="4" w:space="0"/>
              <w:right w:val="single" w:color="auto" w:sz="4" w:space="0"/>
            </w:tcBorders>
            <w:vAlign w:val="center"/>
          </w:tcPr>
          <w:p w14:paraId="27A070F3">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top"/>
          </w:tcPr>
          <w:p w14:paraId="704A2277">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tcBorders>
              <w:top w:val="single" w:color="auto" w:sz="4" w:space="0"/>
              <w:left w:val="single" w:color="auto" w:sz="4" w:space="0"/>
              <w:bottom w:val="single" w:color="auto" w:sz="4" w:space="0"/>
              <w:right w:val="single" w:color="auto" w:sz="4" w:space="0"/>
            </w:tcBorders>
            <w:vAlign w:val="top"/>
          </w:tcPr>
          <w:p w14:paraId="12E944BA">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left w:val="single" w:color="auto" w:sz="4" w:space="0"/>
              <w:bottom w:val="single" w:color="auto" w:sz="4" w:space="0"/>
              <w:right w:val="single" w:color="auto" w:sz="4" w:space="0"/>
            </w:tcBorders>
            <w:vAlign w:val="top"/>
          </w:tcPr>
          <w:p w14:paraId="1F3631E0">
            <w:pPr>
              <w:pStyle w:val="386"/>
              <w:keepNext w:val="0"/>
              <w:keepLines w:val="0"/>
              <w:pageBreakBefore w:val="0"/>
              <w:widowControl w:val="0"/>
              <w:kinsoku/>
              <w:wordWrap/>
              <w:overflowPunct/>
              <w:topLinePunct w:val="0"/>
              <w:autoSpaceDE/>
              <w:autoSpaceDN/>
              <w:bidi w:val="0"/>
              <w:adjustRightInd/>
              <w:snapToGrid/>
              <w:spacing w:before="84"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711" w:type="dxa"/>
            <w:tcBorders>
              <w:top w:val="single" w:color="auto" w:sz="4" w:space="0"/>
              <w:left w:val="single" w:color="auto" w:sz="4" w:space="0"/>
              <w:bottom w:val="single" w:color="auto" w:sz="4" w:space="0"/>
              <w:right w:val="single" w:color="auto" w:sz="4" w:space="0"/>
            </w:tcBorders>
            <w:vAlign w:val="top"/>
          </w:tcPr>
          <w:p w14:paraId="054A8F64">
            <w:pPr>
              <w:pStyle w:val="386"/>
              <w:keepNext w:val="0"/>
              <w:keepLines w:val="0"/>
              <w:pageBreakBefore w:val="0"/>
              <w:widowControl w:val="0"/>
              <w:kinsoku/>
              <w:wordWrap/>
              <w:overflowPunct/>
              <w:topLinePunct w:val="0"/>
              <w:autoSpaceDE/>
              <w:autoSpaceDN/>
              <w:bidi w:val="0"/>
              <w:adjustRightInd/>
              <w:snapToGrid/>
              <w:spacing w:before="84" w:line="29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104" w:type="dxa"/>
            <w:tcBorders>
              <w:top w:val="single" w:color="auto" w:sz="4" w:space="0"/>
              <w:left w:val="single" w:color="auto" w:sz="4" w:space="0"/>
              <w:bottom w:val="single" w:color="auto" w:sz="4" w:space="0"/>
              <w:right w:val="single" w:color="auto" w:sz="4" w:space="0"/>
            </w:tcBorders>
            <w:vAlign w:val="top"/>
          </w:tcPr>
          <w:p w14:paraId="25FE658B">
            <w:pPr>
              <w:pStyle w:val="386"/>
              <w:keepNext w:val="0"/>
              <w:keepLines w:val="0"/>
              <w:pageBreakBefore w:val="0"/>
              <w:widowControl w:val="0"/>
              <w:kinsoku/>
              <w:wordWrap/>
              <w:overflowPunct/>
              <w:topLinePunct w:val="0"/>
              <w:autoSpaceDE/>
              <w:autoSpaceDN/>
              <w:bidi w:val="0"/>
              <w:adjustRightInd/>
              <w:snapToGrid/>
              <w:spacing w:before="84"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643B2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61DAE067">
            <w:pPr>
              <w:pStyle w:val="386"/>
              <w:keepNext w:val="0"/>
              <w:keepLines w:val="0"/>
              <w:pageBreakBefore w:val="0"/>
              <w:widowControl w:val="0"/>
              <w:kinsoku/>
              <w:wordWrap/>
              <w:overflowPunct/>
              <w:topLinePunct w:val="0"/>
              <w:autoSpaceDE/>
              <w:autoSpaceDN/>
              <w:bidi w:val="0"/>
              <w:adjustRightInd/>
              <w:snapToGrid/>
              <w:spacing w:before="59" w:line="29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租赁和商务服务业</w:t>
            </w:r>
          </w:p>
        </w:tc>
        <w:tc>
          <w:tcPr>
            <w:tcW w:w="1812" w:type="dxa"/>
            <w:tcBorders>
              <w:top w:val="single" w:color="auto" w:sz="4" w:space="0"/>
              <w:left w:val="single" w:color="auto" w:sz="4" w:space="0"/>
              <w:bottom w:val="single" w:color="auto" w:sz="4" w:space="0"/>
              <w:right w:val="single" w:color="auto" w:sz="4" w:space="0"/>
            </w:tcBorders>
            <w:vAlign w:val="top"/>
          </w:tcPr>
          <w:p w14:paraId="53E111F5">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39E1DC81">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7DA995FC">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tcBorders>
              <w:top w:val="single" w:color="auto" w:sz="4" w:space="0"/>
              <w:left w:val="single" w:color="auto" w:sz="4" w:space="0"/>
              <w:bottom w:val="single" w:color="auto" w:sz="4" w:space="0"/>
              <w:right w:val="single" w:color="auto" w:sz="4" w:space="0"/>
            </w:tcBorders>
            <w:vAlign w:val="top"/>
          </w:tcPr>
          <w:p w14:paraId="2F37D447">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tcBorders>
              <w:top w:val="single" w:color="auto" w:sz="4" w:space="0"/>
              <w:left w:val="single" w:color="auto" w:sz="4" w:space="0"/>
              <w:bottom w:val="single" w:color="auto" w:sz="4" w:space="0"/>
              <w:right w:val="single" w:color="auto" w:sz="4" w:space="0"/>
            </w:tcBorders>
            <w:vAlign w:val="top"/>
          </w:tcPr>
          <w:p w14:paraId="4409BB97">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71162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2328" w:type="dxa"/>
            <w:vMerge w:val="continue"/>
            <w:tcBorders>
              <w:top w:val="single" w:color="auto" w:sz="4" w:space="0"/>
              <w:left w:val="single" w:color="auto" w:sz="4" w:space="0"/>
            </w:tcBorders>
            <w:vAlign w:val="center"/>
          </w:tcPr>
          <w:p w14:paraId="2EB6EAAD">
            <w:pPr>
              <w:keepNext w:val="0"/>
              <w:keepLines w:val="0"/>
              <w:pageBreakBefore w:val="0"/>
              <w:widowControl w:val="0"/>
              <w:kinsoku/>
              <w:wordWrap/>
              <w:overflowPunct/>
              <w:topLinePunct w:val="0"/>
              <w:autoSpaceDE/>
              <w:autoSpaceDN/>
              <w:bidi w:val="0"/>
              <w:adjustRightInd/>
              <w:snapToGrid/>
              <w:spacing w:line="29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tcBorders>
            <w:vAlign w:val="top"/>
          </w:tcPr>
          <w:p w14:paraId="7592804D">
            <w:pPr>
              <w:pStyle w:val="386"/>
              <w:keepNext w:val="0"/>
              <w:keepLines w:val="0"/>
              <w:pageBreakBefore w:val="0"/>
              <w:widowControl w:val="0"/>
              <w:kinsoku/>
              <w:wordWrap/>
              <w:overflowPunct/>
              <w:topLinePunct w:val="0"/>
              <w:autoSpaceDE/>
              <w:autoSpaceDN/>
              <w:bidi w:val="0"/>
              <w:adjustRightInd/>
              <w:snapToGrid/>
              <w:spacing w:before="84" w:line="29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top w:val="single" w:color="auto" w:sz="4" w:space="0"/>
            </w:tcBorders>
            <w:vAlign w:val="top"/>
          </w:tcPr>
          <w:p w14:paraId="1D4617AE">
            <w:pPr>
              <w:pStyle w:val="386"/>
              <w:keepNext w:val="0"/>
              <w:keepLines w:val="0"/>
              <w:pageBreakBefore w:val="0"/>
              <w:widowControl w:val="0"/>
              <w:kinsoku/>
              <w:wordWrap/>
              <w:overflowPunct/>
              <w:topLinePunct w:val="0"/>
              <w:autoSpaceDE/>
              <w:autoSpaceDN/>
              <w:bidi w:val="0"/>
              <w:adjustRightInd/>
              <w:snapToGrid/>
              <w:spacing w:before="84" w:line="29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tcBorders>
            <w:vAlign w:val="top"/>
          </w:tcPr>
          <w:p w14:paraId="128130D5">
            <w:pPr>
              <w:pStyle w:val="386"/>
              <w:keepNext w:val="0"/>
              <w:keepLines w:val="0"/>
              <w:pageBreakBefore w:val="0"/>
              <w:widowControl w:val="0"/>
              <w:kinsoku/>
              <w:wordWrap/>
              <w:overflowPunct/>
              <w:topLinePunct w:val="0"/>
              <w:autoSpaceDE/>
              <w:autoSpaceDN/>
              <w:bidi w:val="0"/>
              <w:adjustRightInd/>
              <w:snapToGrid/>
              <w:spacing w:before="84"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711" w:type="dxa"/>
            <w:tcBorders>
              <w:top w:val="single" w:color="auto" w:sz="4" w:space="0"/>
            </w:tcBorders>
            <w:vAlign w:val="top"/>
          </w:tcPr>
          <w:p w14:paraId="6E79BB9F">
            <w:pPr>
              <w:pStyle w:val="386"/>
              <w:keepNext w:val="0"/>
              <w:keepLines w:val="0"/>
              <w:pageBreakBefore w:val="0"/>
              <w:widowControl w:val="0"/>
              <w:kinsoku/>
              <w:wordWrap/>
              <w:overflowPunct/>
              <w:topLinePunct w:val="0"/>
              <w:autoSpaceDE/>
              <w:autoSpaceDN/>
              <w:bidi w:val="0"/>
              <w:adjustRightInd/>
              <w:snapToGrid/>
              <w:spacing w:before="84"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104" w:type="dxa"/>
            <w:tcBorders>
              <w:top w:val="single" w:color="auto" w:sz="4" w:space="0"/>
            </w:tcBorders>
            <w:vAlign w:val="top"/>
          </w:tcPr>
          <w:p w14:paraId="02B9A56E">
            <w:pPr>
              <w:pStyle w:val="386"/>
              <w:keepNext w:val="0"/>
              <w:keepLines w:val="0"/>
              <w:pageBreakBefore w:val="0"/>
              <w:widowControl w:val="0"/>
              <w:kinsoku/>
              <w:wordWrap/>
              <w:overflowPunct/>
              <w:topLinePunct w:val="0"/>
              <w:autoSpaceDE/>
              <w:autoSpaceDN/>
              <w:bidi w:val="0"/>
              <w:adjustRightInd/>
              <w:snapToGrid/>
              <w:spacing w:before="85" w:line="29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4672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28" w:type="dxa"/>
            <w:vAlign w:val="center"/>
          </w:tcPr>
          <w:p w14:paraId="48191840">
            <w:pPr>
              <w:pStyle w:val="386"/>
              <w:keepNext w:val="0"/>
              <w:keepLines w:val="0"/>
              <w:pageBreakBefore w:val="0"/>
              <w:widowControl w:val="0"/>
              <w:kinsoku/>
              <w:wordWrap/>
              <w:overflowPunct/>
              <w:topLinePunct w:val="0"/>
              <w:autoSpaceDE/>
              <w:autoSpaceDN/>
              <w:bidi w:val="0"/>
              <w:adjustRightInd/>
              <w:snapToGrid/>
              <w:spacing w:before="136" w:line="294" w:lineRule="exact"/>
              <w:ind w:firstLine="41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其他未列明行业</w:t>
            </w:r>
          </w:p>
        </w:tc>
        <w:tc>
          <w:tcPr>
            <w:tcW w:w="1812" w:type="dxa"/>
            <w:vAlign w:val="top"/>
          </w:tcPr>
          <w:p w14:paraId="15F334D9">
            <w:pPr>
              <w:pStyle w:val="386"/>
              <w:keepNext w:val="0"/>
              <w:keepLines w:val="0"/>
              <w:pageBreakBefore w:val="0"/>
              <w:widowControl w:val="0"/>
              <w:kinsoku/>
              <w:wordWrap/>
              <w:overflowPunct/>
              <w:topLinePunct w:val="0"/>
              <w:autoSpaceDE/>
              <w:autoSpaceDN/>
              <w:bidi w:val="0"/>
              <w:adjustRightInd/>
              <w:snapToGrid/>
              <w:spacing w:before="83"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33A07F72">
            <w:pPr>
              <w:pStyle w:val="386"/>
              <w:keepNext w:val="0"/>
              <w:keepLines w:val="0"/>
              <w:pageBreakBefore w:val="0"/>
              <w:widowControl w:val="0"/>
              <w:kinsoku/>
              <w:wordWrap/>
              <w:overflowPunct/>
              <w:topLinePunct w:val="0"/>
              <w:autoSpaceDE/>
              <w:autoSpaceDN/>
              <w:bidi w:val="0"/>
              <w:adjustRightInd/>
              <w:snapToGrid/>
              <w:spacing w:before="83" w:line="29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29B6D64">
            <w:pPr>
              <w:pStyle w:val="386"/>
              <w:keepNext w:val="0"/>
              <w:keepLines w:val="0"/>
              <w:pageBreakBefore w:val="0"/>
              <w:widowControl w:val="0"/>
              <w:kinsoku/>
              <w:wordWrap/>
              <w:overflowPunct/>
              <w:topLinePunct w:val="0"/>
              <w:autoSpaceDE/>
              <w:autoSpaceDN/>
              <w:bidi w:val="0"/>
              <w:adjustRightInd/>
              <w:snapToGrid/>
              <w:spacing w:before="83" w:line="29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48982DF5">
            <w:pPr>
              <w:pStyle w:val="386"/>
              <w:keepNext w:val="0"/>
              <w:keepLines w:val="0"/>
              <w:pageBreakBefore w:val="0"/>
              <w:widowControl w:val="0"/>
              <w:kinsoku/>
              <w:wordWrap/>
              <w:overflowPunct/>
              <w:topLinePunct w:val="0"/>
              <w:autoSpaceDE/>
              <w:autoSpaceDN/>
              <w:bidi w:val="0"/>
              <w:adjustRightInd/>
              <w:snapToGrid/>
              <w:spacing w:before="83" w:line="29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2008577F">
            <w:pPr>
              <w:pStyle w:val="386"/>
              <w:keepNext w:val="0"/>
              <w:keepLines w:val="0"/>
              <w:pageBreakBefore w:val="0"/>
              <w:widowControl w:val="0"/>
              <w:kinsoku/>
              <w:wordWrap/>
              <w:overflowPunct/>
              <w:topLinePunct w:val="0"/>
              <w:autoSpaceDE/>
              <w:autoSpaceDN/>
              <w:bidi w:val="0"/>
              <w:adjustRightInd/>
              <w:snapToGrid/>
              <w:spacing w:before="84" w:line="29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1A98C80D">
      <w:pPr>
        <w:pStyle w:val="19"/>
        <w:keepNext w:val="0"/>
        <w:keepLines w:val="0"/>
        <w:pageBreakBefore w:val="0"/>
        <w:widowControl w:val="0"/>
        <w:kinsoku/>
        <w:wordWrap/>
        <w:overflowPunct/>
        <w:topLinePunct w:val="0"/>
        <w:autoSpaceDE/>
        <w:autoSpaceDN/>
        <w:bidi w:val="0"/>
        <w:adjustRightInd w:val="0"/>
        <w:snapToGrid/>
        <w:spacing w:line="278" w:lineRule="exact"/>
        <w:textAlignment w:val="baseline"/>
        <w:rPr>
          <w:color w:val="auto"/>
        </w:rPr>
      </w:pPr>
      <w:r>
        <w:rPr>
          <w:color w:val="auto"/>
          <w:spacing w:val="-1"/>
          <w:sz w:val="21"/>
          <w:szCs w:val="21"/>
          <w:highlight w:val="none"/>
        </w:rPr>
        <w:t>说明：上述标准参照《关于印发中小企业划</w:t>
      </w:r>
      <w:r>
        <w:rPr>
          <w:color w:val="auto"/>
          <w:spacing w:val="-2"/>
          <w:sz w:val="21"/>
          <w:szCs w:val="21"/>
          <w:highlight w:val="none"/>
        </w:rPr>
        <w:t>型标准规定的通知》（工信部联企业[2011]300</w:t>
      </w:r>
      <w:r>
        <w:rPr>
          <w:color w:val="auto"/>
          <w:spacing w:val="-33"/>
          <w:sz w:val="21"/>
          <w:szCs w:val="21"/>
          <w:highlight w:val="none"/>
        </w:rPr>
        <w:t xml:space="preserve"> </w:t>
      </w:r>
      <w:r>
        <w:rPr>
          <w:color w:val="auto"/>
          <w:spacing w:val="-2"/>
          <w:sz w:val="21"/>
          <w:szCs w:val="21"/>
          <w:highlight w:val="none"/>
        </w:rPr>
        <w:t>号</w:t>
      </w:r>
      <w:r>
        <w:rPr>
          <w:color w:val="auto"/>
          <w:spacing w:val="-8"/>
          <w:sz w:val="21"/>
          <w:szCs w:val="21"/>
          <w:highlight w:val="none"/>
        </w:rPr>
        <w:t>），</w:t>
      </w:r>
      <w:r>
        <w:rPr>
          <w:color w:val="auto"/>
          <w:spacing w:val="-2"/>
          <w:sz w:val="21"/>
          <w:szCs w:val="21"/>
          <w:highlight w:val="none"/>
        </w:rPr>
        <w:t>大型、中型和小型企业</w:t>
      </w:r>
      <w:r>
        <w:rPr>
          <w:color w:val="auto"/>
          <w:sz w:val="21"/>
          <w:szCs w:val="21"/>
          <w:highlight w:val="none"/>
        </w:rPr>
        <w:t>须同时满足所列指标的下限，否则下划一档；微型企业只须满足</w:t>
      </w:r>
      <w:r>
        <w:rPr>
          <w:color w:val="auto"/>
          <w:spacing w:val="-1"/>
          <w:sz w:val="21"/>
          <w:szCs w:val="21"/>
          <w:highlight w:val="none"/>
        </w:rPr>
        <w:t>所列指标中的一项即可。</w:t>
      </w:r>
    </w:p>
    <w:sectPr>
      <w:pgSz w:w="12240" w:h="15840"/>
      <w:pgMar w:top="1099" w:right="942" w:bottom="1135" w:left="1418" w:header="454" w:footer="397" w:gutter="0"/>
      <w:pgNumType w:start="1"/>
      <w:cols w:equalWidth="0" w:num="1">
        <w:col w:w="9518"/>
      </w:cols>
      <w:rtlGutter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267400"/>
    </w:sdtPr>
    <w:sdtContent>
      <w:p w14:paraId="17DEB81A">
        <w:pPr>
          <w:pStyle w:val="31"/>
          <w:jc w:val="center"/>
        </w:pPr>
        <w:r>
          <w:fldChar w:fldCharType="begin"/>
        </w:r>
        <w:r>
          <w:instrText xml:space="preserve">PAGE   \* MERGEFORMAT</w:instrText>
        </w:r>
        <w:r>
          <w:fldChar w:fldCharType="separate"/>
        </w:r>
        <w:r>
          <w:rPr>
            <w:lang w:val="zh-CN"/>
          </w:rPr>
          <w:t>1</w:t>
        </w:r>
        <w:r>
          <w:fldChar w:fldCharType="end"/>
        </w:r>
      </w:p>
    </w:sdtContent>
  </w:sdt>
  <w:p w14:paraId="3CF2311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1D0F">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850C">
    <w:pPr>
      <w:tabs>
        <w:tab w:val="left" w:pos="1519"/>
      </w:tabs>
      <w:rPr>
        <w:rFonts w:hint="eastAsia" w:ascii="宋体" w:hAnsi="宋体" w:eastAsia="宋体" w:cs="宋体"/>
        <w:kern w:val="2"/>
        <w:sz w:val="18"/>
        <w:szCs w:val="18"/>
        <w:u w:val="none"/>
        <w:lang w:val="en-US" w:eastAsia="zh-CN" w:bidi="ar"/>
      </w:rPr>
    </w:pPr>
    <w:r>
      <w:rPr>
        <w:rFonts w:hint="eastAsia" w:ascii="宋体" w:hAnsi="宋体" w:eastAsia="宋体" w:cs="宋体"/>
        <w:kern w:val="2"/>
        <w:sz w:val="18"/>
        <w:szCs w:val="18"/>
        <w:u w:val="none"/>
        <w:lang w:bidi="ar"/>
      </w:rPr>
      <w:t>项目名称：</w:t>
    </w:r>
    <w:r>
      <w:rPr>
        <w:rFonts w:hint="eastAsia" w:ascii="宋体" w:hAnsi="宋体" w:eastAsia="宋体" w:cs="宋体"/>
        <w:kern w:val="2"/>
        <w:sz w:val="18"/>
        <w:szCs w:val="18"/>
        <w:u w:val="none"/>
        <w:lang w:eastAsia="zh-CN" w:bidi="ar"/>
      </w:rPr>
      <w:t>贺州市第六届运动会暨第四届全民健身运动会八步区代表团参赛组织（青少年组、成年组）服务项目</w:t>
    </w:r>
    <w:r>
      <w:rPr>
        <w:rFonts w:hint="eastAsia" w:ascii="宋体" w:hAnsi="宋体" w:eastAsia="宋体" w:cs="宋体"/>
        <w:kern w:val="2"/>
        <w:sz w:val="18"/>
        <w:szCs w:val="18"/>
        <w:u w:val="none"/>
        <w:lang w:val="en-US" w:eastAsia="zh-CN" w:bidi="ar"/>
      </w:rPr>
      <w:t xml:space="preserve"> </w:t>
    </w:r>
  </w:p>
  <w:p w14:paraId="52ACA168">
    <w:pPr>
      <w:tabs>
        <w:tab w:val="left" w:pos="1519"/>
      </w:tabs>
      <w:wordWrap w:val="0"/>
      <w:ind w:firstLine="6300" w:firstLineChars="3500"/>
      <w:jc w:val="both"/>
      <w:rPr>
        <w:rFonts w:hint="eastAsia" w:ascii="宋体" w:hAnsi="宋体" w:eastAsia="宋体" w:cs="宋体"/>
        <w:kern w:val="2"/>
        <w:sz w:val="18"/>
        <w:szCs w:val="18"/>
        <w:u w:val="none"/>
        <w:lang w:eastAsia="zh-CN" w:bidi="ar"/>
      </w:rPr>
    </w:pPr>
    <w:r>
      <w:rPr>
        <w:rFonts w:hint="eastAsia" w:ascii="宋体" w:hAnsi="宋体" w:eastAsia="宋体" w:cs="宋体"/>
        <w:kern w:val="2"/>
        <w:sz w:val="18"/>
        <w:szCs w:val="18"/>
        <w:u w:val="none"/>
        <w:lang w:val="en-US" w:eastAsia="zh-CN" w:bidi="ar"/>
      </w:rPr>
      <w:t xml:space="preserve">      </w:t>
    </w:r>
    <w:r>
      <w:rPr>
        <w:rFonts w:hint="eastAsia" w:ascii="宋体" w:hAnsi="宋体" w:eastAsia="宋体" w:cs="宋体"/>
        <w:kern w:val="2"/>
        <w:sz w:val="18"/>
        <w:szCs w:val="18"/>
        <w:u w:val="none"/>
        <w:lang w:eastAsia="zh-CN" w:bidi="ar"/>
      </w:rPr>
      <w:t xml:space="preserve">项目编号:HZZC2025-C3-020056-JCXM </w:t>
    </w:r>
    <w:r>
      <w:rPr>
        <w:rFonts w:hint="eastAsia" w:ascii="宋体" w:hAnsi="宋体" w:eastAsia="宋体" w:cs="宋体"/>
        <w:kern w:val="2"/>
        <w:sz w:val="18"/>
        <w:szCs w:val="18"/>
        <w:u w:val="none"/>
        <w:lang w:val="en-US" w:eastAsia="zh-CN" w:bidi="a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6428C">
    <w:pPr>
      <w:tabs>
        <w:tab w:val="left" w:pos="1519"/>
      </w:tabs>
      <w:rPr>
        <w:rFonts w:hint="eastAsia" w:hAnsi="宋体"/>
        <w:kern w:val="2"/>
        <w:sz w:val="18"/>
        <w:szCs w:val="18"/>
        <w:u w:val="none"/>
        <w:lang w:val="en-US" w:eastAsia="zh-CN" w:bidi="ar"/>
      </w:rPr>
    </w:pPr>
    <w:r>
      <w:rPr>
        <w:rFonts w:hint="eastAsia" w:hAnsi="宋体"/>
        <w:kern w:val="2"/>
        <w:sz w:val="18"/>
        <w:szCs w:val="18"/>
        <w:u w:val="none"/>
        <w:lang w:bidi="ar"/>
      </w:rPr>
      <w:t>项目名称：</w:t>
    </w:r>
    <w:r>
      <w:rPr>
        <w:rFonts w:hint="eastAsia" w:hAnsi="宋体"/>
        <w:kern w:val="2"/>
        <w:sz w:val="18"/>
        <w:szCs w:val="18"/>
        <w:u w:val="none"/>
        <w:lang w:eastAsia="zh-CN" w:bidi="ar"/>
      </w:rPr>
      <w:t>贺州市第六届运动会暨第四届全民健身运动会八步区代表团参赛组织（青少年组、成年组）服务项目</w:t>
    </w:r>
    <w:r>
      <w:rPr>
        <w:rFonts w:hint="eastAsia" w:hAnsi="宋体"/>
        <w:kern w:val="2"/>
        <w:sz w:val="18"/>
        <w:szCs w:val="18"/>
        <w:u w:val="none"/>
        <w:lang w:val="en-US" w:eastAsia="zh-CN" w:bidi="ar"/>
      </w:rPr>
      <w:t xml:space="preserve"> </w:t>
    </w:r>
  </w:p>
  <w:p w14:paraId="0600FF2D">
    <w:pPr>
      <w:pStyle w:val="32"/>
      <w:pBdr>
        <w:bottom w:val="none" w:color="auto" w:sz="0" w:space="1"/>
      </w:pBdr>
      <w:wordWrap w:val="0"/>
      <w:jc w:val="center"/>
      <w:rPr>
        <w:u w:val="single"/>
      </w:rPr>
    </w:pPr>
    <w:r>
      <w:rPr>
        <w:rFonts w:hint="eastAsia" w:hAnsi="宋体"/>
        <w:kern w:val="2"/>
        <w:sz w:val="18"/>
        <w:szCs w:val="18"/>
        <w:u w:val="none"/>
        <w:lang w:val="en-US" w:eastAsia="zh-CN" w:bidi="ar"/>
      </w:rPr>
      <w:t xml:space="preserve">                                                                           </w:t>
    </w:r>
    <w:r>
      <w:rPr>
        <w:rFonts w:hint="eastAsia" w:hAnsi="宋体"/>
        <w:kern w:val="2"/>
        <w:sz w:val="18"/>
        <w:szCs w:val="18"/>
        <w:u w:val="none"/>
        <w:lang w:eastAsia="zh-CN" w:bidi="ar"/>
      </w:rPr>
      <w:t>项目编号:</w:t>
    </w:r>
    <w:r>
      <w:rPr>
        <w:rFonts w:hint="eastAsia" w:hAnsi="宋体"/>
        <w:color w:val="0000FF"/>
        <w:kern w:val="2"/>
        <w:sz w:val="18"/>
        <w:szCs w:val="18"/>
        <w:u w:val="none"/>
        <w:lang w:val="en-US" w:eastAsia="zh-CN" w:bidi="ar"/>
      </w:rPr>
      <w:t xml:space="preserve"> </w:t>
    </w:r>
    <w:r>
      <w:rPr>
        <w:rFonts w:hint="eastAsia" w:ascii="宋体" w:hAnsi="宋体" w:eastAsia="宋体" w:cs="宋体"/>
        <w:kern w:val="2"/>
        <w:sz w:val="18"/>
        <w:szCs w:val="18"/>
        <w:u w:val="none"/>
        <w:lang w:eastAsia="zh-CN" w:bidi="ar"/>
      </w:rPr>
      <w:t>HZZC2025-C3-020056-JCXM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E824"/>
    <w:multiLevelType w:val="singleLevel"/>
    <w:tmpl w:val="8A89E824"/>
    <w:lvl w:ilvl="0" w:tentative="0">
      <w:start w:val="4"/>
      <w:numFmt w:val="decimal"/>
      <w:suff w:val="nothing"/>
      <w:lvlText w:val="%1．"/>
      <w:lvlJc w:val="left"/>
    </w:lvl>
  </w:abstractNum>
  <w:abstractNum w:abstractNumId="1">
    <w:nsid w:val="1AE92EDF"/>
    <w:multiLevelType w:val="singleLevel"/>
    <w:tmpl w:val="1AE92EDF"/>
    <w:lvl w:ilvl="0" w:tentative="0">
      <w:start w:val="1"/>
      <w:numFmt w:val="decimal"/>
      <w:pStyle w:val="384"/>
      <w:suff w:val="nothing"/>
      <w:lvlText w:val="（%1）"/>
      <w:lvlJc w:val="left"/>
    </w:lvl>
  </w:abstractNum>
  <w:abstractNum w:abstractNumId="2">
    <w:nsid w:val="5939247E"/>
    <w:multiLevelType w:val="multilevel"/>
    <w:tmpl w:val="5939247E"/>
    <w:lvl w:ilvl="0" w:tentative="0">
      <w:start w:val="1"/>
      <w:numFmt w:val="decimal"/>
      <w:pStyle w:val="305"/>
      <w:suff w:val="nothing"/>
      <w:lvlText w:val="（%1）"/>
      <w:lvlJc w:val="left"/>
      <w:pPr>
        <w:ind w:left="57" w:hanging="57"/>
      </w:pPr>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SF9V6RkjmSsD9QsYYRN32slhQqI=" w:salt="MQ1qVat6SD4YGlhI7cDcpA=="/>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96380A"/>
    <w:rsid w:val="00000671"/>
    <w:rsid w:val="000009A0"/>
    <w:rsid w:val="00000A4A"/>
    <w:rsid w:val="00000F4E"/>
    <w:rsid w:val="00001137"/>
    <w:rsid w:val="000016C1"/>
    <w:rsid w:val="000018E0"/>
    <w:rsid w:val="00001CD4"/>
    <w:rsid w:val="00002368"/>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90A"/>
    <w:rsid w:val="00016ACC"/>
    <w:rsid w:val="00016AE5"/>
    <w:rsid w:val="00016EBA"/>
    <w:rsid w:val="00017076"/>
    <w:rsid w:val="00017547"/>
    <w:rsid w:val="0001759D"/>
    <w:rsid w:val="0002072F"/>
    <w:rsid w:val="0002076F"/>
    <w:rsid w:val="00020939"/>
    <w:rsid w:val="00020B32"/>
    <w:rsid w:val="00020BC4"/>
    <w:rsid w:val="00020C30"/>
    <w:rsid w:val="00020D0C"/>
    <w:rsid w:val="00021E5B"/>
    <w:rsid w:val="00021FC2"/>
    <w:rsid w:val="00022336"/>
    <w:rsid w:val="00022790"/>
    <w:rsid w:val="00022949"/>
    <w:rsid w:val="00022AE0"/>
    <w:rsid w:val="00022B63"/>
    <w:rsid w:val="00022DF6"/>
    <w:rsid w:val="00022F80"/>
    <w:rsid w:val="00022F94"/>
    <w:rsid w:val="00022F96"/>
    <w:rsid w:val="00023808"/>
    <w:rsid w:val="00023915"/>
    <w:rsid w:val="0002409D"/>
    <w:rsid w:val="00024333"/>
    <w:rsid w:val="000244EC"/>
    <w:rsid w:val="00024CD2"/>
    <w:rsid w:val="000252E3"/>
    <w:rsid w:val="00025BA0"/>
    <w:rsid w:val="00026359"/>
    <w:rsid w:val="0002640E"/>
    <w:rsid w:val="000267A8"/>
    <w:rsid w:val="000269BC"/>
    <w:rsid w:val="000269CD"/>
    <w:rsid w:val="00027151"/>
    <w:rsid w:val="00027225"/>
    <w:rsid w:val="00027616"/>
    <w:rsid w:val="000276FC"/>
    <w:rsid w:val="000279FC"/>
    <w:rsid w:val="00027EEE"/>
    <w:rsid w:val="00030265"/>
    <w:rsid w:val="00030A3D"/>
    <w:rsid w:val="00030C36"/>
    <w:rsid w:val="00031231"/>
    <w:rsid w:val="0003157C"/>
    <w:rsid w:val="00031DAD"/>
    <w:rsid w:val="00031DFF"/>
    <w:rsid w:val="00031FD8"/>
    <w:rsid w:val="000321F7"/>
    <w:rsid w:val="000324B3"/>
    <w:rsid w:val="0003296F"/>
    <w:rsid w:val="0003299C"/>
    <w:rsid w:val="000330BE"/>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54E"/>
    <w:rsid w:val="00041BEA"/>
    <w:rsid w:val="000420BF"/>
    <w:rsid w:val="000420E1"/>
    <w:rsid w:val="0004287A"/>
    <w:rsid w:val="00042C58"/>
    <w:rsid w:val="0004328C"/>
    <w:rsid w:val="0004369F"/>
    <w:rsid w:val="00043A9F"/>
    <w:rsid w:val="000442B6"/>
    <w:rsid w:val="000445E3"/>
    <w:rsid w:val="00044858"/>
    <w:rsid w:val="00044A15"/>
    <w:rsid w:val="00044DEA"/>
    <w:rsid w:val="000459BE"/>
    <w:rsid w:val="00045AEF"/>
    <w:rsid w:val="00045FB0"/>
    <w:rsid w:val="00046368"/>
    <w:rsid w:val="00046F1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2E5"/>
    <w:rsid w:val="00056504"/>
    <w:rsid w:val="0005675D"/>
    <w:rsid w:val="000567CF"/>
    <w:rsid w:val="0005685B"/>
    <w:rsid w:val="00056AE2"/>
    <w:rsid w:val="00056D52"/>
    <w:rsid w:val="00057029"/>
    <w:rsid w:val="00057040"/>
    <w:rsid w:val="00057430"/>
    <w:rsid w:val="00057698"/>
    <w:rsid w:val="00057A66"/>
    <w:rsid w:val="000603E2"/>
    <w:rsid w:val="000604CD"/>
    <w:rsid w:val="000615CE"/>
    <w:rsid w:val="00061B9B"/>
    <w:rsid w:val="0006266D"/>
    <w:rsid w:val="00063696"/>
    <w:rsid w:val="00063EEA"/>
    <w:rsid w:val="000646AE"/>
    <w:rsid w:val="00064904"/>
    <w:rsid w:val="0006524A"/>
    <w:rsid w:val="00065364"/>
    <w:rsid w:val="000658C5"/>
    <w:rsid w:val="000660E1"/>
    <w:rsid w:val="000663A1"/>
    <w:rsid w:val="000668C6"/>
    <w:rsid w:val="00066C18"/>
    <w:rsid w:val="00066FA4"/>
    <w:rsid w:val="00067263"/>
    <w:rsid w:val="0006784B"/>
    <w:rsid w:val="0006799F"/>
    <w:rsid w:val="00070299"/>
    <w:rsid w:val="00070441"/>
    <w:rsid w:val="000710ED"/>
    <w:rsid w:val="00071290"/>
    <w:rsid w:val="0007160F"/>
    <w:rsid w:val="0007173E"/>
    <w:rsid w:val="00072618"/>
    <w:rsid w:val="00072CA8"/>
    <w:rsid w:val="000732A1"/>
    <w:rsid w:val="00073CA7"/>
    <w:rsid w:val="00073DA4"/>
    <w:rsid w:val="000740E5"/>
    <w:rsid w:val="00074280"/>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ACF"/>
    <w:rsid w:val="0008214E"/>
    <w:rsid w:val="00082240"/>
    <w:rsid w:val="0008225D"/>
    <w:rsid w:val="000824BC"/>
    <w:rsid w:val="0008273B"/>
    <w:rsid w:val="00083042"/>
    <w:rsid w:val="000838CF"/>
    <w:rsid w:val="0008397B"/>
    <w:rsid w:val="00083CB1"/>
    <w:rsid w:val="00083EDB"/>
    <w:rsid w:val="00083EEB"/>
    <w:rsid w:val="000842B9"/>
    <w:rsid w:val="0008446A"/>
    <w:rsid w:val="000848BC"/>
    <w:rsid w:val="00084907"/>
    <w:rsid w:val="00084A9B"/>
    <w:rsid w:val="00084C06"/>
    <w:rsid w:val="00084FD7"/>
    <w:rsid w:val="0008510E"/>
    <w:rsid w:val="00085F7B"/>
    <w:rsid w:val="00086289"/>
    <w:rsid w:val="00086576"/>
    <w:rsid w:val="0008696D"/>
    <w:rsid w:val="00086972"/>
    <w:rsid w:val="00086B78"/>
    <w:rsid w:val="00086D78"/>
    <w:rsid w:val="00087474"/>
    <w:rsid w:val="000874A2"/>
    <w:rsid w:val="00087E6A"/>
    <w:rsid w:val="00087FFD"/>
    <w:rsid w:val="00090260"/>
    <w:rsid w:val="0009027B"/>
    <w:rsid w:val="0009093E"/>
    <w:rsid w:val="00090D93"/>
    <w:rsid w:val="00090F07"/>
    <w:rsid w:val="00091B1E"/>
    <w:rsid w:val="00091B77"/>
    <w:rsid w:val="000921CF"/>
    <w:rsid w:val="00092305"/>
    <w:rsid w:val="00092354"/>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8E"/>
    <w:rsid w:val="000A7D9A"/>
    <w:rsid w:val="000A7EA8"/>
    <w:rsid w:val="000B00A3"/>
    <w:rsid w:val="000B042D"/>
    <w:rsid w:val="000B07BD"/>
    <w:rsid w:val="000B17D6"/>
    <w:rsid w:val="000B1876"/>
    <w:rsid w:val="000B1A89"/>
    <w:rsid w:val="000B21CE"/>
    <w:rsid w:val="000B227C"/>
    <w:rsid w:val="000B2544"/>
    <w:rsid w:val="000B27A8"/>
    <w:rsid w:val="000B2B2D"/>
    <w:rsid w:val="000B2F01"/>
    <w:rsid w:val="000B2F98"/>
    <w:rsid w:val="000B3796"/>
    <w:rsid w:val="000B3C54"/>
    <w:rsid w:val="000B3FDA"/>
    <w:rsid w:val="000B4AD2"/>
    <w:rsid w:val="000B4C2C"/>
    <w:rsid w:val="000B4FFC"/>
    <w:rsid w:val="000B6321"/>
    <w:rsid w:val="000B6467"/>
    <w:rsid w:val="000B691D"/>
    <w:rsid w:val="000B6F94"/>
    <w:rsid w:val="000B7671"/>
    <w:rsid w:val="000B7676"/>
    <w:rsid w:val="000B77B8"/>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06"/>
    <w:rsid w:val="000E3F23"/>
    <w:rsid w:val="000E4288"/>
    <w:rsid w:val="000E4914"/>
    <w:rsid w:val="000E49F3"/>
    <w:rsid w:val="000E502F"/>
    <w:rsid w:val="000E50B0"/>
    <w:rsid w:val="000E563F"/>
    <w:rsid w:val="000E65C3"/>
    <w:rsid w:val="000E67D6"/>
    <w:rsid w:val="000E6A7D"/>
    <w:rsid w:val="000E6D60"/>
    <w:rsid w:val="000E6F04"/>
    <w:rsid w:val="000E72B3"/>
    <w:rsid w:val="000E7F56"/>
    <w:rsid w:val="000E7F5C"/>
    <w:rsid w:val="000F0170"/>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1137"/>
    <w:rsid w:val="0011113A"/>
    <w:rsid w:val="0011125A"/>
    <w:rsid w:val="00112081"/>
    <w:rsid w:val="0011261D"/>
    <w:rsid w:val="00112F76"/>
    <w:rsid w:val="001131F0"/>
    <w:rsid w:val="0011379E"/>
    <w:rsid w:val="00113B80"/>
    <w:rsid w:val="00113E40"/>
    <w:rsid w:val="00113FD5"/>
    <w:rsid w:val="0011452D"/>
    <w:rsid w:val="001146E3"/>
    <w:rsid w:val="00114838"/>
    <w:rsid w:val="00114884"/>
    <w:rsid w:val="00114BF2"/>
    <w:rsid w:val="00114C74"/>
    <w:rsid w:val="0011586B"/>
    <w:rsid w:val="001159A4"/>
    <w:rsid w:val="00115DC7"/>
    <w:rsid w:val="00115F74"/>
    <w:rsid w:val="00116B28"/>
    <w:rsid w:val="00116C7E"/>
    <w:rsid w:val="00116F49"/>
    <w:rsid w:val="00116FE2"/>
    <w:rsid w:val="001172D1"/>
    <w:rsid w:val="001173F7"/>
    <w:rsid w:val="00117BDD"/>
    <w:rsid w:val="00117F2A"/>
    <w:rsid w:val="001202DC"/>
    <w:rsid w:val="00120761"/>
    <w:rsid w:val="00120A69"/>
    <w:rsid w:val="00120BC1"/>
    <w:rsid w:val="00120C2E"/>
    <w:rsid w:val="00120CE8"/>
    <w:rsid w:val="00121062"/>
    <w:rsid w:val="001210DA"/>
    <w:rsid w:val="001212FE"/>
    <w:rsid w:val="001215BC"/>
    <w:rsid w:val="00121A58"/>
    <w:rsid w:val="00121B5B"/>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162"/>
    <w:rsid w:val="001363D7"/>
    <w:rsid w:val="00136F02"/>
    <w:rsid w:val="001371CA"/>
    <w:rsid w:val="00137A39"/>
    <w:rsid w:val="001400A1"/>
    <w:rsid w:val="001401C2"/>
    <w:rsid w:val="001402F5"/>
    <w:rsid w:val="00140979"/>
    <w:rsid w:val="00140DDB"/>
    <w:rsid w:val="00141198"/>
    <w:rsid w:val="00141B66"/>
    <w:rsid w:val="00141E6D"/>
    <w:rsid w:val="00141F6D"/>
    <w:rsid w:val="00141FED"/>
    <w:rsid w:val="001428CE"/>
    <w:rsid w:val="00142B76"/>
    <w:rsid w:val="00142F23"/>
    <w:rsid w:val="00142F66"/>
    <w:rsid w:val="00142F6C"/>
    <w:rsid w:val="00143478"/>
    <w:rsid w:val="0014359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16B"/>
    <w:rsid w:val="00151BB0"/>
    <w:rsid w:val="0015216D"/>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85B"/>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6A9"/>
    <w:rsid w:val="00175E88"/>
    <w:rsid w:val="001760F1"/>
    <w:rsid w:val="001779F3"/>
    <w:rsid w:val="00180125"/>
    <w:rsid w:val="00180298"/>
    <w:rsid w:val="001802A2"/>
    <w:rsid w:val="0018034C"/>
    <w:rsid w:val="00180C89"/>
    <w:rsid w:val="001811A4"/>
    <w:rsid w:val="00181304"/>
    <w:rsid w:val="00181BDF"/>
    <w:rsid w:val="00181BFC"/>
    <w:rsid w:val="00181C00"/>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62"/>
    <w:rsid w:val="0019175F"/>
    <w:rsid w:val="0019187B"/>
    <w:rsid w:val="00191FB5"/>
    <w:rsid w:val="00192529"/>
    <w:rsid w:val="00192637"/>
    <w:rsid w:val="00192974"/>
    <w:rsid w:val="001941C0"/>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2C6C"/>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DD"/>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232"/>
    <w:rsid w:val="001B3397"/>
    <w:rsid w:val="001B3431"/>
    <w:rsid w:val="001B3EBF"/>
    <w:rsid w:val="001B4061"/>
    <w:rsid w:val="001B4643"/>
    <w:rsid w:val="001B54AE"/>
    <w:rsid w:val="001B5A39"/>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56F"/>
    <w:rsid w:val="001C7F89"/>
    <w:rsid w:val="001D0229"/>
    <w:rsid w:val="001D0548"/>
    <w:rsid w:val="001D114B"/>
    <w:rsid w:val="001D12B1"/>
    <w:rsid w:val="001D16EF"/>
    <w:rsid w:val="001D1804"/>
    <w:rsid w:val="001D1A00"/>
    <w:rsid w:val="001D2249"/>
    <w:rsid w:val="001D2649"/>
    <w:rsid w:val="001D2672"/>
    <w:rsid w:val="001D27D1"/>
    <w:rsid w:val="001D27F3"/>
    <w:rsid w:val="001D30BE"/>
    <w:rsid w:val="001D32CF"/>
    <w:rsid w:val="001D3F9A"/>
    <w:rsid w:val="001D4160"/>
    <w:rsid w:val="001D43CD"/>
    <w:rsid w:val="001D5181"/>
    <w:rsid w:val="001D55E0"/>
    <w:rsid w:val="001D59EF"/>
    <w:rsid w:val="001D5DA0"/>
    <w:rsid w:val="001D6062"/>
    <w:rsid w:val="001D6595"/>
    <w:rsid w:val="001D69D1"/>
    <w:rsid w:val="001D6C76"/>
    <w:rsid w:val="001D6DDC"/>
    <w:rsid w:val="001D7B16"/>
    <w:rsid w:val="001D7F34"/>
    <w:rsid w:val="001E06EB"/>
    <w:rsid w:val="001E073D"/>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0C1"/>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250"/>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38E"/>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57"/>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41B1"/>
    <w:rsid w:val="00244335"/>
    <w:rsid w:val="00244B16"/>
    <w:rsid w:val="00244F8A"/>
    <w:rsid w:val="002450F1"/>
    <w:rsid w:val="00245304"/>
    <w:rsid w:val="00245580"/>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6CD"/>
    <w:rsid w:val="00251A81"/>
    <w:rsid w:val="00252205"/>
    <w:rsid w:val="002523CF"/>
    <w:rsid w:val="00252B23"/>
    <w:rsid w:val="00252B9A"/>
    <w:rsid w:val="00252DDB"/>
    <w:rsid w:val="002531E4"/>
    <w:rsid w:val="002538A9"/>
    <w:rsid w:val="00253B79"/>
    <w:rsid w:val="00253DEB"/>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B1"/>
    <w:rsid w:val="002630BB"/>
    <w:rsid w:val="00263261"/>
    <w:rsid w:val="00263368"/>
    <w:rsid w:val="00263B6F"/>
    <w:rsid w:val="00263CE7"/>
    <w:rsid w:val="00263DC8"/>
    <w:rsid w:val="0026422A"/>
    <w:rsid w:val="00264AD3"/>
    <w:rsid w:val="0026505A"/>
    <w:rsid w:val="002651FC"/>
    <w:rsid w:val="002657CA"/>
    <w:rsid w:val="002658F1"/>
    <w:rsid w:val="0026597F"/>
    <w:rsid w:val="00265FE8"/>
    <w:rsid w:val="0026627E"/>
    <w:rsid w:val="0026662D"/>
    <w:rsid w:val="0026677D"/>
    <w:rsid w:val="002667C8"/>
    <w:rsid w:val="0026699A"/>
    <w:rsid w:val="00266E11"/>
    <w:rsid w:val="00267387"/>
    <w:rsid w:val="0026754E"/>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BAB"/>
    <w:rsid w:val="00275C1B"/>
    <w:rsid w:val="00275DE0"/>
    <w:rsid w:val="0027655F"/>
    <w:rsid w:val="002776E9"/>
    <w:rsid w:val="00280070"/>
    <w:rsid w:val="0028015E"/>
    <w:rsid w:val="002801A7"/>
    <w:rsid w:val="002806B5"/>
    <w:rsid w:val="002809C0"/>
    <w:rsid w:val="00280BAA"/>
    <w:rsid w:val="00280FB1"/>
    <w:rsid w:val="002817D0"/>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1FDF"/>
    <w:rsid w:val="002A2287"/>
    <w:rsid w:val="002A2399"/>
    <w:rsid w:val="002A263D"/>
    <w:rsid w:val="002A274B"/>
    <w:rsid w:val="002A28DD"/>
    <w:rsid w:val="002A28DF"/>
    <w:rsid w:val="002A3474"/>
    <w:rsid w:val="002A37A6"/>
    <w:rsid w:val="002A3864"/>
    <w:rsid w:val="002A4398"/>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5B6"/>
    <w:rsid w:val="002B1B71"/>
    <w:rsid w:val="002B2113"/>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778"/>
    <w:rsid w:val="002C01FD"/>
    <w:rsid w:val="002C0457"/>
    <w:rsid w:val="002C0582"/>
    <w:rsid w:val="002C0AA8"/>
    <w:rsid w:val="002C0CF1"/>
    <w:rsid w:val="002C0CFC"/>
    <w:rsid w:val="002C10AE"/>
    <w:rsid w:val="002C1D5E"/>
    <w:rsid w:val="002C1F16"/>
    <w:rsid w:val="002C2445"/>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8FF"/>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3D2"/>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298"/>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2A0"/>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5516"/>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591"/>
    <w:rsid w:val="0032143B"/>
    <w:rsid w:val="0032166F"/>
    <w:rsid w:val="00321890"/>
    <w:rsid w:val="003221EC"/>
    <w:rsid w:val="00322F65"/>
    <w:rsid w:val="00323570"/>
    <w:rsid w:val="00323692"/>
    <w:rsid w:val="003237E1"/>
    <w:rsid w:val="00323BDD"/>
    <w:rsid w:val="00323F66"/>
    <w:rsid w:val="0032418F"/>
    <w:rsid w:val="00324434"/>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D4F"/>
    <w:rsid w:val="00336F1D"/>
    <w:rsid w:val="00337337"/>
    <w:rsid w:val="0033747C"/>
    <w:rsid w:val="0033776E"/>
    <w:rsid w:val="00337905"/>
    <w:rsid w:val="00337BA4"/>
    <w:rsid w:val="00340376"/>
    <w:rsid w:val="00340535"/>
    <w:rsid w:val="00340599"/>
    <w:rsid w:val="00340615"/>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6AE"/>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C37"/>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9C6"/>
    <w:rsid w:val="00361D67"/>
    <w:rsid w:val="00362326"/>
    <w:rsid w:val="003629ED"/>
    <w:rsid w:val="00362A1D"/>
    <w:rsid w:val="00362C7C"/>
    <w:rsid w:val="0036386C"/>
    <w:rsid w:val="003643B8"/>
    <w:rsid w:val="003643CA"/>
    <w:rsid w:val="003644D6"/>
    <w:rsid w:val="00364CF0"/>
    <w:rsid w:val="00365B9A"/>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A4"/>
    <w:rsid w:val="00380004"/>
    <w:rsid w:val="00380646"/>
    <w:rsid w:val="003806D3"/>
    <w:rsid w:val="003808F9"/>
    <w:rsid w:val="0038096C"/>
    <w:rsid w:val="00381043"/>
    <w:rsid w:val="003815F8"/>
    <w:rsid w:val="00381F65"/>
    <w:rsid w:val="00382006"/>
    <w:rsid w:val="003825E3"/>
    <w:rsid w:val="0038283F"/>
    <w:rsid w:val="00382982"/>
    <w:rsid w:val="0038333A"/>
    <w:rsid w:val="003834E8"/>
    <w:rsid w:val="00383622"/>
    <w:rsid w:val="003836D8"/>
    <w:rsid w:val="00383B04"/>
    <w:rsid w:val="00383D4F"/>
    <w:rsid w:val="00383EBB"/>
    <w:rsid w:val="00383F3E"/>
    <w:rsid w:val="00384076"/>
    <w:rsid w:val="00384233"/>
    <w:rsid w:val="00384370"/>
    <w:rsid w:val="0038483F"/>
    <w:rsid w:val="0038497A"/>
    <w:rsid w:val="003852A5"/>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534"/>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3DD6"/>
    <w:rsid w:val="003A4158"/>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B83"/>
    <w:rsid w:val="003A7DD8"/>
    <w:rsid w:val="003B0D06"/>
    <w:rsid w:val="003B0FDB"/>
    <w:rsid w:val="003B117B"/>
    <w:rsid w:val="003B1757"/>
    <w:rsid w:val="003B19C8"/>
    <w:rsid w:val="003B27CD"/>
    <w:rsid w:val="003B27D4"/>
    <w:rsid w:val="003B2A66"/>
    <w:rsid w:val="003B2C61"/>
    <w:rsid w:val="003B2E43"/>
    <w:rsid w:val="003B2F69"/>
    <w:rsid w:val="003B3BE5"/>
    <w:rsid w:val="003B40A8"/>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7F8"/>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70A0"/>
    <w:rsid w:val="003C7388"/>
    <w:rsid w:val="003D086E"/>
    <w:rsid w:val="003D0D64"/>
    <w:rsid w:val="003D11E6"/>
    <w:rsid w:val="003D1E67"/>
    <w:rsid w:val="003D1F3E"/>
    <w:rsid w:val="003D2891"/>
    <w:rsid w:val="003D2EED"/>
    <w:rsid w:val="003D2F23"/>
    <w:rsid w:val="003D2F77"/>
    <w:rsid w:val="003D3025"/>
    <w:rsid w:val="003D35E6"/>
    <w:rsid w:val="003D3B65"/>
    <w:rsid w:val="003D3F7B"/>
    <w:rsid w:val="003D3FE6"/>
    <w:rsid w:val="003D418B"/>
    <w:rsid w:val="003D420E"/>
    <w:rsid w:val="003D442A"/>
    <w:rsid w:val="003D4E6D"/>
    <w:rsid w:val="003D50E6"/>
    <w:rsid w:val="003D545E"/>
    <w:rsid w:val="003D55FD"/>
    <w:rsid w:val="003D5F95"/>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6AFE"/>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E78"/>
    <w:rsid w:val="003F7F20"/>
    <w:rsid w:val="0040019D"/>
    <w:rsid w:val="0040069C"/>
    <w:rsid w:val="004008C8"/>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101B7"/>
    <w:rsid w:val="00410951"/>
    <w:rsid w:val="00410AB0"/>
    <w:rsid w:val="00410D17"/>
    <w:rsid w:val="00410DE5"/>
    <w:rsid w:val="00410E0F"/>
    <w:rsid w:val="004112C7"/>
    <w:rsid w:val="00411450"/>
    <w:rsid w:val="004119A6"/>
    <w:rsid w:val="00411B94"/>
    <w:rsid w:val="00411BAF"/>
    <w:rsid w:val="00411F02"/>
    <w:rsid w:val="00411F1F"/>
    <w:rsid w:val="004120D9"/>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17B17"/>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C6E"/>
    <w:rsid w:val="00425C7C"/>
    <w:rsid w:val="00425DBE"/>
    <w:rsid w:val="00425FA2"/>
    <w:rsid w:val="004260A4"/>
    <w:rsid w:val="0042621A"/>
    <w:rsid w:val="00426EEA"/>
    <w:rsid w:val="00426EF1"/>
    <w:rsid w:val="00427359"/>
    <w:rsid w:val="0042745B"/>
    <w:rsid w:val="0042790D"/>
    <w:rsid w:val="00427CDF"/>
    <w:rsid w:val="004300EC"/>
    <w:rsid w:val="00430221"/>
    <w:rsid w:val="004305EB"/>
    <w:rsid w:val="0043067C"/>
    <w:rsid w:val="004308E8"/>
    <w:rsid w:val="00430A58"/>
    <w:rsid w:val="00431014"/>
    <w:rsid w:val="00431204"/>
    <w:rsid w:val="00431334"/>
    <w:rsid w:val="004314DD"/>
    <w:rsid w:val="00431745"/>
    <w:rsid w:val="0043193B"/>
    <w:rsid w:val="00431CE1"/>
    <w:rsid w:val="0043208E"/>
    <w:rsid w:val="00432237"/>
    <w:rsid w:val="00432676"/>
    <w:rsid w:val="00432844"/>
    <w:rsid w:val="00432B81"/>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1E44"/>
    <w:rsid w:val="004420DE"/>
    <w:rsid w:val="0044213D"/>
    <w:rsid w:val="00442468"/>
    <w:rsid w:val="0044257C"/>
    <w:rsid w:val="0044274D"/>
    <w:rsid w:val="00442CEA"/>
    <w:rsid w:val="00442D18"/>
    <w:rsid w:val="00442FB4"/>
    <w:rsid w:val="0044345F"/>
    <w:rsid w:val="004434EE"/>
    <w:rsid w:val="004436E8"/>
    <w:rsid w:val="00443AC8"/>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8FE"/>
    <w:rsid w:val="00453040"/>
    <w:rsid w:val="004539D8"/>
    <w:rsid w:val="00454025"/>
    <w:rsid w:val="00454251"/>
    <w:rsid w:val="00454572"/>
    <w:rsid w:val="00454EC2"/>
    <w:rsid w:val="00454FBB"/>
    <w:rsid w:val="004551BB"/>
    <w:rsid w:val="00455956"/>
    <w:rsid w:val="00455981"/>
    <w:rsid w:val="00455BEF"/>
    <w:rsid w:val="00455D12"/>
    <w:rsid w:val="00455E4E"/>
    <w:rsid w:val="00455F4F"/>
    <w:rsid w:val="0045604D"/>
    <w:rsid w:val="0045620E"/>
    <w:rsid w:val="004566CE"/>
    <w:rsid w:val="00456F87"/>
    <w:rsid w:val="004571D8"/>
    <w:rsid w:val="004575EC"/>
    <w:rsid w:val="0046085B"/>
    <w:rsid w:val="00460FA1"/>
    <w:rsid w:val="0046142C"/>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3C8"/>
    <w:rsid w:val="004749E2"/>
    <w:rsid w:val="00475124"/>
    <w:rsid w:val="00475346"/>
    <w:rsid w:val="00475590"/>
    <w:rsid w:val="00475705"/>
    <w:rsid w:val="00475A32"/>
    <w:rsid w:val="00475B12"/>
    <w:rsid w:val="00475BE6"/>
    <w:rsid w:val="0047608B"/>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9A9"/>
    <w:rsid w:val="00484C38"/>
    <w:rsid w:val="004854FF"/>
    <w:rsid w:val="00485738"/>
    <w:rsid w:val="00485824"/>
    <w:rsid w:val="00485F78"/>
    <w:rsid w:val="004864B9"/>
    <w:rsid w:val="00486711"/>
    <w:rsid w:val="00486AEB"/>
    <w:rsid w:val="00486B98"/>
    <w:rsid w:val="00487B73"/>
    <w:rsid w:val="004900D0"/>
    <w:rsid w:val="004909CB"/>
    <w:rsid w:val="00490D50"/>
    <w:rsid w:val="00490D95"/>
    <w:rsid w:val="00490F9A"/>
    <w:rsid w:val="004911D0"/>
    <w:rsid w:val="00491226"/>
    <w:rsid w:val="004915BF"/>
    <w:rsid w:val="004916A3"/>
    <w:rsid w:val="00491B73"/>
    <w:rsid w:val="00492432"/>
    <w:rsid w:val="00492717"/>
    <w:rsid w:val="00492EC6"/>
    <w:rsid w:val="004930AC"/>
    <w:rsid w:val="004930F3"/>
    <w:rsid w:val="004934D5"/>
    <w:rsid w:val="004935AA"/>
    <w:rsid w:val="00493A0C"/>
    <w:rsid w:val="00493BC1"/>
    <w:rsid w:val="00495349"/>
    <w:rsid w:val="004955E0"/>
    <w:rsid w:val="00495963"/>
    <w:rsid w:val="00495E62"/>
    <w:rsid w:val="00495F30"/>
    <w:rsid w:val="004964B8"/>
    <w:rsid w:val="0049720D"/>
    <w:rsid w:val="00497341"/>
    <w:rsid w:val="00497868"/>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9D7"/>
    <w:rsid w:val="004B5BBB"/>
    <w:rsid w:val="004B6106"/>
    <w:rsid w:val="004B6165"/>
    <w:rsid w:val="004B6546"/>
    <w:rsid w:val="004B6946"/>
    <w:rsid w:val="004B6D8B"/>
    <w:rsid w:val="004B7AA3"/>
    <w:rsid w:val="004B7D7D"/>
    <w:rsid w:val="004C0068"/>
    <w:rsid w:val="004C0215"/>
    <w:rsid w:val="004C0565"/>
    <w:rsid w:val="004C07E6"/>
    <w:rsid w:val="004C0AF4"/>
    <w:rsid w:val="004C14E8"/>
    <w:rsid w:val="004C18C9"/>
    <w:rsid w:val="004C191D"/>
    <w:rsid w:val="004C1A3F"/>
    <w:rsid w:val="004C1A63"/>
    <w:rsid w:val="004C1E43"/>
    <w:rsid w:val="004C1EBC"/>
    <w:rsid w:val="004C1FBD"/>
    <w:rsid w:val="004C2116"/>
    <w:rsid w:val="004C242C"/>
    <w:rsid w:val="004C275A"/>
    <w:rsid w:val="004C2DA5"/>
    <w:rsid w:val="004C3254"/>
    <w:rsid w:val="004C3330"/>
    <w:rsid w:val="004C3758"/>
    <w:rsid w:val="004C3897"/>
    <w:rsid w:val="004C3AF7"/>
    <w:rsid w:val="004C3EB8"/>
    <w:rsid w:val="004C4630"/>
    <w:rsid w:val="004C4637"/>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4FC"/>
    <w:rsid w:val="004E57BE"/>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8CC"/>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912"/>
    <w:rsid w:val="004F6CA7"/>
    <w:rsid w:val="004F6CEC"/>
    <w:rsid w:val="004F71F3"/>
    <w:rsid w:val="004F759B"/>
    <w:rsid w:val="005005AE"/>
    <w:rsid w:val="00500F69"/>
    <w:rsid w:val="005015D3"/>
    <w:rsid w:val="005018DD"/>
    <w:rsid w:val="00501947"/>
    <w:rsid w:val="00501B21"/>
    <w:rsid w:val="00501C5B"/>
    <w:rsid w:val="00501D70"/>
    <w:rsid w:val="005020F4"/>
    <w:rsid w:val="00502240"/>
    <w:rsid w:val="005024A2"/>
    <w:rsid w:val="0050250E"/>
    <w:rsid w:val="00502786"/>
    <w:rsid w:val="005028BE"/>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809"/>
    <w:rsid w:val="00506C03"/>
    <w:rsid w:val="00506D1C"/>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27"/>
    <w:rsid w:val="005301AF"/>
    <w:rsid w:val="00530A1C"/>
    <w:rsid w:val="00530EC5"/>
    <w:rsid w:val="005313AC"/>
    <w:rsid w:val="0053178F"/>
    <w:rsid w:val="00531B16"/>
    <w:rsid w:val="00531E22"/>
    <w:rsid w:val="00531FED"/>
    <w:rsid w:val="005322CE"/>
    <w:rsid w:val="00532B85"/>
    <w:rsid w:val="0053328C"/>
    <w:rsid w:val="00533467"/>
    <w:rsid w:val="005334EA"/>
    <w:rsid w:val="00533982"/>
    <w:rsid w:val="00533CCB"/>
    <w:rsid w:val="00533D6A"/>
    <w:rsid w:val="00533F62"/>
    <w:rsid w:val="005340DB"/>
    <w:rsid w:val="00534997"/>
    <w:rsid w:val="00534A1E"/>
    <w:rsid w:val="0053510C"/>
    <w:rsid w:val="005352D2"/>
    <w:rsid w:val="0053537B"/>
    <w:rsid w:val="00535922"/>
    <w:rsid w:val="00535F11"/>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606"/>
    <w:rsid w:val="00547A4D"/>
    <w:rsid w:val="005504CE"/>
    <w:rsid w:val="005509D2"/>
    <w:rsid w:val="00551373"/>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04F"/>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ADB"/>
    <w:rsid w:val="00564B10"/>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325"/>
    <w:rsid w:val="00574461"/>
    <w:rsid w:val="00574497"/>
    <w:rsid w:val="00574976"/>
    <w:rsid w:val="00574D11"/>
    <w:rsid w:val="00575464"/>
    <w:rsid w:val="0057598B"/>
    <w:rsid w:val="00575E7D"/>
    <w:rsid w:val="00576AB1"/>
    <w:rsid w:val="00576C52"/>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4A4"/>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1C78"/>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4CB"/>
    <w:rsid w:val="005B3525"/>
    <w:rsid w:val="005B3543"/>
    <w:rsid w:val="005B38C3"/>
    <w:rsid w:val="005B43BD"/>
    <w:rsid w:val="005B45D9"/>
    <w:rsid w:val="005B4619"/>
    <w:rsid w:val="005B4977"/>
    <w:rsid w:val="005B4DA9"/>
    <w:rsid w:val="005B5009"/>
    <w:rsid w:val="005B5633"/>
    <w:rsid w:val="005B56B7"/>
    <w:rsid w:val="005B5970"/>
    <w:rsid w:val="005B5A71"/>
    <w:rsid w:val="005B5ED1"/>
    <w:rsid w:val="005B60A8"/>
    <w:rsid w:val="005B60EB"/>
    <w:rsid w:val="005B6842"/>
    <w:rsid w:val="005B6AC5"/>
    <w:rsid w:val="005B6FA5"/>
    <w:rsid w:val="005B6FA7"/>
    <w:rsid w:val="005B7321"/>
    <w:rsid w:val="005B75DF"/>
    <w:rsid w:val="005B778F"/>
    <w:rsid w:val="005B77D8"/>
    <w:rsid w:val="005B7ACD"/>
    <w:rsid w:val="005C043F"/>
    <w:rsid w:val="005C05F4"/>
    <w:rsid w:val="005C06B3"/>
    <w:rsid w:val="005C1607"/>
    <w:rsid w:val="005C161D"/>
    <w:rsid w:val="005C17FB"/>
    <w:rsid w:val="005C17FC"/>
    <w:rsid w:val="005C248D"/>
    <w:rsid w:val="005C2519"/>
    <w:rsid w:val="005C28BC"/>
    <w:rsid w:val="005C2EBF"/>
    <w:rsid w:val="005C2F57"/>
    <w:rsid w:val="005C3615"/>
    <w:rsid w:val="005C36CB"/>
    <w:rsid w:val="005C3BE7"/>
    <w:rsid w:val="005C3E25"/>
    <w:rsid w:val="005C49E6"/>
    <w:rsid w:val="005C4B00"/>
    <w:rsid w:val="005C5261"/>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E62"/>
    <w:rsid w:val="005D2FB1"/>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5FB3"/>
    <w:rsid w:val="005D6009"/>
    <w:rsid w:val="005D6416"/>
    <w:rsid w:val="005D67B1"/>
    <w:rsid w:val="005D694C"/>
    <w:rsid w:val="005D69BE"/>
    <w:rsid w:val="005D6EB1"/>
    <w:rsid w:val="005D7185"/>
    <w:rsid w:val="005D726A"/>
    <w:rsid w:val="005D73A7"/>
    <w:rsid w:val="005D7966"/>
    <w:rsid w:val="005E070A"/>
    <w:rsid w:val="005E0CA7"/>
    <w:rsid w:val="005E0E0F"/>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640"/>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464"/>
    <w:rsid w:val="00614A17"/>
    <w:rsid w:val="00615630"/>
    <w:rsid w:val="00615707"/>
    <w:rsid w:val="0061574C"/>
    <w:rsid w:val="006162CF"/>
    <w:rsid w:val="00616539"/>
    <w:rsid w:val="006168AC"/>
    <w:rsid w:val="00616995"/>
    <w:rsid w:val="00616BB6"/>
    <w:rsid w:val="0061726C"/>
    <w:rsid w:val="00617859"/>
    <w:rsid w:val="00617E67"/>
    <w:rsid w:val="006203B5"/>
    <w:rsid w:val="006209F2"/>
    <w:rsid w:val="00620F99"/>
    <w:rsid w:val="00621060"/>
    <w:rsid w:val="00621230"/>
    <w:rsid w:val="00621A52"/>
    <w:rsid w:val="00621AEC"/>
    <w:rsid w:val="00621DC9"/>
    <w:rsid w:val="00621DF6"/>
    <w:rsid w:val="006221B2"/>
    <w:rsid w:val="006226E9"/>
    <w:rsid w:val="006228F2"/>
    <w:rsid w:val="00623411"/>
    <w:rsid w:val="0062377F"/>
    <w:rsid w:val="006240BE"/>
    <w:rsid w:val="0062417F"/>
    <w:rsid w:val="00624370"/>
    <w:rsid w:val="00624484"/>
    <w:rsid w:val="00624B6C"/>
    <w:rsid w:val="00625279"/>
    <w:rsid w:val="0062570A"/>
    <w:rsid w:val="00625C5C"/>
    <w:rsid w:val="00625C73"/>
    <w:rsid w:val="00625FFD"/>
    <w:rsid w:val="00626D9F"/>
    <w:rsid w:val="0062703A"/>
    <w:rsid w:val="006270FB"/>
    <w:rsid w:val="00627650"/>
    <w:rsid w:val="00627E75"/>
    <w:rsid w:val="00627EEE"/>
    <w:rsid w:val="00627FFA"/>
    <w:rsid w:val="00630867"/>
    <w:rsid w:val="00630D78"/>
    <w:rsid w:val="00631286"/>
    <w:rsid w:val="006312F6"/>
    <w:rsid w:val="00631555"/>
    <w:rsid w:val="00631C61"/>
    <w:rsid w:val="00631D42"/>
    <w:rsid w:val="00632901"/>
    <w:rsid w:val="006329CA"/>
    <w:rsid w:val="00632DDC"/>
    <w:rsid w:val="00633395"/>
    <w:rsid w:val="00633424"/>
    <w:rsid w:val="006337B5"/>
    <w:rsid w:val="0063384F"/>
    <w:rsid w:val="00633B2B"/>
    <w:rsid w:val="00633E24"/>
    <w:rsid w:val="006348BD"/>
    <w:rsid w:val="006349B2"/>
    <w:rsid w:val="00634CEF"/>
    <w:rsid w:val="00635175"/>
    <w:rsid w:val="00635249"/>
    <w:rsid w:val="006357E5"/>
    <w:rsid w:val="006362F9"/>
    <w:rsid w:val="006364AC"/>
    <w:rsid w:val="006366FD"/>
    <w:rsid w:val="0063670B"/>
    <w:rsid w:val="006367A5"/>
    <w:rsid w:val="006368F6"/>
    <w:rsid w:val="00636B9A"/>
    <w:rsid w:val="00636E8A"/>
    <w:rsid w:val="00636FB2"/>
    <w:rsid w:val="0064010D"/>
    <w:rsid w:val="00640329"/>
    <w:rsid w:val="006408F2"/>
    <w:rsid w:val="00641BF4"/>
    <w:rsid w:val="00641DC1"/>
    <w:rsid w:val="00642F2D"/>
    <w:rsid w:val="00643526"/>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580"/>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59"/>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B74"/>
    <w:rsid w:val="00673E9B"/>
    <w:rsid w:val="00673F02"/>
    <w:rsid w:val="00673FF7"/>
    <w:rsid w:val="00674252"/>
    <w:rsid w:val="00674386"/>
    <w:rsid w:val="0067455A"/>
    <w:rsid w:val="006747AB"/>
    <w:rsid w:val="0067493F"/>
    <w:rsid w:val="006755FB"/>
    <w:rsid w:val="006756AA"/>
    <w:rsid w:val="00675FEA"/>
    <w:rsid w:val="0067626D"/>
    <w:rsid w:val="006765CB"/>
    <w:rsid w:val="0067757D"/>
    <w:rsid w:val="006776B7"/>
    <w:rsid w:val="00677A43"/>
    <w:rsid w:val="00677CEB"/>
    <w:rsid w:val="00680D0E"/>
    <w:rsid w:val="006810B3"/>
    <w:rsid w:val="00681209"/>
    <w:rsid w:val="006812C6"/>
    <w:rsid w:val="00681461"/>
    <w:rsid w:val="00681882"/>
    <w:rsid w:val="00681AAA"/>
    <w:rsid w:val="00681B99"/>
    <w:rsid w:val="0068202F"/>
    <w:rsid w:val="0068210E"/>
    <w:rsid w:val="006832E0"/>
    <w:rsid w:val="006834E7"/>
    <w:rsid w:val="00683B2F"/>
    <w:rsid w:val="00683CBF"/>
    <w:rsid w:val="00683D00"/>
    <w:rsid w:val="00683F62"/>
    <w:rsid w:val="00684E35"/>
    <w:rsid w:val="00684FAB"/>
    <w:rsid w:val="006857B9"/>
    <w:rsid w:val="006868DB"/>
    <w:rsid w:val="006870DC"/>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B0C"/>
    <w:rsid w:val="00695D1C"/>
    <w:rsid w:val="006962C4"/>
    <w:rsid w:val="006974D4"/>
    <w:rsid w:val="00697AB2"/>
    <w:rsid w:val="006A08CB"/>
    <w:rsid w:val="006A0E69"/>
    <w:rsid w:val="006A15C0"/>
    <w:rsid w:val="006A1A6E"/>
    <w:rsid w:val="006A235A"/>
    <w:rsid w:val="006A2F3A"/>
    <w:rsid w:val="006A444E"/>
    <w:rsid w:val="006A45DC"/>
    <w:rsid w:val="006A4600"/>
    <w:rsid w:val="006A5ED2"/>
    <w:rsid w:val="006A5FF2"/>
    <w:rsid w:val="006A77EB"/>
    <w:rsid w:val="006A78F0"/>
    <w:rsid w:val="006A7EAE"/>
    <w:rsid w:val="006B01F3"/>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D7E"/>
    <w:rsid w:val="006C3EB0"/>
    <w:rsid w:val="006C3F1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6E3"/>
    <w:rsid w:val="006E2736"/>
    <w:rsid w:val="006E2E25"/>
    <w:rsid w:val="006E3068"/>
    <w:rsid w:val="006E3164"/>
    <w:rsid w:val="006E3922"/>
    <w:rsid w:val="006E3B90"/>
    <w:rsid w:val="006E3F29"/>
    <w:rsid w:val="006E40CD"/>
    <w:rsid w:val="006E4306"/>
    <w:rsid w:val="006E44A5"/>
    <w:rsid w:val="006E46D4"/>
    <w:rsid w:val="006E4872"/>
    <w:rsid w:val="006E4B27"/>
    <w:rsid w:val="006E53FD"/>
    <w:rsid w:val="006E5887"/>
    <w:rsid w:val="006E5A73"/>
    <w:rsid w:val="006E5F20"/>
    <w:rsid w:val="006E680F"/>
    <w:rsid w:val="006E68FB"/>
    <w:rsid w:val="006E6B02"/>
    <w:rsid w:val="006E78ED"/>
    <w:rsid w:val="006F0762"/>
    <w:rsid w:val="006F127A"/>
    <w:rsid w:val="006F17D6"/>
    <w:rsid w:val="006F20E2"/>
    <w:rsid w:val="006F20E3"/>
    <w:rsid w:val="006F263E"/>
    <w:rsid w:val="006F27D7"/>
    <w:rsid w:val="006F2A7B"/>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05"/>
    <w:rsid w:val="007065C4"/>
    <w:rsid w:val="007065C6"/>
    <w:rsid w:val="007067ED"/>
    <w:rsid w:val="00706DD6"/>
    <w:rsid w:val="007074DD"/>
    <w:rsid w:val="00707E5C"/>
    <w:rsid w:val="007102A3"/>
    <w:rsid w:val="0071078B"/>
    <w:rsid w:val="0071094A"/>
    <w:rsid w:val="00710B78"/>
    <w:rsid w:val="00710C65"/>
    <w:rsid w:val="0071118C"/>
    <w:rsid w:val="007111BD"/>
    <w:rsid w:val="00711522"/>
    <w:rsid w:val="0071152E"/>
    <w:rsid w:val="00711EBC"/>
    <w:rsid w:val="007121F0"/>
    <w:rsid w:val="0071266A"/>
    <w:rsid w:val="00712862"/>
    <w:rsid w:val="007129BD"/>
    <w:rsid w:val="00712A8B"/>
    <w:rsid w:val="0071397A"/>
    <w:rsid w:val="00713A3B"/>
    <w:rsid w:val="00713C3C"/>
    <w:rsid w:val="0071443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4F43"/>
    <w:rsid w:val="007456D3"/>
    <w:rsid w:val="007457DD"/>
    <w:rsid w:val="00746184"/>
    <w:rsid w:val="00746902"/>
    <w:rsid w:val="00746A72"/>
    <w:rsid w:val="007472F8"/>
    <w:rsid w:val="00747D1E"/>
    <w:rsid w:val="00747DF6"/>
    <w:rsid w:val="0075058F"/>
    <w:rsid w:val="007508E8"/>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574"/>
    <w:rsid w:val="0075692D"/>
    <w:rsid w:val="007570E9"/>
    <w:rsid w:val="00757A8E"/>
    <w:rsid w:val="00757AF5"/>
    <w:rsid w:val="00757B3F"/>
    <w:rsid w:val="00757BDB"/>
    <w:rsid w:val="00757C2D"/>
    <w:rsid w:val="00760E09"/>
    <w:rsid w:val="00761618"/>
    <w:rsid w:val="00761772"/>
    <w:rsid w:val="00761F90"/>
    <w:rsid w:val="00762300"/>
    <w:rsid w:val="007626A7"/>
    <w:rsid w:val="00762A1F"/>
    <w:rsid w:val="00762A88"/>
    <w:rsid w:val="00762B7C"/>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6C0F"/>
    <w:rsid w:val="0077704A"/>
    <w:rsid w:val="00777230"/>
    <w:rsid w:val="00777E82"/>
    <w:rsid w:val="0078008C"/>
    <w:rsid w:val="007806E6"/>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010"/>
    <w:rsid w:val="00796131"/>
    <w:rsid w:val="0079636A"/>
    <w:rsid w:val="00796A12"/>
    <w:rsid w:val="00796B8F"/>
    <w:rsid w:val="00796C23"/>
    <w:rsid w:val="00796C37"/>
    <w:rsid w:val="00796DA9"/>
    <w:rsid w:val="0079729B"/>
    <w:rsid w:val="007A07F5"/>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8E6"/>
    <w:rsid w:val="007A68ED"/>
    <w:rsid w:val="007A755D"/>
    <w:rsid w:val="007B034F"/>
    <w:rsid w:val="007B073A"/>
    <w:rsid w:val="007B07A3"/>
    <w:rsid w:val="007B09B5"/>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F6"/>
    <w:rsid w:val="007C0530"/>
    <w:rsid w:val="007C07E0"/>
    <w:rsid w:val="007C0BCF"/>
    <w:rsid w:val="007C0C05"/>
    <w:rsid w:val="007C0D1D"/>
    <w:rsid w:val="007C0EF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9BA"/>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5DD"/>
    <w:rsid w:val="007E76E2"/>
    <w:rsid w:val="007E7743"/>
    <w:rsid w:val="007E776F"/>
    <w:rsid w:val="007E7A86"/>
    <w:rsid w:val="007E7F7A"/>
    <w:rsid w:val="007E7FC0"/>
    <w:rsid w:val="007F0B1E"/>
    <w:rsid w:val="007F22A3"/>
    <w:rsid w:val="007F2A72"/>
    <w:rsid w:val="007F301C"/>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992"/>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352"/>
    <w:rsid w:val="00802492"/>
    <w:rsid w:val="00802602"/>
    <w:rsid w:val="00802E3A"/>
    <w:rsid w:val="008030AE"/>
    <w:rsid w:val="00803335"/>
    <w:rsid w:val="00803C7B"/>
    <w:rsid w:val="00803D76"/>
    <w:rsid w:val="00803EC9"/>
    <w:rsid w:val="0080433C"/>
    <w:rsid w:val="00804472"/>
    <w:rsid w:val="0080477B"/>
    <w:rsid w:val="0080491D"/>
    <w:rsid w:val="00804BD6"/>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7DB"/>
    <w:rsid w:val="008227E7"/>
    <w:rsid w:val="008229BE"/>
    <w:rsid w:val="00822A43"/>
    <w:rsid w:val="00822CDC"/>
    <w:rsid w:val="00823136"/>
    <w:rsid w:val="00823346"/>
    <w:rsid w:val="00823489"/>
    <w:rsid w:val="008234F3"/>
    <w:rsid w:val="0082378C"/>
    <w:rsid w:val="00824326"/>
    <w:rsid w:val="00824967"/>
    <w:rsid w:val="008249FD"/>
    <w:rsid w:val="00824C4C"/>
    <w:rsid w:val="00824F42"/>
    <w:rsid w:val="00825454"/>
    <w:rsid w:val="00825B9F"/>
    <w:rsid w:val="00825CB0"/>
    <w:rsid w:val="008263A2"/>
    <w:rsid w:val="00826ABB"/>
    <w:rsid w:val="00826D42"/>
    <w:rsid w:val="008273F0"/>
    <w:rsid w:val="008279B9"/>
    <w:rsid w:val="00827C3A"/>
    <w:rsid w:val="00830119"/>
    <w:rsid w:val="0083030E"/>
    <w:rsid w:val="008306CE"/>
    <w:rsid w:val="008318AC"/>
    <w:rsid w:val="00831AD9"/>
    <w:rsid w:val="00831AE3"/>
    <w:rsid w:val="00831BD8"/>
    <w:rsid w:val="00831F50"/>
    <w:rsid w:val="00832199"/>
    <w:rsid w:val="00832428"/>
    <w:rsid w:val="00832764"/>
    <w:rsid w:val="00832815"/>
    <w:rsid w:val="0083298F"/>
    <w:rsid w:val="00832FEB"/>
    <w:rsid w:val="0083310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6B4"/>
    <w:rsid w:val="00850DCA"/>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AF4"/>
    <w:rsid w:val="00870B36"/>
    <w:rsid w:val="00870D6F"/>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A09"/>
    <w:rsid w:val="00881A27"/>
    <w:rsid w:val="00882028"/>
    <w:rsid w:val="00882147"/>
    <w:rsid w:val="008822D9"/>
    <w:rsid w:val="0088312A"/>
    <w:rsid w:val="00883786"/>
    <w:rsid w:val="00883854"/>
    <w:rsid w:val="00883966"/>
    <w:rsid w:val="008840D8"/>
    <w:rsid w:val="0088420D"/>
    <w:rsid w:val="00884237"/>
    <w:rsid w:val="00884411"/>
    <w:rsid w:val="008846E9"/>
    <w:rsid w:val="008848B5"/>
    <w:rsid w:val="00885B3D"/>
    <w:rsid w:val="0088613F"/>
    <w:rsid w:val="008861AF"/>
    <w:rsid w:val="008864BA"/>
    <w:rsid w:val="00886686"/>
    <w:rsid w:val="008873EC"/>
    <w:rsid w:val="008875A2"/>
    <w:rsid w:val="008900EE"/>
    <w:rsid w:val="00890148"/>
    <w:rsid w:val="00890576"/>
    <w:rsid w:val="00890595"/>
    <w:rsid w:val="00890C7A"/>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697F"/>
    <w:rsid w:val="008A6A03"/>
    <w:rsid w:val="008A6F29"/>
    <w:rsid w:val="008A7875"/>
    <w:rsid w:val="008A7967"/>
    <w:rsid w:val="008A79E3"/>
    <w:rsid w:val="008A7A5B"/>
    <w:rsid w:val="008A7B7A"/>
    <w:rsid w:val="008A7E29"/>
    <w:rsid w:val="008A7E39"/>
    <w:rsid w:val="008A7F8C"/>
    <w:rsid w:val="008B0C89"/>
    <w:rsid w:val="008B12AB"/>
    <w:rsid w:val="008B1574"/>
    <w:rsid w:val="008B25E7"/>
    <w:rsid w:val="008B302B"/>
    <w:rsid w:val="008B32DF"/>
    <w:rsid w:val="008B34B8"/>
    <w:rsid w:val="008B3940"/>
    <w:rsid w:val="008B3B70"/>
    <w:rsid w:val="008B3D8D"/>
    <w:rsid w:val="008B3DF8"/>
    <w:rsid w:val="008B3EAB"/>
    <w:rsid w:val="008B3EF9"/>
    <w:rsid w:val="008B3F3B"/>
    <w:rsid w:val="008B4A22"/>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4AA"/>
    <w:rsid w:val="008C2880"/>
    <w:rsid w:val="008C3817"/>
    <w:rsid w:val="008C394E"/>
    <w:rsid w:val="008C39A5"/>
    <w:rsid w:val="008C3EAB"/>
    <w:rsid w:val="008C406A"/>
    <w:rsid w:val="008C433D"/>
    <w:rsid w:val="008C4669"/>
    <w:rsid w:val="008C4A91"/>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2051"/>
    <w:rsid w:val="008D2094"/>
    <w:rsid w:val="008D284B"/>
    <w:rsid w:val="008D2DC3"/>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349"/>
    <w:rsid w:val="008D658A"/>
    <w:rsid w:val="008D7220"/>
    <w:rsid w:val="008D7491"/>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4CC8"/>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EC8"/>
    <w:rsid w:val="008F7B11"/>
    <w:rsid w:val="008F7F92"/>
    <w:rsid w:val="009004CA"/>
    <w:rsid w:val="00900544"/>
    <w:rsid w:val="009005E6"/>
    <w:rsid w:val="00901E82"/>
    <w:rsid w:val="00902100"/>
    <w:rsid w:val="0090228D"/>
    <w:rsid w:val="009026ED"/>
    <w:rsid w:val="00903498"/>
    <w:rsid w:val="00903772"/>
    <w:rsid w:val="00903B8B"/>
    <w:rsid w:val="00903D30"/>
    <w:rsid w:val="00904190"/>
    <w:rsid w:val="0090428C"/>
    <w:rsid w:val="00904887"/>
    <w:rsid w:val="00904F84"/>
    <w:rsid w:val="009058AA"/>
    <w:rsid w:val="00906352"/>
    <w:rsid w:val="00906902"/>
    <w:rsid w:val="00906D75"/>
    <w:rsid w:val="009071CF"/>
    <w:rsid w:val="0090724B"/>
    <w:rsid w:val="0090732B"/>
    <w:rsid w:val="009076AB"/>
    <w:rsid w:val="0090772C"/>
    <w:rsid w:val="009079EC"/>
    <w:rsid w:val="00907C94"/>
    <w:rsid w:val="00910E6E"/>
    <w:rsid w:val="009110B1"/>
    <w:rsid w:val="009111F7"/>
    <w:rsid w:val="00911C95"/>
    <w:rsid w:val="00911EA4"/>
    <w:rsid w:val="00912596"/>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64C"/>
    <w:rsid w:val="0092094F"/>
    <w:rsid w:val="009212E0"/>
    <w:rsid w:val="00921654"/>
    <w:rsid w:val="00921D27"/>
    <w:rsid w:val="00922099"/>
    <w:rsid w:val="009229E3"/>
    <w:rsid w:val="00923282"/>
    <w:rsid w:val="0092332A"/>
    <w:rsid w:val="009233B2"/>
    <w:rsid w:val="00923796"/>
    <w:rsid w:val="0092427D"/>
    <w:rsid w:val="009257F5"/>
    <w:rsid w:val="00926319"/>
    <w:rsid w:val="00926503"/>
    <w:rsid w:val="00926C3A"/>
    <w:rsid w:val="009272AF"/>
    <w:rsid w:val="009272DE"/>
    <w:rsid w:val="009272EF"/>
    <w:rsid w:val="0092738D"/>
    <w:rsid w:val="00927579"/>
    <w:rsid w:val="0092757E"/>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73D3"/>
    <w:rsid w:val="00937D5A"/>
    <w:rsid w:val="009405FA"/>
    <w:rsid w:val="00940B19"/>
    <w:rsid w:val="00940BEF"/>
    <w:rsid w:val="00940E2A"/>
    <w:rsid w:val="009411AD"/>
    <w:rsid w:val="00941236"/>
    <w:rsid w:val="009416E4"/>
    <w:rsid w:val="00941823"/>
    <w:rsid w:val="00941854"/>
    <w:rsid w:val="009418C0"/>
    <w:rsid w:val="00941E70"/>
    <w:rsid w:val="00942208"/>
    <w:rsid w:val="0094220B"/>
    <w:rsid w:val="009427C8"/>
    <w:rsid w:val="00942FC0"/>
    <w:rsid w:val="0094349A"/>
    <w:rsid w:val="0094362C"/>
    <w:rsid w:val="00943CA5"/>
    <w:rsid w:val="00943D7F"/>
    <w:rsid w:val="009440D7"/>
    <w:rsid w:val="0094436A"/>
    <w:rsid w:val="00944AB5"/>
    <w:rsid w:val="00944CCE"/>
    <w:rsid w:val="00944F84"/>
    <w:rsid w:val="00944FA6"/>
    <w:rsid w:val="009459EF"/>
    <w:rsid w:val="00945A34"/>
    <w:rsid w:val="00945E48"/>
    <w:rsid w:val="0094652E"/>
    <w:rsid w:val="0094662B"/>
    <w:rsid w:val="00946BE0"/>
    <w:rsid w:val="00946DD2"/>
    <w:rsid w:val="00947C4D"/>
    <w:rsid w:val="009500B1"/>
    <w:rsid w:val="009500E7"/>
    <w:rsid w:val="009503A5"/>
    <w:rsid w:val="00950810"/>
    <w:rsid w:val="00950D10"/>
    <w:rsid w:val="00950DC2"/>
    <w:rsid w:val="0095147C"/>
    <w:rsid w:val="00951493"/>
    <w:rsid w:val="00951C00"/>
    <w:rsid w:val="00951DD3"/>
    <w:rsid w:val="00951F13"/>
    <w:rsid w:val="009525E8"/>
    <w:rsid w:val="009530E9"/>
    <w:rsid w:val="00953E89"/>
    <w:rsid w:val="00954231"/>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539C"/>
    <w:rsid w:val="009660FA"/>
    <w:rsid w:val="009662EA"/>
    <w:rsid w:val="00966A93"/>
    <w:rsid w:val="00966F06"/>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389"/>
    <w:rsid w:val="009833D4"/>
    <w:rsid w:val="009834CC"/>
    <w:rsid w:val="009836E2"/>
    <w:rsid w:val="00983D75"/>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3FA5"/>
    <w:rsid w:val="00994115"/>
    <w:rsid w:val="0099462F"/>
    <w:rsid w:val="009948E2"/>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19F"/>
    <w:rsid w:val="009A153D"/>
    <w:rsid w:val="009A18CC"/>
    <w:rsid w:val="009A1E02"/>
    <w:rsid w:val="009A1E34"/>
    <w:rsid w:val="009A210A"/>
    <w:rsid w:val="009A2D55"/>
    <w:rsid w:val="009A2EB6"/>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1411"/>
    <w:rsid w:val="009B1505"/>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01"/>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DF6"/>
    <w:rsid w:val="009C5206"/>
    <w:rsid w:val="009C593B"/>
    <w:rsid w:val="009C5DB7"/>
    <w:rsid w:val="009C5EC1"/>
    <w:rsid w:val="009C64CB"/>
    <w:rsid w:val="009C6A27"/>
    <w:rsid w:val="009C6DA6"/>
    <w:rsid w:val="009C6F82"/>
    <w:rsid w:val="009C70AE"/>
    <w:rsid w:val="009C7855"/>
    <w:rsid w:val="009C7E71"/>
    <w:rsid w:val="009D02CC"/>
    <w:rsid w:val="009D03EB"/>
    <w:rsid w:val="009D06CC"/>
    <w:rsid w:val="009D082A"/>
    <w:rsid w:val="009D0E3D"/>
    <w:rsid w:val="009D213C"/>
    <w:rsid w:val="009D26A4"/>
    <w:rsid w:val="009D2754"/>
    <w:rsid w:val="009D2E66"/>
    <w:rsid w:val="009D30F6"/>
    <w:rsid w:val="009D3789"/>
    <w:rsid w:val="009D3BD5"/>
    <w:rsid w:val="009D46C4"/>
    <w:rsid w:val="009D4A18"/>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ABA"/>
    <w:rsid w:val="009E3C46"/>
    <w:rsid w:val="009E3EB2"/>
    <w:rsid w:val="009E4200"/>
    <w:rsid w:val="009E4DD0"/>
    <w:rsid w:val="009E5433"/>
    <w:rsid w:val="009E5785"/>
    <w:rsid w:val="009E591F"/>
    <w:rsid w:val="009E60B8"/>
    <w:rsid w:val="009E6388"/>
    <w:rsid w:val="009E6699"/>
    <w:rsid w:val="009E6C1B"/>
    <w:rsid w:val="009E6CB3"/>
    <w:rsid w:val="009E7306"/>
    <w:rsid w:val="009E7657"/>
    <w:rsid w:val="009E7D18"/>
    <w:rsid w:val="009F0017"/>
    <w:rsid w:val="009F0468"/>
    <w:rsid w:val="009F0472"/>
    <w:rsid w:val="009F053E"/>
    <w:rsid w:val="009F0753"/>
    <w:rsid w:val="009F092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629"/>
    <w:rsid w:val="00A00B4F"/>
    <w:rsid w:val="00A00E09"/>
    <w:rsid w:val="00A01244"/>
    <w:rsid w:val="00A0163C"/>
    <w:rsid w:val="00A016A0"/>
    <w:rsid w:val="00A01BD4"/>
    <w:rsid w:val="00A01E23"/>
    <w:rsid w:val="00A02506"/>
    <w:rsid w:val="00A02A39"/>
    <w:rsid w:val="00A02D52"/>
    <w:rsid w:val="00A02DD9"/>
    <w:rsid w:val="00A03707"/>
    <w:rsid w:val="00A03A7E"/>
    <w:rsid w:val="00A03BCA"/>
    <w:rsid w:val="00A03F8E"/>
    <w:rsid w:val="00A03FA6"/>
    <w:rsid w:val="00A046CF"/>
    <w:rsid w:val="00A047DA"/>
    <w:rsid w:val="00A05046"/>
    <w:rsid w:val="00A054CF"/>
    <w:rsid w:val="00A058C5"/>
    <w:rsid w:val="00A05E18"/>
    <w:rsid w:val="00A06013"/>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A9D"/>
    <w:rsid w:val="00A25EA7"/>
    <w:rsid w:val="00A2610F"/>
    <w:rsid w:val="00A26B6F"/>
    <w:rsid w:val="00A26DE2"/>
    <w:rsid w:val="00A27613"/>
    <w:rsid w:val="00A276D9"/>
    <w:rsid w:val="00A300E1"/>
    <w:rsid w:val="00A3011D"/>
    <w:rsid w:val="00A307A5"/>
    <w:rsid w:val="00A30861"/>
    <w:rsid w:val="00A30953"/>
    <w:rsid w:val="00A30C64"/>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FEC"/>
    <w:rsid w:val="00A3619C"/>
    <w:rsid w:val="00A36308"/>
    <w:rsid w:val="00A3636B"/>
    <w:rsid w:val="00A36808"/>
    <w:rsid w:val="00A368EF"/>
    <w:rsid w:val="00A36CC6"/>
    <w:rsid w:val="00A37258"/>
    <w:rsid w:val="00A3771B"/>
    <w:rsid w:val="00A37846"/>
    <w:rsid w:val="00A40497"/>
    <w:rsid w:val="00A4093E"/>
    <w:rsid w:val="00A40B2F"/>
    <w:rsid w:val="00A40C3D"/>
    <w:rsid w:val="00A413F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551C"/>
    <w:rsid w:val="00A46065"/>
    <w:rsid w:val="00A4648D"/>
    <w:rsid w:val="00A4695D"/>
    <w:rsid w:val="00A46AC1"/>
    <w:rsid w:val="00A46CD2"/>
    <w:rsid w:val="00A46D3E"/>
    <w:rsid w:val="00A46D41"/>
    <w:rsid w:val="00A473F4"/>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FCA"/>
    <w:rsid w:val="00A55FED"/>
    <w:rsid w:val="00A560B4"/>
    <w:rsid w:val="00A569F0"/>
    <w:rsid w:val="00A56C26"/>
    <w:rsid w:val="00A56FF2"/>
    <w:rsid w:val="00A57030"/>
    <w:rsid w:val="00A57116"/>
    <w:rsid w:val="00A57376"/>
    <w:rsid w:val="00A578F4"/>
    <w:rsid w:val="00A57CB9"/>
    <w:rsid w:val="00A60300"/>
    <w:rsid w:val="00A6118A"/>
    <w:rsid w:val="00A62276"/>
    <w:rsid w:val="00A62826"/>
    <w:rsid w:val="00A62C1E"/>
    <w:rsid w:val="00A62D98"/>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26C5"/>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0A1"/>
    <w:rsid w:val="00A80384"/>
    <w:rsid w:val="00A80A08"/>
    <w:rsid w:val="00A80ADA"/>
    <w:rsid w:val="00A80BDE"/>
    <w:rsid w:val="00A8114B"/>
    <w:rsid w:val="00A81F53"/>
    <w:rsid w:val="00A81F6B"/>
    <w:rsid w:val="00A820B3"/>
    <w:rsid w:val="00A8215B"/>
    <w:rsid w:val="00A82164"/>
    <w:rsid w:val="00A82C37"/>
    <w:rsid w:val="00A836A2"/>
    <w:rsid w:val="00A83B0E"/>
    <w:rsid w:val="00A83B12"/>
    <w:rsid w:val="00A83E3F"/>
    <w:rsid w:val="00A83ED5"/>
    <w:rsid w:val="00A840F1"/>
    <w:rsid w:val="00A842B5"/>
    <w:rsid w:val="00A8446D"/>
    <w:rsid w:val="00A84E20"/>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478"/>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30F5"/>
    <w:rsid w:val="00AA4611"/>
    <w:rsid w:val="00AA4FBC"/>
    <w:rsid w:val="00AA511E"/>
    <w:rsid w:val="00AA51C8"/>
    <w:rsid w:val="00AA5FB7"/>
    <w:rsid w:val="00AA6195"/>
    <w:rsid w:val="00AA66C1"/>
    <w:rsid w:val="00AA752F"/>
    <w:rsid w:val="00AA7EE9"/>
    <w:rsid w:val="00AB07FC"/>
    <w:rsid w:val="00AB0A08"/>
    <w:rsid w:val="00AB0DA1"/>
    <w:rsid w:val="00AB1228"/>
    <w:rsid w:val="00AB1422"/>
    <w:rsid w:val="00AB1D7E"/>
    <w:rsid w:val="00AB1F31"/>
    <w:rsid w:val="00AB25F2"/>
    <w:rsid w:val="00AB2A87"/>
    <w:rsid w:val="00AB2D79"/>
    <w:rsid w:val="00AB39F3"/>
    <w:rsid w:val="00AB400C"/>
    <w:rsid w:val="00AB453D"/>
    <w:rsid w:val="00AB4A1B"/>
    <w:rsid w:val="00AB4C99"/>
    <w:rsid w:val="00AB5337"/>
    <w:rsid w:val="00AB54C9"/>
    <w:rsid w:val="00AB551C"/>
    <w:rsid w:val="00AB569C"/>
    <w:rsid w:val="00AB59EF"/>
    <w:rsid w:val="00AB5E9E"/>
    <w:rsid w:val="00AB6693"/>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E1C"/>
    <w:rsid w:val="00AC5FB4"/>
    <w:rsid w:val="00AC6478"/>
    <w:rsid w:val="00AC6C78"/>
    <w:rsid w:val="00AC6FD6"/>
    <w:rsid w:val="00AC7132"/>
    <w:rsid w:val="00AC7772"/>
    <w:rsid w:val="00AC78D2"/>
    <w:rsid w:val="00AC7926"/>
    <w:rsid w:val="00AC7B8F"/>
    <w:rsid w:val="00AC7F09"/>
    <w:rsid w:val="00AD010A"/>
    <w:rsid w:val="00AD019A"/>
    <w:rsid w:val="00AD0A25"/>
    <w:rsid w:val="00AD0B7A"/>
    <w:rsid w:val="00AD1430"/>
    <w:rsid w:val="00AD1C18"/>
    <w:rsid w:val="00AD1C41"/>
    <w:rsid w:val="00AD1F2D"/>
    <w:rsid w:val="00AD22D4"/>
    <w:rsid w:val="00AD2CEA"/>
    <w:rsid w:val="00AD340E"/>
    <w:rsid w:val="00AD3DC8"/>
    <w:rsid w:val="00AD45BD"/>
    <w:rsid w:val="00AD492C"/>
    <w:rsid w:val="00AD4CC7"/>
    <w:rsid w:val="00AD4FA9"/>
    <w:rsid w:val="00AD5122"/>
    <w:rsid w:val="00AD5499"/>
    <w:rsid w:val="00AD570F"/>
    <w:rsid w:val="00AD5903"/>
    <w:rsid w:val="00AD59DD"/>
    <w:rsid w:val="00AD5A13"/>
    <w:rsid w:val="00AD5E7B"/>
    <w:rsid w:val="00AD6130"/>
    <w:rsid w:val="00AD6154"/>
    <w:rsid w:val="00AD6488"/>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42B"/>
    <w:rsid w:val="00AF5670"/>
    <w:rsid w:val="00AF56C1"/>
    <w:rsid w:val="00AF5BC6"/>
    <w:rsid w:val="00AF604B"/>
    <w:rsid w:val="00AF61BF"/>
    <w:rsid w:val="00AF692C"/>
    <w:rsid w:val="00AF70F4"/>
    <w:rsid w:val="00AF7271"/>
    <w:rsid w:val="00AF7DB5"/>
    <w:rsid w:val="00B00582"/>
    <w:rsid w:val="00B0060D"/>
    <w:rsid w:val="00B00FC4"/>
    <w:rsid w:val="00B0146C"/>
    <w:rsid w:val="00B018A6"/>
    <w:rsid w:val="00B01B5B"/>
    <w:rsid w:val="00B01B5E"/>
    <w:rsid w:val="00B021AC"/>
    <w:rsid w:val="00B022CE"/>
    <w:rsid w:val="00B02630"/>
    <w:rsid w:val="00B02644"/>
    <w:rsid w:val="00B02D70"/>
    <w:rsid w:val="00B037BC"/>
    <w:rsid w:val="00B03A27"/>
    <w:rsid w:val="00B03D29"/>
    <w:rsid w:val="00B03DD5"/>
    <w:rsid w:val="00B03ED6"/>
    <w:rsid w:val="00B03FBB"/>
    <w:rsid w:val="00B044FE"/>
    <w:rsid w:val="00B0528D"/>
    <w:rsid w:val="00B05400"/>
    <w:rsid w:val="00B0574A"/>
    <w:rsid w:val="00B06222"/>
    <w:rsid w:val="00B066E2"/>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B9"/>
    <w:rsid w:val="00B12426"/>
    <w:rsid w:val="00B12713"/>
    <w:rsid w:val="00B12EA8"/>
    <w:rsid w:val="00B132E4"/>
    <w:rsid w:val="00B13499"/>
    <w:rsid w:val="00B135E5"/>
    <w:rsid w:val="00B13C89"/>
    <w:rsid w:val="00B13D13"/>
    <w:rsid w:val="00B13F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DB6"/>
    <w:rsid w:val="00B17226"/>
    <w:rsid w:val="00B20110"/>
    <w:rsid w:val="00B20B8F"/>
    <w:rsid w:val="00B2103E"/>
    <w:rsid w:val="00B21A7F"/>
    <w:rsid w:val="00B21EFB"/>
    <w:rsid w:val="00B220A5"/>
    <w:rsid w:val="00B226B9"/>
    <w:rsid w:val="00B243CB"/>
    <w:rsid w:val="00B248FB"/>
    <w:rsid w:val="00B24F5E"/>
    <w:rsid w:val="00B255DC"/>
    <w:rsid w:val="00B255E9"/>
    <w:rsid w:val="00B25B99"/>
    <w:rsid w:val="00B25D0E"/>
    <w:rsid w:val="00B25D68"/>
    <w:rsid w:val="00B25E11"/>
    <w:rsid w:val="00B25F64"/>
    <w:rsid w:val="00B2691B"/>
    <w:rsid w:val="00B26C7A"/>
    <w:rsid w:val="00B276DE"/>
    <w:rsid w:val="00B278BB"/>
    <w:rsid w:val="00B2790C"/>
    <w:rsid w:val="00B27AC8"/>
    <w:rsid w:val="00B27C18"/>
    <w:rsid w:val="00B306D5"/>
    <w:rsid w:val="00B308AF"/>
    <w:rsid w:val="00B308BB"/>
    <w:rsid w:val="00B309AE"/>
    <w:rsid w:val="00B30FC5"/>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1B7"/>
    <w:rsid w:val="00B3640C"/>
    <w:rsid w:val="00B36472"/>
    <w:rsid w:val="00B36514"/>
    <w:rsid w:val="00B36CE4"/>
    <w:rsid w:val="00B373F2"/>
    <w:rsid w:val="00B374F8"/>
    <w:rsid w:val="00B37F4D"/>
    <w:rsid w:val="00B40DB0"/>
    <w:rsid w:val="00B41B36"/>
    <w:rsid w:val="00B41BC9"/>
    <w:rsid w:val="00B420DF"/>
    <w:rsid w:val="00B428FB"/>
    <w:rsid w:val="00B429EF"/>
    <w:rsid w:val="00B42F97"/>
    <w:rsid w:val="00B439D0"/>
    <w:rsid w:val="00B43EAB"/>
    <w:rsid w:val="00B44542"/>
    <w:rsid w:val="00B446EE"/>
    <w:rsid w:val="00B4476F"/>
    <w:rsid w:val="00B4480B"/>
    <w:rsid w:val="00B44B89"/>
    <w:rsid w:val="00B4508F"/>
    <w:rsid w:val="00B45288"/>
    <w:rsid w:val="00B454E5"/>
    <w:rsid w:val="00B45A1C"/>
    <w:rsid w:val="00B45E30"/>
    <w:rsid w:val="00B46909"/>
    <w:rsid w:val="00B470CB"/>
    <w:rsid w:val="00B47FFC"/>
    <w:rsid w:val="00B50003"/>
    <w:rsid w:val="00B50515"/>
    <w:rsid w:val="00B50550"/>
    <w:rsid w:val="00B50644"/>
    <w:rsid w:val="00B50738"/>
    <w:rsid w:val="00B514EF"/>
    <w:rsid w:val="00B51800"/>
    <w:rsid w:val="00B51853"/>
    <w:rsid w:val="00B51CDC"/>
    <w:rsid w:val="00B52391"/>
    <w:rsid w:val="00B52C4F"/>
    <w:rsid w:val="00B52FB9"/>
    <w:rsid w:val="00B53402"/>
    <w:rsid w:val="00B53CB0"/>
    <w:rsid w:val="00B53E60"/>
    <w:rsid w:val="00B554E1"/>
    <w:rsid w:val="00B5575A"/>
    <w:rsid w:val="00B567AE"/>
    <w:rsid w:val="00B56F35"/>
    <w:rsid w:val="00B571AC"/>
    <w:rsid w:val="00B57207"/>
    <w:rsid w:val="00B57389"/>
    <w:rsid w:val="00B57984"/>
    <w:rsid w:val="00B57B2E"/>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14A"/>
    <w:rsid w:val="00B63F40"/>
    <w:rsid w:val="00B63F45"/>
    <w:rsid w:val="00B6421F"/>
    <w:rsid w:val="00B6491D"/>
    <w:rsid w:val="00B65AC1"/>
    <w:rsid w:val="00B65BA1"/>
    <w:rsid w:val="00B65FAF"/>
    <w:rsid w:val="00B66776"/>
    <w:rsid w:val="00B6697F"/>
    <w:rsid w:val="00B66D23"/>
    <w:rsid w:val="00B670CF"/>
    <w:rsid w:val="00B671AF"/>
    <w:rsid w:val="00B6780E"/>
    <w:rsid w:val="00B67A6F"/>
    <w:rsid w:val="00B67D88"/>
    <w:rsid w:val="00B7029C"/>
    <w:rsid w:val="00B7053C"/>
    <w:rsid w:val="00B70CC9"/>
    <w:rsid w:val="00B71158"/>
    <w:rsid w:val="00B719E7"/>
    <w:rsid w:val="00B71AEE"/>
    <w:rsid w:val="00B71E6B"/>
    <w:rsid w:val="00B724AF"/>
    <w:rsid w:val="00B7269E"/>
    <w:rsid w:val="00B72885"/>
    <w:rsid w:val="00B72A0C"/>
    <w:rsid w:val="00B72A16"/>
    <w:rsid w:val="00B72BDD"/>
    <w:rsid w:val="00B73425"/>
    <w:rsid w:val="00B73512"/>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B96"/>
    <w:rsid w:val="00B930F4"/>
    <w:rsid w:val="00B93390"/>
    <w:rsid w:val="00B9393C"/>
    <w:rsid w:val="00B93A8F"/>
    <w:rsid w:val="00B93E61"/>
    <w:rsid w:val="00B93EF1"/>
    <w:rsid w:val="00B93FB1"/>
    <w:rsid w:val="00B942B8"/>
    <w:rsid w:val="00B942EC"/>
    <w:rsid w:val="00B94DA3"/>
    <w:rsid w:val="00B95FD6"/>
    <w:rsid w:val="00B961A8"/>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340E"/>
    <w:rsid w:val="00BB3534"/>
    <w:rsid w:val="00BB39DD"/>
    <w:rsid w:val="00BB3AE5"/>
    <w:rsid w:val="00BB3CA1"/>
    <w:rsid w:val="00BB3D6A"/>
    <w:rsid w:val="00BB3FE4"/>
    <w:rsid w:val="00BB41E5"/>
    <w:rsid w:val="00BB434B"/>
    <w:rsid w:val="00BB4356"/>
    <w:rsid w:val="00BB43BD"/>
    <w:rsid w:val="00BB4F0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1D81"/>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3FD8"/>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687"/>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744"/>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029"/>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808"/>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513"/>
    <w:rsid w:val="00C27174"/>
    <w:rsid w:val="00C2771B"/>
    <w:rsid w:val="00C27921"/>
    <w:rsid w:val="00C27B66"/>
    <w:rsid w:val="00C302C5"/>
    <w:rsid w:val="00C30584"/>
    <w:rsid w:val="00C30985"/>
    <w:rsid w:val="00C309EF"/>
    <w:rsid w:val="00C30E17"/>
    <w:rsid w:val="00C30ECF"/>
    <w:rsid w:val="00C310C4"/>
    <w:rsid w:val="00C31125"/>
    <w:rsid w:val="00C31A76"/>
    <w:rsid w:val="00C31A82"/>
    <w:rsid w:val="00C325DF"/>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14A5"/>
    <w:rsid w:val="00C4186C"/>
    <w:rsid w:val="00C427DA"/>
    <w:rsid w:val="00C42A1A"/>
    <w:rsid w:val="00C43732"/>
    <w:rsid w:val="00C43A67"/>
    <w:rsid w:val="00C44302"/>
    <w:rsid w:val="00C44978"/>
    <w:rsid w:val="00C44AA5"/>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B8D"/>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DA8"/>
    <w:rsid w:val="00C63F75"/>
    <w:rsid w:val="00C642D5"/>
    <w:rsid w:val="00C6474D"/>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F2"/>
    <w:rsid w:val="00C71899"/>
    <w:rsid w:val="00C71CA8"/>
    <w:rsid w:val="00C71E33"/>
    <w:rsid w:val="00C71EF7"/>
    <w:rsid w:val="00C732B6"/>
    <w:rsid w:val="00C7362B"/>
    <w:rsid w:val="00C73ACE"/>
    <w:rsid w:val="00C73CE8"/>
    <w:rsid w:val="00C73FCF"/>
    <w:rsid w:val="00C746D6"/>
    <w:rsid w:val="00C74C41"/>
    <w:rsid w:val="00C75BE1"/>
    <w:rsid w:val="00C76326"/>
    <w:rsid w:val="00C76924"/>
    <w:rsid w:val="00C76DA8"/>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237"/>
    <w:rsid w:val="00C8363C"/>
    <w:rsid w:val="00C83699"/>
    <w:rsid w:val="00C83AE9"/>
    <w:rsid w:val="00C843FD"/>
    <w:rsid w:val="00C84664"/>
    <w:rsid w:val="00C84E35"/>
    <w:rsid w:val="00C8562C"/>
    <w:rsid w:val="00C857EC"/>
    <w:rsid w:val="00C85C2C"/>
    <w:rsid w:val="00C85D55"/>
    <w:rsid w:val="00C861E5"/>
    <w:rsid w:val="00C8621E"/>
    <w:rsid w:val="00C86604"/>
    <w:rsid w:val="00C86FF4"/>
    <w:rsid w:val="00C9178C"/>
    <w:rsid w:val="00C91AF3"/>
    <w:rsid w:val="00C91BBB"/>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52DE"/>
    <w:rsid w:val="00C9532E"/>
    <w:rsid w:val="00C95504"/>
    <w:rsid w:val="00C9554F"/>
    <w:rsid w:val="00C95639"/>
    <w:rsid w:val="00C95671"/>
    <w:rsid w:val="00C958F4"/>
    <w:rsid w:val="00C95B1F"/>
    <w:rsid w:val="00C95B3B"/>
    <w:rsid w:val="00C95F3D"/>
    <w:rsid w:val="00C96404"/>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7015"/>
    <w:rsid w:val="00CA7922"/>
    <w:rsid w:val="00CA7E3E"/>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1F80"/>
    <w:rsid w:val="00CC226E"/>
    <w:rsid w:val="00CC2ABB"/>
    <w:rsid w:val="00CC2D29"/>
    <w:rsid w:val="00CC3014"/>
    <w:rsid w:val="00CC3553"/>
    <w:rsid w:val="00CC3B31"/>
    <w:rsid w:val="00CC3D16"/>
    <w:rsid w:val="00CC48DF"/>
    <w:rsid w:val="00CC4A18"/>
    <w:rsid w:val="00CC4B20"/>
    <w:rsid w:val="00CC5283"/>
    <w:rsid w:val="00CC5996"/>
    <w:rsid w:val="00CC5AB4"/>
    <w:rsid w:val="00CC6303"/>
    <w:rsid w:val="00CC6C9E"/>
    <w:rsid w:val="00CC6E09"/>
    <w:rsid w:val="00CC6F09"/>
    <w:rsid w:val="00CC7425"/>
    <w:rsid w:val="00CC7512"/>
    <w:rsid w:val="00CC75F8"/>
    <w:rsid w:val="00CC77CA"/>
    <w:rsid w:val="00CD0019"/>
    <w:rsid w:val="00CD0305"/>
    <w:rsid w:val="00CD0BA3"/>
    <w:rsid w:val="00CD13A0"/>
    <w:rsid w:val="00CD1F88"/>
    <w:rsid w:val="00CD22CD"/>
    <w:rsid w:val="00CD247E"/>
    <w:rsid w:val="00CD2902"/>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BE"/>
    <w:rsid w:val="00CE1DEE"/>
    <w:rsid w:val="00CE276C"/>
    <w:rsid w:val="00CE2819"/>
    <w:rsid w:val="00CE29F8"/>
    <w:rsid w:val="00CE3081"/>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1B7D"/>
    <w:rsid w:val="00D02390"/>
    <w:rsid w:val="00D024CB"/>
    <w:rsid w:val="00D02527"/>
    <w:rsid w:val="00D0256D"/>
    <w:rsid w:val="00D027BE"/>
    <w:rsid w:val="00D028BE"/>
    <w:rsid w:val="00D029F9"/>
    <w:rsid w:val="00D0314B"/>
    <w:rsid w:val="00D03427"/>
    <w:rsid w:val="00D03928"/>
    <w:rsid w:val="00D03D37"/>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2BCB"/>
    <w:rsid w:val="00D12C0C"/>
    <w:rsid w:val="00D12CC1"/>
    <w:rsid w:val="00D12EA2"/>
    <w:rsid w:val="00D140D1"/>
    <w:rsid w:val="00D140DB"/>
    <w:rsid w:val="00D1426D"/>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511D"/>
    <w:rsid w:val="00D253B4"/>
    <w:rsid w:val="00D26693"/>
    <w:rsid w:val="00D26790"/>
    <w:rsid w:val="00D269EA"/>
    <w:rsid w:val="00D27140"/>
    <w:rsid w:val="00D27794"/>
    <w:rsid w:val="00D27AB0"/>
    <w:rsid w:val="00D30319"/>
    <w:rsid w:val="00D30466"/>
    <w:rsid w:val="00D30782"/>
    <w:rsid w:val="00D30986"/>
    <w:rsid w:val="00D31220"/>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5BBF"/>
    <w:rsid w:val="00D46008"/>
    <w:rsid w:val="00D4603E"/>
    <w:rsid w:val="00D4698D"/>
    <w:rsid w:val="00D46C3C"/>
    <w:rsid w:val="00D46D6B"/>
    <w:rsid w:val="00D46F5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313"/>
    <w:rsid w:val="00D57B0C"/>
    <w:rsid w:val="00D57B70"/>
    <w:rsid w:val="00D57DC8"/>
    <w:rsid w:val="00D60375"/>
    <w:rsid w:val="00D60AE5"/>
    <w:rsid w:val="00D60C85"/>
    <w:rsid w:val="00D61EEA"/>
    <w:rsid w:val="00D61F9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6CA8"/>
    <w:rsid w:val="00D67462"/>
    <w:rsid w:val="00D67F42"/>
    <w:rsid w:val="00D67F9D"/>
    <w:rsid w:val="00D70256"/>
    <w:rsid w:val="00D702B4"/>
    <w:rsid w:val="00D7110B"/>
    <w:rsid w:val="00D71347"/>
    <w:rsid w:val="00D717F0"/>
    <w:rsid w:val="00D718CA"/>
    <w:rsid w:val="00D71E9F"/>
    <w:rsid w:val="00D72450"/>
    <w:rsid w:val="00D72EA7"/>
    <w:rsid w:val="00D72EC0"/>
    <w:rsid w:val="00D73040"/>
    <w:rsid w:val="00D73153"/>
    <w:rsid w:val="00D73874"/>
    <w:rsid w:val="00D73E61"/>
    <w:rsid w:val="00D74177"/>
    <w:rsid w:val="00D746CF"/>
    <w:rsid w:val="00D74945"/>
    <w:rsid w:val="00D74CFC"/>
    <w:rsid w:val="00D75090"/>
    <w:rsid w:val="00D7513E"/>
    <w:rsid w:val="00D7583E"/>
    <w:rsid w:val="00D75844"/>
    <w:rsid w:val="00D7660A"/>
    <w:rsid w:val="00D76EBA"/>
    <w:rsid w:val="00D76F57"/>
    <w:rsid w:val="00D770E3"/>
    <w:rsid w:val="00D77174"/>
    <w:rsid w:val="00D77732"/>
    <w:rsid w:val="00D80B2D"/>
    <w:rsid w:val="00D80C99"/>
    <w:rsid w:val="00D80FD1"/>
    <w:rsid w:val="00D8208B"/>
    <w:rsid w:val="00D82EF1"/>
    <w:rsid w:val="00D82FF3"/>
    <w:rsid w:val="00D83097"/>
    <w:rsid w:val="00D8326B"/>
    <w:rsid w:val="00D832C6"/>
    <w:rsid w:val="00D8376B"/>
    <w:rsid w:val="00D8412A"/>
    <w:rsid w:val="00D84299"/>
    <w:rsid w:val="00D84B5B"/>
    <w:rsid w:val="00D84BAC"/>
    <w:rsid w:val="00D84D7F"/>
    <w:rsid w:val="00D8658B"/>
    <w:rsid w:val="00D866AB"/>
    <w:rsid w:val="00D86743"/>
    <w:rsid w:val="00D86C85"/>
    <w:rsid w:val="00D87192"/>
    <w:rsid w:val="00D87215"/>
    <w:rsid w:val="00D875EA"/>
    <w:rsid w:val="00D87D78"/>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3F"/>
    <w:rsid w:val="00D94C49"/>
    <w:rsid w:val="00D94CDA"/>
    <w:rsid w:val="00D95BC4"/>
    <w:rsid w:val="00D96088"/>
    <w:rsid w:val="00D96249"/>
    <w:rsid w:val="00D965DC"/>
    <w:rsid w:val="00D9734A"/>
    <w:rsid w:val="00D97736"/>
    <w:rsid w:val="00D977CA"/>
    <w:rsid w:val="00D978E9"/>
    <w:rsid w:val="00DA001A"/>
    <w:rsid w:val="00DA0167"/>
    <w:rsid w:val="00DA058B"/>
    <w:rsid w:val="00DA188B"/>
    <w:rsid w:val="00DA1A3C"/>
    <w:rsid w:val="00DA1DDB"/>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2D21"/>
    <w:rsid w:val="00DB3320"/>
    <w:rsid w:val="00DB344B"/>
    <w:rsid w:val="00DB36B3"/>
    <w:rsid w:val="00DB36F1"/>
    <w:rsid w:val="00DB4281"/>
    <w:rsid w:val="00DB42C3"/>
    <w:rsid w:val="00DB4378"/>
    <w:rsid w:val="00DB43F3"/>
    <w:rsid w:val="00DB454E"/>
    <w:rsid w:val="00DB460F"/>
    <w:rsid w:val="00DB49C8"/>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9DA"/>
    <w:rsid w:val="00DC3AA8"/>
    <w:rsid w:val="00DC3E33"/>
    <w:rsid w:val="00DC4518"/>
    <w:rsid w:val="00DC4AED"/>
    <w:rsid w:val="00DC4B9D"/>
    <w:rsid w:val="00DC4CBF"/>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ACE"/>
    <w:rsid w:val="00DC7B1F"/>
    <w:rsid w:val="00DC7C52"/>
    <w:rsid w:val="00DD02EC"/>
    <w:rsid w:val="00DD03F2"/>
    <w:rsid w:val="00DD04D8"/>
    <w:rsid w:val="00DD0E1E"/>
    <w:rsid w:val="00DD10AA"/>
    <w:rsid w:val="00DD1211"/>
    <w:rsid w:val="00DD14C4"/>
    <w:rsid w:val="00DD18F5"/>
    <w:rsid w:val="00DD224C"/>
    <w:rsid w:val="00DD2AF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222"/>
    <w:rsid w:val="00DE1BB0"/>
    <w:rsid w:val="00DE1F1E"/>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3F5"/>
    <w:rsid w:val="00DF44E8"/>
    <w:rsid w:val="00DF4C86"/>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C31"/>
    <w:rsid w:val="00E22091"/>
    <w:rsid w:val="00E22768"/>
    <w:rsid w:val="00E22A54"/>
    <w:rsid w:val="00E230C3"/>
    <w:rsid w:val="00E230C5"/>
    <w:rsid w:val="00E23891"/>
    <w:rsid w:val="00E23E3E"/>
    <w:rsid w:val="00E23F69"/>
    <w:rsid w:val="00E23F6D"/>
    <w:rsid w:val="00E243CF"/>
    <w:rsid w:val="00E248C2"/>
    <w:rsid w:val="00E25C80"/>
    <w:rsid w:val="00E2707C"/>
    <w:rsid w:val="00E271AF"/>
    <w:rsid w:val="00E27DAB"/>
    <w:rsid w:val="00E27FC8"/>
    <w:rsid w:val="00E30082"/>
    <w:rsid w:val="00E30BFD"/>
    <w:rsid w:val="00E30EAC"/>
    <w:rsid w:val="00E3112F"/>
    <w:rsid w:val="00E314AB"/>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7F"/>
    <w:rsid w:val="00E410A4"/>
    <w:rsid w:val="00E41C30"/>
    <w:rsid w:val="00E42279"/>
    <w:rsid w:val="00E4231D"/>
    <w:rsid w:val="00E42E3A"/>
    <w:rsid w:val="00E42F41"/>
    <w:rsid w:val="00E43043"/>
    <w:rsid w:val="00E435E7"/>
    <w:rsid w:val="00E43949"/>
    <w:rsid w:val="00E43EED"/>
    <w:rsid w:val="00E43F50"/>
    <w:rsid w:val="00E442CA"/>
    <w:rsid w:val="00E443E2"/>
    <w:rsid w:val="00E44462"/>
    <w:rsid w:val="00E44530"/>
    <w:rsid w:val="00E446E0"/>
    <w:rsid w:val="00E44914"/>
    <w:rsid w:val="00E44B6E"/>
    <w:rsid w:val="00E44C2F"/>
    <w:rsid w:val="00E44D83"/>
    <w:rsid w:val="00E4507A"/>
    <w:rsid w:val="00E45163"/>
    <w:rsid w:val="00E451CB"/>
    <w:rsid w:val="00E45263"/>
    <w:rsid w:val="00E4536C"/>
    <w:rsid w:val="00E4553F"/>
    <w:rsid w:val="00E45A9E"/>
    <w:rsid w:val="00E465C3"/>
    <w:rsid w:val="00E4677A"/>
    <w:rsid w:val="00E47867"/>
    <w:rsid w:val="00E511C7"/>
    <w:rsid w:val="00E51209"/>
    <w:rsid w:val="00E528CD"/>
    <w:rsid w:val="00E52F08"/>
    <w:rsid w:val="00E5303C"/>
    <w:rsid w:val="00E536EB"/>
    <w:rsid w:val="00E53B29"/>
    <w:rsid w:val="00E53CEE"/>
    <w:rsid w:val="00E541BE"/>
    <w:rsid w:val="00E541D6"/>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7C9"/>
    <w:rsid w:val="00E73A3E"/>
    <w:rsid w:val="00E73E70"/>
    <w:rsid w:val="00E747A6"/>
    <w:rsid w:val="00E74CB8"/>
    <w:rsid w:val="00E74F64"/>
    <w:rsid w:val="00E753DC"/>
    <w:rsid w:val="00E75C3B"/>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4470"/>
    <w:rsid w:val="00E85119"/>
    <w:rsid w:val="00E85698"/>
    <w:rsid w:val="00E85831"/>
    <w:rsid w:val="00E867E8"/>
    <w:rsid w:val="00E86912"/>
    <w:rsid w:val="00E86C8B"/>
    <w:rsid w:val="00E86CF6"/>
    <w:rsid w:val="00E870B2"/>
    <w:rsid w:val="00E871ED"/>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651"/>
    <w:rsid w:val="00E97754"/>
    <w:rsid w:val="00E97C59"/>
    <w:rsid w:val="00EA0690"/>
    <w:rsid w:val="00EA06E8"/>
    <w:rsid w:val="00EA075F"/>
    <w:rsid w:val="00EA076B"/>
    <w:rsid w:val="00EA0B17"/>
    <w:rsid w:val="00EA0FA8"/>
    <w:rsid w:val="00EA1147"/>
    <w:rsid w:val="00EA15D7"/>
    <w:rsid w:val="00EA16AE"/>
    <w:rsid w:val="00EA1D63"/>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13D"/>
    <w:rsid w:val="00EB24C6"/>
    <w:rsid w:val="00EB27FF"/>
    <w:rsid w:val="00EB2962"/>
    <w:rsid w:val="00EB2A91"/>
    <w:rsid w:val="00EB3330"/>
    <w:rsid w:val="00EB3636"/>
    <w:rsid w:val="00EB386A"/>
    <w:rsid w:val="00EB39AB"/>
    <w:rsid w:val="00EB3D71"/>
    <w:rsid w:val="00EB409D"/>
    <w:rsid w:val="00EB4949"/>
    <w:rsid w:val="00EB5232"/>
    <w:rsid w:val="00EB576B"/>
    <w:rsid w:val="00EB57A5"/>
    <w:rsid w:val="00EB5887"/>
    <w:rsid w:val="00EB68A3"/>
    <w:rsid w:val="00EB6A0A"/>
    <w:rsid w:val="00EB6C1F"/>
    <w:rsid w:val="00EB7A9E"/>
    <w:rsid w:val="00EB7C60"/>
    <w:rsid w:val="00EC02DD"/>
    <w:rsid w:val="00EC031F"/>
    <w:rsid w:val="00EC06D5"/>
    <w:rsid w:val="00EC117D"/>
    <w:rsid w:val="00EC1757"/>
    <w:rsid w:val="00EC1826"/>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F46"/>
    <w:rsid w:val="00EE3FF2"/>
    <w:rsid w:val="00EE40E8"/>
    <w:rsid w:val="00EE4244"/>
    <w:rsid w:val="00EE436A"/>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81"/>
    <w:rsid w:val="00EF50A7"/>
    <w:rsid w:val="00EF548D"/>
    <w:rsid w:val="00EF563A"/>
    <w:rsid w:val="00EF595E"/>
    <w:rsid w:val="00EF59DD"/>
    <w:rsid w:val="00EF6642"/>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B14"/>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956"/>
    <w:rsid w:val="00F17EFC"/>
    <w:rsid w:val="00F17F95"/>
    <w:rsid w:val="00F203E4"/>
    <w:rsid w:val="00F206A8"/>
    <w:rsid w:val="00F20C24"/>
    <w:rsid w:val="00F20CC7"/>
    <w:rsid w:val="00F20E0F"/>
    <w:rsid w:val="00F21152"/>
    <w:rsid w:val="00F213B6"/>
    <w:rsid w:val="00F21603"/>
    <w:rsid w:val="00F21A53"/>
    <w:rsid w:val="00F21DA8"/>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299"/>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587"/>
    <w:rsid w:val="00F4077A"/>
    <w:rsid w:val="00F40A14"/>
    <w:rsid w:val="00F40D04"/>
    <w:rsid w:val="00F40EC2"/>
    <w:rsid w:val="00F411C1"/>
    <w:rsid w:val="00F41246"/>
    <w:rsid w:val="00F413F3"/>
    <w:rsid w:val="00F41D13"/>
    <w:rsid w:val="00F41F8B"/>
    <w:rsid w:val="00F420B1"/>
    <w:rsid w:val="00F426D5"/>
    <w:rsid w:val="00F42B17"/>
    <w:rsid w:val="00F42B94"/>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7A7"/>
    <w:rsid w:val="00F53D42"/>
    <w:rsid w:val="00F5430F"/>
    <w:rsid w:val="00F54415"/>
    <w:rsid w:val="00F5492D"/>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812"/>
    <w:rsid w:val="00F63955"/>
    <w:rsid w:val="00F639A7"/>
    <w:rsid w:val="00F63ADC"/>
    <w:rsid w:val="00F63B1B"/>
    <w:rsid w:val="00F63C9C"/>
    <w:rsid w:val="00F64052"/>
    <w:rsid w:val="00F642AF"/>
    <w:rsid w:val="00F64340"/>
    <w:rsid w:val="00F64802"/>
    <w:rsid w:val="00F64B36"/>
    <w:rsid w:val="00F64B5C"/>
    <w:rsid w:val="00F65933"/>
    <w:rsid w:val="00F6608C"/>
    <w:rsid w:val="00F66213"/>
    <w:rsid w:val="00F66CC3"/>
    <w:rsid w:val="00F66F6E"/>
    <w:rsid w:val="00F67112"/>
    <w:rsid w:val="00F67394"/>
    <w:rsid w:val="00F67EC8"/>
    <w:rsid w:val="00F70412"/>
    <w:rsid w:val="00F70530"/>
    <w:rsid w:val="00F706C4"/>
    <w:rsid w:val="00F70B38"/>
    <w:rsid w:val="00F70CBB"/>
    <w:rsid w:val="00F710E6"/>
    <w:rsid w:val="00F717CF"/>
    <w:rsid w:val="00F71B13"/>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1F3C"/>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58BB"/>
    <w:rsid w:val="00FA59A4"/>
    <w:rsid w:val="00FA602F"/>
    <w:rsid w:val="00FA60C6"/>
    <w:rsid w:val="00FA66F6"/>
    <w:rsid w:val="00FA6D9D"/>
    <w:rsid w:val="00FA7046"/>
    <w:rsid w:val="00FA72F5"/>
    <w:rsid w:val="00FA7C80"/>
    <w:rsid w:val="00FB0309"/>
    <w:rsid w:val="00FB064A"/>
    <w:rsid w:val="00FB0683"/>
    <w:rsid w:val="00FB0DA7"/>
    <w:rsid w:val="00FB0DB7"/>
    <w:rsid w:val="00FB1AA9"/>
    <w:rsid w:val="00FB21AF"/>
    <w:rsid w:val="00FB2434"/>
    <w:rsid w:val="00FB2BCD"/>
    <w:rsid w:val="00FB33D8"/>
    <w:rsid w:val="00FB38CF"/>
    <w:rsid w:val="00FB3A5B"/>
    <w:rsid w:val="00FB3B6C"/>
    <w:rsid w:val="00FB45BE"/>
    <w:rsid w:val="00FB469A"/>
    <w:rsid w:val="00FB46F2"/>
    <w:rsid w:val="00FB47E0"/>
    <w:rsid w:val="00FB48AD"/>
    <w:rsid w:val="00FB4C07"/>
    <w:rsid w:val="00FB5000"/>
    <w:rsid w:val="00FB546B"/>
    <w:rsid w:val="00FB569A"/>
    <w:rsid w:val="00FB5991"/>
    <w:rsid w:val="00FB5C3B"/>
    <w:rsid w:val="00FB5EB2"/>
    <w:rsid w:val="00FB5F46"/>
    <w:rsid w:val="00FB62C6"/>
    <w:rsid w:val="00FB63BD"/>
    <w:rsid w:val="00FB645D"/>
    <w:rsid w:val="00FB6832"/>
    <w:rsid w:val="00FB6DA2"/>
    <w:rsid w:val="00FB73EC"/>
    <w:rsid w:val="00FB74C6"/>
    <w:rsid w:val="00FB7620"/>
    <w:rsid w:val="00FB792D"/>
    <w:rsid w:val="00FB7CC1"/>
    <w:rsid w:val="00FC00EA"/>
    <w:rsid w:val="00FC0E4D"/>
    <w:rsid w:val="00FC14F0"/>
    <w:rsid w:val="00FC1B42"/>
    <w:rsid w:val="00FC1C19"/>
    <w:rsid w:val="00FC1C75"/>
    <w:rsid w:val="00FC1EEB"/>
    <w:rsid w:val="00FC200F"/>
    <w:rsid w:val="00FC2B5E"/>
    <w:rsid w:val="00FC3190"/>
    <w:rsid w:val="00FC3364"/>
    <w:rsid w:val="00FC391C"/>
    <w:rsid w:val="00FC3B91"/>
    <w:rsid w:val="00FC40CF"/>
    <w:rsid w:val="00FC4387"/>
    <w:rsid w:val="00FC47F6"/>
    <w:rsid w:val="00FC49C9"/>
    <w:rsid w:val="00FC4A5D"/>
    <w:rsid w:val="00FC4EBC"/>
    <w:rsid w:val="00FC5214"/>
    <w:rsid w:val="00FC5806"/>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EA9"/>
    <w:rsid w:val="00FD401C"/>
    <w:rsid w:val="00FD4884"/>
    <w:rsid w:val="00FD58A7"/>
    <w:rsid w:val="00FD5BE3"/>
    <w:rsid w:val="00FD66EA"/>
    <w:rsid w:val="00FD6B4C"/>
    <w:rsid w:val="00FD6E75"/>
    <w:rsid w:val="00FD7466"/>
    <w:rsid w:val="00FD7BF6"/>
    <w:rsid w:val="00FE0222"/>
    <w:rsid w:val="00FE03B9"/>
    <w:rsid w:val="00FE09D4"/>
    <w:rsid w:val="00FE1768"/>
    <w:rsid w:val="00FE1E6C"/>
    <w:rsid w:val="00FE223E"/>
    <w:rsid w:val="00FE2B26"/>
    <w:rsid w:val="00FE3304"/>
    <w:rsid w:val="00FE3A76"/>
    <w:rsid w:val="00FE3DF9"/>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079C"/>
    <w:rsid w:val="00FF1370"/>
    <w:rsid w:val="00FF2599"/>
    <w:rsid w:val="00FF2952"/>
    <w:rsid w:val="00FF32A0"/>
    <w:rsid w:val="00FF354B"/>
    <w:rsid w:val="00FF3EAE"/>
    <w:rsid w:val="00FF440B"/>
    <w:rsid w:val="00FF458E"/>
    <w:rsid w:val="00FF4D0C"/>
    <w:rsid w:val="00FF541C"/>
    <w:rsid w:val="00FF5D98"/>
    <w:rsid w:val="00FF5F5B"/>
    <w:rsid w:val="00FF7167"/>
    <w:rsid w:val="00FF71DC"/>
    <w:rsid w:val="00FF765C"/>
    <w:rsid w:val="00FF76CE"/>
    <w:rsid w:val="00FF7CCC"/>
    <w:rsid w:val="012B4934"/>
    <w:rsid w:val="0177566F"/>
    <w:rsid w:val="017D0F49"/>
    <w:rsid w:val="01872593"/>
    <w:rsid w:val="018C519F"/>
    <w:rsid w:val="01A916C8"/>
    <w:rsid w:val="01AA5738"/>
    <w:rsid w:val="01AC5842"/>
    <w:rsid w:val="01D90B32"/>
    <w:rsid w:val="0207183D"/>
    <w:rsid w:val="020C7E79"/>
    <w:rsid w:val="0219075E"/>
    <w:rsid w:val="022D447A"/>
    <w:rsid w:val="024C2B81"/>
    <w:rsid w:val="0293255D"/>
    <w:rsid w:val="02BB40F0"/>
    <w:rsid w:val="02BC76F0"/>
    <w:rsid w:val="03217B69"/>
    <w:rsid w:val="03932B64"/>
    <w:rsid w:val="04134860"/>
    <w:rsid w:val="041F68EA"/>
    <w:rsid w:val="04375A75"/>
    <w:rsid w:val="043A7135"/>
    <w:rsid w:val="04BB27B8"/>
    <w:rsid w:val="04F76B05"/>
    <w:rsid w:val="04FA4B16"/>
    <w:rsid w:val="05BC1BF5"/>
    <w:rsid w:val="06081544"/>
    <w:rsid w:val="06175254"/>
    <w:rsid w:val="064E7C69"/>
    <w:rsid w:val="065E7B2D"/>
    <w:rsid w:val="0694642B"/>
    <w:rsid w:val="06C240AB"/>
    <w:rsid w:val="07153728"/>
    <w:rsid w:val="072B7F76"/>
    <w:rsid w:val="07F27D26"/>
    <w:rsid w:val="07FA03AB"/>
    <w:rsid w:val="08016BDF"/>
    <w:rsid w:val="0805647C"/>
    <w:rsid w:val="083B1F11"/>
    <w:rsid w:val="084E2671"/>
    <w:rsid w:val="085022F7"/>
    <w:rsid w:val="08502748"/>
    <w:rsid w:val="087F1449"/>
    <w:rsid w:val="0898078B"/>
    <w:rsid w:val="08AF79C5"/>
    <w:rsid w:val="09012C87"/>
    <w:rsid w:val="092553BD"/>
    <w:rsid w:val="093A02AE"/>
    <w:rsid w:val="098B21E0"/>
    <w:rsid w:val="09A93209"/>
    <w:rsid w:val="09C521F4"/>
    <w:rsid w:val="09CB12B1"/>
    <w:rsid w:val="09D45935"/>
    <w:rsid w:val="0A022ACD"/>
    <w:rsid w:val="0A463F1A"/>
    <w:rsid w:val="0A78127D"/>
    <w:rsid w:val="0A7F677B"/>
    <w:rsid w:val="0A960E3D"/>
    <w:rsid w:val="0ADB01B3"/>
    <w:rsid w:val="0AF50259"/>
    <w:rsid w:val="0B112BB9"/>
    <w:rsid w:val="0B1D3123"/>
    <w:rsid w:val="0B753148"/>
    <w:rsid w:val="0BEB1F0F"/>
    <w:rsid w:val="0BF91364"/>
    <w:rsid w:val="0C5C730B"/>
    <w:rsid w:val="0C637445"/>
    <w:rsid w:val="0C7D0536"/>
    <w:rsid w:val="0C821E5C"/>
    <w:rsid w:val="0CB21335"/>
    <w:rsid w:val="0CEB7F79"/>
    <w:rsid w:val="0D0D4754"/>
    <w:rsid w:val="0D4A3843"/>
    <w:rsid w:val="0D807D16"/>
    <w:rsid w:val="0D925ED9"/>
    <w:rsid w:val="0DAA6CC6"/>
    <w:rsid w:val="0DC93F14"/>
    <w:rsid w:val="0DD86D02"/>
    <w:rsid w:val="0DDC5E26"/>
    <w:rsid w:val="0E2449B2"/>
    <w:rsid w:val="0E364E11"/>
    <w:rsid w:val="0E611762"/>
    <w:rsid w:val="0EB775D4"/>
    <w:rsid w:val="0EE11B9F"/>
    <w:rsid w:val="0F040A6B"/>
    <w:rsid w:val="0F20786F"/>
    <w:rsid w:val="0F9475F4"/>
    <w:rsid w:val="101471EE"/>
    <w:rsid w:val="10B332B2"/>
    <w:rsid w:val="10B473CD"/>
    <w:rsid w:val="10CA1ADE"/>
    <w:rsid w:val="112934B3"/>
    <w:rsid w:val="1144273F"/>
    <w:rsid w:val="11714DB3"/>
    <w:rsid w:val="12527CEF"/>
    <w:rsid w:val="129B2904"/>
    <w:rsid w:val="131D56A4"/>
    <w:rsid w:val="13235B88"/>
    <w:rsid w:val="1360648C"/>
    <w:rsid w:val="136441CE"/>
    <w:rsid w:val="136A10B9"/>
    <w:rsid w:val="137B25C5"/>
    <w:rsid w:val="13B01D37"/>
    <w:rsid w:val="13B9011A"/>
    <w:rsid w:val="13FD1F2D"/>
    <w:rsid w:val="141F00F5"/>
    <w:rsid w:val="142255B2"/>
    <w:rsid w:val="1423472D"/>
    <w:rsid w:val="143811B7"/>
    <w:rsid w:val="1445392A"/>
    <w:rsid w:val="1454784A"/>
    <w:rsid w:val="145C2D78"/>
    <w:rsid w:val="145F42FA"/>
    <w:rsid w:val="14684D4E"/>
    <w:rsid w:val="148937C0"/>
    <w:rsid w:val="149438EE"/>
    <w:rsid w:val="149B3AB7"/>
    <w:rsid w:val="14B4083D"/>
    <w:rsid w:val="14C76DBB"/>
    <w:rsid w:val="14CF1C9F"/>
    <w:rsid w:val="151C4634"/>
    <w:rsid w:val="152D239E"/>
    <w:rsid w:val="15437E21"/>
    <w:rsid w:val="15B61B03"/>
    <w:rsid w:val="15D729D6"/>
    <w:rsid w:val="15E96C0C"/>
    <w:rsid w:val="16051C8B"/>
    <w:rsid w:val="16455397"/>
    <w:rsid w:val="16491459"/>
    <w:rsid w:val="165706ED"/>
    <w:rsid w:val="168117EF"/>
    <w:rsid w:val="169D3553"/>
    <w:rsid w:val="16BB66E7"/>
    <w:rsid w:val="16EC6084"/>
    <w:rsid w:val="16F617E3"/>
    <w:rsid w:val="172E793C"/>
    <w:rsid w:val="17481711"/>
    <w:rsid w:val="17687FCD"/>
    <w:rsid w:val="1773037A"/>
    <w:rsid w:val="17B8278D"/>
    <w:rsid w:val="17BB43A9"/>
    <w:rsid w:val="17D51FA8"/>
    <w:rsid w:val="18227555"/>
    <w:rsid w:val="182A3EA2"/>
    <w:rsid w:val="189F5C31"/>
    <w:rsid w:val="18F214C4"/>
    <w:rsid w:val="190A3122"/>
    <w:rsid w:val="190B50EC"/>
    <w:rsid w:val="1A002777"/>
    <w:rsid w:val="1A285EDB"/>
    <w:rsid w:val="1A607BD9"/>
    <w:rsid w:val="1AA90718"/>
    <w:rsid w:val="1AD22900"/>
    <w:rsid w:val="1AF44089"/>
    <w:rsid w:val="1B25732A"/>
    <w:rsid w:val="1B3204C1"/>
    <w:rsid w:val="1BFA3AFD"/>
    <w:rsid w:val="1C417613"/>
    <w:rsid w:val="1C890801"/>
    <w:rsid w:val="1CD72AA0"/>
    <w:rsid w:val="1D181F30"/>
    <w:rsid w:val="1D26520F"/>
    <w:rsid w:val="1D586A2F"/>
    <w:rsid w:val="1DEA1774"/>
    <w:rsid w:val="1DF102CC"/>
    <w:rsid w:val="1DF443A0"/>
    <w:rsid w:val="1DF83E22"/>
    <w:rsid w:val="1E634270"/>
    <w:rsid w:val="1E9506D9"/>
    <w:rsid w:val="1EA20402"/>
    <w:rsid w:val="1EB13262"/>
    <w:rsid w:val="1EC91389"/>
    <w:rsid w:val="1ED03B55"/>
    <w:rsid w:val="1ED2355D"/>
    <w:rsid w:val="1EE75CB3"/>
    <w:rsid w:val="1F0720F7"/>
    <w:rsid w:val="1F151CCC"/>
    <w:rsid w:val="1F1E074E"/>
    <w:rsid w:val="1F691F02"/>
    <w:rsid w:val="1F957324"/>
    <w:rsid w:val="1FE87F35"/>
    <w:rsid w:val="20294D50"/>
    <w:rsid w:val="203908B5"/>
    <w:rsid w:val="20420D7B"/>
    <w:rsid w:val="20D61B3B"/>
    <w:rsid w:val="20E51F26"/>
    <w:rsid w:val="20F326ED"/>
    <w:rsid w:val="20FE6D88"/>
    <w:rsid w:val="214E201A"/>
    <w:rsid w:val="21696C25"/>
    <w:rsid w:val="21980FC0"/>
    <w:rsid w:val="21B72CE6"/>
    <w:rsid w:val="21C1459A"/>
    <w:rsid w:val="21CD7F7D"/>
    <w:rsid w:val="21DE339D"/>
    <w:rsid w:val="22721F44"/>
    <w:rsid w:val="22934188"/>
    <w:rsid w:val="229B3A5D"/>
    <w:rsid w:val="22A00653"/>
    <w:rsid w:val="22AE0FC2"/>
    <w:rsid w:val="22BD1A7A"/>
    <w:rsid w:val="23076924"/>
    <w:rsid w:val="23545685"/>
    <w:rsid w:val="23A52912"/>
    <w:rsid w:val="23AB5363"/>
    <w:rsid w:val="23B1211E"/>
    <w:rsid w:val="23FF5E13"/>
    <w:rsid w:val="2409256C"/>
    <w:rsid w:val="24DB1E16"/>
    <w:rsid w:val="254264BD"/>
    <w:rsid w:val="25A676D1"/>
    <w:rsid w:val="25D46981"/>
    <w:rsid w:val="25DA3E7C"/>
    <w:rsid w:val="25E046CE"/>
    <w:rsid w:val="26012D7C"/>
    <w:rsid w:val="2624159B"/>
    <w:rsid w:val="262D0FFE"/>
    <w:rsid w:val="263C2EFB"/>
    <w:rsid w:val="263E08AF"/>
    <w:rsid w:val="264B2CBC"/>
    <w:rsid w:val="26636E14"/>
    <w:rsid w:val="269F5A5A"/>
    <w:rsid w:val="26B7240F"/>
    <w:rsid w:val="27160EE4"/>
    <w:rsid w:val="272A5BA0"/>
    <w:rsid w:val="27A6670B"/>
    <w:rsid w:val="27C43035"/>
    <w:rsid w:val="27C60B5C"/>
    <w:rsid w:val="28520641"/>
    <w:rsid w:val="289068AC"/>
    <w:rsid w:val="291122AA"/>
    <w:rsid w:val="2917171A"/>
    <w:rsid w:val="295668DD"/>
    <w:rsid w:val="29A502DB"/>
    <w:rsid w:val="29B26027"/>
    <w:rsid w:val="29CB58F0"/>
    <w:rsid w:val="29DA4F7C"/>
    <w:rsid w:val="2A222295"/>
    <w:rsid w:val="2A4915D0"/>
    <w:rsid w:val="2A53244F"/>
    <w:rsid w:val="2A811591"/>
    <w:rsid w:val="2AAD726D"/>
    <w:rsid w:val="2AFB4FC0"/>
    <w:rsid w:val="2B0379D1"/>
    <w:rsid w:val="2B230073"/>
    <w:rsid w:val="2B51698E"/>
    <w:rsid w:val="2B7F68C6"/>
    <w:rsid w:val="2B8B11C7"/>
    <w:rsid w:val="2BAC0068"/>
    <w:rsid w:val="2BE95EA3"/>
    <w:rsid w:val="2C533AD6"/>
    <w:rsid w:val="2C7C315D"/>
    <w:rsid w:val="2C8E59C0"/>
    <w:rsid w:val="2CEE693A"/>
    <w:rsid w:val="2D0421D7"/>
    <w:rsid w:val="2D4A1C07"/>
    <w:rsid w:val="2DA51213"/>
    <w:rsid w:val="2DB24169"/>
    <w:rsid w:val="2DC0289E"/>
    <w:rsid w:val="2E027B47"/>
    <w:rsid w:val="2E035C69"/>
    <w:rsid w:val="2E30087B"/>
    <w:rsid w:val="2E5F10DF"/>
    <w:rsid w:val="2E9F284E"/>
    <w:rsid w:val="2EA22BBB"/>
    <w:rsid w:val="2EBC6B49"/>
    <w:rsid w:val="2EDE48FE"/>
    <w:rsid w:val="2EE01B22"/>
    <w:rsid w:val="2EEB4360"/>
    <w:rsid w:val="2F0F0341"/>
    <w:rsid w:val="2F244552"/>
    <w:rsid w:val="2F2E4BD5"/>
    <w:rsid w:val="2F350375"/>
    <w:rsid w:val="2F3F0ED9"/>
    <w:rsid w:val="2F436F36"/>
    <w:rsid w:val="2F46011B"/>
    <w:rsid w:val="2F515F41"/>
    <w:rsid w:val="2F654E7A"/>
    <w:rsid w:val="2F8D4AFC"/>
    <w:rsid w:val="2FF2428A"/>
    <w:rsid w:val="301B1C7E"/>
    <w:rsid w:val="302307CC"/>
    <w:rsid w:val="30A86A28"/>
    <w:rsid w:val="30C47234"/>
    <w:rsid w:val="30C714A1"/>
    <w:rsid w:val="313174F1"/>
    <w:rsid w:val="314B47D6"/>
    <w:rsid w:val="31BA68BE"/>
    <w:rsid w:val="31EE28F9"/>
    <w:rsid w:val="31F830A6"/>
    <w:rsid w:val="321067E3"/>
    <w:rsid w:val="321D4C62"/>
    <w:rsid w:val="322F416D"/>
    <w:rsid w:val="32543CE4"/>
    <w:rsid w:val="32755658"/>
    <w:rsid w:val="327F49C4"/>
    <w:rsid w:val="32CF3471"/>
    <w:rsid w:val="33433F06"/>
    <w:rsid w:val="33820CE3"/>
    <w:rsid w:val="33865DBA"/>
    <w:rsid w:val="3394404A"/>
    <w:rsid w:val="33D6127C"/>
    <w:rsid w:val="33EE14A5"/>
    <w:rsid w:val="33FB2837"/>
    <w:rsid w:val="3406655E"/>
    <w:rsid w:val="341F4767"/>
    <w:rsid w:val="345A3E4C"/>
    <w:rsid w:val="345E4869"/>
    <w:rsid w:val="347B4A7C"/>
    <w:rsid w:val="34CB5AE2"/>
    <w:rsid w:val="34DF500B"/>
    <w:rsid w:val="35460218"/>
    <w:rsid w:val="35C44201"/>
    <w:rsid w:val="360734E9"/>
    <w:rsid w:val="36633A19"/>
    <w:rsid w:val="3667175C"/>
    <w:rsid w:val="36680B1B"/>
    <w:rsid w:val="36716136"/>
    <w:rsid w:val="3682770B"/>
    <w:rsid w:val="368E1FC7"/>
    <w:rsid w:val="36953CEB"/>
    <w:rsid w:val="36E342ED"/>
    <w:rsid w:val="36F301FB"/>
    <w:rsid w:val="36FA5E45"/>
    <w:rsid w:val="37357164"/>
    <w:rsid w:val="375D37CD"/>
    <w:rsid w:val="3774310E"/>
    <w:rsid w:val="378254C0"/>
    <w:rsid w:val="3791758D"/>
    <w:rsid w:val="379540A7"/>
    <w:rsid w:val="379A753B"/>
    <w:rsid w:val="37C91FA2"/>
    <w:rsid w:val="37CA01F4"/>
    <w:rsid w:val="37F7266B"/>
    <w:rsid w:val="384446AF"/>
    <w:rsid w:val="388A1EF2"/>
    <w:rsid w:val="38CD6FFB"/>
    <w:rsid w:val="39101764"/>
    <w:rsid w:val="391928EE"/>
    <w:rsid w:val="392007DF"/>
    <w:rsid w:val="39386E94"/>
    <w:rsid w:val="39A161DB"/>
    <w:rsid w:val="39BD0CE7"/>
    <w:rsid w:val="3A157721"/>
    <w:rsid w:val="3AAE4657"/>
    <w:rsid w:val="3AD76784"/>
    <w:rsid w:val="3AEA295B"/>
    <w:rsid w:val="3B5878C5"/>
    <w:rsid w:val="3BB31535"/>
    <w:rsid w:val="3BF53366"/>
    <w:rsid w:val="3BF63E7B"/>
    <w:rsid w:val="3C2E5A2F"/>
    <w:rsid w:val="3C383577"/>
    <w:rsid w:val="3CC1149A"/>
    <w:rsid w:val="3CC6259C"/>
    <w:rsid w:val="3CF3658A"/>
    <w:rsid w:val="3D2A70B8"/>
    <w:rsid w:val="3D3D0845"/>
    <w:rsid w:val="3D7B3D3F"/>
    <w:rsid w:val="3D960B78"/>
    <w:rsid w:val="3E5B76CA"/>
    <w:rsid w:val="3E6E73FF"/>
    <w:rsid w:val="3E7902E3"/>
    <w:rsid w:val="3E7A310C"/>
    <w:rsid w:val="3E880786"/>
    <w:rsid w:val="3EBA2645"/>
    <w:rsid w:val="3EEC6C46"/>
    <w:rsid w:val="3EF142B8"/>
    <w:rsid w:val="3EFD0EAF"/>
    <w:rsid w:val="3F4F484B"/>
    <w:rsid w:val="3F694021"/>
    <w:rsid w:val="3F962D72"/>
    <w:rsid w:val="40810B30"/>
    <w:rsid w:val="40C12EC9"/>
    <w:rsid w:val="40D54E75"/>
    <w:rsid w:val="414F52C6"/>
    <w:rsid w:val="41774AD7"/>
    <w:rsid w:val="417816C8"/>
    <w:rsid w:val="419F7B2C"/>
    <w:rsid w:val="41B415CD"/>
    <w:rsid w:val="41B6005B"/>
    <w:rsid w:val="41C54735"/>
    <w:rsid w:val="41CE268F"/>
    <w:rsid w:val="41F53275"/>
    <w:rsid w:val="422F7E7D"/>
    <w:rsid w:val="42567107"/>
    <w:rsid w:val="426478A4"/>
    <w:rsid w:val="42892509"/>
    <w:rsid w:val="428E5B40"/>
    <w:rsid w:val="42BA6C89"/>
    <w:rsid w:val="42BD407C"/>
    <w:rsid w:val="431C6D74"/>
    <w:rsid w:val="433168CD"/>
    <w:rsid w:val="434A4E91"/>
    <w:rsid w:val="43503E94"/>
    <w:rsid w:val="43587251"/>
    <w:rsid w:val="4366330F"/>
    <w:rsid w:val="43B4164A"/>
    <w:rsid w:val="441237E9"/>
    <w:rsid w:val="442753A4"/>
    <w:rsid w:val="44797C8E"/>
    <w:rsid w:val="44C4124B"/>
    <w:rsid w:val="44C4421D"/>
    <w:rsid w:val="45062140"/>
    <w:rsid w:val="452D1DC2"/>
    <w:rsid w:val="453066F8"/>
    <w:rsid w:val="45B820A8"/>
    <w:rsid w:val="45B846D6"/>
    <w:rsid w:val="45C06792"/>
    <w:rsid w:val="46153290"/>
    <w:rsid w:val="471921CB"/>
    <w:rsid w:val="471A1ED2"/>
    <w:rsid w:val="47942F42"/>
    <w:rsid w:val="47AF0168"/>
    <w:rsid w:val="48001110"/>
    <w:rsid w:val="4802743A"/>
    <w:rsid w:val="48086251"/>
    <w:rsid w:val="487831A9"/>
    <w:rsid w:val="48D840E9"/>
    <w:rsid w:val="48E342B4"/>
    <w:rsid w:val="49641B2B"/>
    <w:rsid w:val="49C1176A"/>
    <w:rsid w:val="49CC675A"/>
    <w:rsid w:val="49EF6D97"/>
    <w:rsid w:val="4A3459A1"/>
    <w:rsid w:val="4A5F12F3"/>
    <w:rsid w:val="4A781281"/>
    <w:rsid w:val="4AC47B0F"/>
    <w:rsid w:val="4AE825C4"/>
    <w:rsid w:val="4B1E14B4"/>
    <w:rsid w:val="4B212EA0"/>
    <w:rsid w:val="4B283D38"/>
    <w:rsid w:val="4B340D33"/>
    <w:rsid w:val="4B80560F"/>
    <w:rsid w:val="4C0D0258"/>
    <w:rsid w:val="4C4A14AC"/>
    <w:rsid w:val="4C82269A"/>
    <w:rsid w:val="4CB1167B"/>
    <w:rsid w:val="4CCA7A5A"/>
    <w:rsid w:val="4D5725AA"/>
    <w:rsid w:val="4DAB6C05"/>
    <w:rsid w:val="4DC6332B"/>
    <w:rsid w:val="4DF1707F"/>
    <w:rsid w:val="4E145863"/>
    <w:rsid w:val="4E3E294A"/>
    <w:rsid w:val="4E4A6E4B"/>
    <w:rsid w:val="4E643CA3"/>
    <w:rsid w:val="4ED11A10"/>
    <w:rsid w:val="4EEC4911"/>
    <w:rsid w:val="4F0D5E03"/>
    <w:rsid w:val="4F2C4E99"/>
    <w:rsid w:val="4F2D6487"/>
    <w:rsid w:val="4F3C778B"/>
    <w:rsid w:val="4F6D1E33"/>
    <w:rsid w:val="4F846A83"/>
    <w:rsid w:val="4FBB7FCB"/>
    <w:rsid w:val="503114CC"/>
    <w:rsid w:val="50946C0C"/>
    <w:rsid w:val="50A12196"/>
    <w:rsid w:val="50B04A39"/>
    <w:rsid w:val="50C3182D"/>
    <w:rsid w:val="50CC29F7"/>
    <w:rsid w:val="51266A33"/>
    <w:rsid w:val="51310276"/>
    <w:rsid w:val="51967D25"/>
    <w:rsid w:val="51DC0DF8"/>
    <w:rsid w:val="51DE0460"/>
    <w:rsid w:val="524349D3"/>
    <w:rsid w:val="527936FD"/>
    <w:rsid w:val="52817C6A"/>
    <w:rsid w:val="52AB1D72"/>
    <w:rsid w:val="52E64F13"/>
    <w:rsid w:val="534529CD"/>
    <w:rsid w:val="538E1C7E"/>
    <w:rsid w:val="53B76ABF"/>
    <w:rsid w:val="53E002BE"/>
    <w:rsid w:val="54A244B8"/>
    <w:rsid w:val="54D33514"/>
    <w:rsid w:val="54D67D81"/>
    <w:rsid w:val="55296885"/>
    <w:rsid w:val="552B787B"/>
    <w:rsid w:val="554250E6"/>
    <w:rsid w:val="556D1D67"/>
    <w:rsid w:val="561609F8"/>
    <w:rsid w:val="563332FB"/>
    <w:rsid w:val="56475603"/>
    <w:rsid w:val="568A7189"/>
    <w:rsid w:val="568E6439"/>
    <w:rsid w:val="56A24270"/>
    <w:rsid w:val="56A95021"/>
    <w:rsid w:val="56B12842"/>
    <w:rsid w:val="56CE31FA"/>
    <w:rsid w:val="56FB4D5D"/>
    <w:rsid w:val="57023DBA"/>
    <w:rsid w:val="5794182D"/>
    <w:rsid w:val="57C51ED2"/>
    <w:rsid w:val="58067E66"/>
    <w:rsid w:val="58381A4A"/>
    <w:rsid w:val="584677F5"/>
    <w:rsid w:val="58957EFA"/>
    <w:rsid w:val="58A07842"/>
    <w:rsid w:val="58A837E2"/>
    <w:rsid w:val="59262CB9"/>
    <w:rsid w:val="593C517F"/>
    <w:rsid w:val="593E645F"/>
    <w:rsid w:val="59C4146C"/>
    <w:rsid w:val="59E64526"/>
    <w:rsid w:val="5A1811C4"/>
    <w:rsid w:val="5A6050CD"/>
    <w:rsid w:val="5A8C64AC"/>
    <w:rsid w:val="5AAF5B5F"/>
    <w:rsid w:val="5B300D9E"/>
    <w:rsid w:val="5B3361D7"/>
    <w:rsid w:val="5B786DD0"/>
    <w:rsid w:val="5B7E7C0D"/>
    <w:rsid w:val="5C2B76EA"/>
    <w:rsid w:val="5C311D40"/>
    <w:rsid w:val="5C454553"/>
    <w:rsid w:val="5C57704E"/>
    <w:rsid w:val="5C8A1451"/>
    <w:rsid w:val="5C9F0ED9"/>
    <w:rsid w:val="5CB515B7"/>
    <w:rsid w:val="5D184CAE"/>
    <w:rsid w:val="5D303270"/>
    <w:rsid w:val="5D380EAD"/>
    <w:rsid w:val="5D706898"/>
    <w:rsid w:val="5D7F6B77"/>
    <w:rsid w:val="5DAD189A"/>
    <w:rsid w:val="5DB97434"/>
    <w:rsid w:val="5E08087F"/>
    <w:rsid w:val="5E4044BD"/>
    <w:rsid w:val="5EA3085B"/>
    <w:rsid w:val="5EC00164"/>
    <w:rsid w:val="5F13397F"/>
    <w:rsid w:val="5F40386B"/>
    <w:rsid w:val="5F5C78BE"/>
    <w:rsid w:val="5FA2671A"/>
    <w:rsid w:val="5FD362BC"/>
    <w:rsid w:val="5FE05D7C"/>
    <w:rsid w:val="5FFC418C"/>
    <w:rsid w:val="602816C5"/>
    <w:rsid w:val="602A71D2"/>
    <w:rsid w:val="603475D9"/>
    <w:rsid w:val="60680A3A"/>
    <w:rsid w:val="60CE6000"/>
    <w:rsid w:val="61377DF9"/>
    <w:rsid w:val="61BC62DB"/>
    <w:rsid w:val="61DA1F93"/>
    <w:rsid w:val="61E15D5B"/>
    <w:rsid w:val="61F16ABA"/>
    <w:rsid w:val="62A807E7"/>
    <w:rsid w:val="62BA2B36"/>
    <w:rsid w:val="63360671"/>
    <w:rsid w:val="633A750F"/>
    <w:rsid w:val="633F4D43"/>
    <w:rsid w:val="636458A9"/>
    <w:rsid w:val="637C1992"/>
    <w:rsid w:val="6381535B"/>
    <w:rsid w:val="638D6B5E"/>
    <w:rsid w:val="638E5604"/>
    <w:rsid w:val="63A80C54"/>
    <w:rsid w:val="63EE12EA"/>
    <w:rsid w:val="63F26259"/>
    <w:rsid w:val="64540CC2"/>
    <w:rsid w:val="647B3F47"/>
    <w:rsid w:val="64A025F7"/>
    <w:rsid w:val="64AF37A1"/>
    <w:rsid w:val="64F97173"/>
    <w:rsid w:val="65206DF6"/>
    <w:rsid w:val="65335594"/>
    <w:rsid w:val="65842AFA"/>
    <w:rsid w:val="65EF654B"/>
    <w:rsid w:val="66061B48"/>
    <w:rsid w:val="66246CA2"/>
    <w:rsid w:val="66491460"/>
    <w:rsid w:val="66707909"/>
    <w:rsid w:val="668B6D3A"/>
    <w:rsid w:val="66A650D9"/>
    <w:rsid w:val="67246C2F"/>
    <w:rsid w:val="673C3F7F"/>
    <w:rsid w:val="674011E8"/>
    <w:rsid w:val="680A6342"/>
    <w:rsid w:val="68213F33"/>
    <w:rsid w:val="685C6397"/>
    <w:rsid w:val="68DD3D60"/>
    <w:rsid w:val="68E00931"/>
    <w:rsid w:val="693F3F9C"/>
    <w:rsid w:val="69C32171"/>
    <w:rsid w:val="69D83E8A"/>
    <w:rsid w:val="69DD7064"/>
    <w:rsid w:val="69F55085"/>
    <w:rsid w:val="6A22716C"/>
    <w:rsid w:val="6A2D4008"/>
    <w:rsid w:val="6A415844"/>
    <w:rsid w:val="6A952428"/>
    <w:rsid w:val="6A9B71F6"/>
    <w:rsid w:val="6AC4132D"/>
    <w:rsid w:val="6B234F4A"/>
    <w:rsid w:val="6B48225A"/>
    <w:rsid w:val="6B500C85"/>
    <w:rsid w:val="6B5C220A"/>
    <w:rsid w:val="6B9A330C"/>
    <w:rsid w:val="6BC27ED8"/>
    <w:rsid w:val="6BCA7CD8"/>
    <w:rsid w:val="6BD43675"/>
    <w:rsid w:val="6BFD579B"/>
    <w:rsid w:val="6C3D203B"/>
    <w:rsid w:val="6C437C07"/>
    <w:rsid w:val="6D1E5C16"/>
    <w:rsid w:val="6D627943"/>
    <w:rsid w:val="6D740FA3"/>
    <w:rsid w:val="6D981C15"/>
    <w:rsid w:val="6D997745"/>
    <w:rsid w:val="6DAC1227"/>
    <w:rsid w:val="6E276A6B"/>
    <w:rsid w:val="6E5974AE"/>
    <w:rsid w:val="6E7C32EF"/>
    <w:rsid w:val="6E8842D7"/>
    <w:rsid w:val="6EFC2F45"/>
    <w:rsid w:val="6F244C95"/>
    <w:rsid w:val="6F4F630E"/>
    <w:rsid w:val="6F6E2C8D"/>
    <w:rsid w:val="6F9D0E44"/>
    <w:rsid w:val="6FA7548E"/>
    <w:rsid w:val="6FE0776D"/>
    <w:rsid w:val="6FEA24DA"/>
    <w:rsid w:val="70025A76"/>
    <w:rsid w:val="701D01BA"/>
    <w:rsid w:val="705160B5"/>
    <w:rsid w:val="70670D22"/>
    <w:rsid w:val="707029DF"/>
    <w:rsid w:val="70BB20F0"/>
    <w:rsid w:val="713E5BD6"/>
    <w:rsid w:val="71830048"/>
    <w:rsid w:val="71AB132F"/>
    <w:rsid w:val="71C94662"/>
    <w:rsid w:val="71D203B5"/>
    <w:rsid w:val="71D87170"/>
    <w:rsid w:val="727D5888"/>
    <w:rsid w:val="72C03F6E"/>
    <w:rsid w:val="72E871A5"/>
    <w:rsid w:val="73A11102"/>
    <w:rsid w:val="74000587"/>
    <w:rsid w:val="74666FB8"/>
    <w:rsid w:val="74ED424A"/>
    <w:rsid w:val="75492BA3"/>
    <w:rsid w:val="75693EA1"/>
    <w:rsid w:val="75882C90"/>
    <w:rsid w:val="75994786"/>
    <w:rsid w:val="7658624E"/>
    <w:rsid w:val="76D21950"/>
    <w:rsid w:val="76D812DE"/>
    <w:rsid w:val="76F05EC1"/>
    <w:rsid w:val="76F105F2"/>
    <w:rsid w:val="770E6AAE"/>
    <w:rsid w:val="773A78A3"/>
    <w:rsid w:val="77610835"/>
    <w:rsid w:val="77626DFA"/>
    <w:rsid w:val="77E4568D"/>
    <w:rsid w:val="77F536D1"/>
    <w:rsid w:val="782E5309"/>
    <w:rsid w:val="784570FD"/>
    <w:rsid w:val="787A42F8"/>
    <w:rsid w:val="789217EF"/>
    <w:rsid w:val="789E1D22"/>
    <w:rsid w:val="78F77D47"/>
    <w:rsid w:val="79206F6D"/>
    <w:rsid w:val="79314CD6"/>
    <w:rsid w:val="79766B8D"/>
    <w:rsid w:val="7978491F"/>
    <w:rsid w:val="79931214"/>
    <w:rsid w:val="79B21C44"/>
    <w:rsid w:val="79B556C2"/>
    <w:rsid w:val="79E7016D"/>
    <w:rsid w:val="7A00297D"/>
    <w:rsid w:val="7A140880"/>
    <w:rsid w:val="7A334063"/>
    <w:rsid w:val="7AE65FB7"/>
    <w:rsid w:val="7AF846E1"/>
    <w:rsid w:val="7B26006D"/>
    <w:rsid w:val="7B5F1E39"/>
    <w:rsid w:val="7B8A54C1"/>
    <w:rsid w:val="7B9F47D4"/>
    <w:rsid w:val="7BB67714"/>
    <w:rsid w:val="7C0A6B46"/>
    <w:rsid w:val="7C0B7A60"/>
    <w:rsid w:val="7C325843"/>
    <w:rsid w:val="7C325B7E"/>
    <w:rsid w:val="7C6D751D"/>
    <w:rsid w:val="7C7D7D58"/>
    <w:rsid w:val="7CA62242"/>
    <w:rsid w:val="7CC876FF"/>
    <w:rsid w:val="7CDD6540"/>
    <w:rsid w:val="7D5736AD"/>
    <w:rsid w:val="7D5A4E5D"/>
    <w:rsid w:val="7D823D49"/>
    <w:rsid w:val="7D853013"/>
    <w:rsid w:val="7DAF2179"/>
    <w:rsid w:val="7E7C5D93"/>
    <w:rsid w:val="7E877E1C"/>
    <w:rsid w:val="7ECF746B"/>
    <w:rsid w:val="7F517BDB"/>
    <w:rsid w:val="7F9162E5"/>
    <w:rsid w:val="7FBF55F9"/>
    <w:rsid w:val="7FE863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qFormat="1" w:unhideWhenUsed="0" w:uiPriority="99" w:semiHidden="0"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paragraph" w:styleId="2">
    <w:name w:val="heading 1"/>
    <w:basedOn w:val="1"/>
    <w:next w:val="1"/>
    <w:link w:val="338"/>
    <w:qFormat/>
    <w:uiPriority w:val="99"/>
    <w:pPr>
      <w:keepNext/>
      <w:keepLines/>
      <w:spacing w:line="360" w:lineRule="auto"/>
      <w:outlineLvl w:val="0"/>
    </w:pPr>
    <w:rPr>
      <w:rFonts w:ascii="Times New Roman" w:eastAsia="黑体" w:cs="Times New Roman"/>
      <w:b/>
      <w:bCs/>
      <w:kern w:val="44"/>
      <w:sz w:val="32"/>
      <w:szCs w:val="44"/>
    </w:rPr>
  </w:style>
  <w:style w:type="paragraph" w:styleId="3">
    <w:name w:val="heading 2"/>
    <w:basedOn w:val="1"/>
    <w:next w:val="1"/>
    <w:link w:val="339"/>
    <w:qFormat/>
    <w:uiPriority w:val="99"/>
    <w:pPr>
      <w:keepNext/>
      <w:keepLines/>
      <w:spacing w:line="360" w:lineRule="auto"/>
      <w:jc w:val="center"/>
      <w:outlineLvl w:val="1"/>
    </w:pPr>
    <w:rPr>
      <w:rFonts w:ascii="Arial" w:hAnsi="Arial" w:cs="Times New Roman"/>
      <w:b/>
      <w:bCs/>
      <w:sz w:val="24"/>
      <w:szCs w:val="32"/>
    </w:rPr>
  </w:style>
  <w:style w:type="paragraph" w:styleId="4">
    <w:name w:val="heading 3"/>
    <w:basedOn w:val="1"/>
    <w:next w:val="1"/>
    <w:link w:val="340"/>
    <w:qFormat/>
    <w:uiPriority w:val="99"/>
    <w:pPr>
      <w:keepNext/>
      <w:keepLines/>
      <w:spacing w:line="360" w:lineRule="auto"/>
      <w:outlineLvl w:val="2"/>
    </w:pPr>
    <w:rPr>
      <w:rFonts w:ascii="Times New Roman" w:eastAsia="黑体" w:cs="Times New Roman"/>
      <w:b/>
      <w:bCs/>
      <w:kern w:val="2"/>
      <w:szCs w:val="32"/>
    </w:rPr>
  </w:style>
  <w:style w:type="paragraph" w:styleId="5">
    <w:name w:val="heading 4"/>
    <w:basedOn w:val="1"/>
    <w:next w:val="1"/>
    <w:link w:val="336"/>
    <w:qFormat/>
    <w:uiPriority w:val="99"/>
    <w:pPr>
      <w:keepNext/>
      <w:keepLines/>
      <w:spacing w:line="360" w:lineRule="auto"/>
      <w:outlineLvl w:val="3"/>
    </w:pPr>
    <w:rPr>
      <w:rFonts w:ascii="Arial" w:hAnsi="Arial" w:cs="Times New Roman"/>
      <w:b/>
      <w:bCs/>
      <w:kern w:val="2"/>
      <w:szCs w:val="28"/>
    </w:rPr>
  </w:style>
  <w:style w:type="paragraph" w:styleId="6">
    <w:name w:val="heading 5"/>
    <w:basedOn w:val="1"/>
    <w:next w:val="1"/>
    <w:link w:val="341"/>
    <w:qFormat/>
    <w:uiPriority w:val="99"/>
    <w:pPr>
      <w:keepNext/>
      <w:keepLines/>
      <w:spacing w:before="280" w:after="290" w:line="376" w:lineRule="auto"/>
      <w:outlineLvl w:val="4"/>
    </w:pPr>
    <w:rPr>
      <w:rFonts w:ascii="Times New Roman" w:cs="Times New Roman"/>
      <w:b/>
      <w:bCs/>
      <w:kern w:val="2"/>
      <w:sz w:val="28"/>
      <w:szCs w:val="28"/>
    </w:rPr>
  </w:style>
  <w:style w:type="paragraph" w:styleId="7">
    <w:name w:val="heading 6"/>
    <w:basedOn w:val="1"/>
    <w:next w:val="1"/>
    <w:link w:val="70"/>
    <w:qFormat/>
    <w:uiPriority w:val="99"/>
    <w:pPr>
      <w:keepNext/>
      <w:keepLines/>
      <w:spacing w:before="240" w:after="64" w:line="317" w:lineRule="auto"/>
      <w:outlineLvl w:val="5"/>
    </w:pPr>
    <w:rPr>
      <w:rFonts w:ascii="Cambria" w:hAnsi="Cambria" w:cs="Times New Roman"/>
      <w:b/>
      <w:bCs/>
      <w:kern w:val="2"/>
      <w:sz w:val="24"/>
      <w:szCs w:val="24"/>
    </w:rPr>
  </w:style>
  <w:style w:type="paragraph" w:styleId="8">
    <w:name w:val="heading 7"/>
    <w:basedOn w:val="1"/>
    <w:next w:val="1"/>
    <w:link w:val="71"/>
    <w:qFormat/>
    <w:uiPriority w:val="99"/>
    <w:pPr>
      <w:keepNext/>
      <w:keepLines/>
      <w:spacing w:before="240" w:after="64" w:line="317" w:lineRule="auto"/>
      <w:outlineLvl w:val="6"/>
    </w:pPr>
    <w:rPr>
      <w:rFonts w:ascii="Times New Roman" w:cs="Times New Roman"/>
      <w:b/>
      <w:bCs/>
      <w:kern w:val="2"/>
      <w:sz w:val="24"/>
      <w:szCs w:val="24"/>
    </w:rPr>
  </w:style>
  <w:style w:type="paragraph" w:styleId="9">
    <w:name w:val="heading 8"/>
    <w:basedOn w:val="1"/>
    <w:next w:val="1"/>
    <w:link w:val="72"/>
    <w:qFormat/>
    <w:uiPriority w:val="99"/>
    <w:pPr>
      <w:keepNext/>
      <w:keepLines/>
      <w:spacing w:before="240" w:after="64" w:line="317" w:lineRule="auto"/>
      <w:outlineLvl w:val="7"/>
    </w:pPr>
    <w:rPr>
      <w:rFonts w:ascii="Cambria" w:hAnsi="Cambria" w:cs="Times New Roman"/>
      <w:kern w:val="2"/>
      <w:sz w:val="24"/>
      <w:szCs w:val="24"/>
    </w:rPr>
  </w:style>
  <w:style w:type="paragraph" w:styleId="10">
    <w:name w:val="heading 9"/>
    <w:basedOn w:val="1"/>
    <w:next w:val="1"/>
    <w:link w:val="73"/>
    <w:qFormat/>
    <w:uiPriority w:val="99"/>
    <w:pPr>
      <w:keepNext/>
      <w:keepLines/>
      <w:spacing w:before="240" w:after="64" w:line="317" w:lineRule="auto"/>
      <w:outlineLvl w:val="8"/>
    </w:pPr>
    <w:rPr>
      <w:rFonts w:ascii="Cambria" w:hAnsi="Cambria" w:cs="Times New Roman"/>
      <w:kern w:val="2"/>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Calibri" w:hAnsi="Calibri"/>
      <w:sz w:val="18"/>
      <w:szCs w:val="18"/>
    </w:rPr>
  </w:style>
  <w:style w:type="paragraph" w:styleId="12">
    <w:name w:val="index 8"/>
    <w:basedOn w:val="1"/>
    <w:next w:val="1"/>
    <w:qFormat/>
    <w:locked/>
    <w:uiPriority w:val="99"/>
    <w:pPr>
      <w:ind w:left="1400" w:leftChars="1400"/>
    </w:pPr>
  </w:style>
  <w:style w:type="paragraph" w:styleId="13">
    <w:name w:val="Normal Indent"/>
    <w:basedOn w:val="1"/>
    <w:link w:val="270"/>
    <w:qFormat/>
    <w:uiPriority w:val="0"/>
    <w:pPr>
      <w:widowControl/>
      <w:ind w:firstLine="420"/>
      <w:jc w:val="left"/>
    </w:pPr>
    <w:rPr>
      <w:rFonts w:ascii="Times New Roman" w:cs="Times New Roman"/>
      <w:sz w:val="20"/>
      <w:szCs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57"/>
    <w:qFormat/>
    <w:uiPriority w:val="99"/>
    <w:pPr>
      <w:shd w:val="clear" w:color="auto" w:fill="000080"/>
    </w:pPr>
    <w:rPr>
      <w:rFonts w:ascii="Times New Roman" w:cs="Times New Roman"/>
      <w:kern w:val="2"/>
      <w:szCs w:val="24"/>
      <w:shd w:val="clear" w:color="auto" w:fill="000080"/>
    </w:rPr>
  </w:style>
  <w:style w:type="paragraph" w:styleId="16">
    <w:name w:val="toa heading"/>
    <w:basedOn w:val="1"/>
    <w:next w:val="1"/>
    <w:qFormat/>
    <w:uiPriority w:val="99"/>
    <w:pPr>
      <w:spacing w:before="120"/>
    </w:pPr>
    <w:rPr>
      <w:rFonts w:ascii="Arial" w:hAnsi="Arial" w:cs="Times New Roman"/>
      <w:b/>
      <w:kern w:val="2"/>
      <w:szCs w:val="20"/>
    </w:rPr>
  </w:style>
  <w:style w:type="paragraph" w:styleId="17">
    <w:name w:val="annotation text"/>
    <w:basedOn w:val="1"/>
    <w:link w:val="150"/>
    <w:qFormat/>
    <w:uiPriority w:val="99"/>
    <w:pPr>
      <w:jc w:val="left"/>
    </w:pPr>
    <w:rPr>
      <w:rFonts w:ascii="Times New Roman" w:cs="Times New Roman"/>
      <w:kern w:val="2"/>
      <w:szCs w:val="24"/>
    </w:rPr>
  </w:style>
  <w:style w:type="paragraph" w:styleId="18">
    <w:name w:val="Body Text 3"/>
    <w:basedOn w:val="1"/>
    <w:link w:val="77"/>
    <w:qFormat/>
    <w:uiPriority w:val="99"/>
    <w:pPr>
      <w:spacing w:after="120"/>
    </w:pPr>
    <w:rPr>
      <w:rFonts w:hAnsi="Courier New" w:cs="Times New Roman"/>
      <w:kern w:val="2"/>
      <w:sz w:val="16"/>
      <w:szCs w:val="16"/>
    </w:rPr>
  </w:style>
  <w:style w:type="paragraph" w:styleId="19">
    <w:name w:val="Body Text"/>
    <w:basedOn w:val="1"/>
    <w:link w:val="74"/>
    <w:qFormat/>
    <w:uiPriority w:val="99"/>
    <w:pPr>
      <w:adjustRightInd w:val="0"/>
      <w:spacing w:after="60" w:line="360" w:lineRule="atLeast"/>
      <w:ind w:left="63" w:leftChars="30" w:right="63" w:rightChars="30"/>
      <w:jc w:val="left"/>
      <w:textAlignment w:val="baseline"/>
    </w:pPr>
    <w:rPr>
      <w:rFonts w:ascii="Times New Roman" w:cs="Times New Roman"/>
      <w:kern w:val="2"/>
      <w:szCs w:val="22"/>
    </w:rPr>
  </w:style>
  <w:style w:type="paragraph" w:styleId="20">
    <w:name w:val="Body Text Indent"/>
    <w:basedOn w:val="1"/>
    <w:link w:val="181"/>
    <w:qFormat/>
    <w:uiPriority w:val="99"/>
    <w:pPr>
      <w:spacing w:before="240" w:line="360" w:lineRule="auto"/>
      <w:ind w:firstLine="552" w:firstLineChars="263"/>
    </w:pPr>
    <w:rPr>
      <w:rFonts w:hAnsi="宋体" w:cs="Times New Roman"/>
      <w:kern w:val="2"/>
      <w:szCs w:val="20"/>
    </w:rPr>
  </w:style>
  <w:style w:type="paragraph" w:styleId="21">
    <w:name w:val="Block Text"/>
    <w:basedOn w:val="1"/>
    <w:qFormat/>
    <w:uiPriority w:val="99"/>
    <w:pPr>
      <w:ind w:left="113" w:right="113"/>
      <w:jc w:val="center"/>
    </w:pPr>
    <w:rPr>
      <w:rFonts w:ascii="Times New Roman" w:cs="Times New Roman"/>
      <w:kern w:val="2"/>
      <w:sz w:val="44"/>
      <w:szCs w:val="24"/>
    </w:rPr>
  </w:style>
  <w:style w:type="paragraph" w:styleId="22">
    <w:name w:val="index 4"/>
    <w:basedOn w:val="1"/>
    <w:next w:val="1"/>
    <w:qFormat/>
    <w:uiPriority w:val="99"/>
    <w:pPr>
      <w:ind w:left="600" w:leftChars="600"/>
    </w:pPr>
  </w:style>
  <w:style w:type="paragraph" w:styleId="23">
    <w:name w:val="toc 5"/>
    <w:basedOn w:val="1"/>
    <w:next w:val="1"/>
    <w:qFormat/>
    <w:uiPriority w:val="99"/>
    <w:pPr>
      <w:ind w:left="840"/>
      <w:jc w:val="left"/>
    </w:pPr>
    <w:rPr>
      <w:rFonts w:ascii="Calibri" w:hAnsi="Calibri"/>
      <w:sz w:val="18"/>
      <w:szCs w:val="18"/>
    </w:rPr>
  </w:style>
  <w:style w:type="paragraph" w:styleId="24">
    <w:name w:val="toc 3"/>
    <w:basedOn w:val="1"/>
    <w:next w:val="1"/>
    <w:qFormat/>
    <w:uiPriority w:val="99"/>
    <w:pPr>
      <w:ind w:left="420"/>
      <w:jc w:val="left"/>
    </w:pPr>
    <w:rPr>
      <w:rFonts w:ascii="Calibri" w:hAnsi="Calibri"/>
      <w:i/>
      <w:iCs/>
      <w:sz w:val="20"/>
      <w:szCs w:val="20"/>
    </w:rPr>
  </w:style>
  <w:style w:type="paragraph" w:styleId="25">
    <w:name w:val="Plain Text"/>
    <w:basedOn w:val="1"/>
    <w:link w:val="375"/>
    <w:qFormat/>
    <w:uiPriority w:val="0"/>
    <w:rPr>
      <w:rFonts w:hAnsi="Courier New" w:cs="Times New Roman"/>
      <w:kern w:val="2"/>
      <w:szCs w:val="24"/>
    </w:rPr>
  </w:style>
  <w:style w:type="paragraph" w:styleId="26">
    <w:name w:val="toc 8"/>
    <w:basedOn w:val="1"/>
    <w:next w:val="1"/>
    <w:qFormat/>
    <w:uiPriority w:val="99"/>
    <w:pPr>
      <w:ind w:left="1470"/>
      <w:jc w:val="left"/>
    </w:pPr>
    <w:rPr>
      <w:rFonts w:ascii="Calibri" w:hAnsi="Calibri"/>
      <w:sz w:val="18"/>
      <w:szCs w:val="18"/>
    </w:rPr>
  </w:style>
  <w:style w:type="paragraph" w:styleId="27">
    <w:name w:val="Date"/>
    <w:basedOn w:val="1"/>
    <w:next w:val="1"/>
    <w:link w:val="154"/>
    <w:qFormat/>
    <w:uiPriority w:val="99"/>
    <w:pPr>
      <w:ind w:left="100" w:leftChars="2500"/>
    </w:pPr>
    <w:rPr>
      <w:rFonts w:ascii="Times New Roman" w:cs="Times New Roman"/>
      <w:kern w:val="2"/>
      <w:szCs w:val="24"/>
    </w:rPr>
  </w:style>
  <w:style w:type="paragraph" w:styleId="28">
    <w:name w:val="Body Text Indent 2"/>
    <w:basedOn w:val="1"/>
    <w:link w:val="182"/>
    <w:qFormat/>
    <w:uiPriority w:val="99"/>
    <w:pPr>
      <w:spacing w:after="120" w:line="480" w:lineRule="auto"/>
      <w:ind w:left="420" w:leftChars="200"/>
    </w:pPr>
    <w:rPr>
      <w:rFonts w:ascii="Times New Roman" w:cs="Times New Roman"/>
      <w:kern w:val="2"/>
      <w:szCs w:val="24"/>
    </w:rPr>
  </w:style>
  <w:style w:type="paragraph" w:styleId="29">
    <w:name w:val="endnote text"/>
    <w:basedOn w:val="1"/>
    <w:link w:val="82"/>
    <w:qFormat/>
    <w:uiPriority w:val="99"/>
    <w:pPr>
      <w:snapToGrid w:val="0"/>
      <w:jc w:val="left"/>
    </w:pPr>
    <w:rPr>
      <w:rFonts w:ascii="Times New Roman" w:cs="Times New Roman"/>
      <w:kern w:val="2"/>
      <w:szCs w:val="24"/>
    </w:rPr>
  </w:style>
  <w:style w:type="paragraph" w:styleId="30">
    <w:name w:val="Balloon Text"/>
    <w:basedOn w:val="1"/>
    <w:link w:val="96"/>
    <w:qFormat/>
    <w:uiPriority w:val="0"/>
    <w:rPr>
      <w:rFonts w:ascii="Times New Roman" w:cs="Times New Roman"/>
      <w:kern w:val="2"/>
      <w:sz w:val="18"/>
      <w:szCs w:val="18"/>
    </w:rPr>
  </w:style>
  <w:style w:type="paragraph" w:styleId="31">
    <w:name w:val="footer"/>
    <w:basedOn w:val="1"/>
    <w:link w:val="165"/>
    <w:qFormat/>
    <w:uiPriority w:val="0"/>
    <w:pPr>
      <w:tabs>
        <w:tab w:val="center" w:pos="4153"/>
        <w:tab w:val="right" w:pos="8306"/>
      </w:tabs>
      <w:snapToGrid w:val="0"/>
      <w:jc w:val="left"/>
    </w:pPr>
    <w:rPr>
      <w:rFonts w:ascii="Times New Roman" w:cs="Times New Roman"/>
      <w:kern w:val="2"/>
      <w:sz w:val="18"/>
      <w:szCs w:val="18"/>
    </w:rPr>
  </w:style>
  <w:style w:type="paragraph" w:styleId="32">
    <w:name w:val="header"/>
    <w:basedOn w:val="1"/>
    <w:link w:val="166"/>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99"/>
    <w:pPr>
      <w:ind w:left="630"/>
      <w:jc w:val="left"/>
    </w:pPr>
    <w:rPr>
      <w:rFonts w:ascii="Calibri" w:hAnsi="Calibri"/>
      <w:sz w:val="18"/>
      <w:szCs w:val="18"/>
    </w:rPr>
  </w:style>
  <w:style w:type="paragraph" w:styleId="35">
    <w:name w:val="Subtitle"/>
    <w:basedOn w:val="1"/>
    <w:next w:val="1"/>
    <w:link w:val="86"/>
    <w:qFormat/>
    <w:uiPriority w:val="99"/>
    <w:pPr>
      <w:spacing w:before="240" w:after="60" w:line="312" w:lineRule="auto"/>
      <w:jc w:val="center"/>
      <w:outlineLvl w:val="1"/>
    </w:pPr>
    <w:rPr>
      <w:rFonts w:ascii="Cambria" w:hAnsi="Cambria" w:cs="Times New Roman"/>
      <w:b/>
      <w:bCs/>
      <w:kern w:val="28"/>
      <w:sz w:val="32"/>
      <w:szCs w:val="32"/>
    </w:rPr>
  </w:style>
  <w:style w:type="paragraph" w:styleId="36">
    <w:name w:val="footnote text"/>
    <w:basedOn w:val="1"/>
    <w:link w:val="140"/>
    <w:qFormat/>
    <w:uiPriority w:val="99"/>
    <w:pPr>
      <w:adjustRightInd w:val="0"/>
      <w:spacing w:line="312" w:lineRule="atLeast"/>
      <w:jc w:val="left"/>
      <w:textAlignment w:val="baseline"/>
    </w:pPr>
    <w:rPr>
      <w:rFonts w:ascii="Times New Roman" w:cs="Times New Roman"/>
      <w:sz w:val="18"/>
      <w:szCs w:val="20"/>
    </w:rPr>
  </w:style>
  <w:style w:type="paragraph" w:styleId="37">
    <w:name w:val="toc 6"/>
    <w:basedOn w:val="1"/>
    <w:next w:val="1"/>
    <w:qFormat/>
    <w:uiPriority w:val="99"/>
    <w:pPr>
      <w:ind w:left="1050"/>
      <w:jc w:val="left"/>
    </w:pPr>
    <w:rPr>
      <w:rFonts w:ascii="Calibri" w:hAnsi="Calibri"/>
      <w:sz w:val="18"/>
      <w:szCs w:val="18"/>
    </w:rPr>
  </w:style>
  <w:style w:type="paragraph" w:styleId="38">
    <w:name w:val="Body Text Indent 3"/>
    <w:basedOn w:val="1"/>
    <w:link w:val="88"/>
    <w:qFormat/>
    <w:uiPriority w:val="99"/>
    <w:pPr>
      <w:spacing w:after="120"/>
      <w:ind w:left="420" w:leftChars="200"/>
    </w:pPr>
    <w:rPr>
      <w:rFonts w:hAnsi="Courier New" w:cs="Times New Roman"/>
      <w:kern w:val="2"/>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99"/>
    <w:pPr>
      <w:ind w:left="1680"/>
      <w:jc w:val="left"/>
    </w:pPr>
    <w:rPr>
      <w:rFonts w:ascii="Calibri" w:hAnsi="Calibri"/>
      <w:sz w:val="18"/>
      <w:szCs w:val="18"/>
    </w:rPr>
  </w:style>
  <w:style w:type="paragraph" w:styleId="41">
    <w:name w:val="Body Text 2"/>
    <w:basedOn w:val="1"/>
    <w:link w:val="89"/>
    <w:qFormat/>
    <w:uiPriority w:val="99"/>
    <w:rPr>
      <w:rFonts w:hAnsi="宋体" w:cs="Times New Roman"/>
      <w:kern w:val="2"/>
      <w:sz w:val="28"/>
      <w:szCs w:val="24"/>
    </w:rPr>
  </w:style>
  <w:style w:type="paragraph" w:styleId="42">
    <w:name w:val="List 4"/>
    <w:basedOn w:val="1"/>
    <w:qFormat/>
    <w:uiPriority w:val="99"/>
    <w:pPr>
      <w:ind w:left="100" w:leftChars="600" w:hanging="200" w:hangingChars="200"/>
    </w:pPr>
    <w:rPr>
      <w:rFonts w:ascii="Times New Roman" w:cs="Times New Roman"/>
      <w:kern w:val="2"/>
      <w:szCs w:val="24"/>
    </w:rPr>
  </w:style>
  <w:style w:type="paragraph" w:styleId="43">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4">
    <w:name w:val="Normal (Web)"/>
    <w:basedOn w:val="1"/>
    <w:qFormat/>
    <w:uiPriority w:val="99"/>
    <w:pPr>
      <w:widowControl/>
      <w:spacing w:before="100" w:beforeAutospacing="1" w:after="100" w:afterAutospacing="1"/>
      <w:jc w:val="left"/>
    </w:pPr>
    <w:rPr>
      <w:rFonts w:hAnsi="宋体"/>
      <w:sz w:val="24"/>
    </w:rPr>
  </w:style>
  <w:style w:type="paragraph" w:styleId="45">
    <w:name w:val="index 1"/>
    <w:basedOn w:val="1"/>
    <w:next w:val="1"/>
    <w:qFormat/>
    <w:uiPriority w:val="99"/>
    <w:pPr>
      <w:spacing w:line="360" w:lineRule="auto"/>
    </w:pPr>
    <w:rPr>
      <w:rFonts w:hAnsi="宋体" w:cs="Times New Roman"/>
      <w:bCs/>
      <w:kern w:val="2"/>
    </w:rPr>
  </w:style>
  <w:style w:type="paragraph" w:styleId="46">
    <w:name w:val="Title"/>
    <w:basedOn w:val="1"/>
    <w:next w:val="1"/>
    <w:link w:val="126"/>
    <w:qFormat/>
    <w:uiPriority w:val="99"/>
    <w:pPr>
      <w:spacing w:before="240" w:after="60"/>
      <w:jc w:val="center"/>
      <w:outlineLvl w:val="0"/>
    </w:pPr>
    <w:rPr>
      <w:rFonts w:ascii="Cambria" w:hAnsi="Cambria" w:cs="Times New Roman"/>
      <w:b/>
      <w:bCs/>
      <w:kern w:val="2"/>
      <w:sz w:val="32"/>
      <w:szCs w:val="32"/>
    </w:rPr>
  </w:style>
  <w:style w:type="paragraph" w:styleId="47">
    <w:name w:val="annotation subject"/>
    <w:basedOn w:val="17"/>
    <w:next w:val="17"/>
    <w:link w:val="95"/>
    <w:qFormat/>
    <w:uiPriority w:val="99"/>
    <w:rPr>
      <w:b/>
      <w:bCs/>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99"/>
    <w:rPr>
      <w:rFonts w:cs="Times New Roman"/>
      <w:b/>
    </w:rPr>
  </w:style>
  <w:style w:type="character" w:styleId="52">
    <w:name w:val="endnote reference"/>
    <w:qFormat/>
    <w:uiPriority w:val="99"/>
    <w:rPr>
      <w:rFonts w:cs="Times New Roman"/>
      <w:vertAlign w:val="superscript"/>
    </w:rPr>
  </w:style>
  <w:style w:type="character" w:styleId="53">
    <w:name w:val="page number"/>
    <w:qFormat/>
    <w:uiPriority w:val="99"/>
    <w:rPr>
      <w:rFonts w:cs="Times New Roman"/>
    </w:rPr>
  </w:style>
  <w:style w:type="character" w:styleId="54">
    <w:name w:val="FollowedHyperlink"/>
    <w:qFormat/>
    <w:uiPriority w:val="99"/>
    <w:rPr>
      <w:rFonts w:cs="Times New Roman"/>
      <w:color w:val="666666"/>
      <w:u w:val="none"/>
    </w:rPr>
  </w:style>
  <w:style w:type="character" w:styleId="55">
    <w:name w:val="Emphasis"/>
    <w:qFormat/>
    <w:uiPriority w:val="99"/>
    <w:rPr>
      <w:rFonts w:cs="Times New Roman"/>
      <w:i/>
    </w:rPr>
  </w:style>
  <w:style w:type="character" w:styleId="56">
    <w:name w:val="HTML Definition"/>
    <w:semiHidden/>
    <w:qFormat/>
    <w:uiPriority w:val="99"/>
    <w:rPr>
      <w:rFonts w:cs="Times New Roman"/>
      <w:i/>
    </w:rPr>
  </w:style>
  <w:style w:type="character" w:styleId="57">
    <w:name w:val="Hyperlink"/>
    <w:qFormat/>
    <w:uiPriority w:val="0"/>
    <w:rPr>
      <w:rFonts w:cs="Times New Roman"/>
      <w:color w:val="666666"/>
      <w:u w:val="none"/>
    </w:rPr>
  </w:style>
  <w:style w:type="character" w:styleId="58">
    <w:name w:val="HTML Code"/>
    <w:qFormat/>
    <w:uiPriority w:val="99"/>
    <w:rPr>
      <w:rFonts w:ascii="Courier New" w:hAnsi="Courier New" w:cs="Times New Roman"/>
      <w:sz w:val="20"/>
    </w:rPr>
  </w:style>
  <w:style w:type="character" w:styleId="59">
    <w:name w:val="annotation reference"/>
    <w:qFormat/>
    <w:uiPriority w:val="99"/>
    <w:rPr>
      <w:rFonts w:cs="Times New Roman"/>
      <w:sz w:val="21"/>
    </w:rPr>
  </w:style>
  <w:style w:type="character" w:styleId="60">
    <w:name w:val="HTML Cite"/>
    <w:qFormat/>
    <w:uiPriority w:val="99"/>
    <w:rPr>
      <w:rFonts w:cs="Times New Roman"/>
    </w:rPr>
  </w:style>
  <w:style w:type="character" w:styleId="61">
    <w:name w:val="footnote reference"/>
    <w:qFormat/>
    <w:uiPriority w:val="99"/>
    <w:rPr>
      <w:rFonts w:cs="Times New Roman"/>
      <w:vertAlign w:val="superscript"/>
    </w:rPr>
  </w:style>
  <w:style w:type="character" w:styleId="62">
    <w:name w:val="HTML Keyboard"/>
    <w:semiHidden/>
    <w:qFormat/>
    <w:uiPriority w:val="99"/>
    <w:rPr>
      <w:rFonts w:ascii="Consolas" w:hAnsi="Consolas" w:eastAsia="Times New Roman" w:cs="Consolas"/>
      <w:sz w:val="21"/>
      <w:szCs w:val="21"/>
    </w:rPr>
  </w:style>
  <w:style w:type="character" w:styleId="63">
    <w:name w:val="HTML Sample"/>
    <w:semiHidden/>
    <w:qFormat/>
    <w:uiPriority w:val="99"/>
    <w:rPr>
      <w:rFonts w:ascii="Consolas" w:hAnsi="Consolas" w:eastAsia="Times New Roman" w:cs="Consolas"/>
      <w:sz w:val="21"/>
      <w:szCs w:val="21"/>
    </w:rPr>
  </w:style>
  <w:style w:type="paragraph" w:customStyle="1" w:styleId="64">
    <w:name w:val="Default"/>
    <w:next w:val="1"/>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65">
    <w:name w:val="Heading 1 Char"/>
    <w:qFormat/>
    <w:uiPriority w:val="99"/>
    <w:rPr>
      <w:rFonts w:eastAsia="宋体"/>
      <w:b/>
      <w:kern w:val="44"/>
      <w:sz w:val="44"/>
      <w:lang w:val="en-US" w:eastAsia="zh-CN"/>
    </w:rPr>
  </w:style>
  <w:style w:type="character" w:customStyle="1" w:styleId="66">
    <w:name w:val="Heading 2 Char"/>
    <w:qFormat/>
    <w:uiPriority w:val="99"/>
    <w:rPr>
      <w:rFonts w:ascii="Arial" w:hAnsi="Arial" w:eastAsia="黑体"/>
      <w:b/>
      <w:kern w:val="2"/>
      <w:sz w:val="32"/>
      <w:lang w:val="en-US" w:eastAsia="zh-CN"/>
    </w:rPr>
  </w:style>
  <w:style w:type="character" w:customStyle="1" w:styleId="67">
    <w:name w:val="Heading 3 Char"/>
    <w:qFormat/>
    <w:uiPriority w:val="99"/>
    <w:rPr>
      <w:b/>
      <w:kern w:val="2"/>
      <w:sz w:val="32"/>
    </w:rPr>
  </w:style>
  <w:style w:type="character" w:customStyle="1" w:styleId="68">
    <w:name w:val="Heading 4 Char"/>
    <w:qFormat/>
    <w:uiPriority w:val="99"/>
    <w:rPr>
      <w:rFonts w:ascii="Arial" w:hAnsi="Arial" w:eastAsia="宋体"/>
      <w:b/>
      <w:kern w:val="2"/>
      <w:sz w:val="28"/>
      <w:lang w:val="en-US" w:eastAsia="zh-CN"/>
    </w:rPr>
  </w:style>
  <w:style w:type="character" w:customStyle="1" w:styleId="69">
    <w:name w:val="Heading 5 Char"/>
    <w:qFormat/>
    <w:uiPriority w:val="99"/>
    <w:rPr>
      <w:rFonts w:eastAsia="宋体"/>
      <w:b/>
      <w:kern w:val="2"/>
      <w:sz w:val="28"/>
      <w:lang w:val="en-US" w:eastAsia="zh-CN"/>
    </w:rPr>
  </w:style>
  <w:style w:type="character" w:customStyle="1" w:styleId="70">
    <w:name w:val="标题 6 Char"/>
    <w:link w:val="7"/>
    <w:qFormat/>
    <w:locked/>
    <w:uiPriority w:val="99"/>
    <w:rPr>
      <w:rFonts w:ascii="Cambria" w:hAnsi="Cambria"/>
      <w:b/>
      <w:kern w:val="2"/>
      <w:sz w:val="24"/>
    </w:rPr>
  </w:style>
  <w:style w:type="character" w:customStyle="1" w:styleId="71">
    <w:name w:val="标题 7 Char"/>
    <w:link w:val="8"/>
    <w:qFormat/>
    <w:locked/>
    <w:uiPriority w:val="99"/>
    <w:rPr>
      <w:b/>
      <w:kern w:val="2"/>
      <w:sz w:val="24"/>
    </w:rPr>
  </w:style>
  <w:style w:type="character" w:customStyle="1" w:styleId="72">
    <w:name w:val="标题 8 Char"/>
    <w:link w:val="9"/>
    <w:qFormat/>
    <w:locked/>
    <w:uiPriority w:val="99"/>
    <w:rPr>
      <w:rFonts w:ascii="Cambria" w:hAnsi="Cambria"/>
      <w:kern w:val="2"/>
      <w:sz w:val="24"/>
    </w:rPr>
  </w:style>
  <w:style w:type="character" w:customStyle="1" w:styleId="73">
    <w:name w:val="标题 9 Char"/>
    <w:link w:val="10"/>
    <w:qFormat/>
    <w:locked/>
    <w:uiPriority w:val="99"/>
    <w:rPr>
      <w:rFonts w:ascii="Cambria" w:hAnsi="Cambria"/>
      <w:kern w:val="2"/>
      <w:sz w:val="21"/>
    </w:rPr>
  </w:style>
  <w:style w:type="character" w:customStyle="1" w:styleId="74">
    <w:name w:val="正文文本 Char"/>
    <w:link w:val="19"/>
    <w:qFormat/>
    <w:locked/>
    <w:uiPriority w:val="99"/>
    <w:rPr>
      <w:kern w:val="2"/>
      <w:sz w:val="21"/>
      <w:szCs w:val="22"/>
    </w:rPr>
  </w:style>
  <w:style w:type="character" w:customStyle="1" w:styleId="75">
    <w:name w:val="Document Map Char"/>
    <w:qFormat/>
    <w:uiPriority w:val="99"/>
    <w:rPr>
      <w:rFonts w:eastAsia="宋体"/>
      <w:kern w:val="2"/>
      <w:sz w:val="24"/>
      <w:lang w:val="en-US" w:eastAsia="zh-CN"/>
    </w:rPr>
  </w:style>
  <w:style w:type="character" w:customStyle="1" w:styleId="76">
    <w:name w:val="Comment Text Char"/>
    <w:qFormat/>
    <w:uiPriority w:val="99"/>
    <w:rPr>
      <w:sz w:val="24"/>
    </w:rPr>
  </w:style>
  <w:style w:type="character" w:customStyle="1" w:styleId="77">
    <w:name w:val="正文文本 3 Char"/>
    <w:link w:val="18"/>
    <w:qFormat/>
    <w:locked/>
    <w:uiPriority w:val="99"/>
    <w:rPr>
      <w:rFonts w:ascii="宋体" w:hAnsi="Courier New" w:eastAsia="宋体"/>
      <w:kern w:val="2"/>
      <w:sz w:val="16"/>
    </w:rPr>
  </w:style>
  <w:style w:type="character" w:customStyle="1" w:styleId="78">
    <w:name w:val="Body Text Indent Char"/>
    <w:qFormat/>
    <w:uiPriority w:val="99"/>
    <w:rPr>
      <w:rFonts w:ascii="宋体" w:hAnsi="宋体" w:eastAsia="宋体"/>
      <w:kern w:val="2"/>
      <w:sz w:val="21"/>
      <w:lang w:val="en-US" w:eastAsia="zh-CN"/>
    </w:rPr>
  </w:style>
  <w:style w:type="character" w:customStyle="1" w:styleId="79">
    <w:name w:val="Plain Text Char"/>
    <w:qFormat/>
    <w:uiPriority w:val="99"/>
    <w:rPr>
      <w:rFonts w:ascii="宋体" w:hAnsi="Courier New" w:eastAsia="宋体"/>
      <w:sz w:val="24"/>
    </w:rPr>
  </w:style>
  <w:style w:type="character" w:customStyle="1" w:styleId="80">
    <w:name w:val="Date Char"/>
    <w:qFormat/>
    <w:uiPriority w:val="99"/>
    <w:rPr>
      <w:rFonts w:eastAsia="宋体"/>
      <w:kern w:val="2"/>
      <w:sz w:val="24"/>
      <w:lang w:val="en-US" w:eastAsia="zh-CN"/>
    </w:rPr>
  </w:style>
  <w:style w:type="character" w:customStyle="1" w:styleId="81">
    <w:name w:val="Body Text Indent 2 Char"/>
    <w:qFormat/>
    <w:uiPriority w:val="99"/>
    <w:rPr>
      <w:rFonts w:eastAsia="宋体"/>
      <w:kern w:val="2"/>
      <w:sz w:val="24"/>
      <w:lang w:val="en-US" w:eastAsia="zh-CN"/>
    </w:rPr>
  </w:style>
  <w:style w:type="character" w:customStyle="1" w:styleId="82">
    <w:name w:val="尾注文本 Char"/>
    <w:link w:val="29"/>
    <w:qFormat/>
    <w:locked/>
    <w:uiPriority w:val="99"/>
    <w:rPr>
      <w:rFonts w:ascii="Times New Roman" w:eastAsia="宋体" w:cs="Times New Roman"/>
      <w:kern w:val="2"/>
      <w:sz w:val="24"/>
      <w:szCs w:val="24"/>
    </w:rPr>
  </w:style>
  <w:style w:type="character" w:customStyle="1" w:styleId="83">
    <w:name w:val="Balloon Text Char"/>
    <w:qFormat/>
    <w:uiPriority w:val="99"/>
    <w:rPr>
      <w:sz w:val="18"/>
    </w:rPr>
  </w:style>
  <w:style w:type="character" w:customStyle="1" w:styleId="84">
    <w:name w:val="Footer Char"/>
    <w:qFormat/>
    <w:uiPriority w:val="99"/>
    <w:rPr>
      <w:rFonts w:eastAsia="宋体"/>
      <w:kern w:val="2"/>
      <w:sz w:val="18"/>
      <w:lang w:val="en-US" w:eastAsia="zh-CN"/>
    </w:rPr>
  </w:style>
  <w:style w:type="character" w:customStyle="1" w:styleId="85">
    <w:name w:val="Header Char"/>
    <w:qFormat/>
    <w:uiPriority w:val="99"/>
    <w:rPr>
      <w:rFonts w:eastAsia="宋体"/>
      <w:kern w:val="2"/>
      <w:sz w:val="18"/>
      <w:lang w:val="en-US" w:eastAsia="zh-CN"/>
    </w:rPr>
  </w:style>
  <w:style w:type="character" w:customStyle="1" w:styleId="86">
    <w:name w:val="副标题 Char"/>
    <w:link w:val="35"/>
    <w:qFormat/>
    <w:locked/>
    <w:uiPriority w:val="99"/>
    <w:rPr>
      <w:rFonts w:ascii="Cambria" w:hAnsi="Cambria"/>
      <w:b/>
      <w:kern w:val="28"/>
      <w:sz w:val="32"/>
    </w:rPr>
  </w:style>
  <w:style w:type="character" w:customStyle="1" w:styleId="87">
    <w:name w:val="Footnote Text Char"/>
    <w:qFormat/>
    <w:uiPriority w:val="99"/>
    <w:rPr>
      <w:rFonts w:eastAsia="宋体"/>
      <w:sz w:val="18"/>
      <w:lang w:val="en-US" w:eastAsia="zh-CN"/>
    </w:rPr>
  </w:style>
  <w:style w:type="character" w:customStyle="1" w:styleId="88">
    <w:name w:val="正文文本缩进 3 Char"/>
    <w:link w:val="38"/>
    <w:qFormat/>
    <w:locked/>
    <w:uiPriority w:val="99"/>
    <w:rPr>
      <w:rFonts w:ascii="宋体" w:hAnsi="Courier New" w:eastAsia="宋体"/>
      <w:kern w:val="2"/>
      <w:sz w:val="16"/>
    </w:rPr>
  </w:style>
  <w:style w:type="character" w:customStyle="1" w:styleId="89">
    <w:name w:val="正文文本 2 Char"/>
    <w:link w:val="41"/>
    <w:qFormat/>
    <w:locked/>
    <w:uiPriority w:val="99"/>
    <w:rPr>
      <w:rFonts w:ascii="宋体" w:hAnsi="宋体" w:eastAsia="宋体"/>
      <w:kern w:val="2"/>
      <w:sz w:val="24"/>
    </w:rPr>
  </w:style>
  <w:style w:type="character" w:customStyle="1" w:styleId="90">
    <w:name w:val="HTML 预设格式 Char"/>
    <w:link w:val="43"/>
    <w:qFormat/>
    <w:locked/>
    <w:uiPriority w:val="99"/>
    <w:rPr>
      <w:rFonts w:ascii="黑体" w:hAnsi="Courier New" w:eastAsia="黑体" w:cs="Courier New"/>
      <w:sz w:val="20"/>
      <w:szCs w:val="20"/>
    </w:rPr>
  </w:style>
  <w:style w:type="character" w:customStyle="1" w:styleId="91">
    <w:name w:val="Title Char"/>
    <w:qFormat/>
    <w:uiPriority w:val="99"/>
    <w:rPr>
      <w:rFonts w:ascii="Cambria" w:hAnsi="Cambria"/>
      <w:b/>
      <w:sz w:val="32"/>
    </w:rPr>
  </w:style>
  <w:style w:type="character" w:customStyle="1" w:styleId="92">
    <w:name w:val="Comment Subject Char"/>
    <w:qFormat/>
    <w:uiPriority w:val="99"/>
    <w:rPr>
      <w:b/>
      <w:sz w:val="24"/>
    </w:rPr>
  </w:style>
  <w:style w:type="paragraph" w:customStyle="1" w:styleId="93">
    <w:name w:val="_Style 37"/>
    <w:basedOn w:val="1"/>
    <w:next w:val="1"/>
    <w:qFormat/>
    <w:uiPriority w:val="99"/>
  </w:style>
  <w:style w:type="character" w:customStyle="1" w:styleId="94">
    <w:name w:val="批注文字 Char"/>
    <w:qFormat/>
    <w:uiPriority w:val="99"/>
    <w:rPr>
      <w:kern w:val="2"/>
      <w:sz w:val="24"/>
    </w:rPr>
  </w:style>
  <w:style w:type="character" w:customStyle="1" w:styleId="95">
    <w:name w:val="批注主题 Char"/>
    <w:link w:val="47"/>
    <w:qFormat/>
    <w:locked/>
    <w:uiPriority w:val="99"/>
    <w:rPr>
      <w:rFonts w:ascii="Times New Roman" w:hAnsi="Times New Roman"/>
      <w:b/>
      <w:kern w:val="2"/>
      <w:sz w:val="24"/>
    </w:rPr>
  </w:style>
  <w:style w:type="character" w:customStyle="1" w:styleId="96">
    <w:name w:val="批注框文本 Char"/>
    <w:link w:val="30"/>
    <w:qFormat/>
    <w:locked/>
    <w:uiPriority w:val="0"/>
    <w:rPr>
      <w:rFonts w:ascii="Times New Roman" w:hAnsi="Times New Roman"/>
      <w:kern w:val="2"/>
      <w:sz w:val="18"/>
    </w:rPr>
  </w:style>
  <w:style w:type="paragraph" w:customStyle="1" w:styleId="97">
    <w:name w:val="1"/>
    <w:basedOn w:val="1"/>
    <w:next w:val="1"/>
    <w:qFormat/>
    <w:uiPriority w:val="99"/>
  </w:style>
  <w:style w:type="character" w:customStyle="1" w:styleId="98">
    <w:name w:val="标题 2 Char"/>
    <w:qFormat/>
    <w:uiPriority w:val="99"/>
    <w:rPr>
      <w:rFonts w:ascii="Arial" w:hAnsi="Arial" w:eastAsia="宋体"/>
      <w:b/>
      <w:sz w:val="32"/>
    </w:rPr>
  </w:style>
  <w:style w:type="paragraph" w:customStyle="1" w:styleId="99">
    <w:name w:val="2-2ji"/>
    <w:basedOn w:val="3"/>
    <w:qFormat/>
    <w:uiPriority w:val="99"/>
    <w:rPr>
      <w:rFonts w:ascii="宋体" w:hAnsi="宋体"/>
      <w:sz w:val="36"/>
      <w:szCs w:val="24"/>
    </w:rPr>
  </w:style>
  <w:style w:type="character" w:customStyle="1" w:styleId="100">
    <w:name w:val="bsharetext"/>
    <w:qFormat/>
    <w:uiPriority w:val="99"/>
  </w:style>
  <w:style w:type="paragraph" w:customStyle="1" w:styleId="101">
    <w:name w:val="Char"/>
    <w:basedOn w:val="1"/>
    <w:qFormat/>
    <w:uiPriority w:val="99"/>
    <w:pPr>
      <w:widowControl/>
      <w:spacing w:after="160" w:line="240" w:lineRule="exact"/>
      <w:jc w:val="left"/>
    </w:pPr>
  </w:style>
  <w:style w:type="paragraph" w:customStyle="1" w:styleId="102">
    <w:name w:val="Char Char Char Char"/>
    <w:basedOn w:val="1"/>
    <w:qFormat/>
    <w:uiPriority w:val="99"/>
    <w:pPr>
      <w:widowControl/>
      <w:spacing w:line="500" w:lineRule="exact"/>
      <w:outlineLvl w:val="2"/>
    </w:pPr>
    <w:rPr>
      <w:rFonts w:ascii="黑体" w:hAnsi="Verdana" w:eastAsia="黑体" w:cs="黑体"/>
      <w:sz w:val="28"/>
      <w:szCs w:val="28"/>
      <w:lang w:eastAsia="en-US"/>
    </w:rPr>
  </w:style>
  <w:style w:type="paragraph" w:customStyle="1" w:styleId="103">
    <w:name w:val="Char Char Char Char Char Char Char"/>
    <w:basedOn w:val="1"/>
    <w:qFormat/>
    <w:uiPriority w:val="99"/>
    <w:pPr>
      <w:widowControl/>
      <w:spacing w:after="160" w:line="240" w:lineRule="exact"/>
      <w:jc w:val="left"/>
    </w:pPr>
  </w:style>
  <w:style w:type="character" w:customStyle="1" w:styleId="104">
    <w:name w:val="Char Char18"/>
    <w:qFormat/>
    <w:uiPriority w:val="99"/>
    <w:rPr>
      <w:rFonts w:ascii="Times New Roman" w:hAnsi="Times New Roman" w:eastAsia="宋体"/>
      <w:b/>
      <w:sz w:val="28"/>
    </w:rPr>
  </w:style>
  <w:style w:type="character" w:customStyle="1" w:styleId="105">
    <w:name w:val="Char Char181"/>
    <w:qFormat/>
    <w:uiPriority w:val="99"/>
    <w:rPr>
      <w:b/>
      <w:kern w:val="44"/>
      <w:sz w:val="44"/>
    </w:rPr>
  </w:style>
  <w:style w:type="character" w:customStyle="1" w:styleId="106">
    <w:name w:val="Char Char19"/>
    <w:qFormat/>
    <w:uiPriority w:val="99"/>
    <w:rPr>
      <w:rFonts w:ascii="Arial" w:hAnsi="Arial" w:eastAsia="宋体"/>
      <w:b/>
      <w:sz w:val="28"/>
    </w:rPr>
  </w:style>
  <w:style w:type="character" w:customStyle="1" w:styleId="107">
    <w:name w:val="Char Char20"/>
    <w:qFormat/>
    <w:uiPriority w:val="99"/>
    <w:rPr>
      <w:rFonts w:ascii="Times New Roman" w:hAnsi="Times New Roman" w:eastAsia="宋体"/>
      <w:b/>
      <w:sz w:val="32"/>
    </w:rPr>
  </w:style>
  <w:style w:type="character" w:customStyle="1" w:styleId="108">
    <w:name w:val="Char Char21"/>
    <w:qFormat/>
    <w:uiPriority w:val="99"/>
    <w:rPr>
      <w:rFonts w:ascii="Arial" w:hAnsi="Arial" w:eastAsia="黑体"/>
      <w:b/>
      <w:sz w:val="32"/>
    </w:rPr>
  </w:style>
  <w:style w:type="character" w:customStyle="1" w:styleId="109">
    <w:name w:val="Char Char22"/>
    <w:qFormat/>
    <w:uiPriority w:val="99"/>
    <w:rPr>
      <w:rFonts w:ascii="Times New Roman" w:hAnsi="Times New Roman" w:eastAsia="宋体"/>
      <w:b/>
      <w:kern w:val="44"/>
      <w:sz w:val="44"/>
    </w:rPr>
  </w:style>
  <w:style w:type="character" w:customStyle="1" w:styleId="110">
    <w:name w:val="Char Char23"/>
    <w:qFormat/>
    <w:uiPriority w:val="99"/>
    <w:rPr>
      <w:rFonts w:eastAsia="宋体"/>
      <w:b/>
      <w:kern w:val="44"/>
      <w:sz w:val="44"/>
      <w:lang w:val="en-US" w:eastAsia="zh-CN"/>
    </w:rPr>
  </w:style>
  <w:style w:type="character" w:customStyle="1" w:styleId="111">
    <w:name w:val="Char Char24"/>
    <w:qFormat/>
    <w:uiPriority w:val="99"/>
    <w:rPr>
      <w:rFonts w:eastAsia="宋体"/>
      <w:b/>
      <w:kern w:val="44"/>
      <w:sz w:val="44"/>
      <w:lang w:val="en-US" w:eastAsia="zh-CN"/>
    </w:rPr>
  </w:style>
  <w:style w:type="character" w:customStyle="1" w:styleId="112">
    <w:name w:val="Char Char6"/>
    <w:qFormat/>
    <w:uiPriority w:val="99"/>
    <w:rPr>
      <w:rFonts w:eastAsia="宋体"/>
      <w:b/>
      <w:kern w:val="44"/>
      <w:sz w:val="44"/>
      <w:lang w:val="en-US" w:eastAsia="zh-CN"/>
    </w:rPr>
  </w:style>
  <w:style w:type="character" w:customStyle="1" w:styleId="113">
    <w:name w:val="Char Char9"/>
    <w:qFormat/>
    <w:uiPriority w:val="99"/>
    <w:rPr>
      <w:rFonts w:eastAsia="宋体"/>
      <w:b/>
      <w:kern w:val="44"/>
      <w:sz w:val="44"/>
      <w:lang w:val="en-US" w:eastAsia="zh-CN"/>
    </w:rPr>
  </w:style>
  <w:style w:type="character" w:customStyle="1" w:styleId="114">
    <w:name w:val="Char Char91"/>
    <w:qFormat/>
    <w:uiPriority w:val="99"/>
    <w:rPr>
      <w:rFonts w:eastAsia="宋体"/>
      <w:b/>
      <w:kern w:val="44"/>
      <w:sz w:val="44"/>
      <w:lang w:val="en-US" w:eastAsia="zh-CN"/>
    </w:rPr>
  </w:style>
  <w:style w:type="paragraph" w:customStyle="1" w:styleId="115">
    <w:name w:val="Char1"/>
    <w:basedOn w:val="1"/>
    <w:qFormat/>
    <w:uiPriority w:val="99"/>
    <w:pPr>
      <w:widowControl/>
      <w:spacing w:after="160" w:line="240" w:lineRule="exact"/>
      <w:jc w:val="left"/>
    </w:pPr>
  </w:style>
  <w:style w:type="character" w:customStyle="1" w:styleId="116">
    <w:name w:val="Comment Text Char1"/>
    <w:qFormat/>
    <w:uiPriority w:val="99"/>
    <w:rPr>
      <w:sz w:val="24"/>
    </w:rPr>
  </w:style>
  <w:style w:type="character" w:customStyle="1" w:styleId="117">
    <w:name w:val="current"/>
    <w:qFormat/>
    <w:uiPriority w:val="99"/>
    <w:rPr>
      <w:color w:val="FFFFFF"/>
      <w:bdr w:val="single" w:color="028BD3" w:sz="6" w:space="0"/>
      <w:shd w:val="clear" w:color="auto" w:fill="028BD3"/>
    </w:rPr>
  </w:style>
  <w:style w:type="character" w:customStyle="1" w:styleId="118">
    <w:name w:val="disabled"/>
    <w:qFormat/>
    <w:uiPriority w:val="99"/>
    <w:rPr>
      <w:vanish/>
    </w:rPr>
  </w:style>
  <w:style w:type="paragraph" w:customStyle="1" w:styleId="119">
    <w:name w:val="flNote"/>
    <w:basedOn w:val="1"/>
    <w:qFormat/>
    <w:uiPriority w:val="99"/>
    <w:pPr>
      <w:adjustRightInd w:val="0"/>
      <w:spacing w:before="320" w:after="160" w:line="360" w:lineRule="atLeast"/>
      <w:jc w:val="center"/>
      <w:textAlignment w:val="baseline"/>
    </w:pPr>
    <w:rPr>
      <w:rFonts w:ascii="Arial" w:eastAsia="黑体"/>
      <w:sz w:val="30"/>
      <w:szCs w:val="20"/>
    </w:rPr>
  </w:style>
  <w:style w:type="character" w:customStyle="1" w:styleId="120">
    <w:name w:val="Heading 3 Char1"/>
    <w:qFormat/>
    <w:uiPriority w:val="99"/>
    <w:rPr>
      <w:rFonts w:eastAsia="宋体"/>
      <w:b/>
      <w:kern w:val="2"/>
      <w:sz w:val="32"/>
      <w:lang w:val="en-US" w:eastAsia="zh-CN"/>
    </w:rPr>
  </w:style>
  <w:style w:type="paragraph" w:customStyle="1" w:styleId="121">
    <w:name w:val="p0"/>
    <w:basedOn w:val="1"/>
    <w:qFormat/>
    <w:uiPriority w:val="99"/>
    <w:pPr>
      <w:widowControl/>
    </w:pPr>
    <w:rPr>
      <w:rFonts w:ascii="Calibri" w:hAnsi="Calibri"/>
    </w:rPr>
  </w:style>
  <w:style w:type="paragraph" w:customStyle="1" w:styleId="122">
    <w:name w:val="reader-word-layer"/>
    <w:basedOn w:val="1"/>
    <w:qFormat/>
    <w:uiPriority w:val="99"/>
    <w:pPr>
      <w:widowControl/>
      <w:spacing w:before="100" w:beforeAutospacing="1" w:after="100" w:afterAutospacing="1"/>
      <w:jc w:val="left"/>
    </w:pPr>
    <w:rPr>
      <w:rFonts w:hAnsi="宋体"/>
      <w:sz w:val="24"/>
    </w:rPr>
  </w:style>
  <w:style w:type="character" w:customStyle="1" w:styleId="123">
    <w:name w:val="textcontents"/>
    <w:qFormat/>
    <w:uiPriority w:val="99"/>
  </w:style>
  <w:style w:type="character" w:customStyle="1" w:styleId="124">
    <w:name w:val="标题 1 Char"/>
    <w:qFormat/>
    <w:uiPriority w:val="99"/>
    <w:rPr>
      <w:rFonts w:ascii="Times New Roman" w:hAnsi="Times New Roman" w:eastAsia="黑体"/>
      <w:b/>
      <w:kern w:val="44"/>
      <w:sz w:val="44"/>
    </w:rPr>
  </w:style>
  <w:style w:type="paragraph" w:customStyle="1" w:styleId="125">
    <w:name w:val="TOC 标题1"/>
    <w:basedOn w:val="2"/>
    <w:next w:val="1"/>
    <w:qFormat/>
    <w:uiPriority w:val="99"/>
    <w:pPr>
      <w:spacing w:before="340" w:after="330" w:line="576" w:lineRule="auto"/>
      <w:outlineLvl w:val="9"/>
    </w:pPr>
    <w:rPr>
      <w:rFonts w:ascii="Calibri" w:hAnsi="Calibri"/>
      <w:sz w:val="44"/>
    </w:rPr>
  </w:style>
  <w:style w:type="character" w:customStyle="1" w:styleId="126">
    <w:name w:val="标题 Char"/>
    <w:link w:val="46"/>
    <w:qFormat/>
    <w:locked/>
    <w:uiPriority w:val="99"/>
    <w:rPr>
      <w:rFonts w:ascii="Cambria" w:hAnsi="Cambria"/>
      <w:b/>
      <w:kern w:val="2"/>
      <w:sz w:val="32"/>
    </w:rPr>
  </w:style>
  <w:style w:type="character" w:customStyle="1" w:styleId="127">
    <w:name w:val="标题 3 Char"/>
    <w:qFormat/>
    <w:uiPriority w:val="99"/>
    <w:rPr>
      <w:rFonts w:ascii="Times New Roman" w:hAnsi="Times New Roman" w:eastAsia="黑体"/>
      <w:b/>
      <w:kern w:val="2"/>
      <w:sz w:val="32"/>
    </w:rPr>
  </w:style>
  <w:style w:type="character" w:customStyle="1" w:styleId="128">
    <w:name w:val="标题 4 Char"/>
    <w:qFormat/>
    <w:uiPriority w:val="99"/>
    <w:rPr>
      <w:rFonts w:ascii="Arial" w:hAnsi="Arial"/>
      <w:b/>
      <w:kern w:val="2"/>
      <w:sz w:val="28"/>
    </w:rPr>
  </w:style>
  <w:style w:type="character" w:customStyle="1" w:styleId="129">
    <w:name w:val="标题 5 Char"/>
    <w:qFormat/>
    <w:uiPriority w:val="99"/>
    <w:rPr>
      <w:rFonts w:ascii="Times New Roman" w:hAnsi="Times New Roman"/>
      <w:b/>
      <w:kern w:val="2"/>
      <w:sz w:val="28"/>
    </w:rPr>
  </w:style>
  <w:style w:type="character" w:customStyle="1" w:styleId="130">
    <w:name w:val="标题 Char1"/>
    <w:qFormat/>
    <w:uiPriority w:val="99"/>
    <w:rPr>
      <w:rFonts w:ascii="Cambria" w:hAnsi="Cambria" w:eastAsia="宋体"/>
      <w:b/>
      <w:sz w:val="32"/>
    </w:rPr>
  </w:style>
  <w:style w:type="character" w:customStyle="1" w:styleId="131">
    <w:name w:val="标题 Char2"/>
    <w:qFormat/>
    <w:uiPriority w:val="99"/>
    <w:rPr>
      <w:rFonts w:ascii="Cambria" w:hAnsi="Cambria" w:eastAsia="宋体"/>
      <w:b/>
      <w:sz w:val="32"/>
    </w:rPr>
  </w:style>
  <w:style w:type="paragraph" w:customStyle="1" w:styleId="132">
    <w:name w:val="标题4"/>
    <w:basedOn w:val="3"/>
    <w:next w:val="22"/>
    <w:link w:val="133"/>
    <w:qFormat/>
    <w:uiPriority w:val="99"/>
  </w:style>
  <w:style w:type="character" w:customStyle="1" w:styleId="133">
    <w:name w:val="标题4 Char Char"/>
    <w:link w:val="132"/>
    <w:qFormat/>
    <w:locked/>
    <w:uiPriority w:val="99"/>
    <w:rPr>
      <w:rFonts w:ascii="Arial" w:hAnsi="Arial"/>
      <w:b/>
      <w:sz w:val="32"/>
    </w:rPr>
  </w:style>
  <w:style w:type="paragraph" w:customStyle="1" w:styleId="134">
    <w:name w:val="标题5"/>
    <w:basedOn w:val="4"/>
    <w:link w:val="135"/>
    <w:qFormat/>
    <w:uiPriority w:val="99"/>
    <w:pPr>
      <w:spacing w:before="260" w:after="260" w:line="413" w:lineRule="auto"/>
    </w:pPr>
    <w:rPr>
      <w:rFonts w:ascii="Arial" w:hAnsi="Arial" w:eastAsia="宋体"/>
      <w:sz w:val="24"/>
    </w:rPr>
  </w:style>
  <w:style w:type="character" w:customStyle="1" w:styleId="135">
    <w:name w:val="标题5 Char Char"/>
    <w:link w:val="134"/>
    <w:qFormat/>
    <w:locked/>
    <w:uiPriority w:val="99"/>
    <w:rPr>
      <w:rFonts w:ascii="Arial" w:hAnsi="Arial"/>
      <w:b/>
      <w:sz w:val="32"/>
    </w:rPr>
  </w:style>
  <w:style w:type="character" w:customStyle="1" w:styleId="136">
    <w:name w:val="不明显参考1"/>
    <w:qFormat/>
    <w:uiPriority w:val="99"/>
    <w:rPr>
      <w:smallCaps/>
      <w:color w:val="C0504D"/>
      <w:u w:val="single"/>
    </w:rPr>
  </w:style>
  <w:style w:type="character" w:customStyle="1" w:styleId="137">
    <w:name w:val="不明显强调1"/>
    <w:qFormat/>
    <w:uiPriority w:val="99"/>
    <w:rPr>
      <w:i/>
      <w:color w:val="808080"/>
    </w:rPr>
  </w:style>
  <w:style w:type="character" w:customStyle="1" w:styleId="138">
    <w:name w:val="纯文本 Char"/>
    <w:qFormat/>
    <w:uiPriority w:val="99"/>
    <w:rPr>
      <w:rFonts w:ascii="宋体" w:hAnsi="Courier New"/>
      <w:kern w:val="2"/>
      <w:sz w:val="24"/>
    </w:rPr>
  </w:style>
  <w:style w:type="character" w:customStyle="1" w:styleId="139">
    <w:name w:val="纯文本 Char1"/>
    <w:qFormat/>
    <w:uiPriority w:val="0"/>
    <w:rPr>
      <w:rFonts w:ascii="宋体" w:hAnsi="Courier New" w:eastAsia="宋体"/>
      <w:sz w:val="21"/>
    </w:rPr>
  </w:style>
  <w:style w:type="character" w:customStyle="1" w:styleId="140">
    <w:name w:val="脚注文本 Char"/>
    <w:link w:val="36"/>
    <w:qFormat/>
    <w:locked/>
    <w:uiPriority w:val="99"/>
    <w:rPr>
      <w:rFonts w:ascii="Times New Roman" w:hAnsi="Times New Roman"/>
      <w:sz w:val="18"/>
    </w:rPr>
  </w:style>
  <w:style w:type="paragraph" w:customStyle="1" w:styleId="141">
    <w:name w:val="空半行"/>
    <w:basedOn w:val="1"/>
    <w:qFormat/>
    <w:uiPriority w:val="99"/>
    <w:pPr>
      <w:adjustRightInd w:val="0"/>
      <w:spacing w:line="120" w:lineRule="exact"/>
      <w:textAlignment w:val="baseline"/>
    </w:pPr>
    <w:rPr>
      <w:rFonts w:eastAsia="仿宋_GB2312"/>
      <w:color w:val="FFFFFF"/>
      <w:sz w:val="30"/>
      <w:szCs w:val="20"/>
    </w:rPr>
  </w:style>
  <w:style w:type="paragraph" w:styleId="142">
    <w:name w:val="List Paragraph"/>
    <w:basedOn w:val="1"/>
    <w:qFormat/>
    <w:uiPriority w:val="99"/>
    <w:pPr>
      <w:ind w:firstLine="420" w:firstLineChars="200"/>
    </w:pPr>
    <w:rPr>
      <w:rFonts w:ascii="Calibri" w:hAnsi="Calibri"/>
      <w:szCs w:val="22"/>
    </w:rPr>
  </w:style>
  <w:style w:type="paragraph" w:customStyle="1" w:styleId="143">
    <w:name w:val="列出段落1"/>
    <w:basedOn w:val="1"/>
    <w:qFormat/>
    <w:uiPriority w:val="99"/>
    <w:pPr>
      <w:ind w:firstLine="420" w:firstLineChars="200"/>
    </w:pPr>
    <w:rPr>
      <w:rFonts w:ascii="Calibri" w:hAnsi="Calibri"/>
      <w:szCs w:val="22"/>
    </w:rPr>
  </w:style>
  <w:style w:type="character" w:customStyle="1" w:styleId="144">
    <w:name w:val="明显参考1"/>
    <w:qFormat/>
    <w:uiPriority w:val="99"/>
    <w:rPr>
      <w:b/>
      <w:smallCaps/>
      <w:color w:val="C0504D"/>
      <w:spacing w:val="5"/>
      <w:u w:val="single"/>
    </w:rPr>
  </w:style>
  <w:style w:type="character" w:customStyle="1" w:styleId="145">
    <w:name w:val="明显强调1"/>
    <w:qFormat/>
    <w:uiPriority w:val="99"/>
    <w:rPr>
      <w:b/>
      <w:i/>
      <w:color w:val="4F81BD"/>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47">
    <w:name w:val="明显引用 Char"/>
    <w:link w:val="146"/>
    <w:qFormat/>
    <w:locked/>
    <w:uiPriority w:val="99"/>
    <w:rPr>
      <w:rFonts w:ascii="Times New Roman" w:hAnsi="Times New Roman"/>
      <w:b/>
      <w:i/>
      <w:color w:val="4F81BD"/>
    </w:rPr>
  </w:style>
  <w:style w:type="character" w:customStyle="1" w:styleId="148">
    <w:name w:val="明显引用 Char1"/>
    <w:qFormat/>
    <w:uiPriority w:val="99"/>
    <w:rPr>
      <w:rFonts w:ascii="Times New Roman" w:hAnsi="Times New Roman" w:eastAsia="宋体"/>
      <w:b/>
      <w:i/>
      <w:color w:val="4F81BD"/>
      <w:sz w:val="24"/>
    </w:rPr>
  </w:style>
  <w:style w:type="character" w:customStyle="1" w:styleId="149">
    <w:name w:val="批注框文本 Char1"/>
    <w:qFormat/>
    <w:uiPriority w:val="99"/>
    <w:rPr>
      <w:rFonts w:ascii="Times New Roman" w:hAnsi="Times New Roman" w:eastAsia="宋体"/>
      <w:sz w:val="18"/>
    </w:rPr>
  </w:style>
  <w:style w:type="character" w:customStyle="1" w:styleId="150">
    <w:name w:val="批注文字 Char2"/>
    <w:link w:val="17"/>
    <w:qFormat/>
    <w:locked/>
    <w:uiPriority w:val="99"/>
    <w:rPr>
      <w:rFonts w:ascii="Times New Roman" w:hAnsi="Times New Roman"/>
      <w:kern w:val="2"/>
      <w:sz w:val="24"/>
    </w:rPr>
  </w:style>
  <w:style w:type="character" w:customStyle="1" w:styleId="151">
    <w:name w:val="批注文字 Char Char"/>
    <w:qFormat/>
    <w:uiPriority w:val="99"/>
    <w:rPr>
      <w:rFonts w:ascii="宋体" w:hAnsi="Times New Roman" w:eastAsia="宋体"/>
      <w:sz w:val="20"/>
    </w:rPr>
  </w:style>
  <w:style w:type="character" w:customStyle="1" w:styleId="152">
    <w:name w:val="批注文字 Char1"/>
    <w:qFormat/>
    <w:uiPriority w:val="99"/>
    <w:rPr>
      <w:rFonts w:ascii="Times New Roman" w:hAnsi="Times New Roman" w:eastAsia="宋体"/>
      <w:sz w:val="24"/>
    </w:rPr>
  </w:style>
  <w:style w:type="character" w:customStyle="1" w:styleId="153">
    <w:name w:val="批注主题 Char1"/>
    <w:qFormat/>
    <w:uiPriority w:val="99"/>
    <w:rPr>
      <w:rFonts w:ascii="Times New Roman" w:hAnsi="Times New Roman" w:eastAsia="宋体"/>
      <w:b/>
      <w:sz w:val="24"/>
    </w:rPr>
  </w:style>
  <w:style w:type="character" w:customStyle="1" w:styleId="154">
    <w:name w:val="日期 Char"/>
    <w:link w:val="27"/>
    <w:qFormat/>
    <w:locked/>
    <w:uiPriority w:val="99"/>
    <w:rPr>
      <w:rFonts w:ascii="Times New Roman" w:hAnsi="Times New Roman"/>
      <w:kern w:val="2"/>
      <w:sz w:val="24"/>
    </w:rPr>
  </w:style>
  <w:style w:type="character" w:customStyle="1" w:styleId="155">
    <w:name w:val="日期 Char1"/>
    <w:qFormat/>
    <w:uiPriority w:val="99"/>
    <w:rPr>
      <w:rFonts w:ascii="Times New Roman" w:hAnsi="Times New Roman" w:eastAsia="宋体"/>
      <w:sz w:val="24"/>
    </w:rPr>
  </w:style>
  <w:style w:type="character" w:customStyle="1" w:styleId="156">
    <w:name w:val="书籍标题1"/>
    <w:qFormat/>
    <w:uiPriority w:val="99"/>
    <w:rPr>
      <w:b/>
      <w:smallCaps/>
      <w:spacing w:val="5"/>
    </w:rPr>
  </w:style>
  <w:style w:type="character" w:customStyle="1" w:styleId="157">
    <w:name w:val="文档结构图 Char"/>
    <w:link w:val="15"/>
    <w:qFormat/>
    <w:locked/>
    <w:uiPriority w:val="99"/>
    <w:rPr>
      <w:rFonts w:ascii="Times New Roman" w:hAnsi="Times New Roman"/>
      <w:kern w:val="2"/>
      <w:sz w:val="24"/>
      <w:shd w:val="clear" w:color="auto" w:fill="000080"/>
    </w:rPr>
  </w:style>
  <w:style w:type="character" w:customStyle="1" w:styleId="158">
    <w:name w:val="文档结构图 Char1"/>
    <w:qFormat/>
    <w:uiPriority w:val="99"/>
    <w:rPr>
      <w:rFonts w:ascii="宋体" w:hAnsi="Times New Roman" w:eastAsia="宋体"/>
      <w:sz w:val="18"/>
    </w:rPr>
  </w:style>
  <w:style w:type="paragraph" w:styleId="159">
    <w:name w:val="No Spacing"/>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0">
    <w:name w:val="无间隔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1">
    <w:name w:val="修订1"/>
    <w:qFormat/>
    <w:uiPriority w:val="99"/>
    <w:rPr>
      <w:rFonts w:ascii="Times New Roman" w:hAnsi="Times New Roman" w:eastAsia="宋体" w:cs="宋体"/>
      <w:kern w:val="2"/>
      <w:sz w:val="21"/>
      <w:szCs w:val="24"/>
      <w:lang w:val="en-US" w:eastAsia="zh-CN" w:bidi="ar-SA"/>
    </w:rPr>
  </w:style>
  <w:style w:type="paragraph" w:customStyle="1" w:styleId="162">
    <w:name w:val="样式 标题 2 + Times New Roman 四号 非加粗 段前: 5 磅 段后: 0 磅 行距: 固定值 20..."/>
    <w:basedOn w:val="3"/>
    <w:qFormat/>
    <w:uiPriority w:val="99"/>
    <w:pPr>
      <w:spacing w:before="100" w:line="400" w:lineRule="exact"/>
    </w:pPr>
    <w:rPr>
      <w:rFonts w:ascii="Times New Roman" w:hAnsi="Times New Roman"/>
      <w:b w:val="0"/>
      <w:bCs w:val="0"/>
      <w:sz w:val="28"/>
      <w:szCs w:val="20"/>
    </w:rPr>
  </w:style>
  <w:style w:type="paragraph" w:customStyle="1" w:styleId="163">
    <w:name w:val="样式 标题 3 + (中文) 黑体 小四 非加粗 段前: 7.8 磅 段后: 0 磅 行距: 固定值 20 磅"/>
    <w:basedOn w:val="4"/>
    <w:qFormat/>
    <w:uiPriority w:val="99"/>
    <w:pPr>
      <w:spacing w:line="400" w:lineRule="exact"/>
    </w:pPr>
    <w:rPr>
      <w:b w:val="0"/>
      <w:bCs w:val="0"/>
      <w:szCs w:val="20"/>
    </w:rPr>
  </w:style>
  <w:style w:type="paragraph" w:customStyle="1" w:styleId="164">
    <w:name w:val="样式1"/>
    <w:basedOn w:val="1"/>
    <w:next w:val="5"/>
    <w:qFormat/>
    <w:uiPriority w:val="99"/>
    <w:pPr>
      <w:spacing w:line="360" w:lineRule="auto"/>
      <w:ind w:firstLine="420" w:firstLineChars="200"/>
    </w:pPr>
    <w:rPr>
      <w:rFonts w:hAnsi="宋体"/>
    </w:rPr>
  </w:style>
  <w:style w:type="character" w:customStyle="1" w:styleId="165">
    <w:name w:val="页脚 Char"/>
    <w:link w:val="31"/>
    <w:qFormat/>
    <w:locked/>
    <w:uiPriority w:val="99"/>
    <w:rPr>
      <w:rFonts w:ascii="Times New Roman" w:hAnsi="Times New Roman"/>
      <w:kern w:val="2"/>
      <w:sz w:val="18"/>
    </w:rPr>
  </w:style>
  <w:style w:type="character" w:customStyle="1" w:styleId="166">
    <w:name w:val="页眉 Char"/>
    <w:link w:val="32"/>
    <w:qFormat/>
    <w:locked/>
    <w:uiPriority w:val="0"/>
    <w:rPr>
      <w:rFonts w:ascii="Times New Roman" w:hAnsi="Times New Roman"/>
      <w:kern w:val="2"/>
      <w:sz w:val="18"/>
    </w:rPr>
  </w:style>
  <w:style w:type="paragraph" w:styleId="167">
    <w:name w:val="Quote"/>
    <w:basedOn w:val="1"/>
    <w:next w:val="1"/>
    <w:link w:val="168"/>
    <w:qFormat/>
    <w:uiPriority w:val="99"/>
    <w:rPr>
      <w:rFonts w:ascii="Times New Roman" w:cs="Times New Roman"/>
      <w:i/>
      <w:iCs/>
      <w:color w:val="000000"/>
      <w:sz w:val="20"/>
      <w:szCs w:val="20"/>
    </w:rPr>
  </w:style>
  <w:style w:type="character" w:customStyle="1" w:styleId="168">
    <w:name w:val="引用 Char"/>
    <w:link w:val="167"/>
    <w:qFormat/>
    <w:locked/>
    <w:uiPriority w:val="99"/>
    <w:rPr>
      <w:rFonts w:ascii="Times New Roman" w:hAnsi="Times New Roman"/>
      <w:i/>
      <w:color w:val="000000"/>
    </w:rPr>
  </w:style>
  <w:style w:type="character" w:customStyle="1" w:styleId="169">
    <w:name w:val="引用 Char1"/>
    <w:qFormat/>
    <w:uiPriority w:val="99"/>
    <w:rPr>
      <w:rFonts w:ascii="Times New Roman" w:hAnsi="Times New Roman" w:eastAsia="宋体"/>
      <w:i/>
      <w:color w:val="000000"/>
      <w:sz w:val="24"/>
    </w:rPr>
  </w:style>
  <w:style w:type="paragraph" w:customStyle="1" w:styleId="170">
    <w:name w:val="正文_0"/>
    <w:basedOn w:val="171"/>
    <w:next w:val="177"/>
    <w:qFormat/>
    <w:uiPriority w:val="99"/>
    <w:rPr>
      <w:rFonts w:ascii="宋体" w:hAnsi="Times New Roman" w:cs="宋体"/>
    </w:rPr>
  </w:style>
  <w:style w:type="paragraph" w:customStyle="1" w:styleId="171">
    <w:name w:val="正文_2"/>
    <w:basedOn w:val="172"/>
    <w:next w:val="176"/>
    <w:qFormat/>
    <w:uiPriority w:val="99"/>
    <w:rPr>
      <w:rFonts w:ascii="Calibri" w:hAnsi="Calibri"/>
    </w:rPr>
  </w:style>
  <w:style w:type="paragraph" w:customStyle="1" w:styleId="172">
    <w:name w:val="正文_3"/>
    <w:basedOn w:val="173"/>
    <w:next w:val="174"/>
    <w:qFormat/>
    <w:uiPriority w:val="0"/>
  </w:style>
  <w:style w:type="paragraph" w:customStyle="1" w:styleId="17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页脚_0"/>
    <w:basedOn w:val="170"/>
    <w:next w:val="175"/>
    <w:qFormat/>
    <w:uiPriority w:val="99"/>
    <w:pPr>
      <w:tabs>
        <w:tab w:val="center" w:pos="4153"/>
        <w:tab w:val="right" w:pos="8306"/>
      </w:tabs>
      <w:snapToGrid w:val="0"/>
      <w:jc w:val="left"/>
    </w:pPr>
    <w:rPr>
      <w:sz w:val="18"/>
      <w:szCs w:val="18"/>
    </w:rPr>
  </w:style>
  <w:style w:type="paragraph" w:customStyle="1" w:styleId="17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正文文本_1"/>
    <w:basedOn w:val="171"/>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77">
    <w:name w:val="正文文本_0"/>
    <w:basedOn w:val="170"/>
    <w:next w:val="170"/>
    <w:qFormat/>
    <w:uiPriority w:val="0"/>
    <w:pPr>
      <w:adjustRightInd w:val="0"/>
      <w:spacing w:after="60" w:line="360" w:lineRule="atLeast"/>
      <w:ind w:left="30" w:leftChars="30" w:right="30" w:rightChars="30"/>
      <w:jc w:val="center"/>
    </w:pPr>
    <w:rPr>
      <w:rFonts w:eastAsia="Times New Roman"/>
      <w:kern w:val="0"/>
      <w:sz w:val="20"/>
      <w:szCs w:val="20"/>
    </w:rPr>
  </w:style>
  <w:style w:type="paragraph" w:customStyle="1" w:styleId="178">
    <w:name w:val="正文_1"/>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79">
    <w:name w:val="正文_1_0"/>
    <w:qFormat/>
    <w:uiPriority w:val="99"/>
    <w:pPr>
      <w:widowControl w:val="0"/>
      <w:jc w:val="both"/>
    </w:pPr>
    <w:rPr>
      <w:rFonts w:ascii="Times New Roman" w:hAnsi="Times New Roman" w:eastAsia="宋体" w:cs="宋体"/>
      <w:kern w:val="2"/>
      <w:sz w:val="21"/>
      <w:szCs w:val="24"/>
      <w:lang w:val="en-US" w:eastAsia="zh-CN" w:bidi="ar-SA"/>
    </w:rPr>
  </w:style>
  <w:style w:type="character" w:customStyle="1" w:styleId="180">
    <w:name w:val="正文文本 Char1"/>
    <w:qFormat/>
    <w:uiPriority w:val="99"/>
    <w:rPr>
      <w:kern w:val="2"/>
      <w:sz w:val="22"/>
    </w:rPr>
  </w:style>
  <w:style w:type="character" w:customStyle="1" w:styleId="181">
    <w:name w:val="正文文本缩进 Char"/>
    <w:link w:val="20"/>
    <w:qFormat/>
    <w:locked/>
    <w:uiPriority w:val="99"/>
    <w:rPr>
      <w:rFonts w:ascii="宋体" w:eastAsia="宋体"/>
      <w:kern w:val="2"/>
      <w:sz w:val="21"/>
    </w:rPr>
  </w:style>
  <w:style w:type="character" w:customStyle="1" w:styleId="182">
    <w:name w:val="正文文本缩进 2 Char"/>
    <w:link w:val="28"/>
    <w:qFormat/>
    <w:locked/>
    <w:uiPriority w:val="99"/>
    <w:rPr>
      <w:rFonts w:ascii="Times New Roman" w:hAnsi="Times New Roman"/>
      <w:kern w:val="2"/>
      <w:sz w:val="24"/>
    </w:rPr>
  </w:style>
  <w:style w:type="character" w:customStyle="1" w:styleId="183">
    <w:name w:val="纯文本 字符1"/>
    <w:qFormat/>
    <w:uiPriority w:val="99"/>
    <w:rPr>
      <w:rFonts w:ascii="宋体" w:hAnsi="Courier New" w:eastAsia="宋体"/>
      <w:kern w:val="2"/>
      <w:sz w:val="21"/>
      <w:lang w:val="en-US" w:eastAsia="zh-CN"/>
    </w:rPr>
  </w:style>
  <w:style w:type="character" w:customStyle="1" w:styleId="184">
    <w:name w:val="批注主题 Char2"/>
    <w:semiHidden/>
    <w:qFormat/>
    <w:uiPriority w:val="99"/>
    <w:rPr>
      <w:b/>
      <w:kern w:val="2"/>
      <w:sz w:val="24"/>
    </w:rPr>
  </w:style>
  <w:style w:type="character" w:customStyle="1" w:styleId="185">
    <w:name w:val="普通文字 Char Char2"/>
    <w:qFormat/>
    <w:uiPriority w:val="99"/>
    <w:rPr>
      <w:rFonts w:ascii="宋体" w:hAnsi="Courier New" w:eastAsia="宋体"/>
      <w:kern w:val="2"/>
      <w:sz w:val="24"/>
      <w:lang w:val="en-US" w:eastAsia="zh-CN"/>
    </w:rPr>
  </w:style>
  <w:style w:type="character" w:customStyle="1" w:styleId="186">
    <w:name w:val="标题 Char3"/>
    <w:qFormat/>
    <w:uiPriority w:val="99"/>
    <w:rPr>
      <w:rFonts w:ascii="Cambria" w:hAnsi="Cambria"/>
      <w:b/>
      <w:kern w:val="2"/>
      <w:sz w:val="32"/>
    </w:rPr>
  </w:style>
  <w:style w:type="character" w:customStyle="1" w:styleId="187">
    <w:name w:val="页眉 Char1"/>
    <w:semiHidden/>
    <w:qFormat/>
    <w:uiPriority w:val="99"/>
    <w:rPr>
      <w:kern w:val="2"/>
      <w:sz w:val="18"/>
    </w:rPr>
  </w:style>
  <w:style w:type="character" w:customStyle="1" w:styleId="188">
    <w:name w:val="正文文本缩进 Char1"/>
    <w:semiHidden/>
    <w:qFormat/>
    <w:uiPriority w:val="99"/>
    <w:rPr>
      <w:kern w:val="2"/>
      <w:sz w:val="24"/>
    </w:rPr>
  </w:style>
  <w:style w:type="character" w:customStyle="1" w:styleId="189">
    <w:name w:val="标题6 Char"/>
    <w:link w:val="190"/>
    <w:qFormat/>
    <w:locked/>
    <w:uiPriority w:val="99"/>
    <w:rPr>
      <w:rFonts w:ascii="宋体" w:hAnsi="宋体" w:eastAsia="黑体"/>
      <w:kern w:val="2"/>
      <w:sz w:val="32"/>
    </w:rPr>
  </w:style>
  <w:style w:type="paragraph" w:customStyle="1" w:styleId="190">
    <w:name w:val="标题6"/>
    <w:basedOn w:val="1"/>
    <w:link w:val="189"/>
    <w:qFormat/>
    <w:uiPriority w:val="99"/>
    <w:pPr>
      <w:keepNext/>
      <w:keepLines/>
      <w:spacing w:line="400" w:lineRule="exact"/>
      <w:jc w:val="center"/>
      <w:outlineLvl w:val="2"/>
    </w:pPr>
    <w:rPr>
      <w:rFonts w:hAnsi="宋体" w:eastAsia="黑体" w:cs="Times New Roman"/>
      <w:kern w:val="2"/>
      <w:sz w:val="32"/>
      <w:szCs w:val="32"/>
    </w:rPr>
  </w:style>
  <w:style w:type="character" w:customStyle="1" w:styleId="191">
    <w:name w:val="日期 Char2"/>
    <w:semiHidden/>
    <w:qFormat/>
    <w:uiPriority w:val="99"/>
    <w:rPr>
      <w:kern w:val="2"/>
      <w:sz w:val="24"/>
    </w:rPr>
  </w:style>
  <w:style w:type="character" w:customStyle="1" w:styleId="192">
    <w:name w:val="明显引用 Char2"/>
    <w:qFormat/>
    <w:uiPriority w:val="99"/>
    <w:rPr>
      <w:b/>
      <w:i/>
      <w:color w:val="4F81BD"/>
      <w:kern w:val="2"/>
      <w:sz w:val="24"/>
    </w:rPr>
  </w:style>
  <w:style w:type="character" w:customStyle="1" w:styleId="193">
    <w:name w:val="纯文本 Char2"/>
    <w:qFormat/>
    <w:uiPriority w:val="99"/>
    <w:rPr>
      <w:rFonts w:ascii="宋体" w:hAnsi="Courier New" w:eastAsia="宋体"/>
      <w:kern w:val="2"/>
      <w:sz w:val="21"/>
    </w:rPr>
  </w:style>
  <w:style w:type="character" w:customStyle="1" w:styleId="194">
    <w:name w:val="文档结构图 Char2"/>
    <w:semiHidden/>
    <w:qFormat/>
    <w:uiPriority w:val="99"/>
    <w:rPr>
      <w:rFonts w:ascii="宋体" w:hAnsi="宋体" w:eastAsia="宋体"/>
      <w:kern w:val="2"/>
      <w:sz w:val="18"/>
    </w:rPr>
  </w:style>
  <w:style w:type="character" w:customStyle="1" w:styleId="195">
    <w:name w:val="普通文字 Char Char1"/>
    <w:qFormat/>
    <w:uiPriority w:val="99"/>
    <w:rPr>
      <w:rFonts w:ascii="宋体" w:hAnsi="Courier New" w:eastAsia="宋体"/>
      <w:kern w:val="2"/>
      <w:sz w:val="24"/>
      <w:lang w:val="en-US" w:eastAsia="zh-CN"/>
    </w:rPr>
  </w:style>
  <w:style w:type="character" w:customStyle="1" w:styleId="196">
    <w:name w:val="明显参考11"/>
    <w:qFormat/>
    <w:uiPriority w:val="99"/>
    <w:rPr>
      <w:b/>
      <w:smallCaps/>
      <w:color w:val="auto"/>
      <w:spacing w:val="5"/>
      <w:u w:val="single"/>
    </w:rPr>
  </w:style>
  <w:style w:type="character" w:customStyle="1" w:styleId="197">
    <w:name w:val="页脚 Char1"/>
    <w:semiHidden/>
    <w:qFormat/>
    <w:uiPriority w:val="99"/>
    <w:rPr>
      <w:kern w:val="2"/>
      <w:sz w:val="18"/>
    </w:rPr>
  </w:style>
  <w:style w:type="character" w:customStyle="1" w:styleId="198">
    <w:name w:val="批注文字 字符"/>
    <w:qFormat/>
    <w:uiPriority w:val="99"/>
    <w:rPr>
      <w:kern w:val="2"/>
      <w:sz w:val="24"/>
    </w:rPr>
  </w:style>
  <w:style w:type="character" w:customStyle="1" w:styleId="199">
    <w:name w:val="不明显参考11"/>
    <w:qFormat/>
    <w:uiPriority w:val="99"/>
    <w:rPr>
      <w:smallCaps/>
      <w:color w:val="auto"/>
      <w:u w:val="single"/>
    </w:rPr>
  </w:style>
  <w:style w:type="character" w:customStyle="1" w:styleId="200">
    <w:name w:val="批注文字 Char3"/>
    <w:semiHidden/>
    <w:qFormat/>
    <w:locked/>
    <w:uiPriority w:val="99"/>
    <w:rPr>
      <w:kern w:val="2"/>
      <w:sz w:val="24"/>
    </w:rPr>
  </w:style>
  <w:style w:type="character" w:customStyle="1" w:styleId="201">
    <w:name w:val="脚注文本 Char1"/>
    <w:qFormat/>
    <w:uiPriority w:val="99"/>
    <w:rPr>
      <w:kern w:val="2"/>
      <w:sz w:val="18"/>
    </w:rPr>
  </w:style>
  <w:style w:type="character" w:customStyle="1" w:styleId="202">
    <w:name w:val="引用 Char2"/>
    <w:qFormat/>
    <w:uiPriority w:val="99"/>
    <w:rPr>
      <w:i/>
      <w:color w:val="000000"/>
      <w:kern w:val="2"/>
      <w:sz w:val="24"/>
    </w:rPr>
  </w:style>
  <w:style w:type="character" w:customStyle="1" w:styleId="203">
    <w:name w:val="批注文字 Char4"/>
    <w:qFormat/>
    <w:uiPriority w:val="99"/>
    <w:rPr>
      <w:kern w:val="2"/>
      <w:sz w:val="24"/>
    </w:rPr>
  </w:style>
  <w:style w:type="character" w:customStyle="1" w:styleId="204">
    <w:name w:val="正文文本缩进 2 Char1"/>
    <w:semiHidden/>
    <w:qFormat/>
    <w:uiPriority w:val="99"/>
    <w:rPr>
      <w:kern w:val="2"/>
      <w:sz w:val="24"/>
    </w:rPr>
  </w:style>
  <w:style w:type="character" w:customStyle="1" w:styleId="205">
    <w:name w:val="正文文本 Char2"/>
    <w:semiHidden/>
    <w:qFormat/>
    <w:uiPriority w:val="99"/>
    <w:rPr>
      <w:kern w:val="2"/>
      <w:sz w:val="24"/>
    </w:rPr>
  </w:style>
  <w:style w:type="character" w:customStyle="1" w:styleId="206">
    <w:name w:val="明显强调11"/>
    <w:qFormat/>
    <w:uiPriority w:val="99"/>
    <w:rPr>
      <w:b/>
      <w:i/>
      <w:color w:val="4F81BD"/>
    </w:rPr>
  </w:style>
  <w:style w:type="character" w:customStyle="1" w:styleId="207">
    <w:name w:val="书籍标题11"/>
    <w:qFormat/>
    <w:uiPriority w:val="99"/>
    <w:rPr>
      <w:b/>
      <w:smallCaps/>
      <w:spacing w:val="5"/>
    </w:rPr>
  </w:style>
  <w:style w:type="character" w:customStyle="1" w:styleId="208">
    <w:name w:val="标题 2 Char_0"/>
    <w:link w:val="209"/>
    <w:qFormat/>
    <w:locked/>
    <w:uiPriority w:val="99"/>
    <w:rPr>
      <w:rFonts w:ascii="Cambria" w:hAnsi="Cambria"/>
      <w:b/>
      <w:kern w:val="2"/>
      <w:sz w:val="32"/>
    </w:rPr>
  </w:style>
  <w:style w:type="paragraph" w:customStyle="1" w:styleId="209">
    <w:name w:val="标题 2_0"/>
    <w:basedOn w:val="170"/>
    <w:next w:val="170"/>
    <w:link w:val="208"/>
    <w:qFormat/>
    <w:uiPriority w:val="99"/>
    <w:pPr>
      <w:keepNext/>
      <w:keepLines/>
      <w:spacing w:before="260" w:after="260" w:line="416" w:lineRule="auto"/>
      <w:outlineLvl w:val="1"/>
    </w:pPr>
    <w:rPr>
      <w:rFonts w:ascii="Cambria" w:hAnsi="Cambria" w:cs="Times New Roman"/>
      <w:b/>
      <w:bCs/>
      <w:sz w:val="32"/>
      <w:szCs w:val="32"/>
    </w:rPr>
  </w:style>
  <w:style w:type="character" w:customStyle="1" w:styleId="210">
    <w:name w:val="不明显强调11"/>
    <w:qFormat/>
    <w:uiPriority w:val="99"/>
    <w:rPr>
      <w:i/>
      <w:color w:val="808080"/>
    </w:rPr>
  </w:style>
  <w:style w:type="character" w:customStyle="1" w:styleId="211">
    <w:name w:val="批注框文本 Char2"/>
    <w:semiHidden/>
    <w:qFormat/>
    <w:uiPriority w:val="99"/>
    <w:rPr>
      <w:kern w:val="2"/>
      <w:sz w:val="18"/>
    </w:rPr>
  </w:style>
  <w:style w:type="character" w:customStyle="1" w:styleId="212">
    <w:name w:val="副标题 Char1"/>
    <w:qFormat/>
    <w:uiPriority w:val="99"/>
    <w:rPr>
      <w:rFonts w:ascii="Cambria" w:hAnsi="Cambria"/>
      <w:b/>
      <w:kern w:val="28"/>
      <w:sz w:val="32"/>
    </w:rPr>
  </w:style>
  <w:style w:type="character" w:customStyle="1" w:styleId="213">
    <w:name w:val="Char Char17"/>
    <w:qFormat/>
    <w:uiPriority w:val="99"/>
    <w:rPr>
      <w:rFonts w:eastAsia="黑体"/>
      <w:b/>
      <w:kern w:val="44"/>
      <w:sz w:val="44"/>
    </w:rPr>
  </w:style>
  <w:style w:type="paragraph" w:customStyle="1" w:styleId="214">
    <w:name w:val="正文1"/>
    <w:qFormat/>
    <w:uiPriority w:val="99"/>
    <w:pPr>
      <w:spacing w:line="384" w:lineRule="auto"/>
    </w:pPr>
    <w:rPr>
      <w:rFonts w:ascii="宋体" w:hAnsi="宋体" w:eastAsia="宋体" w:cs="Times New Roman"/>
      <w:sz w:val="24"/>
      <w:szCs w:val="24"/>
      <w:lang w:val="en-US" w:eastAsia="zh-CN" w:bidi="ar-SA"/>
    </w:rPr>
  </w:style>
  <w:style w:type="paragraph" w:customStyle="1" w:styleId="215">
    <w:name w:val="TOC 标题11"/>
    <w:basedOn w:val="2"/>
    <w:next w:val="1"/>
    <w:qFormat/>
    <w:uiPriority w:val="99"/>
    <w:pPr>
      <w:spacing w:before="340" w:after="330" w:line="576" w:lineRule="auto"/>
      <w:outlineLvl w:val="9"/>
    </w:pPr>
    <w:rPr>
      <w:rFonts w:ascii="Calibri" w:hAnsi="Calibri" w:eastAsia="宋体" w:cs="Calibri"/>
      <w:sz w:val="44"/>
    </w:rPr>
  </w:style>
  <w:style w:type="paragraph" w:customStyle="1" w:styleId="216">
    <w:name w:val="修订11"/>
    <w:qFormat/>
    <w:uiPriority w:val="99"/>
    <w:rPr>
      <w:rFonts w:ascii="Times New Roman" w:hAnsi="Times New Roman" w:eastAsia="宋体" w:cs="Times New Roman"/>
      <w:kern w:val="2"/>
      <w:sz w:val="21"/>
      <w:szCs w:val="21"/>
      <w:lang w:val="en-US" w:eastAsia="zh-CN" w:bidi="ar-SA"/>
    </w:rPr>
  </w:style>
  <w:style w:type="paragraph" w:customStyle="1" w:styleId="217">
    <w:name w:val="MsoNormal"/>
    <w:basedOn w:val="214"/>
    <w:qFormat/>
    <w:uiPriority w:val="99"/>
    <w:rPr>
      <w:rFonts w:ascii="Calibri" w:hAnsi="Calibri"/>
      <w:sz w:val="21"/>
    </w:rPr>
  </w:style>
  <w:style w:type="paragraph" w:customStyle="1" w:styleId="218">
    <w:name w:val="列出段落2"/>
    <w:basedOn w:val="1"/>
    <w:qFormat/>
    <w:uiPriority w:val="99"/>
    <w:pPr>
      <w:ind w:firstLine="420" w:firstLineChars="200"/>
    </w:pPr>
    <w:rPr>
      <w:rFonts w:ascii="Calibri" w:hAnsi="Calibri" w:cs="Calibri"/>
      <w:kern w:val="2"/>
    </w:rPr>
  </w:style>
  <w:style w:type="paragraph" w:customStyle="1" w:styleId="219">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2"/>
    <w:basedOn w:val="1"/>
    <w:qFormat/>
    <w:uiPriority w:val="99"/>
    <w:rPr>
      <w:rFonts w:ascii="Tahoma" w:hAnsi="Tahoma" w:cs="Times New Roman"/>
      <w:kern w:val="2"/>
      <w:sz w:val="24"/>
      <w:szCs w:val="20"/>
    </w:rPr>
  </w:style>
  <w:style w:type="paragraph" w:customStyle="1" w:styleId="221">
    <w:name w:val="引用1"/>
    <w:basedOn w:val="1"/>
    <w:next w:val="1"/>
    <w:qFormat/>
    <w:uiPriority w:val="99"/>
    <w:rPr>
      <w:rFonts w:ascii="Times New Roman" w:cs="Times New Roman"/>
      <w:i/>
      <w:iCs/>
      <w:color w:val="000000"/>
      <w:sz w:val="20"/>
      <w:szCs w:val="20"/>
    </w:rPr>
  </w:style>
  <w:style w:type="paragraph" w:customStyle="1" w:styleId="222">
    <w:name w:val="默认段落字体 Char"/>
    <w:basedOn w:val="1"/>
    <w:qFormat/>
    <w:uiPriority w:val="99"/>
    <w:rPr>
      <w:rFonts w:ascii="Times New Roman" w:cs="Times New Roman"/>
      <w:kern w:val="2"/>
    </w:rPr>
  </w:style>
  <w:style w:type="paragraph" w:customStyle="1" w:styleId="223">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2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Blockquote"/>
    <w:basedOn w:val="225"/>
    <w:qFormat/>
    <w:uiPriority w:val="99"/>
    <w:pPr>
      <w:autoSpaceDE w:val="0"/>
      <w:autoSpaceDN w:val="0"/>
      <w:adjustRightInd w:val="0"/>
      <w:spacing w:before="100" w:after="100"/>
      <w:ind w:left="360" w:right="360"/>
      <w:jc w:val="left"/>
    </w:pPr>
    <w:rPr>
      <w:kern w:val="0"/>
      <w:sz w:val="24"/>
      <w:szCs w:val="20"/>
    </w:rPr>
  </w:style>
  <w:style w:type="paragraph" w:customStyle="1" w:styleId="227">
    <w:name w:val="Normal_0"/>
    <w:qFormat/>
    <w:uiPriority w:val="99"/>
    <w:pPr>
      <w:widowControl w:val="0"/>
      <w:jc w:val="both"/>
    </w:pPr>
    <w:rPr>
      <w:rFonts w:ascii="Times New Roman" w:hAnsi="Times New Roman" w:eastAsia="宋体" w:cs="Times New Roman"/>
      <w:lang w:val="en-US" w:eastAsia="zh-CN" w:bidi="ar-SA"/>
    </w:rPr>
  </w:style>
  <w:style w:type="paragraph" w:customStyle="1" w:styleId="228">
    <w:name w:val="Char Char Char Char Char Char Char1"/>
    <w:basedOn w:val="1"/>
    <w:qFormat/>
    <w:uiPriority w:val="99"/>
    <w:rPr>
      <w:rFonts w:ascii="Times New Roman" w:cs="Times New Roman"/>
      <w:kern w:val="2"/>
      <w:szCs w:val="24"/>
    </w:rPr>
  </w:style>
  <w:style w:type="paragraph" w:customStyle="1" w:styleId="229">
    <w:name w:val="_Style 202"/>
    <w:qFormat/>
    <w:uiPriority w:val="99"/>
    <w:rPr>
      <w:rFonts w:ascii="宋体" w:hAnsi="Times New Roman" w:eastAsia="宋体" w:cs="宋体"/>
      <w:sz w:val="21"/>
      <w:szCs w:val="21"/>
      <w:lang w:val="en-US" w:eastAsia="zh-CN" w:bidi="ar-SA"/>
    </w:rPr>
  </w:style>
  <w:style w:type="character" w:customStyle="1" w:styleId="230">
    <w:name w:val="hover1"/>
    <w:qFormat/>
    <w:uiPriority w:val="99"/>
    <w:rPr>
      <w:rFonts w:cs="Times New Roman"/>
      <w:shd w:val="clear" w:color="auto" w:fill="9370DB"/>
    </w:rPr>
  </w:style>
  <w:style w:type="paragraph" w:customStyle="1" w:styleId="231">
    <w:name w:val="_Style 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2"/>
    <w:qFormat/>
    <w:uiPriority w:val="99"/>
    <w:pPr>
      <w:spacing w:line="384" w:lineRule="auto"/>
    </w:pPr>
    <w:rPr>
      <w:rFonts w:ascii="宋体" w:hAnsi="宋体" w:eastAsia="宋体" w:cs="Times New Roman"/>
      <w:sz w:val="24"/>
      <w:szCs w:val="24"/>
      <w:lang w:val="en-US" w:eastAsia="zh-CN" w:bidi="ar-SA"/>
    </w:rPr>
  </w:style>
  <w:style w:type="character" w:customStyle="1" w:styleId="234">
    <w:name w:val="style2"/>
    <w:qFormat/>
    <w:uiPriority w:val="99"/>
    <w:rPr>
      <w:rFonts w:cs="Times New Roman"/>
    </w:rPr>
  </w:style>
  <w:style w:type="character" w:customStyle="1" w:styleId="235">
    <w:name w:val="Char Char"/>
    <w:qFormat/>
    <w:uiPriority w:val="99"/>
    <w:rPr>
      <w:rFonts w:ascii="Arial" w:hAnsi="Arial" w:eastAsia="黑体"/>
      <w:b/>
      <w:kern w:val="2"/>
      <w:sz w:val="32"/>
      <w:lang w:val="en-US" w:eastAsia="zh-CN"/>
    </w:rPr>
  </w:style>
  <w:style w:type="character" w:customStyle="1" w:styleId="236">
    <w:name w:val="font161"/>
    <w:qFormat/>
    <w:uiPriority w:val="99"/>
    <w:rPr>
      <w:b/>
      <w:sz w:val="32"/>
    </w:rPr>
  </w:style>
  <w:style w:type="character" w:customStyle="1" w:styleId="237">
    <w:name w:val="Char Char2"/>
    <w:qFormat/>
    <w:uiPriority w:val="99"/>
    <w:rPr>
      <w:rFonts w:ascii="宋体" w:hAnsi="Courier New" w:eastAsia="宋体"/>
      <w:color w:val="000000"/>
      <w:kern w:val="2"/>
      <w:sz w:val="21"/>
      <w:lang w:val="en-US" w:eastAsia="zh-CN"/>
    </w:rPr>
  </w:style>
  <w:style w:type="character" w:customStyle="1" w:styleId="238">
    <w:name w:val="正文文本缩进 3 Char1"/>
    <w:semiHidden/>
    <w:qFormat/>
    <w:uiPriority w:val="99"/>
    <w:rPr>
      <w:rFonts w:cs="Times New Roman"/>
      <w:sz w:val="16"/>
      <w:szCs w:val="16"/>
    </w:rPr>
  </w:style>
  <w:style w:type="character" w:customStyle="1" w:styleId="239">
    <w:name w:val="正文文本 3 Char1"/>
    <w:semiHidden/>
    <w:qFormat/>
    <w:uiPriority w:val="99"/>
    <w:rPr>
      <w:rFonts w:cs="Times New Roman"/>
      <w:sz w:val="16"/>
      <w:szCs w:val="16"/>
    </w:rPr>
  </w:style>
  <w:style w:type="paragraph" w:customStyle="1" w:styleId="240">
    <w:name w:val="Table Paragraph"/>
    <w:basedOn w:val="1"/>
    <w:qFormat/>
    <w:uiPriority w:val="99"/>
    <w:pPr>
      <w:autoSpaceDE w:val="0"/>
      <w:autoSpaceDN w:val="0"/>
      <w:adjustRightInd w:val="0"/>
      <w:jc w:val="left"/>
    </w:pPr>
    <w:rPr>
      <w:rFonts w:ascii="Times New Roman" w:cs="Times New Roman"/>
      <w:sz w:val="24"/>
      <w:szCs w:val="24"/>
    </w:rPr>
  </w:style>
  <w:style w:type="character" w:customStyle="1" w:styleId="241">
    <w:name w:val="正文文本 2 Char1"/>
    <w:semiHidden/>
    <w:qFormat/>
    <w:uiPriority w:val="99"/>
    <w:rPr>
      <w:rFonts w:cs="Times New Roman"/>
    </w:rPr>
  </w:style>
  <w:style w:type="paragraph" w:customStyle="1" w:styleId="242">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43">
    <w:name w:val="样式 样式 样式 样式 标题 2 + 宋体 五号 非加粗 黑色 + 段前: 6 磅 段后: 0 磅 行距: 单倍行距 + 段前:..."/>
    <w:basedOn w:val="1"/>
    <w:qFormat/>
    <w:uiPriority w:val="99"/>
    <w:pPr>
      <w:keepNext/>
      <w:keepLines/>
      <w:adjustRightInd w:val="0"/>
      <w:spacing w:before="240"/>
      <w:jc w:val="left"/>
      <w:outlineLvl w:val="1"/>
    </w:pPr>
    <w:rPr>
      <w:rFonts w:hAnsi="宋体" w:cs="Times New Roman"/>
      <w:b/>
      <w:bCs/>
      <w:color w:val="000000"/>
      <w:szCs w:val="20"/>
    </w:rPr>
  </w:style>
  <w:style w:type="paragraph" w:customStyle="1" w:styleId="244">
    <w:name w:val="Char Char Char"/>
    <w:basedOn w:val="1"/>
    <w:qFormat/>
    <w:uiPriority w:val="99"/>
    <w:rPr>
      <w:rFonts w:ascii="Tahoma" w:hAnsi="Tahoma" w:cs="Times New Roman"/>
      <w:kern w:val="2"/>
      <w:sz w:val="24"/>
      <w:szCs w:val="20"/>
    </w:rPr>
  </w:style>
  <w:style w:type="paragraph" w:customStyle="1" w:styleId="245">
    <w:name w:val="样式 标题 1 + 黑体 三号 非加粗 居中 段前: 6 磅 段后: 6 磅 行距: 固定值 20 磅"/>
    <w:basedOn w:val="2"/>
    <w:qFormat/>
    <w:uiPriority w:val="99"/>
    <w:pPr>
      <w:spacing w:before="120" w:after="120" w:line="400" w:lineRule="exact"/>
      <w:jc w:val="center"/>
    </w:pPr>
    <w:rPr>
      <w:rFonts w:ascii="黑体" w:hAnsi="黑体"/>
      <w:b w:val="0"/>
      <w:bCs w:val="0"/>
      <w:szCs w:val="20"/>
    </w:rPr>
  </w:style>
  <w:style w:type="paragraph" w:customStyle="1" w:styleId="246">
    <w:name w:val="xl24"/>
    <w:basedOn w:val="1"/>
    <w:qFormat/>
    <w:uiPriority w:val="99"/>
    <w:pPr>
      <w:widowControl/>
      <w:spacing w:before="100" w:beforeAutospacing="1" w:after="100" w:afterAutospacing="1"/>
      <w:jc w:val="left"/>
    </w:pPr>
    <w:rPr>
      <w:rFonts w:hAnsi="宋体" w:cs="Times New Roman"/>
      <w:sz w:val="22"/>
      <w:szCs w:val="22"/>
    </w:rPr>
  </w:style>
  <w:style w:type="paragraph" w:customStyle="1" w:styleId="247">
    <w:name w:val="xl36"/>
    <w:basedOn w:val="1"/>
    <w:qFormat/>
    <w:uiPriority w:val="99"/>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48">
    <w:name w:val="3"/>
    <w:basedOn w:val="1"/>
    <w:next w:val="25"/>
    <w:qFormat/>
    <w:uiPriority w:val="99"/>
    <w:rPr>
      <w:rFonts w:hAnsi="Courier New" w:cs="Times New Roman"/>
      <w:kern w:val="2"/>
      <w:szCs w:val="20"/>
    </w:rPr>
  </w:style>
  <w:style w:type="paragraph" w:customStyle="1" w:styleId="249">
    <w:name w:val="表格"/>
    <w:basedOn w:val="1"/>
    <w:qFormat/>
    <w:uiPriority w:val="99"/>
    <w:pPr>
      <w:jc w:val="center"/>
      <w:textAlignment w:val="center"/>
    </w:pPr>
    <w:rPr>
      <w:rFonts w:ascii="华文细黑" w:hAnsi="华文细黑" w:cs="Times New Roman"/>
      <w:szCs w:val="20"/>
    </w:rPr>
  </w:style>
  <w:style w:type="paragraph" w:customStyle="1" w:styleId="250">
    <w:name w:val="Char Char Char Char Char Char Char Char Char Char Char Char Char Char Char Char"/>
    <w:basedOn w:val="1"/>
    <w:qFormat/>
    <w:uiPriority w:val="99"/>
    <w:pPr>
      <w:tabs>
        <w:tab w:val="left" w:pos="360"/>
      </w:tabs>
      <w:spacing w:line="360" w:lineRule="auto"/>
      <w:ind w:left="482" w:firstLine="200" w:firstLineChars="200"/>
    </w:pPr>
    <w:rPr>
      <w:rFonts w:cs="Times New Roman"/>
      <w:kern w:val="2"/>
      <w:sz w:val="24"/>
      <w:szCs w:val="20"/>
    </w:rPr>
  </w:style>
  <w:style w:type="paragraph" w:customStyle="1" w:styleId="251">
    <w:name w:val="6'"/>
    <w:basedOn w:val="1"/>
    <w:qFormat/>
    <w:uiPriority w:val="99"/>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52">
    <w:name w:val="5 Char Char Char Char Char Char Char Char Char Char"/>
    <w:basedOn w:val="1"/>
    <w:qFormat/>
    <w:uiPriority w:val="99"/>
    <w:rPr>
      <w:rFonts w:ascii="Times New Roman" w:cs="Times New Roman"/>
      <w:kern w:val="2"/>
      <w:szCs w:val="24"/>
    </w:rPr>
  </w:style>
  <w:style w:type="paragraph" w:customStyle="1" w:styleId="253">
    <w:name w:val="合同正文"/>
    <w:basedOn w:val="1"/>
    <w:qFormat/>
    <w:uiPriority w:val="99"/>
    <w:pPr>
      <w:adjustRightInd w:val="0"/>
      <w:spacing w:line="580" w:lineRule="exact"/>
    </w:pPr>
    <w:rPr>
      <w:rFonts w:ascii="仿宋_GB2312" w:eastAsia="仿宋_GB2312" w:cs="Times New Roman"/>
      <w:b/>
      <w:kern w:val="2"/>
      <w:sz w:val="24"/>
      <w:szCs w:val="20"/>
    </w:rPr>
  </w:style>
  <w:style w:type="paragraph" w:customStyle="1" w:styleId="254">
    <w:name w:val="2"/>
    <w:basedOn w:val="1"/>
    <w:next w:val="25"/>
    <w:qFormat/>
    <w:uiPriority w:val="99"/>
    <w:rPr>
      <w:rFonts w:hAnsi="Courier New" w:cs="Times New Roman"/>
      <w:kern w:val="2"/>
      <w:szCs w:val="20"/>
    </w:rPr>
  </w:style>
  <w:style w:type="paragraph" w:customStyle="1" w:styleId="255">
    <w:name w:val="表格文字"/>
    <w:basedOn w:val="1"/>
    <w:qFormat/>
    <w:uiPriority w:val="0"/>
    <w:pPr>
      <w:adjustRightInd w:val="0"/>
      <w:spacing w:line="420" w:lineRule="atLeast"/>
      <w:jc w:val="left"/>
      <w:textAlignment w:val="baseline"/>
    </w:pPr>
    <w:rPr>
      <w:rFonts w:ascii="Times New Roman" w:cs="Times New Roman"/>
      <w:szCs w:val="20"/>
    </w:rPr>
  </w:style>
  <w:style w:type="paragraph" w:customStyle="1" w:styleId="256">
    <w:name w:val="列出段落3"/>
    <w:basedOn w:val="1"/>
    <w:qFormat/>
    <w:uiPriority w:val="99"/>
    <w:pPr>
      <w:ind w:firstLine="420" w:firstLineChars="200"/>
    </w:pPr>
    <w:rPr>
      <w:rFonts w:ascii="Times New Roman" w:cs="Times New Roman"/>
      <w:kern w:val="2"/>
      <w:szCs w:val="24"/>
    </w:rPr>
  </w:style>
  <w:style w:type="paragraph" w:customStyle="1" w:styleId="257">
    <w:name w:val="Char Char Char Char Char Char Char Char Char Char"/>
    <w:basedOn w:val="1"/>
    <w:qFormat/>
    <w:uiPriority w:val="99"/>
    <w:pPr>
      <w:widowControl/>
      <w:spacing w:after="160" w:line="240" w:lineRule="exact"/>
      <w:jc w:val="left"/>
    </w:pPr>
    <w:rPr>
      <w:rFonts w:ascii="Verdana" w:hAnsi="Verdana" w:cs="Times New Roman"/>
      <w:szCs w:val="20"/>
      <w:lang w:eastAsia="en-US"/>
    </w:rPr>
  </w:style>
  <w:style w:type="table" w:customStyle="1" w:styleId="25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
    <w:name w:val="网格型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0">
    <w:name w:val="列出段落4"/>
    <w:basedOn w:val="1"/>
    <w:qFormat/>
    <w:uiPriority w:val="99"/>
    <w:pPr>
      <w:ind w:firstLine="420" w:firstLineChars="200"/>
    </w:pPr>
    <w:rPr>
      <w:rFonts w:ascii="Times New Roman" w:cs="Times New Roman"/>
      <w:kern w:val="2"/>
      <w:szCs w:val="24"/>
    </w:rPr>
  </w:style>
  <w:style w:type="character" w:customStyle="1" w:styleId="261">
    <w:name w:val="Body text|1_"/>
    <w:link w:val="262"/>
    <w:qFormat/>
    <w:locked/>
    <w:uiPriority w:val="99"/>
    <w:rPr>
      <w:rFonts w:ascii="宋体" w:hAnsi="宋体" w:eastAsia="宋体" w:cs="Times New Roman"/>
      <w:sz w:val="20"/>
      <w:szCs w:val="20"/>
      <w:lang w:val="zh-CN"/>
    </w:rPr>
  </w:style>
  <w:style w:type="paragraph" w:customStyle="1" w:styleId="262">
    <w:name w:val="Body text|1"/>
    <w:basedOn w:val="1"/>
    <w:link w:val="261"/>
    <w:qFormat/>
    <w:uiPriority w:val="99"/>
    <w:pPr>
      <w:spacing w:line="360" w:lineRule="auto"/>
      <w:ind w:firstLine="400"/>
      <w:jc w:val="left"/>
    </w:pPr>
    <w:rPr>
      <w:rFonts w:hAnsi="宋体"/>
      <w:sz w:val="20"/>
      <w:szCs w:val="20"/>
      <w:lang w:val="zh-CN"/>
    </w:rPr>
  </w:style>
  <w:style w:type="character" w:customStyle="1" w:styleId="263">
    <w:name w:val="Other|1_"/>
    <w:link w:val="264"/>
    <w:qFormat/>
    <w:locked/>
    <w:uiPriority w:val="99"/>
    <w:rPr>
      <w:rFonts w:ascii="宋体" w:hAnsi="宋体" w:eastAsia="宋体" w:cs="Times New Roman"/>
      <w:sz w:val="20"/>
      <w:szCs w:val="20"/>
      <w:lang w:val="zh-CN"/>
    </w:rPr>
  </w:style>
  <w:style w:type="paragraph" w:customStyle="1" w:styleId="264">
    <w:name w:val="Other|1"/>
    <w:basedOn w:val="1"/>
    <w:link w:val="263"/>
    <w:qFormat/>
    <w:uiPriority w:val="99"/>
    <w:pPr>
      <w:spacing w:line="360" w:lineRule="auto"/>
      <w:ind w:firstLine="400"/>
      <w:jc w:val="left"/>
    </w:pPr>
    <w:rPr>
      <w:rFonts w:hAnsi="宋体"/>
      <w:sz w:val="20"/>
      <w:szCs w:val="20"/>
      <w:lang w:val="zh-CN"/>
    </w:rPr>
  </w:style>
  <w:style w:type="character" w:customStyle="1" w:styleId="265">
    <w:name w:val="Header or footer|1_"/>
    <w:link w:val="266"/>
    <w:qFormat/>
    <w:locked/>
    <w:uiPriority w:val="99"/>
    <w:rPr>
      <w:rFonts w:cs="Times New Roman"/>
      <w:sz w:val="17"/>
      <w:szCs w:val="17"/>
      <w:lang w:val="zh-CN"/>
    </w:rPr>
  </w:style>
  <w:style w:type="paragraph" w:customStyle="1" w:styleId="266">
    <w:name w:val="Header or footer|1"/>
    <w:basedOn w:val="1"/>
    <w:link w:val="265"/>
    <w:qFormat/>
    <w:uiPriority w:val="99"/>
    <w:pPr>
      <w:jc w:val="center"/>
    </w:pPr>
    <w:rPr>
      <w:sz w:val="17"/>
      <w:szCs w:val="17"/>
      <w:lang w:val="zh-CN"/>
    </w:rPr>
  </w:style>
  <w:style w:type="character" w:customStyle="1" w:styleId="267">
    <w:name w:val="4 Char Char"/>
    <w:link w:val="268"/>
    <w:qFormat/>
    <w:locked/>
    <w:uiPriority w:val="99"/>
    <w:rPr>
      <w:rFonts w:ascii="宋体" w:hAnsi="Courier New"/>
      <w:kern w:val="2"/>
    </w:rPr>
  </w:style>
  <w:style w:type="paragraph" w:customStyle="1" w:styleId="268">
    <w:name w:val="4"/>
    <w:basedOn w:val="1"/>
    <w:next w:val="25"/>
    <w:link w:val="267"/>
    <w:qFormat/>
    <w:uiPriority w:val="99"/>
    <w:rPr>
      <w:rFonts w:hAnsi="Courier New" w:cs="Times New Roman"/>
      <w:kern w:val="2"/>
      <w:sz w:val="20"/>
      <w:szCs w:val="20"/>
    </w:rPr>
  </w:style>
  <w:style w:type="character" w:customStyle="1" w:styleId="269">
    <w:name w:val="Char Char61"/>
    <w:qFormat/>
    <w:uiPriority w:val="99"/>
    <w:rPr>
      <w:rFonts w:ascii="宋体" w:hAnsi="Courier New"/>
      <w:kern w:val="2"/>
      <w:sz w:val="21"/>
    </w:rPr>
  </w:style>
  <w:style w:type="character" w:customStyle="1" w:styleId="270">
    <w:name w:val="正文缩进 Char"/>
    <w:link w:val="13"/>
    <w:qFormat/>
    <w:locked/>
    <w:uiPriority w:val="99"/>
    <w:rPr>
      <w:sz w:val="20"/>
    </w:rPr>
  </w:style>
  <w:style w:type="character" w:customStyle="1" w:styleId="271">
    <w:name w:val="Char Char1"/>
    <w:qFormat/>
    <w:uiPriority w:val="99"/>
    <w:rPr>
      <w:rFonts w:ascii="宋体" w:hAnsi="Courier New" w:eastAsia="华文宋体"/>
      <w:kern w:val="2"/>
      <w:sz w:val="28"/>
      <w:lang w:val="en-US" w:eastAsia="zh-CN"/>
    </w:rPr>
  </w:style>
  <w:style w:type="character" w:customStyle="1" w:styleId="272">
    <w:name w:val="Char Char Char1"/>
    <w:qFormat/>
    <w:uiPriority w:val="99"/>
    <w:rPr>
      <w:rFonts w:ascii="宋体" w:hAnsi="Courier New" w:eastAsia="宋体"/>
      <w:kern w:val="2"/>
      <w:sz w:val="21"/>
      <w:lang w:val="en-US" w:eastAsia="zh-CN"/>
    </w:rPr>
  </w:style>
  <w:style w:type="character" w:customStyle="1" w:styleId="273">
    <w:name w:val="105v1"/>
    <w:qFormat/>
    <w:uiPriority w:val="99"/>
    <w:rPr>
      <w:rFonts w:ascii="??" w:hAnsi="??"/>
      <w:sz w:val="21"/>
    </w:rPr>
  </w:style>
  <w:style w:type="character" w:customStyle="1" w:styleId="274">
    <w:name w:val="f141"/>
    <w:qFormat/>
    <w:uiPriority w:val="99"/>
    <w:rPr>
      <w:sz w:val="21"/>
    </w:rPr>
  </w:style>
  <w:style w:type="character" w:customStyle="1" w:styleId="275">
    <w:name w:val="062"/>
    <w:qFormat/>
    <w:uiPriority w:val="99"/>
    <w:rPr>
      <w:rFonts w:ascii="宋体" w:eastAsia="宋体"/>
      <w:b/>
      <w:sz w:val="32"/>
    </w:rPr>
  </w:style>
  <w:style w:type="character" w:customStyle="1" w:styleId="276">
    <w:name w:val="ask-title"/>
    <w:qFormat/>
    <w:uiPriority w:val="99"/>
    <w:rPr>
      <w:rFonts w:cs="Times New Roman"/>
    </w:rPr>
  </w:style>
  <w:style w:type="paragraph" w:customStyle="1" w:styleId="277">
    <w:name w:val="样式3"/>
    <w:basedOn w:val="1"/>
    <w:qFormat/>
    <w:uiPriority w:val="99"/>
    <w:pPr>
      <w:snapToGrid w:val="0"/>
      <w:spacing w:line="360" w:lineRule="auto"/>
      <w:jc w:val="center"/>
    </w:pPr>
    <w:rPr>
      <w:rFonts w:ascii="方正小标宋简体" w:eastAsia="方正小标宋简体" w:cs="Times New Roman"/>
      <w:kern w:val="2"/>
      <w:sz w:val="44"/>
      <w:szCs w:val="44"/>
    </w:rPr>
  </w:style>
  <w:style w:type="paragraph" w:customStyle="1" w:styleId="278">
    <w:name w:val="font7"/>
    <w:basedOn w:val="1"/>
    <w:qFormat/>
    <w:uiPriority w:val="99"/>
    <w:pPr>
      <w:widowControl/>
      <w:spacing w:before="100" w:beforeAutospacing="1" w:after="100" w:afterAutospacing="1"/>
      <w:jc w:val="left"/>
    </w:pPr>
    <w:rPr>
      <w:rFonts w:ascii="Times New Roman" w:cs="Times New Roman"/>
      <w:sz w:val="24"/>
      <w:szCs w:val="24"/>
    </w:rPr>
  </w:style>
  <w:style w:type="paragraph" w:customStyle="1" w:styleId="27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80">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81">
    <w:name w:val="Char Char Char Char Char Char1 Char"/>
    <w:basedOn w:val="15"/>
    <w:qFormat/>
    <w:uiPriority w:val="99"/>
    <w:rPr>
      <w:rFonts w:ascii="Verdana" w:hAnsi="Verdana"/>
      <w:sz w:val="20"/>
      <w:szCs w:val="20"/>
      <w:shd w:val="clear" w:color="auto" w:fill="auto"/>
      <w:lang w:eastAsia="en-US"/>
    </w:rPr>
  </w:style>
  <w:style w:type="paragraph" w:customStyle="1" w:styleId="282">
    <w:name w:val="font14"/>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84">
    <w:name w:val="_Style 3"/>
    <w:basedOn w:val="1"/>
    <w:qFormat/>
    <w:uiPriority w:val="99"/>
    <w:rPr>
      <w:rFonts w:ascii="Times New Roman" w:cs="Times New Roman"/>
      <w:kern w:val="2"/>
      <w:szCs w:val="24"/>
    </w:rPr>
  </w:style>
  <w:style w:type="paragraph" w:customStyle="1" w:styleId="285">
    <w:name w:val="font9"/>
    <w:basedOn w:val="1"/>
    <w:qFormat/>
    <w:uiPriority w:val="99"/>
    <w:pPr>
      <w:widowControl/>
      <w:spacing w:before="100" w:beforeAutospacing="1" w:after="100" w:afterAutospacing="1"/>
      <w:jc w:val="left"/>
    </w:pPr>
    <w:rPr>
      <w:rFonts w:hAnsi="宋体" w:cs="Times New Roman"/>
    </w:rPr>
  </w:style>
  <w:style w:type="paragraph" w:customStyle="1" w:styleId="286">
    <w:name w:val="_Style 42"/>
    <w:basedOn w:val="1"/>
    <w:next w:val="25"/>
    <w:qFormat/>
    <w:uiPriority w:val="99"/>
    <w:rPr>
      <w:rFonts w:hAnsi="Courier New" w:cs="Times New Roman"/>
      <w:kern w:val="2"/>
      <w:szCs w:val="20"/>
    </w:rPr>
  </w:style>
  <w:style w:type="paragraph" w:customStyle="1" w:styleId="287">
    <w:name w:val="表内文字"/>
    <w:basedOn w:val="1"/>
    <w:qFormat/>
    <w:uiPriority w:val="99"/>
    <w:pPr>
      <w:snapToGrid w:val="0"/>
      <w:spacing w:line="340" w:lineRule="exact"/>
      <w:jc w:val="center"/>
    </w:pPr>
    <w:rPr>
      <w:rFonts w:hAnsi="宋体" w:cs="Times New Roman"/>
      <w:b/>
      <w:color w:val="000000"/>
      <w:kern w:val="2"/>
    </w:rPr>
  </w:style>
  <w:style w:type="paragraph" w:customStyle="1" w:styleId="288">
    <w:name w:val="Char3"/>
    <w:basedOn w:val="1"/>
    <w:qFormat/>
    <w:uiPriority w:val="99"/>
    <w:pPr>
      <w:widowControl/>
      <w:spacing w:after="160" w:line="240" w:lineRule="exact"/>
      <w:jc w:val="left"/>
    </w:pPr>
    <w:rPr>
      <w:rFonts w:ascii="Verdana" w:hAnsi="Verdana" w:cs="Times New Roman"/>
      <w:szCs w:val="20"/>
      <w:lang w:eastAsia="en-US"/>
    </w:rPr>
  </w:style>
  <w:style w:type="paragraph" w:customStyle="1" w:styleId="289">
    <w:name w:val="font12"/>
    <w:basedOn w:val="1"/>
    <w:qFormat/>
    <w:uiPriority w:val="99"/>
    <w:pPr>
      <w:widowControl/>
      <w:spacing w:before="100" w:beforeAutospacing="1" w:after="100" w:afterAutospacing="1"/>
      <w:jc w:val="left"/>
    </w:pPr>
    <w:rPr>
      <w:rFonts w:hAnsi="宋体" w:cs="Times New Roman"/>
      <w:color w:val="000000"/>
      <w:sz w:val="18"/>
      <w:szCs w:val="18"/>
    </w:rPr>
  </w:style>
  <w:style w:type="paragraph" w:customStyle="1" w:styleId="290">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291">
    <w:name w:val="font0"/>
    <w:basedOn w:val="1"/>
    <w:qFormat/>
    <w:uiPriority w:val="99"/>
    <w:pPr>
      <w:widowControl/>
      <w:spacing w:before="100" w:beforeAutospacing="1" w:after="100" w:afterAutospacing="1"/>
      <w:jc w:val="left"/>
    </w:pPr>
    <w:rPr>
      <w:rFonts w:hAnsi="宋体" w:cs="Times New Roman"/>
      <w:sz w:val="24"/>
      <w:szCs w:val="24"/>
    </w:rPr>
  </w:style>
  <w:style w:type="paragraph" w:customStyle="1" w:styleId="292">
    <w:name w:val="font8"/>
    <w:basedOn w:val="1"/>
    <w:qFormat/>
    <w:uiPriority w:val="99"/>
    <w:pPr>
      <w:widowControl/>
      <w:spacing w:before="100" w:beforeAutospacing="1" w:after="100" w:afterAutospacing="1"/>
      <w:jc w:val="left"/>
    </w:pPr>
    <w:rPr>
      <w:rFonts w:ascii="Times New Roman" w:cs="Times New Roman"/>
    </w:rPr>
  </w:style>
  <w:style w:type="paragraph" w:customStyle="1" w:styleId="293">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294">
    <w:name w:val="bb"/>
    <w:basedOn w:val="1"/>
    <w:qFormat/>
    <w:uiPriority w:val="99"/>
    <w:pPr>
      <w:widowControl/>
      <w:spacing w:before="100" w:beforeAutospacing="1" w:after="100" w:afterAutospacing="1"/>
      <w:jc w:val="left"/>
    </w:pPr>
    <w:rPr>
      <w:rFonts w:hAnsi="宋体" w:cs="Times New Roman"/>
      <w:sz w:val="24"/>
      <w:szCs w:val="24"/>
    </w:rPr>
  </w:style>
  <w:style w:type="paragraph" w:customStyle="1" w:styleId="29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6">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29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00">
    <w:name w:val="font11"/>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1">
    <w:name w:val="font10"/>
    <w:basedOn w:val="1"/>
    <w:qFormat/>
    <w:uiPriority w:val="99"/>
    <w:pPr>
      <w:widowControl/>
      <w:spacing w:before="100" w:beforeAutospacing="1" w:after="100" w:afterAutospacing="1"/>
      <w:jc w:val="left"/>
    </w:pPr>
    <w:rPr>
      <w:rFonts w:ascii="Arial" w:hAnsi="Arial" w:cs="Arial"/>
      <w:sz w:val="19"/>
      <w:szCs w:val="19"/>
    </w:rPr>
  </w:style>
  <w:style w:type="paragraph" w:customStyle="1" w:styleId="302">
    <w:name w:val="font5"/>
    <w:basedOn w:val="1"/>
    <w:qFormat/>
    <w:uiPriority w:val="99"/>
    <w:pPr>
      <w:widowControl/>
      <w:spacing w:before="100" w:beforeAutospacing="1" w:after="100" w:afterAutospacing="1"/>
      <w:jc w:val="left"/>
    </w:pPr>
    <w:rPr>
      <w:rFonts w:hAnsi="宋体" w:cs="Times New Roman"/>
      <w:sz w:val="24"/>
      <w:szCs w:val="24"/>
    </w:rPr>
  </w:style>
  <w:style w:type="paragraph" w:customStyle="1" w:styleId="30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font13"/>
    <w:basedOn w:val="1"/>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5">
    <w:name w:val="Char Char Char Char Char Char Char Char Char Char1"/>
    <w:basedOn w:val="15"/>
    <w:qFormat/>
    <w:uiPriority w:val="99"/>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0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07">
    <w:name w:val="font6"/>
    <w:basedOn w:val="1"/>
    <w:qFormat/>
    <w:uiPriority w:val="99"/>
    <w:pPr>
      <w:widowControl/>
      <w:spacing w:before="100" w:beforeAutospacing="1" w:after="100" w:afterAutospacing="1"/>
      <w:jc w:val="left"/>
    </w:pPr>
    <w:rPr>
      <w:rFonts w:hAnsi="宋体" w:cs="Times New Roman"/>
      <w:sz w:val="18"/>
      <w:szCs w:val="18"/>
    </w:rPr>
  </w:style>
  <w:style w:type="paragraph" w:customStyle="1" w:styleId="30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0">
    <w:name w:val="Char Char Char Char Char Char1 Char1"/>
    <w:basedOn w:val="1"/>
    <w:qFormat/>
    <w:uiPriority w:val="99"/>
    <w:pPr>
      <w:widowControl/>
      <w:spacing w:after="160" w:line="240" w:lineRule="exact"/>
      <w:jc w:val="left"/>
    </w:pPr>
    <w:rPr>
      <w:rFonts w:ascii="Times New Roman" w:cs="Times New Roman"/>
      <w:kern w:val="2"/>
      <w:szCs w:val="24"/>
    </w:rPr>
  </w:style>
  <w:style w:type="paragraph" w:customStyle="1" w:styleId="311">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13">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
    <w:name w:val="网格型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5">
    <w:name w:val="网格型4"/>
    <w:qFormat/>
    <w:uiPriority w:val="99"/>
    <w:rPr>
      <w:rFonts w:ascii="宋体" w:cs="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6">
    <w:name w:val="TOC 标题2"/>
    <w:basedOn w:val="2"/>
    <w:next w:val="1"/>
    <w:qFormat/>
    <w:uiPriority w:val="99"/>
    <w:pPr>
      <w:spacing w:before="340" w:after="330" w:line="576" w:lineRule="auto"/>
      <w:outlineLvl w:val="9"/>
    </w:pPr>
    <w:rPr>
      <w:rFonts w:ascii="Calibri" w:hAnsi="Calibri"/>
      <w:sz w:val="44"/>
    </w:rPr>
  </w:style>
  <w:style w:type="character" w:customStyle="1" w:styleId="317">
    <w:name w:val="不明显参考2"/>
    <w:qFormat/>
    <w:uiPriority w:val="99"/>
    <w:rPr>
      <w:smallCaps/>
      <w:color w:val="C0504D"/>
      <w:u w:val="single"/>
    </w:rPr>
  </w:style>
  <w:style w:type="character" w:customStyle="1" w:styleId="318">
    <w:name w:val="不明显强调2"/>
    <w:qFormat/>
    <w:uiPriority w:val="99"/>
    <w:rPr>
      <w:i/>
      <w:color w:val="808080"/>
    </w:rPr>
  </w:style>
  <w:style w:type="character" w:customStyle="1" w:styleId="319">
    <w:name w:val="明显参考2"/>
    <w:qFormat/>
    <w:uiPriority w:val="99"/>
    <w:rPr>
      <w:b/>
      <w:smallCaps/>
      <w:color w:val="C0504D"/>
      <w:spacing w:val="5"/>
      <w:u w:val="single"/>
    </w:rPr>
  </w:style>
  <w:style w:type="character" w:customStyle="1" w:styleId="320">
    <w:name w:val="明显强调2"/>
    <w:qFormat/>
    <w:uiPriority w:val="99"/>
    <w:rPr>
      <w:b/>
      <w:i/>
      <w:color w:val="4F81BD"/>
    </w:rPr>
  </w:style>
  <w:style w:type="character" w:customStyle="1" w:styleId="321">
    <w:name w:val="书籍标题2"/>
    <w:qFormat/>
    <w:uiPriority w:val="99"/>
    <w:rPr>
      <w:b/>
      <w:smallCaps/>
      <w:spacing w:val="5"/>
    </w:rPr>
  </w:style>
  <w:style w:type="paragraph" w:customStyle="1" w:styleId="322">
    <w:name w:val="修订2"/>
    <w:qFormat/>
    <w:uiPriority w:val="99"/>
    <w:rPr>
      <w:rFonts w:ascii="Times New Roman" w:hAnsi="Times New Roman" w:eastAsia="宋体" w:cs="宋体"/>
      <w:kern w:val="2"/>
      <w:sz w:val="21"/>
      <w:szCs w:val="24"/>
      <w:lang w:val="en-US" w:eastAsia="zh-CN" w:bidi="ar-SA"/>
    </w:rPr>
  </w:style>
  <w:style w:type="table" w:customStyle="1" w:styleId="323">
    <w:name w:val="网格型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1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6">
    <w:name w:val="网格型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7">
    <w:name w:val="明显参考3"/>
    <w:qFormat/>
    <w:uiPriority w:val="99"/>
    <w:rPr>
      <w:rFonts w:cs="Times New Roman"/>
      <w:b/>
      <w:bCs/>
      <w:smallCaps/>
      <w:color w:val="C0504D"/>
      <w:spacing w:val="5"/>
      <w:u w:val="single"/>
    </w:rPr>
  </w:style>
  <w:style w:type="character" w:customStyle="1" w:styleId="328">
    <w:name w:val="first-child2"/>
    <w:qFormat/>
    <w:uiPriority w:val="99"/>
    <w:rPr>
      <w:rFonts w:cs="Times New Roman"/>
    </w:rPr>
  </w:style>
  <w:style w:type="character" w:customStyle="1" w:styleId="329">
    <w:name w:val="content"/>
    <w:qFormat/>
    <w:uiPriority w:val="99"/>
    <w:rPr>
      <w:rFonts w:cs="Times New Roman"/>
    </w:rPr>
  </w:style>
  <w:style w:type="character" w:customStyle="1" w:styleId="330">
    <w:name w:val="中等深浅网格 2 - 强调文字颜色 2 Char"/>
    <w:qFormat/>
    <w:uiPriority w:val="99"/>
    <w:rPr>
      <w:rFonts w:cs="Times New Roman"/>
      <w:i/>
      <w:iCs/>
      <w:color w:val="000000"/>
    </w:rPr>
  </w:style>
  <w:style w:type="character" w:customStyle="1" w:styleId="331">
    <w:name w:val="ant-tree-switcher"/>
    <w:qFormat/>
    <w:uiPriority w:val="99"/>
    <w:rPr>
      <w:rFonts w:cs="Times New Roman"/>
    </w:rPr>
  </w:style>
  <w:style w:type="character" w:customStyle="1" w:styleId="332">
    <w:name w:val="不明显参考3"/>
    <w:qFormat/>
    <w:uiPriority w:val="99"/>
    <w:rPr>
      <w:rFonts w:cs="Times New Roman"/>
      <w:smallCaps/>
      <w:color w:val="C0504D"/>
      <w:u w:val="single"/>
    </w:rPr>
  </w:style>
  <w:style w:type="character" w:customStyle="1" w:styleId="333">
    <w:name w:val="纯文本 Char11"/>
    <w:qFormat/>
    <w:uiPriority w:val="99"/>
    <w:rPr>
      <w:rFonts w:ascii="宋体" w:hAnsi="Courier New" w:eastAsia="宋体" w:cs="Courier New"/>
      <w:sz w:val="21"/>
      <w:szCs w:val="21"/>
    </w:rPr>
  </w:style>
  <w:style w:type="character" w:customStyle="1" w:styleId="334">
    <w:name w:val="ant-badge-status-dot2"/>
    <w:qFormat/>
    <w:uiPriority w:val="99"/>
    <w:rPr>
      <w:rFonts w:cs="Times New Roman"/>
      <w:shd w:val="clear" w:color="auto" w:fill="FFFFFF"/>
    </w:rPr>
  </w:style>
  <w:style w:type="character" w:customStyle="1" w:styleId="335">
    <w:name w:val="书籍标题3"/>
    <w:qFormat/>
    <w:uiPriority w:val="99"/>
    <w:rPr>
      <w:rFonts w:cs="Times New Roman"/>
      <w:b/>
      <w:bCs/>
      <w:smallCaps/>
      <w:spacing w:val="5"/>
    </w:rPr>
  </w:style>
  <w:style w:type="character" w:customStyle="1" w:styleId="336">
    <w:name w:val="标题 4 Char1"/>
    <w:link w:val="5"/>
    <w:qFormat/>
    <w:locked/>
    <w:uiPriority w:val="99"/>
    <w:rPr>
      <w:rFonts w:ascii="Arial" w:hAnsi="Arial" w:eastAsia="宋体" w:cs="Arial"/>
      <w:b/>
      <w:bCs/>
      <w:kern w:val="2"/>
      <w:sz w:val="28"/>
      <w:szCs w:val="28"/>
      <w:lang w:val="en-US" w:eastAsia="zh-CN"/>
    </w:rPr>
  </w:style>
  <w:style w:type="character" w:customStyle="1" w:styleId="337">
    <w:name w:val="ant-select-tree-checkbox2"/>
    <w:qFormat/>
    <w:uiPriority w:val="99"/>
    <w:rPr>
      <w:rFonts w:cs="Times New Roman"/>
    </w:rPr>
  </w:style>
  <w:style w:type="character" w:customStyle="1" w:styleId="338">
    <w:name w:val="标题 1 Char1"/>
    <w:link w:val="2"/>
    <w:qFormat/>
    <w:locked/>
    <w:uiPriority w:val="99"/>
    <w:rPr>
      <w:rFonts w:ascii="黑体" w:hAnsi="宋体" w:eastAsia="黑体" w:cs="黑体"/>
      <w:b/>
      <w:bCs/>
      <w:kern w:val="44"/>
      <w:sz w:val="44"/>
      <w:szCs w:val="44"/>
      <w:lang w:val="en-US" w:eastAsia="zh-CN"/>
    </w:rPr>
  </w:style>
  <w:style w:type="character" w:customStyle="1" w:styleId="339">
    <w:name w:val="标题 2 Char1"/>
    <w:link w:val="3"/>
    <w:qFormat/>
    <w:locked/>
    <w:uiPriority w:val="99"/>
    <w:rPr>
      <w:rFonts w:ascii="Arial" w:hAnsi="Arial" w:eastAsia="黑体" w:cs="Arial"/>
      <w:b/>
      <w:bCs/>
      <w:kern w:val="2"/>
      <w:sz w:val="32"/>
      <w:szCs w:val="32"/>
      <w:lang w:val="en-US" w:eastAsia="zh-CN"/>
    </w:rPr>
  </w:style>
  <w:style w:type="character" w:customStyle="1" w:styleId="340">
    <w:name w:val="标题 3 Char1"/>
    <w:link w:val="4"/>
    <w:qFormat/>
    <w:locked/>
    <w:uiPriority w:val="99"/>
    <w:rPr>
      <w:rFonts w:ascii="黑体" w:hAnsi="宋体" w:eastAsia="黑体" w:cs="黑体"/>
      <w:b/>
      <w:bCs/>
      <w:kern w:val="2"/>
      <w:sz w:val="32"/>
      <w:szCs w:val="32"/>
      <w:lang w:val="en-US" w:eastAsia="zh-CN"/>
    </w:rPr>
  </w:style>
  <w:style w:type="character" w:customStyle="1" w:styleId="341">
    <w:name w:val="标题 5 Char1"/>
    <w:link w:val="6"/>
    <w:qFormat/>
    <w:locked/>
    <w:uiPriority w:val="99"/>
    <w:rPr>
      <w:rFonts w:ascii="宋体" w:hAnsi="宋体" w:eastAsia="宋体" w:cs="宋体"/>
      <w:b/>
      <w:bCs/>
      <w:kern w:val="2"/>
      <w:sz w:val="28"/>
      <w:szCs w:val="28"/>
      <w:lang w:val="en-US" w:eastAsia="zh-CN"/>
    </w:rPr>
  </w:style>
  <w:style w:type="character" w:customStyle="1" w:styleId="342">
    <w:name w:val="纯文本 Char3"/>
    <w:qFormat/>
    <w:locked/>
    <w:uiPriority w:val="99"/>
    <w:rPr>
      <w:rFonts w:ascii="宋体" w:hAnsi="Courier New" w:eastAsia="宋体" w:cs="宋体"/>
      <w:kern w:val="2"/>
      <w:sz w:val="24"/>
      <w:szCs w:val="24"/>
      <w:lang w:val="en-US" w:eastAsia="zh-CN"/>
    </w:rPr>
  </w:style>
  <w:style w:type="character" w:customStyle="1" w:styleId="343">
    <w:name w:val="普通文字 Char Char21"/>
    <w:qFormat/>
    <w:uiPriority w:val="99"/>
    <w:rPr>
      <w:rFonts w:ascii="宋体" w:hAnsi="Courier New" w:eastAsia="宋体" w:cs="宋体"/>
      <w:kern w:val="2"/>
      <w:sz w:val="24"/>
      <w:szCs w:val="24"/>
    </w:rPr>
  </w:style>
  <w:style w:type="character" w:customStyle="1" w:styleId="344">
    <w:name w:val="明显引用字符"/>
    <w:qFormat/>
    <w:uiPriority w:val="99"/>
    <w:rPr>
      <w:rFonts w:cs="Times New Roman"/>
      <w:b/>
      <w:bCs/>
      <w:i/>
      <w:iCs/>
      <w:color w:val="4F81BD"/>
    </w:rPr>
  </w:style>
  <w:style w:type="character" w:customStyle="1" w:styleId="345">
    <w:name w:val="all-fit-info"/>
    <w:qFormat/>
    <w:uiPriority w:val="99"/>
    <w:rPr>
      <w:rFonts w:cs="Times New Roman"/>
      <w:color w:val="939393"/>
    </w:rPr>
  </w:style>
  <w:style w:type="character" w:customStyle="1" w:styleId="346">
    <w:name w:val="明显强调3"/>
    <w:qFormat/>
    <w:uiPriority w:val="99"/>
    <w:rPr>
      <w:rFonts w:cs="Times New Roman"/>
      <w:b/>
      <w:bCs/>
      <w:i/>
      <w:iCs/>
      <w:color w:val="4F81BD"/>
    </w:rPr>
  </w:style>
  <w:style w:type="character" w:customStyle="1" w:styleId="347">
    <w:name w:val="last-child8"/>
    <w:qFormat/>
    <w:uiPriority w:val="99"/>
    <w:rPr>
      <w:rFonts w:cs="Times New Roman"/>
    </w:rPr>
  </w:style>
  <w:style w:type="character" w:customStyle="1" w:styleId="348">
    <w:name w:val="Char Char241"/>
    <w:qFormat/>
    <w:uiPriority w:val="99"/>
    <w:rPr>
      <w:rFonts w:ascii="宋体" w:hAnsi="宋体" w:eastAsia="宋体" w:cs="宋体"/>
      <w:b/>
      <w:bCs/>
      <w:kern w:val="44"/>
      <w:sz w:val="44"/>
      <w:szCs w:val="44"/>
      <w:lang w:val="en-US" w:eastAsia="zh-CN"/>
    </w:rPr>
  </w:style>
  <w:style w:type="character" w:customStyle="1" w:styleId="349">
    <w:name w:val="all-fit-info2"/>
    <w:qFormat/>
    <w:uiPriority w:val="99"/>
    <w:rPr>
      <w:rFonts w:cs="Times New Roman"/>
      <w:color w:val="939393"/>
    </w:rPr>
  </w:style>
  <w:style w:type="character" w:customStyle="1" w:styleId="350">
    <w:name w:val="current1"/>
    <w:qFormat/>
    <w:uiPriority w:val="99"/>
    <w:rPr>
      <w:rFonts w:cs="Times New Roman"/>
      <w:color w:val="00C1DE"/>
    </w:rPr>
  </w:style>
  <w:style w:type="character" w:customStyle="1" w:styleId="351">
    <w:name w:val="last-child6"/>
    <w:qFormat/>
    <w:uiPriority w:val="99"/>
    <w:rPr>
      <w:rFonts w:cs="Times New Roman"/>
    </w:rPr>
  </w:style>
  <w:style w:type="character" w:customStyle="1" w:styleId="352">
    <w:name w:val="ant-select-tree-switcher"/>
    <w:qFormat/>
    <w:uiPriority w:val="99"/>
    <w:rPr>
      <w:rFonts w:cs="Times New Roman"/>
    </w:rPr>
  </w:style>
  <w:style w:type="character" w:customStyle="1" w:styleId="353">
    <w:name w:val="label"/>
    <w:qFormat/>
    <w:uiPriority w:val="99"/>
    <w:rPr>
      <w:rFonts w:cs="Times New Roman"/>
    </w:rPr>
  </w:style>
  <w:style w:type="character" w:customStyle="1" w:styleId="354">
    <w:name w:val="Char Char242"/>
    <w:qFormat/>
    <w:uiPriority w:val="99"/>
    <w:rPr>
      <w:rFonts w:ascii="宋体" w:hAnsi="宋体" w:eastAsia="宋体" w:cs="宋体"/>
      <w:b/>
      <w:bCs/>
      <w:kern w:val="44"/>
      <w:sz w:val="44"/>
      <w:szCs w:val="44"/>
      <w:lang w:val="en-US" w:eastAsia="zh-CN"/>
    </w:rPr>
  </w:style>
  <w:style w:type="character" w:customStyle="1" w:styleId="355">
    <w:name w:val="ant-radio *"/>
    <w:qFormat/>
    <w:uiPriority w:val="99"/>
    <w:rPr>
      <w:rFonts w:cs="Times New Roman"/>
    </w:rPr>
  </w:style>
  <w:style w:type="character" w:customStyle="1" w:styleId="356">
    <w:name w:val="ant-tree-iconele"/>
    <w:qFormat/>
    <w:uiPriority w:val="99"/>
    <w:rPr>
      <w:rFonts w:cs="Times New Roman"/>
    </w:rPr>
  </w:style>
  <w:style w:type="character" w:customStyle="1" w:styleId="357">
    <w:name w:val="temp8"/>
    <w:qFormat/>
    <w:uiPriority w:val="99"/>
    <w:rPr>
      <w:rFonts w:cs="Times New Roman"/>
    </w:rPr>
  </w:style>
  <w:style w:type="character" w:customStyle="1" w:styleId="358">
    <w:name w:val="change-camera-place"/>
    <w:qFormat/>
    <w:uiPriority w:val="99"/>
    <w:rPr>
      <w:rFonts w:cs="Times New Roman"/>
      <w:color w:val="3177FD"/>
    </w:rPr>
  </w:style>
  <w:style w:type="character" w:customStyle="1" w:styleId="359">
    <w:name w:val="不明显强调3"/>
    <w:qFormat/>
    <w:uiPriority w:val="99"/>
    <w:rPr>
      <w:rFonts w:cs="Times New Roman"/>
      <w:i/>
      <w:iCs/>
      <w:color w:val="808080"/>
    </w:rPr>
  </w:style>
  <w:style w:type="character" w:customStyle="1" w:styleId="360">
    <w:name w:val="last-of-type"/>
    <w:qFormat/>
    <w:uiPriority w:val="99"/>
    <w:rPr>
      <w:rFonts w:cs="Times New Roman"/>
      <w:color w:val="FF4A44"/>
      <w:sz w:val="27"/>
      <w:szCs w:val="27"/>
    </w:rPr>
  </w:style>
  <w:style w:type="character" w:customStyle="1" w:styleId="361">
    <w:name w:val="引用字符"/>
    <w:qFormat/>
    <w:uiPriority w:val="99"/>
    <w:rPr>
      <w:rFonts w:cs="Times New Roman"/>
      <w:i/>
      <w:iCs/>
      <w:color w:val="000000"/>
    </w:rPr>
  </w:style>
  <w:style w:type="character" w:customStyle="1" w:styleId="362">
    <w:name w:val="all-fit-info1"/>
    <w:qFormat/>
    <w:uiPriority w:val="99"/>
    <w:rPr>
      <w:rFonts w:cs="Times New Roman"/>
      <w:color w:val="939393"/>
    </w:rPr>
  </w:style>
  <w:style w:type="character" w:customStyle="1" w:styleId="363">
    <w:name w:val="tag-type1"/>
    <w:qFormat/>
    <w:uiPriority w:val="99"/>
    <w:rPr>
      <w:rFonts w:cs="Times New Roman"/>
      <w:color w:val="FFFFFF"/>
      <w:sz w:val="18"/>
      <w:szCs w:val="18"/>
      <w:shd w:val="clear" w:color="auto" w:fill="317FFD"/>
    </w:rPr>
  </w:style>
  <w:style w:type="character" w:customStyle="1" w:styleId="364">
    <w:name w:val="temp6"/>
    <w:qFormat/>
    <w:uiPriority w:val="99"/>
    <w:rPr>
      <w:rFonts w:cs="Times New Roman"/>
    </w:rPr>
  </w:style>
  <w:style w:type="character" w:customStyle="1" w:styleId="365">
    <w:name w:val="info-label"/>
    <w:qFormat/>
    <w:uiPriority w:val="99"/>
    <w:rPr>
      <w:rFonts w:cs="Times New Roman"/>
      <w:b/>
    </w:rPr>
  </w:style>
  <w:style w:type="character" w:customStyle="1" w:styleId="366">
    <w:name w:val="last-child9"/>
    <w:qFormat/>
    <w:uiPriority w:val="99"/>
    <w:rPr>
      <w:rFonts w:cs="Times New Roman"/>
    </w:rPr>
  </w:style>
  <w:style w:type="character" w:customStyle="1" w:styleId="367">
    <w:name w:val="tag-type"/>
    <w:qFormat/>
    <w:uiPriority w:val="99"/>
    <w:rPr>
      <w:rFonts w:cs="Times New Roman"/>
      <w:color w:val="FFFFFF"/>
      <w:sz w:val="18"/>
      <w:szCs w:val="18"/>
      <w:shd w:val="clear" w:color="auto" w:fill="317FFD"/>
    </w:rPr>
  </w:style>
  <w:style w:type="character" w:customStyle="1" w:styleId="368">
    <w:name w:val="ant-tree-checkbox2"/>
    <w:qFormat/>
    <w:uiPriority w:val="99"/>
    <w:rPr>
      <w:rFonts w:cs="Times New Roman"/>
    </w:rPr>
  </w:style>
  <w:style w:type="character" w:customStyle="1" w:styleId="369">
    <w:name w:val="last-child7"/>
    <w:qFormat/>
    <w:uiPriority w:val="99"/>
    <w:rPr>
      <w:rFonts w:cs="Times New Roman"/>
    </w:rPr>
  </w:style>
  <w:style w:type="character" w:customStyle="1" w:styleId="370">
    <w:name w:val="temp7"/>
    <w:qFormat/>
    <w:uiPriority w:val="99"/>
    <w:rPr>
      <w:rFonts w:cs="Times New Roman"/>
    </w:rPr>
  </w:style>
  <w:style w:type="character" w:customStyle="1" w:styleId="371">
    <w:name w:val="ant-tree-icon_loading"/>
    <w:qFormat/>
    <w:uiPriority w:val="99"/>
    <w:rPr>
      <w:rFonts w:cs="Times New Roman"/>
      <w:shd w:val="clear" w:color="auto" w:fill="FFFFFF"/>
    </w:rPr>
  </w:style>
  <w:style w:type="character" w:customStyle="1" w:styleId="372">
    <w:name w:val="中等深浅网格 3 - 强调文字颜色 2 Char"/>
    <w:qFormat/>
    <w:uiPriority w:val="99"/>
    <w:rPr>
      <w:rFonts w:cs="Times New Roman"/>
      <w:b/>
      <w:bCs/>
      <w:i/>
      <w:iCs/>
      <w:color w:val="4F81BD"/>
    </w:rPr>
  </w:style>
  <w:style w:type="character" w:customStyle="1" w:styleId="373">
    <w:name w:val="ant-select-tree-iconele"/>
    <w:qFormat/>
    <w:uiPriority w:val="99"/>
    <w:rPr>
      <w:rFonts w:cs="Times New Roman"/>
    </w:rPr>
  </w:style>
  <w:style w:type="character" w:customStyle="1" w:styleId="374">
    <w:name w:val="info-content"/>
    <w:qFormat/>
    <w:uiPriority w:val="99"/>
    <w:rPr>
      <w:rFonts w:cs="Times New Roman"/>
      <w:color w:val="808080"/>
    </w:rPr>
  </w:style>
  <w:style w:type="character" w:customStyle="1" w:styleId="375">
    <w:name w:val="纯文本 Char4"/>
    <w:link w:val="25"/>
    <w:qFormat/>
    <w:locked/>
    <w:uiPriority w:val="99"/>
    <w:rPr>
      <w:rFonts w:ascii="宋体" w:hAnsi="Courier New" w:eastAsia="宋体" w:cs="宋体"/>
      <w:kern w:val="2"/>
      <w:sz w:val="21"/>
      <w:lang w:val="en-US" w:eastAsia="zh-CN"/>
    </w:rPr>
  </w:style>
  <w:style w:type="paragraph" w:customStyle="1" w:styleId="376">
    <w:name w:val="正文_2_0"/>
    <w:basedOn w:val="377"/>
    <w:next w:val="378"/>
    <w:qFormat/>
    <w:uiPriority w:val="0"/>
    <w:rPr>
      <w:rFonts w:ascii="Times New Roman" w:hAnsi="Times New Roman"/>
    </w:rPr>
  </w:style>
  <w:style w:type="paragraph" w:customStyle="1" w:styleId="377">
    <w:name w:val="正文_2_1"/>
    <w:basedOn w:val="172"/>
    <w:qFormat/>
    <w:uiPriority w:val="0"/>
    <w:rPr>
      <w:rFonts w:ascii="Calibri" w:hAnsi="Calibri"/>
    </w:rPr>
  </w:style>
  <w:style w:type="paragraph" w:customStyle="1" w:styleId="378">
    <w:name w:val="正文文本_1_0"/>
    <w:basedOn w:val="376"/>
    <w:qFormat/>
    <w:uiPriority w:val="99"/>
    <w:pPr>
      <w:adjustRightInd w:val="0"/>
      <w:spacing w:after="60" w:line="360" w:lineRule="atLeast"/>
      <w:ind w:left="72" w:leftChars="30" w:right="30" w:rightChars="30"/>
      <w:jc w:val="center"/>
      <w:textAlignment w:val="baseline"/>
    </w:pPr>
  </w:style>
  <w:style w:type="paragraph" w:customStyle="1" w:styleId="379">
    <w:name w:val="正文_2_1_0"/>
    <w:basedOn w:val="172"/>
    <w:qFormat/>
    <w:uiPriority w:val="0"/>
    <w:rPr>
      <w:rFonts w:ascii="Calibri" w:hAnsi="Calibri"/>
    </w:rPr>
  </w:style>
  <w:style w:type="paragraph" w:customStyle="1" w:styleId="380">
    <w:name w:val="*正文"/>
    <w:basedOn w:val="1"/>
    <w:next w:val="1"/>
    <w:qFormat/>
    <w:uiPriority w:val="0"/>
    <w:pPr>
      <w:widowControl/>
      <w:ind w:firstLine="482"/>
    </w:pPr>
    <w:rPr>
      <w:rFonts w:ascii="微软雅黑" w:hAnsi="微软雅黑" w:eastAsia="微软雅黑" w:cs="Times New Roman"/>
      <w:kern w:val="2"/>
      <w:szCs w:val="24"/>
    </w:rPr>
  </w:style>
  <w:style w:type="paragraph" w:customStyle="1" w:styleId="381">
    <w:name w:val="修订3"/>
    <w:hidden/>
    <w:semiHidden/>
    <w:qFormat/>
    <w:uiPriority w:val="99"/>
    <w:rPr>
      <w:rFonts w:ascii="宋体" w:hAnsi="Times New Roman" w:eastAsia="宋体" w:cs="宋体"/>
      <w:sz w:val="21"/>
      <w:szCs w:val="21"/>
      <w:lang w:val="en-US" w:eastAsia="zh-CN" w:bidi="ar-SA"/>
    </w:rPr>
  </w:style>
  <w:style w:type="character" w:customStyle="1" w:styleId="382">
    <w:name w:val="my正文 Char"/>
    <w:link w:val="383"/>
    <w:qFormat/>
    <w:uiPriority w:val="0"/>
    <w:rPr>
      <w:sz w:val="24"/>
      <w:lang w:val="en-US" w:eastAsia="zh-CN"/>
    </w:rPr>
  </w:style>
  <w:style w:type="paragraph" w:customStyle="1" w:styleId="383">
    <w:name w:val="my正文"/>
    <w:basedOn w:val="1"/>
    <w:link w:val="382"/>
    <w:qFormat/>
    <w:uiPriority w:val="0"/>
    <w:pPr>
      <w:spacing w:line="360" w:lineRule="auto"/>
      <w:ind w:firstLine="480" w:firstLineChars="200"/>
    </w:pPr>
    <w:rPr>
      <w:rFonts w:ascii="Times New Roman" w:cs="Times New Roman"/>
      <w:sz w:val="24"/>
      <w:szCs w:val="20"/>
    </w:rPr>
  </w:style>
  <w:style w:type="paragraph" w:customStyle="1" w:styleId="384">
    <w:name w:val="编号（一）"/>
    <w:basedOn w:val="1"/>
    <w:qFormat/>
    <w:uiPriority w:val="0"/>
    <w:pPr>
      <w:numPr>
        <w:ilvl w:val="0"/>
        <w:numId w:val="2"/>
      </w:numPr>
      <w:tabs>
        <w:tab w:val="left" w:pos="0"/>
      </w:tabs>
      <w:spacing w:line="360" w:lineRule="auto"/>
      <w:ind w:firstLine="684" w:firstLineChars="200"/>
    </w:pPr>
    <w:rPr>
      <w:rFonts w:ascii="Calibri" w:hAnsi="Calibri" w:cs="Times New Roman"/>
      <w:kern w:val="2"/>
      <w:sz w:val="24"/>
      <w:szCs w:val="20"/>
    </w:rPr>
  </w:style>
  <w:style w:type="paragraph" w:customStyle="1" w:styleId="385">
    <w:name w:val="p16"/>
    <w:basedOn w:val="1"/>
    <w:qFormat/>
    <w:uiPriority w:val="0"/>
    <w:pPr>
      <w:widowControl/>
    </w:pPr>
    <w:rPr>
      <w:rFonts w:ascii="宋体" w:hAnsi="宋体" w:cs="宋体"/>
      <w:kern w:val="0"/>
      <w:szCs w:val="21"/>
    </w:rPr>
  </w:style>
  <w:style w:type="paragraph" w:customStyle="1" w:styleId="386">
    <w:name w:val="Table Text"/>
    <w:basedOn w:val="1"/>
    <w:semiHidden/>
    <w:qFormat/>
    <w:uiPriority w:val="0"/>
    <w:rPr>
      <w:rFonts w:ascii="宋体" w:hAnsi="宋体" w:eastAsia="宋体" w:cs="宋体"/>
      <w:sz w:val="18"/>
      <w:szCs w:val="18"/>
      <w:lang w:val="en-US" w:eastAsia="en-US" w:bidi="ar-SA"/>
    </w:rPr>
  </w:style>
  <w:style w:type="table" w:customStyle="1" w:styleId="38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59</Pages>
  <Words>2184</Words>
  <Characters>2566</Characters>
  <Lines>284</Lines>
  <Paragraphs>80</Paragraphs>
  <TotalTime>6</TotalTime>
  <ScaleCrop>false</ScaleCrop>
  <LinksUpToDate>false</LinksUpToDate>
  <CharactersWithSpaces>2860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2024-08-23T08:53:00Z</dcterms:created>
  <dc:creator>Administrator</dc:creator>
  <cp:lastModifiedBy>Administrator</cp:lastModifiedBy>
  <cp:lastPrinted>2023-12-20T11:20:00Z</cp:lastPrinted>
  <dcterms:modified xsi:type="dcterms:W3CDTF">2025-09-03T08:55:12Z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A9B1A102D6E947BCB01919BDA4B97509_13</vt:lpwstr>
  </property>
  <property fmtid="{D5CDD505-2E9C-101B-9397-08002B2CF9AE}" pid="4" name="KSOTemplateDocerSaveRecord">
    <vt:lpwstr>eyJoZGlkIjoiM2FlMjk4MmM5Zjk0ZTMxZDhjZGQ1MDdhNTAxMjk1N2EiLCJ1c2VySWQiOiIxMTQwMDY4MDQ4In0=</vt:lpwstr>
  </property>
</Properties>
</file>