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C6526">
      <w:pPr>
        <w:spacing w:before="312" w:beforeLines="100" w:after="156" w:afterLines="50" w:line="360" w:lineRule="auto"/>
        <w:jc w:val="center"/>
        <w:outlineLvl w:val="0"/>
        <w:rPr>
          <w:rFonts w:hint="eastAsia" w:ascii="宋体" w:hAnsi="宋体" w:eastAsia="宋体" w:cs="宋体"/>
          <w:color w:val="auto"/>
          <w:sz w:val="36"/>
          <w:szCs w:val="36"/>
          <w:highlight w:val="none"/>
          <w:lang w:eastAsia="zh-CN"/>
        </w:rPr>
      </w:pPr>
      <w:bookmarkStart w:id="266" w:name="_GoBack"/>
      <w:bookmarkStart w:id="0" w:name="_Toc32703"/>
      <w:r>
        <w:rPr>
          <w:rFonts w:hint="eastAsia" w:ascii="宋体" w:hAnsi="宋体" w:cs="宋体"/>
          <w:b/>
          <w:color w:val="auto"/>
          <w:sz w:val="36"/>
          <w:szCs w:val="36"/>
          <w:highlight w:val="none"/>
          <w:lang w:eastAsia="zh-CN"/>
        </w:rPr>
        <w:t>贺州市妇幼保健院智慧医院信息系统商用密码安全性应用改造项目</w:t>
      </w:r>
      <w:bookmarkEnd w:id="0"/>
    </w:p>
    <w:p w14:paraId="0796A598">
      <w:pPr>
        <w:spacing w:before="312" w:beforeLines="100" w:after="156" w:afterLines="50" w:line="360" w:lineRule="auto"/>
        <w:jc w:val="center"/>
        <w:rPr>
          <w:rFonts w:hint="eastAsia" w:ascii="宋体" w:hAnsi="宋体" w:eastAsia="宋体" w:cs="宋体"/>
          <w:b/>
          <w:color w:val="auto"/>
          <w:sz w:val="44"/>
          <w:szCs w:val="44"/>
          <w:highlight w:val="none"/>
        </w:rPr>
      </w:pPr>
    </w:p>
    <w:p w14:paraId="66B9B5E2">
      <w:pPr>
        <w:spacing w:before="312" w:beforeLines="100" w:after="156" w:afterLines="50" w:line="360" w:lineRule="auto"/>
        <w:jc w:val="center"/>
        <w:rPr>
          <w:rFonts w:hint="eastAsia" w:ascii="宋体" w:hAnsi="宋体" w:eastAsia="宋体" w:cs="宋体"/>
          <w:b/>
          <w:color w:val="auto"/>
          <w:sz w:val="44"/>
          <w:szCs w:val="44"/>
          <w:highlight w:val="none"/>
        </w:rPr>
      </w:pPr>
    </w:p>
    <w:p w14:paraId="6383586C">
      <w:pPr>
        <w:snapToGrid w:val="0"/>
        <w:spacing w:before="156" w:beforeLines="50" w:line="360" w:lineRule="auto"/>
        <w:jc w:val="center"/>
        <w:outlineLvl w:val="0"/>
        <w:rPr>
          <w:rFonts w:hint="eastAsia" w:ascii="宋体" w:hAnsi="宋体" w:eastAsia="宋体" w:cs="宋体"/>
          <w:b/>
          <w:bCs/>
          <w:color w:val="auto"/>
          <w:sz w:val="44"/>
          <w:szCs w:val="44"/>
          <w:highlight w:val="none"/>
        </w:rPr>
      </w:pPr>
      <w:bookmarkStart w:id="1" w:name="_Toc19139"/>
      <w:bookmarkStart w:id="2" w:name="_Toc29173"/>
      <w:r>
        <w:rPr>
          <w:rFonts w:hint="eastAsia" w:ascii="宋体" w:hAnsi="宋体" w:eastAsia="宋体" w:cs="宋体"/>
          <w:b/>
          <w:bCs/>
          <w:color w:val="auto"/>
          <w:sz w:val="72"/>
          <w:szCs w:val="72"/>
          <w:highlight w:val="none"/>
        </w:rPr>
        <w:t>竞争性磋商文件</w:t>
      </w:r>
      <w:bookmarkEnd w:id="1"/>
      <w:bookmarkEnd w:id="2"/>
    </w:p>
    <w:p w14:paraId="48F66D9F">
      <w:pPr>
        <w:spacing w:before="312" w:beforeLines="100" w:after="156" w:afterLines="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（全流程电子化评标项目）</w:t>
      </w:r>
    </w:p>
    <w:p w14:paraId="76A70E34">
      <w:pPr>
        <w:spacing w:line="360" w:lineRule="auto"/>
        <w:jc w:val="center"/>
        <w:rPr>
          <w:rFonts w:hint="eastAsia" w:ascii="宋体" w:hAnsi="宋体" w:eastAsia="宋体" w:cs="宋体"/>
          <w:b/>
          <w:color w:val="auto"/>
          <w:sz w:val="32"/>
          <w:szCs w:val="32"/>
          <w:highlight w:val="none"/>
        </w:rPr>
      </w:pPr>
    </w:p>
    <w:p w14:paraId="2A4AF89A">
      <w:pPr>
        <w:spacing w:line="360" w:lineRule="auto"/>
        <w:jc w:val="center"/>
        <w:rPr>
          <w:rFonts w:hint="eastAsia" w:ascii="宋体" w:hAnsi="宋体" w:eastAsia="宋体" w:cs="宋体"/>
          <w:b/>
          <w:color w:val="auto"/>
          <w:sz w:val="32"/>
          <w:szCs w:val="32"/>
          <w:highlight w:val="none"/>
        </w:rPr>
      </w:pPr>
    </w:p>
    <w:p w14:paraId="44F97345">
      <w:pPr>
        <w:spacing w:line="360" w:lineRule="auto"/>
        <w:ind w:firstLine="1928" w:firstLineChars="6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项目编号：HZZC2025-C3-990283-GDZC</w:t>
      </w:r>
    </w:p>
    <w:p w14:paraId="5F0A00AE">
      <w:pPr>
        <w:spacing w:line="360" w:lineRule="auto"/>
        <w:ind w:firstLine="1928" w:firstLineChars="600"/>
        <w:rPr>
          <w:rFonts w:hint="eastAsia" w:ascii="宋体" w:hAnsi="宋体" w:eastAsia="宋体" w:cs="宋体"/>
          <w:b/>
          <w:color w:val="auto"/>
          <w:sz w:val="32"/>
          <w:szCs w:val="32"/>
          <w:highlight w:val="none"/>
          <w:lang w:eastAsia="zh-CN"/>
        </w:rPr>
      </w:pPr>
    </w:p>
    <w:p w14:paraId="7CC494B8">
      <w:pPr>
        <w:spacing w:line="360" w:lineRule="auto"/>
        <w:ind w:firstLine="1928" w:firstLineChars="600"/>
        <w:outlineLvl w:val="0"/>
        <w:rPr>
          <w:rFonts w:hint="eastAsia" w:ascii="宋体" w:hAnsi="宋体" w:eastAsia="宋体" w:cs="宋体"/>
          <w:b/>
          <w:color w:val="auto"/>
          <w:sz w:val="32"/>
          <w:szCs w:val="32"/>
          <w:highlight w:val="none"/>
        </w:rPr>
      </w:pPr>
      <w:bookmarkStart w:id="3" w:name="_Toc10148"/>
    </w:p>
    <w:p w14:paraId="3C33A41B">
      <w:pPr>
        <w:spacing w:line="360" w:lineRule="auto"/>
        <w:ind w:firstLine="1928" w:firstLineChars="600"/>
        <w:outlineLvl w:val="0"/>
        <w:rPr>
          <w:rFonts w:hint="eastAsia" w:ascii="宋体" w:hAnsi="宋体" w:eastAsia="宋体" w:cs="宋体"/>
          <w:b/>
          <w:color w:val="auto"/>
          <w:sz w:val="32"/>
          <w:szCs w:val="32"/>
          <w:highlight w:val="none"/>
          <w:lang w:eastAsia="zh-CN"/>
        </w:rPr>
      </w:pPr>
      <w:bookmarkStart w:id="4" w:name="_Toc30370"/>
      <w:r>
        <w:rPr>
          <w:rFonts w:hint="eastAsia" w:ascii="宋体" w:hAnsi="宋体" w:eastAsia="宋体" w:cs="宋体"/>
          <w:b/>
          <w:color w:val="auto"/>
          <w:sz w:val="32"/>
          <w:szCs w:val="32"/>
          <w:highlight w:val="none"/>
        </w:rPr>
        <w:t>采 购 人：</w:t>
      </w:r>
      <w:bookmarkEnd w:id="3"/>
      <w:r>
        <w:rPr>
          <w:rFonts w:hint="eastAsia" w:ascii="宋体" w:hAnsi="宋体" w:cs="宋体"/>
          <w:b/>
          <w:color w:val="auto"/>
          <w:sz w:val="32"/>
          <w:szCs w:val="32"/>
          <w:highlight w:val="none"/>
          <w:lang w:eastAsia="zh-CN"/>
        </w:rPr>
        <w:t>贺州市妇幼保健院</w:t>
      </w:r>
      <w:bookmarkEnd w:id="4"/>
      <w:r>
        <w:rPr>
          <w:rFonts w:hint="eastAsia" w:ascii="宋体" w:hAnsi="宋体" w:cs="宋体"/>
          <w:b/>
          <w:color w:val="auto"/>
          <w:sz w:val="32"/>
          <w:szCs w:val="32"/>
          <w:highlight w:val="none"/>
          <w:lang w:eastAsia="zh-CN"/>
        </w:rPr>
        <w:t xml:space="preserve"> </w:t>
      </w:r>
    </w:p>
    <w:p w14:paraId="4C4129EA">
      <w:pPr>
        <w:spacing w:line="360" w:lineRule="auto"/>
        <w:ind w:firstLine="1430" w:firstLineChars="445"/>
        <w:jc w:val="center"/>
        <w:outlineLvl w:val="0"/>
        <w:rPr>
          <w:rFonts w:hint="eastAsia" w:ascii="宋体" w:hAnsi="宋体" w:eastAsia="宋体" w:cs="宋体"/>
          <w:b/>
          <w:color w:val="auto"/>
          <w:sz w:val="32"/>
          <w:szCs w:val="32"/>
          <w:highlight w:val="none"/>
        </w:rPr>
      </w:pPr>
      <w:bookmarkStart w:id="5" w:name="_Toc314"/>
      <w:r>
        <w:rPr>
          <w:rFonts w:hint="eastAsia" w:ascii="宋体" w:hAnsi="宋体" w:eastAsia="宋体" w:cs="宋体"/>
          <w:b/>
          <w:color w:val="auto"/>
          <w:sz w:val="32"/>
          <w:szCs w:val="32"/>
          <w:highlight w:val="none"/>
        </w:rPr>
        <w:t xml:space="preserve">  </w:t>
      </w:r>
    </w:p>
    <w:p w14:paraId="1641A2AE">
      <w:pPr>
        <w:spacing w:line="360" w:lineRule="auto"/>
        <w:ind w:firstLine="1748" w:firstLineChars="544"/>
        <w:jc w:val="both"/>
        <w:outlineLvl w:val="0"/>
        <w:rPr>
          <w:rFonts w:hint="eastAsia" w:ascii="宋体" w:hAnsi="宋体" w:eastAsia="宋体" w:cs="宋体"/>
          <w:b/>
          <w:color w:val="auto"/>
          <w:sz w:val="32"/>
          <w:szCs w:val="32"/>
          <w:highlight w:val="none"/>
        </w:rPr>
      </w:pPr>
      <w:bookmarkStart w:id="6" w:name="_Toc31898"/>
      <w:r>
        <w:rPr>
          <w:rFonts w:hint="eastAsia" w:ascii="宋体" w:hAnsi="宋体" w:eastAsia="宋体" w:cs="宋体"/>
          <w:b/>
          <w:color w:val="auto"/>
          <w:sz w:val="32"/>
          <w:szCs w:val="32"/>
          <w:highlight w:val="none"/>
        </w:rPr>
        <w:t>采购代理机构：广东展诚工程咨询有限公司</w:t>
      </w:r>
      <w:bookmarkEnd w:id="5"/>
      <w:bookmarkEnd w:id="6"/>
    </w:p>
    <w:p w14:paraId="27790A0E">
      <w:pPr>
        <w:spacing w:line="360" w:lineRule="auto"/>
        <w:jc w:val="center"/>
        <w:rPr>
          <w:rFonts w:hint="eastAsia" w:ascii="宋体" w:hAnsi="宋体" w:eastAsia="宋体" w:cs="宋体"/>
          <w:b/>
          <w:color w:val="auto"/>
          <w:sz w:val="32"/>
          <w:szCs w:val="32"/>
          <w:highlight w:val="none"/>
        </w:rPr>
      </w:pPr>
    </w:p>
    <w:p w14:paraId="27A53DC5">
      <w:pPr>
        <w:spacing w:line="360" w:lineRule="auto"/>
        <w:jc w:val="center"/>
        <w:rPr>
          <w:rFonts w:hint="eastAsia" w:ascii="宋体" w:hAnsi="宋体" w:eastAsia="宋体" w:cs="宋体"/>
          <w:b/>
          <w:color w:val="auto"/>
          <w:sz w:val="32"/>
          <w:szCs w:val="32"/>
          <w:highlight w:val="none"/>
          <w:lang w:val="en-US" w:eastAsia="zh-CN"/>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r>
        <w:rPr>
          <w:rFonts w:hint="eastAsia" w:ascii="宋体" w:hAnsi="宋体" w:eastAsia="宋体" w:cs="宋体"/>
          <w:b/>
          <w:color w:val="auto"/>
          <w:sz w:val="32"/>
          <w:szCs w:val="32"/>
          <w:highlight w:val="none"/>
          <w:lang w:val="en-US" w:eastAsia="zh-CN"/>
        </w:rPr>
        <w:t>2025</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11</w:t>
      </w:r>
      <w:r>
        <w:rPr>
          <w:rFonts w:hint="eastAsia" w:ascii="宋体" w:hAnsi="宋体" w:eastAsia="宋体" w:cs="宋体"/>
          <w:b/>
          <w:color w:val="auto"/>
          <w:sz w:val="32"/>
          <w:szCs w:val="32"/>
          <w:highlight w:val="none"/>
        </w:rPr>
        <w:t>月</w:t>
      </w:r>
      <w:r>
        <w:rPr>
          <w:rFonts w:hint="eastAsia" w:ascii="宋体" w:hAnsi="宋体" w:cs="宋体"/>
          <w:b/>
          <w:color w:val="auto"/>
          <w:sz w:val="32"/>
          <w:szCs w:val="32"/>
          <w:highlight w:val="none"/>
          <w:lang w:val="en-US" w:eastAsia="zh-CN"/>
        </w:rPr>
        <w:t xml:space="preserve"> 21</w:t>
      </w:r>
      <w:r>
        <w:rPr>
          <w:rFonts w:hint="eastAsia" w:ascii="宋体" w:hAnsi="宋体" w:eastAsia="宋体" w:cs="宋体"/>
          <w:b/>
          <w:color w:val="auto"/>
          <w:sz w:val="32"/>
          <w:szCs w:val="32"/>
          <w:highlight w:val="none"/>
          <w:lang w:eastAsia="zh-CN"/>
        </w:rPr>
        <w:t>日</w:t>
      </w:r>
    </w:p>
    <w:p w14:paraId="752B86AF">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14:paraId="23E65525">
      <w:pPr>
        <w:pStyle w:val="17"/>
        <w:tabs>
          <w:tab w:val="right" w:leader="dot" w:pos="8879"/>
        </w:tabs>
        <w:rPr>
          <w:color w:val="auto"/>
          <w:highlight w:val="none"/>
        </w:rPr>
      </w:pPr>
      <w:r>
        <w:rPr>
          <w:rFonts w:hint="eastAsia" w:ascii="宋体" w:hAnsi="宋体" w:eastAsia="宋体" w:cs="宋体"/>
          <w:b/>
          <w:color w:val="auto"/>
          <w:sz w:val="30"/>
          <w:szCs w:val="30"/>
          <w:highlight w:val="none"/>
        </w:rPr>
        <w:fldChar w:fldCharType="begin"/>
      </w:r>
      <w:r>
        <w:rPr>
          <w:rFonts w:hint="eastAsia" w:ascii="宋体" w:hAnsi="宋体" w:eastAsia="宋体" w:cs="宋体"/>
          <w:b/>
          <w:color w:val="auto"/>
          <w:sz w:val="30"/>
          <w:szCs w:val="30"/>
          <w:highlight w:val="none"/>
        </w:rPr>
        <w:instrText xml:space="preserve"> TOC \o "1-3" \h \z \u </w:instrText>
      </w:r>
      <w:r>
        <w:rPr>
          <w:rFonts w:hint="eastAsia" w:ascii="宋体" w:hAnsi="宋体" w:eastAsia="宋体" w:cs="宋体"/>
          <w:b/>
          <w:color w:val="auto"/>
          <w:sz w:val="30"/>
          <w:szCs w:val="30"/>
          <w:highlight w:val="none"/>
        </w:rPr>
        <w:fldChar w:fldCharType="separate"/>
      </w:r>
    </w:p>
    <w:p w14:paraId="547EDBFA">
      <w:pPr>
        <w:pStyle w:val="18"/>
        <w:tabs>
          <w:tab w:val="right" w:leader="dot" w:pos="8879"/>
          <w:tab w:val="clear" w:pos="8296"/>
        </w:tabs>
        <w:spacing w:line="480" w:lineRule="auto"/>
        <w:ind w:left="0" w:leftChars="0" w:firstLine="0" w:firstLineChars="0"/>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_Toc31975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_Toc31975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50D0B34">
      <w:pPr>
        <w:pStyle w:val="18"/>
        <w:tabs>
          <w:tab w:val="right" w:leader="dot" w:pos="8879"/>
          <w:tab w:val="clear" w:pos="8296"/>
        </w:tabs>
        <w:spacing w:line="480" w:lineRule="auto"/>
        <w:ind w:left="0" w:leftChars="0" w:firstLine="0" w:firstLineChars="0"/>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_Toc17399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_Toc17399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8CA7F5B">
      <w:pPr>
        <w:pStyle w:val="18"/>
        <w:tabs>
          <w:tab w:val="right" w:leader="dot" w:pos="8879"/>
          <w:tab w:val="clear" w:pos="8296"/>
        </w:tabs>
        <w:spacing w:line="480" w:lineRule="auto"/>
        <w:ind w:left="0" w:leftChars="0" w:firstLine="0" w:firstLineChars="0"/>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_Toc16125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2"/>
          <w:sz w:val="28"/>
          <w:szCs w:val="28"/>
          <w:highlight w:val="none"/>
          <w:lang w:val="en-US" w:eastAsia="zh-CN" w:bidi="ar-SA"/>
        </w:rPr>
        <w:t xml:space="preserve">第三章 </w:t>
      </w:r>
      <w:r>
        <w:rPr>
          <w:rFonts w:hint="eastAsia" w:ascii="宋体" w:hAnsi="宋体" w:eastAsia="宋体" w:cs="宋体"/>
          <w:color w:val="auto"/>
          <w:sz w:val="28"/>
          <w:szCs w:val="28"/>
          <w:highlight w:val="none"/>
        </w:rPr>
        <w:t>采购需求和说明</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_Toc16125 \h </w:instrText>
      </w:r>
      <w:r>
        <w:rPr>
          <w:color w:val="auto"/>
          <w:sz w:val="28"/>
          <w:szCs w:val="28"/>
          <w:highlight w:val="none"/>
        </w:rPr>
        <w:fldChar w:fldCharType="separate"/>
      </w:r>
      <w:r>
        <w:rPr>
          <w:color w:val="auto"/>
          <w:sz w:val="28"/>
          <w:szCs w:val="28"/>
          <w:highlight w:val="none"/>
        </w:rPr>
        <w:t>20</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5C16FDB7">
      <w:pPr>
        <w:pStyle w:val="17"/>
        <w:tabs>
          <w:tab w:val="right" w:leader="dot" w:pos="8879"/>
        </w:tabs>
        <w:spacing w:line="480" w:lineRule="auto"/>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_Toc31611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评审程序、评审方法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_Toc31611 \h </w:instrText>
      </w:r>
      <w:r>
        <w:rPr>
          <w:color w:val="auto"/>
          <w:sz w:val="28"/>
          <w:szCs w:val="28"/>
          <w:highlight w:val="none"/>
        </w:rPr>
        <w:fldChar w:fldCharType="separate"/>
      </w:r>
      <w:r>
        <w:rPr>
          <w:color w:val="auto"/>
          <w:sz w:val="28"/>
          <w:szCs w:val="28"/>
          <w:highlight w:val="none"/>
        </w:rPr>
        <w:t>39</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0B18422">
      <w:pPr>
        <w:pStyle w:val="18"/>
        <w:tabs>
          <w:tab w:val="right" w:leader="dot" w:pos="8879"/>
          <w:tab w:val="clear" w:pos="8296"/>
        </w:tabs>
        <w:spacing w:line="480" w:lineRule="auto"/>
        <w:ind w:left="0" w:leftChars="0" w:firstLine="0" w:firstLineChars="0"/>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_Toc7915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第五章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_Toc7915 \h </w:instrText>
      </w:r>
      <w:r>
        <w:rPr>
          <w:color w:val="auto"/>
          <w:sz w:val="28"/>
          <w:szCs w:val="28"/>
          <w:highlight w:val="none"/>
        </w:rPr>
        <w:fldChar w:fldCharType="separate"/>
      </w:r>
      <w:r>
        <w:rPr>
          <w:color w:val="auto"/>
          <w:sz w:val="28"/>
          <w:szCs w:val="28"/>
          <w:highlight w:val="none"/>
        </w:rPr>
        <w:t>49</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CEB4BB2">
      <w:pPr>
        <w:pStyle w:val="18"/>
        <w:tabs>
          <w:tab w:val="right" w:leader="dot" w:pos="8879"/>
          <w:tab w:val="clear" w:pos="8296"/>
        </w:tabs>
        <w:spacing w:line="480" w:lineRule="auto"/>
        <w:ind w:left="0" w:leftChars="0" w:firstLine="0" w:firstLineChars="0"/>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_Toc6401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第六章 合同文本</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_Toc6401 \h </w:instrText>
      </w:r>
      <w:r>
        <w:rPr>
          <w:color w:val="auto"/>
          <w:sz w:val="28"/>
          <w:szCs w:val="28"/>
          <w:highlight w:val="none"/>
        </w:rPr>
        <w:fldChar w:fldCharType="separate"/>
      </w:r>
      <w:r>
        <w:rPr>
          <w:color w:val="auto"/>
          <w:sz w:val="28"/>
          <w:szCs w:val="28"/>
          <w:highlight w:val="none"/>
        </w:rPr>
        <w:t>49</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226838F1">
      <w:pPr>
        <w:pStyle w:val="17"/>
        <w:tabs>
          <w:tab w:val="right" w:leader="dot" w:pos="8879"/>
        </w:tabs>
        <w:spacing w:line="480" w:lineRule="auto"/>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_Toc32741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lang w:val="en-US" w:eastAsia="zh-CN"/>
        </w:rPr>
        <w:t>第</w:t>
      </w:r>
      <w:r>
        <w:rPr>
          <w:rFonts w:hint="eastAsia" w:ascii="宋体" w:hAnsi="宋体" w:cs="宋体"/>
          <w:bCs/>
          <w:color w:val="auto"/>
          <w:sz w:val="28"/>
          <w:szCs w:val="28"/>
          <w:highlight w:val="none"/>
          <w:lang w:val="en-US" w:eastAsia="zh-CN"/>
        </w:rPr>
        <w:t>七</w:t>
      </w:r>
      <w:r>
        <w:rPr>
          <w:rFonts w:hint="eastAsia" w:ascii="宋体" w:hAnsi="宋体" w:eastAsia="宋体" w:cs="宋体"/>
          <w:bCs/>
          <w:color w:val="auto"/>
          <w:sz w:val="28"/>
          <w:szCs w:val="28"/>
          <w:highlight w:val="none"/>
          <w:lang w:val="en-US" w:eastAsia="zh-CN"/>
        </w:rPr>
        <w:t>章  质疑、投诉材料格式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_Toc32741 \h </w:instrText>
      </w:r>
      <w:r>
        <w:rPr>
          <w:color w:val="auto"/>
          <w:sz w:val="28"/>
          <w:szCs w:val="28"/>
          <w:highlight w:val="none"/>
        </w:rPr>
        <w:fldChar w:fldCharType="separate"/>
      </w:r>
      <w:r>
        <w:rPr>
          <w:color w:val="auto"/>
          <w:sz w:val="28"/>
          <w:szCs w:val="28"/>
          <w:highlight w:val="none"/>
        </w:rPr>
        <w:t>81</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2DB9A6B4">
      <w:pPr>
        <w:pStyle w:val="17"/>
        <w:tabs>
          <w:tab w:val="right" w:leader="dot" w:pos="8879"/>
        </w:tabs>
        <w:spacing w:line="480" w:lineRule="auto"/>
        <w:rPr>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_Toc18775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lang w:val="en-US" w:eastAsia="zh-CN"/>
        </w:rPr>
        <w:t>第</w:t>
      </w:r>
      <w:r>
        <w:rPr>
          <w:rFonts w:hint="eastAsia" w:ascii="宋体" w:hAnsi="宋体" w:cs="宋体"/>
          <w:bCs/>
          <w:color w:val="auto"/>
          <w:sz w:val="28"/>
          <w:szCs w:val="28"/>
          <w:highlight w:val="none"/>
          <w:lang w:val="en-US" w:eastAsia="zh-CN"/>
        </w:rPr>
        <w:t>八</w:t>
      </w:r>
      <w:r>
        <w:rPr>
          <w:rFonts w:hint="eastAsia" w:ascii="宋体" w:hAnsi="宋体" w:eastAsia="宋体" w:cs="宋体"/>
          <w:bCs/>
          <w:color w:val="auto"/>
          <w:sz w:val="28"/>
          <w:szCs w:val="28"/>
          <w:highlight w:val="none"/>
          <w:lang w:val="en-US" w:eastAsia="zh-CN"/>
        </w:rPr>
        <w:t>章 “政采贷”政策告知函</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_Toc18775 \h </w:instrText>
      </w:r>
      <w:r>
        <w:rPr>
          <w:color w:val="auto"/>
          <w:sz w:val="28"/>
          <w:szCs w:val="28"/>
          <w:highlight w:val="none"/>
        </w:rPr>
        <w:fldChar w:fldCharType="separate"/>
      </w:r>
      <w:r>
        <w:rPr>
          <w:color w:val="auto"/>
          <w:sz w:val="28"/>
          <w:szCs w:val="28"/>
          <w:highlight w:val="none"/>
        </w:rPr>
        <w:t>86</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2BB6F3FE">
      <w:pPr>
        <w:pStyle w:val="18"/>
        <w:rPr>
          <w:rFonts w:hint="eastAsia" w:ascii="宋体" w:hAnsi="宋体" w:eastAsia="宋体" w:cs="宋体"/>
          <w:color w:val="auto"/>
          <w:sz w:val="28"/>
          <w:szCs w:val="28"/>
          <w:highlight w:val="none"/>
        </w:rPr>
      </w:pPr>
      <w:r>
        <w:rPr>
          <w:rFonts w:hint="eastAsia" w:ascii="宋体" w:hAnsi="宋体" w:eastAsia="宋体" w:cs="宋体"/>
          <w:color w:val="auto"/>
          <w:szCs w:val="30"/>
          <w:highlight w:val="none"/>
        </w:rPr>
        <w:fldChar w:fldCharType="end"/>
      </w:r>
    </w:p>
    <w:p w14:paraId="5AEE170C">
      <w:pPr>
        <w:spacing w:line="400" w:lineRule="exact"/>
        <w:jc w:val="left"/>
        <w:rPr>
          <w:rFonts w:hint="eastAsia" w:ascii="宋体" w:hAnsi="宋体" w:eastAsia="宋体" w:cs="宋体"/>
          <w:b/>
          <w:color w:val="auto"/>
          <w:sz w:val="32"/>
          <w:szCs w:val="32"/>
          <w:highlight w:val="none"/>
        </w:rPr>
      </w:pPr>
    </w:p>
    <w:p w14:paraId="7507C7B2">
      <w:pPr>
        <w:spacing w:line="400" w:lineRule="exact"/>
        <w:jc w:val="center"/>
        <w:rPr>
          <w:rFonts w:hint="eastAsia" w:ascii="宋体" w:hAnsi="宋体" w:eastAsia="宋体" w:cs="宋体"/>
          <w:b/>
          <w:color w:val="auto"/>
          <w:sz w:val="32"/>
          <w:szCs w:val="32"/>
          <w:highlight w:val="none"/>
        </w:rPr>
      </w:pPr>
    </w:p>
    <w:p w14:paraId="1F911C22">
      <w:pPr>
        <w:spacing w:line="400" w:lineRule="exact"/>
        <w:jc w:val="center"/>
        <w:rPr>
          <w:rFonts w:hint="eastAsia" w:ascii="宋体" w:hAnsi="宋体" w:eastAsia="宋体" w:cs="宋体"/>
          <w:b/>
          <w:color w:val="auto"/>
          <w:sz w:val="32"/>
          <w:szCs w:val="32"/>
          <w:highlight w:val="none"/>
        </w:rPr>
      </w:pPr>
    </w:p>
    <w:p w14:paraId="52C573F5">
      <w:pPr>
        <w:spacing w:line="400" w:lineRule="exact"/>
        <w:jc w:val="center"/>
        <w:rPr>
          <w:rFonts w:hint="eastAsia" w:ascii="宋体" w:hAnsi="宋体" w:eastAsia="宋体" w:cs="宋体"/>
          <w:b/>
          <w:color w:val="auto"/>
          <w:sz w:val="32"/>
          <w:szCs w:val="32"/>
          <w:highlight w:val="none"/>
        </w:rPr>
      </w:pPr>
    </w:p>
    <w:p w14:paraId="4884549A">
      <w:pPr>
        <w:spacing w:line="400" w:lineRule="exact"/>
        <w:jc w:val="center"/>
        <w:rPr>
          <w:rFonts w:hint="eastAsia" w:ascii="宋体" w:hAnsi="宋体" w:eastAsia="宋体" w:cs="宋体"/>
          <w:b/>
          <w:color w:val="auto"/>
          <w:sz w:val="32"/>
          <w:szCs w:val="32"/>
          <w:highlight w:val="none"/>
        </w:rPr>
      </w:pPr>
    </w:p>
    <w:p w14:paraId="4892BFB0">
      <w:pPr>
        <w:spacing w:line="400" w:lineRule="exact"/>
        <w:rPr>
          <w:rFonts w:hint="eastAsia" w:ascii="宋体" w:hAnsi="宋体" w:eastAsia="宋体" w:cs="宋体"/>
          <w:b/>
          <w:color w:val="auto"/>
          <w:sz w:val="32"/>
          <w:szCs w:val="32"/>
          <w:highlight w:val="none"/>
        </w:rPr>
        <w:sectPr>
          <w:footerReference r:id="rId8" w:type="first"/>
          <w:footerReference r:id="rId7" w:type="default"/>
          <w:pgSz w:w="11906" w:h="16838"/>
          <w:pgMar w:top="1440" w:right="1440" w:bottom="1440" w:left="1587" w:header="851" w:footer="992" w:gutter="0"/>
          <w:pgNumType w:start="1"/>
          <w:cols w:space="720" w:num="1"/>
          <w:titlePg/>
          <w:docGrid w:type="lines" w:linePitch="312" w:charSpace="0"/>
        </w:sectPr>
      </w:pPr>
    </w:p>
    <w:p w14:paraId="107601E5">
      <w:pPr>
        <w:pStyle w:val="3"/>
        <w:jc w:val="center"/>
        <w:rPr>
          <w:rFonts w:hint="eastAsia" w:ascii="宋体" w:hAnsi="宋体" w:eastAsia="宋体" w:cs="宋体"/>
          <w:color w:val="auto"/>
          <w:sz w:val="36"/>
          <w:szCs w:val="36"/>
          <w:highlight w:val="none"/>
        </w:rPr>
      </w:pPr>
      <w:bookmarkStart w:id="7" w:name="_Toc17880"/>
      <w:bookmarkStart w:id="8" w:name="_Toc31975"/>
      <w:r>
        <w:rPr>
          <w:rFonts w:hint="eastAsia" w:ascii="宋体" w:hAnsi="宋体" w:eastAsia="宋体" w:cs="宋体"/>
          <w:color w:val="auto"/>
          <w:sz w:val="36"/>
          <w:szCs w:val="36"/>
          <w:highlight w:val="none"/>
        </w:rPr>
        <w:t>第一章 竞争性磋商公告</w:t>
      </w:r>
      <w:bookmarkEnd w:id="7"/>
      <w:bookmarkEnd w:id="8"/>
    </w:p>
    <w:p w14:paraId="60EA80D3">
      <w:pPr>
        <w:jc w:val="center"/>
        <w:rPr>
          <w:rFonts w:hint="eastAsia" w:ascii="宋体" w:hAnsi="宋体" w:eastAsia="宋体" w:cs="宋体"/>
          <w:b/>
          <w:color w:val="auto"/>
          <w:sz w:val="28"/>
          <w:szCs w:val="28"/>
          <w:highlight w:val="none"/>
          <w:lang w:eastAsia="zh-CN"/>
        </w:rPr>
      </w:pPr>
      <w:bookmarkStart w:id="9" w:name="_Toc561"/>
      <w:r>
        <w:rPr>
          <w:rFonts w:hint="eastAsia" w:ascii="宋体" w:hAnsi="宋体" w:eastAsia="宋体" w:cs="宋体"/>
          <w:b/>
          <w:color w:val="auto"/>
          <w:sz w:val="28"/>
          <w:szCs w:val="28"/>
          <w:highlight w:val="none"/>
        </w:rPr>
        <w:t>广东展诚工程咨询有限公司关于</w:t>
      </w:r>
      <w:r>
        <w:rPr>
          <w:rFonts w:hint="eastAsia" w:ascii="宋体" w:hAnsi="宋体" w:cs="宋体"/>
          <w:b/>
          <w:color w:val="auto"/>
          <w:sz w:val="28"/>
          <w:szCs w:val="28"/>
          <w:highlight w:val="none"/>
          <w:lang w:eastAsia="zh-CN"/>
        </w:rPr>
        <w:t>贺州市妇幼保健院智慧医院信息系统商用密码安全性应用改造项目</w:t>
      </w:r>
      <w:r>
        <w:rPr>
          <w:rFonts w:hint="eastAsia" w:ascii="宋体" w:hAnsi="宋体" w:eastAsia="宋体" w:cs="宋体"/>
          <w:b/>
          <w:color w:val="auto"/>
          <w:sz w:val="28"/>
          <w:szCs w:val="28"/>
          <w:highlight w:val="none"/>
        </w:rPr>
        <w:t>的竞争性磋商公告</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远程异地评标</w:t>
      </w:r>
      <w:r>
        <w:rPr>
          <w:rFonts w:hint="eastAsia" w:ascii="宋体" w:hAnsi="宋体" w:eastAsia="宋体" w:cs="宋体"/>
          <w:b/>
          <w:color w:val="auto"/>
          <w:sz w:val="28"/>
          <w:szCs w:val="28"/>
          <w:highlight w:val="none"/>
          <w:lang w:eastAsia="zh-CN"/>
        </w:rPr>
        <w:t>）</w:t>
      </w:r>
    </w:p>
    <w:p w14:paraId="40DC82DA">
      <w:pPr>
        <w:pageBreakBefore w:val="0"/>
        <w:widowControl w:val="0"/>
        <w:pBdr>
          <w:top w:val="single" w:color="auto" w:sz="4" w:space="1"/>
          <w:left w:val="single" w:color="auto" w:sz="4" w:space="4"/>
          <w:bottom w:val="single" w:color="auto" w:sz="4" w:space="1"/>
          <w:right w:val="single" w:color="auto" w:sz="4" w:space="4"/>
        </w:pBdr>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bookmarkStart w:id="10" w:name="_Hlk37430271"/>
      <w:r>
        <w:rPr>
          <w:rFonts w:hint="eastAsia" w:ascii="宋体" w:hAnsi="宋体" w:eastAsia="宋体" w:cs="宋体"/>
          <w:color w:val="auto"/>
          <w:sz w:val="21"/>
          <w:szCs w:val="21"/>
          <w:highlight w:val="none"/>
        </w:rPr>
        <w:t>项目概况</w:t>
      </w:r>
    </w:p>
    <w:p w14:paraId="576C11F4">
      <w:pPr>
        <w:pageBreakBefore w:val="0"/>
        <w:widowControl w:val="0"/>
        <w:pBdr>
          <w:top w:val="single" w:color="auto" w:sz="4" w:space="1"/>
          <w:left w:val="single" w:color="auto" w:sz="4" w:space="4"/>
          <w:bottom w:val="single" w:color="auto" w:sz="4" w:space="1"/>
          <w:right w:val="single" w:color="auto" w:sz="4" w:space="4"/>
        </w:pBdr>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贺州市妇幼保健院智慧医院信息系统商用密码安全性应用改造项目</w:t>
      </w:r>
      <w:r>
        <w:rPr>
          <w:rFonts w:hint="eastAsia" w:ascii="宋体" w:hAnsi="宋体" w:eastAsia="宋体" w:cs="宋体"/>
          <w:color w:val="auto"/>
          <w:sz w:val="21"/>
          <w:szCs w:val="21"/>
          <w:highlight w:val="none"/>
        </w:rPr>
        <w:t>的潜在供应商应在</w:t>
      </w:r>
      <w:r>
        <w:rPr>
          <w:rFonts w:hint="eastAsia" w:ascii="宋体" w:hAnsi="宋体" w:eastAsia="宋体" w:cs="宋体"/>
          <w:color w:val="auto"/>
          <w:sz w:val="21"/>
          <w:szCs w:val="21"/>
          <w:highlight w:val="none"/>
          <w:u w:val="single"/>
        </w:rPr>
        <w:t>广西政府采购云平台（https://www.gcy.zfcg.gxzf.gov.cn/）</w:t>
      </w:r>
      <w:r>
        <w:rPr>
          <w:rFonts w:hint="eastAsia" w:ascii="宋体" w:hAnsi="宋体" w:eastAsia="宋体" w:cs="宋体"/>
          <w:color w:val="auto"/>
          <w:sz w:val="21"/>
          <w:szCs w:val="21"/>
          <w:highlight w:val="none"/>
        </w:rPr>
        <w:t>获取（下载）竞争性磋商文件，并于202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bCs/>
          <w:color w:val="auto"/>
          <w:sz w:val="21"/>
          <w:szCs w:val="21"/>
          <w:highlight w:val="none"/>
        </w:rPr>
        <w:t>（北京时间）前提交响应文件</w:t>
      </w:r>
      <w:r>
        <w:rPr>
          <w:rFonts w:hint="eastAsia" w:ascii="宋体" w:hAnsi="宋体" w:eastAsia="宋体" w:cs="宋体"/>
          <w:color w:val="auto"/>
          <w:sz w:val="21"/>
          <w:szCs w:val="21"/>
          <w:highlight w:val="none"/>
        </w:rPr>
        <w:t>。</w:t>
      </w:r>
    </w:p>
    <w:p w14:paraId="0D6D7A4D">
      <w:pPr>
        <w:pStyle w:val="3"/>
        <w:pageBreakBefore w:val="0"/>
        <w:widowControl w:val="0"/>
        <w:kinsoku/>
        <w:wordWrap/>
        <w:overflowPunct/>
        <w:topLinePunct w:val="0"/>
        <w:autoSpaceDE/>
        <w:autoSpaceDN/>
        <w:bidi w:val="0"/>
        <w:adjustRightInd/>
        <w:spacing w:before="0" w:after="0" w:line="400" w:lineRule="exact"/>
        <w:ind w:left="0" w:leftChars="0" w:firstLine="422" w:firstLineChars="200"/>
        <w:jc w:val="both"/>
        <w:textAlignment w:val="auto"/>
        <w:rPr>
          <w:rFonts w:hint="eastAsia" w:ascii="宋体" w:hAnsi="宋体" w:eastAsia="宋体" w:cs="宋体"/>
          <w:bCs w:val="0"/>
          <w:color w:val="auto"/>
          <w:sz w:val="21"/>
          <w:szCs w:val="21"/>
          <w:highlight w:val="none"/>
        </w:rPr>
      </w:pPr>
      <w:bookmarkStart w:id="11" w:name="_Toc44229878"/>
      <w:bookmarkStart w:id="12" w:name="_Toc35393629"/>
      <w:bookmarkStart w:id="13" w:name="_Toc6861"/>
      <w:bookmarkStart w:id="14" w:name="_Toc35393798"/>
      <w:bookmarkStart w:id="15" w:name="_Toc28359012"/>
      <w:bookmarkStart w:id="16" w:name="_Toc28359089"/>
      <w:r>
        <w:rPr>
          <w:rFonts w:hint="eastAsia" w:ascii="宋体" w:hAnsi="宋体" w:eastAsia="宋体" w:cs="宋体"/>
          <w:bCs w:val="0"/>
          <w:color w:val="auto"/>
          <w:sz w:val="21"/>
          <w:szCs w:val="21"/>
          <w:highlight w:val="none"/>
        </w:rPr>
        <w:t>一、项目基本情况</w:t>
      </w:r>
      <w:bookmarkEnd w:id="11"/>
      <w:bookmarkEnd w:id="12"/>
      <w:bookmarkEnd w:id="13"/>
      <w:bookmarkEnd w:id="14"/>
      <w:bookmarkEnd w:id="15"/>
      <w:bookmarkEnd w:id="16"/>
    </w:p>
    <w:p w14:paraId="10591F93">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outlineLvl w:val="2"/>
        <w:rPr>
          <w:rFonts w:hint="eastAsia" w:ascii="宋体" w:hAnsi="宋体" w:eastAsia="宋体" w:cs="宋体"/>
          <w:color w:val="auto"/>
          <w:sz w:val="21"/>
          <w:szCs w:val="21"/>
          <w:highlight w:val="none"/>
          <w:lang w:eastAsia="zh-CN"/>
        </w:rPr>
      </w:pPr>
      <w:bookmarkStart w:id="17" w:name="_Toc9321"/>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项目编号：</w:t>
      </w:r>
      <w:bookmarkEnd w:id="17"/>
      <w:r>
        <w:rPr>
          <w:rFonts w:hint="eastAsia" w:ascii="宋体" w:hAnsi="宋体" w:eastAsia="宋体" w:cs="宋体"/>
          <w:color w:val="auto"/>
          <w:sz w:val="21"/>
          <w:szCs w:val="21"/>
          <w:highlight w:val="none"/>
          <w:lang w:eastAsia="zh-CN"/>
        </w:rPr>
        <w:t>HZZC2025-C3-990283-GDZC</w:t>
      </w:r>
      <w:r>
        <w:rPr>
          <w:rFonts w:hint="eastAsia" w:ascii="宋体" w:hAnsi="宋体" w:eastAsia="宋体" w:cs="宋体"/>
          <w:color w:val="auto"/>
          <w:sz w:val="21"/>
          <w:szCs w:val="21"/>
          <w:highlight w:val="none"/>
          <w:lang w:val="en-US" w:eastAsia="zh-CN"/>
        </w:rPr>
        <w:t xml:space="preserve">  </w:t>
      </w:r>
    </w:p>
    <w:p w14:paraId="4777A7A9">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2、项目名称：</w:t>
      </w:r>
      <w:r>
        <w:rPr>
          <w:rFonts w:hint="eastAsia" w:ascii="宋体" w:hAnsi="宋体" w:cs="宋体"/>
          <w:color w:val="auto"/>
          <w:sz w:val="21"/>
          <w:szCs w:val="21"/>
          <w:highlight w:val="none"/>
          <w:lang w:eastAsia="zh-CN"/>
        </w:rPr>
        <w:t>贺州市妇幼保健院智慧医院信息系统商用密码安全性应用改造项目</w:t>
      </w:r>
    </w:p>
    <w:p w14:paraId="140BF42E">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3、采购方式：竞争性磋商</w:t>
      </w:r>
    </w:p>
    <w:p w14:paraId="0E5AF053">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4、预算金额：人民币</w:t>
      </w:r>
      <w:r>
        <w:rPr>
          <w:rFonts w:hint="eastAsia" w:ascii="宋体" w:hAnsi="宋体" w:cs="宋体"/>
          <w:color w:val="auto"/>
          <w:sz w:val="21"/>
          <w:szCs w:val="21"/>
          <w:highlight w:val="none"/>
          <w:lang w:val="en-US" w:eastAsia="zh-CN"/>
        </w:rPr>
        <w:t>柒拾</w:t>
      </w:r>
      <w:r>
        <w:rPr>
          <w:rFonts w:hint="eastAsia" w:ascii="宋体" w:hAnsi="宋体" w:eastAsia="宋体" w:cs="宋体"/>
          <w:color w:val="auto"/>
          <w:sz w:val="21"/>
          <w:szCs w:val="21"/>
          <w:highlight w:val="none"/>
          <w:lang w:val="en-US" w:eastAsia="zh-CN"/>
        </w:rPr>
        <w:t>万元整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70</w:t>
      </w:r>
      <w:r>
        <w:rPr>
          <w:rFonts w:hint="eastAsia" w:ascii="宋体" w:hAnsi="宋体" w:eastAsia="宋体" w:cs="宋体"/>
          <w:color w:val="auto"/>
          <w:sz w:val="21"/>
          <w:szCs w:val="21"/>
          <w:highlight w:val="none"/>
        </w:rPr>
        <w:t>0000.00元）</w:t>
      </w:r>
      <w:r>
        <w:rPr>
          <w:rFonts w:hint="eastAsia" w:ascii="宋体" w:hAnsi="宋体" w:eastAsia="宋体" w:cs="宋体"/>
          <w:color w:val="auto"/>
          <w:sz w:val="21"/>
          <w:szCs w:val="21"/>
          <w:highlight w:val="none"/>
          <w:lang w:eastAsia="zh-CN"/>
        </w:rPr>
        <w:t>。</w:t>
      </w:r>
    </w:p>
    <w:p w14:paraId="45D31490">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最高限价</w:t>
      </w:r>
      <w:bookmarkStart w:id="18" w:name="_Hlk66782034"/>
      <w:r>
        <w:rPr>
          <w:rFonts w:hint="eastAsia" w:ascii="宋体" w:hAnsi="宋体" w:eastAsia="宋体" w:cs="宋体"/>
          <w:color w:val="auto"/>
          <w:sz w:val="21"/>
          <w:szCs w:val="21"/>
          <w:highlight w:val="none"/>
        </w:rPr>
        <w:t>（如有）</w:t>
      </w:r>
      <w:bookmarkEnd w:id="18"/>
      <w:r>
        <w:rPr>
          <w:rFonts w:hint="eastAsia" w:ascii="宋体" w:hAnsi="宋体" w:eastAsia="宋体" w:cs="宋体"/>
          <w:color w:val="auto"/>
          <w:sz w:val="21"/>
          <w:szCs w:val="21"/>
          <w:highlight w:val="none"/>
        </w:rPr>
        <w:t>：人民币</w:t>
      </w:r>
      <w:r>
        <w:rPr>
          <w:rFonts w:hint="eastAsia" w:ascii="宋体" w:hAnsi="宋体" w:cs="宋体"/>
          <w:color w:val="auto"/>
          <w:sz w:val="21"/>
          <w:szCs w:val="21"/>
          <w:highlight w:val="none"/>
          <w:lang w:val="en-US" w:eastAsia="zh-CN"/>
        </w:rPr>
        <w:t>柒拾</w:t>
      </w:r>
      <w:r>
        <w:rPr>
          <w:rFonts w:hint="eastAsia" w:ascii="宋体" w:hAnsi="宋体" w:eastAsia="宋体" w:cs="宋体"/>
          <w:color w:val="auto"/>
          <w:sz w:val="21"/>
          <w:szCs w:val="21"/>
          <w:highlight w:val="none"/>
          <w:lang w:val="en-US" w:eastAsia="zh-CN"/>
        </w:rPr>
        <w:t>万元整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70</w:t>
      </w:r>
      <w:r>
        <w:rPr>
          <w:rFonts w:hint="eastAsia" w:ascii="宋体" w:hAnsi="宋体" w:eastAsia="宋体" w:cs="宋体"/>
          <w:color w:val="auto"/>
          <w:sz w:val="21"/>
          <w:szCs w:val="21"/>
          <w:highlight w:val="none"/>
        </w:rPr>
        <w:t>0000.00元）</w:t>
      </w:r>
      <w:r>
        <w:rPr>
          <w:rFonts w:hint="eastAsia" w:ascii="宋体" w:hAnsi="宋体" w:eastAsia="宋体" w:cs="宋体"/>
          <w:color w:val="auto"/>
          <w:sz w:val="21"/>
          <w:szCs w:val="21"/>
          <w:highlight w:val="none"/>
          <w:lang w:eastAsia="zh-CN"/>
        </w:rPr>
        <w:t>。</w:t>
      </w:r>
    </w:p>
    <w:p w14:paraId="0B1F7648">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6、采购需求：</w:t>
      </w:r>
      <w:r>
        <w:rPr>
          <w:rFonts w:hint="eastAsia" w:ascii="宋体" w:hAnsi="宋体" w:cs="宋体"/>
          <w:color w:val="auto"/>
          <w:sz w:val="21"/>
          <w:szCs w:val="21"/>
          <w:highlight w:val="none"/>
          <w:lang w:eastAsia="zh-CN"/>
        </w:rPr>
        <w:t>贺州市妇幼保健院智慧医院信息系统商用密码安全性应用改造项目，</w:t>
      </w:r>
      <w:r>
        <w:rPr>
          <w:rFonts w:hint="eastAsia" w:ascii="宋体" w:hAnsi="宋体" w:eastAsia="宋体" w:cs="宋体"/>
          <w:b w:val="0"/>
          <w:bCs w:val="0"/>
          <w:color w:val="auto"/>
          <w:sz w:val="21"/>
          <w:szCs w:val="21"/>
          <w:highlight w:val="none"/>
        </w:rPr>
        <w:t>如需进一步了解，详见</w:t>
      </w:r>
      <w:r>
        <w:rPr>
          <w:rFonts w:hint="eastAsia" w:ascii="宋体" w:hAnsi="宋体" w:eastAsia="宋体" w:cs="宋体"/>
          <w:b w:val="0"/>
          <w:bCs w:val="0"/>
          <w:color w:val="auto"/>
          <w:sz w:val="21"/>
          <w:szCs w:val="21"/>
          <w:highlight w:val="none"/>
          <w:lang w:eastAsia="zh-CN"/>
        </w:rPr>
        <w:t>竞</w:t>
      </w:r>
      <w:r>
        <w:rPr>
          <w:rFonts w:hint="eastAsia" w:ascii="宋体" w:hAnsi="宋体" w:eastAsia="宋体" w:cs="宋体"/>
          <w:b w:val="0"/>
          <w:bCs w:val="0"/>
          <w:color w:val="auto"/>
          <w:sz w:val="21"/>
          <w:szCs w:val="21"/>
          <w:highlight w:val="none"/>
        </w:rPr>
        <w:t>争性磋商文件</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采购需求</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eastAsia="zh-CN"/>
        </w:rPr>
        <w:t>。</w:t>
      </w:r>
    </w:p>
    <w:p w14:paraId="2DC3A5FA">
      <w:pPr>
        <w:widowControl/>
        <w:autoSpaceDE/>
        <w:autoSpaceDN/>
        <w:spacing w:line="360" w:lineRule="exact"/>
        <w:ind w:firstLine="420" w:firstLineChars="200"/>
        <w:textAlignment w:val="center"/>
        <w:rPr>
          <w:rFonts w:cs="宋体" w:asciiTheme="minorEastAsia" w:hAnsiTheme="minorEastAsia" w:eastAsiaTheme="minorEastAsia"/>
          <w:color w:val="auto"/>
          <w:kern w:val="0"/>
          <w:sz w:val="21"/>
          <w:szCs w:val="21"/>
          <w:highlight w:val="none"/>
          <w:lang w:eastAsia="en-US"/>
        </w:rPr>
      </w:pPr>
      <w:r>
        <w:rPr>
          <w:rFonts w:hint="eastAsia" w:ascii="宋体" w:hAnsi="宋体" w:eastAsia="宋体" w:cs="宋体"/>
          <w:color w:val="auto"/>
          <w:sz w:val="21"/>
          <w:szCs w:val="21"/>
          <w:highlight w:val="none"/>
          <w:lang w:val="en-US" w:eastAsia="zh-CN"/>
        </w:rPr>
        <w:t>7、合同履行期限：</w:t>
      </w:r>
      <w:r>
        <w:rPr>
          <w:rFonts w:hint="eastAsia" w:cs="宋体" w:asciiTheme="minorEastAsia" w:hAnsiTheme="minorEastAsia" w:eastAsiaTheme="minorEastAsia"/>
          <w:color w:val="auto"/>
          <w:kern w:val="0"/>
          <w:sz w:val="21"/>
          <w:szCs w:val="21"/>
          <w:highlight w:val="none"/>
          <w:lang w:eastAsia="en-US"/>
        </w:rPr>
        <w:t xml:space="preserve">自合同签订之日起 </w:t>
      </w:r>
      <w:r>
        <w:rPr>
          <w:rFonts w:hint="eastAsia" w:cs="宋体" w:asciiTheme="minorEastAsia" w:hAnsiTheme="minorEastAsia" w:eastAsiaTheme="minorEastAsia"/>
          <w:color w:val="auto"/>
          <w:kern w:val="0"/>
          <w:sz w:val="21"/>
          <w:szCs w:val="21"/>
          <w:highlight w:val="none"/>
          <w:lang w:val="en-US" w:eastAsia="zh-CN"/>
        </w:rPr>
        <w:t>45</w:t>
      </w:r>
      <w:r>
        <w:rPr>
          <w:rFonts w:hint="eastAsia" w:cs="宋体" w:asciiTheme="minorEastAsia" w:hAnsiTheme="minorEastAsia" w:eastAsiaTheme="minorEastAsia"/>
          <w:color w:val="auto"/>
          <w:kern w:val="0"/>
          <w:sz w:val="21"/>
          <w:szCs w:val="21"/>
          <w:highlight w:val="none"/>
          <w:lang w:eastAsia="en-US"/>
        </w:rPr>
        <w:t>天（日历天）内</w:t>
      </w:r>
      <w:r>
        <w:rPr>
          <w:rFonts w:hint="eastAsia" w:cs="宋体" w:asciiTheme="minorEastAsia" w:hAnsiTheme="minorEastAsia" w:eastAsiaTheme="minorEastAsia"/>
          <w:color w:val="auto"/>
          <w:kern w:val="0"/>
          <w:sz w:val="21"/>
          <w:szCs w:val="21"/>
          <w:highlight w:val="none"/>
          <w:lang w:val="en-US" w:eastAsia="zh-CN"/>
        </w:rPr>
        <w:t>完成建设</w:t>
      </w:r>
      <w:r>
        <w:rPr>
          <w:rFonts w:hint="eastAsia" w:cs="宋体" w:asciiTheme="minorEastAsia" w:hAnsiTheme="minorEastAsia" w:eastAsiaTheme="minorEastAsia"/>
          <w:color w:val="auto"/>
          <w:kern w:val="0"/>
          <w:sz w:val="21"/>
          <w:szCs w:val="21"/>
          <w:highlight w:val="none"/>
          <w:lang w:eastAsia="en-US"/>
        </w:rPr>
        <w:t>并</w:t>
      </w:r>
      <w:r>
        <w:rPr>
          <w:rFonts w:hint="eastAsia" w:cs="宋体" w:asciiTheme="minorEastAsia" w:hAnsiTheme="minorEastAsia" w:eastAsiaTheme="minorEastAsia"/>
          <w:color w:val="auto"/>
          <w:kern w:val="0"/>
          <w:sz w:val="21"/>
          <w:szCs w:val="21"/>
          <w:highlight w:val="none"/>
          <w:lang w:val="en-US" w:eastAsia="zh-CN"/>
        </w:rPr>
        <w:t>交付使用</w:t>
      </w:r>
      <w:r>
        <w:rPr>
          <w:rFonts w:hint="eastAsia" w:cs="宋体" w:asciiTheme="minorEastAsia" w:hAnsiTheme="minorEastAsia" w:eastAsiaTheme="minorEastAsia"/>
          <w:color w:val="auto"/>
          <w:kern w:val="0"/>
          <w:sz w:val="21"/>
          <w:szCs w:val="21"/>
          <w:highlight w:val="none"/>
          <w:lang w:eastAsia="en-US"/>
        </w:rPr>
        <w:t>（如现场不符合安装条件交付时间双方另外协商）。</w:t>
      </w:r>
    </w:p>
    <w:p w14:paraId="297158EE">
      <w:pPr>
        <w:pageBreakBefore w:val="0"/>
        <w:widowControl w:val="0"/>
        <w:numPr>
          <w:ilvl w:val="0"/>
          <w:numId w:val="0"/>
        </w:numPr>
        <w:kinsoku/>
        <w:wordWrap/>
        <w:overflowPunct/>
        <w:topLinePunct w:val="0"/>
        <w:autoSpaceDE/>
        <w:autoSpaceDN/>
        <w:bidi w:val="0"/>
        <w:adjustRightInd/>
        <w:spacing w:line="400" w:lineRule="exact"/>
        <w:ind w:leftChars="200"/>
        <w:jc w:val="both"/>
        <w:textAlignment w:val="auto"/>
        <w:outlineLvl w:val="2"/>
        <w:rPr>
          <w:rFonts w:hint="eastAsia" w:ascii="宋体" w:hAnsi="宋体" w:eastAsia="宋体" w:cs="宋体"/>
          <w:color w:val="auto"/>
          <w:sz w:val="21"/>
          <w:szCs w:val="21"/>
          <w:highlight w:val="none"/>
        </w:rPr>
      </w:pPr>
      <w:bookmarkStart w:id="19" w:name="_Toc24225"/>
      <w:r>
        <w:rPr>
          <w:rFonts w:hint="eastAsia" w:ascii="宋体" w:hAnsi="宋体" w:eastAsia="宋体" w:cs="宋体"/>
          <w:color w:val="auto"/>
          <w:sz w:val="21"/>
          <w:szCs w:val="21"/>
          <w:highlight w:val="none"/>
        </w:rPr>
        <w:t>8、本项目不接受联合体。</w:t>
      </w:r>
      <w:bookmarkEnd w:id="19"/>
    </w:p>
    <w:p w14:paraId="359FE6E5">
      <w:pPr>
        <w:pStyle w:val="3"/>
        <w:pageBreakBefore w:val="0"/>
        <w:widowControl w:val="0"/>
        <w:kinsoku/>
        <w:wordWrap/>
        <w:overflowPunct/>
        <w:topLinePunct w:val="0"/>
        <w:autoSpaceDE/>
        <w:autoSpaceDN/>
        <w:bidi w:val="0"/>
        <w:adjustRightInd/>
        <w:spacing w:before="0" w:after="0" w:line="400" w:lineRule="exact"/>
        <w:ind w:left="0" w:leftChars="0" w:firstLine="422" w:firstLineChars="200"/>
        <w:jc w:val="both"/>
        <w:textAlignment w:val="auto"/>
        <w:rPr>
          <w:rFonts w:hint="eastAsia" w:ascii="宋体" w:hAnsi="宋体" w:eastAsia="宋体" w:cs="宋体"/>
          <w:bCs w:val="0"/>
          <w:color w:val="auto"/>
          <w:sz w:val="21"/>
          <w:szCs w:val="21"/>
          <w:highlight w:val="none"/>
        </w:rPr>
      </w:pPr>
      <w:bookmarkStart w:id="20" w:name="_Toc28359090"/>
      <w:bookmarkStart w:id="21" w:name="_Toc28359013"/>
      <w:bookmarkStart w:id="22" w:name="_Toc35393630"/>
      <w:bookmarkStart w:id="23" w:name="_Toc44229879"/>
      <w:bookmarkStart w:id="24" w:name="_Toc35393799"/>
      <w:bookmarkStart w:id="25" w:name="_Toc26624"/>
      <w:r>
        <w:rPr>
          <w:rFonts w:hint="eastAsia" w:ascii="宋体" w:hAnsi="宋体" w:eastAsia="宋体" w:cs="宋体"/>
          <w:bCs w:val="0"/>
          <w:color w:val="auto"/>
          <w:sz w:val="21"/>
          <w:szCs w:val="21"/>
          <w:highlight w:val="none"/>
        </w:rPr>
        <w:t>二、供应商的资格条件：</w:t>
      </w:r>
      <w:bookmarkEnd w:id="20"/>
      <w:bookmarkEnd w:id="21"/>
      <w:bookmarkEnd w:id="22"/>
      <w:bookmarkEnd w:id="23"/>
      <w:bookmarkEnd w:id="24"/>
      <w:bookmarkEnd w:id="25"/>
    </w:p>
    <w:p w14:paraId="2B3472BE">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rPr>
      </w:pPr>
      <w:bookmarkStart w:id="26" w:name="_Toc35393631"/>
      <w:bookmarkStart w:id="27" w:name="_Toc28359091"/>
      <w:bookmarkStart w:id="28" w:name="_Toc35393800"/>
      <w:bookmarkStart w:id="29" w:name="_Toc28359014"/>
      <w:bookmarkStart w:id="30" w:name="_Toc44229880"/>
      <w:r>
        <w:rPr>
          <w:rFonts w:hint="eastAsia" w:ascii="宋体" w:hAnsi="宋体" w:eastAsia="宋体" w:cs="宋体"/>
          <w:color w:val="auto"/>
          <w:sz w:val="21"/>
          <w:szCs w:val="21"/>
          <w:highlight w:val="none"/>
        </w:rPr>
        <w:t>1、满足《中华人民共和国政府采购法》第二十二条规定；</w:t>
      </w:r>
    </w:p>
    <w:p w14:paraId="05493AA4">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w:t>
      </w:r>
      <w:r>
        <w:rPr>
          <w:rFonts w:hint="eastAsia" w:ascii="宋体" w:hAnsi="宋体" w:cs="宋体"/>
          <w:color w:val="auto"/>
          <w:sz w:val="21"/>
          <w:szCs w:val="21"/>
          <w:highlight w:val="none"/>
          <w:lang w:val="en-US" w:eastAsia="zh-CN"/>
        </w:rPr>
        <w:t>无</w:t>
      </w:r>
      <w:r>
        <w:rPr>
          <w:rFonts w:hint="eastAsia" w:ascii="宋体" w:hAnsi="宋体" w:eastAsia="宋体" w:cs="宋体"/>
          <w:color w:val="auto"/>
          <w:sz w:val="21"/>
          <w:szCs w:val="21"/>
          <w:highlight w:val="none"/>
        </w:rPr>
        <w:t>。</w:t>
      </w:r>
    </w:p>
    <w:p w14:paraId="2F65C27C">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3、本项目的特定资格要求：无。</w:t>
      </w:r>
    </w:p>
    <w:p w14:paraId="220E20EA">
      <w:pPr>
        <w:pStyle w:val="3"/>
        <w:pageBreakBefore w:val="0"/>
        <w:widowControl w:val="0"/>
        <w:kinsoku/>
        <w:wordWrap/>
        <w:overflowPunct/>
        <w:topLinePunct w:val="0"/>
        <w:autoSpaceDE/>
        <w:autoSpaceDN/>
        <w:bidi w:val="0"/>
        <w:adjustRightInd/>
        <w:spacing w:before="0" w:after="0" w:line="400" w:lineRule="exact"/>
        <w:ind w:left="0" w:leftChars="0" w:firstLine="422" w:firstLineChars="200"/>
        <w:jc w:val="both"/>
        <w:textAlignment w:val="auto"/>
        <w:rPr>
          <w:rFonts w:hint="eastAsia" w:ascii="宋体" w:hAnsi="宋体" w:eastAsia="宋体" w:cs="宋体"/>
          <w:bCs w:val="0"/>
          <w:color w:val="auto"/>
          <w:sz w:val="21"/>
          <w:szCs w:val="21"/>
          <w:highlight w:val="none"/>
        </w:rPr>
      </w:pPr>
      <w:bookmarkStart w:id="31" w:name="_Toc11326"/>
      <w:r>
        <w:rPr>
          <w:rFonts w:hint="eastAsia" w:ascii="宋体" w:hAnsi="宋体" w:eastAsia="宋体" w:cs="宋体"/>
          <w:bCs w:val="0"/>
          <w:color w:val="auto"/>
          <w:sz w:val="21"/>
          <w:szCs w:val="21"/>
          <w:highlight w:val="none"/>
        </w:rPr>
        <w:t>三、获取竞争性磋商文件</w:t>
      </w:r>
      <w:bookmarkEnd w:id="26"/>
      <w:bookmarkEnd w:id="27"/>
      <w:bookmarkEnd w:id="28"/>
      <w:bookmarkEnd w:id="29"/>
      <w:bookmarkEnd w:id="30"/>
      <w:bookmarkEnd w:id="31"/>
    </w:p>
    <w:p w14:paraId="67A04638">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时间：</w:t>
      </w:r>
      <w:r>
        <w:rPr>
          <w:rFonts w:hint="eastAsia" w:ascii="宋体" w:hAnsi="宋体" w:eastAsia="宋体" w:cs="宋体"/>
          <w:bCs/>
          <w:color w:val="auto"/>
          <w:kern w:val="0"/>
          <w:sz w:val="21"/>
          <w:szCs w:val="21"/>
          <w:highlight w:val="none"/>
          <w:u w:val="single"/>
        </w:rPr>
        <w:t xml:space="preserve">  202</w:t>
      </w:r>
      <w:r>
        <w:rPr>
          <w:rFonts w:hint="eastAsia" w:ascii="宋体" w:hAnsi="宋体" w:eastAsia="宋体" w:cs="宋体"/>
          <w:bCs/>
          <w:color w:val="auto"/>
          <w:kern w:val="0"/>
          <w:sz w:val="21"/>
          <w:szCs w:val="21"/>
          <w:highlight w:val="none"/>
          <w:u w:val="single"/>
          <w:lang w:val="en-US" w:eastAsia="zh-CN"/>
        </w:rPr>
        <w:t>5</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rPr>
        <w:t>年</w:t>
      </w:r>
      <w:r>
        <w:rPr>
          <w:rFonts w:hint="eastAsia" w:ascii="宋体" w:hAnsi="宋体" w:eastAsia="宋体" w:cs="宋体"/>
          <w:bCs/>
          <w:color w:val="auto"/>
          <w:kern w:val="0"/>
          <w:sz w:val="21"/>
          <w:szCs w:val="21"/>
          <w:highlight w:val="none"/>
          <w:u w:val="single"/>
        </w:rPr>
        <w:t xml:space="preserve"> </w:t>
      </w:r>
      <w:r>
        <w:rPr>
          <w:rFonts w:hint="eastAsia" w:ascii="宋体" w:hAnsi="宋体" w:cs="宋体"/>
          <w:bCs/>
          <w:color w:val="auto"/>
          <w:kern w:val="0"/>
          <w:sz w:val="21"/>
          <w:szCs w:val="21"/>
          <w:highlight w:val="none"/>
          <w:u w:val="single"/>
          <w:lang w:val="en-US" w:eastAsia="zh-CN"/>
        </w:rPr>
        <w:t>11</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rPr>
        <w:t>月</w:t>
      </w:r>
      <w:r>
        <w:rPr>
          <w:rFonts w:hint="eastAsia" w:ascii="宋体" w:hAnsi="宋体" w:eastAsia="宋体" w:cs="宋体"/>
          <w:bCs/>
          <w:color w:val="auto"/>
          <w:kern w:val="0"/>
          <w:sz w:val="21"/>
          <w:szCs w:val="21"/>
          <w:highlight w:val="none"/>
          <w:u w:val="single"/>
        </w:rPr>
        <w:t xml:space="preserve"> </w:t>
      </w:r>
      <w:r>
        <w:rPr>
          <w:rFonts w:hint="eastAsia" w:ascii="宋体" w:hAnsi="宋体" w:cs="宋体"/>
          <w:bCs/>
          <w:color w:val="auto"/>
          <w:kern w:val="0"/>
          <w:sz w:val="21"/>
          <w:szCs w:val="21"/>
          <w:highlight w:val="none"/>
          <w:u w:val="single"/>
          <w:lang w:val="en-US" w:eastAsia="zh-CN"/>
        </w:rPr>
        <w:t xml:space="preserve"> 21 </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rPr>
        <w:t>日</w:t>
      </w:r>
      <w:r>
        <w:rPr>
          <w:rFonts w:hint="eastAsia" w:ascii="宋体" w:hAnsi="宋体" w:eastAsia="宋体" w:cs="宋体"/>
          <w:bCs/>
          <w:color w:val="auto"/>
          <w:kern w:val="0"/>
          <w:sz w:val="21"/>
          <w:szCs w:val="21"/>
          <w:highlight w:val="none"/>
        </w:rPr>
        <w:t>至</w:t>
      </w:r>
      <w:r>
        <w:rPr>
          <w:rFonts w:hint="eastAsia" w:ascii="宋体" w:hAnsi="宋体" w:eastAsia="宋体" w:cs="宋体"/>
          <w:bCs/>
          <w:color w:val="auto"/>
          <w:kern w:val="0"/>
          <w:sz w:val="21"/>
          <w:szCs w:val="21"/>
          <w:highlight w:val="none"/>
          <w:u w:val="single"/>
        </w:rPr>
        <w:t xml:space="preserve"> 202</w:t>
      </w:r>
      <w:r>
        <w:rPr>
          <w:rFonts w:hint="eastAsia" w:ascii="宋体" w:hAnsi="宋体" w:eastAsia="宋体" w:cs="宋体"/>
          <w:bCs/>
          <w:color w:val="auto"/>
          <w:kern w:val="0"/>
          <w:sz w:val="21"/>
          <w:szCs w:val="21"/>
          <w:highlight w:val="none"/>
          <w:u w:val="single"/>
          <w:lang w:val="en-US" w:eastAsia="zh-CN"/>
        </w:rPr>
        <w:t>5</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rPr>
        <w:t>年</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u w:val="single"/>
          <w:lang w:val="en-US" w:eastAsia="zh-CN"/>
        </w:rPr>
        <w:t xml:space="preserve"> </w:t>
      </w:r>
      <w:r>
        <w:rPr>
          <w:rFonts w:hint="eastAsia" w:ascii="宋体" w:hAnsi="宋体" w:cs="宋体"/>
          <w:bCs/>
          <w:color w:val="auto"/>
          <w:kern w:val="0"/>
          <w:sz w:val="21"/>
          <w:szCs w:val="21"/>
          <w:highlight w:val="none"/>
          <w:u w:val="single"/>
          <w:lang w:val="en-US" w:eastAsia="zh-CN"/>
        </w:rPr>
        <w:t>11</w:t>
      </w:r>
      <w:r>
        <w:rPr>
          <w:rFonts w:hint="eastAsia" w:ascii="宋体" w:hAnsi="宋体" w:eastAsia="宋体" w:cs="宋体"/>
          <w:bCs/>
          <w:color w:val="auto"/>
          <w:kern w:val="0"/>
          <w:sz w:val="21"/>
          <w:szCs w:val="21"/>
          <w:highlight w:val="none"/>
          <w:u w:val="single"/>
          <w:lang w:val="en-US" w:eastAsia="zh-CN"/>
        </w:rPr>
        <w:t xml:space="preserve"> </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rPr>
        <w:t>月</w:t>
      </w:r>
      <w:r>
        <w:rPr>
          <w:rFonts w:hint="eastAsia" w:ascii="宋体" w:hAnsi="宋体" w:eastAsia="宋体" w:cs="宋体"/>
          <w:bCs/>
          <w:color w:val="auto"/>
          <w:kern w:val="0"/>
          <w:sz w:val="21"/>
          <w:szCs w:val="21"/>
          <w:highlight w:val="none"/>
          <w:u w:val="single"/>
        </w:rPr>
        <w:t xml:space="preserve"> </w:t>
      </w:r>
      <w:r>
        <w:rPr>
          <w:rFonts w:hint="eastAsia" w:ascii="宋体" w:hAnsi="宋体" w:cs="宋体"/>
          <w:bCs/>
          <w:color w:val="auto"/>
          <w:kern w:val="0"/>
          <w:sz w:val="21"/>
          <w:szCs w:val="21"/>
          <w:highlight w:val="none"/>
          <w:u w:val="single"/>
          <w:lang w:val="en-US" w:eastAsia="zh-CN"/>
        </w:rPr>
        <w:t xml:space="preserve">28 </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rPr>
        <w:t>日</w:t>
      </w:r>
      <w:r>
        <w:rPr>
          <w:rFonts w:hint="eastAsia" w:ascii="宋体" w:hAnsi="宋体" w:eastAsia="宋体" w:cs="宋体"/>
          <w:bCs/>
          <w:color w:val="auto"/>
          <w:kern w:val="0"/>
          <w:sz w:val="21"/>
          <w:szCs w:val="21"/>
          <w:highlight w:val="none"/>
        </w:rPr>
        <w:t>，每天上午00:00至11:59，下午12:00至23:59（北京时间，法定节假日除外）。</w:t>
      </w:r>
    </w:p>
    <w:p w14:paraId="25BA3EA0">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地点：广西政府采购云平台（https://www.gcy.zfcg.gxzf.gov.cn/）  </w:t>
      </w:r>
    </w:p>
    <w:p w14:paraId="64B8696D">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方式： 网上下载。本项目不发放纸质文件，供应商可自行在广西政府采购云平台（https://www.gcy.zfcg.gxzf.gov.cn/）下载竞争性磋商文件（操作路径：登录广西政府采购云平台-项目采购-获取采购文件-找到本项目-点击“申请获取采购文件”），电子响应文件制作需要基于广西政府采购云平台获取的竞争性磋商文件编制，本项目采用资格后审，已获取竞争性磋商文件的供应商不等于符合本项目资格要求。                      </w:t>
      </w:r>
    </w:p>
    <w:p w14:paraId="787D899A">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 xml:space="preserve">售价：0元                       </w:t>
      </w:r>
    </w:p>
    <w:p w14:paraId="42541EBA">
      <w:pPr>
        <w:pStyle w:val="3"/>
        <w:pageBreakBefore w:val="0"/>
        <w:widowControl w:val="0"/>
        <w:kinsoku/>
        <w:wordWrap/>
        <w:overflowPunct/>
        <w:topLinePunct w:val="0"/>
        <w:autoSpaceDE/>
        <w:autoSpaceDN/>
        <w:bidi w:val="0"/>
        <w:adjustRightInd/>
        <w:spacing w:before="0" w:after="0" w:line="400" w:lineRule="exact"/>
        <w:ind w:left="0" w:leftChars="0" w:firstLine="422" w:firstLineChars="200"/>
        <w:jc w:val="both"/>
        <w:textAlignment w:val="auto"/>
        <w:rPr>
          <w:rFonts w:hint="eastAsia" w:ascii="宋体" w:hAnsi="宋体" w:eastAsia="宋体" w:cs="宋体"/>
          <w:bCs w:val="0"/>
          <w:color w:val="auto"/>
          <w:sz w:val="21"/>
          <w:szCs w:val="21"/>
          <w:highlight w:val="none"/>
        </w:rPr>
      </w:pPr>
      <w:bookmarkStart w:id="32" w:name="_Toc44229881"/>
      <w:bookmarkStart w:id="33" w:name="_Toc28359092"/>
      <w:bookmarkStart w:id="34" w:name="_Toc25894"/>
      <w:bookmarkStart w:id="35" w:name="_Toc28359015"/>
      <w:bookmarkStart w:id="36" w:name="_Toc35393801"/>
      <w:bookmarkStart w:id="37" w:name="_Toc35393632"/>
      <w:r>
        <w:rPr>
          <w:rFonts w:hint="eastAsia" w:ascii="宋体" w:hAnsi="宋体" w:eastAsia="宋体" w:cs="宋体"/>
          <w:bCs w:val="0"/>
          <w:color w:val="auto"/>
          <w:sz w:val="21"/>
          <w:szCs w:val="21"/>
          <w:highlight w:val="none"/>
        </w:rPr>
        <w:t>四、响应文件提交</w:t>
      </w:r>
      <w:bookmarkEnd w:id="32"/>
      <w:bookmarkEnd w:id="33"/>
      <w:bookmarkEnd w:id="34"/>
      <w:bookmarkEnd w:id="35"/>
      <w:bookmarkEnd w:id="36"/>
      <w:bookmarkEnd w:id="37"/>
    </w:p>
    <w:p w14:paraId="32B1815E">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38" w:name="_Toc35393802"/>
      <w:bookmarkStart w:id="39" w:name="_Toc28359016"/>
      <w:bookmarkStart w:id="40" w:name="_Toc35393633"/>
      <w:bookmarkStart w:id="41" w:name="_Toc28359093"/>
      <w:bookmarkStart w:id="42" w:name="_Toc44229882"/>
      <w:r>
        <w:rPr>
          <w:rFonts w:hint="eastAsia" w:ascii="宋体" w:hAnsi="宋体" w:eastAsia="宋体" w:cs="宋体"/>
          <w:color w:val="auto"/>
          <w:sz w:val="21"/>
          <w:szCs w:val="21"/>
          <w:highlight w:val="none"/>
        </w:rPr>
        <w:t>首次响应文件提交截止时间</w:t>
      </w:r>
      <w:r>
        <w:rPr>
          <w:rFonts w:hint="eastAsia" w:ascii="宋体" w:hAnsi="宋体" w:eastAsia="宋体" w:cs="宋体"/>
          <w:bCs/>
          <w:color w:val="auto"/>
          <w:sz w:val="21"/>
          <w:szCs w:val="21"/>
          <w:highlight w:val="none"/>
        </w:rPr>
        <w:t>（北京时间）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14:paraId="08EF9EF6">
      <w:pPr>
        <w:keepNext w:val="0"/>
        <w:keepLines w:val="0"/>
        <w:pageBreakBefore w:val="0"/>
        <w:widowControl w:val="0"/>
        <w:kinsoku/>
        <w:wordWrap/>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首次响应文件提交地点：</w:t>
      </w:r>
      <w:r>
        <w:rPr>
          <w:rFonts w:hint="eastAsia" w:ascii="宋体" w:hAnsi="宋体" w:eastAsia="宋体" w:cs="宋体"/>
          <w:color w:val="auto"/>
          <w:kern w:val="0"/>
          <w:sz w:val="21"/>
          <w:szCs w:val="21"/>
          <w:highlight w:val="none"/>
        </w:rPr>
        <w:t>通过广西政府采购云平台（https://www.gcy.zfcg.gxzf.gov.cn/）在线电子投标。</w:t>
      </w:r>
    </w:p>
    <w:p w14:paraId="584D4672">
      <w:pPr>
        <w:pStyle w:val="3"/>
        <w:pageBreakBefore w:val="0"/>
        <w:widowControl w:val="0"/>
        <w:kinsoku/>
        <w:wordWrap/>
        <w:overflowPunct/>
        <w:topLinePunct w:val="0"/>
        <w:autoSpaceDE/>
        <w:autoSpaceDN/>
        <w:bidi w:val="0"/>
        <w:adjustRightInd/>
        <w:spacing w:before="0" w:after="0" w:line="400" w:lineRule="exact"/>
        <w:ind w:left="0" w:leftChars="0" w:firstLine="422" w:firstLineChars="200"/>
        <w:jc w:val="both"/>
        <w:textAlignment w:val="auto"/>
        <w:rPr>
          <w:rFonts w:hint="eastAsia" w:ascii="宋体" w:hAnsi="宋体" w:eastAsia="宋体" w:cs="宋体"/>
          <w:bCs w:val="0"/>
          <w:color w:val="auto"/>
          <w:sz w:val="21"/>
          <w:szCs w:val="21"/>
          <w:highlight w:val="none"/>
        </w:rPr>
      </w:pPr>
      <w:bookmarkStart w:id="43" w:name="_Toc30072"/>
      <w:r>
        <w:rPr>
          <w:rFonts w:hint="eastAsia" w:ascii="宋体" w:hAnsi="宋体" w:eastAsia="宋体" w:cs="宋体"/>
          <w:bCs w:val="0"/>
          <w:color w:val="auto"/>
          <w:sz w:val="21"/>
          <w:szCs w:val="21"/>
          <w:highlight w:val="none"/>
        </w:rPr>
        <w:t>五、开启</w:t>
      </w:r>
      <w:bookmarkEnd w:id="38"/>
      <w:bookmarkEnd w:id="39"/>
      <w:bookmarkEnd w:id="40"/>
      <w:bookmarkEnd w:id="41"/>
      <w:bookmarkEnd w:id="42"/>
      <w:bookmarkEnd w:id="43"/>
    </w:p>
    <w:p w14:paraId="3A9EEF30">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1、时间</w:t>
      </w:r>
      <w:r>
        <w:rPr>
          <w:rFonts w:hint="eastAsia" w:ascii="宋体" w:hAnsi="宋体" w:eastAsia="宋体" w:cs="宋体"/>
          <w:bCs/>
          <w:color w:val="auto"/>
          <w:sz w:val="21"/>
          <w:szCs w:val="21"/>
          <w:highlight w:val="none"/>
        </w:rPr>
        <w:t>（北京时间）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14:paraId="4C886080">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2、地点：</w:t>
      </w:r>
      <w:r>
        <w:rPr>
          <w:rFonts w:hint="eastAsia" w:ascii="宋体" w:hAnsi="宋体" w:eastAsia="宋体" w:cs="宋体"/>
          <w:color w:val="auto"/>
          <w:sz w:val="21"/>
          <w:szCs w:val="21"/>
          <w:highlight w:val="none"/>
          <w:lang w:eastAsia="zh-CN"/>
        </w:rPr>
        <w:t>广西</w:t>
      </w:r>
      <w:r>
        <w:rPr>
          <w:rFonts w:hint="eastAsia" w:ascii="宋体" w:hAnsi="宋体" w:eastAsia="宋体" w:cs="宋体"/>
          <w:color w:val="auto"/>
          <w:sz w:val="21"/>
          <w:szCs w:val="21"/>
          <w:highlight w:val="none"/>
        </w:rPr>
        <w:t xml:space="preserve">政府采购云平台开标大厅  </w:t>
      </w:r>
    </w:p>
    <w:p w14:paraId="79A10209">
      <w:pPr>
        <w:pStyle w:val="3"/>
        <w:pageBreakBefore w:val="0"/>
        <w:widowControl w:val="0"/>
        <w:kinsoku/>
        <w:wordWrap/>
        <w:overflowPunct/>
        <w:topLinePunct w:val="0"/>
        <w:autoSpaceDE/>
        <w:autoSpaceDN/>
        <w:bidi w:val="0"/>
        <w:adjustRightInd/>
        <w:spacing w:before="0" w:after="0" w:line="400" w:lineRule="exact"/>
        <w:ind w:left="0" w:leftChars="0" w:firstLine="422" w:firstLineChars="200"/>
        <w:jc w:val="both"/>
        <w:textAlignment w:val="auto"/>
        <w:rPr>
          <w:rFonts w:hint="eastAsia" w:ascii="宋体" w:hAnsi="宋体" w:eastAsia="宋体" w:cs="宋体"/>
          <w:bCs w:val="0"/>
          <w:color w:val="auto"/>
          <w:sz w:val="21"/>
          <w:szCs w:val="21"/>
          <w:highlight w:val="none"/>
        </w:rPr>
      </w:pPr>
      <w:bookmarkStart w:id="44" w:name="_Toc28359017"/>
      <w:bookmarkStart w:id="45" w:name="_Toc44229883"/>
      <w:bookmarkStart w:id="46" w:name="_Toc35393634"/>
      <w:bookmarkStart w:id="47" w:name="_Toc35393803"/>
      <w:bookmarkStart w:id="48" w:name="_Toc28359094"/>
      <w:bookmarkStart w:id="49" w:name="_Toc28566"/>
      <w:r>
        <w:rPr>
          <w:rFonts w:hint="eastAsia" w:ascii="宋体" w:hAnsi="宋体" w:eastAsia="宋体" w:cs="宋体"/>
          <w:bCs w:val="0"/>
          <w:color w:val="auto"/>
          <w:sz w:val="21"/>
          <w:szCs w:val="21"/>
          <w:highlight w:val="none"/>
        </w:rPr>
        <w:t>六、公告期限</w:t>
      </w:r>
      <w:bookmarkEnd w:id="44"/>
      <w:bookmarkEnd w:id="45"/>
      <w:bookmarkEnd w:id="46"/>
      <w:bookmarkEnd w:id="47"/>
      <w:bookmarkEnd w:id="48"/>
      <w:bookmarkEnd w:id="49"/>
    </w:p>
    <w:p w14:paraId="5B7AEB9F">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自本公告发布之日起5个工作日。</w:t>
      </w:r>
    </w:p>
    <w:p w14:paraId="37D27439">
      <w:pPr>
        <w:pStyle w:val="3"/>
        <w:pageBreakBefore w:val="0"/>
        <w:widowControl w:val="0"/>
        <w:kinsoku/>
        <w:wordWrap/>
        <w:overflowPunct/>
        <w:topLinePunct w:val="0"/>
        <w:autoSpaceDE/>
        <w:autoSpaceDN/>
        <w:bidi w:val="0"/>
        <w:adjustRightInd/>
        <w:spacing w:before="0" w:after="0" w:line="400" w:lineRule="exact"/>
        <w:ind w:left="0" w:leftChars="0" w:firstLine="422" w:firstLineChars="200"/>
        <w:jc w:val="both"/>
        <w:textAlignment w:val="auto"/>
        <w:rPr>
          <w:rFonts w:hint="eastAsia" w:ascii="宋体" w:hAnsi="宋体" w:eastAsia="宋体" w:cs="宋体"/>
          <w:bCs w:val="0"/>
          <w:color w:val="auto"/>
          <w:sz w:val="21"/>
          <w:szCs w:val="21"/>
          <w:highlight w:val="none"/>
        </w:rPr>
      </w:pPr>
      <w:bookmarkStart w:id="50" w:name="_Toc44229884"/>
      <w:bookmarkStart w:id="51" w:name="_Toc11120"/>
      <w:bookmarkStart w:id="52" w:name="_Toc35393804"/>
      <w:bookmarkStart w:id="53" w:name="_Toc35393635"/>
      <w:r>
        <w:rPr>
          <w:rFonts w:hint="eastAsia" w:ascii="宋体" w:hAnsi="宋体" w:eastAsia="宋体" w:cs="宋体"/>
          <w:bCs w:val="0"/>
          <w:color w:val="auto"/>
          <w:sz w:val="21"/>
          <w:szCs w:val="21"/>
          <w:highlight w:val="none"/>
        </w:rPr>
        <w:t>七、其他补充事宜</w:t>
      </w:r>
      <w:bookmarkEnd w:id="50"/>
      <w:bookmarkEnd w:id="51"/>
      <w:bookmarkEnd w:id="52"/>
      <w:bookmarkEnd w:id="53"/>
    </w:p>
    <w:p w14:paraId="014DFF02">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0"/>
          <w:sz w:val="21"/>
          <w:szCs w:val="21"/>
          <w:highlight w:val="none"/>
        </w:rPr>
      </w:pPr>
      <w:bookmarkStart w:id="54" w:name="_Toc44229885"/>
      <w:bookmarkStart w:id="55" w:name="_Toc28359018"/>
      <w:bookmarkStart w:id="56" w:name="_Toc35393805"/>
      <w:bookmarkStart w:id="57" w:name="_Toc35393636"/>
      <w:bookmarkStart w:id="58" w:name="_Toc28359095"/>
      <w:r>
        <w:rPr>
          <w:rFonts w:hint="eastAsia" w:ascii="宋体" w:hAnsi="宋体" w:eastAsia="宋体" w:cs="宋体"/>
          <w:color w:val="auto"/>
          <w:kern w:val="0"/>
          <w:sz w:val="21"/>
          <w:szCs w:val="21"/>
          <w:highlight w:val="none"/>
        </w:rPr>
        <w:t>1、磋商保证金：本项目不需要缴纳。</w:t>
      </w:r>
    </w:p>
    <w:p w14:paraId="697FF507">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2、网上查询地址：中国政府采购网www.ccgp.gov.cn、广西壮族自治区政府采购网zfcg.gxzf.gov.cn。</w:t>
      </w:r>
    </w:p>
    <w:p w14:paraId="7DB1313B">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本项目需要落实的政府采购政策：</w:t>
      </w:r>
    </w:p>
    <w:p w14:paraId="19622A22">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（1）政府采购促进中小企业发展。</w:t>
      </w:r>
    </w:p>
    <w:p w14:paraId="46AD503B">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（2）政府采购支持采用本国产品的政策。</w:t>
      </w:r>
    </w:p>
    <w:p w14:paraId="6AB9965B">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（3）强制采购节能产品；优先采购节能产品、环境标志产品。</w:t>
      </w:r>
    </w:p>
    <w:p w14:paraId="0CA948F2">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（4）政府采购促进残疾人就业政策。</w:t>
      </w:r>
    </w:p>
    <w:p w14:paraId="306080A1">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（5）政府采购支持监狱企业发展。</w:t>
      </w:r>
    </w:p>
    <w:p w14:paraId="0431D8ED">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（6）扶持不发达地区和少数民族地区政策。</w:t>
      </w:r>
    </w:p>
    <w:p w14:paraId="723B4DA7">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771C3B2">
      <w:pPr>
        <w:pageBreakBefore w:val="0"/>
        <w:widowControl w:val="0"/>
        <w:kinsoku/>
        <w:wordWrap/>
        <w:overflowPunct/>
        <w:topLinePunct w:val="0"/>
        <w:autoSpaceDE/>
        <w:autoSpaceDN/>
        <w:bidi w:val="0"/>
        <w:adjustRightInd/>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0EB925A">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、监督部门：贺州市财政局政府采购监督管理科，联系电话：0774-5135553</w:t>
      </w:r>
      <w:r>
        <w:rPr>
          <w:rFonts w:hint="eastAsia" w:ascii="宋体" w:hAnsi="宋体" w:eastAsia="宋体" w:cs="宋体"/>
          <w:color w:val="auto"/>
          <w:kern w:val="0"/>
          <w:sz w:val="21"/>
          <w:szCs w:val="21"/>
          <w:highlight w:val="none"/>
          <w:lang w:eastAsia="zh-CN"/>
        </w:rPr>
        <w:t>。</w:t>
      </w:r>
    </w:p>
    <w:p w14:paraId="5C9041C5">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A67BDA6">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若对项目采购电子交易系统操作有疑问，可登录广西政府采购云平台（https://www.gcy.zfcg.gxzf.gov.cn/），点击右侧咨询小采，获取采小蜜智能服务管家帮助，或拨打广西政府采购云平台服务热线95763获取热线服务帮助。</w:t>
      </w:r>
    </w:p>
    <w:p w14:paraId="2FB560A0">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、本项目不要求供应商到达开标现场，但供应商应派法定代表人</w:t>
      </w:r>
      <w:r>
        <w:rPr>
          <w:rFonts w:hint="eastAsia" w:ascii="宋体" w:hAnsi="宋体" w:eastAsia="宋体" w:cs="宋体"/>
          <w:color w:val="auto"/>
          <w:sz w:val="21"/>
          <w:szCs w:val="21"/>
          <w:highlight w:val="none"/>
          <w:lang w:eastAsia="zh-CN"/>
        </w:rPr>
        <w:t>（负责人）</w:t>
      </w:r>
      <w:r>
        <w:rPr>
          <w:rFonts w:hint="eastAsia" w:ascii="宋体" w:hAnsi="宋体" w:eastAsia="宋体" w:cs="宋体"/>
          <w:color w:val="auto"/>
          <w:kern w:val="0"/>
          <w:sz w:val="21"/>
          <w:szCs w:val="21"/>
          <w:highlight w:val="none"/>
        </w:rPr>
        <w:t>或委托代理人准时在线出席电子开评标会议，随时关注开评标进度，如在开评标过程中有电子询标，应在规定的时间内对电子询标函进行澄清回复。</w:t>
      </w:r>
    </w:p>
    <w:p w14:paraId="59119696">
      <w:pPr>
        <w:pageBreakBefore w:val="0"/>
        <w:widowControl w:val="0"/>
        <w:kinsoku/>
        <w:overflowPunct/>
        <w:topLinePunct w:val="0"/>
        <w:autoSpaceDE/>
        <w:autoSpaceDN/>
        <w:bidi w:val="0"/>
        <w:adjustRightInd/>
        <w:spacing w:line="400" w:lineRule="exact"/>
        <w:ind w:firstLine="420" w:firstLineChars="200"/>
        <w:textAlignment w:val="auto"/>
        <w:outlineLvl w:val="1"/>
        <w:rPr>
          <w:rFonts w:hint="eastAsia" w:ascii="宋体" w:hAnsi="宋体" w:eastAsia="宋体" w:cs="宋体"/>
          <w:color w:val="auto"/>
          <w:kern w:val="0"/>
          <w:sz w:val="21"/>
          <w:szCs w:val="21"/>
          <w:highlight w:val="none"/>
          <w:lang w:eastAsia="zh-CN"/>
        </w:rPr>
      </w:pPr>
      <w:bookmarkStart w:id="59" w:name="_Toc14070"/>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该项目采用远程异地评标，评标主会场地址：广东展诚工程咨询有限公司（贺州市八步区城东街道灵凤村城东新区太安路B地块128号4楼）；评标副会场地址：广西元强建设项目管理有限公司（广西百色市龙景区新环球投资大厦左塔1926号19楼）</w:t>
      </w:r>
      <w:r>
        <w:rPr>
          <w:rFonts w:hint="eastAsia" w:ascii="宋体" w:hAnsi="宋体" w:eastAsia="宋体" w:cs="宋体"/>
          <w:color w:val="auto"/>
          <w:kern w:val="0"/>
          <w:sz w:val="21"/>
          <w:szCs w:val="21"/>
          <w:highlight w:val="none"/>
          <w:lang w:eastAsia="zh-CN"/>
        </w:rPr>
        <w:t>。</w:t>
      </w:r>
      <w:bookmarkEnd w:id="59"/>
    </w:p>
    <w:p w14:paraId="351DEDED">
      <w:pPr>
        <w:pageBreakBefore w:val="0"/>
        <w:widowControl w:val="0"/>
        <w:kinsoku/>
        <w:wordWrap/>
        <w:overflowPunct/>
        <w:topLinePunct w:val="0"/>
        <w:autoSpaceDE/>
        <w:autoSpaceDN/>
        <w:bidi w:val="0"/>
        <w:adjustRightInd/>
        <w:spacing w:line="400" w:lineRule="exact"/>
        <w:ind w:left="0" w:leftChars="0" w:firstLine="422" w:firstLineChars="200"/>
        <w:jc w:val="both"/>
        <w:textAlignment w:val="auto"/>
        <w:outlineLvl w:val="1"/>
        <w:rPr>
          <w:rFonts w:hint="eastAsia" w:ascii="宋体" w:hAnsi="宋体" w:eastAsia="宋体" w:cs="宋体"/>
          <w:b/>
          <w:color w:val="auto"/>
          <w:sz w:val="21"/>
          <w:szCs w:val="21"/>
          <w:highlight w:val="none"/>
        </w:rPr>
      </w:pPr>
      <w:bookmarkStart w:id="60" w:name="_Toc24085"/>
      <w:r>
        <w:rPr>
          <w:rFonts w:hint="eastAsia" w:ascii="宋体" w:hAnsi="宋体" w:eastAsia="宋体" w:cs="宋体"/>
          <w:b/>
          <w:color w:val="auto"/>
          <w:sz w:val="21"/>
          <w:szCs w:val="21"/>
          <w:highlight w:val="none"/>
        </w:rPr>
        <w:t>八、凡对本次采购提出询问，请按以下方式联系</w:t>
      </w:r>
      <w:bookmarkEnd w:id="54"/>
      <w:bookmarkEnd w:id="55"/>
      <w:bookmarkEnd w:id="56"/>
      <w:bookmarkEnd w:id="57"/>
      <w:bookmarkEnd w:id="58"/>
      <w:bookmarkEnd w:id="60"/>
    </w:p>
    <w:bookmarkEnd w:id="10"/>
    <w:p w14:paraId="22A77A74">
      <w:pPr>
        <w:pageBreakBefore w:val="0"/>
        <w:widowControl w:val="0"/>
        <w:kinsoku/>
        <w:overflowPunct/>
        <w:topLinePunct w:val="0"/>
        <w:autoSpaceDE/>
        <w:autoSpaceDN/>
        <w:bidi w:val="0"/>
        <w:adjustRightInd/>
        <w:spacing w:line="400" w:lineRule="exact"/>
        <w:ind w:firstLine="420" w:firstLineChars="200"/>
        <w:textAlignment w:val="auto"/>
        <w:outlineLvl w:val="2"/>
        <w:rPr>
          <w:rFonts w:hint="eastAsia" w:ascii="宋体" w:hAnsi="宋体" w:eastAsia="宋体" w:cs="宋体"/>
          <w:color w:val="auto"/>
          <w:kern w:val="0"/>
          <w:sz w:val="21"/>
          <w:szCs w:val="21"/>
          <w:highlight w:val="none"/>
        </w:rPr>
      </w:pPr>
      <w:bookmarkStart w:id="61" w:name="_Toc14035"/>
      <w:bookmarkStart w:id="62" w:name="_Toc28359019"/>
      <w:bookmarkStart w:id="63" w:name="_Toc35393637"/>
      <w:bookmarkStart w:id="64" w:name="_Toc28359096"/>
      <w:bookmarkStart w:id="65" w:name="_Toc35393806"/>
      <w:r>
        <w:rPr>
          <w:rFonts w:hint="eastAsia" w:ascii="宋体" w:hAnsi="宋体" w:eastAsia="宋体" w:cs="宋体"/>
          <w:color w:val="auto"/>
          <w:kern w:val="0"/>
          <w:sz w:val="21"/>
          <w:szCs w:val="21"/>
          <w:highlight w:val="none"/>
        </w:rPr>
        <w:t>1、采购人信息</w:t>
      </w:r>
      <w:bookmarkEnd w:id="61"/>
      <w:bookmarkEnd w:id="62"/>
      <w:bookmarkEnd w:id="63"/>
      <w:bookmarkEnd w:id="64"/>
      <w:bookmarkEnd w:id="65"/>
    </w:p>
    <w:p w14:paraId="41D6C087">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cs="宋体"/>
          <w:color w:val="auto"/>
          <w:sz w:val="21"/>
          <w:szCs w:val="21"/>
          <w:highlight w:val="none"/>
          <w:lang w:eastAsia="zh-CN"/>
        </w:rPr>
        <w:t xml:space="preserve">贺州市妇幼保健院 </w:t>
      </w:r>
      <w:r>
        <w:rPr>
          <w:rFonts w:hint="eastAsia" w:ascii="宋体" w:hAnsi="宋体" w:eastAsia="宋体" w:cs="宋体"/>
          <w:color w:val="auto"/>
          <w:sz w:val="21"/>
          <w:szCs w:val="21"/>
          <w:highlight w:val="none"/>
        </w:rPr>
        <w:t>　　　</w:t>
      </w:r>
    </w:p>
    <w:p w14:paraId="1D04A450">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rPr>
        <w:t>贺州市平桂区</w:t>
      </w:r>
      <w:r>
        <w:rPr>
          <w:rFonts w:hint="eastAsia" w:ascii="宋体" w:hAnsi="宋体" w:cs="宋体"/>
          <w:color w:val="auto"/>
          <w:sz w:val="21"/>
          <w:szCs w:val="21"/>
          <w:highlight w:val="none"/>
          <w:lang w:val="en-US" w:eastAsia="zh-CN"/>
        </w:rPr>
        <w:t>光明大道293号</w:t>
      </w:r>
      <w:r>
        <w:rPr>
          <w:rFonts w:hint="eastAsia" w:ascii="宋体" w:hAnsi="宋体" w:eastAsia="宋体" w:cs="宋体"/>
          <w:color w:val="auto"/>
          <w:sz w:val="21"/>
          <w:szCs w:val="21"/>
          <w:highlight w:val="none"/>
        </w:rPr>
        <w:t>　　</w:t>
      </w:r>
    </w:p>
    <w:p w14:paraId="1DEBAF7B">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r>
        <w:rPr>
          <w:rFonts w:hint="eastAsia" w:ascii="宋体" w:hAnsi="宋体" w:cs="宋体"/>
          <w:color w:val="auto"/>
          <w:sz w:val="21"/>
          <w:szCs w:val="21"/>
          <w:highlight w:val="none"/>
          <w:lang w:val="en-US" w:eastAsia="zh-CN"/>
        </w:rPr>
        <w:t xml:space="preserve">余先生 </w:t>
      </w:r>
      <w:r>
        <w:rPr>
          <w:rFonts w:hint="eastAsia" w:ascii="宋体" w:hAnsi="宋体" w:eastAsia="宋体" w:cs="宋体"/>
          <w:color w:val="auto"/>
          <w:sz w:val="21"/>
          <w:szCs w:val="21"/>
          <w:highlight w:val="none"/>
        </w:rPr>
        <w:t xml:space="preserve"> </w:t>
      </w:r>
      <w:r>
        <w:rPr>
          <w:rFonts w:hint="eastAsia" w:ascii="宋体" w:hAnsi="宋体" w:cs="宋体"/>
          <w:bCs/>
          <w:color w:val="auto"/>
          <w:kern w:val="0"/>
          <w:szCs w:val="21"/>
          <w:highlight w:val="none"/>
        </w:rPr>
        <w:t xml:space="preserve">0774-5285701 </w:t>
      </w:r>
      <w:r>
        <w:rPr>
          <w:rFonts w:hint="eastAsia" w:ascii="宋体" w:hAnsi="宋体" w:eastAsia="宋体" w:cs="宋体"/>
          <w:color w:val="auto"/>
          <w:sz w:val="21"/>
          <w:szCs w:val="21"/>
          <w:highlight w:val="none"/>
        </w:rPr>
        <w:t xml:space="preserve">   　 </w:t>
      </w:r>
    </w:p>
    <w:p w14:paraId="2FF69E53">
      <w:pPr>
        <w:pageBreakBefore w:val="0"/>
        <w:widowControl w:val="0"/>
        <w:kinsoku/>
        <w:overflowPunct/>
        <w:topLinePunct w:val="0"/>
        <w:autoSpaceDE/>
        <w:autoSpaceDN/>
        <w:bidi w:val="0"/>
        <w:adjustRightInd/>
        <w:spacing w:line="400" w:lineRule="exact"/>
        <w:ind w:firstLine="420" w:firstLineChars="200"/>
        <w:textAlignment w:val="auto"/>
        <w:outlineLvl w:val="2"/>
        <w:rPr>
          <w:rFonts w:hint="eastAsia" w:ascii="宋体" w:hAnsi="宋体" w:eastAsia="宋体" w:cs="宋体"/>
          <w:color w:val="auto"/>
          <w:kern w:val="0"/>
          <w:sz w:val="21"/>
          <w:szCs w:val="21"/>
          <w:highlight w:val="none"/>
        </w:rPr>
      </w:pPr>
      <w:bookmarkStart w:id="66" w:name="_Toc35393638"/>
      <w:bookmarkStart w:id="67" w:name="_Toc28359097"/>
      <w:bookmarkStart w:id="68" w:name="_Toc180"/>
      <w:bookmarkStart w:id="69" w:name="_Toc35393807"/>
      <w:bookmarkStart w:id="70" w:name="_Toc28359020"/>
      <w:r>
        <w:rPr>
          <w:rFonts w:hint="eastAsia" w:ascii="宋体" w:hAnsi="宋体" w:eastAsia="宋体" w:cs="宋体"/>
          <w:color w:val="auto"/>
          <w:kern w:val="0"/>
          <w:sz w:val="21"/>
          <w:szCs w:val="21"/>
          <w:highlight w:val="none"/>
        </w:rPr>
        <w:t>2、采购代理机构信息</w:t>
      </w:r>
      <w:bookmarkEnd w:id="66"/>
      <w:bookmarkEnd w:id="67"/>
      <w:bookmarkEnd w:id="68"/>
      <w:bookmarkEnd w:id="69"/>
      <w:bookmarkEnd w:id="70"/>
    </w:p>
    <w:p w14:paraId="5255CCF1">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称：广东展诚工程咨询有限公司</w:t>
      </w:r>
    </w:p>
    <w:p w14:paraId="15BDD208">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址：贺州市八步区城东街道灵凤村城东新区太安路B地块128号4楼　</w:t>
      </w:r>
    </w:p>
    <w:p w14:paraId="295DF13F">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联系方式：林圣生</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0774-5038195</w:t>
      </w:r>
    </w:p>
    <w:p w14:paraId="6DF9F114">
      <w:pPr>
        <w:pageBreakBefore w:val="0"/>
        <w:widowControl w:val="0"/>
        <w:kinsoku/>
        <w:overflowPunct/>
        <w:topLinePunct w:val="0"/>
        <w:autoSpaceDE/>
        <w:autoSpaceDN/>
        <w:bidi w:val="0"/>
        <w:adjustRightInd/>
        <w:spacing w:line="400" w:lineRule="exact"/>
        <w:ind w:firstLine="420" w:firstLineChars="200"/>
        <w:textAlignment w:val="auto"/>
        <w:outlineLvl w:val="2"/>
        <w:rPr>
          <w:rFonts w:hint="eastAsia" w:ascii="宋体" w:hAnsi="宋体" w:eastAsia="宋体" w:cs="宋体"/>
          <w:color w:val="auto"/>
          <w:kern w:val="0"/>
          <w:sz w:val="21"/>
          <w:szCs w:val="21"/>
          <w:highlight w:val="none"/>
        </w:rPr>
      </w:pPr>
      <w:bookmarkStart w:id="71" w:name="_Toc28359021"/>
      <w:bookmarkStart w:id="72" w:name="_Toc28359098"/>
      <w:bookmarkStart w:id="73" w:name="_Toc35393808"/>
      <w:bookmarkStart w:id="74" w:name="_Toc35393639"/>
      <w:bookmarkStart w:id="75" w:name="_Toc11125"/>
      <w:r>
        <w:rPr>
          <w:rFonts w:hint="eastAsia" w:ascii="宋体" w:hAnsi="宋体" w:eastAsia="宋体" w:cs="宋体"/>
          <w:color w:val="auto"/>
          <w:kern w:val="0"/>
          <w:sz w:val="21"/>
          <w:szCs w:val="21"/>
          <w:highlight w:val="none"/>
        </w:rPr>
        <w:t>3、项目联系方式</w:t>
      </w:r>
      <w:bookmarkEnd w:id="71"/>
      <w:bookmarkEnd w:id="72"/>
      <w:bookmarkEnd w:id="73"/>
      <w:bookmarkEnd w:id="74"/>
      <w:bookmarkEnd w:id="75"/>
    </w:p>
    <w:p w14:paraId="491628B4">
      <w:pPr>
        <w:pStyle w:val="13"/>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项目联系人：林圣生  </w:t>
      </w:r>
    </w:p>
    <w:p w14:paraId="219254F7">
      <w:pPr>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电　　话：0774-5038195 </w:t>
      </w:r>
    </w:p>
    <w:p w14:paraId="27EF1687">
      <w:pPr>
        <w:pageBreakBefore w:val="0"/>
        <w:widowControl w:val="0"/>
        <w:kinsoku/>
        <w:wordWrap w:val="0"/>
        <w:overflowPunct/>
        <w:topLinePunct w:val="0"/>
        <w:autoSpaceDE/>
        <w:autoSpaceDN/>
        <w:bidi w:val="0"/>
        <w:adjustRightInd/>
        <w:spacing w:line="400" w:lineRule="exact"/>
        <w:ind w:firstLine="420" w:firstLineChars="200"/>
        <w:jc w:val="right"/>
        <w:textAlignment w:val="auto"/>
        <w:rPr>
          <w:rFonts w:hint="eastAsia" w:ascii="宋体" w:hAnsi="宋体" w:eastAsia="宋体" w:cs="宋体"/>
          <w:color w:val="auto"/>
          <w:sz w:val="21"/>
          <w:szCs w:val="21"/>
          <w:highlight w:val="none"/>
        </w:rPr>
      </w:pPr>
    </w:p>
    <w:p w14:paraId="0A10210D">
      <w:pPr>
        <w:pageBreakBefore w:val="0"/>
        <w:widowControl w:val="0"/>
        <w:kinsoku/>
        <w:wordWrap w:val="0"/>
        <w:overflowPunct/>
        <w:topLinePunct w:val="0"/>
        <w:autoSpaceDE/>
        <w:autoSpaceDN/>
        <w:bidi w:val="0"/>
        <w:adjustRightInd/>
        <w:spacing w:line="400" w:lineRule="exact"/>
        <w:ind w:firstLine="420" w:firstLineChars="20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采购人： </w:t>
      </w:r>
      <w:r>
        <w:rPr>
          <w:rFonts w:hint="eastAsia" w:ascii="宋体" w:hAnsi="宋体" w:cs="宋体"/>
          <w:color w:val="auto"/>
          <w:sz w:val="21"/>
          <w:szCs w:val="21"/>
          <w:highlight w:val="none"/>
          <w:lang w:eastAsia="zh-CN"/>
        </w:rPr>
        <w:t xml:space="preserve">贺州市妇幼保健院 </w:t>
      </w:r>
    </w:p>
    <w:p w14:paraId="3AE60B9B">
      <w:pPr>
        <w:pageBreakBefore w:val="0"/>
        <w:widowControl w:val="0"/>
        <w:kinsoku/>
        <w:wordWrap/>
        <w:overflowPunct/>
        <w:topLinePunct w:val="0"/>
        <w:autoSpaceDE/>
        <w:autoSpaceDN/>
        <w:bidi w:val="0"/>
        <w:adjustRightInd/>
        <w:spacing w:line="400" w:lineRule="exact"/>
        <w:ind w:firstLine="420" w:firstLineChars="200"/>
        <w:jc w:val="right"/>
        <w:textAlignment w:val="auto"/>
        <w:rPr>
          <w:rFonts w:hint="eastAsia" w:ascii="宋体" w:hAnsi="宋体" w:eastAsia="宋体" w:cs="宋体"/>
          <w:color w:val="auto"/>
          <w:sz w:val="21"/>
          <w:szCs w:val="21"/>
          <w:highlight w:val="none"/>
        </w:rPr>
      </w:pPr>
    </w:p>
    <w:p w14:paraId="56E40F58">
      <w:pPr>
        <w:pageBreakBefore w:val="0"/>
        <w:widowControl w:val="0"/>
        <w:kinsoku/>
        <w:overflowPunct/>
        <w:topLinePunct w:val="0"/>
        <w:autoSpaceDE/>
        <w:autoSpaceDN/>
        <w:bidi w:val="0"/>
        <w:adjustRightInd/>
        <w:spacing w:line="400" w:lineRule="exact"/>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采购代理机构：广东展诚工程咨询有限公司</w:t>
      </w:r>
    </w:p>
    <w:p w14:paraId="167F08F4">
      <w:pPr>
        <w:pageBreakBefore w:val="0"/>
        <w:widowControl w:val="0"/>
        <w:kinsoku/>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p>
    <w:p w14:paraId="0144F897">
      <w:pPr>
        <w:pageBreakBefore w:val="0"/>
        <w:widowControl w:val="0"/>
        <w:kinsoku/>
        <w:overflowPunct/>
        <w:topLinePunct w:val="0"/>
        <w:autoSpaceDE/>
        <w:autoSpaceDN/>
        <w:bidi w:val="0"/>
        <w:adjustRightInd/>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 xml:space="preserve">                                                         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日</w:t>
      </w: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rPr>
        <w:t xml:space="preserve">                                                           </w:t>
      </w:r>
    </w:p>
    <w:p w14:paraId="5C490D23">
      <w:pPr>
        <w:pStyle w:val="3"/>
        <w:spacing w:line="24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76" w:name="_Toc17399"/>
      <w:r>
        <w:rPr>
          <w:rFonts w:hint="eastAsia" w:ascii="宋体" w:hAnsi="宋体" w:eastAsia="宋体" w:cs="宋体"/>
          <w:color w:val="auto"/>
          <w:highlight w:val="none"/>
        </w:rPr>
        <w:t>第二章 供应商须知</w:t>
      </w:r>
      <w:bookmarkEnd w:id="9"/>
      <w:bookmarkEnd w:id="76"/>
    </w:p>
    <w:p w14:paraId="5231731C">
      <w:pPr>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供应商须知前附表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C33A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top"/>
          </w:tcPr>
          <w:p w14:paraId="3C7A9027">
            <w:pPr>
              <w:keepNext w:val="0"/>
              <w:keepLines w:val="0"/>
              <w:pageBreakBefore w:val="0"/>
              <w:kinsoku/>
              <w:wordWrap/>
              <w:overflowPunct/>
              <w:topLinePunct w:val="0"/>
              <w:bidi w:val="0"/>
              <w:adjustRightInd/>
              <w:spacing w:line="38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7912" w:type="dxa"/>
            <w:noWrap w:val="0"/>
            <w:vAlign w:val="top"/>
          </w:tcPr>
          <w:p w14:paraId="4B92327F">
            <w:pPr>
              <w:keepNext w:val="0"/>
              <w:keepLines w:val="0"/>
              <w:pageBreakBefore w:val="0"/>
              <w:kinsoku/>
              <w:wordWrap/>
              <w:overflowPunct/>
              <w:topLinePunct w:val="0"/>
              <w:bidi w:val="0"/>
              <w:adjustRightInd/>
              <w:spacing w:line="38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w:t>
            </w:r>
          </w:p>
        </w:tc>
      </w:tr>
      <w:tr w14:paraId="06A89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0FA0680">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7912" w:type="dxa"/>
            <w:noWrap w:val="0"/>
            <w:vAlign w:val="center"/>
          </w:tcPr>
          <w:p w14:paraId="21CDC906">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供应商的资格条件</w:t>
            </w:r>
            <w:r>
              <w:rPr>
                <w:rFonts w:hint="eastAsia" w:ascii="宋体" w:hAnsi="宋体" w:eastAsia="宋体" w:cs="宋体"/>
                <w:color w:val="auto"/>
                <w:sz w:val="24"/>
                <w:szCs w:val="24"/>
                <w:highlight w:val="none"/>
              </w:rPr>
              <w:t>：详见竞争性磋商公告</w:t>
            </w:r>
          </w:p>
        </w:tc>
      </w:tr>
      <w:tr w14:paraId="16C67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74443F8">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7912" w:type="dxa"/>
            <w:noWrap w:val="0"/>
            <w:vAlign w:val="center"/>
          </w:tcPr>
          <w:p w14:paraId="0936FAE9">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是否接受联合体竞标: 详见竞争性磋商公告</w:t>
            </w:r>
          </w:p>
        </w:tc>
      </w:tr>
      <w:tr w14:paraId="0F7EE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760BF93">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w:t>
            </w:r>
          </w:p>
        </w:tc>
        <w:tc>
          <w:tcPr>
            <w:tcW w:w="7912" w:type="dxa"/>
            <w:noWrap w:val="0"/>
            <w:vAlign w:val="center"/>
          </w:tcPr>
          <w:p w14:paraId="724DFAEB">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本项目不接受联合体竞标</w:t>
            </w:r>
          </w:p>
        </w:tc>
      </w:tr>
      <w:tr w14:paraId="76397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C7B3B89">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w:t>
            </w:r>
          </w:p>
        </w:tc>
        <w:tc>
          <w:tcPr>
            <w:tcW w:w="7912" w:type="dxa"/>
            <w:noWrap w:val="0"/>
            <w:vAlign w:val="center"/>
          </w:tcPr>
          <w:p w14:paraId="20C7D949">
            <w:pPr>
              <w:pStyle w:val="8"/>
              <w:keepNext w:val="0"/>
              <w:keepLines w:val="0"/>
              <w:pageBreakBefore w:val="0"/>
              <w:kinsoku/>
              <w:wordWrap/>
              <w:overflowPunct/>
              <w:topLinePunct w:val="0"/>
              <w:bidi w:val="0"/>
              <w:adjustRightInd/>
              <w:spacing w:line="38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☑不允许分包</w:t>
            </w:r>
          </w:p>
          <w:p w14:paraId="2F51D5E7">
            <w:pPr>
              <w:pStyle w:val="8"/>
              <w:keepNext w:val="0"/>
              <w:keepLines w:val="0"/>
              <w:pageBreakBefore w:val="0"/>
              <w:kinsoku/>
              <w:wordWrap/>
              <w:overflowPunct/>
              <w:topLinePunct w:val="0"/>
              <w:bidi w:val="0"/>
              <w:adjustRightInd/>
              <w:spacing w:line="38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□允许分包</w:t>
            </w:r>
          </w:p>
          <w:p w14:paraId="1AC32B86">
            <w:pPr>
              <w:pStyle w:val="8"/>
              <w:keepNext w:val="0"/>
              <w:keepLines w:val="0"/>
              <w:pageBreakBefore w:val="0"/>
              <w:kinsoku/>
              <w:wordWrap/>
              <w:overflowPunct/>
              <w:topLinePunct w:val="0"/>
              <w:bidi w:val="0"/>
              <w:adjustRightInd/>
              <w:spacing w:line="380" w:lineRule="exact"/>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分包内容：</w:t>
            </w:r>
            <w:r>
              <w:rPr>
                <w:rFonts w:hint="eastAsia" w:ascii="宋体" w:hAnsi="宋体" w:eastAsia="宋体" w:cs="宋体"/>
                <w:color w:val="auto"/>
                <w:sz w:val="24"/>
                <w:szCs w:val="24"/>
                <w:highlight w:val="none"/>
                <w:u w:val="single"/>
              </w:rPr>
              <w:t xml:space="preserve">                                     。</w:t>
            </w:r>
          </w:p>
          <w:p w14:paraId="2661E54F">
            <w:pPr>
              <w:pStyle w:val="8"/>
              <w:keepNext w:val="0"/>
              <w:keepLines w:val="0"/>
              <w:pageBreakBefore w:val="0"/>
              <w:kinsoku/>
              <w:wordWrap/>
              <w:overflowPunct/>
              <w:topLinePunct w:val="0"/>
              <w:bidi w:val="0"/>
              <w:adjustRightInd/>
              <w:spacing w:line="38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分包金额或者比例：</w:t>
            </w:r>
            <w:r>
              <w:rPr>
                <w:rFonts w:hint="eastAsia" w:ascii="宋体" w:hAnsi="宋体" w:eastAsia="宋体" w:cs="宋体"/>
                <w:color w:val="auto"/>
                <w:sz w:val="24"/>
                <w:szCs w:val="24"/>
                <w:highlight w:val="none"/>
                <w:u w:val="single"/>
              </w:rPr>
              <w:t xml:space="preserve">                                     。</w:t>
            </w:r>
          </w:p>
        </w:tc>
      </w:tr>
      <w:tr w14:paraId="6F076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jc w:val="center"/>
        </w:trPr>
        <w:tc>
          <w:tcPr>
            <w:tcW w:w="992" w:type="dxa"/>
            <w:noWrap w:val="0"/>
            <w:vAlign w:val="center"/>
          </w:tcPr>
          <w:p w14:paraId="3F3818BC">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12.1.1</w:t>
            </w:r>
          </w:p>
        </w:tc>
        <w:tc>
          <w:tcPr>
            <w:tcW w:w="7912" w:type="dxa"/>
            <w:noWrap w:val="0"/>
            <w:vAlign w:val="center"/>
          </w:tcPr>
          <w:p w14:paraId="66157C19">
            <w:pPr>
              <w:keepNext w:val="0"/>
              <w:keepLines w:val="0"/>
              <w:pageBreakBefore w:val="0"/>
              <w:kinsoku/>
              <w:wordWrap/>
              <w:overflowPunct/>
              <w:topLinePunct w:val="0"/>
              <w:bidi w:val="0"/>
              <w:adjustRightInd/>
              <w:snapToGrid w:val="0"/>
              <w:spacing w:line="3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资格证明文件</w:t>
            </w:r>
          </w:p>
          <w:p w14:paraId="31A73111">
            <w:pPr>
              <w:keepNext w:val="0"/>
              <w:keepLines w:val="0"/>
              <w:pageBreakBefore w:val="0"/>
              <w:numPr>
                <w:ilvl w:val="0"/>
                <w:numId w:val="0"/>
              </w:numPr>
              <w:kinsoku/>
              <w:wordWrap/>
              <w:overflowPunct/>
              <w:topLinePunct w:val="0"/>
              <w:bidi w:val="0"/>
              <w:adjustRightInd/>
              <w:snapToGrid w:val="0"/>
              <w:spacing w:line="38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贺州市政府采购供应商信用承诺函（格式后附）；</w:t>
            </w:r>
            <w:r>
              <w:rPr>
                <w:rFonts w:hint="eastAsia" w:ascii="宋体" w:hAnsi="宋体" w:eastAsia="宋体" w:cs="宋体"/>
                <w:b/>
                <w:bCs/>
                <w:color w:val="auto"/>
                <w:sz w:val="24"/>
                <w:szCs w:val="24"/>
                <w:highlight w:val="none"/>
              </w:rPr>
              <w:t>（必须提供，否则响应文件按无效响应处理）</w:t>
            </w:r>
          </w:p>
          <w:p w14:paraId="058EC76A">
            <w:pPr>
              <w:keepNext w:val="0"/>
              <w:keepLines w:val="0"/>
              <w:pageBreakBefore w:val="0"/>
              <w:numPr>
                <w:ilvl w:val="0"/>
                <w:numId w:val="0"/>
              </w:numPr>
              <w:kinsoku/>
              <w:wordWrap/>
              <w:overflowPunct/>
              <w:topLinePunct w:val="0"/>
              <w:bidi w:val="0"/>
              <w:adjustRightInd/>
              <w:snapToGrid w:val="0"/>
              <w:spacing w:line="38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bCs/>
                <w:color w:val="auto"/>
                <w:sz w:val="24"/>
                <w:szCs w:val="24"/>
                <w:highlight w:val="none"/>
              </w:rPr>
              <w:t>（必须提供，否则响应文件按无效响应处理）</w:t>
            </w:r>
          </w:p>
          <w:p w14:paraId="36CE9F04">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、供应商直接控股、管理关系信息表（格式后附）；（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p w14:paraId="664A9EE0">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、竞标声明（格式后附）；（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p w14:paraId="0CD893E8">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中小企业声明函或者残疾人福利性单位声明函或者供应商属于监狱企业的证明材料；</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如有，请提供</w:t>
            </w:r>
            <w:r>
              <w:rPr>
                <w:rFonts w:hint="eastAsia" w:ascii="宋体" w:hAnsi="宋体" w:eastAsia="宋体" w:cs="宋体"/>
                <w:b/>
                <w:bCs/>
                <w:color w:val="auto"/>
                <w:sz w:val="24"/>
                <w:szCs w:val="24"/>
                <w:highlight w:val="none"/>
              </w:rPr>
              <w:t>）</w:t>
            </w:r>
          </w:p>
          <w:p w14:paraId="2500C255">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、除磋商文件规定必须提供以外，供应商认为需要提供的其他证明材料</w:t>
            </w:r>
            <w:r>
              <w:rPr>
                <w:rFonts w:hint="eastAsia" w:ascii="宋体" w:hAnsi="宋体" w:eastAsia="宋体" w:cs="宋体"/>
                <w:color w:val="auto"/>
                <w:sz w:val="24"/>
                <w:szCs w:val="24"/>
                <w:highlight w:val="none"/>
                <w:lang w:eastAsia="zh-CN"/>
              </w:rPr>
              <w:t>。</w:t>
            </w:r>
          </w:p>
          <w:p w14:paraId="46348951">
            <w:pPr>
              <w:keepNext w:val="0"/>
              <w:keepLines w:val="0"/>
              <w:pageBreakBefore w:val="0"/>
              <w:kinsoku/>
              <w:wordWrap/>
              <w:overflowPunct/>
              <w:topLinePunct w:val="0"/>
              <w:bidi w:val="0"/>
              <w:adjustRightInd/>
              <w:snapToGrid w:val="0"/>
              <w:spacing w:line="380" w:lineRule="exact"/>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注：</w:t>
            </w:r>
          </w:p>
          <w:p w14:paraId="4B116A30">
            <w:pPr>
              <w:keepNext w:val="0"/>
              <w:keepLines w:val="0"/>
              <w:pageBreakBefore w:val="0"/>
              <w:kinsoku/>
              <w:wordWrap/>
              <w:overflowPunct/>
              <w:topLinePunct w:val="0"/>
              <w:bidi w:val="0"/>
              <w:adjustRightInd/>
              <w:snapToGrid w:val="0"/>
              <w:spacing w:line="380" w:lineRule="exact"/>
              <w:ind w:firstLine="442" w:firstLineChars="200"/>
              <w:rPr>
                <w:rFonts w:hint="eastAsia" w:ascii="宋体" w:hAnsi="宋体" w:eastAsia="宋体" w:cs="宋体"/>
                <w:b/>
                <w:color w:val="auto"/>
                <w:sz w:val="22"/>
                <w:szCs w:val="22"/>
                <w:highlight w:val="none"/>
              </w:rPr>
            </w:pPr>
            <w:r>
              <w:rPr>
                <w:rFonts w:hint="eastAsia" w:ascii="宋体" w:hAnsi="宋体" w:cs="宋体"/>
                <w:b/>
                <w:color w:val="auto"/>
                <w:sz w:val="22"/>
                <w:szCs w:val="22"/>
                <w:highlight w:val="none"/>
                <w:lang w:eastAsia="zh-CN"/>
              </w:rPr>
              <w:t>（</w:t>
            </w:r>
            <w:r>
              <w:rPr>
                <w:rFonts w:hint="eastAsia" w:ascii="宋体" w:hAnsi="宋体" w:cs="宋体"/>
                <w:b/>
                <w:color w:val="auto"/>
                <w:sz w:val="22"/>
                <w:szCs w:val="22"/>
                <w:highlight w:val="none"/>
                <w:lang w:val="en-US" w:eastAsia="zh-CN"/>
              </w:rPr>
              <w:t>1</w:t>
            </w:r>
            <w:r>
              <w:rPr>
                <w:rFonts w:hint="eastAsia" w:ascii="宋体" w:hAnsi="宋体" w:cs="宋体"/>
                <w:b/>
                <w:color w:val="auto"/>
                <w:sz w:val="22"/>
                <w:szCs w:val="22"/>
                <w:highlight w:val="none"/>
                <w:lang w:eastAsia="zh-CN"/>
              </w:rPr>
              <w:t>）</w:t>
            </w:r>
            <w:r>
              <w:rPr>
                <w:rFonts w:hint="eastAsia" w:ascii="宋体" w:hAnsi="宋体" w:eastAsia="宋体" w:cs="宋体"/>
                <w:b/>
                <w:color w:val="auto"/>
                <w:sz w:val="22"/>
                <w:szCs w:val="22"/>
                <w:highlight w:val="none"/>
              </w:rPr>
              <w:t>1、以上标明“必须提供”的材料属于复印件的，必须加盖供应商公章，否则响应文件按无效响应处理。</w:t>
            </w:r>
          </w:p>
          <w:p w14:paraId="0832A3BD">
            <w:pPr>
              <w:keepNext w:val="0"/>
              <w:keepLines w:val="0"/>
              <w:pageBreakBefore w:val="0"/>
              <w:kinsoku/>
              <w:wordWrap/>
              <w:overflowPunct/>
              <w:topLinePunct w:val="0"/>
              <w:bidi w:val="0"/>
              <w:adjustRightInd/>
              <w:snapToGrid w:val="0"/>
              <w:spacing w:line="380" w:lineRule="exact"/>
              <w:ind w:firstLine="442" w:firstLineChars="200"/>
              <w:rPr>
                <w:rFonts w:hint="eastAsia" w:ascii="宋体" w:hAnsi="宋体" w:eastAsia="宋体" w:cs="宋体"/>
                <w:b/>
                <w:color w:val="auto"/>
                <w:sz w:val="22"/>
                <w:szCs w:val="22"/>
                <w:highlight w:val="none"/>
              </w:rPr>
            </w:pPr>
            <w:r>
              <w:rPr>
                <w:rFonts w:hint="eastAsia" w:ascii="宋体" w:hAnsi="宋体" w:cs="宋体"/>
                <w:b/>
                <w:color w:val="auto"/>
                <w:sz w:val="22"/>
                <w:szCs w:val="22"/>
                <w:highlight w:val="none"/>
                <w:lang w:eastAsia="zh-CN"/>
              </w:rPr>
              <w:t>（</w:t>
            </w:r>
            <w:r>
              <w:rPr>
                <w:rFonts w:hint="eastAsia" w:ascii="宋体" w:hAnsi="宋体" w:cs="宋体"/>
                <w:b/>
                <w:color w:val="auto"/>
                <w:sz w:val="22"/>
                <w:szCs w:val="22"/>
                <w:highlight w:val="none"/>
                <w:lang w:val="en-US" w:eastAsia="zh-CN"/>
              </w:rPr>
              <w:t>2</w:t>
            </w:r>
            <w:r>
              <w:rPr>
                <w:rFonts w:hint="eastAsia" w:ascii="宋体" w:hAnsi="宋体" w:cs="宋体"/>
                <w:b/>
                <w:color w:val="auto"/>
                <w:sz w:val="22"/>
                <w:szCs w:val="22"/>
                <w:highlight w:val="none"/>
                <w:lang w:eastAsia="zh-CN"/>
              </w:rPr>
              <w:t>）</w:t>
            </w:r>
            <w:r>
              <w:rPr>
                <w:rFonts w:hint="eastAsia" w:ascii="宋体" w:hAnsi="宋体" w:eastAsia="宋体" w:cs="宋体"/>
                <w:b/>
                <w:color w:val="auto"/>
                <w:sz w:val="22"/>
                <w:szCs w:val="22"/>
                <w:highlight w:val="none"/>
              </w:rPr>
              <w:t>、竞标声明必须由法定代表人在规定签章处签字（或盖章）并加盖供应商公章，否则响应文件按无效响应处理。</w:t>
            </w:r>
          </w:p>
          <w:p w14:paraId="2EABBFC2">
            <w:pPr>
              <w:keepNext w:val="0"/>
              <w:keepLines w:val="0"/>
              <w:pageBreakBefore w:val="0"/>
              <w:kinsoku/>
              <w:wordWrap/>
              <w:overflowPunct/>
              <w:topLinePunct w:val="0"/>
              <w:bidi w:val="0"/>
              <w:adjustRightInd/>
              <w:snapToGrid w:val="0"/>
              <w:spacing w:line="380" w:lineRule="exact"/>
              <w:ind w:firstLine="442" w:firstLineChars="200"/>
              <w:rPr>
                <w:rFonts w:hint="eastAsia" w:ascii="宋体" w:hAnsi="宋体" w:eastAsia="宋体" w:cs="宋体"/>
                <w:b/>
                <w:color w:val="auto"/>
                <w:sz w:val="24"/>
                <w:szCs w:val="24"/>
                <w:highlight w:val="none"/>
              </w:rPr>
            </w:pPr>
            <w:r>
              <w:rPr>
                <w:rFonts w:hint="eastAsia" w:ascii="宋体" w:hAnsi="宋体" w:cs="宋体"/>
                <w:b/>
                <w:color w:val="auto"/>
                <w:sz w:val="22"/>
                <w:szCs w:val="22"/>
                <w:highlight w:val="none"/>
                <w:lang w:val="en-US" w:eastAsia="zh-CN"/>
              </w:rPr>
              <w:t>（3）</w:t>
            </w:r>
            <w:r>
              <w:rPr>
                <w:rFonts w:hint="eastAsia" w:ascii="宋体" w:hAnsi="宋体" w:eastAsia="宋体" w:cs="宋体"/>
                <w:b/>
                <w:color w:val="auto"/>
                <w:sz w:val="22"/>
                <w:szCs w:val="22"/>
                <w:highlight w:val="none"/>
              </w:rPr>
              <w:t>、供应商直接控股、管理关系信息表必须由法定代表人或者委托代理人在规定签章处签字（或盖章）并加盖供应商公章，否则响应文件按无效响应处理。</w:t>
            </w:r>
          </w:p>
        </w:tc>
      </w:tr>
      <w:tr w14:paraId="74D66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B526C2A">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12.1.2</w:t>
            </w:r>
          </w:p>
        </w:tc>
        <w:tc>
          <w:tcPr>
            <w:tcW w:w="7912" w:type="dxa"/>
            <w:noWrap w:val="0"/>
            <w:vAlign w:val="center"/>
          </w:tcPr>
          <w:p w14:paraId="6486E0FF">
            <w:pPr>
              <w:keepNext w:val="0"/>
              <w:keepLines w:val="0"/>
              <w:pageBreakBefore w:val="0"/>
              <w:kinsoku/>
              <w:wordWrap/>
              <w:overflowPunct/>
              <w:topLinePunct w:val="0"/>
              <w:bidi w:val="0"/>
              <w:adjustRightInd/>
              <w:spacing w:line="3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报价商务技术文件</w:t>
            </w:r>
          </w:p>
          <w:p w14:paraId="6BE3FB87">
            <w:pPr>
              <w:keepNext w:val="0"/>
              <w:keepLines w:val="0"/>
              <w:pageBreakBefore w:val="0"/>
              <w:numPr>
                <w:ilvl w:val="0"/>
                <w:numId w:val="2"/>
              </w:numPr>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竞标函（格式后附）；（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p w14:paraId="3AF1F8D4">
            <w:pPr>
              <w:keepNext w:val="0"/>
              <w:keepLines w:val="0"/>
              <w:pageBreakBefore w:val="0"/>
              <w:numPr>
                <w:ilvl w:val="0"/>
                <w:numId w:val="2"/>
              </w:numPr>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竞标</w:t>
            </w:r>
            <w:r>
              <w:rPr>
                <w:rFonts w:hint="eastAsia" w:ascii="宋体" w:hAnsi="宋体" w:eastAsia="宋体" w:cs="宋体"/>
                <w:color w:val="auto"/>
                <w:sz w:val="24"/>
                <w:szCs w:val="24"/>
                <w:highlight w:val="none"/>
              </w:rPr>
              <w:t>报价表</w:t>
            </w:r>
            <w:r>
              <w:rPr>
                <w:rFonts w:hint="eastAsia" w:ascii="宋体" w:hAnsi="宋体" w:cs="宋体"/>
                <w:color w:val="auto"/>
                <w:sz w:val="24"/>
                <w:szCs w:val="24"/>
                <w:highlight w:val="none"/>
                <w:lang w:val="en-US" w:eastAsia="zh-CN"/>
              </w:rPr>
              <w:t>及竞标报价明细表</w:t>
            </w:r>
            <w:r>
              <w:rPr>
                <w:rFonts w:hint="eastAsia" w:ascii="宋体" w:hAnsi="宋体" w:eastAsia="宋体" w:cs="宋体"/>
                <w:color w:val="auto"/>
                <w:sz w:val="24"/>
                <w:szCs w:val="24"/>
                <w:highlight w:val="none"/>
              </w:rPr>
              <w:t>（格式后附）；（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p w14:paraId="483D4CDC">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、法定代表人身份证明书及法定代表人有效身份证正反面复印件（格式后附）；</w:t>
            </w:r>
            <w:r>
              <w:rPr>
                <w:rFonts w:hint="eastAsia" w:ascii="宋体" w:hAnsi="宋体" w:eastAsia="宋体" w:cs="宋体"/>
                <w:b/>
                <w:bCs/>
                <w:color w:val="auto"/>
                <w:sz w:val="24"/>
                <w:szCs w:val="24"/>
                <w:highlight w:val="none"/>
              </w:rPr>
              <w:t>（必须提供，否则响应文件按无效响应处理）</w:t>
            </w:r>
          </w:p>
          <w:p w14:paraId="1108C145">
            <w:pPr>
              <w:keepNext w:val="0"/>
              <w:keepLines w:val="0"/>
              <w:pageBreakBefore w:val="0"/>
              <w:numPr>
                <w:ilvl w:val="0"/>
                <w:numId w:val="0"/>
              </w:numPr>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、法定代表人授权委托书及委托代理人有效身份证正反面复印件（格式后附）；</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委托时必须提供，否则响应文件作无效处理）</w:t>
            </w:r>
          </w:p>
          <w:p w14:paraId="5CCFA5A9">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、无串通竞标行为的承诺函（格式后附）；（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p w14:paraId="5E75C1D2">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、商务条款偏离表（格式后附）；（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p w14:paraId="7DB88F7C">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、技术条款偏离表（格式后附）；（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p w14:paraId="60DBAC05">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整体建设</w:t>
            </w:r>
            <w:r>
              <w:rPr>
                <w:rFonts w:hint="eastAsia" w:ascii="宋体" w:hAnsi="宋体" w:eastAsia="宋体" w:cs="宋体"/>
                <w:color w:val="auto"/>
                <w:sz w:val="24"/>
                <w:szCs w:val="24"/>
                <w:highlight w:val="none"/>
              </w:rPr>
              <w:t>方案（格式自拟）；</w:t>
            </w:r>
          </w:p>
          <w:p w14:paraId="12FADE5B">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、售后服务方案（格式自拟）；</w:t>
            </w:r>
          </w:p>
          <w:p w14:paraId="77F38C20">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 xml:space="preserve">、拟投入本项目服务团队人员一览表（如有，格式自拟）； </w:t>
            </w:r>
          </w:p>
          <w:p w14:paraId="12258F08">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、业绩、综合实力（如有，格式自拟）；</w:t>
            </w:r>
          </w:p>
          <w:p w14:paraId="148BB0EC">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、对应采购需求的服务需求、商务条款需提供的其他文件资料（如有要求，需提供）；</w:t>
            </w:r>
          </w:p>
          <w:p w14:paraId="0301A8D0">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、供应商认为需要提供的其他有关资料（如有，格式自拟）。</w:t>
            </w:r>
          </w:p>
          <w:p w14:paraId="4A9D609F">
            <w:pPr>
              <w:keepNext w:val="0"/>
              <w:keepLines w:val="0"/>
              <w:pageBreakBefore w:val="0"/>
              <w:kinsoku/>
              <w:wordWrap/>
              <w:overflowPunct/>
              <w:topLinePunct w:val="0"/>
              <w:bidi w:val="0"/>
              <w:adjustRightInd/>
              <w:snapToGrid w:val="0"/>
              <w:spacing w:line="380" w:lineRule="exact"/>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注： </w:t>
            </w:r>
          </w:p>
          <w:p w14:paraId="68D15E85">
            <w:pPr>
              <w:keepNext w:val="0"/>
              <w:keepLines w:val="0"/>
              <w:pageBreakBefore w:val="0"/>
              <w:kinsoku/>
              <w:wordWrap/>
              <w:overflowPunct/>
              <w:topLinePunct w:val="0"/>
              <w:bidi w:val="0"/>
              <w:adjustRightInd/>
              <w:snapToGrid w:val="0"/>
              <w:spacing w:line="380" w:lineRule="exact"/>
              <w:ind w:firstLine="442" w:firstLineChars="200"/>
              <w:rPr>
                <w:rFonts w:hint="eastAsia" w:ascii="宋体" w:hAnsi="宋体" w:eastAsia="宋体" w:cs="宋体"/>
                <w:b/>
                <w:color w:val="auto"/>
                <w:sz w:val="22"/>
                <w:szCs w:val="22"/>
                <w:highlight w:val="none"/>
              </w:rPr>
            </w:pPr>
            <w:r>
              <w:rPr>
                <w:rFonts w:hint="eastAsia" w:ascii="宋体" w:hAnsi="宋体" w:cs="宋体"/>
                <w:b/>
                <w:color w:val="auto"/>
                <w:sz w:val="22"/>
                <w:szCs w:val="22"/>
                <w:highlight w:val="none"/>
                <w:lang w:eastAsia="zh-CN"/>
              </w:rPr>
              <w:t>（</w:t>
            </w:r>
            <w:r>
              <w:rPr>
                <w:rFonts w:hint="eastAsia" w:ascii="宋体" w:hAnsi="宋体" w:cs="宋体"/>
                <w:b/>
                <w:color w:val="auto"/>
                <w:sz w:val="22"/>
                <w:szCs w:val="22"/>
                <w:highlight w:val="none"/>
                <w:lang w:val="en-US" w:eastAsia="zh-CN"/>
              </w:rPr>
              <w:t>1</w:t>
            </w:r>
            <w:r>
              <w:rPr>
                <w:rFonts w:hint="eastAsia" w:ascii="宋体" w:hAnsi="宋体" w:cs="宋体"/>
                <w:b/>
                <w:color w:val="auto"/>
                <w:sz w:val="22"/>
                <w:szCs w:val="22"/>
                <w:highlight w:val="none"/>
                <w:lang w:eastAsia="zh-CN"/>
              </w:rPr>
              <w:t>）</w:t>
            </w:r>
            <w:r>
              <w:rPr>
                <w:rFonts w:hint="eastAsia" w:ascii="宋体" w:hAnsi="宋体" w:eastAsia="宋体" w:cs="宋体"/>
                <w:b/>
                <w:color w:val="auto"/>
                <w:sz w:val="22"/>
                <w:szCs w:val="22"/>
                <w:highlight w:val="none"/>
              </w:rPr>
              <w:t>、法定代表人授权委托书必须由法定代表人及委托代理人签字，并加盖供应商公章，否则响应文件按无效响应处理。</w:t>
            </w:r>
          </w:p>
          <w:p w14:paraId="23B2C8FC">
            <w:pPr>
              <w:keepNext w:val="0"/>
              <w:keepLines w:val="0"/>
              <w:pageBreakBefore w:val="0"/>
              <w:kinsoku/>
              <w:wordWrap/>
              <w:overflowPunct/>
              <w:topLinePunct w:val="0"/>
              <w:bidi w:val="0"/>
              <w:adjustRightInd/>
              <w:spacing w:line="380" w:lineRule="exact"/>
              <w:ind w:firstLine="442" w:firstLineChars="200"/>
              <w:rPr>
                <w:rFonts w:hint="eastAsia" w:ascii="宋体" w:hAnsi="宋体" w:eastAsia="宋体" w:cs="宋体"/>
                <w:b/>
                <w:color w:val="auto"/>
                <w:sz w:val="22"/>
                <w:szCs w:val="22"/>
                <w:highlight w:val="none"/>
              </w:rPr>
            </w:pPr>
            <w:r>
              <w:rPr>
                <w:rFonts w:hint="eastAsia" w:ascii="宋体" w:hAnsi="宋体" w:cs="宋体"/>
                <w:b/>
                <w:color w:val="auto"/>
                <w:sz w:val="22"/>
                <w:szCs w:val="22"/>
                <w:highlight w:val="none"/>
                <w:lang w:val="en-US" w:eastAsia="zh-CN"/>
              </w:rPr>
              <w:t>(2)</w:t>
            </w:r>
            <w:r>
              <w:rPr>
                <w:rFonts w:hint="eastAsia" w:ascii="宋体" w:hAnsi="宋体" w:eastAsia="宋体" w:cs="宋体"/>
                <w:b/>
                <w:color w:val="auto"/>
                <w:sz w:val="22"/>
                <w:szCs w:val="22"/>
                <w:highlight w:val="none"/>
              </w:rPr>
              <w:t>、以上标明“必须提供”的材料属于复印件的，必须加盖供应商公章，否则响应文件按无效响应处理。</w:t>
            </w:r>
          </w:p>
          <w:p w14:paraId="41056FC6">
            <w:pPr>
              <w:keepNext w:val="0"/>
              <w:keepLines w:val="0"/>
              <w:pageBreakBefore w:val="0"/>
              <w:kinsoku/>
              <w:wordWrap/>
              <w:overflowPunct/>
              <w:topLinePunct w:val="0"/>
              <w:bidi w:val="0"/>
              <w:adjustRightInd/>
              <w:spacing w:line="380" w:lineRule="exact"/>
              <w:ind w:firstLine="442" w:firstLineChars="200"/>
              <w:rPr>
                <w:rFonts w:hint="eastAsia" w:ascii="宋体" w:hAnsi="宋体" w:eastAsia="宋体" w:cs="宋体"/>
                <w:color w:val="auto"/>
                <w:sz w:val="24"/>
                <w:szCs w:val="24"/>
                <w:highlight w:val="none"/>
              </w:rPr>
            </w:pPr>
            <w:r>
              <w:rPr>
                <w:rFonts w:hint="eastAsia" w:ascii="宋体" w:hAnsi="宋体" w:cs="宋体"/>
                <w:b/>
                <w:color w:val="auto"/>
                <w:sz w:val="22"/>
                <w:szCs w:val="22"/>
                <w:highlight w:val="none"/>
                <w:lang w:val="en-US" w:eastAsia="zh-CN"/>
              </w:rPr>
              <w:t>(3)</w:t>
            </w:r>
            <w:r>
              <w:rPr>
                <w:rFonts w:hint="eastAsia" w:ascii="宋体" w:hAnsi="宋体" w:eastAsia="宋体" w:cs="宋体"/>
                <w:b/>
                <w:color w:val="auto"/>
                <w:sz w:val="22"/>
                <w:szCs w:val="22"/>
                <w:highlight w:val="none"/>
              </w:rPr>
              <w:t>、以上材料未附格式的，由供应商自行拟定。</w:t>
            </w:r>
          </w:p>
        </w:tc>
      </w:tr>
      <w:tr w14:paraId="40281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7532145">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w:t>
            </w:r>
          </w:p>
        </w:tc>
        <w:tc>
          <w:tcPr>
            <w:tcW w:w="7912" w:type="dxa"/>
            <w:noWrap w:val="0"/>
            <w:vAlign w:val="center"/>
          </w:tcPr>
          <w:p w14:paraId="1704A1E8">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1、响应文件电子版要求：投标文件应按资格证明文件、报价商务技术文件分别编制，资格证明文件、报价商务技术文件按顺序合并生成电子文件。不可涂改，否则响应文件按无效响应处理。</w:t>
            </w:r>
          </w:p>
          <w:p w14:paraId="65BEC954">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2、响应文件电子版密封方式：电子响应文件通过平台有效CA加密后在广西政府采购云平台投送。</w:t>
            </w:r>
          </w:p>
          <w:p w14:paraId="240B07E1">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3、电子《投标文件》是指通过“ 广西政府采购云平台电子投标客户端”完成《投标文件》编制后生成并加密的数据电文形式的电子加密《投标文件》</w:t>
            </w:r>
          </w:p>
        </w:tc>
      </w:tr>
      <w:tr w14:paraId="130F0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noWrap w:val="0"/>
            <w:vAlign w:val="center"/>
          </w:tcPr>
          <w:p w14:paraId="10F92E05">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w:t>
            </w:r>
          </w:p>
        </w:tc>
        <w:tc>
          <w:tcPr>
            <w:tcW w:w="7912" w:type="dxa"/>
            <w:noWrap w:val="0"/>
            <w:vAlign w:val="center"/>
          </w:tcPr>
          <w:p w14:paraId="224A2A66">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竞标报价：供应商应就第三章《采购需求和说明》中的所有服务及其他全部内容作完整唯一报价。</w:t>
            </w:r>
            <w:r>
              <w:rPr>
                <w:rFonts w:hint="eastAsia" w:ascii="宋体" w:hAnsi="宋体" w:eastAsia="宋体" w:cs="宋体"/>
                <w:b/>
                <w:bCs/>
                <w:color w:val="auto"/>
                <w:sz w:val="24"/>
                <w:szCs w:val="24"/>
                <w:highlight w:val="none"/>
              </w:rPr>
              <w:t>（响应文件有效报价不得高于采购预算价（上限控制价），否则响应文件无效。响应文件有效报价为首轮报价，若磋商文件在磋商时没有实质性变动，磋商供应商的每一轮报价均不得高于上一轮报价，否则响应文件无效。）</w:t>
            </w:r>
          </w:p>
          <w:p w14:paraId="756DA132">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竞标报价必须包含满足本次竞标全部采购需求和说明所应提供的服务，以及伴随的货物和工程（如有）的价格；</w:t>
            </w:r>
            <w:r>
              <w:rPr>
                <w:rFonts w:hint="eastAsia" w:ascii="宋体" w:hAnsi="宋体" w:eastAsia="宋体" w:cs="宋体"/>
                <w:b/>
                <w:color w:val="auto"/>
                <w:sz w:val="24"/>
                <w:szCs w:val="24"/>
                <w:highlight w:val="none"/>
              </w:rPr>
              <w:t>（采购需求和说明另有约定的，从其约定。）</w:t>
            </w:r>
          </w:p>
        </w:tc>
      </w:tr>
      <w:tr w14:paraId="791D0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noWrap w:val="0"/>
            <w:vAlign w:val="center"/>
          </w:tcPr>
          <w:p w14:paraId="5A0511C5">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w:t>
            </w:r>
          </w:p>
        </w:tc>
        <w:tc>
          <w:tcPr>
            <w:tcW w:w="7912" w:type="dxa"/>
            <w:noWrap w:val="0"/>
            <w:vAlign w:val="center"/>
          </w:tcPr>
          <w:p w14:paraId="3AFC0B7F">
            <w:pPr>
              <w:pStyle w:val="6"/>
              <w:keepNext w:val="0"/>
              <w:keepLines w:val="0"/>
              <w:pageBreakBefore w:val="0"/>
              <w:widowControl w:val="0"/>
              <w:tabs>
                <w:tab w:val="left" w:pos="720"/>
                <w:tab w:val="left" w:pos="840"/>
              </w:tabs>
              <w:kinsoku/>
              <w:wordWrap/>
              <w:overflowPunct/>
              <w:topLinePunct w:val="0"/>
              <w:bidi w:val="0"/>
              <w:adjustRightInd/>
              <w:snapToGrid w:val="0"/>
              <w:spacing w:afterLines="0" w:line="380" w:lineRule="exact"/>
              <w:ind w:lef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竞标有效期：自首次响应文件提交截止之日起</w:t>
            </w:r>
            <w:r>
              <w:rPr>
                <w:rFonts w:hint="eastAsia" w:ascii="宋体" w:hAnsi="宋体" w:eastAsia="宋体" w:cs="宋体"/>
                <w:color w:val="auto"/>
                <w:kern w:val="2"/>
                <w:sz w:val="24"/>
                <w:szCs w:val="24"/>
                <w:highlight w:val="none"/>
                <w:u w:val="single"/>
              </w:rPr>
              <w:t xml:space="preserve"> 60 </w:t>
            </w:r>
            <w:r>
              <w:rPr>
                <w:rFonts w:hint="eastAsia" w:ascii="宋体" w:hAnsi="宋体" w:eastAsia="宋体" w:cs="宋体"/>
                <w:color w:val="auto"/>
                <w:kern w:val="2"/>
                <w:sz w:val="24"/>
                <w:szCs w:val="24"/>
                <w:highlight w:val="none"/>
              </w:rPr>
              <w:t>日。</w:t>
            </w:r>
          </w:p>
        </w:tc>
      </w:tr>
      <w:tr w14:paraId="4DAA6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B43BED6">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w:t>
            </w:r>
          </w:p>
        </w:tc>
        <w:tc>
          <w:tcPr>
            <w:tcW w:w="7912" w:type="dxa"/>
            <w:noWrap w:val="0"/>
            <w:vAlign w:val="center"/>
          </w:tcPr>
          <w:p w14:paraId="1B4D386B">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本项目不收取磋商保证金。</w:t>
            </w:r>
          </w:p>
        </w:tc>
      </w:tr>
      <w:tr w14:paraId="2820A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42B03B5">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w:t>
            </w:r>
          </w:p>
        </w:tc>
        <w:tc>
          <w:tcPr>
            <w:tcW w:w="7912" w:type="dxa"/>
            <w:noWrap w:val="0"/>
            <w:vAlign w:val="center"/>
          </w:tcPr>
          <w:p w14:paraId="1A6B9498">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响应文件提交起止时间：详见竞争性磋商公告。</w:t>
            </w:r>
          </w:p>
          <w:p w14:paraId="68511F0D">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响应文件提交截止时间：详见竞争性磋商公告。</w:t>
            </w:r>
          </w:p>
          <w:p w14:paraId="6A01B3F3">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响应文件提交地点：详见竞争性磋商公告。</w:t>
            </w:r>
          </w:p>
          <w:p w14:paraId="3F42AB4A">
            <w:pPr>
              <w:keepNext w:val="0"/>
              <w:keepLines w:val="0"/>
              <w:pageBreakBefore w:val="0"/>
              <w:kinsoku/>
              <w:wordWrap/>
              <w:overflowPunct/>
              <w:topLinePunct w:val="0"/>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供应商必须在响应文件提交截止时间前，通过有效数字证书（CA认证锁）进行电子签章、加密，然后通过网络将加密的电子响应文件递交至“广西政府采购云平台”。</w:t>
            </w:r>
          </w:p>
        </w:tc>
      </w:tr>
      <w:tr w14:paraId="6C879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0635116">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w:t>
            </w:r>
          </w:p>
        </w:tc>
        <w:tc>
          <w:tcPr>
            <w:tcW w:w="7912" w:type="dxa"/>
            <w:noWrap w:val="0"/>
            <w:vAlign w:val="center"/>
          </w:tcPr>
          <w:p w14:paraId="6384122E">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磋商小组的人数：</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人，其中采购人代表</w:t>
            </w:r>
            <w:r>
              <w:rPr>
                <w:rFonts w:hint="eastAsia" w:ascii="宋体" w:hAnsi="宋体" w:eastAsia="宋体" w:cs="宋体"/>
                <w:color w:val="auto"/>
                <w:sz w:val="24"/>
                <w:szCs w:val="24"/>
                <w:highlight w:val="none"/>
                <w:u w:val="single"/>
              </w:rPr>
              <w:t xml:space="preserve"> 1 人</w:t>
            </w:r>
            <w:r>
              <w:rPr>
                <w:rFonts w:hint="eastAsia" w:ascii="宋体" w:hAnsi="宋体" w:eastAsia="宋体" w:cs="宋体"/>
                <w:color w:val="auto"/>
                <w:sz w:val="24"/>
                <w:szCs w:val="24"/>
                <w:highlight w:val="none"/>
              </w:rPr>
              <w:t>，广西政府采购云平台广西评审专家库抽取评审专家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p>
          <w:p w14:paraId="5E743A1A">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磋商小组确定方式：开标前由采购代理机构在广西政府采购云平台广西评审专家库随机抽取确定，其中至少抽取1名异地专家与采购项目所在地抽取的专家进行评审。</w:t>
            </w:r>
          </w:p>
        </w:tc>
      </w:tr>
      <w:tr w14:paraId="1342D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noWrap w:val="0"/>
            <w:vAlign w:val="center"/>
          </w:tcPr>
          <w:p w14:paraId="059F4EB6">
            <w:pPr>
              <w:keepNext w:val="0"/>
              <w:keepLines w:val="0"/>
              <w:pageBreakBefore w:val="0"/>
              <w:kinsoku/>
              <w:wordWrap/>
              <w:overflowPunct/>
              <w:topLinePunct w:val="0"/>
              <w:bidi w:val="0"/>
              <w:adjustRightInd/>
              <w:spacing w:line="38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26.2</w:t>
            </w:r>
          </w:p>
        </w:tc>
        <w:tc>
          <w:tcPr>
            <w:tcW w:w="7912" w:type="dxa"/>
            <w:noWrap w:val="0"/>
            <w:vAlign w:val="center"/>
          </w:tcPr>
          <w:p w14:paraId="50891A0E">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商务条款评审中允许负偏离的条款数为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w:t>
            </w:r>
          </w:p>
          <w:p w14:paraId="28A76214">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技术条款评审中允许负偏离的条款数为</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35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w:t>
            </w:r>
          </w:p>
        </w:tc>
      </w:tr>
      <w:tr w14:paraId="5AB2B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vMerge w:val="continue"/>
            <w:noWrap w:val="0"/>
            <w:vAlign w:val="center"/>
          </w:tcPr>
          <w:p w14:paraId="7BF70E31">
            <w:pPr>
              <w:keepNext w:val="0"/>
              <w:keepLines w:val="0"/>
              <w:pageBreakBefore w:val="0"/>
              <w:kinsoku/>
              <w:wordWrap/>
              <w:overflowPunct/>
              <w:topLinePunct w:val="0"/>
              <w:bidi w:val="0"/>
              <w:adjustRightInd/>
              <w:spacing w:line="380" w:lineRule="exact"/>
              <w:jc w:val="center"/>
              <w:rPr>
                <w:rFonts w:hint="default" w:ascii="宋体" w:hAnsi="宋体" w:eastAsia="宋体" w:cs="宋体"/>
                <w:color w:val="auto"/>
                <w:sz w:val="24"/>
                <w:szCs w:val="24"/>
                <w:highlight w:val="none"/>
                <w:lang w:val="en-US" w:eastAsia="zh-CN"/>
              </w:rPr>
            </w:pPr>
          </w:p>
        </w:tc>
        <w:tc>
          <w:tcPr>
            <w:tcW w:w="7912" w:type="dxa"/>
            <w:noWrap w:val="0"/>
            <w:vAlign w:val="center"/>
          </w:tcPr>
          <w:p w14:paraId="2D0054CF">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按“ 广西政府采购云平台”系统的编号顺序，通知磋商时，若某供应商无响应（该供应商排序到最后磋商），按照顺序由其下一位供应商先参与磋商。</w:t>
            </w:r>
          </w:p>
          <w:p w14:paraId="67824B31">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☑随机排序。</w:t>
            </w:r>
          </w:p>
        </w:tc>
      </w:tr>
      <w:tr w14:paraId="33C02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992" w:type="dxa"/>
            <w:noWrap w:val="0"/>
            <w:vAlign w:val="center"/>
          </w:tcPr>
          <w:p w14:paraId="0911FF55">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27.1</w:t>
            </w:r>
          </w:p>
        </w:tc>
        <w:tc>
          <w:tcPr>
            <w:tcW w:w="7912" w:type="dxa"/>
            <w:noWrap w:val="0"/>
            <w:vAlign w:val="center"/>
          </w:tcPr>
          <w:p w14:paraId="377CEBF9">
            <w:pPr>
              <w:pStyle w:val="8"/>
              <w:keepNext w:val="0"/>
              <w:keepLines w:val="0"/>
              <w:pageBreakBefore w:val="0"/>
              <w:kinsoku/>
              <w:wordWrap/>
              <w:overflowPunct/>
              <w:topLinePunct w:val="0"/>
              <w:bidi w:val="0"/>
              <w:adjustRightInd/>
              <w:spacing w:line="380" w:lineRule="exact"/>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是否授权磋商小组直接确定成交供应商：是</w:t>
            </w:r>
          </w:p>
        </w:tc>
      </w:tr>
      <w:tr w14:paraId="1FC63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92" w:type="dxa"/>
            <w:noWrap w:val="0"/>
            <w:vAlign w:val="center"/>
          </w:tcPr>
          <w:p w14:paraId="43670DA7">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w:t>
            </w:r>
          </w:p>
        </w:tc>
        <w:tc>
          <w:tcPr>
            <w:tcW w:w="7912" w:type="dxa"/>
            <w:noWrap w:val="0"/>
            <w:vAlign w:val="center"/>
          </w:tcPr>
          <w:p w14:paraId="38F26FF1">
            <w:pPr>
              <w:keepNext w:val="0"/>
              <w:keepLines w:val="0"/>
              <w:pageBreakBefore w:val="0"/>
              <w:kinsoku/>
              <w:wordWrap/>
              <w:overflowPunct/>
              <w:topLinePunct w:val="0"/>
              <w:autoSpaceDE w:val="0"/>
              <w:autoSpaceDN w:val="0"/>
              <w:bidi w:val="0"/>
              <w:adjustRightInd/>
              <w:snapToGrid w:val="0"/>
              <w:spacing w:line="380" w:lineRule="exact"/>
              <w:ind w:firstLine="482" w:firstLineChars="200"/>
              <w:textAlignment w:val="bottom"/>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履约保证金：</w:t>
            </w:r>
            <w:r>
              <w:rPr>
                <w:rFonts w:hint="eastAsia" w:ascii="宋体" w:hAnsi="宋体" w:cs="宋体"/>
                <w:b/>
                <w:bCs/>
                <w:color w:val="auto"/>
                <w:sz w:val="24"/>
                <w:szCs w:val="24"/>
                <w:highlight w:val="none"/>
                <w:lang w:val="en-US" w:eastAsia="zh-CN"/>
              </w:rPr>
              <w:t>本项目不收取</w:t>
            </w:r>
            <w:r>
              <w:rPr>
                <w:rFonts w:hint="eastAsia" w:ascii="宋体" w:hAnsi="宋体" w:eastAsia="宋体" w:cs="宋体"/>
                <w:b/>
                <w:bCs/>
                <w:color w:val="auto"/>
                <w:sz w:val="24"/>
                <w:szCs w:val="24"/>
                <w:highlight w:val="none"/>
              </w:rPr>
              <w:t>履约保证金。</w:t>
            </w:r>
          </w:p>
        </w:tc>
      </w:tr>
      <w:tr w14:paraId="346EA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992" w:type="dxa"/>
            <w:noWrap w:val="0"/>
            <w:vAlign w:val="center"/>
          </w:tcPr>
          <w:p w14:paraId="64654453">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29.1</w:t>
            </w:r>
          </w:p>
        </w:tc>
        <w:tc>
          <w:tcPr>
            <w:tcW w:w="7912" w:type="dxa"/>
            <w:noWrap w:val="0"/>
            <w:vAlign w:val="center"/>
          </w:tcPr>
          <w:p w14:paraId="314B1711">
            <w:pPr>
              <w:keepNext w:val="0"/>
              <w:keepLines w:val="0"/>
              <w:pageBreakBefore w:val="0"/>
              <w:kinsoku/>
              <w:wordWrap/>
              <w:overflowPunct/>
              <w:topLinePunct w:val="0"/>
              <w:autoSpaceDE w:val="0"/>
              <w:autoSpaceDN w:val="0"/>
              <w:bidi w:val="0"/>
              <w:adjustRightInd/>
              <w:snapToGrid w:val="0"/>
              <w:spacing w:line="38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签订合同携带的证明材料： </w:t>
            </w:r>
          </w:p>
          <w:p w14:paraId="670EEE6F">
            <w:pPr>
              <w:keepNext w:val="0"/>
              <w:keepLines w:val="0"/>
              <w:pageBreakBefore w:val="0"/>
              <w:kinsoku/>
              <w:wordWrap/>
              <w:overflowPunct/>
              <w:topLinePunct w:val="0"/>
              <w:autoSpaceDE w:val="0"/>
              <w:autoSpaceDN w:val="0"/>
              <w:bidi w:val="0"/>
              <w:adjustRightInd/>
              <w:snapToGrid w:val="0"/>
              <w:spacing w:line="38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1、使用的有效CA证书加盖单位电子公章（如采购人已办理CA数字证书时采用）或线下签订。</w:t>
            </w:r>
          </w:p>
          <w:p w14:paraId="3DB2FE69">
            <w:pPr>
              <w:keepNext w:val="0"/>
              <w:keepLines w:val="0"/>
              <w:pageBreakBefore w:val="0"/>
              <w:kinsoku/>
              <w:wordWrap/>
              <w:overflowPunct/>
              <w:topLinePunct w:val="0"/>
              <w:autoSpaceDE w:val="0"/>
              <w:autoSpaceDN w:val="0"/>
              <w:bidi w:val="0"/>
              <w:adjustRightInd/>
              <w:snapToGrid w:val="0"/>
              <w:spacing w:line="38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2、委托代理人负责签订合同的，须携带授权委托书及委托代理人身份证原件等其他资格证件。</w:t>
            </w:r>
          </w:p>
          <w:p w14:paraId="59A67661">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3、法定代表人</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负责签订合同的，须携带法定代表人</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身份证明原件及身份证原件等其他证明材料。</w:t>
            </w:r>
          </w:p>
        </w:tc>
      </w:tr>
      <w:tr w14:paraId="5C4C4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290429C">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w:t>
            </w:r>
          </w:p>
        </w:tc>
        <w:tc>
          <w:tcPr>
            <w:tcW w:w="7912" w:type="dxa"/>
            <w:noWrap w:val="0"/>
            <w:vAlign w:val="center"/>
          </w:tcPr>
          <w:p w14:paraId="0F0C6E0C">
            <w:pPr>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接收质疑函方式：以书面形式。</w:t>
            </w:r>
          </w:p>
          <w:p w14:paraId="65EF8700">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质疑联系部门及联系方式：</w:t>
            </w:r>
            <w:r>
              <w:rPr>
                <w:rFonts w:hint="eastAsia" w:ascii="宋体" w:hAnsi="宋体" w:eastAsia="宋体" w:cs="宋体"/>
                <w:color w:val="auto"/>
                <w:kern w:val="2"/>
                <w:sz w:val="24"/>
                <w:szCs w:val="24"/>
                <w:highlight w:val="none"/>
                <w:u w:val="single"/>
              </w:rPr>
              <w:t>广东展诚工程咨询有限公司</w:t>
            </w:r>
            <w:r>
              <w:rPr>
                <w:rFonts w:hint="eastAsia" w:ascii="宋体" w:hAnsi="宋体" w:eastAsia="宋体" w:cs="宋体"/>
                <w:color w:val="auto"/>
                <w:kern w:val="2"/>
                <w:sz w:val="24"/>
                <w:szCs w:val="24"/>
                <w:highlight w:val="none"/>
              </w:rPr>
              <w:t>，联系电话：0774-5038195，通讯地址：贺州市八步区城东街道灵凤村城东新区太安路B地块128号4楼</w:t>
            </w:r>
          </w:p>
          <w:p w14:paraId="2470E148">
            <w:pPr>
              <w:keepNext w:val="0"/>
              <w:keepLines w:val="0"/>
              <w:pageBreakBefore w:val="0"/>
              <w:kinsoku/>
              <w:wordWrap/>
              <w:overflowPunct/>
              <w:topLinePunct w:val="0"/>
              <w:autoSpaceDE w:val="0"/>
              <w:autoSpaceDN w:val="0"/>
              <w:bidi w:val="0"/>
              <w:adjustRightInd/>
              <w:snapToGrid w:val="0"/>
              <w:spacing w:line="38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业务时间：上午8时00分到12时00分，下午3时00分到6时00分，业务时间以外、双休日和法定节假日不办理业务。</w:t>
            </w:r>
          </w:p>
        </w:tc>
      </w:tr>
      <w:tr w14:paraId="4E42F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4D10819">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w:t>
            </w:r>
          </w:p>
        </w:tc>
        <w:tc>
          <w:tcPr>
            <w:tcW w:w="7912" w:type="dxa"/>
            <w:noWrap w:val="0"/>
            <w:vAlign w:val="center"/>
          </w:tcPr>
          <w:p w14:paraId="6552084C">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1、采购代理费支付方式：</w:t>
            </w:r>
          </w:p>
          <w:p w14:paraId="6E5F50DE">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☑本项目代理服务费由</w:t>
            </w:r>
            <w:r>
              <w:rPr>
                <w:rFonts w:hint="eastAsia" w:ascii="宋体" w:hAnsi="宋体" w:eastAsia="宋体" w:cs="宋体"/>
                <w:color w:val="auto"/>
                <w:sz w:val="24"/>
                <w:szCs w:val="24"/>
                <w:highlight w:val="none"/>
                <w:u w:val="single"/>
              </w:rPr>
              <w:t xml:space="preserve"> 成交供应商 </w:t>
            </w:r>
            <w:r>
              <w:rPr>
                <w:rFonts w:hint="eastAsia" w:ascii="宋体" w:hAnsi="宋体" w:eastAsia="宋体" w:cs="宋体"/>
                <w:color w:val="auto"/>
                <w:sz w:val="24"/>
                <w:szCs w:val="24"/>
                <w:highlight w:val="none"/>
              </w:rPr>
              <w:t>领取成交通知书前，一次性向采购代理机构支付。</w:t>
            </w:r>
          </w:p>
          <w:p w14:paraId="2C61EB20">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2、采购代理费收取标准：</w:t>
            </w:r>
          </w:p>
          <w:p w14:paraId="4345A23C">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本项目磋商成交金额为计算基数，参照原国家发展计划委员会《招标代理服务收费管理暂行办法》(计价格(2002)1980号)、《关于降低部分建设项目收费标准规范收费行为等有关问题的通知》(发改价格(2011)534号)及《广西壮族自治区物价局转发国家发展改革委关于降低部分建设项目收费标准规范收费行为等有关问题的通知》(桂价费(2011)55号)标准，采用差额定率累进计费方式计算金额向成交人收取该次招标的招标代理报酬。</w:t>
            </w:r>
          </w:p>
        </w:tc>
      </w:tr>
      <w:tr w14:paraId="68F3C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3D1E1D7">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w:t>
            </w:r>
          </w:p>
        </w:tc>
        <w:tc>
          <w:tcPr>
            <w:tcW w:w="7912" w:type="dxa"/>
            <w:noWrap w:val="0"/>
            <w:vAlign w:val="center"/>
          </w:tcPr>
          <w:p w14:paraId="6F5EB053">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解释：构成本磋商文件的各个组成文件应互为解释，互为说明；除磋商文件中有特别规定外，仅适用于竞标阶段的规定，按更正公告（澄清公告）、竞争性磋商公告、供应商须知、采购需求和说明、评审程序、评审方法、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31C6C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DD2CD70">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w:t>
            </w:r>
          </w:p>
        </w:tc>
        <w:tc>
          <w:tcPr>
            <w:tcW w:w="7912" w:type="dxa"/>
            <w:noWrap w:val="0"/>
            <w:vAlign w:val="center"/>
          </w:tcPr>
          <w:p w14:paraId="5B21AAAB">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磋商文件中描述供应商的“公章”是指根据我国对公章的管理规定，用供应商法定主体行为名称制作的印章（包括广西政府采购云平台CA电子签章），除本磋商文件有特殊规定外，供应商的财务章、部门章、分公司章、工会章、合同章、竞标/投标专用章、业务专用章及银行的转账章、现金收讫章、现金付讫章等其他形式印章均不能代替公章。</w:t>
            </w:r>
          </w:p>
          <w:p w14:paraId="5A5B7309">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2、供应商为其他组织或者自然人时，本磋商文件规定的法定代表人指负责人或者自然人。本磋商文件所称负责人是指参加竞标的 负责人，本磋商文件所称自然人指参与竞标的自然人本人。</w:t>
            </w:r>
          </w:p>
          <w:p w14:paraId="479CA74E">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3、本磋商文件中描述供应商的“签字”是指供应商的法定代表人</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或者委托代理人亲自在文件规定签署处亲笔写上个人的名字的行为，私章、签字章、印鉴、影印等其他形式均不能代替亲笔签字。</w:t>
            </w:r>
          </w:p>
          <w:p w14:paraId="215FD50C">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4、自然人竞标的，磋商文件规定盖公章处由自然人摁手指指印。</w:t>
            </w:r>
          </w:p>
          <w:p w14:paraId="34AEE526">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5、本磋商文件所称的“以上”“以下”“以内”“届满”，包括本数；所称的“不满”“超过”“以外”，不包括本数。</w:t>
            </w:r>
          </w:p>
          <w:p w14:paraId="0F2003FB">
            <w:pPr>
              <w:pStyle w:val="13"/>
              <w:keepNext w:val="0"/>
              <w:keepLines w:val="0"/>
              <w:pageBreakBefore w:val="0"/>
              <w:kinsoku/>
              <w:wordWrap/>
              <w:overflowPunct/>
              <w:topLinePunct w:val="0"/>
              <w:bidi w:val="0"/>
              <w:adjustRightInd/>
              <w:snapToGrid w:val="0"/>
              <w:spacing w:line="3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6.因项目存档需要，须按以下要求提供纸质响应文件:成交供应商在成交通知书发出后7天内须提交</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套纸质版响应文件(含资格证明文件、商务技术文件、报价文件，按要求加盖公章)给采购代理机构。提交的纸质版响应文件交本必须与其上传的电子响应文件内客一致，不允许有篡改。如项目验收时因所提供的纸质响应文件与评标的响应文件不一致造成纠纷时，所有责任由成交供应商承担。</w:t>
            </w:r>
          </w:p>
        </w:tc>
      </w:tr>
      <w:tr w14:paraId="7E0BD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660B6B7">
            <w:pPr>
              <w:keepNext w:val="0"/>
              <w:keepLines w:val="0"/>
              <w:pageBreakBefore w:val="0"/>
              <w:kinsoku/>
              <w:wordWrap/>
              <w:overflowPunct/>
              <w:topLinePunct w:val="0"/>
              <w:bidi w:val="0"/>
              <w:adjustRightInd/>
              <w:spacing w:line="38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33.4</w:t>
            </w:r>
          </w:p>
        </w:tc>
        <w:tc>
          <w:tcPr>
            <w:tcW w:w="7912" w:type="dxa"/>
            <w:noWrap w:val="0"/>
            <w:vAlign w:val="center"/>
          </w:tcPr>
          <w:p w14:paraId="1B06B657">
            <w:pPr>
              <w:pStyle w:val="13"/>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采购标的对应的中小企业划分标准所属行业为：软件和信息技术服务业</w:t>
            </w:r>
            <w:r>
              <w:rPr>
                <w:rFonts w:hint="eastAsia" w:ascii="宋体" w:hAnsi="宋体" w:eastAsia="宋体" w:cs="宋体"/>
                <w:b/>
                <w:bCs/>
                <w:color w:val="auto"/>
                <w:sz w:val="24"/>
                <w:szCs w:val="24"/>
                <w:highlight w:val="none"/>
                <w:lang w:val="en-US" w:eastAsia="zh-CN"/>
              </w:rPr>
              <w:t>和工业。</w:t>
            </w:r>
          </w:p>
        </w:tc>
      </w:tr>
      <w:tr w14:paraId="10846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140A9F3">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33.5</w:t>
            </w:r>
          </w:p>
        </w:tc>
        <w:tc>
          <w:tcPr>
            <w:tcW w:w="7912" w:type="dxa"/>
            <w:noWrap w:val="0"/>
            <w:vAlign w:val="center"/>
          </w:tcPr>
          <w:p w14:paraId="6FCE020E">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政府采购活动中推广使用电子保承的通知：根据《广西壮族自治区财政厅关于在政府采购活动中推广使用电子保函的通知》(桂财采(2023)92号)、贺州市财政局关于在政府采购活动中推广使用电子保函的通知文件的精神，为中小企业参与政府采购活动提供便和，切实减轻企业负担，进一步优化政府采购营商环境在本区实施的政府采购活动中，项目如采用了投标保证金保函、约保证金保函及预付款保函的部分，均鼓励采职政府采购电了保承的形式。电了保函有关业务操作流程和手册可从“广西政府采购金融服务平台”查阅下载，供应商在电子保函的申请、使用、查看应用过程中遇到问题可咨询技术支撑方:4009039583。</w:t>
            </w:r>
          </w:p>
        </w:tc>
      </w:tr>
      <w:tr w14:paraId="1AEE5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EDB4505">
            <w:pPr>
              <w:keepNext w:val="0"/>
              <w:keepLines w:val="0"/>
              <w:pageBreakBefore w:val="0"/>
              <w:kinsoku/>
              <w:wordWrap/>
              <w:overflowPunct/>
              <w:topLinePunct w:val="0"/>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33.6</w:t>
            </w:r>
          </w:p>
        </w:tc>
        <w:tc>
          <w:tcPr>
            <w:tcW w:w="7912" w:type="dxa"/>
            <w:noWrap w:val="0"/>
            <w:vAlign w:val="center"/>
          </w:tcPr>
          <w:p w14:paraId="249270BF">
            <w:pPr>
              <w:pStyle w:val="13"/>
              <w:keepNext w:val="0"/>
              <w:keepLines w:val="0"/>
              <w:pageBreakBefore w:val="0"/>
              <w:kinsoku/>
              <w:wordWrap/>
              <w:overflowPunct/>
              <w:topLinePunct w:val="0"/>
              <w:bidi w:val="0"/>
              <w:adjustRightInd/>
              <w:snapToGrid w:val="0"/>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一步推行“政采贷”工作的通知：根据《贺州市财政局关于进一步推行“政采贷”工作的通知》(贺财采(2024)3号)，为有效缓解中小微企业融资难、融资贵问题，如政府采购中标的供应商存在融资需求，在中标公告发布后，可通过“广西政府采购金融服务平台””进行合同融资预申请。相关事宜请跟贺州市财政局政府采购监督管理科联系，联系电话:0774-5135553、5131068。</w:t>
            </w:r>
          </w:p>
        </w:tc>
      </w:tr>
    </w:tbl>
    <w:p w14:paraId="7C3F3FD7">
      <w:pPr>
        <w:spacing w:line="400" w:lineRule="exact"/>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bookmarkStart w:id="77" w:name="_Toc23123"/>
      <w:r>
        <w:rPr>
          <w:rFonts w:hint="eastAsia" w:ascii="宋体" w:hAnsi="宋体" w:eastAsia="宋体" w:cs="宋体"/>
          <w:b/>
          <w:color w:val="auto"/>
          <w:sz w:val="32"/>
          <w:szCs w:val="32"/>
          <w:highlight w:val="none"/>
        </w:rPr>
        <w:t>供应商须知正文</w:t>
      </w:r>
      <w:bookmarkEnd w:id="77"/>
    </w:p>
    <w:p w14:paraId="54F202C6">
      <w:pPr>
        <w:spacing w:line="400" w:lineRule="exact"/>
        <w:jc w:val="center"/>
        <w:rPr>
          <w:rFonts w:hint="eastAsia" w:ascii="宋体" w:hAnsi="宋体" w:eastAsia="宋体" w:cs="宋体"/>
          <w:b/>
          <w:color w:val="auto"/>
          <w:sz w:val="32"/>
          <w:szCs w:val="32"/>
          <w:highlight w:val="none"/>
        </w:rPr>
      </w:pPr>
    </w:p>
    <w:p w14:paraId="0D89E1FA">
      <w:pPr>
        <w:spacing w:line="400" w:lineRule="exact"/>
        <w:jc w:val="center"/>
        <w:outlineLvl w:val="1"/>
        <w:rPr>
          <w:rFonts w:hint="eastAsia" w:ascii="宋体" w:hAnsi="宋体" w:eastAsia="宋体" w:cs="宋体"/>
          <w:b/>
          <w:color w:val="auto"/>
          <w:sz w:val="32"/>
          <w:szCs w:val="32"/>
          <w:highlight w:val="none"/>
        </w:rPr>
      </w:pPr>
      <w:bookmarkStart w:id="78" w:name="_Toc14602"/>
      <w:r>
        <w:rPr>
          <w:rFonts w:hint="eastAsia" w:ascii="宋体" w:hAnsi="宋体" w:eastAsia="宋体" w:cs="宋体"/>
          <w:b/>
          <w:color w:val="auto"/>
          <w:sz w:val="32"/>
          <w:szCs w:val="32"/>
          <w:highlight w:val="none"/>
        </w:rPr>
        <w:t>一、总则</w:t>
      </w:r>
      <w:bookmarkEnd w:id="78"/>
    </w:p>
    <w:p w14:paraId="34DC21D3">
      <w:pPr>
        <w:spacing w:line="400" w:lineRule="exact"/>
        <w:rPr>
          <w:rFonts w:hint="eastAsia" w:ascii="宋体" w:hAnsi="宋体" w:eastAsia="宋体" w:cs="宋体"/>
          <w:color w:val="auto"/>
          <w:szCs w:val="21"/>
          <w:highlight w:val="none"/>
        </w:rPr>
      </w:pPr>
    </w:p>
    <w:p w14:paraId="5D42DC8B">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79" w:name="_Toc13105"/>
      <w:r>
        <w:rPr>
          <w:rFonts w:hint="eastAsia" w:ascii="宋体" w:hAnsi="宋体" w:eastAsia="宋体" w:cs="宋体"/>
          <w:b/>
          <w:bCs/>
          <w:color w:val="auto"/>
          <w:sz w:val="24"/>
          <w:highlight w:val="none"/>
        </w:rPr>
        <w:t>1、适用范围</w:t>
      </w:r>
      <w:bookmarkEnd w:id="79"/>
    </w:p>
    <w:p w14:paraId="6B81694F">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4840DF31">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r>
        <w:rPr>
          <w:rFonts w:hint="eastAsia" w:ascii="宋体" w:hAnsi="宋体" w:eastAsia="宋体" w:cs="宋体"/>
          <w:color w:val="auto"/>
          <w:spacing w:val="-6"/>
          <w:sz w:val="24"/>
          <w:highlight w:val="none"/>
        </w:rPr>
        <w:t>本竞争性磋商文件（以下简称磋商文件）适用于本项目的所有采购程序和环节（法律、法规另有规定的，从其规定）。</w:t>
      </w:r>
    </w:p>
    <w:p w14:paraId="26F6F59E">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80" w:name="_Toc20162"/>
      <w:r>
        <w:rPr>
          <w:rFonts w:hint="eastAsia" w:ascii="宋体" w:hAnsi="宋体" w:eastAsia="宋体" w:cs="宋体"/>
          <w:b/>
          <w:bCs/>
          <w:color w:val="auto"/>
          <w:sz w:val="24"/>
          <w:highlight w:val="none"/>
        </w:rPr>
        <w:t>2、定义</w:t>
      </w:r>
      <w:bookmarkEnd w:id="80"/>
    </w:p>
    <w:p w14:paraId="6966C1CF">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2.1“采购人”是指依法进行政府采购的国家机关、事业单位、团体组织。</w:t>
      </w:r>
    </w:p>
    <w:p w14:paraId="04D52386">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2.2“采购代理机构”是指政府采购集中采购机构和集中采购机构以外的采购代理机构。</w:t>
      </w:r>
    </w:p>
    <w:p w14:paraId="66B4BF6E">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2.3“供应商”是指向采购人提供货物、工程或者服务的法人、其他组织或者自然人。</w:t>
      </w:r>
    </w:p>
    <w:p w14:paraId="22AA92F0">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2.4“服务”是指除货物和工程以外的其他政府采购对象。</w:t>
      </w:r>
    </w:p>
    <w:p w14:paraId="44F4B026">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2.5“竞标”是指供应商按照本项目竞争性磋商公告规定的方式获取磋商文件、提交响应文件并希望获得标的的行为。</w:t>
      </w:r>
    </w:p>
    <w:p w14:paraId="11BB636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2.6“响应文件”</w:t>
      </w:r>
      <w:r>
        <w:rPr>
          <w:rFonts w:hint="eastAsia" w:ascii="宋体" w:hAnsi="宋体" w:eastAsia="宋体" w:cs="宋体"/>
          <w:color w:val="auto"/>
          <w:spacing w:val="-6"/>
          <w:sz w:val="24"/>
          <w:highlight w:val="none"/>
        </w:rPr>
        <w:t>是指：供应商根据本磋商文件要求，编制包含资格证明、报价商务技术等所有内容的文件。</w:t>
      </w:r>
    </w:p>
    <w:p w14:paraId="412BD83F">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2.7“实质性要求”是指磋商文件中已经指明不满足则响应文件按无效响应处理的条款，或者不能负偏离的条款，或者采购需求和说明中带“</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”的条款。</w:t>
      </w:r>
    </w:p>
    <w:p w14:paraId="31CDA4C6">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2.8“正偏离”，是指响应文件对磋商文件“采购需求和说明”中有关条款作出的响应优于条款要求并有利于采购人的情形。</w:t>
      </w:r>
    </w:p>
    <w:p w14:paraId="686AC0C2">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2.9“负偏离”，是指响应文件对磋商文件“采购需求和说明”中有关条款作出的响应不满足条款要求，导致采购人要求不能得到满足的情形。</w:t>
      </w:r>
    </w:p>
    <w:p w14:paraId="6F6348D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2.10“允许负偏离的条款”是指采购需求和说明中的不属于“实质性要求”的条款。</w:t>
      </w:r>
    </w:p>
    <w:p w14:paraId="01C76A80">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2.11“书面形式”是指合同书、信件和数据电文（包括电报、电传、传真、电子数据交换和电子邮件）等可以有形地表现所载内容的形式。</w:t>
      </w:r>
    </w:p>
    <w:p w14:paraId="226F588E">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2.12“首次报价”是指供应商提交的首次响应文件中的报价。</w:t>
      </w:r>
    </w:p>
    <w:p w14:paraId="2165366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2.13“评审价”是指供应商提交的最后报价并经修正（如有）和政策功能价格扣除（如有）后的价格。</w:t>
      </w:r>
    </w:p>
    <w:p w14:paraId="7EFA7CE0">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81" w:name="_Toc14131"/>
      <w:r>
        <w:rPr>
          <w:rFonts w:hint="eastAsia" w:ascii="宋体" w:hAnsi="宋体" w:eastAsia="宋体" w:cs="宋体"/>
          <w:b/>
          <w:bCs/>
          <w:color w:val="auto"/>
          <w:sz w:val="24"/>
          <w:highlight w:val="none"/>
        </w:rPr>
        <w:t>3、供应商的资格条件</w:t>
      </w:r>
      <w:bookmarkEnd w:id="81"/>
    </w:p>
    <w:p w14:paraId="0838708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供应商的资格条件详见“供应商须知前附表”。</w:t>
      </w:r>
    </w:p>
    <w:p w14:paraId="7365E549">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82" w:name="_Toc232"/>
      <w:r>
        <w:rPr>
          <w:rFonts w:hint="eastAsia" w:ascii="宋体" w:hAnsi="宋体" w:eastAsia="宋体" w:cs="宋体"/>
          <w:b/>
          <w:bCs/>
          <w:color w:val="auto"/>
          <w:sz w:val="24"/>
          <w:highlight w:val="none"/>
        </w:rPr>
        <w:t>4、竞标费用</w:t>
      </w:r>
      <w:bookmarkEnd w:id="82"/>
    </w:p>
    <w:p w14:paraId="79818BE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供应商应承担参与本次采购活动有关的所有费用，包括但不限于勘查现场、编制和提交响应文件、参加磋商与应答、签订合同等，不论竞标结果如何，均应自行承担。</w:t>
      </w:r>
    </w:p>
    <w:p w14:paraId="795111FD">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83" w:name="_Toc15711"/>
      <w:r>
        <w:rPr>
          <w:rFonts w:hint="eastAsia" w:ascii="宋体" w:hAnsi="宋体" w:eastAsia="宋体" w:cs="宋体"/>
          <w:b/>
          <w:bCs/>
          <w:color w:val="auto"/>
          <w:sz w:val="24"/>
          <w:highlight w:val="none"/>
        </w:rPr>
        <w:t>5、联合体竞标</w:t>
      </w:r>
      <w:bookmarkEnd w:id="83"/>
    </w:p>
    <w:p w14:paraId="2B1781E6">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5.1本项目是否接受联合体竞标，详见“供应商须知前附表”。</w:t>
      </w:r>
    </w:p>
    <w:p w14:paraId="4D18A28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5.2如接受联合体竞标，联合体竞标要求详见“供应商须知前附表”。</w:t>
      </w:r>
    </w:p>
    <w:p w14:paraId="731AB67F">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5.3</w:t>
      </w:r>
      <w:bookmarkStart w:id="84" w:name="_Hlk66782192"/>
      <w:r>
        <w:rPr>
          <w:rFonts w:hint="eastAsia" w:ascii="宋体" w:hAnsi="宋体" w:eastAsia="宋体" w:cs="宋体"/>
          <w:color w:val="auto"/>
          <w:sz w:val="24"/>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2%-3%的扣除，用扣除后的价格参加评审。</w:t>
      </w:r>
      <w:bookmarkEnd w:id="84"/>
    </w:p>
    <w:p w14:paraId="4119AB45">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85" w:name="_Toc4905"/>
      <w:r>
        <w:rPr>
          <w:rFonts w:hint="eastAsia" w:ascii="宋体" w:hAnsi="宋体" w:eastAsia="宋体" w:cs="宋体"/>
          <w:b/>
          <w:bCs/>
          <w:color w:val="auto"/>
          <w:sz w:val="24"/>
          <w:highlight w:val="none"/>
        </w:rPr>
        <w:t>6、转包与分包</w:t>
      </w:r>
      <w:bookmarkEnd w:id="85"/>
      <w:r>
        <w:rPr>
          <w:rFonts w:hint="eastAsia" w:ascii="宋体" w:hAnsi="宋体" w:eastAsia="宋体" w:cs="宋体"/>
          <w:b/>
          <w:bCs/>
          <w:color w:val="auto"/>
          <w:sz w:val="24"/>
          <w:highlight w:val="none"/>
        </w:rPr>
        <w:t xml:space="preserve">             </w:t>
      </w:r>
    </w:p>
    <w:p w14:paraId="0DCC0B01">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6.1本项目不允许转包。</w:t>
      </w:r>
    </w:p>
    <w:p w14:paraId="07FF306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6.2本项目是否允许分包详见“供应商须知前附表”，本项目不允许违法分包。</w:t>
      </w:r>
    </w:p>
    <w:p w14:paraId="5DC09FB4">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86" w:name="_Toc254970673"/>
      <w:bookmarkStart w:id="87" w:name="_Toc254970532"/>
      <w:bookmarkStart w:id="88" w:name="_Toc10347"/>
      <w:r>
        <w:rPr>
          <w:rFonts w:hint="eastAsia" w:ascii="宋体" w:hAnsi="宋体" w:eastAsia="宋体" w:cs="宋体"/>
          <w:b/>
          <w:bCs/>
          <w:color w:val="auto"/>
          <w:sz w:val="24"/>
          <w:highlight w:val="none"/>
        </w:rPr>
        <w:t>7、特别说明</w:t>
      </w:r>
      <w:bookmarkEnd w:id="86"/>
      <w:bookmarkEnd w:id="87"/>
      <w:bookmarkEnd w:id="88"/>
    </w:p>
    <w:p w14:paraId="55F74D7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bookmarkStart w:id="89" w:name="_8.1提供相同品牌产品且通过资格审查、符合性审查的不同投标人参加同一合"/>
      <w:bookmarkEnd w:id="89"/>
      <w:r>
        <w:rPr>
          <w:rFonts w:hint="eastAsia" w:ascii="宋体" w:hAnsi="宋体" w:eastAsia="宋体" w:cs="宋体"/>
          <w:color w:val="auto"/>
          <w:sz w:val="24"/>
          <w:highlight w:val="none"/>
        </w:rPr>
        <w:t>7.1</w:t>
      </w:r>
      <w:bookmarkStart w:id="90" w:name="_Hlk65832145"/>
      <w:r>
        <w:rPr>
          <w:rFonts w:hint="eastAsia" w:ascii="宋体" w:hAnsi="宋体" w:eastAsia="宋体" w:cs="宋体"/>
          <w:color w:val="auto"/>
          <w:sz w:val="24"/>
          <w:highlight w:val="none"/>
        </w:rPr>
        <w:t>如果本磋商文件要求提供供应商或制造商的资格、信誉、荣誉、业绩与企业认证等材料的，资格、信誉、荣誉、业绩与企业认证等必须为供应商或者制造商所拥有或自身获得。</w:t>
      </w:r>
    </w:p>
    <w:bookmarkEnd w:id="90"/>
    <w:p w14:paraId="54140F4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7.2供应商应仔细阅读磋商文件的所有内容，按照磋商文件的要求提交响应文件，并对所提供的全部资料的真实性承担法律责任。</w:t>
      </w:r>
    </w:p>
    <w:p w14:paraId="0D71558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45E0754">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7.4在政府采购活动中，采购人员及相关人员与供应商有下列利害关系之一的，应当回避：</w:t>
      </w:r>
    </w:p>
    <w:p w14:paraId="0B561EFB">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（1）参加采购活动前3年内与供应商存在劳动关系；</w:t>
      </w:r>
    </w:p>
    <w:p w14:paraId="2FD83673">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（2）参加采购活动前3年内担任供应商的董事、监事；</w:t>
      </w:r>
    </w:p>
    <w:p w14:paraId="112FD30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（3）参加采购活动前3年内是供应商的控股股东或者实际控制人；</w:t>
      </w:r>
    </w:p>
    <w:p w14:paraId="6974D7C7">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（4）与供应商的法定代表人或者负责人有夫妻、直系血亲、三代以内旁系血亲或者近姻亲关系；</w:t>
      </w:r>
    </w:p>
    <w:p w14:paraId="04C09450">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（5）与供应商有其他可能影响政府采购活动公平、公正进行的关系。</w:t>
      </w:r>
    </w:p>
    <w:p w14:paraId="4E58D54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23B02D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7.5有下列情形之一的视为供应商相互串通竞标，响应文件将被视为无效：</w:t>
      </w:r>
    </w:p>
    <w:p w14:paraId="6A5B7CC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（1）不同投标人的投标文件由同一单位或者个人编制；或不同投标人报名的IP地址一致的;</w:t>
      </w:r>
    </w:p>
    <w:p w14:paraId="7223FBCF">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（2）不同投标人委托同一单位或者个人办理投标事宜;</w:t>
      </w:r>
    </w:p>
    <w:p w14:paraId="305E26A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（3）不同的投标人的投标文件载明的项目管理员为同一个人;</w:t>
      </w:r>
    </w:p>
    <w:p w14:paraId="24AC608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（4）不同投标人的投标文件异常一致或投标报价呈规律性差异;</w:t>
      </w:r>
    </w:p>
    <w:p w14:paraId="75941DEB">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（5）不同投标人的投标文件相互混装;</w:t>
      </w:r>
    </w:p>
    <w:p w14:paraId="19EF688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（6）不同投标人的投标保证金从同一单位或者个人账户转出。</w:t>
      </w:r>
    </w:p>
    <w:p w14:paraId="592DA70F">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7.6供应商有下列情形之一的，属于恶意串通行为，将报同级监督管理部门：</w:t>
      </w:r>
    </w:p>
    <w:p w14:paraId="45D8118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3102700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0F2C512C">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（3）供应商之间协商报价、技术方案等响应文件或者响应文件的实质性内容；</w:t>
      </w:r>
    </w:p>
    <w:p w14:paraId="4666E33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34209183">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（5）供应商之间事先约定一致抬高或者压低报价，或者在政府采购活动中事先约定轮流以高价位或者低价位成交，或者事先约定由某一特定供应商成交，然后再参加竞标；</w:t>
      </w:r>
    </w:p>
    <w:p w14:paraId="079D59C3">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61FE5234">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（7）供应商与采购人或者采购代理机构之间、供应商相互之间，为谋求特定供应商成交或者排斥其他供应商的其他串通行为。</w:t>
      </w:r>
    </w:p>
    <w:p w14:paraId="0579390F">
      <w:pPr>
        <w:keepNext w:val="0"/>
        <w:keepLines w:val="0"/>
        <w:pageBreakBefore w:val="0"/>
        <w:widowControl w:val="0"/>
        <w:kinsoku/>
        <w:wordWrap/>
        <w:overflowPunct/>
        <w:topLinePunct w:val="0"/>
        <w:autoSpaceDE/>
        <w:autoSpaceDN/>
        <w:bidi w:val="0"/>
        <w:adjustRightInd/>
        <w:snapToGrid/>
        <w:spacing w:line="380" w:lineRule="exact"/>
        <w:jc w:val="center"/>
        <w:outlineLvl w:val="1"/>
        <w:rPr>
          <w:rFonts w:hint="eastAsia" w:ascii="宋体" w:hAnsi="宋体" w:eastAsia="宋体" w:cs="宋体"/>
          <w:b/>
          <w:bCs/>
          <w:color w:val="auto"/>
          <w:sz w:val="32"/>
          <w:szCs w:val="32"/>
          <w:highlight w:val="none"/>
        </w:rPr>
      </w:pPr>
      <w:bookmarkStart w:id="91" w:name="_Toc254970534"/>
      <w:bookmarkStart w:id="92" w:name="_Toc15414"/>
      <w:bookmarkStart w:id="93" w:name="_Toc254970675"/>
      <w:r>
        <w:rPr>
          <w:rFonts w:hint="eastAsia" w:ascii="宋体" w:hAnsi="宋体" w:eastAsia="宋体" w:cs="宋体"/>
          <w:b/>
          <w:bCs/>
          <w:color w:val="auto"/>
          <w:sz w:val="32"/>
          <w:szCs w:val="32"/>
          <w:highlight w:val="none"/>
        </w:rPr>
        <w:t>二、磋商文件</w:t>
      </w:r>
      <w:bookmarkEnd w:id="91"/>
      <w:bookmarkEnd w:id="92"/>
      <w:bookmarkEnd w:id="93"/>
    </w:p>
    <w:p w14:paraId="742EED92">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94" w:name="_Toc32717"/>
      <w:r>
        <w:rPr>
          <w:rFonts w:hint="eastAsia" w:ascii="宋体" w:hAnsi="宋体" w:eastAsia="宋体" w:cs="宋体"/>
          <w:b/>
          <w:bCs/>
          <w:color w:val="auto"/>
          <w:sz w:val="24"/>
          <w:highlight w:val="none"/>
        </w:rPr>
        <w:t>8、磋商文件的构成</w:t>
      </w:r>
      <w:bookmarkEnd w:id="94"/>
    </w:p>
    <w:p w14:paraId="2DDE0B45">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（1）竞争性磋商公告；</w:t>
      </w:r>
    </w:p>
    <w:p w14:paraId="00615AF4">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（2）供应商须知； </w:t>
      </w:r>
    </w:p>
    <w:p w14:paraId="7032779B">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（3）采购需求和说明；</w:t>
      </w:r>
    </w:p>
    <w:p w14:paraId="282EB64C">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（4）评审程序、评审方法；</w:t>
      </w:r>
    </w:p>
    <w:p w14:paraId="55BCE2B0">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（5）响应文件格式；</w:t>
      </w:r>
    </w:p>
    <w:p w14:paraId="3FC63D5A">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（6）合同文本。</w:t>
      </w:r>
    </w:p>
    <w:p w14:paraId="1C4876D8">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95" w:name="_Toc2832"/>
      <w:r>
        <w:rPr>
          <w:rFonts w:hint="eastAsia" w:ascii="宋体" w:hAnsi="宋体" w:eastAsia="宋体" w:cs="宋体"/>
          <w:b/>
          <w:bCs/>
          <w:color w:val="auto"/>
          <w:sz w:val="24"/>
          <w:highlight w:val="none"/>
        </w:rPr>
        <w:t>9、供应商的询问</w:t>
      </w:r>
      <w:bookmarkEnd w:id="95"/>
    </w:p>
    <w:p w14:paraId="6E43A4B7">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供应商应认真阅读磋商文件的采购需求和说明，如供应商对磋商文件有疑问的，如要求采购人作出澄清或者修改的，供应商尽可能在提交响应文件截止之日前，以书面形式向采购人、采购代理机构提出。</w:t>
      </w:r>
    </w:p>
    <w:p w14:paraId="59AD5919">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96" w:name="_Toc11870"/>
      <w:r>
        <w:rPr>
          <w:rFonts w:hint="eastAsia" w:ascii="宋体" w:hAnsi="宋体" w:eastAsia="宋体" w:cs="宋体"/>
          <w:b/>
          <w:bCs/>
          <w:color w:val="auto"/>
          <w:sz w:val="24"/>
          <w:highlight w:val="none"/>
        </w:rPr>
        <w:t>10、磋商文件的澄清和修改</w:t>
      </w:r>
      <w:bookmarkEnd w:id="96"/>
    </w:p>
    <w:p w14:paraId="67BDBE1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提交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响应文件截止之日3个工作日前，以公告形式通知所有获取磋商文件的供应商，不足3个工作日的，应当顺延提交响应文件截止之日。</w:t>
      </w:r>
    </w:p>
    <w:p w14:paraId="5744A04C">
      <w:pPr>
        <w:keepNext w:val="0"/>
        <w:keepLines w:val="0"/>
        <w:pageBreakBefore w:val="0"/>
        <w:widowControl w:val="0"/>
        <w:kinsoku/>
        <w:wordWrap/>
        <w:overflowPunct/>
        <w:topLinePunct w:val="0"/>
        <w:autoSpaceDE/>
        <w:autoSpaceDN/>
        <w:bidi w:val="0"/>
        <w:adjustRightInd/>
        <w:snapToGrid/>
        <w:spacing w:line="380" w:lineRule="exact"/>
        <w:jc w:val="center"/>
        <w:outlineLvl w:val="1"/>
        <w:rPr>
          <w:rFonts w:hint="eastAsia" w:ascii="宋体" w:hAnsi="宋体" w:eastAsia="宋体" w:cs="宋体"/>
          <w:b/>
          <w:bCs/>
          <w:color w:val="auto"/>
          <w:szCs w:val="21"/>
          <w:highlight w:val="none"/>
        </w:rPr>
      </w:pPr>
      <w:bookmarkStart w:id="97" w:name="_Toc24477"/>
      <w:r>
        <w:rPr>
          <w:rFonts w:hint="eastAsia" w:ascii="宋体" w:hAnsi="宋体" w:eastAsia="宋体" w:cs="宋体"/>
          <w:b/>
          <w:bCs/>
          <w:color w:val="auto"/>
          <w:sz w:val="32"/>
          <w:szCs w:val="32"/>
          <w:highlight w:val="none"/>
        </w:rPr>
        <w:t>三、响应文件的编制</w:t>
      </w:r>
      <w:bookmarkEnd w:id="97"/>
    </w:p>
    <w:p w14:paraId="5C69B20C">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Cs w:val="21"/>
          <w:highlight w:val="none"/>
        </w:rPr>
      </w:pPr>
    </w:p>
    <w:p w14:paraId="401E6164">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98" w:name="_Toc31512"/>
      <w:r>
        <w:rPr>
          <w:rFonts w:hint="eastAsia" w:ascii="宋体" w:hAnsi="宋体" w:eastAsia="宋体" w:cs="宋体"/>
          <w:b/>
          <w:bCs/>
          <w:color w:val="auto"/>
          <w:sz w:val="24"/>
          <w:highlight w:val="none"/>
        </w:rPr>
        <w:t>11、响应文件的编制原则</w:t>
      </w:r>
      <w:bookmarkEnd w:id="98"/>
    </w:p>
    <w:p w14:paraId="489FE322">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供应商必须按照磋商文件的要求编制响应文件，并对其提交的响应文件的真实性、合法性承担法律责任。响应文件必须对磋商文件作出实质性响应。</w:t>
      </w:r>
    </w:p>
    <w:p w14:paraId="63F14A7E">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99" w:name="_Toc22770"/>
      <w:r>
        <w:rPr>
          <w:rFonts w:hint="eastAsia" w:ascii="宋体" w:hAnsi="宋体" w:eastAsia="宋体" w:cs="宋体"/>
          <w:b/>
          <w:bCs/>
          <w:color w:val="auto"/>
          <w:sz w:val="24"/>
          <w:highlight w:val="none"/>
        </w:rPr>
        <w:t>12、响应文件的组成</w:t>
      </w:r>
      <w:bookmarkEnd w:id="99"/>
    </w:p>
    <w:p w14:paraId="664D05F6">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12.1响应文件由资格证明文件、报价商务技术文件两部分组成。</w:t>
      </w:r>
    </w:p>
    <w:p w14:paraId="7E322DCB">
      <w:pPr>
        <w:keepNext w:val="0"/>
        <w:keepLines w:val="0"/>
        <w:pageBreakBefore w:val="0"/>
        <w:widowControl w:val="0"/>
        <w:kinsoku/>
        <w:wordWrap/>
        <w:overflowPunct/>
        <w:topLinePunct w:val="0"/>
        <w:autoSpaceDE/>
        <w:autoSpaceDN/>
        <w:bidi w:val="0"/>
        <w:adjustRightInd/>
        <w:snapToGrid/>
        <w:spacing w:line="380" w:lineRule="exact"/>
        <w:ind w:left="900" w:leftChars="200" w:hanging="480" w:hanging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12.1.1资格证明文件：详见须知前附表</w:t>
      </w:r>
    </w:p>
    <w:p w14:paraId="4433D2E2">
      <w:pPr>
        <w:keepNext w:val="0"/>
        <w:keepLines w:val="0"/>
        <w:pageBreakBefore w:val="0"/>
        <w:widowControl w:val="0"/>
        <w:kinsoku/>
        <w:wordWrap/>
        <w:overflowPunct/>
        <w:topLinePunct w:val="0"/>
        <w:autoSpaceDE/>
        <w:autoSpaceDN/>
        <w:bidi w:val="0"/>
        <w:adjustRightInd/>
        <w:snapToGrid/>
        <w:spacing w:line="380" w:lineRule="exact"/>
        <w:ind w:left="900" w:leftChars="200" w:hanging="480" w:hanging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12.1.2报价商务技术文件：详见须知前附表</w:t>
      </w:r>
    </w:p>
    <w:p w14:paraId="0C3D495E">
      <w:pPr>
        <w:keepNext w:val="0"/>
        <w:keepLines w:val="0"/>
        <w:pageBreakBefore w:val="0"/>
        <w:widowControl w:val="0"/>
        <w:kinsoku/>
        <w:wordWrap/>
        <w:overflowPunct/>
        <w:topLinePunct w:val="0"/>
        <w:autoSpaceDE/>
        <w:autoSpaceDN/>
        <w:bidi w:val="0"/>
        <w:adjustRightInd/>
        <w:snapToGrid/>
        <w:spacing w:line="380" w:lineRule="exact"/>
        <w:ind w:left="900" w:leftChars="200" w:hanging="480" w:hanging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12.2响应文件电子版：详见须知前附表</w:t>
      </w:r>
    </w:p>
    <w:p w14:paraId="0C154012">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00" w:name="_Toc13488"/>
      <w:r>
        <w:rPr>
          <w:rFonts w:hint="eastAsia" w:ascii="宋体" w:hAnsi="宋体" w:eastAsia="宋体" w:cs="宋体"/>
          <w:b/>
          <w:bCs/>
          <w:color w:val="auto"/>
          <w:sz w:val="24"/>
          <w:highlight w:val="none"/>
        </w:rPr>
        <w:t>13、计量单位</w:t>
      </w:r>
      <w:bookmarkEnd w:id="100"/>
    </w:p>
    <w:p w14:paraId="237E167F">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磋商文件已有明确规定的，使用磋商文件规定的计量单位；磋商文件没有规定的，应采用中华人民共和国法定计量单位，货币种类为人民币，否则视同未响应。</w:t>
      </w:r>
    </w:p>
    <w:p w14:paraId="071636D8">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01" w:name="_Toc28417"/>
      <w:r>
        <w:rPr>
          <w:rFonts w:hint="eastAsia" w:ascii="宋体" w:hAnsi="宋体" w:eastAsia="宋体" w:cs="宋体"/>
          <w:b/>
          <w:bCs/>
          <w:color w:val="auto"/>
          <w:sz w:val="24"/>
          <w:highlight w:val="none"/>
        </w:rPr>
        <w:t>14、竞标的风险</w:t>
      </w:r>
      <w:bookmarkEnd w:id="101"/>
    </w:p>
    <w:p w14:paraId="0F1EF592">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供应商没有按照磋商文件要求提供全部资料，或者供应商没有对磋商文件在各方面作出实质性响应可能导致其响应无效，是供应商应当考虑的风险。</w:t>
      </w:r>
    </w:p>
    <w:p w14:paraId="76BAECFF">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02" w:name="_Toc3871"/>
      <w:r>
        <w:rPr>
          <w:rFonts w:hint="eastAsia" w:ascii="宋体" w:hAnsi="宋体" w:eastAsia="宋体" w:cs="宋体"/>
          <w:b/>
          <w:bCs/>
          <w:color w:val="auto"/>
          <w:sz w:val="24"/>
          <w:highlight w:val="none"/>
        </w:rPr>
        <w:t>15、竞标报价要求和构成</w:t>
      </w:r>
      <w:bookmarkEnd w:id="102"/>
    </w:p>
    <w:p w14:paraId="50404486">
      <w:pPr>
        <w:keepNext w:val="0"/>
        <w:keepLines w:val="0"/>
        <w:pageBreakBefore w:val="0"/>
        <w:widowControl w:val="0"/>
        <w:tabs>
          <w:tab w:val="left" w:pos="2492"/>
        </w:tabs>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15.1竞标报价应按磋商文件中“竞标报价表”格式填写。</w:t>
      </w:r>
    </w:p>
    <w:p w14:paraId="15AD45F3">
      <w:pPr>
        <w:keepNext w:val="0"/>
        <w:keepLines w:val="0"/>
        <w:pageBreakBefore w:val="0"/>
        <w:widowControl w:val="0"/>
        <w:tabs>
          <w:tab w:val="left" w:pos="2492"/>
        </w:tabs>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15.2竞标报价的价格构成见“供应商须知前附表”。</w:t>
      </w:r>
    </w:p>
    <w:p w14:paraId="2D02B368">
      <w:pPr>
        <w:keepNext w:val="0"/>
        <w:keepLines w:val="0"/>
        <w:pageBreakBefore w:val="0"/>
        <w:widowControl w:val="0"/>
        <w:kinsoku/>
        <w:wordWrap/>
        <w:overflowPunct/>
        <w:topLinePunct w:val="0"/>
        <w:autoSpaceDE/>
        <w:autoSpaceDN/>
        <w:bidi w:val="0"/>
        <w:adjustRightInd/>
        <w:snapToGrid/>
        <w:spacing w:line="380" w:lineRule="exact"/>
        <w:ind w:left="426" w:leftChars="203"/>
        <w:rPr>
          <w:rFonts w:hint="eastAsia" w:ascii="宋体" w:hAnsi="宋体" w:eastAsia="宋体" w:cs="宋体"/>
          <w:color w:val="auto"/>
          <w:sz w:val="24"/>
          <w:highlight w:val="none"/>
        </w:rPr>
      </w:pPr>
      <w:r>
        <w:rPr>
          <w:rFonts w:hint="eastAsia" w:ascii="宋体" w:hAnsi="宋体" w:eastAsia="宋体" w:cs="宋体"/>
          <w:color w:val="auto"/>
          <w:sz w:val="24"/>
          <w:highlight w:val="none"/>
        </w:rPr>
        <w:t>15.3竞标报价要求</w:t>
      </w:r>
    </w:p>
    <w:p w14:paraId="7A3746E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15.3.1供应商的竞标报价应符合以下要求，否则响应文件按无效响应处理：</w:t>
      </w:r>
    </w:p>
    <w:p w14:paraId="04EA4BD4">
      <w:pPr>
        <w:keepNext w:val="0"/>
        <w:keepLines w:val="0"/>
        <w:pageBreakBefore w:val="0"/>
        <w:widowControl w:val="0"/>
        <w:kinsoku/>
        <w:wordWrap/>
        <w:overflowPunct/>
        <w:topLinePunct w:val="0"/>
        <w:autoSpaceDE/>
        <w:autoSpaceDN/>
        <w:bidi w:val="0"/>
        <w:adjustRightInd/>
        <w:snapToGrid/>
        <w:spacing w:line="380" w:lineRule="exact"/>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（1）供应商必须就“采购需求和说明”中所竞标的每个分标的全部内容分别作完整唯一总价报价，不得存在漏项报价；</w:t>
      </w:r>
    </w:p>
    <w:p w14:paraId="2D9F49BE">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（2）供应商必须就所竞标的分标的单项内容作唯一报价。</w:t>
      </w:r>
    </w:p>
    <w:p w14:paraId="1FB8C400">
      <w:pPr>
        <w:keepNext w:val="0"/>
        <w:keepLines w:val="0"/>
        <w:pageBreakBefore w:val="0"/>
        <w:widowControl w:val="0"/>
        <w:kinsoku/>
        <w:wordWrap/>
        <w:overflowPunct/>
        <w:topLinePunct w:val="0"/>
        <w:autoSpaceDE/>
        <w:autoSpaceDN/>
        <w:bidi w:val="0"/>
        <w:adjustRightInd/>
        <w:snapToGrid/>
        <w:spacing w:line="38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注：上述竞标报价包含首次、最后报价。</w:t>
      </w:r>
    </w:p>
    <w:p w14:paraId="5A0D6313">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15.3.2竞标报价（包含首次报价、最后报价）超过所竞标分标规定的采购预算金额或者最高限价的，其响应文件将作无效处理。</w:t>
      </w:r>
    </w:p>
    <w:p w14:paraId="508032F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15.3.3</w:t>
      </w:r>
      <w:bookmarkStart w:id="103" w:name="_Hlk42592874"/>
      <w:r>
        <w:rPr>
          <w:rFonts w:hint="eastAsia" w:ascii="宋体" w:hAnsi="宋体" w:eastAsia="宋体" w:cs="宋体"/>
          <w:color w:val="auto"/>
          <w:sz w:val="24"/>
          <w:highlight w:val="none"/>
        </w:rPr>
        <w:t>竞标报价（包含首次报价、最后报价）超过分项采购预算金额或者最高限价的，其响应文件将作无效处理。</w:t>
      </w:r>
    </w:p>
    <w:bookmarkEnd w:id="103"/>
    <w:p w14:paraId="31F5561A">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04" w:name="_Toc23169"/>
      <w:r>
        <w:rPr>
          <w:rFonts w:hint="eastAsia" w:ascii="宋体" w:hAnsi="宋体" w:eastAsia="宋体" w:cs="宋体"/>
          <w:b/>
          <w:bCs/>
          <w:color w:val="auto"/>
          <w:sz w:val="24"/>
          <w:highlight w:val="none"/>
        </w:rPr>
        <w:t>16、竞标有效期</w:t>
      </w:r>
      <w:bookmarkEnd w:id="104"/>
    </w:p>
    <w:p w14:paraId="0CDCA00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16.1竞标有效期是指为保证采购人有足够的时间在提交响应文件后完成评审、确定成交供应商、合同签订等工作而要求供应商提交的响应文件在一定时间内保持有效的期限。</w:t>
      </w:r>
    </w:p>
    <w:p w14:paraId="2FACD4D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16.2 竞标有效期应由供应商按“供应商须知前附表”规定的期限作出响应。</w:t>
      </w:r>
    </w:p>
    <w:p w14:paraId="272954C0">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16.3供应商的响应文件在竞标有效期内均保持有效。</w:t>
      </w:r>
    </w:p>
    <w:p w14:paraId="51AFC81A">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05" w:name="_Toc27224"/>
      <w:r>
        <w:rPr>
          <w:rFonts w:hint="eastAsia" w:ascii="宋体" w:hAnsi="宋体" w:eastAsia="宋体" w:cs="宋体"/>
          <w:b/>
          <w:bCs/>
          <w:color w:val="auto"/>
          <w:sz w:val="24"/>
          <w:highlight w:val="none"/>
        </w:rPr>
        <w:t>18、响应文件编制的要求</w:t>
      </w:r>
      <w:bookmarkEnd w:id="105"/>
    </w:p>
    <w:p w14:paraId="7A471907">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14:paraId="03B2BAF7">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18.2响应文件应按资格证明文件、报价商务技术文件分别编制，最后资格证明文件、报价商务技术文件合并编制，本磋商只接收电子版响应文件，要求见本章“12、2响应文件电子版要求”。</w:t>
      </w:r>
    </w:p>
    <w:p w14:paraId="6612293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w:t>
      </w:r>
      <w:bookmarkStart w:id="106" w:name="_Hlk65832699"/>
      <w:r>
        <w:rPr>
          <w:rFonts w:hint="eastAsia" w:ascii="宋体" w:hAnsi="宋体" w:eastAsia="宋体" w:cs="宋体"/>
          <w:color w:val="auto"/>
          <w:sz w:val="24"/>
          <w:highlight w:val="none"/>
        </w:rPr>
        <w:t>.3响应文件须由供应商在</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第五章 响应文件格式</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规定位置进行签署、盖章</w:t>
      </w:r>
      <w:bookmarkEnd w:id="106"/>
      <w:r>
        <w:rPr>
          <w:rFonts w:hint="eastAsia" w:ascii="宋体" w:hAnsi="宋体" w:eastAsia="宋体" w:cs="宋体"/>
          <w:color w:val="auto"/>
          <w:sz w:val="24"/>
          <w:highlight w:val="none"/>
        </w:rPr>
        <w:t>，否则其响应文件按无效响应处理。骑缝盖公章不视为在规定位置盖章。</w:t>
      </w:r>
    </w:p>
    <w:p w14:paraId="367CC44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18.4响应文件应避免涂改、行间插字或者删除，否则其响应文件按无效响应处理。</w:t>
      </w:r>
    </w:p>
    <w:p w14:paraId="5B286DCD">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07" w:name="_Toc17740"/>
      <w:r>
        <w:rPr>
          <w:rFonts w:hint="eastAsia" w:ascii="宋体" w:hAnsi="宋体" w:eastAsia="宋体" w:cs="宋体"/>
          <w:b/>
          <w:bCs/>
          <w:color w:val="auto"/>
          <w:sz w:val="24"/>
          <w:highlight w:val="none"/>
        </w:rPr>
        <w:t>19、响应文件的密封和标记</w:t>
      </w:r>
      <w:bookmarkEnd w:id="107"/>
    </w:p>
    <w:p w14:paraId="0D189AA6">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19.1供应商进行电子交易应安装客户端软件—“ 广西政府采购云平台电子交易客户端”，并按照磋商文件和电子交易平台的要求编制并加密响应文件。供应商未按规定加密的响应文件，电子交易平台将拒收并提示。</w:t>
      </w:r>
    </w:p>
    <w:p w14:paraId="27E9D3F7">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19.2使用“ 广西政府采购云平台电子交易客户端”需要提前申领CA数字证书，申领流程见该项目采购公告。</w:t>
      </w:r>
    </w:p>
    <w:p w14:paraId="0C27423B">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0C3181E">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08" w:name="_Toc13239"/>
      <w:r>
        <w:rPr>
          <w:rFonts w:hint="eastAsia" w:ascii="宋体" w:hAnsi="宋体" w:eastAsia="宋体" w:cs="宋体"/>
          <w:b/>
          <w:bCs/>
          <w:color w:val="auto"/>
          <w:sz w:val="24"/>
          <w:highlight w:val="none"/>
        </w:rPr>
        <w:t>20、响应文件的提交</w:t>
      </w:r>
      <w:bookmarkEnd w:id="108"/>
    </w:p>
    <w:p w14:paraId="15A0D9C4">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20.1供应商必须在“供应商须知前附表”规定的时间和地点提交响应文件。</w:t>
      </w:r>
    </w:p>
    <w:p w14:paraId="7CA64E9C">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20.2 在响应文件提交截止时间以后，不能补充、修改响应文件。</w:t>
      </w:r>
    </w:p>
    <w:p w14:paraId="3DA72C60">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20.3 在提交“最后报价”后，供应商不能退出磋商。</w:t>
      </w:r>
    </w:p>
    <w:p w14:paraId="10832DF4">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4B5C62B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20.5 采购机构不可视情况延长提交响应文件的截止时间。</w:t>
      </w:r>
    </w:p>
    <w:p w14:paraId="1F22941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20.6备份响应文件。</w:t>
      </w:r>
      <w:r>
        <w:rPr>
          <w:rFonts w:hint="eastAsia" w:ascii="宋体" w:hAnsi="宋体" w:eastAsia="宋体" w:cs="宋体"/>
          <w:bCs/>
          <w:color w:val="auto"/>
          <w:sz w:val="24"/>
          <w:highlight w:val="none"/>
        </w:rPr>
        <w:t>详见在“供应商须知前附表”。</w:t>
      </w:r>
    </w:p>
    <w:p w14:paraId="2EB06EDF">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09" w:name="_Toc20109"/>
      <w:r>
        <w:rPr>
          <w:rFonts w:hint="eastAsia" w:ascii="宋体" w:hAnsi="宋体" w:eastAsia="宋体" w:cs="宋体"/>
          <w:b/>
          <w:bCs/>
          <w:color w:val="auto"/>
          <w:sz w:val="24"/>
          <w:highlight w:val="none"/>
        </w:rPr>
        <w:t>21、首次响应文件的补充、修改与撤回</w:t>
      </w:r>
      <w:bookmarkEnd w:id="109"/>
    </w:p>
    <w:p w14:paraId="23CBC6B2">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在首次响应文件提交截止时间前，可以对所提交的响应文件进行补充、修改或者撤回，并书面通知采购人、采购代理机构。补充、修改的内容作为响应文件的组成部分。补充、修改的内容与响应文件不一致的，以补充、修改的内容为准。</w:t>
      </w:r>
    </w:p>
    <w:p w14:paraId="2E88DD9C">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10" w:name="_Toc24566"/>
      <w:bookmarkStart w:id="111" w:name="_Hlk45702405"/>
      <w:r>
        <w:rPr>
          <w:rFonts w:hint="eastAsia" w:ascii="宋体" w:hAnsi="宋体" w:eastAsia="宋体" w:cs="宋体"/>
          <w:b/>
          <w:bCs/>
          <w:color w:val="auto"/>
          <w:sz w:val="24"/>
          <w:highlight w:val="none"/>
        </w:rPr>
        <w:t>22、首次响应文件的退回</w:t>
      </w:r>
      <w:bookmarkEnd w:id="110"/>
    </w:p>
    <w:p w14:paraId="0175E591">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Cs w:val="21"/>
          <w:highlight w:val="none"/>
        </w:rPr>
      </w:pPr>
      <w:r>
        <w:rPr>
          <w:rFonts w:hint="eastAsia" w:ascii="宋体" w:hAnsi="宋体" w:eastAsia="宋体" w:cs="宋体"/>
          <w:color w:val="auto"/>
          <w:sz w:val="24"/>
          <w:highlight w:val="none"/>
        </w:rPr>
        <w:t>详见“供应商须知前附表”。</w:t>
      </w:r>
    </w:p>
    <w:bookmarkEnd w:id="111"/>
    <w:p w14:paraId="4578CECC">
      <w:pPr>
        <w:keepNext w:val="0"/>
        <w:keepLines w:val="0"/>
        <w:pageBreakBefore w:val="0"/>
        <w:widowControl w:val="0"/>
        <w:kinsoku/>
        <w:wordWrap/>
        <w:overflowPunct/>
        <w:topLinePunct w:val="0"/>
        <w:autoSpaceDE/>
        <w:autoSpaceDN/>
        <w:bidi w:val="0"/>
        <w:adjustRightInd/>
        <w:snapToGrid/>
        <w:spacing w:line="380" w:lineRule="exact"/>
        <w:ind w:left="420" w:firstLine="420"/>
        <w:jc w:val="center"/>
        <w:outlineLvl w:val="1"/>
        <w:rPr>
          <w:rFonts w:hint="eastAsia" w:ascii="宋体" w:hAnsi="宋体" w:eastAsia="宋体" w:cs="宋体"/>
          <w:b/>
          <w:bCs/>
          <w:color w:val="auto"/>
          <w:sz w:val="32"/>
          <w:szCs w:val="32"/>
          <w:highlight w:val="none"/>
        </w:rPr>
      </w:pPr>
      <w:bookmarkStart w:id="112" w:name="_Toc2414"/>
      <w:r>
        <w:rPr>
          <w:rFonts w:hint="eastAsia" w:ascii="宋体" w:hAnsi="宋体" w:eastAsia="宋体" w:cs="宋体"/>
          <w:b/>
          <w:bCs/>
          <w:color w:val="auto"/>
          <w:sz w:val="32"/>
          <w:szCs w:val="32"/>
          <w:highlight w:val="none"/>
        </w:rPr>
        <w:t>四、评审及磋商</w:t>
      </w:r>
      <w:bookmarkEnd w:id="112"/>
    </w:p>
    <w:p w14:paraId="76C208CC">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13" w:name="_Toc10657"/>
      <w:r>
        <w:rPr>
          <w:rFonts w:hint="eastAsia" w:ascii="宋体" w:hAnsi="宋体" w:eastAsia="宋体" w:cs="宋体"/>
          <w:b/>
          <w:bCs/>
          <w:color w:val="auto"/>
          <w:sz w:val="24"/>
          <w:highlight w:val="none"/>
        </w:rPr>
        <w:t>24、磋商小组成立</w:t>
      </w:r>
      <w:bookmarkEnd w:id="113"/>
    </w:p>
    <w:p w14:paraId="4AD509B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磋商小组由采购人代表和评审专家共3人以上单数组成，具体人数见“供应商须知前附表”，其中评审专家人数不得少于磋商小组成员总数的2/3。评审专家由采购代理机构在广西政府采购云平台广西评审专家库内相关专业技术、经济等方面的专家名单中随机抽取，其中至少抽取1名异地专家与采购项目所在地抽取的专家进行评审。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C8C052C">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05DC335">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14" w:name="_Toc4647"/>
      <w:r>
        <w:rPr>
          <w:rFonts w:hint="eastAsia" w:ascii="宋体" w:hAnsi="宋体" w:eastAsia="宋体" w:cs="宋体"/>
          <w:b/>
          <w:bCs/>
          <w:color w:val="auto"/>
          <w:sz w:val="24"/>
          <w:highlight w:val="none"/>
        </w:rPr>
        <w:t>25、响应文件的开启</w:t>
      </w:r>
      <w:bookmarkEnd w:id="114"/>
    </w:p>
    <w:p w14:paraId="1759157B">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25.1响应文件由磋商小组或者采购代理机构在“供应商须知前附表”规定的时间开启。</w:t>
      </w:r>
    </w:p>
    <w:p w14:paraId="773FC55F">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25.2 响应文件解密</w:t>
      </w:r>
    </w:p>
    <w:p w14:paraId="2991EB6C">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（1）采购代理机构将在“供应商须知前附表”规定的时间通过电子交易平台组织响应文件开启，采购机构依托电子交易平台发起开始解密指令，供应商的法定代表人</w:t>
      </w:r>
      <w:r>
        <w:rPr>
          <w:rFonts w:hint="eastAsia" w:ascii="宋体" w:hAnsi="宋体" w:eastAsia="宋体" w:cs="宋体"/>
          <w:color w:val="auto"/>
          <w:sz w:val="24"/>
          <w:highlight w:val="none"/>
          <w:lang w:eastAsia="zh-CN"/>
        </w:rPr>
        <w:t>（负责人）</w:t>
      </w:r>
      <w:r>
        <w:rPr>
          <w:rFonts w:hint="eastAsia" w:ascii="宋体" w:hAnsi="宋体" w:eastAsia="宋体" w:cs="宋体"/>
          <w:color w:val="auto"/>
          <w:sz w:val="24"/>
          <w:highlight w:val="none"/>
        </w:rPr>
        <w:t>或其委托代理人</w:t>
      </w:r>
      <w:r>
        <w:rPr>
          <w:rFonts w:hint="eastAsia" w:ascii="宋体" w:hAnsi="宋体" w:eastAsia="宋体" w:cs="宋体"/>
          <w:b/>
          <w:bCs/>
          <w:color w:val="auto"/>
          <w:sz w:val="24"/>
          <w:highlight w:val="none"/>
        </w:rPr>
        <w:t>须携带加密时所用的CA锁按平台提示和采购文件的规定登录到广西政府采购云平台电子开标大厅签到并在发起解密指令之时起30分钟内完成对电子响应文件在线解密</w:t>
      </w:r>
      <w:r>
        <w:rPr>
          <w:rFonts w:hint="eastAsia" w:ascii="宋体" w:hAnsi="宋体" w:eastAsia="宋体" w:cs="宋体"/>
          <w:color w:val="auto"/>
          <w:sz w:val="24"/>
          <w:highlight w:val="none"/>
        </w:rPr>
        <w:t>。发起解密指令之时起5分钟内供应商还未进行解密的，代理机构可根据广西政府采购云平台预留联系方式通知供应商，供应商没预留联系方式或预留联系方式无效，导致代理机构无法联系到供应商进行解密的，</w:t>
      </w:r>
      <w:r>
        <w:rPr>
          <w:rFonts w:hint="eastAsia" w:ascii="宋体" w:hAnsi="宋体" w:eastAsia="宋体" w:cs="宋体"/>
          <w:b/>
          <w:bCs/>
          <w:color w:val="auto"/>
          <w:sz w:val="24"/>
          <w:highlight w:val="none"/>
        </w:rPr>
        <w:t>视为响应文件无效</w:t>
      </w:r>
      <w:r>
        <w:rPr>
          <w:rFonts w:hint="eastAsia" w:ascii="宋体" w:hAnsi="宋体" w:eastAsia="宋体" w:cs="宋体"/>
          <w:color w:val="auto"/>
          <w:sz w:val="24"/>
          <w:highlight w:val="none"/>
        </w:rPr>
        <w:t>。（解密异常情况处理：详见本章26.3 电子交易活动的中止。）</w:t>
      </w:r>
    </w:p>
    <w:p w14:paraId="1C6D8FAD">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（2）如供应商成功解密响应文件，但未在“ 广西政府采购云平台”电子开标大厅参加磋商的，视同认可磋商过程和结果，由此产生的后果由供应商自行负责。 参与磋商的供应商不足3家的，不得磋商。</w:t>
      </w:r>
    </w:p>
    <w:p w14:paraId="02DE736B">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（3）初步评审。响应文件解密结束后，磋商小组依据法律法规和招标文件的规定，对供应商进行线上初步评审（资格性审查、符合性审查）。</w:t>
      </w:r>
    </w:p>
    <w:p w14:paraId="1A69C182">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（4）电子在线磋商评审（开启第二轮报价或最后报价），由磋商小组通过以下三种方式的其中一种与供应商进行磋商（A视频会议 B发送磋商问题函 C备注和附件），完成最终轮磋商后须提交磋商结果。</w:t>
      </w:r>
    </w:p>
    <w:p w14:paraId="1F21586F">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（5）电子在线询标，磋商小组在评审过程中对竞标文件内容有任何疑义，可在线询标，各供应商应在规定地点、时间提交询标澄清回复。</w:t>
      </w:r>
    </w:p>
    <w:p w14:paraId="284BA64D">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15" w:name="_Toc24678"/>
      <w:r>
        <w:rPr>
          <w:rFonts w:hint="eastAsia" w:ascii="宋体" w:hAnsi="宋体" w:eastAsia="宋体" w:cs="宋体"/>
          <w:b/>
          <w:bCs/>
          <w:color w:val="auto"/>
          <w:sz w:val="24"/>
          <w:highlight w:val="none"/>
        </w:rPr>
        <w:t>26、评审程序、评审方法</w:t>
      </w:r>
      <w:bookmarkEnd w:id="115"/>
    </w:p>
    <w:p w14:paraId="16BBB7D4">
      <w:pPr>
        <w:keepNext w:val="0"/>
        <w:keepLines w:val="0"/>
        <w:pageBreakBefore w:val="0"/>
        <w:widowControl w:val="0"/>
        <w:kinsoku/>
        <w:wordWrap/>
        <w:overflowPunct/>
        <w:topLinePunct w:val="0"/>
        <w:autoSpaceDE/>
        <w:autoSpaceDN/>
        <w:bidi w:val="0"/>
        <w:adjustRightInd/>
        <w:snapToGrid/>
        <w:spacing w:line="380" w:lineRule="exact"/>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26.1本项目的评审方法为综合评分法。</w:t>
      </w:r>
    </w:p>
    <w:p w14:paraId="015CE6E2">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26.2磋商小组按照“第四章 评审程序、评审方法”规定的方法、评审因素、标准和程序对响应文件进行评审。</w:t>
      </w:r>
    </w:p>
    <w:p w14:paraId="38081BF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26.3电子交易活动的中止。采购过程中出现以下情形，导致电子交易平台无法正常运行，或者无法保证电子交易的公平、公正和安全时，采购机构可中止电子交易活动：</w:t>
      </w:r>
    </w:p>
    <w:p w14:paraId="4876FF2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（1）电子交易平台发生故障而无法登录访问的； </w:t>
      </w:r>
    </w:p>
    <w:p w14:paraId="3CE116F4">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（2）电子交易平台应用或数据库出现错误，不能进行正常操作的；</w:t>
      </w:r>
    </w:p>
    <w:p w14:paraId="3604AB3E">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（3）电子交易平台发现严重安全漏洞，有潜在泄密危险的；</w:t>
      </w:r>
    </w:p>
    <w:p w14:paraId="5122D663">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（4）病毒发作导致不能进行正常操作的； </w:t>
      </w:r>
    </w:p>
    <w:p w14:paraId="7D42D9C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（4）其他无法保证电子交易的公平、公正和安全的情况。</w:t>
      </w:r>
    </w:p>
    <w:p w14:paraId="0FCD954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607A72">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16" w:name="_Toc29858"/>
      <w:r>
        <w:rPr>
          <w:rFonts w:hint="eastAsia" w:ascii="宋体" w:hAnsi="宋体" w:eastAsia="宋体" w:cs="宋体"/>
          <w:b/>
          <w:bCs/>
          <w:color w:val="auto"/>
          <w:sz w:val="24"/>
          <w:highlight w:val="none"/>
        </w:rPr>
        <w:t>27、确定成交供应商及结果公告</w:t>
      </w:r>
      <w:bookmarkEnd w:id="116"/>
    </w:p>
    <w:p w14:paraId="4BCBA34C">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w:t>
      </w:r>
      <w:r>
        <w:rPr>
          <w:rFonts w:hint="eastAsia" w:ascii="宋体" w:hAnsi="宋体" w:eastAsia="宋体" w:cs="宋体"/>
          <w:color w:val="auto"/>
          <w:kern w:val="0"/>
          <w:sz w:val="24"/>
          <w:highlight w:val="none"/>
          <w:u w:val="single"/>
        </w:rPr>
        <w:t xml:space="preserve"> </w:t>
      </w:r>
      <w:r>
        <w:rPr>
          <w:rFonts w:hint="eastAsia" w:ascii="宋体" w:hAnsi="宋体" w:eastAsia="宋体" w:cs="宋体"/>
          <w:b/>
          <w:bCs/>
          <w:color w:val="auto"/>
          <w:kern w:val="0"/>
          <w:sz w:val="24"/>
          <w:highlight w:val="none"/>
          <w:u w:val="single"/>
        </w:rPr>
        <w:t>采购人授权磋商小组直接确定成交供应商</w:t>
      </w:r>
      <w:r>
        <w:rPr>
          <w:rFonts w:hint="eastAsia" w:ascii="宋体" w:hAnsi="宋体" w:eastAsia="宋体" w:cs="宋体"/>
          <w:b/>
          <w:bCs/>
          <w:color w:val="auto"/>
          <w:sz w:val="24"/>
          <w:highlight w:val="none"/>
          <w:u w:val="single"/>
        </w:rPr>
        <w:t>。评审报告提出的排序第一的供应商为成交供应商。</w:t>
      </w:r>
    </w:p>
    <w:p w14:paraId="1A20DCC6">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27.2采购代理机构应当在</w:t>
      </w:r>
      <w:r>
        <w:rPr>
          <w:rFonts w:hint="eastAsia" w:ascii="宋体" w:hAnsi="宋体" w:eastAsia="宋体" w:cs="宋体"/>
          <w:color w:val="auto"/>
          <w:kern w:val="0"/>
          <w:sz w:val="24"/>
          <w:highlight w:val="none"/>
        </w:rPr>
        <w:t>成交</w:t>
      </w:r>
      <w:r>
        <w:rPr>
          <w:rFonts w:hint="eastAsia" w:ascii="宋体" w:hAnsi="宋体" w:eastAsia="宋体" w:cs="宋体"/>
          <w:color w:val="auto"/>
          <w:sz w:val="24"/>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117" w:name="_Hlk66782294"/>
      <w:r>
        <w:rPr>
          <w:rFonts w:hint="eastAsia" w:ascii="宋体" w:hAnsi="宋体" w:eastAsia="宋体" w:cs="宋体"/>
          <w:color w:val="auto"/>
          <w:sz w:val="24"/>
          <w:highlight w:val="none"/>
        </w:rPr>
        <w:t>成交供应商享受《政府采购促进中小企业发展管理办法》（财库〔2020〕46号）规定的中小企业扶持政策的，采购人、采购代理机构应当随成交结果公开成交供应商的《中小企业声明函》。</w:t>
      </w:r>
      <w:bookmarkEnd w:id="117"/>
    </w:p>
    <w:p w14:paraId="508682FB">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27.3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9E29F6C">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highlight w:val="none"/>
        </w:rPr>
        <w:t>27.4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15D9E213">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18" w:name="_Toc14265"/>
      <w:r>
        <w:rPr>
          <w:rFonts w:hint="eastAsia" w:ascii="宋体" w:hAnsi="宋体" w:eastAsia="宋体" w:cs="宋体"/>
          <w:b/>
          <w:bCs/>
          <w:color w:val="auto"/>
          <w:sz w:val="24"/>
          <w:highlight w:val="none"/>
        </w:rPr>
        <w:t>28、履约保证金</w:t>
      </w:r>
      <w:bookmarkEnd w:id="118"/>
      <w:r>
        <w:rPr>
          <w:rFonts w:hint="eastAsia" w:ascii="宋体" w:hAnsi="宋体" w:eastAsia="宋体" w:cs="宋体"/>
          <w:b/>
          <w:bCs/>
          <w:color w:val="auto"/>
          <w:sz w:val="24"/>
          <w:highlight w:val="none"/>
        </w:rPr>
        <w:t xml:space="preserve"> </w:t>
      </w:r>
    </w:p>
    <w:p w14:paraId="1A5FE47E">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详见“供应商须知前附表”。</w:t>
      </w:r>
    </w:p>
    <w:p w14:paraId="420A3DEC">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19" w:name="_Toc14598"/>
      <w:r>
        <w:rPr>
          <w:rFonts w:hint="eastAsia" w:ascii="宋体" w:hAnsi="宋体" w:eastAsia="宋体" w:cs="宋体"/>
          <w:b/>
          <w:bCs/>
          <w:color w:val="auto"/>
          <w:sz w:val="24"/>
          <w:highlight w:val="none"/>
        </w:rPr>
        <w:t>29、签订合同</w:t>
      </w:r>
      <w:bookmarkEnd w:id="119"/>
    </w:p>
    <w:p w14:paraId="65D07406">
      <w:pPr>
        <w:keepNext w:val="0"/>
        <w:keepLines w:val="0"/>
        <w:pageBreakBefore w:val="0"/>
        <w:widowControl w:val="0"/>
        <w:kinsoku/>
        <w:wordWrap/>
        <w:overflowPunct/>
        <w:topLinePunct w:val="0"/>
        <w:autoSpaceDE/>
        <w:autoSpaceDN/>
        <w:bidi w:val="0"/>
        <w:adjustRightInd/>
        <w:snapToGrid/>
        <w:spacing w:line="380" w:lineRule="exact"/>
        <w:ind w:firstLine="484" w:firstLineChars="202"/>
        <w:rPr>
          <w:rFonts w:hint="eastAsia" w:ascii="宋体" w:hAnsi="宋体" w:eastAsia="宋体" w:cs="宋体"/>
          <w:color w:val="auto"/>
          <w:sz w:val="24"/>
          <w:highlight w:val="none"/>
        </w:rPr>
      </w:pPr>
      <w:r>
        <w:rPr>
          <w:rFonts w:hint="eastAsia" w:ascii="宋体" w:hAnsi="宋体" w:eastAsia="宋体" w:cs="宋体"/>
          <w:color w:val="auto"/>
          <w:sz w:val="24"/>
          <w:highlight w:val="none"/>
        </w:rPr>
        <w:t>29.1采购人及成交供应商应当在成交通知书签发日期之日起</w:t>
      </w: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eastAsia="宋体" w:cs="宋体"/>
          <w:color w:val="auto"/>
          <w:sz w:val="24"/>
          <w:highlight w:val="none"/>
        </w:rPr>
        <w:t>日内签订合同，</w:t>
      </w:r>
      <w:r>
        <w:rPr>
          <w:rFonts w:hint="eastAsia" w:ascii="宋体" w:hAnsi="宋体" w:eastAsia="宋体" w:cs="宋体"/>
          <w:color w:val="auto"/>
          <w:sz w:val="24"/>
          <w:highlight w:val="none"/>
        </w:rPr>
        <w:t>在签订合同时向采购人出示相关证明材料，具体内容详见 “供应商须知前附表”，经采购人核验合格后方可签订合同。</w:t>
      </w:r>
    </w:p>
    <w:p w14:paraId="46682A14">
      <w:pPr>
        <w:keepNext w:val="0"/>
        <w:keepLines w:val="0"/>
        <w:pageBreakBefore w:val="0"/>
        <w:widowControl w:val="0"/>
        <w:kinsoku/>
        <w:wordWrap/>
        <w:overflowPunct/>
        <w:topLinePunct w:val="0"/>
        <w:autoSpaceDE/>
        <w:autoSpaceDN/>
        <w:bidi w:val="0"/>
        <w:adjustRightInd/>
        <w:snapToGrid/>
        <w:spacing w:line="380" w:lineRule="exact"/>
        <w:ind w:firstLine="484" w:firstLineChars="202"/>
        <w:rPr>
          <w:rFonts w:hint="eastAsia" w:ascii="宋体" w:hAnsi="宋体" w:eastAsia="宋体" w:cs="宋体"/>
          <w:color w:val="auto"/>
          <w:sz w:val="24"/>
          <w:highlight w:val="none"/>
        </w:rPr>
      </w:pPr>
      <w:r>
        <w:rPr>
          <w:rFonts w:hint="eastAsia" w:ascii="宋体" w:hAnsi="宋体" w:eastAsia="宋体" w:cs="宋体"/>
          <w:color w:val="auto"/>
          <w:sz w:val="24"/>
          <w:highlight w:val="none"/>
        </w:rPr>
        <w:t>29.2 签订合同时间：按成交通知书规定的时间与采购人签订政府采购合同。</w:t>
      </w:r>
    </w:p>
    <w:p w14:paraId="662162D3">
      <w:pPr>
        <w:keepNext w:val="0"/>
        <w:keepLines w:val="0"/>
        <w:pageBreakBefore w:val="0"/>
        <w:widowControl w:val="0"/>
        <w:kinsoku/>
        <w:wordWrap/>
        <w:overflowPunct/>
        <w:topLinePunct w:val="0"/>
        <w:autoSpaceDE/>
        <w:autoSpaceDN/>
        <w:bidi w:val="0"/>
        <w:adjustRightInd/>
        <w:snapToGrid/>
        <w:spacing w:line="380" w:lineRule="exact"/>
        <w:ind w:firstLine="484" w:firstLineChars="202"/>
        <w:rPr>
          <w:rFonts w:hint="eastAsia" w:ascii="宋体" w:hAnsi="宋体" w:eastAsia="宋体" w:cs="宋体"/>
          <w:color w:val="auto"/>
          <w:sz w:val="24"/>
          <w:highlight w:val="none"/>
        </w:rPr>
      </w:pPr>
      <w:r>
        <w:rPr>
          <w:rFonts w:hint="eastAsia" w:ascii="宋体" w:hAnsi="宋体" w:eastAsia="宋体" w:cs="宋体"/>
          <w:color w:val="auto"/>
          <w:sz w:val="24"/>
          <w:highlight w:val="none"/>
        </w:rPr>
        <w:t>29.3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018A774C">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20" w:name="_Toc14229"/>
      <w:r>
        <w:rPr>
          <w:rFonts w:hint="eastAsia" w:ascii="宋体" w:hAnsi="宋体" w:eastAsia="宋体" w:cs="宋体"/>
          <w:b/>
          <w:bCs/>
          <w:color w:val="auto"/>
          <w:sz w:val="24"/>
          <w:highlight w:val="none"/>
        </w:rPr>
        <w:t>30、政府采购合同公告</w:t>
      </w:r>
      <w:bookmarkEnd w:id="120"/>
    </w:p>
    <w:p w14:paraId="6DD560B0">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ECFA86B">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21" w:name="_Toc19954"/>
      <w:r>
        <w:rPr>
          <w:rFonts w:hint="eastAsia" w:ascii="宋体" w:hAnsi="宋体" w:eastAsia="宋体" w:cs="宋体"/>
          <w:b/>
          <w:bCs/>
          <w:color w:val="auto"/>
          <w:sz w:val="24"/>
          <w:highlight w:val="none"/>
        </w:rPr>
        <w:t>31、 询问、质疑和投诉</w:t>
      </w:r>
      <w:bookmarkEnd w:id="121"/>
    </w:p>
    <w:p w14:paraId="4FD0B3E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31.1供应商对政府采购活动事项有疑问的，可以向采购人、采购代理机构提出询问，采购人或者采购代理机构应当在3个工作日内对供应商依法提出的询问作出答复。</w:t>
      </w:r>
    </w:p>
    <w:p w14:paraId="0EDD66EE">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sz w:val="24"/>
          <w:highlight w:val="none"/>
          <w:shd w:val="clear" w:color="auto" w:fill="FFFFFF"/>
        </w:rPr>
        <w:t>接收质疑函的方式、联系部门、联系电话和通讯地址等信息详见</w:t>
      </w:r>
      <w:r>
        <w:rPr>
          <w:rFonts w:hint="eastAsia" w:ascii="宋体" w:hAnsi="宋体" w:eastAsia="宋体" w:cs="宋体"/>
          <w:color w:val="auto"/>
          <w:sz w:val="24"/>
          <w:highlight w:val="none"/>
        </w:rPr>
        <w:t>“供应商须知前附表”。具体质疑起算时间如下：</w:t>
      </w:r>
    </w:p>
    <w:p w14:paraId="6F39727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（1）对可以质疑的磋商文件提出质疑的，为收到磋商文件之日或者竞争性磋商公告期限届满之日；</w:t>
      </w:r>
    </w:p>
    <w:p w14:paraId="5A99FEE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（2）对采购过程提出质疑的，为各采购程序环节结束之日；</w:t>
      </w:r>
    </w:p>
    <w:p w14:paraId="3E8F9DC7">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（3）对成交结果提出质疑的，为成交结果公告期限届满之日。</w:t>
      </w:r>
    </w:p>
    <w:p w14:paraId="315CD7B7">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00F549BB">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sz w:val="24"/>
          <w:highlight w:val="none"/>
        </w:rPr>
        <w:t>（质疑函格式后附）</w:t>
      </w:r>
      <w:r>
        <w:rPr>
          <w:rFonts w:hint="eastAsia" w:ascii="宋体" w:hAnsi="宋体" w:eastAsia="宋体" w:cs="宋体"/>
          <w:color w:val="auto"/>
          <w:sz w:val="24"/>
          <w:highlight w:val="none"/>
        </w:rPr>
        <w:t>：</w:t>
      </w:r>
    </w:p>
    <w:p w14:paraId="63AFC91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（1）供应商的姓名或者名称、地址、邮编、联系人及联系电话；</w:t>
      </w:r>
    </w:p>
    <w:p w14:paraId="28536894">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（2）质疑项目的名称、编号；</w:t>
      </w:r>
    </w:p>
    <w:p w14:paraId="35A95DD2">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（3）具体、明确的质疑事项和与质疑事项相关的请求；</w:t>
      </w:r>
    </w:p>
    <w:p w14:paraId="68F223F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（4）事实依据；</w:t>
      </w:r>
    </w:p>
    <w:p w14:paraId="6BAE781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（5）必要的法律依据；</w:t>
      </w:r>
    </w:p>
    <w:p w14:paraId="450E7B5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（6）提出质疑的日期。</w:t>
      </w:r>
    </w:p>
    <w:p w14:paraId="3A8E8D2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供应商为自然人的，应当由本人签字；供应商为法人或者其他组织的，应当由法定代表人、主要负责人，或者其委托代理人签字或者盖章，并加盖公章。</w:t>
      </w:r>
    </w:p>
    <w:p w14:paraId="2FBED119">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31.5采购人、采购代理机构认为供应商质疑不成立，或者成立但未对成交结果构成影响的，继续开展采购活动；认为供应商质疑成立且影响或者可能影响成交结果的，按照下列情况处理：</w:t>
      </w:r>
    </w:p>
    <w:p w14:paraId="29703960">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（一）对采购文件提出的质疑，依法通过澄清或者修改可以继续开展采购活动的，澄清或者修改采购文件后继续开展采购活动；否则应当修改采购文件后重新开展采购活动。</w:t>
      </w:r>
    </w:p>
    <w:p w14:paraId="5ECDBC8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（二）对采购过程或者成交结果提出的质疑，合格供应商符合法定数量时，可以从合格的成交候选人中另行确定成交供应商的，应当依法另行确定成交供应商；否则应当重新开展采购活动。</w:t>
      </w:r>
    </w:p>
    <w:p w14:paraId="15BAD11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质疑答复导致成交结果改变的，采购人或者采购代理机构应当将有关情况书面报告本级财政部门。</w:t>
      </w:r>
    </w:p>
    <w:p w14:paraId="596820F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054CF7CE">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22" w:name="_Toc18543"/>
      <w:r>
        <w:rPr>
          <w:rFonts w:hint="eastAsia" w:ascii="宋体" w:hAnsi="宋体" w:eastAsia="宋体" w:cs="宋体"/>
          <w:b/>
          <w:bCs/>
          <w:color w:val="auto"/>
          <w:sz w:val="24"/>
          <w:highlight w:val="none"/>
        </w:rPr>
        <w:t>其他内容</w:t>
      </w:r>
      <w:bookmarkEnd w:id="122"/>
    </w:p>
    <w:p w14:paraId="3C065C1E">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32.1以成交价为基数</w:t>
      </w:r>
      <w:r>
        <w:rPr>
          <w:rFonts w:hint="eastAsia" w:ascii="宋体" w:hAnsi="宋体" w:eastAsia="宋体" w:cs="宋体"/>
          <w:color w:val="auto"/>
          <w:sz w:val="24"/>
          <w:highlight w:val="none"/>
          <w:lang w:eastAsia="zh-CN"/>
        </w:rPr>
        <w:t>，按国家发展计划委员会计价格[2002]1980号文服务招标收费标准收取执行。</w:t>
      </w:r>
    </w:p>
    <w:p w14:paraId="0D463F4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代理服务收费标准及缴费账户详见“供应商须知前附表”。</w:t>
      </w:r>
    </w:p>
    <w:p w14:paraId="5E1A2AB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代理服务费收费计算标准：</w:t>
      </w:r>
    </w:p>
    <w:tbl>
      <w:tblPr>
        <w:tblStyle w:val="22"/>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
        <w:gridCol w:w="3470"/>
        <w:gridCol w:w="2049"/>
        <w:gridCol w:w="1899"/>
        <w:gridCol w:w="1837"/>
      </w:tblGrid>
      <w:tr w14:paraId="1C97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gridSpan w:val="2"/>
            <w:tcBorders>
              <w:tl2br w:val="single" w:color="auto" w:sz="4" w:space="0"/>
            </w:tcBorders>
            <w:noWrap w:val="0"/>
            <w:vAlign w:val="top"/>
          </w:tcPr>
          <w:p w14:paraId="1567528D">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费率</w:t>
            </w:r>
          </w:p>
          <w:p w14:paraId="6A92359A">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tc>
        <w:tc>
          <w:tcPr>
            <w:tcW w:w="2050" w:type="dxa"/>
            <w:noWrap w:val="0"/>
            <w:vAlign w:val="center"/>
          </w:tcPr>
          <w:p w14:paraId="22E88F1B">
            <w:pPr>
              <w:keepNext w:val="0"/>
              <w:keepLines w:val="0"/>
              <w:pageBreakBefore w:val="0"/>
              <w:widowControl w:val="0"/>
              <w:kinsoku/>
              <w:wordWrap/>
              <w:overflowPunct/>
              <w:topLinePunct w:val="0"/>
              <w:autoSpaceDE/>
              <w:autoSpaceDN/>
              <w:bidi w:val="0"/>
              <w:adjustRightInd/>
              <w:snapToGrid/>
              <w:spacing w:line="380" w:lineRule="exact"/>
              <w:ind w:firstLine="120" w:firstLineChars="5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货物类</w:t>
            </w:r>
          </w:p>
        </w:tc>
        <w:tc>
          <w:tcPr>
            <w:tcW w:w="1900" w:type="dxa"/>
            <w:noWrap w:val="0"/>
            <w:vAlign w:val="center"/>
          </w:tcPr>
          <w:p w14:paraId="4260F35A">
            <w:pPr>
              <w:keepNext w:val="0"/>
              <w:keepLines w:val="0"/>
              <w:pageBreakBefore w:val="0"/>
              <w:widowControl w:val="0"/>
              <w:kinsoku/>
              <w:wordWrap/>
              <w:overflowPunct/>
              <w:topLinePunct w:val="0"/>
              <w:autoSpaceDE/>
              <w:autoSpaceDN/>
              <w:bidi w:val="0"/>
              <w:adjustRightInd/>
              <w:snapToGrid/>
              <w:spacing w:line="38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服务类</w:t>
            </w:r>
          </w:p>
        </w:tc>
        <w:tc>
          <w:tcPr>
            <w:tcW w:w="1838" w:type="dxa"/>
            <w:noWrap w:val="0"/>
            <w:vAlign w:val="center"/>
          </w:tcPr>
          <w:p w14:paraId="5ABEC0CF">
            <w:pPr>
              <w:keepNext w:val="0"/>
              <w:keepLines w:val="0"/>
              <w:pageBreakBefore w:val="0"/>
              <w:widowControl w:val="0"/>
              <w:kinsoku/>
              <w:wordWrap/>
              <w:overflowPunct/>
              <w:topLinePunct w:val="0"/>
              <w:autoSpaceDE/>
              <w:autoSpaceDN/>
              <w:bidi w:val="0"/>
              <w:adjustRightInd/>
              <w:snapToGrid/>
              <w:spacing w:line="38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工程类</w:t>
            </w:r>
          </w:p>
        </w:tc>
      </w:tr>
      <w:tr w14:paraId="43E4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gridSpan w:val="2"/>
            <w:noWrap w:val="0"/>
            <w:vAlign w:val="top"/>
          </w:tcPr>
          <w:p w14:paraId="6EC98FB6">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100万元以下</w:t>
            </w:r>
          </w:p>
        </w:tc>
        <w:tc>
          <w:tcPr>
            <w:tcW w:w="2050" w:type="dxa"/>
            <w:noWrap w:val="0"/>
            <w:vAlign w:val="top"/>
          </w:tcPr>
          <w:p w14:paraId="4016612B">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 xml:space="preserve">  1.5%                </w:t>
            </w:r>
          </w:p>
        </w:tc>
        <w:tc>
          <w:tcPr>
            <w:tcW w:w="1900" w:type="dxa"/>
            <w:noWrap w:val="0"/>
            <w:vAlign w:val="top"/>
          </w:tcPr>
          <w:p w14:paraId="37743B8B">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1.5%</w:t>
            </w:r>
          </w:p>
        </w:tc>
        <w:tc>
          <w:tcPr>
            <w:tcW w:w="1838" w:type="dxa"/>
            <w:noWrap w:val="0"/>
            <w:vAlign w:val="top"/>
          </w:tcPr>
          <w:p w14:paraId="11BBD21B">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 xml:space="preserve">1.0% </w:t>
            </w:r>
          </w:p>
        </w:tc>
      </w:tr>
      <w:tr w14:paraId="35F0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gridSpan w:val="2"/>
            <w:noWrap w:val="0"/>
            <w:vAlign w:val="top"/>
          </w:tcPr>
          <w:p w14:paraId="00190FA1">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100～500万元</w:t>
            </w:r>
          </w:p>
        </w:tc>
        <w:tc>
          <w:tcPr>
            <w:tcW w:w="2050" w:type="dxa"/>
            <w:noWrap w:val="0"/>
            <w:vAlign w:val="top"/>
          </w:tcPr>
          <w:p w14:paraId="74D8F09D">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 xml:space="preserve">1.1%                 </w:t>
            </w:r>
          </w:p>
        </w:tc>
        <w:tc>
          <w:tcPr>
            <w:tcW w:w="1900" w:type="dxa"/>
            <w:noWrap w:val="0"/>
            <w:vAlign w:val="top"/>
          </w:tcPr>
          <w:p w14:paraId="4A597E4F">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0.8%</w:t>
            </w:r>
          </w:p>
        </w:tc>
        <w:tc>
          <w:tcPr>
            <w:tcW w:w="1838" w:type="dxa"/>
            <w:noWrap w:val="0"/>
            <w:vAlign w:val="top"/>
          </w:tcPr>
          <w:p w14:paraId="3C0DA79A">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 xml:space="preserve">0.7% </w:t>
            </w:r>
          </w:p>
        </w:tc>
      </w:tr>
      <w:tr w14:paraId="7E8C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jc w:val="center"/>
        </w:trPr>
        <w:tc>
          <w:tcPr>
            <w:tcW w:w="3472" w:type="dxa"/>
            <w:noWrap w:val="0"/>
            <w:vAlign w:val="top"/>
          </w:tcPr>
          <w:p w14:paraId="2F79C04E">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500～1000万元</w:t>
            </w:r>
          </w:p>
        </w:tc>
        <w:tc>
          <w:tcPr>
            <w:tcW w:w="2050" w:type="dxa"/>
            <w:noWrap w:val="0"/>
            <w:vAlign w:val="top"/>
          </w:tcPr>
          <w:p w14:paraId="2B6C8E76">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 xml:space="preserve">  0.8%                </w:t>
            </w:r>
          </w:p>
        </w:tc>
        <w:tc>
          <w:tcPr>
            <w:tcW w:w="1900" w:type="dxa"/>
            <w:noWrap w:val="0"/>
            <w:vAlign w:val="top"/>
          </w:tcPr>
          <w:p w14:paraId="7E4776F0">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0.45%</w:t>
            </w:r>
          </w:p>
        </w:tc>
        <w:tc>
          <w:tcPr>
            <w:tcW w:w="1838" w:type="dxa"/>
            <w:noWrap w:val="0"/>
            <w:vAlign w:val="top"/>
          </w:tcPr>
          <w:p w14:paraId="2ABF2672">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0.55%</w:t>
            </w:r>
          </w:p>
        </w:tc>
      </w:tr>
      <w:tr w14:paraId="21F2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jc w:val="center"/>
        </w:trPr>
        <w:tc>
          <w:tcPr>
            <w:tcW w:w="3472" w:type="dxa"/>
            <w:noWrap w:val="0"/>
            <w:vAlign w:val="top"/>
          </w:tcPr>
          <w:p w14:paraId="738D9FCD">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1000～5000万元</w:t>
            </w:r>
          </w:p>
        </w:tc>
        <w:tc>
          <w:tcPr>
            <w:tcW w:w="2050" w:type="dxa"/>
            <w:noWrap w:val="0"/>
            <w:vAlign w:val="top"/>
          </w:tcPr>
          <w:p w14:paraId="61895364">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 xml:space="preserve">0.5%                </w:t>
            </w:r>
          </w:p>
        </w:tc>
        <w:tc>
          <w:tcPr>
            <w:tcW w:w="1900" w:type="dxa"/>
            <w:noWrap w:val="0"/>
            <w:vAlign w:val="top"/>
          </w:tcPr>
          <w:p w14:paraId="6299FA39">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0.25%</w:t>
            </w:r>
          </w:p>
        </w:tc>
        <w:tc>
          <w:tcPr>
            <w:tcW w:w="1838" w:type="dxa"/>
            <w:noWrap w:val="0"/>
            <w:vAlign w:val="top"/>
          </w:tcPr>
          <w:p w14:paraId="55713AF6">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 xml:space="preserve">0.35% </w:t>
            </w:r>
          </w:p>
        </w:tc>
      </w:tr>
      <w:tr w14:paraId="3E0F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jc w:val="center"/>
        </w:trPr>
        <w:tc>
          <w:tcPr>
            <w:tcW w:w="3472" w:type="dxa"/>
            <w:noWrap w:val="0"/>
            <w:vAlign w:val="top"/>
          </w:tcPr>
          <w:p w14:paraId="7A66F688">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5000万元～1亿元</w:t>
            </w:r>
          </w:p>
        </w:tc>
        <w:tc>
          <w:tcPr>
            <w:tcW w:w="2050" w:type="dxa"/>
            <w:noWrap w:val="0"/>
            <w:vAlign w:val="top"/>
          </w:tcPr>
          <w:p w14:paraId="462B7925">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 xml:space="preserve">0.25%                 </w:t>
            </w:r>
          </w:p>
        </w:tc>
        <w:tc>
          <w:tcPr>
            <w:tcW w:w="1900" w:type="dxa"/>
            <w:noWrap w:val="0"/>
            <w:vAlign w:val="top"/>
          </w:tcPr>
          <w:p w14:paraId="6DC59AAE">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0.1%</w:t>
            </w:r>
          </w:p>
        </w:tc>
        <w:tc>
          <w:tcPr>
            <w:tcW w:w="1838" w:type="dxa"/>
            <w:noWrap w:val="0"/>
            <w:vAlign w:val="top"/>
          </w:tcPr>
          <w:p w14:paraId="3686A579">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0.2%</w:t>
            </w:r>
          </w:p>
        </w:tc>
      </w:tr>
      <w:tr w14:paraId="3A48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jc w:val="center"/>
        </w:trPr>
        <w:tc>
          <w:tcPr>
            <w:tcW w:w="3472" w:type="dxa"/>
            <w:noWrap w:val="0"/>
            <w:vAlign w:val="top"/>
          </w:tcPr>
          <w:p w14:paraId="682D9E70">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1～5亿元</w:t>
            </w:r>
          </w:p>
        </w:tc>
        <w:tc>
          <w:tcPr>
            <w:tcW w:w="2050" w:type="dxa"/>
            <w:noWrap w:val="0"/>
            <w:vAlign w:val="top"/>
          </w:tcPr>
          <w:p w14:paraId="69855662">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0.05%</w:t>
            </w:r>
          </w:p>
        </w:tc>
        <w:tc>
          <w:tcPr>
            <w:tcW w:w="1900" w:type="dxa"/>
            <w:noWrap w:val="0"/>
            <w:vAlign w:val="top"/>
          </w:tcPr>
          <w:p w14:paraId="0BB56C8E">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0.05%</w:t>
            </w:r>
          </w:p>
        </w:tc>
        <w:tc>
          <w:tcPr>
            <w:tcW w:w="1838" w:type="dxa"/>
            <w:noWrap w:val="0"/>
            <w:vAlign w:val="top"/>
          </w:tcPr>
          <w:p w14:paraId="4F43457D">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0.05%</w:t>
            </w:r>
          </w:p>
        </w:tc>
      </w:tr>
      <w:tr w14:paraId="734F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jc w:val="center"/>
        </w:trPr>
        <w:tc>
          <w:tcPr>
            <w:tcW w:w="3472" w:type="dxa"/>
            <w:noWrap w:val="0"/>
            <w:vAlign w:val="top"/>
          </w:tcPr>
          <w:p w14:paraId="06FBD2D3">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5～10亿元</w:t>
            </w:r>
          </w:p>
        </w:tc>
        <w:tc>
          <w:tcPr>
            <w:tcW w:w="2050" w:type="dxa"/>
            <w:noWrap w:val="0"/>
            <w:vAlign w:val="top"/>
          </w:tcPr>
          <w:p w14:paraId="50370799">
            <w:pPr>
              <w:keepNext w:val="0"/>
              <w:keepLines w:val="0"/>
              <w:pageBreakBefore w:val="0"/>
              <w:widowControl w:val="0"/>
              <w:kinsoku/>
              <w:wordWrap/>
              <w:overflowPunct/>
              <w:topLinePunct w:val="0"/>
              <w:autoSpaceDE/>
              <w:autoSpaceDN/>
              <w:bidi w:val="0"/>
              <w:adjustRightInd/>
              <w:snapToGrid/>
              <w:spacing w:line="380" w:lineRule="exact"/>
              <w:ind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0.035%</w:t>
            </w:r>
          </w:p>
        </w:tc>
        <w:tc>
          <w:tcPr>
            <w:tcW w:w="1900" w:type="dxa"/>
            <w:noWrap w:val="0"/>
            <w:vAlign w:val="top"/>
          </w:tcPr>
          <w:p w14:paraId="16156D80">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0.035%</w:t>
            </w:r>
          </w:p>
        </w:tc>
        <w:tc>
          <w:tcPr>
            <w:tcW w:w="1838" w:type="dxa"/>
            <w:noWrap w:val="0"/>
            <w:vAlign w:val="top"/>
          </w:tcPr>
          <w:p w14:paraId="4F2BDE3D">
            <w:pPr>
              <w:keepNext w:val="0"/>
              <w:keepLines w:val="0"/>
              <w:pageBreakBefore w:val="0"/>
              <w:widowControl w:val="0"/>
              <w:kinsoku/>
              <w:wordWrap/>
              <w:overflowPunct/>
              <w:topLinePunct w:val="0"/>
              <w:autoSpaceDE/>
              <w:autoSpaceDN/>
              <w:bidi w:val="0"/>
              <w:adjustRightInd/>
              <w:snapToGrid/>
              <w:spacing w:line="380" w:lineRule="exact"/>
              <w:ind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0.035%</w:t>
            </w:r>
          </w:p>
        </w:tc>
      </w:tr>
      <w:tr w14:paraId="0954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jc w:val="center"/>
        </w:trPr>
        <w:tc>
          <w:tcPr>
            <w:tcW w:w="3472" w:type="dxa"/>
            <w:noWrap w:val="0"/>
            <w:vAlign w:val="top"/>
          </w:tcPr>
          <w:p w14:paraId="7AE82B81">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10～50亿元</w:t>
            </w:r>
          </w:p>
        </w:tc>
        <w:tc>
          <w:tcPr>
            <w:tcW w:w="2050" w:type="dxa"/>
            <w:noWrap w:val="0"/>
            <w:vAlign w:val="top"/>
          </w:tcPr>
          <w:p w14:paraId="7466AFC5">
            <w:pPr>
              <w:keepNext w:val="0"/>
              <w:keepLines w:val="0"/>
              <w:pageBreakBefore w:val="0"/>
              <w:widowControl w:val="0"/>
              <w:kinsoku/>
              <w:wordWrap/>
              <w:overflowPunct/>
              <w:topLinePunct w:val="0"/>
              <w:autoSpaceDE/>
              <w:autoSpaceDN/>
              <w:bidi w:val="0"/>
              <w:adjustRightInd/>
              <w:snapToGrid/>
              <w:spacing w:line="380" w:lineRule="exact"/>
              <w:ind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0.008%</w:t>
            </w:r>
          </w:p>
        </w:tc>
        <w:tc>
          <w:tcPr>
            <w:tcW w:w="1900" w:type="dxa"/>
            <w:noWrap w:val="0"/>
            <w:vAlign w:val="top"/>
          </w:tcPr>
          <w:p w14:paraId="4D678A48">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0.008%</w:t>
            </w:r>
          </w:p>
        </w:tc>
        <w:tc>
          <w:tcPr>
            <w:tcW w:w="1838" w:type="dxa"/>
            <w:noWrap w:val="0"/>
            <w:vAlign w:val="top"/>
          </w:tcPr>
          <w:p w14:paraId="00EB1D6F">
            <w:pPr>
              <w:keepNext w:val="0"/>
              <w:keepLines w:val="0"/>
              <w:pageBreakBefore w:val="0"/>
              <w:widowControl w:val="0"/>
              <w:kinsoku/>
              <w:wordWrap/>
              <w:overflowPunct/>
              <w:topLinePunct w:val="0"/>
              <w:autoSpaceDE/>
              <w:autoSpaceDN/>
              <w:bidi w:val="0"/>
              <w:adjustRightInd/>
              <w:snapToGrid/>
              <w:spacing w:line="380" w:lineRule="exact"/>
              <w:ind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0.008%</w:t>
            </w:r>
          </w:p>
        </w:tc>
      </w:tr>
      <w:tr w14:paraId="409A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jc w:val="center"/>
        </w:trPr>
        <w:tc>
          <w:tcPr>
            <w:tcW w:w="3472" w:type="dxa"/>
            <w:noWrap w:val="0"/>
            <w:vAlign w:val="top"/>
          </w:tcPr>
          <w:p w14:paraId="1C191EB7">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50～100亿元</w:t>
            </w:r>
          </w:p>
        </w:tc>
        <w:tc>
          <w:tcPr>
            <w:tcW w:w="2050" w:type="dxa"/>
            <w:noWrap w:val="0"/>
            <w:vAlign w:val="top"/>
          </w:tcPr>
          <w:p w14:paraId="26C90C64">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0.006%</w:t>
            </w:r>
          </w:p>
        </w:tc>
        <w:tc>
          <w:tcPr>
            <w:tcW w:w="1900" w:type="dxa"/>
            <w:noWrap w:val="0"/>
            <w:vAlign w:val="top"/>
          </w:tcPr>
          <w:p w14:paraId="13C28FDF">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0.006%</w:t>
            </w:r>
          </w:p>
        </w:tc>
        <w:tc>
          <w:tcPr>
            <w:tcW w:w="1838" w:type="dxa"/>
            <w:noWrap w:val="0"/>
            <w:vAlign w:val="top"/>
          </w:tcPr>
          <w:p w14:paraId="462FDAC0">
            <w:pPr>
              <w:keepNext w:val="0"/>
              <w:keepLines w:val="0"/>
              <w:pageBreakBefore w:val="0"/>
              <w:widowControl w:val="0"/>
              <w:kinsoku/>
              <w:wordWrap/>
              <w:overflowPunct/>
              <w:topLinePunct w:val="0"/>
              <w:autoSpaceDE/>
              <w:autoSpaceDN/>
              <w:bidi w:val="0"/>
              <w:adjustRightInd/>
              <w:snapToGrid/>
              <w:spacing w:line="380" w:lineRule="exact"/>
              <w:ind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0.006%</w:t>
            </w:r>
          </w:p>
        </w:tc>
      </w:tr>
      <w:tr w14:paraId="1A57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jc w:val="center"/>
        </w:trPr>
        <w:tc>
          <w:tcPr>
            <w:tcW w:w="3472" w:type="dxa"/>
            <w:noWrap w:val="0"/>
            <w:vAlign w:val="top"/>
          </w:tcPr>
          <w:p w14:paraId="4A1ED14D">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100亿以上</w:t>
            </w:r>
          </w:p>
        </w:tc>
        <w:tc>
          <w:tcPr>
            <w:tcW w:w="2050" w:type="dxa"/>
            <w:noWrap w:val="0"/>
            <w:vAlign w:val="top"/>
          </w:tcPr>
          <w:p w14:paraId="288C747C">
            <w:pPr>
              <w:keepNext w:val="0"/>
              <w:keepLines w:val="0"/>
              <w:pageBreakBefore w:val="0"/>
              <w:widowControl w:val="0"/>
              <w:kinsoku/>
              <w:wordWrap/>
              <w:overflowPunct/>
              <w:topLinePunct w:val="0"/>
              <w:autoSpaceDE/>
              <w:autoSpaceDN/>
              <w:bidi w:val="0"/>
              <w:adjustRightInd/>
              <w:snapToGri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0.004%</w:t>
            </w:r>
          </w:p>
        </w:tc>
        <w:tc>
          <w:tcPr>
            <w:tcW w:w="1900" w:type="dxa"/>
            <w:noWrap w:val="0"/>
            <w:vAlign w:val="top"/>
          </w:tcPr>
          <w:p w14:paraId="76E84134">
            <w:pPr>
              <w:keepNext w:val="0"/>
              <w:keepLines w:val="0"/>
              <w:pageBreakBefore w:val="0"/>
              <w:widowControl w:val="0"/>
              <w:kinsoku/>
              <w:wordWrap/>
              <w:overflowPunct/>
              <w:topLinePunct w:val="0"/>
              <w:autoSpaceDE/>
              <w:autoSpaceDN/>
              <w:bidi w:val="0"/>
              <w:adjustRightInd/>
              <w:snapToGrid/>
              <w:spacing w:line="38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0.004%</w:t>
            </w:r>
          </w:p>
        </w:tc>
        <w:tc>
          <w:tcPr>
            <w:tcW w:w="1838" w:type="dxa"/>
            <w:noWrap w:val="0"/>
            <w:vAlign w:val="top"/>
          </w:tcPr>
          <w:p w14:paraId="76815BB6">
            <w:pPr>
              <w:keepNext w:val="0"/>
              <w:keepLines w:val="0"/>
              <w:pageBreakBefore w:val="0"/>
              <w:widowControl w:val="0"/>
              <w:kinsoku/>
              <w:wordWrap/>
              <w:overflowPunct/>
              <w:topLinePunct w:val="0"/>
              <w:autoSpaceDE/>
              <w:autoSpaceDN/>
              <w:bidi w:val="0"/>
              <w:adjustRightInd/>
              <w:snapToGrid/>
              <w:spacing w:line="380" w:lineRule="exact"/>
              <w:ind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0.004%</w:t>
            </w:r>
          </w:p>
        </w:tc>
      </w:tr>
    </w:tbl>
    <w:p w14:paraId="1638F4C5">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0F930911">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（1）按本表费率计算的收费为采购代理的收费基准价格；</w:t>
      </w:r>
    </w:p>
    <w:p w14:paraId="3355874B">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（2）采购代理收费按差额定率累进法计算。</w:t>
      </w:r>
    </w:p>
    <w:p w14:paraId="1F9BC95A">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例如：某服务采购代理业务成交金额或者暂定价为150万元，计算采购代理收费额如下：</w:t>
      </w:r>
    </w:p>
    <w:p w14:paraId="6AEC4274">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100 万元 ×l.5 %＝ 1.5 万元</w:t>
      </w:r>
    </w:p>
    <w:p w14:paraId="32B945B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150 － 100 ）万元 ×0.8%＝ 0.4万元</w:t>
      </w:r>
    </w:p>
    <w:p w14:paraId="253B11F8">
      <w:pPr>
        <w:keepNext w:val="0"/>
        <w:keepLines w:val="0"/>
        <w:pageBreakBefore w:val="0"/>
        <w:widowControl w:val="0"/>
        <w:kinsoku/>
        <w:wordWrap/>
        <w:overflowPunct/>
        <w:topLinePunct w:val="0"/>
        <w:autoSpaceDE/>
        <w:autoSpaceDN/>
        <w:bidi w:val="0"/>
        <w:adjustRightInd/>
        <w:snapToGrid/>
        <w:spacing w:line="3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合计收费＝ 1.5 ＋ 0.4＝ 1.9 万元</w:t>
      </w:r>
    </w:p>
    <w:p w14:paraId="2EB94091">
      <w:pPr>
        <w:keepNext w:val="0"/>
        <w:keepLines w:val="0"/>
        <w:pageBreakBefore w:val="0"/>
        <w:widowControl w:val="0"/>
        <w:kinsoku/>
        <w:wordWrap/>
        <w:overflowPunct/>
        <w:topLinePunct w:val="0"/>
        <w:autoSpaceDE/>
        <w:autoSpaceDN/>
        <w:bidi w:val="0"/>
        <w:adjustRightInd/>
        <w:snapToGrid/>
        <w:spacing w:line="380" w:lineRule="exact"/>
        <w:ind w:firstLine="482" w:firstLineChars="200"/>
        <w:outlineLvl w:val="2"/>
        <w:rPr>
          <w:rFonts w:hint="eastAsia" w:ascii="宋体" w:hAnsi="宋体" w:eastAsia="宋体" w:cs="宋体"/>
          <w:b/>
          <w:bCs/>
          <w:color w:val="auto"/>
          <w:sz w:val="24"/>
          <w:highlight w:val="none"/>
        </w:rPr>
      </w:pPr>
      <w:bookmarkStart w:id="123" w:name="_Toc1322"/>
      <w:r>
        <w:rPr>
          <w:rFonts w:hint="eastAsia" w:ascii="宋体" w:hAnsi="宋体" w:eastAsia="宋体" w:cs="宋体"/>
          <w:b/>
          <w:bCs/>
          <w:color w:val="auto"/>
          <w:sz w:val="24"/>
          <w:highlight w:val="none"/>
        </w:rPr>
        <w:t>33、需要补充的其他内容</w:t>
      </w:r>
      <w:bookmarkEnd w:id="123"/>
    </w:p>
    <w:p w14:paraId="0CE136D9">
      <w:pPr>
        <w:pStyle w:val="13"/>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33.1本磋商文件解释规则详见“供应商须知前附表”。</w:t>
      </w:r>
    </w:p>
    <w:p w14:paraId="2CBB68F7">
      <w:pPr>
        <w:pStyle w:val="13"/>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33.2 其他事项详见“供应商须知前附表”。</w:t>
      </w:r>
    </w:p>
    <w:p w14:paraId="2CF1DF61">
      <w:pPr>
        <w:pStyle w:val="13"/>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33.3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4"/>
          <w:szCs w:val="24"/>
          <w:highlight w:val="none"/>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eastAsia="宋体" w:cs="宋体"/>
          <w:color w:val="auto"/>
          <w:kern w:val="2"/>
          <w:sz w:val="24"/>
          <w:szCs w:val="24"/>
          <w:highlight w:val="none"/>
        </w:rPr>
        <w:t>，享受本文件规定的中小企业扶持政策。</w:t>
      </w:r>
    </w:p>
    <w:p w14:paraId="32BD1D20">
      <w:pPr>
        <w:pStyle w:val="13"/>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以联合体形式参加政府采购活动，联合体各方均为中小企业的，联合体视同中小企业。其中，联合体各方均为小微企业的，联合体视同小微企业。</w:t>
      </w:r>
    </w:p>
    <w:p w14:paraId="08084129">
      <w:pPr>
        <w:pStyle w:val="13"/>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依据本文件规定享受扶持政策获得政府采购合同的，小微企业不得将合同分包给大中型企业，中型企业不得将合同分包给大型企业。</w:t>
      </w:r>
    </w:p>
    <w:p w14:paraId="65DE1D63">
      <w:pPr>
        <w:pStyle w:val="13"/>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33.4采购标的对应的中小企业划分标准所属行业为：软件和信息技术服务业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工业。</w:t>
      </w:r>
    </w:p>
    <w:p w14:paraId="6DB4BC1B">
      <w:pPr>
        <w:pStyle w:val="13"/>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33.5在政府采购活动中推广使用电子保承的通知：根据《广西壮族自治区财政厅关于在政府采购活动中推广使用电子保函的通知》(桂财采(2023)92号)、贺州市财政局关于在政府采购活动中推广使用电子保函的通知文件的精神，为中小企业参与政府采购活动提供便和，切实减轻企业负担，进一步优化政府采购营商环境在本区实施的政府采购活动中，项目如采用了投标保证金保函、约保证金保函及预付款保函的部分，均鼓励采职政府采购电了保承的形式。电了保函有关业务操作流程和手册可从“广西政府采购金融服务平台”查阅下载，供应商在电子保函的申请、使用、查看应用过程中遇到问题可咨询技术支撑方:4009039583。</w:t>
      </w:r>
    </w:p>
    <w:p w14:paraId="4ED8C2A1">
      <w:pPr>
        <w:pStyle w:val="13"/>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33.6进一步推行“政采贷”工作的通知：根据《贺州市财政局关于进一步推行“政采贷”工作的通知》(贺财采(2024)3号)，为有效缓解中小微企业融资难、融资贵问题，如政府采购中标的供应商存在融资需求，在中标公告发布后，可通过“广西政府采购金融服务平台””进行合同融资预申请。相关事宜请跟贺州市财政局政府采购监督管理科联系，联系电话:0774-5135553、5131068。</w:t>
      </w:r>
      <w:r>
        <w:rPr>
          <w:rFonts w:hint="eastAsia" w:ascii="宋体" w:hAnsi="宋体" w:eastAsia="宋体" w:cs="宋体"/>
          <w:b/>
          <w:color w:val="auto"/>
          <w:highlight w:val="none"/>
        </w:rPr>
        <w:br w:type="page"/>
      </w:r>
      <w:r>
        <w:rPr>
          <w:rFonts w:hint="eastAsia" w:ascii="宋体" w:hAnsi="宋体" w:eastAsia="宋体" w:cs="宋体"/>
          <w:bCs/>
          <w:color w:val="auto"/>
          <w:sz w:val="32"/>
          <w:szCs w:val="32"/>
          <w:highlight w:val="none"/>
        </w:rPr>
        <w:t>附件1：</w:t>
      </w:r>
    </w:p>
    <w:p w14:paraId="5934217F">
      <w:pPr>
        <w:widowControl/>
        <w:shd w:val="clear" w:color="auto" w:fill="FFFFFF"/>
        <w:spacing w:line="480" w:lineRule="atLeast"/>
        <w:jc w:val="center"/>
        <w:outlineLvl w:val="0"/>
        <w:rPr>
          <w:rFonts w:hint="eastAsia" w:ascii="宋体" w:hAnsi="宋体" w:eastAsia="宋体" w:cs="宋体"/>
          <w:color w:val="auto"/>
          <w:kern w:val="0"/>
          <w:sz w:val="32"/>
          <w:szCs w:val="32"/>
          <w:highlight w:val="none"/>
        </w:rPr>
      </w:pPr>
      <w:bookmarkStart w:id="124" w:name="_Toc27790"/>
      <w:bookmarkStart w:id="125" w:name="_Toc23443"/>
      <w:r>
        <w:rPr>
          <w:rFonts w:hint="eastAsia" w:ascii="宋体" w:hAnsi="宋体" w:eastAsia="宋体" w:cs="宋体"/>
          <w:b/>
          <w:bCs/>
          <w:color w:val="auto"/>
          <w:kern w:val="0"/>
          <w:sz w:val="32"/>
          <w:szCs w:val="32"/>
          <w:highlight w:val="none"/>
        </w:rPr>
        <w:t>广西壮族自治区政府采购项目合同验收书（格式）</w:t>
      </w:r>
      <w:bookmarkEnd w:id="124"/>
      <w:bookmarkEnd w:id="125"/>
    </w:p>
    <w:p w14:paraId="0BA206D9">
      <w:pPr>
        <w:widowControl/>
        <w:shd w:val="clear" w:color="auto" w:fill="FFFFFF"/>
        <w:spacing w:line="480" w:lineRule="atLeast"/>
        <w:jc w:val="center"/>
        <w:rPr>
          <w:rFonts w:hint="eastAsia" w:ascii="宋体" w:hAnsi="宋体" w:eastAsia="宋体" w:cs="宋体"/>
          <w:color w:val="auto"/>
          <w:kern w:val="0"/>
          <w:sz w:val="32"/>
          <w:szCs w:val="32"/>
          <w:highlight w:val="none"/>
        </w:rPr>
      </w:pPr>
    </w:p>
    <w:p w14:paraId="00F2B186">
      <w:pPr>
        <w:widowControl/>
        <w:shd w:val="clear" w:color="auto" w:fill="FFFFFF"/>
        <w:snapToGrid w:val="0"/>
        <w:spacing w:line="320" w:lineRule="atLeast"/>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根据政府采购项目（</w:t>
      </w:r>
      <w:r>
        <w:rPr>
          <w:rFonts w:hint="eastAsia" w:ascii="宋体" w:hAnsi="宋体" w:eastAsia="宋体" w:cs="宋体"/>
          <w:color w:val="auto"/>
          <w:kern w:val="0"/>
          <w:sz w:val="24"/>
          <w:szCs w:val="24"/>
          <w:highlight w:val="none"/>
          <w:u w:val="single"/>
        </w:rPr>
        <w:t>采购合同编号：</w:t>
      </w:r>
      <w:r>
        <w:rPr>
          <w:rFonts w:hint="eastAsia" w:ascii="宋体" w:hAnsi="宋体" w:eastAsia="宋体" w:cs="宋体"/>
          <w:color w:val="auto"/>
          <w:kern w:val="0"/>
          <w:sz w:val="24"/>
          <w:szCs w:val="24"/>
          <w:highlight w:val="none"/>
          <w:u w:val="single"/>
        </w:rPr>
        <w:softHyphen/>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）的约定，我单位对（</w:t>
      </w:r>
      <w:r>
        <w:rPr>
          <w:rFonts w:hint="eastAsia" w:ascii="宋体" w:hAnsi="宋体" w:eastAsia="宋体" w:cs="宋体"/>
          <w:color w:val="auto"/>
          <w:kern w:val="0"/>
          <w:sz w:val="24"/>
          <w:szCs w:val="24"/>
          <w:highlight w:val="none"/>
          <w:u w:val="single"/>
        </w:rPr>
        <w:t xml:space="preserve"> 项目名称 </w:t>
      </w:r>
      <w:r>
        <w:rPr>
          <w:rFonts w:hint="eastAsia" w:ascii="宋体" w:hAnsi="宋体" w:eastAsia="宋体" w:cs="宋体"/>
          <w:color w:val="auto"/>
          <w:kern w:val="0"/>
          <w:sz w:val="24"/>
          <w:szCs w:val="24"/>
          <w:highlight w:val="none"/>
        </w:rPr>
        <w:t>） 政府采购项目成交供应商（</w:t>
      </w:r>
      <w:r>
        <w:rPr>
          <w:rFonts w:hint="eastAsia" w:ascii="宋体" w:hAnsi="宋体" w:eastAsia="宋体" w:cs="宋体"/>
          <w:color w:val="auto"/>
          <w:kern w:val="0"/>
          <w:sz w:val="24"/>
          <w:szCs w:val="24"/>
          <w:highlight w:val="none"/>
          <w:u w:val="single"/>
        </w:rPr>
        <w:t xml:space="preserve"> 公司名称 </w:t>
      </w:r>
      <w:r>
        <w:rPr>
          <w:rFonts w:hint="eastAsia" w:ascii="宋体" w:hAnsi="宋体" w:eastAsia="宋体" w:cs="宋体"/>
          <w:color w:val="auto"/>
          <w:kern w:val="0"/>
          <w:sz w:val="24"/>
          <w:szCs w:val="24"/>
          <w:highlight w:val="none"/>
        </w:rPr>
        <w:t>） 提供的货物（或者工程、服务）进行了验收，验收情况如下：</w:t>
      </w:r>
    </w:p>
    <w:tbl>
      <w:tblPr>
        <w:tblStyle w:val="22"/>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79F42474">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noWrap w:val="0"/>
            <w:vAlign w:val="center"/>
          </w:tcPr>
          <w:p w14:paraId="6653EFA8">
            <w:pPr>
              <w:widowControl/>
              <w:snapToGrid w:val="0"/>
              <w:spacing w:before="100" w:beforeAutospacing="1" w:after="100" w:afterAutospacing="1" w:line="320" w:lineRule="atLeast"/>
              <w:ind w:firstLine="5"/>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验收方式：</w:t>
            </w:r>
          </w:p>
        </w:tc>
        <w:tc>
          <w:tcPr>
            <w:tcW w:w="5193" w:type="dxa"/>
            <w:gridSpan w:val="6"/>
            <w:tcBorders>
              <w:top w:val="single" w:color="auto" w:sz="8" w:space="0"/>
              <w:left w:val="nil"/>
              <w:bottom w:val="single" w:color="auto" w:sz="8" w:space="0"/>
              <w:right w:val="single" w:color="auto" w:sz="8" w:space="0"/>
            </w:tcBorders>
            <w:noWrap w:val="0"/>
            <w:vAlign w:val="center"/>
          </w:tcPr>
          <w:p w14:paraId="2CFC9BDC">
            <w:pPr>
              <w:widowControl/>
              <w:snapToGrid w:val="0"/>
              <w:spacing w:before="100" w:beforeAutospacing="1" w:after="100" w:afterAutospacing="1" w:line="32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sym w:font="Wingdings 2" w:char="00A3"/>
            </w:r>
            <w:r>
              <w:rPr>
                <w:rFonts w:hint="eastAsia" w:ascii="宋体" w:hAnsi="宋体" w:eastAsia="宋体" w:cs="宋体"/>
                <w:color w:val="auto"/>
                <w:kern w:val="0"/>
                <w:sz w:val="24"/>
                <w:szCs w:val="24"/>
                <w:highlight w:val="none"/>
              </w:rPr>
              <w:t xml:space="preserve">自行验收 </w:t>
            </w:r>
            <w:r>
              <w:rPr>
                <w:rFonts w:hint="eastAsia" w:ascii="宋体" w:hAnsi="宋体" w:eastAsia="宋体" w:cs="宋体"/>
                <w:color w:val="auto"/>
                <w:kern w:val="0"/>
                <w:sz w:val="24"/>
                <w:szCs w:val="24"/>
                <w:highlight w:val="none"/>
              </w:rPr>
              <w:sym w:font="Wingdings 2" w:char="00A3"/>
            </w:r>
            <w:r>
              <w:rPr>
                <w:rFonts w:hint="eastAsia" w:ascii="宋体" w:hAnsi="宋体" w:eastAsia="宋体" w:cs="宋体"/>
                <w:color w:val="auto"/>
                <w:kern w:val="0"/>
                <w:sz w:val="24"/>
                <w:szCs w:val="24"/>
                <w:highlight w:val="none"/>
              </w:rPr>
              <w:t>委托验收</w:t>
            </w:r>
          </w:p>
        </w:tc>
      </w:tr>
      <w:tr w14:paraId="3E6D21F1">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noWrap w:val="0"/>
            <w:vAlign w:val="center"/>
          </w:tcPr>
          <w:p w14:paraId="5C9C11E6">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2448" w:type="dxa"/>
            <w:gridSpan w:val="2"/>
            <w:tcBorders>
              <w:top w:val="nil"/>
              <w:left w:val="nil"/>
              <w:bottom w:val="single" w:color="auto" w:sz="8" w:space="0"/>
              <w:right w:val="single" w:color="auto" w:sz="8" w:space="0"/>
            </w:tcBorders>
            <w:noWrap w:val="0"/>
            <w:vAlign w:val="center"/>
          </w:tcPr>
          <w:p w14:paraId="6A006AFC">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名称</w:t>
            </w:r>
          </w:p>
        </w:tc>
        <w:tc>
          <w:tcPr>
            <w:tcW w:w="2902" w:type="dxa"/>
            <w:gridSpan w:val="3"/>
            <w:tcBorders>
              <w:top w:val="nil"/>
              <w:left w:val="nil"/>
              <w:bottom w:val="single" w:color="auto" w:sz="8" w:space="0"/>
              <w:right w:val="single" w:color="auto" w:sz="8" w:space="0"/>
            </w:tcBorders>
            <w:noWrap w:val="0"/>
            <w:vAlign w:val="center"/>
          </w:tcPr>
          <w:p w14:paraId="06274758">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672FC5B">
            <w:pPr>
              <w:widowControl/>
              <w:snapToGrid w:val="0"/>
              <w:spacing w:before="100" w:beforeAutospacing="1" w:after="100" w:afterAutospacing="1" w:line="32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1428" w:type="dxa"/>
            <w:tcBorders>
              <w:top w:val="nil"/>
              <w:left w:val="nil"/>
              <w:bottom w:val="single" w:color="auto" w:sz="8" w:space="0"/>
              <w:right w:val="single" w:color="auto" w:sz="8" w:space="0"/>
            </w:tcBorders>
            <w:noWrap w:val="0"/>
            <w:vAlign w:val="center"/>
          </w:tcPr>
          <w:p w14:paraId="5F1E0D0A">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金额</w:t>
            </w:r>
          </w:p>
        </w:tc>
      </w:tr>
      <w:tr w14:paraId="4E91383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1792CC60">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448" w:type="dxa"/>
            <w:gridSpan w:val="2"/>
            <w:tcBorders>
              <w:top w:val="nil"/>
              <w:left w:val="nil"/>
              <w:bottom w:val="single" w:color="auto" w:sz="8" w:space="0"/>
              <w:right w:val="single" w:color="auto" w:sz="8" w:space="0"/>
            </w:tcBorders>
            <w:noWrap w:val="0"/>
            <w:vAlign w:val="center"/>
          </w:tcPr>
          <w:p w14:paraId="401A163D">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902" w:type="dxa"/>
            <w:gridSpan w:val="3"/>
            <w:tcBorders>
              <w:top w:val="nil"/>
              <w:left w:val="nil"/>
              <w:bottom w:val="single" w:color="auto" w:sz="8" w:space="0"/>
              <w:right w:val="single" w:color="auto" w:sz="8" w:space="0"/>
            </w:tcBorders>
            <w:noWrap w:val="0"/>
            <w:vAlign w:val="center"/>
          </w:tcPr>
          <w:p w14:paraId="5144FA22">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863" w:type="dxa"/>
            <w:gridSpan w:val="2"/>
            <w:tcBorders>
              <w:top w:val="nil"/>
              <w:left w:val="nil"/>
              <w:bottom w:val="single" w:color="auto" w:sz="8" w:space="0"/>
              <w:right w:val="single" w:color="auto" w:sz="8" w:space="0"/>
            </w:tcBorders>
            <w:noWrap w:val="0"/>
            <w:vAlign w:val="center"/>
          </w:tcPr>
          <w:p w14:paraId="73450354">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1428" w:type="dxa"/>
            <w:tcBorders>
              <w:top w:val="nil"/>
              <w:left w:val="nil"/>
              <w:bottom w:val="single" w:color="auto" w:sz="8" w:space="0"/>
              <w:right w:val="single" w:color="auto" w:sz="8" w:space="0"/>
            </w:tcBorders>
            <w:noWrap w:val="0"/>
            <w:vAlign w:val="center"/>
          </w:tcPr>
          <w:p w14:paraId="44ACA07D">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14:paraId="7A759076">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22E1226A">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448" w:type="dxa"/>
            <w:gridSpan w:val="2"/>
            <w:tcBorders>
              <w:top w:val="nil"/>
              <w:left w:val="nil"/>
              <w:bottom w:val="single" w:color="auto" w:sz="8" w:space="0"/>
              <w:right w:val="single" w:color="auto" w:sz="8" w:space="0"/>
            </w:tcBorders>
            <w:noWrap w:val="0"/>
            <w:vAlign w:val="center"/>
          </w:tcPr>
          <w:p w14:paraId="3DACE2C8">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902" w:type="dxa"/>
            <w:gridSpan w:val="3"/>
            <w:tcBorders>
              <w:top w:val="nil"/>
              <w:left w:val="nil"/>
              <w:bottom w:val="single" w:color="auto" w:sz="8" w:space="0"/>
              <w:right w:val="single" w:color="auto" w:sz="8" w:space="0"/>
            </w:tcBorders>
            <w:noWrap w:val="0"/>
            <w:vAlign w:val="center"/>
          </w:tcPr>
          <w:p w14:paraId="0918B83E">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863" w:type="dxa"/>
            <w:gridSpan w:val="2"/>
            <w:tcBorders>
              <w:top w:val="nil"/>
              <w:left w:val="nil"/>
              <w:bottom w:val="single" w:color="auto" w:sz="8" w:space="0"/>
              <w:right w:val="single" w:color="auto" w:sz="8" w:space="0"/>
            </w:tcBorders>
            <w:noWrap w:val="0"/>
            <w:vAlign w:val="center"/>
          </w:tcPr>
          <w:p w14:paraId="65059B55">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1428" w:type="dxa"/>
            <w:tcBorders>
              <w:top w:val="nil"/>
              <w:left w:val="nil"/>
              <w:bottom w:val="single" w:color="auto" w:sz="8" w:space="0"/>
              <w:right w:val="single" w:color="auto" w:sz="8" w:space="0"/>
            </w:tcBorders>
            <w:noWrap w:val="0"/>
            <w:vAlign w:val="center"/>
          </w:tcPr>
          <w:p w14:paraId="4EBB8EA5">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14:paraId="0497B498">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4A1F58B6">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448" w:type="dxa"/>
            <w:gridSpan w:val="2"/>
            <w:tcBorders>
              <w:top w:val="nil"/>
              <w:left w:val="nil"/>
              <w:bottom w:val="single" w:color="auto" w:sz="8" w:space="0"/>
              <w:right w:val="single" w:color="auto" w:sz="8" w:space="0"/>
            </w:tcBorders>
            <w:noWrap w:val="0"/>
            <w:vAlign w:val="center"/>
          </w:tcPr>
          <w:p w14:paraId="7C0D225A">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902" w:type="dxa"/>
            <w:gridSpan w:val="3"/>
            <w:tcBorders>
              <w:top w:val="nil"/>
              <w:left w:val="nil"/>
              <w:bottom w:val="single" w:color="auto" w:sz="8" w:space="0"/>
              <w:right w:val="single" w:color="auto" w:sz="8" w:space="0"/>
            </w:tcBorders>
            <w:noWrap w:val="0"/>
            <w:vAlign w:val="center"/>
          </w:tcPr>
          <w:p w14:paraId="28635306">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863" w:type="dxa"/>
            <w:gridSpan w:val="2"/>
            <w:tcBorders>
              <w:top w:val="nil"/>
              <w:left w:val="nil"/>
              <w:bottom w:val="single" w:color="auto" w:sz="8" w:space="0"/>
              <w:right w:val="single" w:color="auto" w:sz="8" w:space="0"/>
            </w:tcBorders>
            <w:noWrap w:val="0"/>
            <w:vAlign w:val="center"/>
          </w:tcPr>
          <w:p w14:paraId="057F236C">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1428" w:type="dxa"/>
            <w:tcBorders>
              <w:top w:val="nil"/>
              <w:left w:val="nil"/>
              <w:bottom w:val="single" w:color="auto" w:sz="8" w:space="0"/>
              <w:right w:val="single" w:color="auto" w:sz="8" w:space="0"/>
            </w:tcBorders>
            <w:noWrap w:val="0"/>
            <w:vAlign w:val="center"/>
          </w:tcPr>
          <w:p w14:paraId="035DF03E">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14:paraId="07C832F6">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noWrap w:val="0"/>
            <w:vAlign w:val="center"/>
          </w:tcPr>
          <w:p w14:paraId="18994F81">
            <w:pPr>
              <w:widowControl/>
              <w:snapToGrid w:val="0"/>
              <w:spacing w:before="100" w:beforeAutospacing="1" w:after="100" w:afterAutospacing="1" w:line="320" w:lineRule="atLeast"/>
              <w:ind w:firstLine="5"/>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 计</w:t>
            </w:r>
          </w:p>
        </w:tc>
        <w:tc>
          <w:tcPr>
            <w:tcW w:w="863" w:type="dxa"/>
            <w:gridSpan w:val="2"/>
            <w:tcBorders>
              <w:top w:val="nil"/>
              <w:left w:val="nil"/>
              <w:bottom w:val="single" w:color="auto" w:sz="8" w:space="0"/>
              <w:right w:val="single" w:color="auto" w:sz="8" w:space="0"/>
            </w:tcBorders>
            <w:noWrap w:val="0"/>
            <w:vAlign w:val="center"/>
          </w:tcPr>
          <w:p w14:paraId="6C8994A1">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1428" w:type="dxa"/>
            <w:tcBorders>
              <w:top w:val="nil"/>
              <w:left w:val="nil"/>
              <w:bottom w:val="single" w:color="auto" w:sz="8" w:space="0"/>
              <w:right w:val="single" w:color="auto" w:sz="8" w:space="0"/>
            </w:tcBorders>
            <w:noWrap w:val="0"/>
            <w:vAlign w:val="center"/>
          </w:tcPr>
          <w:p w14:paraId="50AEB543">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14:paraId="4B787A15">
        <w:tblPrEx>
          <w:tblCellMar>
            <w:top w:w="0" w:type="dxa"/>
            <w:left w:w="0" w:type="dxa"/>
            <w:bottom w:w="0" w:type="dxa"/>
            <w:right w:w="0" w:type="dxa"/>
          </w:tblCellMar>
        </w:tblPrEx>
        <w:trPr>
          <w:trHeight w:val="528" w:hRule="atLeast"/>
          <w:jc w:val="center"/>
        </w:trPr>
        <w:tc>
          <w:tcPr>
            <w:tcW w:w="8445" w:type="dxa"/>
            <w:gridSpan w:val="9"/>
            <w:tcBorders>
              <w:top w:val="nil"/>
              <w:left w:val="single" w:color="auto" w:sz="8" w:space="0"/>
              <w:bottom w:val="single" w:color="auto" w:sz="8" w:space="0"/>
              <w:right w:val="single" w:color="auto" w:sz="8" w:space="0"/>
            </w:tcBorders>
            <w:noWrap w:val="0"/>
            <w:vAlign w:val="center"/>
          </w:tcPr>
          <w:p w14:paraId="5A3692D7">
            <w:pPr>
              <w:widowControl/>
              <w:snapToGrid w:val="0"/>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合计大写金额：  仟  佰  拾  万  仟  佰  拾  元</w:t>
            </w:r>
          </w:p>
        </w:tc>
      </w:tr>
      <w:tr w14:paraId="38209460">
        <w:tblPrEx>
          <w:tblCellMar>
            <w:top w:w="0" w:type="dxa"/>
            <w:left w:w="0" w:type="dxa"/>
            <w:bottom w:w="0" w:type="dxa"/>
            <w:right w:w="0" w:type="dxa"/>
          </w:tblCellMar>
        </w:tblPrEx>
        <w:trPr>
          <w:trHeight w:val="403" w:hRule="atLeast"/>
          <w:jc w:val="center"/>
        </w:trPr>
        <w:tc>
          <w:tcPr>
            <w:tcW w:w="1629" w:type="dxa"/>
            <w:gridSpan w:val="2"/>
            <w:tcBorders>
              <w:top w:val="nil"/>
              <w:left w:val="single" w:color="auto" w:sz="8" w:space="0"/>
              <w:bottom w:val="single" w:color="auto" w:sz="8" w:space="0"/>
              <w:right w:val="single" w:color="auto" w:sz="8" w:space="0"/>
            </w:tcBorders>
            <w:noWrap w:val="0"/>
            <w:vAlign w:val="center"/>
          </w:tcPr>
          <w:p w14:paraId="0934268C">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实际供货日期</w:t>
            </w:r>
          </w:p>
        </w:tc>
        <w:tc>
          <w:tcPr>
            <w:tcW w:w="2421" w:type="dxa"/>
            <w:gridSpan w:val="2"/>
            <w:tcBorders>
              <w:top w:val="nil"/>
              <w:left w:val="nil"/>
              <w:bottom w:val="single" w:color="auto" w:sz="8" w:space="0"/>
              <w:right w:val="single" w:color="auto" w:sz="8" w:space="0"/>
            </w:tcBorders>
            <w:noWrap w:val="0"/>
            <w:vAlign w:val="center"/>
          </w:tcPr>
          <w:p w14:paraId="7134C62F">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282" w:type="dxa"/>
            <w:gridSpan w:val="3"/>
            <w:tcBorders>
              <w:top w:val="nil"/>
              <w:left w:val="nil"/>
              <w:bottom w:val="single" w:color="auto" w:sz="8" w:space="0"/>
              <w:right w:val="single" w:color="auto" w:sz="8" w:space="0"/>
            </w:tcBorders>
            <w:noWrap w:val="0"/>
            <w:vAlign w:val="center"/>
          </w:tcPr>
          <w:p w14:paraId="193910FA">
            <w:pPr>
              <w:widowControl/>
              <w:snapToGrid w:val="0"/>
              <w:spacing w:before="100" w:beforeAutospacing="1" w:after="100" w:afterAutospacing="1" w:line="320" w:lineRule="atLeast"/>
              <w:ind w:firstLine="46"/>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合同交货验收日期</w:t>
            </w:r>
          </w:p>
        </w:tc>
        <w:tc>
          <w:tcPr>
            <w:tcW w:w="2113" w:type="dxa"/>
            <w:gridSpan w:val="2"/>
            <w:tcBorders>
              <w:top w:val="nil"/>
              <w:left w:val="nil"/>
              <w:bottom w:val="single" w:color="auto" w:sz="8" w:space="0"/>
              <w:right w:val="single" w:color="auto" w:sz="8" w:space="0"/>
            </w:tcBorders>
            <w:noWrap w:val="0"/>
            <w:vAlign w:val="center"/>
          </w:tcPr>
          <w:p w14:paraId="709818AE">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14:paraId="4ABC6734">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611F51E">
            <w:pPr>
              <w:widowControl/>
              <w:snapToGrid w:val="0"/>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验收具体内容</w:t>
            </w:r>
          </w:p>
        </w:tc>
        <w:tc>
          <w:tcPr>
            <w:tcW w:w="6816"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6889D">
            <w:pPr>
              <w:widowControl/>
              <w:snapToGrid w:val="0"/>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5503C947">
        <w:tblPrEx>
          <w:tblCellMar>
            <w:top w:w="0" w:type="dxa"/>
            <w:left w:w="0" w:type="dxa"/>
            <w:bottom w:w="0" w:type="dxa"/>
            <w:right w:w="0" w:type="dxa"/>
          </w:tblCellMar>
        </w:tblPrEx>
        <w:trPr>
          <w:trHeight w:val="719" w:hRule="atLeast"/>
          <w:jc w:val="center"/>
        </w:trPr>
        <w:tc>
          <w:tcPr>
            <w:tcW w:w="1629" w:type="dxa"/>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0BEC91F">
            <w:pPr>
              <w:widowControl/>
              <w:spacing w:before="100" w:beforeAutospacing="1" w:after="100" w:afterAutospacing="1" w:line="32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验收小组意见</w:t>
            </w:r>
          </w:p>
        </w:tc>
        <w:tc>
          <w:tcPr>
            <w:tcW w:w="6816" w:type="dxa"/>
            <w:gridSpan w:val="7"/>
            <w:tcBorders>
              <w:top w:val="nil"/>
              <w:left w:val="nil"/>
              <w:bottom w:val="single" w:color="auto" w:sz="8" w:space="0"/>
              <w:right w:val="single" w:color="auto" w:sz="8" w:space="0"/>
            </w:tcBorders>
            <w:noWrap w:val="0"/>
            <w:vAlign w:val="center"/>
          </w:tcPr>
          <w:p w14:paraId="5E4A487E">
            <w:pPr>
              <w:widowControl/>
              <w:spacing w:before="100" w:beforeAutospacing="1" w:after="100" w:afterAutospacing="1" w:line="320" w:lineRule="atLeas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验收结论性意见：</w:t>
            </w:r>
          </w:p>
        </w:tc>
      </w:tr>
      <w:tr w14:paraId="1A8BF438">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noWrap w:val="0"/>
            <w:vAlign w:val="center"/>
          </w:tcPr>
          <w:p w14:paraId="78F08941">
            <w:pPr>
              <w:widowControl/>
              <w:jc w:val="left"/>
              <w:rPr>
                <w:rFonts w:hint="eastAsia" w:ascii="宋体" w:hAnsi="宋体" w:eastAsia="宋体" w:cs="宋体"/>
                <w:color w:val="auto"/>
                <w:kern w:val="0"/>
                <w:sz w:val="24"/>
                <w:szCs w:val="24"/>
                <w:highlight w:val="none"/>
              </w:rPr>
            </w:pPr>
          </w:p>
        </w:tc>
        <w:tc>
          <w:tcPr>
            <w:tcW w:w="6816" w:type="dxa"/>
            <w:gridSpan w:val="7"/>
            <w:tcBorders>
              <w:top w:val="nil"/>
              <w:left w:val="nil"/>
              <w:bottom w:val="single" w:color="auto" w:sz="8" w:space="0"/>
              <w:right w:val="single" w:color="auto" w:sz="8" w:space="0"/>
            </w:tcBorders>
            <w:noWrap w:val="0"/>
            <w:vAlign w:val="center"/>
          </w:tcPr>
          <w:p w14:paraId="2F69D74B">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有异议的意见和说明理由：</w:t>
            </w:r>
          </w:p>
          <w:p w14:paraId="0D9366E0">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签字：</w:t>
            </w:r>
          </w:p>
        </w:tc>
      </w:tr>
      <w:tr w14:paraId="72C836C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694B63B">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验收小组成员签字：</w:t>
            </w:r>
          </w:p>
        </w:tc>
      </w:tr>
      <w:tr w14:paraId="5D13D4D8">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85D4214">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监督人员或者其他相关人员签字：</w:t>
            </w:r>
          </w:p>
          <w:p w14:paraId="79A1B030">
            <w:pPr>
              <w:widowControl/>
              <w:spacing w:before="100" w:beforeAutospacing="1" w:after="100" w:afterAutospacing="1" w:line="320" w:lineRule="atLeast"/>
              <w:ind w:firstLine="74"/>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或者受邀机构的意见（盖章）：</w:t>
            </w:r>
          </w:p>
        </w:tc>
      </w:tr>
      <w:tr w14:paraId="2EE3C6FC">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42B3E800">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成交供应商负责人签字或者盖章：</w:t>
            </w:r>
          </w:p>
          <w:p w14:paraId="031F0A6F">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p>
          <w:p w14:paraId="4934ECEC">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             年  月  日</w:t>
            </w:r>
          </w:p>
        </w:tc>
        <w:tc>
          <w:tcPr>
            <w:tcW w:w="4293" w:type="dxa"/>
            <w:gridSpan w:val="4"/>
            <w:tcBorders>
              <w:top w:val="nil"/>
              <w:left w:val="nil"/>
              <w:bottom w:val="single" w:color="auto" w:sz="8" w:space="0"/>
              <w:right w:val="single" w:color="auto" w:sz="8" w:space="0"/>
            </w:tcBorders>
            <w:noWrap w:val="0"/>
            <w:vAlign w:val="center"/>
          </w:tcPr>
          <w:p w14:paraId="471A6EF7">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采购人或者受托机构的意见（盖章）：</w:t>
            </w:r>
          </w:p>
          <w:p w14:paraId="2F7A4CF5">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p>
          <w:p w14:paraId="6EC0B17A">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              年  月  日</w:t>
            </w:r>
          </w:p>
        </w:tc>
      </w:tr>
    </w:tbl>
    <w:p w14:paraId="2695043C">
      <w:pPr>
        <w:outlineLvl w:val="9"/>
        <w:rPr>
          <w:rFonts w:hint="eastAsia" w:ascii="宋体" w:hAnsi="宋体" w:eastAsia="宋体" w:cs="宋体"/>
          <w:b/>
          <w:bCs/>
          <w:color w:val="auto"/>
          <w:kern w:val="2"/>
          <w:sz w:val="32"/>
          <w:szCs w:val="32"/>
          <w:highlight w:val="none"/>
          <w:lang w:val="en-US" w:eastAsia="zh-CN" w:bidi="ar-SA"/>
        </w:rPr>
      </w:pPr>
      <w:bookmarkStart w:id="126" w:name="_Toc4306"/>
    </w:p>
    <w:bookmarkEnd w:id="126"/>
    <w:p w14:paraId="1A1C5A28">
      <w:pPr>
        <w:widowControl/>
        <w:spacing w:line="360" w:lineRule="exact"/>
        <w:ind w:firstLine="413"/>
        <w:jc w:val="both"/>
        <w:outlineLvl w:val="0"/>
        <w:rPr>
          <w:rFonts w:hint="eastAsia" w:ascii="宋体" w:hAnsi="宋体" w:eastAsia="宋体" w:cs="宋体"/>
          <w:b/>
          <w:bCs/>
          <w:color w:val="auto"/>
          <w:sz w:val="32"/>
          <w:szCs w:val="32"/>
          <w:highlight w:val="none"/>
        </w:rPr>
      </w:pPr>
    </w:p>
    <w:p w14:paraId="560E734E">
      <w:pPr>
        <w:pStyle w:val="3"/>
        <w:numPr>
          <w:ilvl w:val="0"/>
          <w:numId w:val="0"/>
        </w:numPr>
        <w:jc w:val="center"/>
        <w:rPr>
          <w:rFonts w:hint="eastAsia" w:ascii="宋体" w:hAnsi="宋体" w:eastAsia="宋体" w:cs="宋体"/>
          <w:color w:val="auto"/>
          <w:highlight w:val="none"/>
        </w:rPr>
      </w:pPr>
      <w:bookmarkStart w:id="127" w:name="_Toc16125"/>
      <w:r>
        <w:rPr>
          <w:rFonts w:hint="eastAsia" w:ascii="宋体" w:hAnsi="宋体" w:eastAsia="宋体" w:cs="宋体"/>
          <w:b/>
          <w:bCs/>
          <w:color w:val="auto"/>
          <w:kern w:val="2"/>
          <w:sz w:val="32"/>
          <w:szCs w:val="32"/>
          <w:highlight w:val="none"/>
          <w:lang w:val="en-US" w:eastAsia="zh-CN" w:bidi="ar-SA"/>
        </w:rPr>
        <w:t xml:space="preserve">第三章 </w:t>
      </w:r>
      <w:r>
        <w:rPr>
          <w:rFonts w:hint="eastAsia" w:ascii="宋体" w:hAnsi="宋体" w:eastAsia="宋体" w:cs="宋体"/>
          <w:color w:val="auto"/>
          <w:highlight w:val="none"/>
        </w:rPr>
        <w:t>采购需求和说明</w:t>
      </w:r>
      <w:bookmarkEnd w:id="127"/>
    </w:p>
    <w:p w14:paraId="54B367E6">
      <w:pPr>
        <w:spacing w:line="42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说明：</w:t>
      </w:r>
    </w:p>
    <w:p w14:paraId="7DF89C37">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 为落实政府采购政策需满足的要求（根据项目实际情况填写内容）</w:t>
      </w:r>
    </w:p>
    <w:p w14:paraId="75D26D1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（1）本</w:t>
      </w:r>
      <w:r>
        <w:rPr>
          <w:rFonts w:hint="eastAsia" w:ascii="宋体" w:hAnsi="宋体" w:eastAsia="宋体" w:cs="宋体"/>
          <w:color w:val="auto"/>
          <w:highlight w:val="none"/>
          <w:lang w:val="en-US" w:eastAsia="zh-CN"/>
        </w:rPr>
        <w:t>竞争性磋商</w:t>
      </w:r>
      <w:r>
        <w:rPr>
          <w:rFonts w:hint="eastAsia" w:ascii="宋体" w:hAnsi="宋体" w:eastAsia="宋体" w:cs="宋体"/>
          <w:color w:val="auto"/>
          <w:highlight w:val="none"/>
        </w:rPr>
        <w:t>文件所称中小企业必须符合《政府采购促进中小企业发展管理办法》（财库〔2020〕46号）的规定。</w:t>
      </w:r>
    </w:p>
    <w:p w14:paraId="28644B91">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公章），否则响应文件作无效处理。如本项目包含的配套货物属于品目清单内非标注“★”的产品时，应优先采购，具体详见“第四章 评审程序和评定成交的标准”。</w:t>
      </w:r>
    </w:p>
    <w:p w14:paraId="2AE4FB67">
      <w:pPr>
        <w:spacing w:line="360" w:lineRule="auto"/>
        <w:ind w:firstLine="422" w:firstLineChars="200"/>
        <w:jc w:val="left"/>
        <w:rPr>
          <w:rFonts w:hint="eastAsia" w:ascii="宋体" w:hAnsi="宋体" w:eastAsia="宋体" w:cs="宋体"/>
          <w:color w:val="auto"/>
          <w:highlight w:val="none"/>
        </w:rPr>
      </w:pPr>
      <w:r>
        <w:rPr>
          <w:rFonts w:hint="eastAsia" w:ascii="宋体" w:hAnsi="宋体" w:eastAsia="宋体" w:cs="宋体"/>
          <w:b/>
          <w:color w:val="auto"/>
          <w:highlight w:val="none"/>
        </w:rPr>
        <w:t>（3）</w:t>
      </w:r>
      <w:r>
        <w:rPr>
          <w:rFonts w:hint="eastAsia" w:ascii="宋体" w:hAnsi="宋体" w:eastAsia="宋体" w:cs="宋体"/>
          <w:b/>
          <w:bCs/>
          <w:color w:val="auto"/>
          <w:highlight w:val="none"/>
        </w:rPr>
        <w:t>本</w:t>
      </w:r>
      <w:r>
        <w:rPr>
          <w:rFonts w:hint="eastAsia" w:ascii="宋体" w:hAnsi="宋体" w:eastAsia="宋体" w:cs="宋体"/>
          <w:b/>
          <w:color w:val="auto"/>
          <w:highlight w:val="none"/>
        </w:rPr>
        <w:t>项目采购范围包含列入《网络关键设备和网络安全专用产品目录》的网络安全专用产品的，应当按照《信息安全技术 网络安全专用产品安全技术要求》等相关国家标准的强制性要求，提供具备资格的机构安全认证合格或者安全检测证明材料（加盖供应商电子公章），否则响应文件作无效处理。</w:t>
      </w:r>
    </w:p>
    <w:p w14:paraId="3D638C57">
      <w:pPr>
        <w:spacing w:line="360" w:lineRule="auto"/>
        <w:ind w:firstLine="424" w:firstLineChars="202"/>
        <w:jc w:val="left"/>
        <w:rPr>
          <w:rFonts w:hint="eastAsia" w:ascii="宋体" w:hAnsi="宋体" w:eastAsia="宋体" w:cs="宋体"/>
          <w:b/>
          <w:bCs/>
          <w:color w:val="auto"/>
          <w:highlight w:val="none"/>
        </w:rPr>
      </w:pPr>
      <w:r>
        <w:rPr>
          <w:rFonts w:hint="eastAsia" w:ascii="宋体" w:hAnsi="宋体" w:eastAsia="宋体" w:cs="宋体"/>
          <w:color w:val="auto"/>
          <w:highlight w:val="none"/>
        </w:rPr>
        <w:t xml:space="preserve">2. </w:t>
      </w:r>
      <w:r>
        <w:rPr>
          <w:rFonts w:hint="eastAsia" w:ascii="宋体" w:hAnsi="宋体" w:eastAsia="宋体" w:cs="宋体"/>
          <w:b/>
          <w:bCs/>
          <w:color w:val="auto"/>
          <w:highlight w:val="none"/>
        </w:rPr>
        <w:t>“实质性要求”是指采购需求中带</w:t>
      </w:r>
      <w:r>
        <w:rPr>
          <w:rFonts w:hint="eastAsia" w:ascii="宋体" w:hAnsi="宋体" w:eastAsia="宋体" w:cs="宋体"/>
          <w:color w:val="auto"/>
          <w:highlight w:val="none"/>
        </w:rPr>
        <w:t>“</w:t>
      </w:r>
      <w:r>
        <w:rPr>
          <w:rFonts w:hint="eastAsia" w:ascii="宋体" w:hAnsi="宋体" w:eastAsia="宋体" w:cs="宋体"/>
          <w:b/>
          <w:bCs/>
          <w:color w:val="auto"/>
          <w:szCs w:val="21"/>
          <w:highlight w:val="none"/>
        </w:rPr>
        <w:t>▲</w:t>
      </w:r>
      <w:r>
        <w:rPr>
          <w:rFonts w:hint="eastAsia" w:ascii="宋体" w:hAnsi="宋体" w:eastAsia="宋体" w:cs="宋体"/>
          <w:color w:val="auto"/>
          <w:highlight w:val="none"/>
        </w:rPr>
        <w:t>”</w:t>
      </w:r>
      <w:r>
        <w:rPr>
          <w:rFonts w:hint="eastAsia" w:ascii="宋体" w:hAnsi="宋体" w:eastAsia="宋体" w:cs="宋体"/>
          <w:b/>
          <w:bCs/>
          <w:color w:val="auto"/>
          <w:highlight w:val="none"/>
        </w:rPr>
        <w:t>的条款或者不能负偏离的条款或者已经指明不满足按响应文件作无效处理的条款。</w:t>
      </w:r>
    </w:p>
    <w:p w14:paraId="29C8D1C6">
      <w:pPr>
        <w:spacing w:line="360" w:lineRule="auto"/>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采购需求中出现的品牌、型号或者生产供应商仅起参考作用，不属于指定品牌、型号或者生产供应商的情形。供应商可参照或者选用其他相当的品牌、型号或者生产供应商替代。如某一技术参数或要求为某一品牌所特有，则该参数将不作为实质性响应条件，不做废标条件，也不作扣分条件。</w:t>
      </w:r>
    </w:p>
    <w:p w14:paraId="48B22018">
      <w:pPr>
        <w:spacing w:line="360" w:lineRule="auto"/>
        <w:ind w:firstLine="424" w:firstLineChars="202"/>
        <w:jc w:val="left"/>
        <w:rPr>
          <w:rFonts w:hint="eastAsia" w:ascii="宋体" w:hAnsi="宋体" w:eastAsia="宋体" w:cs="宋体"/>
          <w:color w:val="auto"/>
          <w:szCs w:val="21"/>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w:t>
      </w:r>
      <w:r>
        <w:rPr>
          <w:rFonts w:hint="eastAsia" w:ascii="宋体" w:hAnsi="宋体" w:eastAsia="宋体" w:cs="宋体"/>
          <w:color w:val="auto"/>
          <w:highlight w:val="none"/>
        </w:rPr>
        <w:t xml:space="preserve"> 供应商必须自行为其竞标产品侵犯他人的知识产权或者专利成果的行为承担相应法律责任。采购人在中华人民共和国境内使用供应商提供的产品及服务时免受第三方提出的侵犯其专利权或其它知识产权的起诉。如果第三方提出侵权指控，中标人应承担由此而引起的一切法律责任和费用。供应商在响应文件中提供承诺或证明材料。</w:t>
      </w:r>
    </w:p>
    <w:p w14:paraId="79B988C4">
      <w:pPr>
        <w:pStyle w:val="8"/>
        <w:spacing w:line="420" w:lineRule="exact"/>
        <w:rPr>
          <w:rFonts w:hint="eastAsia" w:ascii="宋体" w:hAnsi="宋体" w:eastAsia="宋体" w:cs="宋体"/>
          <w:color w:val="auto"/>
          <w:highlight w:val="none"/>
        </w:rPr>
      </w:pPr>
    </w:p>
    <w:p w14:paraId="5C5400E3">
      <w:pPr>
        <w:pStyle w:val="8"/>
        <w:spacing w:line="420" w:lineRule="exact"/>
        <w:rPr>
          <w:rFonts w:hint="eastAsia" w:ascii="宋体" w:hAnsi="宋体" w:eastAsia="宋体" w:cs="宋体"/>
          <w:color w:val="auto"/>
          <w:highlight w:val="none"/>
        </w:rPr>
      </w:pPr>
    </w:p>
    <w:p w14:paraId="2C623D5A">
      <w:pPr>
        <w:pStyle w:val="8"/>
        <w:spacing w:line="420" w:lineRule="exact"/>
        <w:rPr>
          <w:rFonts w:hint="eastAsia" w:ascii="宋体" w:hAnsi="宋体" w:eastAsia="宋体" w:cs="宋体"/>
          <w:color w:val="auto"/>
          <w:highlight w:val="none"/>
        </w:rPr>
      </w:pPr>
    </w:p>
    <w:p w14:paraId="28342267">
      <w:pPr>
        <w:pStyle w:val="8"/>
        <w:spacing w:line="420" w:lineRule="exact"/>
        <w:rPr>
          <w:rFonts w:hint="eastAsia" w:ascii="宋体" w:hAnsi="宋体" w:eastAsia="宋体" w:cs="宋体"/>
          <w:color w:val="auto"/>
          <w:highlight w:val="none"/>
        </w:rPr>
      </w:pPr>
    </w:p>
    <w:p w14:paraId="1B09A5A6">
      <w:pPr>
        <w:jc w:val="left"/>
        <w:rPr>
          <w:rFonts w:hint="eastAsia"/>
          <w:color w:val="auto"/>
          <w:highlight w:val="none"/>
          <w:lang w:val="en-US" w:eastAsia="zh-CN"/>
        </w:rPr>
      </w:pPr>
    </w:p>
    <w:p w14:paraId="69A19B01">
      <w:pPr>
        <w:jc w:val="left"/>
        <w:rPr>
          <w:rFonts w:hint="eastAsia"/>
          <w:color w:val="auto"/>
          <w:highlight w:val="none"/>
        </w:rPr>
      </w:pPr>
      <w:r>
        <w:rPr>
          <w:rFonts w:hint="eastAsia" w:ascii="黑体" w:hAnsi="黑体" w:eastAsia="黑体" w:cs="黑体"/>
          <w:color w:val="auto"/>
          <w:sz w:val="32"/>
          <w:szCs w:val="32"/>
          <w:highlight w:val="none"/>
          <w:lang w:val="en-US" w:eastAsia="zh-CN"/>
        </w:rPr>
        <w:t xml:space="preserve">一、技术参数 </w:t>
      </w:r>
    </w:p>
    <w:tbl>
      <w:tblPr>
        <w:tblStyle w:val="23"/>
        <w:tblW w:w="10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72"/>
        <w:gridCol w:w="5625"/>
        <w:gridCol w:w="681"/>
        <w:gridCol w:w="793"/>
        <w:gridCol w:w="793"/>
        <w:gridCol w:w="793"/>
      </w:tblGrid>
      <w:tr w14:paraId="6E00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dxa"/>
            <w:vAlign w:val="center"/>
          </w:tcPr>
          <w:p w14:paraId="6001879F">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序号</w:t>
            </w:r>
          </w:p>
        </w:tc>
        <w:tc>
          <w:tcPr>
            <w:tcW w:w="1072" w:type="dxa"/>
            <w:vAlign w:val="center"/>
          </w:tcPr>
          <w:p w14:paraId="529FA450">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default" w:eastAsia="宋体"/>
                <w:color w:val="auto"/>
                <w:highlight w:val="none"/>
                <w:lang w:val="en-US" w:eastAsia="zh-CN"/>
              </w:rPr>
            </w:pPr>
            <w:r>
              <w:rPr>
                <w:rFonts w:hint="eastAsia"/>
                <w:color w:val="auto"/>
                <w:highlight w:val="none"/>
                <w:lang w:val="en-US" w:eastAsia="zh-CN"/>
              </w:rPr>
              <w:t>标的名称</w:t>
            </w:r>
          </w:p>
        </w:tc>
        <w:tc>
          <w:tcPr>
            <w:tcW w:w="5625" w:type="dxa"/>
            <w:vAlign w:val="center"/>
          </w:tcPr>
          <w:p w14:paraId="2AB19B64">
            <w:pPr>
              <w:keepNext w:val="0"/>
              <w:keepLines w:val="0"/>
              <w:pageBreakBefore w:val="0"/>
              <w:widowControl w:val="0"/>
              <w:tabs>
                <w:tab w:val="left" w:pos="1379"/>
              </w:tabs>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详细参数</w:t>
            </w:r>
          </w:p>
        </w:tc>
        <w:tc>
          <w:tcPr>
            <w:tcW w:w="681" w:type="dxa"/>
            <w:vAlign w:val="center"/>
          </w:tcPr>
          <w:p w14:paraId="089CE8B0">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数量</w:t>
            </w:r>
          </w:p>
        </w:tc>
        <w:tc>
          <w:tcPr>
            <w:tcW w:w="793" w:type="dxa"/>
            <w:vAlign w:val="center"/>
          </w:tcPr>
          <w:p w14:paraId="35218471">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单位</w:t>
            </w:r>
          </w:p>
        </w:tc>
        <w:tc>
          <w:tcPr>
            <w:tcW w:w="793" w:type="dxa"/>
            <w:vAlign w:val="center"/>
          </w:tcPr>
          <w:p w14:paraId="457B759F">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color w:val="auto"/>
                <w:highlight w:val="none"/>
              </w:rPr>
            </w:pPr>
            <w:r>
              <w:rPr>
                <w:rFonts w:hint="eastAsia" w:ascii="宋体" w:hAnsi="宋体" w:eastAsia="宋体" w:cs="宋体"/>
                <w:b/>
                <w:bCs/>
                <w:color w:val="auto"/>
                <w:sz w:val="21"/>
                <w:szCs w:val="21"/>
                <w:highlight w:val="none"/>
              </w:rPr>
              <w:t>所属行业</w:t>
            </w:r>
          </w:p>
        </w:tc>
        <w:tc>
          <w:tcPr>
            <w:tcW w:w="793" w:type="dxa"/>
            <w:vAlign w:val="center"/>
          </w:tcPr>
          <w:p w14:paraId="4FBF80FC">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备注</w:t>
            </w:r>
          </w:p>
        </w:tc>
      </w:tr>
      <w:tr w14:paraId="5193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523" w:type="dxa"/>
            <w:vAlign w:val="center"/>
          </w:tcPr>
          <w:p w14:paraId="1A3B0D31">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1</w:t>
            </w:r>
          </w:p>
        </w:tc>
        <w:tc>
          <w:tcPr>
            <w:tcW w:w="1072" w:type="dxa"/>
            <w:vAlign w:val="center"/>
          </w:tcPr>
          <w:p w14:paraId="4AF9DC15">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国密门禁系统</w:t>
            </w:r>
          </w:p>
        </w:tc>
        <w:tc>
          <w:tcPr>
            <w:tcW w:w="5625" w:type="dxa"/>
          </w:tcPr>
          <w:p w14:paraId="579F7DF9">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1、符合密评要求的整体国密门禁一体化硬件网关，1U标准机架式，专用硬件平台和安全操作系统</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35ABA02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2、配置国密二级及以上加密卡，具有国密二级及以上密码模块认证证书，提供密码模块国密产品认证证书。</w:t>
            </w:r>
          </w:p>
          <w:p w14:paraId="4129D88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3、即插即用，无需与密码机或签名验签服务器联调。</w:t>
            </w:r>
          </w:p>
          <w:p w14:paraId="00EFA00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功能参数：</w:t>
            </w:r>
          </w:p>
          <w:p w14:paraId="3D8DC28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1、系统功能至少具备基础信息管理、消费业务管理、门禁业务管理、考勤业务管理、巡更业务管理、访客管理、报表与查询等功能。</w:t>
            </w:r>
          </w:p>
          <w:p w14:paraId="6EE96C57">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2、支持数据导入、导入查询功能，在有大量的部门数据、人员数据时，可以通过数据导入添加部门及人员。</w:t>
            </w:r>
          </w:p>
          <w:p w14:paraId="219E7779">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3、支持对门禁进出记录完整性保护，可通过页面直接查看完整性记录情况。门禁完整性的设计采用的SM2算法，提供产品的进出记录完整性保护实现的代码片段</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42F11C4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4、报表功能：按自定义时间加按可以按员工姓名，门，部门、工号等查询通行，拒绝明细表，未关门员工表。可以查询员工详细报表。</w:t>
            </w:r>
          </w:p>
          <w:p w14:paraId="28188AA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5、支持巡更任务的管理能力，巡更任务管理用来管理在线巡更的巡更人员、巡更事件、巡更任务等。</w:t>
            </w:r>
          </w:p>
          <w:p w14:paraId="4216A7AD">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6、授权管理，支持可进行分时段、分级别、分区域管理，权限组管理用来管理访问组、门组、时间段和假日设置，支持授权仅卡方式开门、卡+密码方式开门等。</w:t>
            </w:r>
          </w:p>
          <w:p w14:paraId="454A286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7、门禁管理系统软件应具有国家版权局颁发的软件著作权证书。</w:t>
            </w:r>
          </w:p>
          <w:p w14:paraId="512AC615">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8、为了实现项目更好的管理和对设备统一便捷的运维管理，国密门禁系统和视频监控安全产品，须为同一厂家</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2D926819">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9、支持配置文件离线加解密，密态文件支持任意位置存储，可离线定向解密；指纹认证通过后解锁交互界面执行解密操作</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1FD11CC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10、含国密门禁管理网关服务器（门禁管理系统+加密系统+完整性审计系统+服务器+加密卡），标配管理8门管理授权</w:t>
            </w:r>
          </w:p>
        </w:tc>
        <w:tc>
          <w:tcPr>
            <w:tcW w:w="681" w:type="dxa"/>
            <w:vAlign w:val="center"/>
          </w:tcPr>
          <w:p w14:paraId="10290700">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1</w:t>
            </w:r>
          </w:p>
        </w:tc>
        <w:tc>
          <w:tcPr>
            <w:tcW w:w="793" w:type="dxa"/>
            <w:vAlign w:val="center"/>
          </w:tcPr>
          <w:p w14:paraId="72420154">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套</w:t>
            </w:r>
          </w:p>
        </w:tc>
        <w:tc>
          <w:tcPr>
            <w:tcW w:w="793" w:type="dxa"/>
            <w:vAlign w:val="center"/>
          </w:tcPr>
          <w:p w14:paraId="4250603F">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vAlign w:val="center"/>
          </w:tcPr>
          <w:p w14:paraId="5BDBDB1E">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p>
        </w:tc>
      </w:tr>
      <w:tr w14:paraId="08DF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23" w:type="dxa"/>
            <w:vAlign w:val="center"/>
          </w:tcPr>
          <w:p w14:paraId="64D32326">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2</w:t>
            </w:r>
          </w:p>
        </w:tc>
        <w:tc>
          <w:tcPr>
            <w:tcW w:w="1072" w:type="dxa"/>
            <w:vAlign w:val="center"/>
          </w:tcPr>
          <w:p w14:paraId="4B73F3E8">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国密视频监控系统</w:t>
            </w:r>
          </w:p>
        </w:tc>
        <w:tc>
          <w:tcPr>
            <w:tcW w:w="5625" w:type="dxa"/>
          </w:tcPr>
          <w:p w14:paraId="21F03CC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1、内置国密二级安全芯片，支持国密SM1/SM2/SM3/SM4算法；支持海康、宇视、大华、华为等主流IPC、NVR产品的接入，可适配各种视频监控场景。</w:t>
            </w:r>
          </w:p>
          <w:p w14:paraId="351E5E88">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color w:val="auto"/>
                <w:highlight w:val="none"/>
              </w:rPr>
            </w:pPr>
            <w:r>
              <w:rPr>
                <w:rFonts w:hint="eastAsia"/>
                <w:color w:val="auto"/>
                <w:highlight w:val="none"/>
                <w:lang w:eastAsia="zh-CN"/>
              </w:rPr>
              <w:t>◆</w:t>
            </w:r>
            <w:r>
              <w:rPr>
                <w:rFonts w:hint="eastAsia"/>
                <w:color w:val="auto"/>
                <w:highlight w:val="none"/>
              </w:rPr>
              <w:t>2、产品应具有交换能力，提供的设备具备≥</w:t>
            </w:r>
            <w:r>
              <w:rPr>
                <w:rFonts w:hint="eastAsia"/>
                <w:color w:val="auto"/>
                <w:highlight w:val="none"/>
                <w:lang w:val="en-US" w:eastAsia="zh-CN"/>
              </w:rPr>
              <w:t>8</w:t>
            </w:r>
            <w:r>
              <w:rPr>
                <w:rFonts w:hint="eastAsia"/>
                <w:color w:val="auto"/>
                <w:highlight w:val="none"/>
              </w:rPr>
              <w:t>路10M/100M/1000M自适应以太网电口。支持至少</w:t>
            </w:r>
            <w:r>
              <w:rPr>
                <w:rFonts w:hint="eastAsia"/>
                <w:color w:val="auto"/>
                <w:highlight w:val="none"/>
                <w:lang w:val="en-US" w:eastAsia="zh-CN"/>
              </w:rPr>
              <w:t>16</w:t>
            </w:r>
            <w:r>
              <w:rPr>
                <w:rFonts w:hint="eastAsia"/>
                <w:color w:val="auto"/>
                <w:highlight w:val="none"/>
              </w:rPr>
              <w:t>路视频接入</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290AD38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3、产品内置视频数据安全与防护系统密码模块，串联于 IPC (网络摄像头)和 NVR(网络视频录像机)之间，具有密钥管理、视频数据加解密、视频数据签名验签功能；整机符合 GM/T0028《密码模块安全技术要求》安全等级第二级相关要求</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19D6246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4、支持TCP/UDP协议、SIP，兼容H.264和H.265编码协议；支持对符合GB/T28181的视频流进行传输的机密性保护。</w:t>
            </w:r>
          </w:p>
          <w:p w14:paraId="049D69A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5、视频数据完整性采用关键帧方式进行签名，能通过设备自身进行完整性抓包分析，查看签名值，验签公钥等信息，支持将上述信息导出为word文档功能。</w:t>
            </w:r>
          </w:p>
          <w:p w14:paraId="6F8BC8E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6、产品配置可选、即插即用、使用便捷、安全可控；设备部署不需改变原有网络架构，无需更换摄像头和NVR就可以实现视频数据的传输、存储进行机密性、完整性保护。</w:t>
            </w:r>
          </w:p>
          <w:p w14:paraId="75F8EA62">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7、具有国家权威机构颁发的“视音频监控设备及其安全认证”相关专利证明材料。</w:t>
            </w:r>
          </w:p>
          <w:p w14:paraId="6CB475F5">
            <w:pPr>
              <w:keepNext w:val="0"/>
              <w:keepLines w:val="0"/>
              <w:pageBreakBefore w:val="0"/>
              <w:widowControl w:val="0"/>
              <w:kinsoku/>
              <w:overflowPunct/>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lang w:eastAsia="zh-CN"/>
              </w:rPr>
              <w:t>▲</w:t>
            </w:r>
            <w:r>
              <w:rPr>
                <w:rFonts w:hint="eastAsia"/>
                <w:color w:val="auto"/>
                <w:highlight w:val="none"/>
              </w:rPr>
              <w:t>8、支持配置文件离线加解密，密态文件支持任意位置存储，可离线定向解密；指纹认证通过后解锁交互界面执行解密操作</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60AFFC2A">
            <w:pPr>
              <w:keepNext w:val="0"/>
              <w:keepLines w:val="0"/>
              <w:pageBreakBefore w:val="0"/>
              <w:widowControl w:val="0"/>
              <w:kinsoku/>
              <w:overflowPunct/>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lang w:val="en-US" w:eastAsia="zh-CN"/>
              </w:rPr>
              <w:t>9、硬盘</w:t>
            </w:r>
            <w:r>
              <w:rPr>
                <w:rFonts w:hint="eastAsia"/>
                <w:color w:val="auto"/>
                <w:highlight w:val="none"/>
              </w:rPr>
              <w:t>≥</w:t>
            </w:r>
            <w:r>
              <w:rPr>
                <w:rFonts w:hint="eastAsia"/>
                <w:color w:val="auto"/>
                <w:highlight w:val="none"/>
                <w:lang w:val="en-US" w:eastAsia="zh-CN"/>
              </w:rPr>
              <w:t>2个：每个容量</w:t>
            </w:r>
            <w:r>
              <w:rPr>
                <w:rFonts w:hint="eastAsia"/>
                <w:color w:val="auto"/>
                <w:highlight w:val="none"/>
              </w:rPr>
              <w:t>≥</w:t>
            </w:r>
            <w:r>
              <w:rPr>
                <w:rFonts w:hint="eastAsia"/>
                <w:color w:val="auto"/>
                <w:highlight w:val="none"/>
                <w:lang w:val="en-US" w:eastAsia="zh-CN"/>
              </w:rPr>
              <w:t>10TB  ‌转速7200转/分  ‌缓存容量256MB ‌接口速率‌：12Gb/s</w:t>
            </w:r>
          </w:p>
        </w:tc>
        <w:tc>
          <w:tcPr>
            <w:tcW w:w="681" w:type="dxa"/>
            <w:vAlign w:val="center"/>
          </w:tcPr>
          <w:p w14:paraId="36C039EA">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1</w:t>
            </w:r>
          </w:p>
        </w:tc>
        <w:tc>
          <w:tcPr>
            <w:tcW w:w="793" w:type="dxa"/>
            <w:vAlign w:val="center"/>
          </w:tcPr>
          <w:p w14:paraId="7111A13D">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套</w:t>
            </w:r>
          </w:p>
        </w:tc>
        <w:tc>
          <w:tcPr>
            <w:tcW w:w="793" w:type="dxa"/>
            <w:vAlign w:val="center"/>
          </w:tcPr>
          <w:p w14:paraId="013CF9AE">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vAlign w:val="center"/>
          </w:tcPr>
          <w:p w14:paraId="30206E3A">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p>
        </w:tc>
      </w:tr>
      <w:tr w14:paraId="089D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23" w:type="dxa"/>
            <w:shd w:val="clear" w:color="auto" w:fill="auto"/>
            <w:vAlign w:val="center"/>
          </w:tcPr>
          <w:p w14:paraId="3D9D13CF">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w:t>
            </w:r>
          </w:p>
        </w:tc>
        <w:tc>
          <w:tcPr>
            <w:tcW w:w="1072" w:type="dxa"/>
            <w:shd w:val="clear" w:color="auto" w:fill="auto"/>
            <w:vAlign w:val="center"/>
          </w:tcPr>
          <w:p w14:paraId="58F8D8D1">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数据加解密服务系统</w:t>
            </w:r>
          </w:p>
        </w:tc>
        <w:tc>
          <w:tcPr>
            <w:tcW w:w="5625" w:type="dxa"/>
            <w:shd w:val="clear" w:color="auto" w:fill="auto"/>
            <w:vAlign w:val="top"/>
          </w:tcPr>
          <w:p w14:paraId="4C29FB95">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原厂商产品需经过国家密码管理局商用密码检测中心检测，并由国家密码管理局商用密码检测中心颁发的《商用密码产品认证证书》，且为密码二级资质。为了确保产品兼容性和运行的稳定性，所采用密码计算模块和用户端密码认证模块具备二级模块《商用密码产品认证证书》，同时密码计算模块、整机及用户端密码认证模块为同一品牌。(须提供国密证书等相关证明材料)；</w:t>
            </w:r>
          </w:p>
          <w:p w14:paraId="09237129">
            <w:pPr>
              <w:keepNext w:val="0"/>
              <w:keepLines w:val="0"/>
              <w:pageBreakBefore w:val="0"/>
              <w:widowControl w:val="0"/>
              <w:kinsoku/>
              <w:overflowPunct/>
              <w:topLinePunct w:val="0"/>
              <w:autoSpaceDE/>
              <w:autoSpaceDN/>
              <w:bidi w:val="0"/>
              <w:adjustRightInd/>
              <w:snapToGrid/>
              <w:spacing w:line="360" w:lineRule="exact"/>
              <w:textAlignment w:val="auto"/>
              <w:rPr>
                <w:rFonts w:hint="eastAsia"/>
                <w:b/>
                <w:bCs/>
                <w:color w:val="auto"/>
                <w:highlight w:val="none"/>
                <w:lang w:val="en-US" w:eastAsia="zh-CN"/>
              </w:rPr>
            </w:pPr>
            <w:r>
              <w:rPr>
                <w:rFonts w:hint="eastAsia"/>
                <w:color w:val="auto"/>
                <w:highlight w:val="none"/>
                <w:lang w:eastAsia="zh-CN"/>
              </w:rPr>
              <w:t>◆</w:t>
            </w:r>
            <w:r>
              <w:rPr>
                <w:rFonts w:hint="eastAsia"/>
                <w:color w:val="auto"/>
                <w:highlight w:val="none"/>
              </w:rPr>
              <w:t>2、为支持不同的数据库、不同的应用场景需求，要求支持六种数据库加密模式</w:t>
            </w:r>
            <w:r>
              <w:rPr>
                <w:rFonts w:hint="eastAsia"/>
                <w:b/>
                <w:bCs/>
                <w:color w:val="auto"/>
                <w:highlight w:val="none"/>
                <w:lang w:eastAsia="zh-CN"/>
              </w:rPr>
              <w:t>（</w:t>
            </w:r>
            <w:r>
              <w:rPr>
                <w:rFonts w:hint="eastAsia"/>
                <w:b/>
                <w:bCs/>
                <w:color w:val="auto"/>
                <w:highlight w:val="none"/>
                <w:lang w:val="en-US" w:eastAsia="zh-CN"/>
              </w:rPr>
              <w:t>注：提供相关操作界面截图，并加盖供应商电子签章）</w:t>
            </w:r>
            <w:r>
              <w:rPr>
                <w:rFonts w:hint="eastAsia"/>
                <w:color w:val="auto"/>
                <w:highlight w:val="none"/>
              </w:rPr>
              <w:t xml:space="preserve">： </w:t>
            </w:r>
          </w:p>
          <w:p w14:paraId="5C62197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①</w:t>
            </w:r>
            <w:r>
              <w:rPr>
                <w:rFonts w:hint="eastAsia"/>
                <w:color w:val="auto"/>
                <w:highlight w:val="none"/>
              </w:rPr>
              <w:t>支持数据库的整库加密</w:t>
            </w:r>
            <w:r>
              <w:rPr>
                <w:rFonts w:hint="eastAsia"/>
                <w:color w:val="auto"/>
                <w:highlight w:val="none"/>
                <w:lang w:eastAsia="zh-CN"/>
              </w:rPr>
              <w:t>；</w:t>
            </w:r>
          </w:p>
          <w:p w14:paraId="69462952">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②</w:t>
            </w:r>
            <w:r>
              <w:rPr>
                <w:rFonts w:hint="eastAsia"/>
                <w:color w:val="auto"/>
                <w:highlight w:val="none"/>
              </w:rPr>
              <w:t>支持MySQL、MariaDB的内核加密模式，且在内核中支持字段级的机密性和完整性保护；</w:t>
            </w:r>
          </w:p>
          <w:p w14:paraId="5F09020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③</w:t>
            </w:r>
            <w:r>
              <w:rPr>
                <w:rFonts w:hint="eastAsia"/>
                <w:color w:val="auto"/>
                <w:highlight w:val="none"/>
              </w:rPr>
              <w:t>支持数据在应用层加密，采用以应用系统集成JDBC加密库的方式实现数据库加密，包括但不限于MySQL、MariaDB、Oracle、PostgreSQL、Informix、DB2、达梦、人大金仓、神通、南大通用等数据库，以及GoldenDB、OceanBase、MongoDB、GuassDB等分布式数据库，适配JDK1.8以上的开发编译环境；</w:t>
            </w:r>
          </w:p>
          <w:p w14:paraId="5075EFBB">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④</w:t>
            </w:r>
            <w:r>
              <w:rPr>
                <w:rFonts w:hint="eastAsia"/>
                <w:color w:val="auto"/>
                <w:highlight w:val="none"/>
              </w:rPr>
              <w:t>支持Oracle、SQLServer、PostgreSQL、达梦、人大金仓、神通、南大通用等数据库的后置扩展列加密模式；</w:t>
            </w:r>
          </w:p>
          <w:p w14:paraId="5E93C579">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⑤</w:t>
            </w:r>
            <w:r>
              <w:rPr>
                <w:rFonts w:hint="eastAsia"/>
                <w:color w:val="auto"/>
                <w:highlight w:val="none"/>
              </w:rPr>
              <w:t>支持MySQL、PostgreSQL等数据库的网关透传加密模式；</w:t>
            </w:r>
          </w:p>
          <w:p w14:paraId="44221CAD">
            <w:pPr>
              <w:keepNext w:val="0"/>
              <w:keepLines w:val="0"/>
              <w:pageBreakBefore w:val="0"/>
              <w:widowControl w:val="0"/>
              <w:kinsoku/>
              <w:overflowPunct/>
              <w:topLinePunct w:val="0"/>
              <w:autoSpaceDE/>
              <w:autoSpaceDN/>
              <w:bidi w:val="0"/>
              <w:adjustRightInd/>
              <w:snapToGrid/>
              <w:spacing w:line="360" w:lineRule="exact"/>
              <w:textAlignment w:val="auto"/>
              <w:rPr>
                <w:rFonts w:hint="eastAsia" w:eastAsia="宋体"/>
                <w:color w:val="auto"/>
                <w:highlight w:val="none"/>
                <w:lang w:eastAsia="zh-CN"/>
              </w:rPr>
            </w:pPr>
            <w:r>
              <w:rPr>
                <w:rFonts w:hint="eastAsia"/>
                <w:color w:val="auto"/>
                <w:highlight w:val="none"/>
                <w:lang w:val="en-US" w:eastAsia="zh-CN"/>
              </w:rPr>
              <w:t>⑥</w:t>
            </w:r>
            <w:r>
              <w:rPr>
                <w:rFonts w:hint="eastAsia"/>
                <w:color w:val="auto"/>
                <w:highlight w:val="none"/>
              </w:rPr>
              <w:t>支持大数据透明加密，包括但不限于HDFS、Hive、HBase等大数据组件的透明加密</w:t>
            </w:r>
            <w:r>
              <w:rPr>
                <w:rFonts w:hint="eastAsia"/>
                <w:color w:val="auto"/>
                <w:highlight w:val="none"/>
                <w:lang w:eastAsia="zh-CN"/>
              </w:rPr>
              <w:t>。</w:t>
            </w:r>
          </w:p>
          <w:p w14:paraId="424E5AF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3、支持数据库实例中多敏感列配置使用相同密钥或不同密钥</w:t>
            </w:r>
            <w:r>
              <w:rPr>
                <w:rFonts w:hint="eastAsia"/>
                <w:b/>
                <w:bCs/>
                <w:color w:val="auto"/>
                <w:highlight w:val="none"/>
                <w:lang w:eastAsia="zh-CN"/>
              </w:rPr>
              <w:t>（</w:t>
            </w:r>
            <w:r>
              <w:rPr>
                <w:rFonts w:hint="eastAsia"/>
                <w:b/>
                <w:bCs/>
                <w:color w:val="auto"/>
                <w:highlight w:val="none"/>
                <w:lang w:val="en-US" w:eastAsia="zh-CN"/>
              </w:rPr>
              <w:t>注：提供相关操作界面截图，并加盖供应商电子签章）；</w:t>
            </w:r>
          </w:p>
          <w:p w14:paraId="62B0D903">
            <w:pPr>
              <w:keepNext w:val="0"/>
              <w:keepLines w:val="0"/>
              <w:pageBreakBefore w:val="0"/>
              <w:widowControl w:val="0"/>
              <w:kinsoku/>
              <w:overflowPunct/>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lang w:eastAsia="zh-CN"/>
              </w:rPr>
              <w:t>◆</w:t>
            </w:r>
            <w:r>
              <w:rPr>
                <w:rFonts w:hint="eastAsia"/>
                <w:color w:val="auto"/>
                <w:highlight w:val="none"/>
              </w:rPr>
              <w:t>4、支持业务系统不停机实现敏感数据加密，不停机切换数据库加密状态，数据库加密状态为“原始明文数据”、“加密试运行中”、“加密已上线”三种状态</w:t>
            </w:r>
            <w:r>
              <w:rPr>
                <w:rFonts w:hint="eastAsia"/>
                <w:b/>
                <w:bCs/>
                <w:color w:val="auto"/>
                <w:highlight w:val="none"/>
                <w:lang w:eastAsia="zh-CN"/>
              </w:rPr>
              <w:t>（</w:t>
            </w:r>
            <w:r>
              <w:rPr>
                <w:rFonts w:hint="eastAsia"/>
                <w:b/>
                <w:bCs/>
                <w:color w:val="auto"/>
                <w:highlight w:val="none"/>
                <w:lang w:val="en-US" w:eastAsia="zh-CN"/>
              </w:rPr>
              <w:t>注：提供相关操作界面截图，并加盖供应商电子签章）</w:t>
            </w:r>
            <w:r>
              <w:rPr>
                <w:rFonts w:hint="eastAsia"/>
                <w:color w:val="auto"/>
                <w:highlight w:val="none"/>
              </w:rPr>
              <w:t>；</w:t>
            </w:r>
          </w:p>
          <w:p w14:paraId="579DF893">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5、支持密文索引和密文的模糊查询，包括小于、小于等于、大于、大于等于、等于、between...and比值查询和Like模糊查询</w:t>
            </w:r>
            <w:r>
              <w:rPr>
                <w:rFonts w:hint="eastAsia"/>
                <w:b/>
                <w:bCs/>
                <w:color w:val="auto"/>
                <w:highlight w:val="none"/>
                <w:lang w:eastAsia="zh-CN"/>
              </w:rPr>
              <w:t>（</w:t>
            </w:r>
            <w:r>
              <w:rPr>
                <w:rFonts w:hint="eastAsia"/>
                <w:b/>
                <w:bCs/>
                <w:color w:val="auto"/>
                <w:highlight w:val="none"/>
                <w:lang w:val="en-US" w:eastAsia="zh-CN"/>
              </w:rPr>
              <w:t>注：提供相关操作界面截图，并加盖供应商电子签章）</w:t>
            </w:r>
            <w:r>
              <w:rPr>
                <w:rFonts w:hint="eastAsia"/>
                <w:color w:val="auto"/>
                <w:highlight w:val="none"/>
              </w:rPr>
              <w:t>；</w:t>
            </w:r>
          </w:p>
          <w:p w14:paraId="61378AB2">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6、支持完整性校验，在密文被篡改后，报警信息上报到管理系统</w:t>
            </w:r>
            <w:r>
              <w:rPr>
                <w:rFonts w:hint="eastAsia"/>
                <w:b/>
                <w:bCs/>
                <w:color w:val="auto"/>
                <w:highlight w:val="none"/>
                <w:lang w:eastAsia="zh-CN"/>
              </w:rPr>
              <w:t>（</w:t>
            </w:r>
            <w:r>
              <w:rPr>
                <w:rFonts w:hint="eastAsia"/>
                <w:b/>
                <w:bCs/>
                <w:color w:val="auto"/>
                <w:highlight w:val="none"/>
                <w:lang w:val="en-US" w:eastAsia="zh-CN"/>
              </w:rPr>
              <w:t>注：提供相关操作界面截图，并加盖供应商电子签章）</w:t>
            </w:r>
            <w:r>
              <w:rPr>
                <w:rFonts w:hint="eastAsia"/>
                <w:color w:val="auto"/>
                <w:highlight w:val="none"/>
              </w:rPr>
              <w:t>；</w:t>
            </w:r>
          </w:p>
          <w:p w14:paraId="4D68950A">
            <w:pPr>
              <w:keepNext w:val="0"/>
              <w:keepLines w:val="0"/>
              <w:pageBreakBefore w:val="0"/>
              <w:widowControl w:val="0"/>
              <w:kinsoku/>
              <w:overflowPunct/>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lang w:eastAsia="zh-CN"/>
              </w:rPr>
              <w:t>◆</w:t>
            </w:r>
            <w:r>
              <w:rPr>
                <w:rFonts w:hint="eastAsia"/>
                <w:color w:val="auto"/>
                <w:highlight w:val="none"/>
              </w:rPr>
              <w:t>7、支持基于半同态加密的密态计算</w:t>
            </w:r>
            <w:r>
              <w:rPr>
                <w:rFonts w:hint="eastAsia"/>
                <w:b/>
                <w:bCs/>
                <w:color w:val="auto"/>
                <w:highlight w:val="none"/>
                <w:lang w:eastAsia="zh-CN"/>
              </w:rPr>
              <w:t>（</w:t>
            </w:r>
            <w:r>
              <w:rPr>
                <w:rFonts w:hint="eastAsia"/>
                <w:b/>
                <w:bCs/>
                <w:color w:val="auto"/>
                <w:highlight w:val="none"/>
                <w:lang w:val="en-US" w:eastAsia="zh-CN"/>
              </w:rPr>
              <w:t>注：提供相关操作界面截图，并加盖供应商电子签章）</w:t>
            </w:r>
            <w:r>
              <w:rPr>
                <w:rFonts w:hint="eastAsia"/>
                <w:color w:val="auto"/>
                <w:highlight w:val="none"/>
              </w:rPr>
              <w:t>：</w:t>
            </w:r>
          </w:p>
          <w:p w14:paraId="2E6B1AC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①</w:t>
            </w:r>
            <w:r>
              <w:rPr>
                <w:rFonts w:hint="eastAsia"/>
                <w:color w:val="auto"/>
                <w:highlight w:val="none"/>
              </w:rPr>
              <w:t>支持基于半同态算法 Paillier 的加法、减法、乘法、求和、最大值、最小值等计算;</w:t>
            </w:r>
          </w:p>
          <w:p w14:paraId="16C504E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②</w:t>
            </w:r>
            <w:r>
              <w:rPr>
                <w:rFonts w:hint="eastAsia"/>
                <w:color w:val="auto"/>
                <w:highlight w:val="none"/>
              </w:rPr>
              <w:t>可支持列级透明加密，包括指定列及多列加密；</w:t>
            </w:r>
          </w:p>
          <w:p w14:paraId="5C636D7D">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③</w:t>
            </w:r>
            <w:r>
              <w:rPr>
                <w:rFonts w:hint="eastAsia"/>
                <w:color w:val="auto"/>
                <w:highlight w:val="none"/>
              </w:rPr>
              <w:t>支持密文与明文、密文与密文之间的加法、减法、求和、最大值、最小值等操作，不限次数；</w:t>
            </w:r>
          </w:p>
          <w:p w14:paraId="5CC37F4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④</w:t>
            </w:r>
            <w:r>
              <w:rPr>
                <w:rFonts w:hint="eastAsia"/>
                <w:color w:val="auto"/>
                <w:highlight w:val="none"/>
              </w:rPr>
              <w:t>支持密文与明文之间的乘法、除法等操作，不限次数；</w:t>
            </w:r>
          </w:p>
          <w:p w14:paraId="2CF3B9F7">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⑤</w:t>
            </w:r>
            <w:r>
              <w:rPr>
                <w:rFonts w:hint="eastAsia"/>
                <w:color w:val="auto"/>
                <w:highlight w:val="none"/>
              </w:rPr>
              <w:t>支持数据库侧使用数据库内置聚合函数进行密态计算，保障加密后数据可计算；</w:t>
            </w:r>
          </w:p>
          <w:p w14:paraId="5045C88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⑥</w:t>
            </w:r>
            <w:r>
              <w:rPr>
                <w:rFonts w:hint="eastAsia"/>
                <w:color w:val="auto"/>
                <w:highlight w:val="none"/>
              </w:rPr>
              <w:t>支持整型、浮点型等数据类型的密态计算；</w:t>
            </w:r>
          </w:p>
          <w:p w14:paraId="53EA048F">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val="en-US" w:eastAsia="zh-CN"/>
              </w:rPr>
              <w:t>⑦</w:t>
            </w:r>
            <w:r>
              <w:rPr>
                <w:rFonts w:hint="eastAsia"/>
                <w:color w:val="auto"/>
                <w:highlight w:val="none"/>
              </w:rPr>
              <w:t>支持在应用服务器侧进行密态计算。</w:t>
            </w:r>
          </w:p>
          <w:p w14:paraId="112DB38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8、提供与人大金仓、神舟通用、达梦、南大通用、优炫软件、海量数据、瀚高、爱可生、虚谷、万里等数据库的产品互认证书；</w:t>
            </w:r>
          </w:p>
          <w:p w14:paraId="19553D6D">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9、提供由国家版权局颁发的《计算机软件著作权登记证书》；</w:t>
            </w:r>
          </w:p>
          <w:p w14:paraId="5BA3EC0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10、采用国产密码算法SM4加密；</w:t>
            </w:r>
          </w:p>
          <w:p w14:paraId="701B020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11、支持IP限定；</w:t>
            </w:r>
          </w:p>
          <w:p w14:paraId="593EFD02">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12、采用多层密钥机制，支持每个数据库或每个表采用不同的密钥；</w:t>
            </w:r>
          </w:p>
          <w:p w14:paraId="2833B15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13、支持密钥备份与密钥恢复，支持极端情况下的数据库密文恢复；</w:t>
            </w:r>
          </w:p>
          <w:p w14:paraId="21089D4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14、加密类型支持常用的数据类型：数字类型、字符串类型、日期类型；</w:t>
            </w:r>
          </w:p>
          <w:p w14:paraId="2343DC6B">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15、加解密性能</w:t>
            </w:r>
            <w:r>
              <w:rPr>
                <w:rFonts w:hint="eastAsia"/>
                <w:b/>
                <w:bCs/>
                <w:color w:val="auto"/>
                <w:highlight w:val="none"/>
                <w:lang w:eastAsia="zh-CN"/>
              </w:rPr>
              <w:t>（</w:t>
            </w:r>
            <w:r>
              <w:rPr>
                <w:rFonts w:hint="eastAsia"/>
                <w:b/>
                <w:bCs/>
                <w:color w:val="auto"/>
                <w:highlight w:val="none"/>
                <w:lang w:val="en-US" w:eastAsia="zh-CN"/>
              </w:rPr>
              <w:t>注：提供产品功能截图或相关证明材料，并加盖供应商电子签章）</w:t>
            </w:r>
            <w:r>
              <w:rPr>
                <w:rFonts w:hint="eastAsia"/>
                <w:color w:val="auto"/>
                <w:highlight w:val="none"/>
              </w:rPr>
              <w:t>：</w:t>
            </w:r>
          </w:p>
          <w:p w14:paraId="53898AA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（1）查询&gt;40000条/秒；</w:t>
            </w:r>
          </w:p>
          <w:p w14:paraId="241B70AB">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（2）更新&gt;28000条/秒；</w:t>
            </w:r>
          </w:p>
          <w:p w14:paraId="4261F28D">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（3）插入&gt;9000条/秒；</w:t>
            </w:r>
          </w:p>
          <w:p w14:paraId="075D108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（4）删除&gt;40000条/秒；</w:t>
            </w:r>
          </w:p>
          <w:p w14:paraId="67C7943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szCs w:val="21"/>
                <w:highlight w:val="none"/>
                <w:lang w:eastAsia="zh-CN"/>
              </w:rPr>
              <w:t>◆</w:t>
            </w:r>
            <w:r>
              <w:rPr>
                <w:rFonts w:hint="eastAsia"/>
                <w:color w:val="auto"/>
                <w:highlight w:val="none"/>
              </w:rPr>
              <w:t>16、硬件指标</w:t>
            </w:r>
            <w:r>
              <w:rPr>
                <w:rFonts w:hint="eastAsia"/>
                <w:b/>
                <w:bCs/>
                <w:color w:val="auto"/>
                <w:highlight w:val="none"/>
                <w:lang w:eastAsia="zh-CN"/>
              </w:rPr>
              <w:t>（</w:t>
            </w:r>
            <w:r>
              <w:rPr>
                <w:rFonts w:hint="eastAsia"/>
                <w:b/>
                <w:bCs/>
                <w:color w:val="auto"/>
                <w:highlight w:val="none"/>
                <w:lang w:val="en-US" w:eastAsia="zh-CN"/>
              </w:rPr>
              <w:t>注：提供产品功能截图或相关证明材料，并加盖供应商电子签章）</w:t>
            </w:r>
            <w:r>
              <w:rPr>
                <w:rFonts w:hint="eastAsia"/>
                <w:color w:val="auto"/>
                <w:highlight w:val="none"/>
              </w:rPr>
              <w:t>：</w:t>
            </w:r>
          </w:p>
          <w:p w14:paraId="0FE2420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（1）尺寸：2U设备；</w:t>
            </w:r>
          </w:p>
          <w:p w14:paraId="71F5170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（2）CPU：2.0GHz，C4以上</w:t>
            </w:r>
          </w:p>
          <w:p w14:paraId="7D77F3C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（3）网口：1G电口*2以上；</w:t>
            </w:r>
          </w:p>
          <w:p w14:paraId="1F7013E3">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（4）内存：8GB DDR4以上；</w:t>
            </w:r>
          </w:p>
          <w:p w14:paraId="34DAC18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（5）硬盘：2T SATA 3.0以上；</w:t>
            </w:r>
          </w:p>
          <w:p w14:paraId="6E3D29C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（6）加密硬件：内置高性能PCI-E密码卡；</w:t>
            </w:r>
          </w:p>
          <w:p w14:paraId="6A004BE5">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（7）双电源；</w:t>
            </w:r>
          </w:p>
          <w:p w14:paraId="5FB8CC47">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（8）工作电压：220V±10％；</w:t>
            </w:r>
          </w:p>
          <w:p w14:paraId="41C5A75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（9）工作温度：10~35℃；</w:t>
            </w:r>
          </w:p>
          <w:p w14:paraId="00E72C2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（10）储存温度：-40~55℃；</w:t>
            </w:r>
          </w:p>
          <w:p w14:paraId="24EB023D">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（11）工作环境相对湿度： 35%~80%非凝结。</w:t>
            </w:r>
          </w:p>
          <w:p w14:paraId="3BEB8BE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（12）支持国标接口，符合GM/T0018  2012《密码设备应用接口规范》，支持支持国际标准的PKCS#11、JCE等接口，支持用户定制接口开发；</w:t>
            </w:r>
          </w:p>
          <w:p w14:paraId="346D820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（13）支持密钥管理服务，采用“分层结构，逐层保护”的安全原则，提供管理密钥、用户密钥、会话密钥三层密钥体系，保证密钥的安全；</w:t>
            </w:r>
          </w:p>
          <w:p w14:paraId="70F012FB">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（14）可提供对称算法加解密、非对称算法加密、解密、签名、验证，消息鉴别码产生与验证等密码服务；</w:t>
            </w:r>
          </w:p>
          <w:p w14:paraId="040745E3">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（15）支持分级权限管理，管理人员身份凭证信息安全存储在智能密码钥匙中；</w:t>
            </w:r>
          </w:p>
          <w:p w14:paraId="4B825FE2">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（16）支持日志审计，支持日志数据完整性保护；</w:t>
            </w:r>
          </w:p>
        </w:tc>
        <w:tc>
          <w:tcPr>
            <w:tcW w:w="681" w:type="dxa"/>
            <w:shd w:val="clear" w:color="auto" w:fill="auto"/>
            <w:vAlign w:val="center"/>
          </w:tcPr>
          <w:p w14:paraId="3E5F9CC6">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p>
        </w:tc>
        <w:tc>
          <w:tcPr>
            <w:tcW w:w="793" w:type="dxa"/>
            <w:shd w:val="clear" w:color="auto" w:fill="auto"/>
            <w:vAlign w:val="center"/>
          </w:tcPr>
          <w:p w14:paraId="2BE71CCD">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套</w:t>
            </w:r>
          </w:p>
        </w:tc>
        <w:tc>
          <w:tcPr>
            <w:tcW w:w="793" w:type="dxa"/>
            <w:shd w:val="clear" w:color="auto" w:fill="auto"/>
            <w:vAlign w:val="center"/>
          </w:tcPr>
          <w:p w14:paraId="3F86C86E">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shd w:val="clear" w:color="auto" w:fill="auto"/>
            <w:vAlign w:val="center"/>
          </w:tcPr>
          <w:p w14:paraId="6558AB86">
            <w:pPr>
              <w:keepNext w:val="0"/>
              <w:keepLines w:val="0"/>
              <w:pageBreakBefore w:val="0"/>
              <w:widowControl w:val="0"/>
              <w:kinsoku/>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kern w:val="2"/>
                <w:sz w:val="21"/>
                <w:szCs w:val="24"/>
                <w:highlight w:val="none"/>
                <w:lang w:val="en-US" w:eastAsia="zh-CN" w:bidi="ar-SA"/>
              </w:rPr>
            </w:pPr>
          </w:p>
        </w:tc>
      </w:tr>
      <w:tr w14:paraId="69D3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23" w:type="dxa"/>
            <w:shd w:val="clear" w:color="auto" w:fill="auto"/>
            <w:vAlign w:val="center"/>
          </w:tcPr>
          <w:p w14:paraId="03976FC0">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4</w:t>
            </w:r>
          </w:p>
        </w:tc>
        <w:tc>
          <w:tcPr>
            <w:tcW w:w="1072" w:type="dxa"/>
            <w:shd w:val="clear" w:color="auto" w:fill="auto"/>
            <w:vAlign w:val="center"/>
          </w:tcPr>
          <w:p w14:paraId="3460C6EF">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文件加密系统</w:t>
            </w:r>
          </w:p>
        </w:tc>
        <w:tc>
          <w:tcPr>
            <w:tcW w:w="5625" w:type="dxa"/>
            <w:shd w:val="clear" w:color="auto" w:fill="auto"/>
            <w:vAlign w:val="top"/>
          </w:tcPr>
          <w:p w14:paraId="68811FFA">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color w:val="auto"/>
                <w:szCs w:val="21"/>
                <w:highlight w:val="none"/>
                <w:lang w:eastAsia="zh-CN"/>
              </w:rPr>
              <w:t>◆</w:t>
            </w:r>
            <w:r>
              <w:rPr>
                <w:rFonts w:hint="eastAsia" w:ascii="宋体" w:hAnsi="宋体" w:eastAsia="宋体"/>
                <w:color w:val="auto"/>
                <w:szCs w:val="21"/>
                <w:highlight w:val="none"/>
              </w:rPr>
              <w:t>1</w:t>
            </w:r>
            <w:r>
              <w:rPr>
                <w:rFonts w:hint="eastAsia" w:ascii="宋体" w:hAnsi="宋体"/>
                <w:color w:val="auto"/>
                <w:szCs w:val="21"/>
                <w:highlight w:val="none"/>
                <w:lang w:eastAsia="zh-CN"/>
              </w:rPr>
              <w:t>、</w:t>
            </w:r>
            <w:r>
              <w:rPr>
                <w:rFonts w:hint="eastAsia" w:ascii="宋体" w:hAnsi="宋体" w:eastAsia="宋体"/>
                <w:color w:val="auto"/>
                <w:szCs w:val="21"/>
                <w:highlight w:val="none"/>
              </w:rPr>
              <w:t>产品需具备国家密码管理局商用密码检测</w:t>
            </w:r>
            <w:r>
              <w:rPr>
                <w:rFonts w:ascii="宋体" w:hAnsi="宋体" w:eastAsia="宋体"/>
                <w:color w:val="auto"/>
                <w:szCs w:val="21"/>
                <w:highlight w:val="none"/>
              </w:rPr>
              <w:t>认证</w:t>
            </w:r>
            <w:r>
              <w:rPr>
                <w:rFonts w:hint="eastAsia" w:ascii="宋体" w:hAnsi="宋体" w:eastAsia="宋体"/>
                <w:color w:val="auto"/>
                <w:szCs w:val="21"/>
                <w:highlight w:val="none"/>
              </w:rPr>
              <w:t>中心颁发的产品名称包含“文件加密”的《商用密码产品认证证书》，且密码安全等级为安全二级；</w:t>
            </w:r>
          </w:p>
          <w:p w14:paraId="608002C8">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color w:val="auto"/>
                <w:szCs w:val="21"/>
                <w:highlight w:val="none"/>
                <w:lang w:eastAsia="zh-CN"/>
              </w:rPr>
              <w:t>、</w:t>
            </w:r>
            <w:r>
              <w:rPr>
                <w:rFonts w:hint="eastAsia" w:ascii="宋体" w:hAnsi="宋体" w:eastAsia="宋体"/>
                <w:color w:val="auto"/>
                <w:szCs w:val="21"/>
                <w:highlight w:val="none"/>
              </w:rPr>
              <w:t>支持非结构化文件的透明加密存储，采用基于目录的文件透明加密模式，对合法应用，在访问目录下的文件时，实现读写的自动加解密；</w:t>
            </w:r>
          </w:p>
          <w:p w14:paraId="6DDA5750">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3</w:t>
            </w:r>
            <w:r>
              <w:rPr>
                <w:rFonts w:hint="eastAsia" w:ascii="宋体" w:hAnsi="宋体"/>
                <w:color w:val="auto"/>
                <w:szCs w:val="21"/>
                <w:highlight w:val="none"/>
                <w:lang w:eastAsia="zh-CN"/>
              </w:rPr>
              <w:t>、</w:t>
            </w:r>
            <w:r>
              <w:rPr>
                <w:rFonts w:hint="eastAsia" w:ascii="宋体" w:hAnsi="宋体" w:eastAsia="宋体"/>
                <w:color w:val="auto"/>
                <w:szCs w:val="21"/>
                <w:highlight w:val="none"/>
              </w:rPr>
              <w:t>支持文件级完整性监控；</w:t>
            </w:r>
          </w:p>
          <w:p w14:paraId="24B82E3B">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4</w:t>
            </w:r>
            <w:r>
              <w:rPr>
                <w:rFonts w:hint="eastAsia" w:ascii="宋体" w:hAnsi="宋体"/>
                <w:color w:val="auto"/>
                <w:szCs w:val="21"/>
                <w:highlight w:val="none"/>
                <w:lang w:eastAsia="zh-CN"/>
              </w:rPr>
              <w:t>、</w:t>
            </w:r>
            <w:r>
              <w:rPr>
                <w:rFonts w:hint="eastAsia" w:ascii="宋体" w:hAnsi="宋体" w:eastAsia="宋体"/>
                <w:color w:val="auto"/>
                <w:szCs w:val="21"/>
                <w:highlight w:val="none"/>
              </w:rPr>
              <w:t>采用国密 SM4 GCM模式，可同时保证数据存储的机密性和完整性；</w:t>
            </w:r>
          </w:p>
          <w:p w14:paraId="7B1B87D2">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5</w:t>
            </w:r>
            <w:r>
              <w:rPr>
                <w:rFonts w:hint="eastAsia" w:ascii="宋体" w:hAnsi="宋体"/>
                <w:color w:val="auto"/>
                <w:szCs w:val="21"/>
                <w:highlight w:val="none"/>
                <w:lang w:eastAsia="zh-CN"/>
              </w:rPr>
              <w:t>、</w:t>
            </w:r>
            <w:r>
              <w:rPr>
                <w:rFonts w:hint="eastAsia" w:ascii="宋体" w:hAnsi="宋体" w:eastAsia="宋体"/>
                <w:color w:val="auto"/>
                <w:szCs w:val="21"/>
                <w:highlight w:val="none"/>
              </w:rPr>
              <w:t>加密速率 ≥240MB/s；</w:t>
            </w:r>
          </w:p>
          <w:p w14:paraId="7C9D2FA3">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6</w:t>
            </w:r>
            <w:r>
              <w:rPr>
                <w:rFonts w:hint="eastAsia" w:ascii="宋体" w:hAnsi="宋体"/>
                <w:color w:val="auto"/>
                <w:szCs w:val="21"/>
                <w:highlight w:val="none"/>
                <w:lang w:eastAsia="zh-CN"/>
              </w:rPr>
              <w:t>、</w:t>
            </w:r>
            <w:r>
              <w:rPr>
                <w:rFonts w:hint="eastAsia" w:ascii="宋体" w:hAnsi="宋体" w:eastAsia="宋体"/>
                <w:color w:val="auto"/>
                <w:szCs w:val="21"/>
                <w:highlight w:val="none"/>
              </w:rPr>
              <w:t>文件写速度较未加密目录下降9%-15%，文件读速度较未加密目录下降5%-10%；</w:t>
            </w:r>
          </w:p>
          <w:p w14:paraId="7BD418BA">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7</w:t>
            </w:r>
            <w:r>
              <w:rPr>
                <w:rFonts w:hint="eastAsia" w:ascii="宋体" w:hAnsi="宋体"/>
                <w:color w:val="auto"/>
                <w:szCs w:val="21"/>
                <w:highlight w:val="none"/>
                <w:lang w:eastAsia="zh-CN"/>
              </w:rPr>
              <w:t>、</w:t>
            </w:r>
            <w:r>
              <w:rPr>
                <w:rFonts w:hint="eastAsia" w:ascii="宋体" w:hAnsi="宋体" w:eastAsia="宋体"/>
                <w:color w:val="auto"/>
                <w:szCs w:val="21"/>
                <w:highlight w:val="none"/>
              </w:rPr>
              <w:t>支持分布式存储，支持管控多个文件存储服务器；</w:t>
            </w:r>
          </w:p>
          <w:p w14:paraId="10C8D322">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8</w:t>
            </w:r>
            <w:r>
              <w:rPr>
                <w:rFonts w:hint="eastAsia" w:ascii="宋体" w:hAnsi="宋体"/>
                <w:color w:val="auto"/>
                <w:szCs w:val="21"/>
                <w:highlight w:val="none"/>
                <w:lang w:eastAsia="zh-CN"/>
              </w:rPr>
              <w:t>、</w:t>
            </w:r>
            <w:r>
              <w:rPr>
                <w:rFonts w:hint="eastAsia" w:ascii="宋体" w:hAnsi="宋体" w:eastAsia="宋体"/>
                <w:color w:val="auto"/>
                <w:szCs w:val="21"/>
                <w:highlight w:val="none"/>
              </w:rPr>
              <w:t>支持包含文件内容、文件名在内的文件信息全加密；</w:t>
            </w:r>
          </w:p>
          <w:p w14:paraId="5C3D9000">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9</w:t>
            </w:r>
            <w:r>
              <w:rPr>
                <w:rFonts w:hint="eastAsia" w:ascii="宋体" w:hAnsi="宋体"/>
                <w:color w:val="auto"/>
                <w:szCs w:val="21"/>
                <w:highlight w:val="none"/>
                <w:lang w:eastAsia="zh-CN"/>
              </w:rPr>
              <w:t>、</w:t>
            </w:r>
            <w:r>
              <w:rPr>
                <w:rFonts w:hint="eastAsia" w:ascii="宋体" w:hAnsi="宋体" w:eastAsia="宋体"/>
                <w:color w:val="auto"/>
                <w:szCs w:val="21"/>
                <w:highlight w:val="none"/>
              </w:rPr>
              <w:t>在文件加密后，访问密文数据时支持明文不落地；</w:t>
            </w:r>
          </w:p>
          <w:p w14:paraId="16BAE276">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10</w:t>
            </w:r>
            <w:r>
              <w:rPr>
                <w:rFonts w:hint="eastAsia" w:ascii="宋体" w:hAnsi="宋体"/>
                <w:color w:val="auto"/>
                <w:szCs w:val="21"/>
                <w:highlight w:val="none"/>
                <w:lang w:eastAsia="zh-CN"/>
              </w:rPr>
              <w:t>、</w:t>
            </w:r>
            <w:r>
              <w:rPr>
                <w:rFonts w:hint="eastAsia" w:ascii="宋体" w:hAnsi="宋体" w:eastAsia="宋体"/>
                <w:color w:val="auto"/>
                <w:szCs w:val="21"/>
                <w:highlight w:val="none"/>
              </w:rPr>
              <w:t>访问加密目录和加密文件时，支持基于进程访问的白名单权限管控；</w:t>
            </w:r>
          </w:p>
          <w:p w14:paraId="6E7761B0">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11</w:t>
            </w:r>
            <w:r>
              <w:rPr>
                <w:rFonts w:hint="eastAsia" w:ascii="宋体" w:hAnsi="宋体"/>
                <w:color w:val="auto"/>
                <w:szCs w:val="21"/>
                <w:highlight w:val="none"/>
                <w:lang w:eastAsia="zh-CN"/>
              </w:rPr>
              <w:t>、</w:t>
            </w:r>
            <w:r>
              <w:rPr>
                <w:rFonts w:hint="eastAsia" w:ascii="宋体" w:hAnsi="宋体" w:eastAsia="宋体"/>
                <w:color w:val="auto"/>
                <w:szCs w:val="21"/>
                <w:highlight w:val="none"/>
              </w:rPr>
              <w:t>访问加密目录和加密文件时，支持IP访问控制；</w:t>
            </w:r>
          </w:p>
          <w:p w14:paraId="4889B192">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宋体" w:hAnsi="宋体" w:eastAsia="宋体"/>
                <w:color w:val="auto"/>
                <w:szCs w:val="21"/>
                <w:highlight w:val="none"/>
              </w:rPr>
            </w:pPr>
            <w:r>
              <w:rPr>
                <w:rFonts w:hint="eastAsia" w:ascii="宋体" w:hAnsi="宋体" w:eastAsia="宋体"/>
                <w:color w:val="auto"/>
                <w:szCs w:val="21"/>
                <w:highlight w:val="none"/>
              </w:rPr>
              <w:t>12</w:t>
            </w:r>
            <w:r>
              <w:rPr>
                <w:rFonts w:hint="eastAsia" w:ascii="宋体" w:hAnsi="宋体"/>
                <w:color w:val="auto"/>
                <w:szCs w:val="21"/>
                <w:highlight w:val="none"/>
                <w:lang w:eastAsia="zh-CN"/>
              </w:rPr>
              <w:t>、</w:t>
            </w:r>
            <w:r>
              <w:rPr>
                <w:rFonts w:hint="eastAsia" w:ascii="宋体" w:hAnsi="宋体" w:eastAsia="宋体"/>
                <w:color w:val="auto"/>
                <w:szCs w:val="21"/>
                <w:highlight w:val="none"/>
              </w:rPr>
              <w:t>支持多级密钥管理，每个目录密钥不同；</w:t>
            </w:r>
          </w:p>
          <w:p w14:paraId="6E0833D0">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olor w:val="auto"/>
                <w:szCs w:val="21"/>
                <w:highlight w:val="none"/>
              </w:rPr>
              <w:t>13</w:t>
            </w:r>
            <w:r>
              <w:rPr>
                <w:rFonts w:hint="eastAsia" w:ascii="宋体" w:hAnsi="宋体"/>
                <w:color w:val="auto"/>
                <w:szCs w:val="21"/>
                <w:highlight w:val="none"/>
                <w:lang w:eastAsia="zh-CN"/>
              </w:rPr>
              <w:t>、</w:t>
            </w:r>
            <w:r>
              <w:rPr>
                <w:rFonts w:hint="eastAsia" w:ascii="宋体" w:hAnsi="宋体" w:eastAsia="宋体"/>
                <w:color w:val="auto"/>
                <w:szCs w:val="21"/>
                <w:highlight w:val="none"/>
              </w:rPr>
              <w:t>支持Linux、国产操作系统、大数据平台；</w:t>
            </w:r>
          </w:p>
        </w:tc>
        <w:tc>
          <w:tcPr>
            <w:tcW w:w="681" w:type="dxa"/>
            <w:shd w:val="clear" w:color="auto" w:fill="auto"/>
            <w:vAlign w:val="center"/>
          </w:tcPr>
          <w:p w14:paraId="455AFC67">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p>
        </w:tc>
        <w:tc>
          <w:tcPr>
            <w:tcW w:w="793" w:type="dxa"/>
            <w:shd w:val="clear" w:color="auto" w:fill="auto"/>
            <w:vAlign w:val="center"/>
          </w:tcPr>
          <w:p w14:paraId="3DA6CCCE">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套</w:t>
            </w:r>
          </w:p>
        </w:tc>
        <w:tc>
          <w:tcPr>
            <w:tcW w:w="793" w:type="dxa"/>
            <w:shd w:val="clear" w:color="auto" w:fill="auto"/>
            <w:vAlign w:val="center"/>
          </w:tcPr>
          <w:p w14:paraId="3E841316">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shd w:val="clear" w:color="auto" w:fill="auto"/>
            <w:vAlign w:val="center"/>
          </w:tcPr>
          <w:p w14:paraId="169A0BA5">
            <w:pPr>
              <w:keepNext w:val="0"/>
              <w:keepLines w:val="0"/>
              <w:pageBreakBefore w:val="0"/>
              <w:widowControl w:val="0"/>
              <w:kinsoku/>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非结构化数据加密</w:t>
            </w:r>
          </w:p>
        </w:tc>
      </w:tr>
      <w:tr w14:paraId="0F31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23" w:type="dxa"/>
            <w:shd w:val="clear" w:color="auto" w:fill="auto"/>
            <w:vAlign w:val="center"/>
          </w:tcPr>
          <w:p w14:paraId="729C9E39">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w:t>
            </w:r>
          </w:p>
        </w:tc>
        <w:tc>
          <w:tcPr>
            <w:tcW w:w="1072" w:type="dxa"/>
            <w:shd w:val="clear" w:color="auto" w:fill="auto"/>
            <w:vAlign w:val="center"/>
          </w:tcPr>
          <w:p w14:paraId="511BA81B">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国密</w:t>
            </w:r>
            <w:r>
              <w:rPr>
                <w:rFonts w:hint="eastAsia"/>
                <w:color w:val="auto"/>
                <w:highlight w:val="none"/>
              </w:rPr>
              <w:t>浏览器</w:t>
            </w:r>
          </w:p>
        </w:tc>
        <w:tc>
          <w:tcPr>
            <w:tcW w:w="5625" w:type="dxa"/>
            <w:shd w:val="clear" w:color="auto" w:fill="auto"/>
            <w:vAlign w:val="top"/>
          </w:tcPr>
          <w:p w14:paraId="5681357D">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1、原厂商产品需经过国家密码管理局商用密码检测中心检测，并由国家密码管理局商用密码检测中心颁发的浏览器密码模块产品类别的《商用密码产品认证证书》；</w:t>
            </w:r>
          </w:p>
          <w:p w14:paraId="177BCAC6">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2、产品进入AKTD工程适配产品清单名录（商用密码产品类）</w:t>
            </w:r>
            <w:r>
              <w:rPr>
                <w:rFonts w:hint="eastAsia"/>
                <w:b/>
                <w:bCs/>
                <w:color w:val="auto"/>
                <w:highlight w:val="none"/>
                <w:lang w:eastAsia="zh-CN"/>
              </w:rPr>
              <w:t>（</w:t>
            </w:r>
            <w:r>
              <w:rPr>
                <w:rFonts w:hint="eastAsia"/>
                <w:b/>
                <w:bCs/>
                <w:color w:val="auto"/>
                <w:highlight w:val="none"/>
                <w:lang w:val="en-US" w:eastAsia="zh-CN"/>
              </w:rPr>
              <w:t>注：提供相关证明材料，并加盖供应商电子签章）</w:t>
            </w:r>
            <w:r>
              <w:rPr>
                <w:rFonts w:hint="eastAsia"/>
                <w:color w:val="auto"/>
                <w:highlight w:val="none"/>
              </w:rPr>
              <w:t>；</w:t>
            </w:r>
          </w:p>
          <w:p w14:paraId="67ECE174">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3、提供由国家工业信息安全发展研究中心提供的产品质量测试报告；</w:t>
            </w:r>
          </w:p>
          <w:p w14:paraId="37DD3004">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4、提供由信息产业信息安全测评中心出具的测试报告，包含后台管理系统性能测试。</w:t>
            </w:r>
          </w:p>
          <w:p w14:paraId="7D80CF95">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5、提供由信息产业信息安全测评中心出具的测试报告，包含功能测试并带有ILAC-MRA和CNAS标识。</w:t>
            </w:r>
          </w:p>
          <w:p w14:paraId="4F317B8E">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6、提供由信息产业信息安全测评中心出具的渗透测试报告。</w:t>
            </w:r>
          </w:p>
          <w:p w14:paraId="4BD12FFA">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7、支持国密算法SM2、SM3、SM4。在Chrome内核、IE内核下均支持国密SSL协议</w:t>
            </w:r>
            <w:r>
              <w:rPr>
                <w:rFonts w:hint="eastAsia"/>
                <w:b/>
                <w:bCs/>
                <w:color w:val="auto"/>
                <w:highlight w:val="none"/>
                <w:lang w:eastAsia="zh-CN"/>
              </w:rPr>
              <w:t>（</w:t>
            </w:r>
            <w:r>
              <w:rPr>
                <w:rFonts w:hint="eastAsia"/>
                <w:b/>
                <w:bCs/>
                <w:color w:val="auto"/>
                <w:highlight w:val="none"/>
                <w:lang w:val="en-US" w:eastAsia="zh-CN"/>
              </w:rPr>
              <w:t>注：提供相关证明材料，并加盖供应商电子签章）</w:t>
            </w:r>
            <w:r>
              <w:rPr>
                <w:rFonts w:hint="eastAsia"/>
                <w:color w:val="auto"/>
                <w:highlight w:val="none"/>
              </w:rPr>
              <w:t>；</w:t>
            </w:r>
          </w:p>
          <w:p w14:paraId="54A5B816">
            <w:pPr>
              <w:keepNext w:val="0"/>
              <w:keepLines w:val="0"/>
              <w:pageBreakBefore w:val="0"/>
              <w:widowControl w:val="0"/>
              <w:kinsoku/>
              <w:wordWrap w:val="0"/>
              <w:overflowPunct/>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lang w:eastAsia="zh-CN"/>
              </w:rPr>
              <w:t>◆</w:t>
            </w:r>
            <w:r>
              <w:rPr>
                <w:rFonts w:hint="eastAsia"/>
                <w:color w:val="auto"/>
                <w:highlight w:val="none"/>
              </w:rPr>
              <w:t>8、Chrome内核版本要求不低于109，该版本Chrome内核需要同时支持NPAPI、PPAPI以及WinXP操作系统</w:t>
            </w:r>
            <w:r>
              <w:rPr>
                <w:rFonts w:hint="eastAsia"/>
                <w:b/>
                <w:bCs/>
                <w:color w:val="auto"/>
                <w:highlight w:val="none"/>
                <w:lang w:eastAsia="zh-CN"/>
              </w:rPr>
              <w:t>（</w:t>
            </w:r>
            <w:r>
              <w:rPr>
                <w:rFonts w:hint="eastAsia"/>
                <w:b/>
                <w:bCs/>
                <w:color w:val="auto"/>
                <w:highlight w:val="none"/>
                <w:lang w:val="en-US" w:eastAsia="zh-CN"/>
              </w:rPr>
              <w:t>注：提供相关证明材料，并加盖供应商电子签章）</w:t>
            </w:r>
            <w:r>
              <w:rPr>
                <w:rFonts w:hint="eastAsia"/>
                <w:color w:val="auto"/>
                <w:highlight w:val="none"/>
              </w:rPr>
              <w:t>；</w:t>
            </w:r>
          </w:p>
          <w:p w14:paraId="417B6E64">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9、可按应用设置选用Chrome内核、IE内核，并可按应用设置IE内核版本，实现对现有业务系统的兼容性适配，支持IE/Chrome内核的自动切换与Cookie共享</w:t>
            </w:r>
            <w:r>
              <w:rPr>
                <w:rFonts w:hint="eastAsia"/>
                <w:b/>
                <w:bCs/>
                <w:color w:val="auto"/>
                <w:highlight w:val="none"/>
                <w:lang w:eastAsia="zh-CN"/>
              </w:rPr>
              <w:t>（</w:t>
            </w:r>
            <w:r>
              <w:rPr>
                <w:rFonts w:hint="eastAsia"/>
                <w:b/>
                <w:bCs/>
                <w:color w:val="auto"/>
                <w:highlight w:val="none"/>
                <w:lang w:val="en-US" w:eastAsia="zh-CN"/>
              </w:rPr>
              <w:t>注：提供相关证明材料，并加盖供应商电子签章）</w:t>
            </w:r>
            <w:r>
              <w:rPr>
                <w:rFonts w:hint="eastAsia"/>
                <w:color w:val="auto"/>
                <w:highlight w:val="none"/>
              </w:rPr>
              <w:t>；</w:t>
            </w:r>
          </w:p>
          <w:p w14:paraId="024E25D7">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10、浏览器打开任意新闻页面，满足不向境外发送数据的要求</w:t>
            </w:r>
            <w:r>
              <w:rPr>
                <w:rFonts w:hint="eastAsia"/>
                <w:b/>
                <w:bCs/>
                <w:color w:val="auto"/>
                <w:highlight w:val="none"/>
                <w:lang w:eastAsia="zh-CN"/>
              </w:rPr>
              <w:t>（</w:t>
            </w:r>
            <w:r>
              <w:rPr>
                <w:rFonts w:hint="eastAsia"/>
                <w:b/>
                <w:bCs/>
                <w:color w:val="auto"/>
                <w:highlight w:val="none"/>
                <w:lang w:val="en-US" w:eastAsia="zh-CN"/>
              </w:rPr>
              <w:t>注：提供相关证明材料，并加盖供应商电子签章）</w:t>
            </w:r>
            <w:r>
              <w:rPr>
                <w:rFonts w:hint="eastAsia"/>
                <w:color w:val="auto"/>
                <w:highlight w:val="none"/>
              </w:rPr>
              <w:t>；</w:t>
            </w:r>
          </w:p>
          <w:p w14:paraId="30EE1877">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11、提供由国家版权局颁发的《计算机软件著作权登记证书》；</w:t>
            </w:r>
          </w:p>
          <w:p w14:paraId="5300609F">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12、支持龙芯、兆芯、飞腾、华为鲲鹏国产CPU芯片并具备由各产品公司提供的相应的互认证书</w:t>
            </w:r>
            <w:r>
              <w:rPr>
                <w:rFonts w:hint="eastAsia"/>
                <w:b/>
                <w:bCs/>
                <w:color w:val="auto"/>
                <w:highlight w:val="none"/>
                <w:lang w:eastAsia="zh-CN"/>
              </w:rPr>
              <w:t>（</w:t>
            </w:r>
            <w:r>
              <w:rPr>
                <w:rFonts w:hint="eastAsia"/>
                <w:b/>
                <w:bCs/>
                <w:color w:val="auto"/>
                <w:highlight w:val="none"/>
                <w:lang w:val="en-US" w:eastAsia="zh-CN"/>
              </w:rPr>
              <w:t>注：提供相关证书复印件，并加盖供应商电子签章）</w:t>
            </w:r>
            <w:r>
              <w:rPr>
                <w:rFonts w:hint="eastAsia"/>
                <w:color w:val="auto"/>
                <w:highlight w:val="none"/>
              </w:rPr>
              <w:t>；</w:t>
            </w:r>
          </w:p>
          <w:p w14:paraId="0AA453B4">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13、支持银河麒麟、中标麒麟、统信UOS、中科方德、万里红、麒麟信安、一铭、普华国产操作系统并具备由各产品公司提供的相应的互认证书；（提供证书）</w:t>
            </w:r>
          </w:p>
          <w:p w14:paraId="1C1A3394">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14、支持人大金仓、神舟通用、达梦数据库管理系统；支持金山WPS、永中、重庆软航办公软件及控件；支持福昕、点聚、数科网维、书生办公套件，支持宝兰德、金蝶、东方通中间件，上述适配产品应具备由各产品公司提供的相应的互认证书。</w:t>
            </w:r>
          </w:p>
          <w:p w14:paraId="73908AB4">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15、通过信息产业信息安全测评中心出具带有ILAC-MRA和CNAS标识且报告中软件性能指标为：</w:t>
            </w:r>
          </w:p>
          <w:p w14:paraId="3F42E5BB">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（1）HTML5支持度≥581；</w:t>
            </w:r>
          </w:p>
          <w:p w14:paraId="0AC46C42">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（2）CSS3成功加载渲染通过结果数≥574，比率为100%；</w:t>
            </w:r>
          </w:p>
          <w:p w14:paraId="4340A6EF">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（3）使用JetStream对浏览器和JavaScript引擎性能的基准测试性能结果&gt;300；</w:t>
            </w:r>
          </w:p>
          <w:p w14:paraId="500AF873">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（4）V8 JavaScript引擎执行效率结果&gt;80000；</w:t>
            </w:r>
          </w:p>
          <w:p w14:paraId="6E8533E4">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（5）SSL隧道下每秒吞吐率&gt;700Mbps；</w:t>
            </w:r>
          </w:p>
          <w:p w14:paraId="556409FB">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（6）单向SSL连接性能&gt;600次/秒。</w:t>
            </w:r>
          </w:p>
          <w:p w14:paraId="28141D77">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16、支持HTML和CSS解析，支持JavaScrip引擎，可以正确的渲染显示页面，支持基本的浏览器操作功能；</w:t>
            </w:r>
          </w:p>
          <w:p w14:paraId="1D12D372">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17、支持国密算法SM2、SM3、SM4，支持国密SSL协议，符合GM/T 0024-2014《SSL VPN技术规范》；</w:t>
            </w:r>
          </w:p>
          <w:p w14:paraId="051DAE8C">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18、符合GB/T 38636-2020《信息安全技术 传输层密码协议（TLCP）》；</w:t>
            </w:r>
          </w:p>
          <w:p w14:paraId="5FA7EF00">
            <w:pPr>
              <w:keepNext w:val="0"/>
              <w:keepLines w:val="0"/>
              <w:pageBreakBefore w:val="0"/>
              <w:widowControl w:val="0"/>
              <w:kinsoku/>
              <w:wordWrap w:val="0"/>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 xml:space="preserve">19、支持第三方电子认证中心签发的数字证书； </w:t>
            </w:r>
          </w:p>
          <w:p w14:paraId="13D84200">
            <w:pPr>
              <w:keepNext w:val="0"/>
              <w:keepLines w:val="0"/>
              <w:pageBreakBefore w:val="0"/>
              <w:widowControl w:val="0"/>
              <w:kinsoku/>
              <w:wordWrap w:val="0"/>
              <w:overflowPunct/>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rPr>
              <w:t>20、支持Windows XP SP3/Windows 7/Windows 8/Windows10/Windows11系列操作系统，支持32位、64位。</w:t>
            </w:r>
          </w:p>
          <w:p w14:paraId="452B16EA">
            <w:pPr>
              <w:keepNext w:val="0"/>
              <w:keepLines w:val="0"/>
              <w:pageBreakBefore w:val="0"/>
              <w:widowControl w:val="0"/>
              <w:kinsoku/>
              <w:wordWrap w:val="0"/>
              <w:overflowPunct/>
              <w:topLinePunct w:val="0"/>
              <w:autoSpaceDE/>
              <w:autoSpaceDN/>
              <w:bidi w:val="0"/>
              <w:adjustRightInd/>
              <w:snapToGrid/>
              <w:spacing w:line="360" w:lineRule="exact"/>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21、授权免费使用时间≥3年。</w:t>
            </w:r>
          </w:p>
        </w:tc>
        <w:tc>
          <w:tcPr>
            <w:tcW w:w="681" w:type="dxa"/>
            <w:shd w:val="clear" w:color="auto" w:fill="auto"/>
            <w:vAlign w:val="center"/>
          </w:tcPr>
          <w:p w14:paraId="3BBE2A7F">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10</w:t>
            </w:r>
          </w:p>
        </w:tc>
        <w:tc>
          <w:tcPr>
            <w:tcW w:w="793" w:type="dxa"/>
            <w:shd w:val="clear" w:color="auto" w:fill="auto"/>
            <w:vAlign w:val="center"/>
          </w:tcPr>
          <w:p w14:paraId="6D4FF2D3">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套</w:t>
            </w:r>
          </w:p>
        </w:tc>
        <w:tc>
          <w:tcPr>
            <w:tcW w:w="793" w:type="dxa"/>
            <w:shd w:val="clear" w:color="auto" w:fill="auto"/>
            <w:vAlign w:val="center"/>
          </w:tcPr>
          <w:p w14:paraId="0A09F8A5">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shd w:val="clear" w:color="auto" w:fill="auto"/>
            <w:vAlign w:val="center"/>
          </w:tcPr>
          <w:p w14:paraId="67E6001E">
            <w:pPr>
              <w:keepNext w:val="0"/>
              <w:keepLines w:val="0"/>
              <w:pageBreakBefore w:val="0"/>
              <w:widowControl w:val="0"/>
              <w:kinsoku/>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kern w:val="2"/>
                <w:sz w:val="21"/>
                <w:szCs w:val="24"/>
                <w:highlight w:val="none"/>
                <w:lang w:val="en-US" w:eastAsia="zh-CN" w:bidi="ar-SA"/>
              </w:rPr>
            </w:pPr>
          </w:p>
        </w:tc>
      </w:tr>
      <w:tr w14:paraId="3AC0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23" w:type="dxa"/>
            <w:shd w:val="clear" w:color="auto" w:fill="auto"/>
            <w:vAlign w:val="center"/>
          </w:tcPr>
          <w:p w14:paraId="22147A19">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6</w:t>
            </w:r>
          </w:p>
        </w:tc>
        <w:tc>
          <w:tcPr>
            <w:tcW w:w="1072" w:type="dxa"/>
            <w:shd w:val="clear" w:color="auto" w:fill="auto"/>
            <w:vAlign w:val="center"/>
          </w:tcPr>
          <w:p w14:paraId="233EC472">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测评服务</w:t>
            </w:r>
          </w:p>
        </w:tc>
        <w:tc>
          <w:tcPr>
            <w:tcW w:w="5625" w:type="dxa"/>
            <w:shd w:val="clear" w:color="auto" w:fill="auto"/>
            <w:vAlign w:val="top"/>
          </w:tcPr>
          <w:p w14:paraId="5B02FDD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color w:val="auto"/>
                <w:highlight w:val="none"/>
              </w:rPr>
            </w:pPr>
            <w:r>
              <w:rPr>
                <w:rFonts w:hint="eastAsia"/>
                <w:color w:val="auto"/>
                <w:highlight w:val="none"/>
                <w:lang w:eastAsia="zh-CN"/>
              </w:rPr>
              <w:t>▲</w:t>
            </w:r>
            <w:r>
              <w:rPr>
                <w:rFonts w:hint="eastAsia" w:ascii="Calibri" w:hAnsi="Calibri" w:eastAsia="宋体" w:cs="宋体"/>
                <w:color w:val="auto"/>
                <w:kern w:val="2"/>
                <w:sz w:val="21"/>
                <w:szCs w:val="24"/>
                <w:highlight w:val="none"/>
                <w:lang w:val="en-US" w:eastAsia="zh-CN" w:bidi="ar-SA"/>
              </w:rPr>
              <w:t>1.</w:t>
            </w:r>
            <w:r>
              <w:rPr>
                <w:rFonts w:hint="eastAsia"/>
                <w:color w:val="auto"/>
                <w:highlight w:val="none"/>
              </w:rPr>
              <w:t>具备密评资质的测评机构对贺州市妇幼保健院智慧医院信息系统的方案测评、系统初评，系统整改后终评，</w:t>
            </w:r>
            <w:r>
              <w:rPr>
                <w:rFonts w:hint="eastAsia"/>
                <w:color w:val="auto"/>
                <w:highlight w:val="none"/>
                <w:lang w:val="en-US" w:eastAsia="zh-CN"/>
              </w:rPr>
              <w:t>直至合格。</w:t>
            </w:r>
            <w:r>
              <w:rPr>
                <w:rFonts w:hint="eastAsia"/>
                <w:color w:val="auto"/>
                <w:highlight w:val="none"/>
              </w:rPr>
              <w:t>需按照《信息安全技术信息系统密码应用基本要求》、《信息系统密码测评要求》等标准，以及《商用密码应用安全性评估测评过程指南（试行）》《商用密码应用安全性评估测评作业指导书（试行）》等指导性文件规范进行系统评估；出具符合要求的《密码应用方案评估报告》《商用密码应用安全性评估报告》。</w:t>
            </w:r>
          </w:p>
          <w:p w14:paraId="4E15F373">
            <w:pPr>
              <w:pStyle w:val="8"/>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200"/>
              <w:jc w:val="left"/>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val="en-US" w:eastAsia="zh-CN"/>
              </w:rPr>
              <w:t>.</w:t>
            </w:r>
            <w:r>
              <w:rPr>
                <w:rFonts w:hint="eastAsia" w:asciiTheme="minorEastAsia" w:hAnsiTheme="minorEastAsia" w:eastAsiaTheme="minorEastAsia" w:cstheme="majorEastAsia"/>
                <w:color w:val="auto"/>
                <w:szCs w:val="21"/>
                <w:highlight w:val="none"/>
                <w:lang w:val="en-US" w:eastAsia="zh-CN"/>
              </w:rPr>
              <w:t>成交供应商</w:t>
            </w:r>
            <w:r>
              <w:rPr>
                <w:rFonts w:hint="eastAsia" w:asciiTheme="minorEastAsia" w:hAnsiTheme="minorEastAsia" w:eastAsiaTheme="minorEastAsia" w:cstheme="majorEastAsia"/>
                <w:color w:val="auto"/>
                <w:szCs w:val="21"/>
                <w:highlight w:val="none"/>
                <w:lang w:val="en-US" w:eastAsia="zh-CN"/>
              </w:rPr>
              <w:t>必须保障本项目顺利实施且通过信息系统商用密码应用安全性评估，</w:t>
            </w:r>
            <w:r>
              <w:rPr>
                <w:rFonts w:hint="eastAsia" w:asciiTheme="minorEastAsia" w:hAnsiTheme="minorEastAsia" w:eastAsiaTheme="minorEastAsia" w:cstheme="majorEastAsia"/>
                <w:color w:val="auto"/>
                <w:szCs w:val="21"/>
                <w:highlight w:val="none"/>
              </w:rPr>
              <w:t>因</w:t>
            </w:r>
            <w:r>
              <w:rPr>
                <w:rFonts w:hint="eastAsia" w:asciiTheme="minorEastAsia" w:hAnsiTheme="minorEastAsia" w:eastAsiaTheme="minorEastAsia" w:cstheme="majorEastAsia"/>
                <w:color w:val="auto"/>
                <w:szCs w:val="21"/>
                <w:highlight w:val="none"/>
                <w:lang w:val="en-US" w:eastAsia="zh-CN"/>
              </w:rPr>
              <w:t>项目产品无法与本院原有设备兼容、对接</w:t>
            </w:r>
            <w:r>
              <w:rPr>
                <w:rFonts w:hint="eastAsia" w:asciiTheme="minorEastAsia" w:hAnsiTheme="minorEastAsia" w:eastAsiaTheme="minorEastAsia" w:cstheme="majorEastAsia"/>
                <w:color w:val="auto"/>
                <w:szCs w:val="21"/>
                <w:highlight w:val="none"/>
              </w:rPr>
              <w:t>或者</w:t>
            </w:r>
            <w:r>
              <w:rPr>
                <w:rFonts w:hint="eastAsia" w:asciiTheme="minorEastAsia" w:hAnsiTheme="minorEastAsia" w:eastAsiaTheme="minorEastAsia" w:cstheme="majorEastAsia"/>
                <w:color w:val="auto"/>
                <w:szCs w:val="21"/>
                <w:highlight w:val="none"/>
                <w:lang w:val="en-US" w:eastAsia="zh-CN"/>
              </w:rPr>
              <w:t>各种</w:t>
            </w:r>
            <w:r>
              <w:rPr>
                <w:rFonts w:hint="eastAsia" w:asciiTheme="minorEastAsia" w:hAnsiTheme="minorEastAsia" w:eastAsiaTheme="minorEastAsia" w:cstheme="majorEastAsia"/>
                <w:color w:val="auto"/>
                <w:szCs w:val="21"/>
                <w:highlight w:val="none"/>
              </w:rPr>
              <w:t>设备（含配套设备</w:t>
            </w:r>
            <w:r>
              <w:rPr>
                <w:rFonts w:hint="eastAsia" w:asciiTheme="minorEastAsia" w:hAnsiTheme="minorEastAsia" w:eastAsiaTheme="minorEastAsia" w:cstheme="majorEastAsia"/>
                <w:color w:val="auto"/>
                <w:szCs w:val="21"/>
                <w:highlight w:val="none"/>
                <w:lang w:eastAsia="zh-CN"/>
              </w:rPr>
              <w:t>、</w:t>
            </w:r>
            <w:r>
              <w:rPr>
                <w:rFonts w:hint="eastAsia" w:asciiTheme="minorEastAsia" w:hAnsiTheme="minorEastAsia" w:eastAsiaTheme="minorEastAsia" w:cstheme="majorEastAsia"/>
                <w:color w:val="auto"/>
                <w:szCs w:val="21"/>
                <w:highlight w:val="none"/>
                <w:lang w:val="en-US" w:eastAsia="zh-CN"/>
              </w:rPr>
              <w:t>配件</w:t>
            </w:r>
            <w:r>
              <w:rPr>
                <w:rFonts w:hint="eastAsia" w:asciiTheme="minorEastAsia" w:hAnsiTheme="minorEastAsia" w:eastAsiaTheme="minorEastAsia" w:cstheme="majorEastAsia"/>
                <w:color w:val="auto"/>
                <w:szCs w:val="21"/>
                <w:highlight w:val="none"/>
              </w:rPr>
              <w:t>）数量不足</w:t>
            </w:r>
            <w:r>
              <w:rPr>
                <w:rFonts w:hint="eastAsia" w:asciiTheme="minorEastAsia" w:hAnsiTheme="minorEastAsia" w:eastAsiaTheme="minorEastAsia" w:cstheme="majorEastAsia"/>
                <w:color w:val="auto"/>
                <w:szCs w:val="21"/>
                <w:highlight w:val="none"/>
                <w:lang w:val="en-US" w:eastAsia="zh-CN"/>
              </w:rPr>
              <w:t>或者其他原因</w:t>
            </w:r>
            <w:r>
              <w:rPr>
                <w:rFonts w:hint="eastAsia" w:asciiTheme="minorEastAsia" w:hAnsiTheme="minorEastAsia" w:eastAsiaTheme="minorEastAsia" w:cstheme="majorEastAsia"/>
                <w:color w:val="auto"/>
                <w:szCs w:val="21"/>
                <w:highlight w:val="none"/>
              </w:rPr>
              <w:t>导致</w:t>
            </w:r>
            <w:r>
              <w:rPr>
                <w:rFonts w:hint="eastAsia" w:asciiTheme="minorEastAsia" w:hAnsiTheme="minorEastAsia" w:eastAsiaTheme="minorEastAsia" w:cstheme="majorEastAsia"/>
                <w:color w:val="auto"/>
                <w:szCs w:val="21"/>
                <w:highlight w:val="none"/>
                <w:lang w:val="en-US" w:eastAsia="zh-CN"/>
              </w:rPr>
              <w:t>密评</w:t>
            </w:r>
            <w:r>
              <w:rPr>
                <w:rFonts w:hint="eastAsia" w:asciiTheme="minorEastAsia" w:hAnsiTheme="minorEastAsia" w:eastAsiaTheme="minorEastAsia" w:cstheme="majorEastAsia"/>
                <w:color w:val="auto"/>
                <w:szCs w:val="21"/>
                <w:highlight w:val="none"/>
              </w:rPr>
              <w:t>无法通过的，</w:t>
            </w:r>
            <w:r>
              <w:rPr>
                <w:rFonts w:hint="eastAsia" w:asciiTheme="minorEastAsia" w:hAnsiTheme="minorEastAsia" w:eastAsiaTheme="minorEastAsia" w:cstheme="majorEastAsia"/>
                <w:color w:val="auto"/>
                <w:szCs w:val="21"/>
                <w:highlight w:val="none"/>
                <w:lang w:val="en-US" w:eastAsia="zh-CN"/>
              </w:rPr>
              <w:t>成交供应商</w:t>
            </w:r>
            <w:r>
              <w:rPr>
                <w:rFonts w:hint="eastAsia" w:asciiTheme="minorEastAsia" w:hAnsiTheme="minorEastAsia" w:eastAsiaTheme="minorEastAsia" w:cstheme="majorEastAsia"/>
                <w:color w:val="auto"/>
                <w:szCs w:val="21"/>
                <w:highlight w:val="none"/>
              </w:rPr>
              <w:t>需按测评要求整改和配齐</w:t>
            </w:r>
            <w:r>
              <w:rPr>
                <w:rFonts w:hint="eastAsia" w:asciiTheme="minorEastAsia" w:hAnsiTheme="minorEastAsia" w:eastAsiaTheme="minorEastAsia" w:cstheme="majorEastAsia"/>
                <w:color w:val="auto"/>
                <w:szCs w:val="21"/>
                <w:highlight w:val="none"/>
                <w:lang w:val="en-US" w:eastAsia="zh-CN"/>
              </w:rPr>
              <w:t>或升级</w:t>
            </w:r>
            <w:r>
              <w:rPr>
                <w:rFonts w:hint="eastAsia" w:asciiTheme="minorEastAsia" w:hAnsiTheme="minorEastAsia" w:eastAsiaTheme="minorEastAsia" w:cstheme="majorEastAsia"/>
                <w:color w:val="auto"/>
                <w:szCs w:val="21"/>
                <w:highlight w:val="none"/>
              </w:rPr>
              <w:t>相关设备，直至</w:t>
            </w:r>
            <w:r>
              <w:rPr>
                <w:rFonts w:hint="eastAsia"/>
                <w:color w:val="auto"/>
                <w:highlight w:val="none"/>
              </w:rPr>
              <w:t>贺州市妇幼保健院智慧医院信息系统</w:t>
            </w:r>
            <w:r>
              <w:rPr>
                <w:rFonts w:hint="eastAsia"/>
                <w:color w:val="auto"/>
                <w:highlight w:val="none"/>
                <w:lang w:val="en-US" w:eastAsia="zh-CN"/>
              </w:rPr>
              <w:t>密评合格</w:t>
            </w:r>
            <w:r>
              <w:rPr>
                <w:rFonts w:hint="eastAsia" w:asciiTheme="minorEastAsia" w:hAnsiTheme="minorEastAsia" w:eastAsiaTheme="minorEastAsia" w:cstheme="majorEastAsia"/>
                <w:color w:val="auto"/>
                <w:szCs w:val="21"/>
                <w:highlight w:val="none"/>
              </w:rPr>
              <w:t>为止，这些设备</w:t>
            </w:r>
            <w:r>
              <w:rPr>
                <w:rFonts w:hint="eastAsia" w:asciiTheme="minorEastAsia" w:hAnsiTheme="minorEastAsia" w:eastAsiaTheme="minorEastAsia" w:cstheme="majorEastAsia"/>
                <w:color w:val="auto"/>
                <w:szCs w:val="21"/>
                <w:highlight w:val="none"/>
                <w:lang w:val="en-US" w:eastAsia="zh-CN"/>
              </w:rPr>
              <w:t>、服务等一切产品的</w:t>
            </w:r>
            <w:r>
              <w:rPr>
                <w:rFonts w:hint="eastAsia" w:asciiTheme="minorEastAsia" w:hAnsiTheme="minorEastAsia" w:eastAsiaTheme="minorEastAsia" w:cstheme="majorEastAsia"/>
                <w:color w:val="auto"/>
                <w:szCs w:val="21"/>
                <w:highlight w:val="none"/>
                <w:lang w:val="en-US" w:eastAsia="zh-CN"/>
              </w:rPr>
              <w:t>一切</w:t>
            </w:r>
            <w:r>
              <w:rPr>
                <w:rFonts w:hint="eastAsia" w:asciiTheme="minorEastAsia" w:hAnsiTheme="minorEastAsia" w:eastAsiaTheme="minorEastAsia" w:cstheme="majorEastAsia"/>
                <w:color w:val="auto"/>
                <w:szCs w:val="21"/>
                <w:highlight w:val="none"/>
              </w:rPr>
              <w:t>权属</w:t>
            </w:r>
            <w:r>
              <w:rPr>
                <w:rFonts w:hint="eastAsia" w:asciiTheme="minorEastAsia" w:hAnsiTheme="minorEastAsia" w:eastAsiaTheme="minorEastAsia" w:cstheme="majorEastAsia"/>
                <w:color w:val="auto"/>
                <w:szCs w:val="21"/>
                <w:highlight w:val="none"/>
              </w:rPr>
              <w:t>归采购方所有，</w:t>
            </w:r>
            <w:r>
              <w:rPr>
                <w:rFonts w:hint="eastAsia" w:asciiTheme="minorEastAsia" w:hAnsiTheme="minorEastAsia" w:eastAsiaTheme="minorEastAsia" w:cstheme="majorEastAsia"/>
                <w:color w:val="auto"/>
                <w:szCs w:val="21"/>
                <w:highlight w:val="none"/>
                <w:lang w:val="en-US" w:eastAsia="zh-CN"/>
              </w:rPr>
              <w:t>且享有原厂设备和服务同等的质保权利，</w:t>
            </w:r>
            <w:r>
              <w:rPr>
                <w:rFonts w:hint="eastAsia" w:asciiTheme="minorEastAsia" w:hAnsiTheme="minorEastAsia" w:eastAsiaTheme="minorEastAsia" w:cstheme="majorEastAsia"/>
                <w:color w:val="auto"/>
                <w:szCs w:val="21"/>
                <w:highlight w:val="none"/>
              </w:rPr>
              <w:t>采购方不再支付合同外的其他款项</w:t>
            </w:r>
            <w:r>
              <w:rPr>
                <w:rFonts w:hint="eastAsia" w:asciiTheme="minorEastAsia" w:hAnsiTheme="minorEastAsia" w:eastAsiaTheme="minorEastAsia" w:cstheme="majorEastAsia"/>
                <w:color w:val="auto"/>
                <w:szCs w:val="21"/>
                <w:highlight w:val="none"/>
                <w:lang w:eastAsia="zh-CN"/>
              </w:rPr>
              <w:t>。</w:t>
            </w:r>
          </w:p>
        </w:tc>
        <w:tc>
          <w:tcPr>
            <w:tcW w:w="681" w:type="dxa"/>
            <w:shd w:val="clear" w:color="auto" w:fill="auto"/>
            <w:vAlign w:val="center"/>
          </w:tcPr>
          <w:p w14:paraId="5F4D9E34">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p>
        </w:tc>
        <w:tc>
          <w:tcPr>
            <w:tcW w:w="793" w:type="dxa"/>
            <w:shd w:val="clear" w:color="auto" w:fill="auto"/>
            <w:vAlign w:val="center"/>
          </w:tcPr>
          <w:p w14:paraId="7F8191FC">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项</w:t>
            </w:r>
          </w:p>
        </w:tc>
        <w:tc>
          <w:tcPr>
            <w:tcW w:w="793" w:type="dxa"/>
            <w:shd w:val="clear" w:color="auto" w:fill="auto"/>
            <w:vAlign w:val="center"/>
          </w:tcPr>
          <w:p w14:paraId="364B29D7">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shd w:val="clear" w:color="auto" w:fill="auto"/>
            <w:vAlign w:val="center"/>
          </w:tcPr>
          <w:p w14:paraId="3E34FB00">
            <w:pPr>
              <w:keepNext w:val="0"/>
              <w:keepLines w:val="0"/>
              <w:pageBreakBefore w:val="0"/>
              <w:widowControl w:val="0"/>
              <w:kinsoku/>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kern w:val="2"/>
                <w:sz w:val="21"/>
                <w:szCs w:val="24"/>
                <w:highlight w:val="none"/>
                <w:lang w:val="en-US" w:eastAsia="zh-CN" w:bidi="ar-SA"/>
              </w:rPr>
            </w:pPr>
          </w:p>
        </w:tc>
      </w:tr>
      <w:tr w14:paraId="2C60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23" w:type="dxa"/>
            <w:shd w:val="clear" w:color="auto" w:fill="auto"/>
            <w:vAlign w:val="center"/>
          </w:tcPr>
          <w:p w14:paraId="075CB9DE">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7</w:t>
            </w:r>
          </w:p>
        </w:tc>
        <w:tc>
          <w:tcPr>
            <w:tcW w:w="1072" w:type="dxa"/>
            <w:shd w:val="clear" w:color="auto" w:fill="auto"/>
            <w:vAlign w:val="center"/>
          </w:tcPr>
          <w:p w14:paraId="34332941">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系统集成</w:t>
            </w:r>
          </w:p>
        </w:tc>
        <w:tc>
          <w:tcPr>
            <w:tcW w:w="5625" w:type="dxa"/>
            <w:shd w:val="clear" w:color="auto" w:fill="auto"/>
            <w:vAlign w:val="top"/>
          </w:tcPr>
          <w:p w14:paraId="0CE6C7F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方</w:t>
            </w:r>
            <w:r>
              <w:rPr>
                <w:rFonts w:hint="eastAsia" w:eastAsia="宋体" w:cs="宋体"/>
                <w:color w:val="auto"/>
                <w:highlight w:val="none"/>
              </w:rPr>
              <w:t>案编制、方案评审、设备安装调试，协助测评机构整改终评，整改完成后协助用户做好相关备案工作，</w:t>
            </w:r>
            <w:r>
              <w:rPr>
                <w:rFonts w:hint="eastAsia" w:eastAsia="宋体" w:cs="宋体"/>
                <w:color w:val="auto"/>
                <w:highlight w:val="none"/>
                <w:lang w:val="en-US" w:eastAsia="zh-CN"/>
              </w:rPr>
              <w:t>项目</w:t>
            </w:r>
            <w:r>
              <w:rPr>
                <w:rFonts w:hint="eastAsia" w:eastAsia="宋体" w:cs="宋体"/>
                <w:color w:val="auto"/>
                <w:highlight w:val="none"/>
              </w:rPr>
              <w:t>如需</w:t>
            </w:r>
            <w:r>
              <w:rPr>
                <w:rFonts w:hint="eastAsia" w:eastAsia="宋体" w:cs="宋体"/>
                <w:color w:val="auto"/>
                <w:highlight w:val="none"/>
                <w:lang w:val="en-US" w:eastAsia="zh-CN"/>
              </w:rPr>
              <w:t>医院信息系统</w:t>
            </w:r>
            <w:r>
              <w:rPr>
                <w:rFonts w:hint="eastAsia" w:eastAsia="宋体" w:cs="宋体"/>
                <w:color w:val="auto"/>
                <w:highlight w:val="none"/>
              </w:rPr>
              <w:t>厂商接口或应用改造，费用由</w:t>
            </w:r>
            <w:r>
              <w:rPr>
                <w:rFonts w:hint="eastAsia" w:eastAsia="宋体" w:cs="宋体"/>
                <w:color w:val="auto"/>
                <w:highlight w:val="none"/>
                <w:lang w:val="en-US" w:eastAsia="zh-CN"/>
              </w:rPr>
              <w:t>本项目</w:t>
            </w:r>
            <w:r>
              <w:rPr>
                <w:rFonts w:hint="eastAsia" w:cs="宋体"/>
                <w:color w:val="auto"/>
                <w:highlight w:val="none"/>
                <w:lang w:val="en-US" w:eastAsia="zh-CN"/>
              </w:rPr>
              <w:t>成交供应商</w:t>
            </w:r>
            <w:r>
              <w:rPr>
                <w:rFonts w:hint="eastAsia" w:eastAsia="宋体" w:cs="宋体"/>
                <w:color w:val="auto"/>
                <w:highlight w:val="none"/>
              </w:rPr>
              <w:t>负责</w:t>
            </w:r>
            <w:r>
              <w:rPr>
                <w:rFonts w:hint="eastAsia" w:eastAsia="宋体" w:cs="宋体"/>
                <w:color w:val="auto"/>
                <w:highlight w:val="none"/>
                <w:lang w:eastAsia="zh-CN"/>
              </w:rPr>
              <w:t>。</w:t>
            </w:r>
          </w:p>
        </w:tc>
        <w:tc>
          <w:tcPr>
            <w:tcW w:w="681" w:type="dxa"/>
            <w:shd w:val="clear" w:color="auto" w:fill="auto"/>
            <w:vAlign w:val="center"/>
          </w:tcPr>
          <w:p w14:paraId="2D93ADA8">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p>
        </w:tc>
        <w:tc>
          <w:tcPr>
            <w:tcW w:w="793" w:type="dxa"/>
            <w:shd w:val="clear" w:color="auto" w:fill="auto"/>
            <w:vAlign w:val="center"/>
          </w:tcPr>
          <w:p w14:paraId="4359A338">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项</w:t>
            </w:r>
          </w:p>
        </w:tc>
        <w:tc>
          <w:tcPr>
            <w:tcW w:w="793" w:type="dxa"/>
            <w:shd w:val="clear" w:color="auto" w:fill="auto"/>
            <w:vAlign w:val="center"/>
          </w:tcPr>
          <w:p w14:paraId="76BCA551">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shd w:val="clear" w:color="auto" w:fill="auto"/>
            <w:vAlign w:val="center"/>
          </w:tcPr>
          <w:p w14:paraId="78A99F5A">
            <w:pPr>
              <w:keepNext w:val="0"/>
              <w:keepLines w:val="0"/>
              <w:pageBreakBefore w:val="0"/>
              <w:widowControl w:val="0"/>
              <w:kinsoku/>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kern w:val="2"/>
                <w:sz w:val="21"/>
                <w:szCs w:val="24"/>
                <w:highlight w:val="none"/>
                <w:lang w:val="en-US" w:eastAsia="zh-CN" w:bidi="ar-SA"/>
              </w:rPr>
            </w:pPr>
          </w:p>
        </w:tc>
      </w:tr>
      <w:tr w14:paraId="269E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3" w:type="dxa"/>
            <w:shd w:val="clear" w:color="auto" w:fill="auto"/>
            <w:vAlign w:val="center"/>
          </w:tcPr>
          <w:p w14:paraId="42D3F72D">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8</w:t>
            </w:r>
          </w:p>
        </w:tc>
        <w:tc>
          <w:tcPr>
            <w:tcW w:w="1072" w:type="dxa"/>
            <w:shd w:val="clear" w:color="auto" w:fill="auto"/>
            <w:vAlign w:val="center"/>
          </w:tcPr>
          <w:p w14:paraId="54A32432">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SSL证书</w:t>
            </w:r>
          </w:p>
        </w:tc>
        <w:tc>
          <w:tcPr>
            <w:tcW w:w="5625" w:type="dxa"/>
            <w:shd w:val="clear" w:color="auto" w:fill="auto"/>
            <w:vAlign w:val="top"/>
          </w:tcPr>
          <w:p w14:paraId="1FAA931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1.遵循国家标准技术规范，采用国密签名算法，保证数字证书无法篡改和无法伪造；</w:t>
            </w:r>
          </w:p>
          <w:p w14:paraId="7C823EB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2.为服务器或客户端的身份信息提供身份证明；</w:t>
            </w:r>
          </w:p>
          <w:p w14:paraId="39CFB18C">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3.由合规的CA机构颁发，CA机构具有国家工信部颁发的《电子认证服务许可证》；</w:t>
            </w:r>
          </w:p>
        </w:tc>
        <w:tc>
          <w:tcPr>
            <w:tcW w:w="681" w:type="dxa"/>
            <w:shd w:val="clear" w:color="auto" w:fill="auto"/>
            <w:vAlign w:val="center"/>
          </w:tcPr>
          <w:p w14:paraId="3438E905">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2</w:t>
            </w:r>
          </w:p>
        </w:tc>
        <w:tc>
          <w:tcPr>
            <w:tcW w:w="793" w:type="dxa"/>
            <w:shd w:val="clear" w:color="auto" w:fill="auto"/>
            <w:vAlign w:val="center"/>
          </w:tcPr>
          <w:p w14:paraId="267ECBA8">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张</w:t>
            </w:r>
          </w:p>
        </w:tc>
        <w:tc>
          <w:tcPr>
            <w:tcW w:w="793" w:type="dxa"/>
            <w:shd w:val="clear" w:color="auto" w:fill="auto"/>
            <w:vAlign w:val="center"/>
          </w:tcPr>
          <w:p w14:paraId="457D1970">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shd w:val="clear" w:color="auto" w:fill="auto"/>
            <w:vAlign w:val="center"/>
          </w:tcPr>
          <w:p w14:paraId="00514989">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p>
        </w:tc>
      </w:tr>
      <w:tr w14:paraId="5783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3" w:type="dxa"/>
            <w:shd w:val="clear" w:color="auto" w:fill="auto"/>
            <w:vAlign w:val="center"/>
          </w:tcPr>
          <w:p w14:paraId="60939454">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9</w:t>
            </w:r>
          </w:p>
        </w:tc>
        <w:tc>
          <w:tcPr>
            <w:tcW w:w="1072" w:type="dxa"/>
            <w:shd w:val="clear" w:color="auto" w:fill="auto"/>
            <w:vAlign w:val="center"/>
          </w:tcPr>
          <w:p w14:paraId="3A54FB96">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智能密码钥匙</w:t>
            </w:r>
          </w:p>
        </w:tc>
        <w:tc>
          <w:tcPr>
            <w:tcW w:w="5625" w:type="dxa"/>
            <w:shd w:val="clear" w:color="auto" w:fill="auto"/>
            <w:vAlign w:val="top"/>
          </w:tcPr>
          <w:p w14:paraId="77E5C738">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重点解决运维人员登录身份鉴别问题。</w:t>
            </w:r>
          </w:p>
        </w:tc>
        <w:tc>
          <w:tcPr>
            <w:tcW w:w="681" w:type="dxa"/>
            <w:shd w:val="clear" w:color="auto" w:fill="auto"/>
            <w:vAlign w:val="center"/>
          </w:tcPr>
          <w:p w14:paraId="4B8206F5">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10</w:t>
            </w:r>
          </w:p>
        </w:tc>
        <w:tc>
          <w:tcPr>
            <w:tcW w:w="793" w:type="dxa"/>
            <w:shd w:val="clear" w:color="auto" w:fill="auto"/>
            <w:vAlign w:val="center"/>
          </w:tcPr>
          <w:p w14:paraId="753DDBF8">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个</w:t>
            </w:r>
          </w:p>
        </w:tc>
        <w:tc>
          <w:tcPr>
            <w:tcW w:w="793" w:type="dxa"/>
            <w:shd w:val="clear" w:color="auto" w:fill="auto"/>
            <w:vAlign w:val="center"/>
          </w:tcPr>
          <w:p w14:paraId="762C7CCD">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shd w:val="clear" w:color="auto" w:fill="auto"/>
            <w:vAlign w:val="center"/>
          </w:tcPr>
          <w:p w14:paraId="1E49C5D8">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p>
        </w:tc>
      </w:tr>
      <w:tr w14:paraId="0FE9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3" w:type="dxa"/>
            <w:shd w:val="clear" w:color="auto" w:fill="auto"/>
            <w:vAlign w:val="center"/>
          </w:tcPr>
          <w:p w14:paraId="67A04C66">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w:t>
            </w:r>
          </w:p>
        </w:tc>
        <w:tc>
          <w:tcPr>
            <w:tcW w:w="1072" w:type="dxa"/>
            <w:shd w:val="clear" w:color="auto" w:fill="auto"/>
            <w:vAlign w:val="center"/>
          </w:tcPr>
          <w:p w14:paraId="4254000E">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移动数字证书</w:t>
            </w:r>
          </w:p>
        </w:tc>
        <w:tc>
          <w:tcPr>
            <w:tcW w:w="5625" w:type="dxa"/>
            <w:shd w:val="clear" w:color="auto" w:fill="auto"/>
            <w:vAlign w:val="top"/>
          </w:tcPr>
          <w:p w14:paraId="45FE1DD6">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w:t>
            </w:r>
            <w:r>
              <w:rPr>
                <w:rFonts w:hint="eastAsia"/>
                <w:color w:val="auto"/>
                <w:highlight w:val="none"/>
              </w:rPr>
              <w:t>由第三方数字证书服务机构签发，必须与用户原有CA系统平台无缝衔接</w:t>
            </w:r>
            <w:r>
              <w:rPr>
                <w:rFonts w:hint="eastAsia"/>
                <w:b/>
                <w:bCs/>
                <w:color w:val="auto"/>
                <w:highlight w:val="none"/>
                <w:lang w:eastAsia="zh-CN"/>
              </w:rPr>
              <w:t>（</w:t>
            </w:r>
            <w:r>
              <w:rPr>
                <w:rFonts w:hint="eastAsia"/>
                <w:b/>
                <w:bCs/>
                <w:color w:val="auto"/>
                <w:highlight w:val="none"/>
                <w:lang w:val="en-US" w:eastAsia="zh-CN"/>
              </w:rPr>
              <w:t>注：提供相关证明材料，并加盖供应商电子签章）</w:t>
            </w:r>
            <w:r>
              <w:rPr>
                <w:rFonts w:hint="eastAsia"/>
                <w:color w:val="auto"/>
                <w:highlight w:val="none"/>
              </w:rPr>
              <w:t>。</w:t>
            </w:r>
          </w:p>
        </w:tc>
        <w:tc>
          <w:tcPr>
            <w:tcW w:w="681" w:type="dxa"/>
            <w:shd w:val="clear" w:color="auto" w:fill="auto"/>
            <w:vAlign w:val="center"/>
          </w:tcPr>
          <w:p w14:paraId="25C6F524">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10</w:t>
            </w:r>
          </w:p>
        </w:tc>
        <w:tc>
          <w:tcPr>
            <w:tcW w:w="793" w:type="dxa"/>
            <w:shd w:val="clear" w:color="auto" w:fill="auto"/>
            <w:vAlign w:val="center"/>
          </w:tcPr>
          <w:p w14:paraId="62D20BA9">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个</w:t>
            </w:r>
          </w:p>
        </w:tc>
        <w:tc>
          <w:tcPr>
            <w:tcW w:w="793" w:type="dxa"/>
            <w:shd w:val="clear" w:color="auto" w:fill="auto"/>
            <w:vAlign w:val="center"/>
          </w:tcPr>
          <w:p w14:paraId="478CB5E0">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93" w:type="dxa"/>
            <w:shd w:val="clear" w:color="auto" w:fill="auto"/>
            <w:vAlign w:val="center"/>
          </w:tcPr>
          <w:p w14:paraId="05EA18D0">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p>
        </w:tc>
      </w:tr>
      <w:tr w14:paraId="2719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3" w:type="dxa"/>
            <w:vAlign w:val="center"/>
          </w:tcPr>
          <w:p w14:paraId="51EDBA1F">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default" w:eastAsia="宋体"/>
                <w:color w:val="auto"/>
                <w:highlight w:val="none"/>
                <w:lang w:val="en-US" w:eastAsia="zh-CN"/>
              </w:rPr>
            </w:pPr>
            <w:r>
              <w:rPr>
                <w:rFonts w:hint="eastAsia"/>
                <w:color w:val="auto"/>
                <w:highlight w:val="none"/>
                <w:lang w:val="en-US" w:eastAsia="zh-CN"/>
              </w:rPr>
              <w:t>11</w:t>
            </w:r>
          </w:p>
        </w:tc>
        <w:tc>
          <w:tcPr>
            <w:tcW w:w="1072" w:type="dxa"/>
            <w:vAlign w:val="center"/>
          </w:tcPr>
          <w:p w14:paraId="28B39F42">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SSL VPN安全网关</w:t>
            </w:r>
          </w:p>
        </w:tc>
        <w:tc>
          <w:tcPr>
            <w:tcW w:w="5625" w:type="dxa"/>
          </w:tcPr>
          <w:p w14:paraId="7382946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一、性能参数：</w:t>
            </w:r>
          </w:p>
          <w:p w14:paraId="0E3B09A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1、国产化设备，规格≥1U，内存大小≥16G，硬盘容量≥128G SSD，单电源，接口≥6千兆电口+4千兆光口</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741583B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2、零信任接入授权≥100套</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5D9D57D5">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二、功能参数：</w:t>
            </w:r>
          </w:p>
          <w:p w14:paraId="1D8BC1BF">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1、为了满足灵活部署的要求，控制中心应支持IPV4/IPV6双栈网络IP配置，可自主选择配置LAN口或WAN口；</w:t>
            </w:r>
          </w:p>
          <w:p w14:paraId="45C2F79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2、为充分利用设备的网络性能，控制中心部署时支持配置聚合网口，并支持将聚合网口作为控制中心的网络部署IP，聚合网口支持通过哈希或802.3ad等标准对闲置网口进行网口绑定，支持通过ARP探测机制对聚合网口进行健康检查；</w:t>
            </w:r>
          </w:p>
          <w:p w14:paraId="089AF31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3、为了使系统资源利用最大化，本地集群与分布式集群下各节点的零信任授权数均可共享使用，集群的总接入授权数是各节点授权数的总和</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1372350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4、集群故障切换时间优化，被动故障不超过60S，主动故障不超过100S恢复；</w:t>
            </w:r>
          </w:p>
          <w:p w14:paraId="7A43018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5、通过隧道模式，可以支持基于TCP、UDP、ICMP等协议代理访问业务资源，支持发布IP、IP范围、IP段、具体域名及通配符域名等形式的服务器地址，满足常见办公业务的代理，收缩业务暴露面；</w:t>
            </w:r>
          </w:p>
          <w:p w14:paraId="288BD017">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6、支持配置点击工作台的业务应用即可直接拉起对应的CS程序进行访问，包括但不限于浏览器、远程桌面或其他指定程序，支持Windows、macOS、统信UOS、麒麟kylin、Ubuntu等主流操作系统，针对Windows系统，还应支持拉起CS应用时携带启动参数，自动访问管理员设定的地址；</w:t>
            </w:r>
          </w:p>
          <w:p w14:paraId="0784341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7、当客户端通过CDN加速等代理方式接入访问业务系统时，支持获取CDN加速前的访问IP，并在日志中记录此IP为客户端IP</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019F87BB">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8、为满足单位多样化安全便捷认证需求，支持以下认证方式：本地账号密码认证、LDAP/AD认证、OAuth2.0标准协议的票据认证、CAS标准协议的票据认证、Radius账号认证、HTTPS帐号认证、证书主认证、证书辅认证、短信主认证、短信辅认证、标准Radius令牌认证、第三方令牌认证、TOTP动态令牌认证等认证方式，并可与企业微信、阿里钉钉、飞书结合实现扫码认证，支持飞书用户或个人微信企业号通过H5接入；</w:t>
            </w:r>
          </w:p>
          <w:p w14:paraId="4EF5B77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9、支持管理员自行配置单位的弱密码库，可配置不少于10W行的弱密码；</w:t>
            </w:r>
          </w:p>
          <w:p w14:paraId="6CDACF85">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10、为方便管理员统筹查看管理零信任系统的整体运行状态，支持对设备自身的安全状态和策略配置进行巡检，对设备的整体状态进行打分，统计所有检查的正常项、异常项和告警项，并输出巡检报告；</w:t>
            </w:r>
          </w:p>
          <w:p w14:paraId="37ADA9C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11、支持新增/删除/修改管理组，内置审计管理员、安全管理员、系统管理员等管理组；通过管理组管理权限的配置，实现管理员分级分权；</w:t>
            </w:r>
          </w:p>
          <w:p w14:paraId="09A6BFF9">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12、监控中心扩展支持管理员直接在控制台查看接入零信任系统的安全概览，包括但不限于TOP5 的风险IP、风险账号、风险终端等风险实体，以及零信任设备、账号、终端相关的风险事件分布、风险事件趋势、TOP5风险事件类型等展示</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2AE54DD7">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13、支持对客户端的工作台标签、欢迎语标题、接入按钮、办公提示语等信息进行自定义配置；</w:t>
            </w:r>
          </w:p>
          <w:p w14:paraId="43CCC5E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14、系统运维支持自行修正设备时间或通过NTP自动校正设备时间，可自行配置NTP服务器地址；</w:t>
            </w:r>
          </w:p>
          <w:p w14:paraId="75FE602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15、支持用户安全日志提取，审计中心应将具有异常登录行为的用户日志自动打标签为用户安全日志，以便于管理员快速审计定位。用户安全日志包括但不限于：帐号安全（应包含帐号首次登录、异常时间登录、非常用地点登录、弱密码登录、爆破登录、闲置帐号登录、帐号在新终端登录等）、中间人攻击、SPA安全（应包含SPA端口扫描、SPA爆破攻击、SPA敲门伪造、SPA重放攻击、SPA安全码泄漏等）、cookie劫持等；</w:t>
            </w:r>
          </w:p>
          <w:p w14:paraId="56629293">
            <w:pPr>
              <w:keepNext w:val="0"/>
              <w:keepLines w:val="0"/>
              <w:pageBreakBefore w:val="0"/>
              <w:widowControl w:val="0"/>
              <w:kinsoku/>
              <w:overflowPunct/>
              <w:topLinePunct w:val="0"/>
              <w:autoSpaceDE/>
              <w:autoSpaceDN/>
              <w:bidi w:val="0"/>
              <w:adjustRightInd/>
              <w:snapToGrid/>
              <w:spacing w:line="360" w:lineRule="exact"/>
              <w:textAlignment w:val="auto"/>
              <w:rPr>
                <w:rFonts w:hint="eastAsia"/>
                <w:color w:val="auto"/>
                <w:highlight w:val="none"/>
              </w:rPr>
            </w:pPr>
            <w:r>
              <w:rPr>
                <w:rFonts w:hint="eastAsia"/>
                <w:color w:val="auto"/>
                <w:highlight w:val="none"/>
                <w:lang w:eastAsia="zh-CN"/>
              </w:rPr>
              <w:t>◆</w:t>
            </w:r>
            <w:r>
              <w:rPr>
                <w:rFonts w:hint="eastAsia"/>
                <w:color w:val="auto"/>
                <w:highlight w:val="none"/>
              </w:rPr>
              <w:t>16、可扩展支持行为洞察分析能力，系统支持通过还原用户接入系统后的会话信息，对用户访问行为进行自动分析并智能生成分析报告，支持展示整个访问过程（包含涉及的用户、终端、IP等实体，登录过程，访问过程等），支持对关联的终端进行整体分析（终端信息、产生过的安全日志、登录过的用户、接入过的IP等）</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411BEAA0">
            <w:pPr>
              <w:pStyle w:val="8"/>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17、提供产品</w:t>
            </w:r>
            <w:r>
              <w:rPr>
                <w:rFonts w:hint="eastAsia"/>
                <w:color w:val="auto"/>
                <w:highlight w:val="none"/>
                <w:lang w:val="en-US" w:eastAsia="zh-CN"/>
              </w:rPr>
              <w:t>原厂</w:t>
            </w:r>
            <w:r>
              <w:rPr>
                <w:rFonts w:hint="eastAsia"/>
                <w:color w:val="auto"/>
                <w:highlight w:val="none"/>
              </w:rPr>
              <w:t>质保和软件升级不少于3年；</w:t>
            </w:r>
          </w:p>
        </w:tc>
        <w:tc>
          <w:tcPr>
            <w:tcW w:w="681" w:type="dxa"/>
            <w:vAlign w:val="center"/>
          </w:tcPr>
          <w:p w14:paraId="123CA072">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1</w:t>
            </w:r>
          </w:p>
        </w:tc>
        <w:tc>
          <w:tcPr>
            <w:tcW w:w="793" w:type="dxa"/>
            <w:vAlign w:val="center"/>
          </w:tcPr>
          <w:p w14:paraId="160C90AE">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套</w:t>
            </w:r>
          </w:p>
        </w:tc>
        <w:tc>
          <w:tcPr>
            <w:tcW w:w="793" w:type="dxa"/>
            <w:vAlign w:val="center"/>
          </w:tcPr>
          <w:p w14:paraId="0D147B40">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工业</w:t>
            </w:r>
          </w:p>
        </w:tc>
        <w:tc>
          <w:tcPr>
            <w:tcW w:w="793" w:type="dxa"/>
            <w:vAlign w:val="center"/>
          </w:tcPr>
          <w:p w14:paraId="0525A54E">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运维侧</w:t>
            </w:r>
          </w:p>
        </w:tc>
      </w:tr>
      <w:tr w14:paraId="2EF2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dxa"/>
            <w:vAlign w:val="center"/>
          </w:tcPr>
          <w:p w14:paraId="07D1C08B">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default" w:eastAsia="宋体"/>
                <w:color w:val="auto"/>
                <w:highlight w:val="none"/>
                <w:lang w:val="en-US" w:eastAsia="zh-CN"/>
              </w:rPr>
            </w:pPr>
            <w:r>
              <w:rPr>
                <w:rFonts w:hint="eastAsia"/>
                <w:color w:val="auto"/>
                <w:highlight w:val="none"/>
                <w:lang w:val="en-US" w:eastAsia="zh-CN"/>
              </w:rPr>
              <w:t>12</w:t>
            </w:r>
          </w:p>
        </w:tc>
        <w:tc>
          <w:tcPr>
            <w:tcW w:w="1072" w:type="dxa"/>
            <w:vAlign w:val="center"/>
          </w:tcPr>
          <w:p w14:paraId="4B97131D">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SSL VPN安全网关</w:t>
            </w:r>
          </w:p>
        </w:tc>
        <w:tc>
          <w:tcPr>
            <w:tcW w:w="5625" w:type="dxa"/>
          </w:tcPr>
          <w:p w14:paraId="55CF07DD">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一、性能参数：</w:t>
            </w:r>
          </w:p>
          <w:p w14:paraId="6A752F2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1、国产化设备，规格≥1U，内存大小≥16G，硬盘容量≥480G SSD，冗余电源，接口≥6千兆电口+4千兆光口</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6168D9A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2、零信任接入授权≥600套</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2DF5469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二、功能参数：</w:t>
            </w:r>
          </w:p>
          <w:p w14:paraId="651D06C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1、为了满足灵活部署的要求，控制中心应支持IPV4/IPV6双栈网络IP配置，可自主选择配置LAN口或WAN口；</w:t>
            </w:r>
          </w:p>
          <w:p w14:paraId="690C627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2、为充分利用设备的网络性能，控制中心部署时支持配置聚合网口，并支持将聚合网口作为控制中心的网络部署IP，聚合网口支持通过哈希或802.3ad等标准对闲置网口进行网口绑定，支持通过ARP探测机制对聚合网口进行健康检查；</w:t>
            </w:r>
          </w:p>
          <w:p w14:paraId="077473B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3、为了使系统资源利用最大化，本地集群与分布式集群下各节点的零信任授权数均可共享使用，集群的总接入授权数是各节点授权数的总和</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0D0C302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5、通过隧道模式，可以支持基于TCP、UDP、ICMP等协议代理访问业务资源，支持发布IP、IP范围、IP段、具体域名及通配符域名等形式的服务器地址，满足常见办公业务的代理，收缩业务暴露面；</w:t>
            </w:r>
          </w:p>
          <w:p w14:paraId="1FCA97D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6、支持配置点击工作台的业务应用即可直接拉起对应的CS程序进行访问，包括但不限于浏览器、远程桌面或其他指定程序，支持Windows、macOS、统信UOS、麒麟kylin、Ubuntu等主流操作系统，针对Windows系统，还应支持拉起CS应用时携带启动参数，自动访问管理员设定的地址；</w:t>
            </w:r>
          </w:p>
          <w:p w14:paraId="6AF5145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7、当客户端通过CDN加速等代理方式接入访问业务系统时，支持获取CDN加速前的访问IP，并在日志中记录此IP为客户端IP</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0FBBFE0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8、为满足单位多样化安全便捷认证需求，支持以下认证方式：本地账号密码认证、LDAP/AD认证、OAuth2.0标准协议的票据认证、CAS标准协议的票据认证、Radius账号认证、HTTPS帐号认证、证书主认证、证书辅认证、短信主认证、短信辅认证、标准Radius令牌认证、第三方令牌认证、TOTP动态令牌认证等认证方式，并可与企业微信、阿里钉钉、飞书结合实现扫码认证，支持飞书用户或个人微信企业号通过H5接入；</w:t>
            </w:r>
          </w:p>
          <w:p w14:paraId="04B1764B">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9、支持管理员自行配置单位的弱密码库，可配置不少于10W行的弱密码；</w:t>
            </w:r>
          </w:p>
          <w:p w14:paraId="6598098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10、为方便管理员统筹查看管理零信任系统的整体运行状态，支持对设备自身的安全状态和策略配置进行巡检，对设备的整体状态进行打分，统计所有检查的正常项、异常项和告警项，并输出巡检报告；</w:t>
            </w:r>
          </w:p>
          <w:p w14:paraId="641A482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11、支持新增/删除/修改管理组，内置审计管理员、安全管理员、系统管理员等管理组；通过管理组管理权限的配置，实现管理员分级分权；</w:t>
            </w:r>
          </w:p>
          <w:p w14:paraId="5FA0B8B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12、监控中心扩展支持管理员直接在控制台查看接入零信任系统的安全概览，包括但不限于TOP5 的风险IP、风险账号、风险终端等风险实体，以及零信任设备、账号、终端相关的风险事件分布、风险事件趋势、TOP5风险事件类型等展示</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793CDBA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13、支持对客户端的工作台标签、欢迎语标题、接入按钮、办公提示语等信息进行自定义配置；</w:t>
            </w:r>
          </w:p>
          <w:p w14:paraId="0C76507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14、系统运维支持自行修正设备时间或通过NTP自动校正设备时间，可自行配置NTP服务器地址；</w:t>
            </w:r>
          </w:p>
          <w:p w14:paraId="23709DC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15、支持用户安全日志提取，审计中心应将具有异常登录行为的用户日志自动打标签为用户安全日志，以便于管理员快速审计定位。用户安全日志包括但不限于：帐号安全（应包含帐号首次登录、异常时间登录、非常用地点登录、弱密码登录、爆破登录、闲置帐号登录、帐号在新终端登录等）、中间人攻击、SPA安全（应包含SPA端口扫描、SPA爆破攻击、SPA敲门伪造、SPA重放攻击、SPA安全码泄漏等）、cookie劫持等；</w:t>
            </w:r>
          </w:p>
          <w:p w14:paraId="29F9462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16、可扩展支持行为洞察分析能力，系统支持通过还原用户接入系统后的会话信息，对用户访问行为进行自动分析并智能生成分析报告，支持展示整个访问过程（包含涉及的用户、终端、IP等实体，登录过程，访问过程等），支持对关联的终端进行整体分析（终端信息、产生过的安全日志、登录过的用户、接入过的IP等）</w:t>
            </w:r>
            <w:r>
              <w:rPr>
                <w:rFonts w:hint="eastAsia"/>
                <w:b/>
                <w:bCs/>
                <w:color w:val="auto"/>
                <w:highlight w:val="none"/>
                <w:lang w:eastAsia="zh-CN"/>
              </w:rPr>
              <w:t>（</w:t>
            </w:r>
            <w:r>
              <w:rPr>
                <w:rFonts w:hint="eastAsia"/>
                <w:b/>
                <w:bCs/>
                <w:color w:val="auto"/>
                <w:highlight w:val="none"/>
                <w:lang w:val="en-US" w:eastAsia="zh-CN"/>
              </w:rPr>
              <w:t>注：提供</w:t>
            </w:r>
            <w:r>
              <w:rPr>
                <w:rFonts w:hint="eastAsia"/>
                <w:b/>
                <w:bCs/>
                <w:color w:val="auto"/>
                <w:highlight w:val="none"/>
              </w:rPr>
              <w:t>产品功能截图</w:t>
            </w:r>
            <w:r>
              <w:rPr>
                <w:rFonts w:hint="eastAsia"/>
                <w:b/>
                <w:bCs/>
                <w:color w:val="auto"/>
                <w:highlight w:val="none"/>
                <w:lang w:val="en-US" w:eastAsia="zh-CN"/>
              </w:rPr>
              <w:t>或其他证明材料，并加盖供应商电子签章</w:t>
            </w:r>
            <w:r>
              <w:rPr>
                <w:rFonts w:hint="eastAsia"/>
                <w:b/>
                <w:bCs/>
                <w:color w:val="auto"/>
                <w:highlight w:val="none"/>
                <w:lang w:eastAsia="zh-CN"/>
              </w:rPr>
              <w:t>）</w:t>
            </w:r>
            <w:r>
              <w:rPr>
                <w:rFonts w:hint="eastAsia"/>
                <w:color w:val="auto"/>
                <w:highlight w:val="none"/>
              </w:rPr>
              <w:t>。</w:t>
            </w:r>
          </w:p>
          <w:p w14:paraId="3272DAE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17、提供产品</w:t>
            </w:r>
            <w:r>
              <w:rPr>
                <w:rFonts w:hint="eastAsia"/>
                <w:color w:val="auto"/>
                <w:highlight w:val="none"/>
                <w:lang w:val="en-US" w:eastAsia="zh-CN"/>
              </w:rPr>
              <w:t>原厂</w:t>
            </w:r>
            <w:r>
              <w:rPr>
                <w:rFonts w:hint="eastAsia"/>
                <w:color w:val="auto"/>
                <w:highlight w:val="none"/>
              </w:rPr>
              <w:t>质保和软件升级不少于3年；</w:t>
            </w:r>
          </w:p>
        </w:tc>
        <w:tc>
          <w:tcPr>
            <w:tcW w:w="681" w:type="dxa"/>
            <w:vAlign w:val="center"/>
          </w:tcPr>
          <w:p w14:paraId="5B87A20C">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1</w:t>
            </w:r>
          </w:p>
        </w:tc>
        <w:tc>
          <w:tcPr>
            <w:tcW w:w="793" w:type="dxa"/>
            <w:vAlign w:val="center"/>
          </w:tcPr>
          <w:p w14:paraId="38E19FCB">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套</w:t>
            </w:r>
          </w:p>
        </w:tc>
        <w:tc>
          <w:tcPr>
            <w:tcW w:w="793" w:type="dxa"/>
            <w:vAlign w:val="center"/>
          </w:tcPr>
          <w:p w14:paraId="644306DF">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工业</w:t>
            </w:r>
          </w:p>
        </w:tc>
        <w:tc>
          <w:tcPr>
            <w:tcW w:w="793" w:type="dxa"/>
            <w:vAlign w:val="center"/>
          </w:tcPr>
          <w:p w14:paraId="7BCA3389">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用户侧</w:t>
            </w:r>
          </w:p>
        </w:tc>
      </w:tr>
      <w:tr w14:paraId="59BE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dxa"/>
            <w:vAlign w:val="center"/>
          </w:tcPr>
          <w:p w14:paraId="0B7F5AAE">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default" w:eastAsia="宋体"/>
                <w:color w:val="auto"/>
                <w:highlight w:val="none"/>
                <w:lang w:val="en-US" w:eastAsia="zh-CN"/>
              </w:rPr>
            </w:pPr>
            <w:r>
              <w:rPr>
                <w:rFonts w:hint="eastAsia"/>
                <w:color w:val="auto"/>
                <w:highlight w:val="none"/>
                <w:lang w:val="en-US" w:eastAsia="zh-CN"/>
              </w:rPr>
              <w:t>13</w:t>
            </w:r>
          </w:p>
        </w:tc>
        <w:tc>
          <w:tcPr>
            <w:tcW w:w="1072" w:type="dxa"/>
            <w:vAlign w:val="center"/>
          </w:tcPr>
          <w:p w14:paraId="652E4789">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密码机</w:t>
            </w:r>
          </w:p>
        </w:tc>
        <w:tc>
          <w:tcPr>
            <w:tcW w:w="5625" w:type="dxa"/>
          </w:tcPr>
          <w:p w14:paraId="7310C20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1、标准≥2U机架式设备，国产化CPU，国产化操作系统，1+1冗余电源，RJ-45 10/100/1000Mb≧2，支持万兆光口扩展，提供紧急情况下的密钥销毁手段，为确保密钥销毁过程的安全性，密钥销毁按钮需为隐藏式按钮；支持设备状态灯显示运行状态，包括不限于电源状态灯、运行状态灯、告警灯等；</w:t>
            </w:r>
          </w:p>
          <w:p w14:paraId="794E291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2、密码机API支持符合GM/T 0018标准接口规范，通用性好。同时支持PKCS#11、JCE等国际标准接口；</w:t>
            </w:r>
          </w:p>
          <w:p w14:paraId="11DD809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3、支持基于控件的设备远程管理，支持web界面的设备自检、设备升级和回滚功能，支持通过web界面进行外部密钥导入且支持通过分量合成的方式产生本地主密钥，支持Web管理直接生成证书请求文件；</w:t>
            </w:r>
          </w:p>
          <w:p w14:paraId="13EF754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4、支持消息鉴别码的产生及验证，包括CBC-MAC、CMAC的产生及验证；支持消息认证码的产生，包括HMAC的产生及验证；</w:t>
            </w:r>
          </w:p>
          <w:p w14:paraId="454F296D">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5、采用“主密钥-业务密钥-会话密钥”的三层密钥保护结构，保证关键密钥在任何时候不以明文形式出现在设备外，密钥备份文件也受备份密钥的加密保护；</w:t>
            </w:r>
          </w:p>
          <w:p w14:paraId="1E4AA898">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6、具备多网口绑定，支持IPv4/IPv6双栈网络协议；</w:t>
            </w:r>
          </w:p>
          <w:p w14:paraId="46D71AF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7、为符合密评合规性要求，web远程管理时支持使用同品牌智能密码钥匙“双因子”登入方式实现身份鉴别，同时支持日志</w:t>
            </w:r>
            <w:r>
              <w:rPr>
                <w:rFonts w:hint="eastAsia"/>
                <w:color w:val="auto"/>
                <w:highlight w:val="none"/>
              </w:rPr>
              <w:t>完整性保护；提供智能密码钥匙《商用密码产品认证证书》复印件；</w:t>
            </w:r>
          </w:p>
          <w:p w14:paraId="4FAF652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8、支持SM1、SM2、SM3、SM4国密算法，兼容国际算法RSA、3DES、AES、SHA-1和SHA-2等，具有良好的可扩展性；</w:t>
            </w:r>
          </w:p>
          <w:p w14:paraId="26A7C47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9、内置同品牌设备数字证书，标识设备真实身份。数字证书原厂商具备《电子认证服务许可证》、《电子认证服务使用密码许可证》资质，提供证书复印件。</w:t>
            </w:r>
          </w:p>
          <w:p w14:paraId="140895E1">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10、产品性能：</w:t>
            </w:r>
          </w:p>
          <w:p w14:paraId="494C1E7F">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密钥容量：可扩展RSA(对)/SM2(对)/对称密钥≥100/500/1000</w:t>
            </w:r>
          </w:p>
          <w:p w14:paraId="56C3297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SM2生密钥≥55000</w:t>
            </w:r>
          </w:p>
          <w:p w14:paraId="0094F855">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SM2签名/验签(tps)≥54000/18000</w:t>
            </w:r>
          </w:p>
          <w:p w14:paraId="22FD898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SM2加密/解密(tps)2KB≥16000/24000</w:t>
            </w:r>
          </w:p>
          <w:p w14:paraId="63B51F2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SM9生(加密/签名)密钥≥7000/2100</w:t>
            </w:r>
          </w:p>
          <w:p w14:paraId="5DBAD534">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SM9签名/验签(tps)≥260/80</w:t>
            </w:r>
          </w:p>
          <w:p w14:paraId="55F24E9E">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SM9加密/解密(tps)≥700/210</w:t>
            </w:r>
          </w:p>
          <w:p w14:paraId="3719D8BA">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HMAC_SM3≥800Mbps</w:t>
            </w:r>
          </w:p>
          <w:p w14:paraId="6141071B">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SM1≥800Mbps</w:t>
            </w:r>
          </w:p>
          <w:p w14:paraId="08F547FB">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SM4≥800Mbps</w:t>
            </w:r>
          </w:p>
          <w:p w14:paraId="0CD5544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SM3杂凑算法≥800Mbps</w:t>
            </w:r>
          </w:p>
          <w:p w14:paraId="178FF092">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并发数(个)≥6000</w:t>
            </w:r>
          </w:p>
          <w:p w14:paraId="12E43470">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rPr>
              <w:t>11、资质要求</w:t>
            </w:r>
          </w:p>
          <w:p w14:paraId="2F60FC3C">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1）产品具有《商用密码产品认证证书》（提供证书复印件）；</w:t>
            </w:r>
          </w:p>
          <w:p w14:paraId="5DC4B5A6">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rPr>
              <w:t>）具备《计算机软件著作权登记证书》（提供证书复印件）。</w:t>
            </w:r>
          </w:p>
          <w:p w14:paraId="3D3ECCA5">
            <w:pPr>
              <w:keepNext w:val="0"/>
              <w:keepLines w:val="0"/>
              <w:pageBreakBefore w:val="0"/>
              <w:widowControl w:val="0"/>
              <w:kinsoku/>
              <w:overflowPunct/>
              <w:topLinePunct w:val="0"/>
              <w:autoSpaceDE/>
              <w:autoSpaceDN/>
              <w:bidi w:val="0"/>
              <w:adjustRightInd/>
              <w:snapToGrid/>
              <w:spacing w:line="360" w:lineRule="exact"/>
              <w:textAlignment w:val="auto"/>
              <w:rPr>
                <w:color w:val="auto"/>
                <w:highlight w:val="none"/>
              </w:rPr>
            </w:pPr>
            <w:r>
              <w:rPr>
                <w:rFonts w:hint="eastAsia"/>
                <w:color w:val="auto"/>
                <w:highlight w:val="none"/>
                <w:lang w:eastAsia="zh-CN"/>
              </w:rPr>
              <w:t>▲</w:t>
            </w:r>
            <w:r>
              <w:rPr>
                <w:rFonts w:hint="eastAsia"/>
                <w:color w:val="auto"/>
                <w:highlight w:val="none"/>
              </w:rPr>
              <w:t>12、</w:t>
            </w:r>
            <w:r>
              <w:rPr>
                <w:rFonts w:hint="eastAsia"/>
                <w:color w:val="auto"/>
                <w:highlight w:val="none"/>
                <w:lang w:val="en-US" w:eastAsia="zh-CN"/>
              </w:rPr>
              <w:t>密码设备</w:t>
            </w:r>
            <w:r>
              <w:rPr>
                <w:rFonts w:hint="eastAsia"/>
                <w:color w:val="auto"/>
                <w:highlight w:val="none"/>
              </w:rPr>
              <w:t>已通过广西卫健委测试并入产品目录，保证通过广西卫健委全民健康信息平台国产商用密码应用医疗机构端前置密码设备接口对接测试</w:t>
            </w:r>
            <w:r>
              <w:rPr>
                <w:rFonts w:hint="eastAsia"/>
                <w:b/>
                <w:bCs/>
                <w:color w:val="auto"/>
                <w:highlight w:val="none"/>
                <w:lang w:eastAsia="zh-CN"/>
              </w:rPr>
              <w:t>（</w:t>
            </w:r>
            <w:r>
              <w:rPr>
                <w:rFonts w:hint="eastAsia"/>
                <w:b/>
                <w:bCs/>
                <w:color w:val="auto"/>
                <w:highlight w:val="none"/>
                <w:lang w:val="en-US" w:eastAsia="zh-CN"/>
              </w:rPr>
              <w:t>注：提供证明材料，并加盖供应商电子签章</w:t>
            </w:r>
            <w:r>
              <w:rPr>
                <w:rFonts w:hint="eastAsia"/>
                <w:b/>
                <w:bCs/>
                <w:color w:val="auto"/>
                <w:highlight w:val="none"/>
                <w:lang w:eastAsia="zh-CN"/>
              </w:rPr>
              <w:t>）</w:t>
            </w:r>
            <w:r>
              <w:rPr>
                <w:rFonts w:hint="eastAsia"/>
                <w:color w:val="auto"/>
                <w:highlight w:val="none"/>
              </w:rPr>
              <w:t>。</w:t>
            </w:r>
          </w:p>
        </w:tc>
        <w:tc>
          <w:tcPr>
            <w:tcW w:w="681" w:type="dxa"/>
            <w:vAlign w:val="center"/>
          </w:tcPr>
          <w:p w14:paraId="103FE173">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r>
              <w:rPr>
                <w:rFonts w:hint="eastAsia"/>
                <w:color w:val="auto"/>
                <w:highlight w:val="none"/>
              </w:rPr>
              <w:t>1</w:t>
            </w:r>
          </w:p>
        </w:tc>
        <w:tc>
          <w:tcPr>
            <w:tcW w:w="793" w:type="dxa"/>
            <w:vAlign w:val="center"/>
          </w:tcPr>
          <w:p w14:paraId="6B2439CB">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台</w:t>
            </w:r>
          </w:p>
        </w:tc>
        <w:tc>
          <w:tcPr>
            <w:tcW w:w="793" w:type="dxa"/>
            <w:vAlign w:val="center"/>
          </w:tcPr>
          <w:p w14:paraId="11133EAA">
            <w:pPr>
              <w:keepNext w:val="0"/>
              <w:keepLines w:val="0"/>
              <w:pageBreakBefore w:val="0"/>
              <w:widowControl w:val="0"/>
              <w:kinsoku/>
              <w:overflowPunct/>
              <w:topLinePunct w:val="0"/>
              <w:autoSpaceDE/>
              <w:autoSpaceDN/>
              <w:bidi w:val="0"/>
              <w:adjustRightInd/>
              <w:snapToGrid/>
              <w:spacing w:line="360" w:lineRule="exact"/>
              <w:jc w:val="center"/>
              <w:textAlignment w:val="auto"/>
              <w:rPr>
                <w:rFonts w:hint="eastAsia" w:eastAsia="宋体"/>
                <w:color w:val="auto"/>
                <w:highlight w:val="none"/>
                <w:lang w:val="en-US" w:eastAsia="zh-CN"/>
              </w:rPr>
            </w:pPr>
            <w:r>
              <w:rPr>
                <w:rFonts w:hint="eastAsia"/>
                <w:color w:val="auto"/>
                <w:highlight w:val="none"/>
                <w:lang w:val="en-US" w:eastAsia="zh-CN"/>
              </w:rPr>
              <w:t>工业</w:t>
            </w:r>
          </w:p>
        </w:tc>
        <w:tc>
          <w:tcPr>
            <w:tcW w:w="793" w:type="dxa"/>
            <w:vAlign w:val="center"/>
          </w:tcPr>
          <w:p w14:paraId="446BD9E6">
            <w:pPr>
              <w:keepNext w:val="0"/>
              <w:keepLines w:val="0"/>
              <w:pageBreakBefore w:val="0"/>
              <w:widowControl w:val="0"/>
              <w:kinsoku/>
              <w:overflowPunct/>
              <w:topLinePunct w:val="0"/>
              <w:autoSpaceDE/>
              <w:autoSpaceDN/>
              <w:bidi w:val="0"/>
              <w:adjustRightInd/>
              <w:snapToGrid/>
              <w:spacing w:line="360" w:lineRule="exact"/>
              <w:jc w:val="center"/>
              <w:textAlignment w:val="auto"/>
              <w:rPr>
                <w:color w:val="auto"/>
                <w:highlight w:val="none"/>
              </w:rPr>
            </w:pPr>
          </w:p>
        </w:tc>
      </w:tr>
    </w:tbl>
    <w:p w14:paraId="1CA22C86">
      <w:pPr>
        <w:rPr>
          <w:color w:val="auto"/>
          <w:highlight w:val="none"/>
        </w:rPr>
      </w:pPr>
    </w:p>
    <w:p w14:paraId="75B68EF3">
      <w:pPr>
        <w:pStyle w:val="8"/>
        <w:rPr>
          <w:rFonts w:hint="eastAsia" w:ascii="黑体" w:hAnsi="黑体" w:eastAsia="黑体" w:cs="黑体"/>
          <w:color w:val="auto"/>
          <w:sz w:val="32"/>
          <w:szCs w:val="32"/>
          <w:highlight w:val="none"/>
          <w:lang w:val="en-US" w:eastAsia="zh-CN"/>
        </w:rPr>
      </w:pPr>
      <w:r>
        <w:rPr>
          <w:rFonts w:hint="eastAsia"/>
          <w:color w:val="auto"/>
          <w:highlight w:val="none"/>
          <w:lang w:eastAsia="zh-CN"/>
        </w:rPr>
        <w:t>▲</w:t>
      </w:r>
      <w:r>
        <w:rPr>
          <w:rFonts w:hint="eastAsia" w:ascii="黑体" w:hAnsi="黑体" w:eastAsia="黑体" w:cs="黑体"/>
          <w:color w:val="auto"/>
          <w:sz w:val="32"/>
          <w:szCs w:val="32"/>
          <w:highlight w:val="none"/>
          <w:lang w:val="en-US" w:eastAsia="zh-CN"/>
        </w:rPr>
        <w:t>二、商务要求</w:t>
      </w:r>
    </w:p>
    <w:tbl>
      <w:tblPr>
        <w:tblStyle w:val="33"/>
        <w:tblW w:w="513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3"/>
        <w:gridCol w:w="1079"/>
        <w:gridCol w:w="7937"/>
      </w:tblGrid>
      <w:tr w14:paraId="0ED39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jc w:val="center"/>
        </w:trPr>
        <w:tc>
          <w:tcPr>
            <w:tcW w:w="254" w:type="pct"/>
            <w:vAlign w:val="center"/>
          </w:tcPr>
          <w:p w14:paraId="15F44DEF">
            <w:pPr>
              <w:widowControl/>
              <w:autoSpaceDE/>
              <w:autoSpaceDN/>
              <w:spacing w:line="360" w:lineRule="exact"/>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1</w:t>
            </w:r>
          </w:p>
        </w:tc>
        <w:tc>
          <w:tcPr>
            <w:tcW w:w="568" w:type="pct"/>
            <w:vAlign w:val="center"/>
          </w:tcPr>
          <w:p w14:paraId="3FBB15BC">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报价要求</w:t>
            </w:r>
          </w:p>
        </w:tc>
        <w:tc>
          <w:tcPr>
            <w:tcW w:w="4177" w:type="pct"/>
            <w:vAlign w:val="center"/>
          </w:tcPr>
          <w:p w14:paraId="1A7A7F72">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48" w:firstLineChars="200"/>
              <w:textAlignment w:val="center"/>
              <w:rPr>
                <w:rFonts w:cs="宋体" w:asciiTheme="minorEastAsia" w:hAnsiTheme="minorEastAsia" w:eastAsiaTheme="minorEastAsia"/>
                <w:color w:val="auto"/>
                <w:spacing w:val="10"/>
                <w:kern w:val="0"/>
                <w:sz w:val="21"/>
                <w:szCs w:val="21"/>
                <w:highlight w:val="none"/>
                <w:lang w:eastAsia="en-US"/>
              </w:rPr>
            </w:pPr>
            <w:r>
              <w:rPr>
                <w:rFonts w:hint="eastAsia" w:cs="宋体" w:asciiTheme="minorEastAsia" w:hAnsiTheme="minorEastAsia" w:eastAsiaTheme="minorEastAsia"/>
                <w:color w:val="auto"/>
                <w:spacing w:val="7"/>
                <w:kern w:val="0"/>
                <w:sz w:val="21"/>
                <w:szCs w:val="21"/>
                <w:highlight w:val="none"/>
                <w:lang w:eastAsia="en-US"/>
              </w:rPr>
              <w:t>1、本项目采购预算金额为：</w:t>
            </w:r>
            <w:r>
              <w:rPr>
                <w:rFonts w:hint="eastAsia" w:cs="宋体" w:asciiTheme="minorEastAsia" w:hAnsiTheme="minorEastAsia" w:eastAsiaTheme="minorEastAsia"/>
                <w:color w:val="auto"/>
                <w:spacing w:val="7"/>
                <w:kern w:val="0"/>
                <w:sz w:val="21"/>
                <w:szCs w:val="21"/>
                <w:highlight w:val="none"/>
                <w:lang w:val="en-US" w:eastAsia="zh-CN"/>
              </w:rPr>
              <w:t>人民币</w:t>
            </w:r>
            <w:r>
              <w:rPr>
                <w:rFonts w:hint="eastAsia" w:cs="宋体" w:asciiTheme="minorEastAsia" w:hAnsiTheme="minorEastAsia" w:eastAsiaTheme="minorEastAsia"/>
                <w:color w:val="auto"/>
                <w:spacing w:val="7"/>
                <w:kern w:val="0"/>
                <w:sz w:val="21"/>
                <w:szCs w:val="21"/>
                <w:highlight w:val="none"/>
                <w:lang w:val="en-US" w:eastAsia="zh-CN"/>
              </w:rPr>
              <w:t>柒拾万</w:t>
            </w:r>
            <w:r>
              <w:rPr>
                <w:rFonts w:hint="eastAsia" w:cs="宋体" w:asciiTheme="minorEastAsia" w:hAnsiTheme="minorEastAsia" w:eastAsiaTheme="minorEastAsia"/>
                <w:color w:val="auto"/>
                <w:spacing w:val="7"/>
                <w:kern w:val="0"/>
                <w:sz w:val="21"/>
                <w:szCs w:val="21"/>
                <w:highlight w:val="none"/>
                <w:lang w:val="zh-CN" w:eastAsia="en-US"/>
              </w:rPr>
              <w:t>元整 (</w:t>
            </w:r>
            <w:r>
              <w:rPr>
                <w:rFonts w:hint="eastAsia" w:cs="宋体" w:asciiTheme="minorEastAsia" w:hAnsiTheme="minorEastAsia" w:eastAsiaTheme="minorEastAsia"/>
                <w:color w:val="auto"/>
                <w:spacing w:val="7"/>
                <w:kern w:val="0"/>
                <w:sz w:val="21"/>
                <w:szCs w:val="21"/>
                <w:highlight w:val="none"/>
                <w:lang w:val="en-US" w:eastAsia="zh-CN"/>
              </w:rPr>
              <w:t>¥700000</w:t>
            </w:r>
            <w:r>
              <w:rPr>
                <w:rFonts w:hint="eastAsia" w:cs="宋体" w:asciiTheme="minorEastAsia" w:hAnsiTheme="minorEastAsia" w:eastAsiaTheme="minorEastAsia"/>
                <w:color w:val="auto"/>
                <w:kern w:val="0"/>
                <w:sz w:val="21"/>
                <w:szCs w:val="21"/>
                <w:highlight w:val="none"/>
                <w:lang w:val="zh-CN" w:eastAsia="en-US"/>
              </w:rPr>
              <w:t>.00</w:t>
            </w:r>
            <w:r>
              <w:rPr>
                <w:rFonts w:hint="eastAsia" w:cs="宋体" w:asciiTheme="minorEastAsia" w:hAnsiTheme="minorEastAsia" w:eastAsiaTheme="minorEastAsia"/>
                <w:color w:val="auto"/>
                <w:spacing w:val="7"/>
                <w:kern w:val="0"/>
                <w:sz w:val="21"/>
                <w:szCs w:val="21"/>
                <w:highlight w:val="none"/>
                <w:lang w:val="zh-CN" w:eastAsia="en-US"/>
              </w:rPr>
              <w:t>)</w:t>
            </w:r>
            <w:r>
              <w:rPr>
                <w:rFonts w:hint="eastAsia" w:cs="宋体" w:asciiTheme="minorEastAsia" w:hAnsiTheme="minorEastAsia" w:eastAsiaTheme="minorEastAsia"/>
                <w:color w:val="auto"/>
                <w:spacing w:val="7"/>
                <w:kern w:val="0"/>
                <w:sz w:val="21"/>
                <w:szCs w:val="21"/>
                <w:highlight w:val="none"/>
                <w:lang w:eastAsia="en-US"/>
              </w:rPr>
              <w:t>，</w:t>
            </w:r>
            <w:r>
              <w:rPr>
                <w:rFonts w:hint="eastAsia" w:cs="宋体" w:asciiTheme="minorEastAsia" w:hAnsiTheme="minorEastAsia" w:eastAsiaTheme="minorEastAsia"/>
                <w:color w:val="auto"/>
                <w:spacing w:val="7"/>
                <w:kern w:val="0"/>
                <w:sz w:val="21"/>
                <w:szCs w:val="21"/>
                <w:highlight w:val="none"/>
                <w:lang w:eastAsia="en-US"/>
              </w:rPr>
              <w:t>报价超出</w:t>
            </w:r>
            <w:r>
              <w:rPr>
                <w:rFonts w:hint="eastAsia" w:cs="宋体" w:asciiTheme="minorEastAsia" w:hAnsiTheme="minorEastAsia" w:eastAsiaTheme="minorEastAsia"/>
                <w:color w:val="auto"/>
                <w:kern w:val="0"/>
                <w:sz w:val="21"/>
                <w:szCs w:val="21"/>
                <w:highlight w:val="none"/>
                <w:lang w:eastAsia="en-US"/>
              </w:rPr>
              <w:t>采</w:t>
            </w:r>
            <w:r>
              <w:rPr>
                <w:rFonts w:hint="eastAsia" w:cs="宋体" w:asciiTheme="minorEastAsia" w:hAnsiTheme="minorEastAsia" w:eastAsiaTheme="minorEastAsia"/>
                <w:color w:val="auto"/>
                <w:spacing w:val="20"/>
                <w:kern w:val="0"/>
                <w:sz w:val="21"/>
                <w:szCs w:val="21"/>
                <w:highlight w:val="none"/>
                <w:lang w:eastAsia="en-US"/>
              </w:rPr>
              <w:t>购</w:t>
            </w:r>
            <w:r>
              <w:rPr>
                <w:rFonts w:hint="eastAsia" w:cs="宋体" w:asciiTheme="minorEastAsia" w:hAnsiTheme="minorEastAsia" w:eastAsiaTheme="minorEastAsia"/>
                <w:color w:val="auto"/>
                <w:spacing w:val="10"/>
                <w:kern w:val="0"/>
                <w:sz w:val="21"/>
                <w:szCs w:val="21"/>
                <w:highlight w:val="none"/>
                <w:lang w:eastAsia="en-US"/>
              </w:rPr>
              <w:t>预算金额的，其响应文件按无效处理。</w:t>
            </w:r>
          </w:p>
          <w:p w14:paraId="1DFFB66D">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2、投标报价是履行合同的最终价格。本次报价须为人民币报价，包含：产品价、服务、随配附件、备品备件、工具、运输费（含装卸费）、保险费、安装调试费、税费、所有系统集成、培训费、产品检测费、产品质保期内维护、验收检验费用和售后服务、及其他所有成本费用的总和等费用。对于本文件中明确列明必须报价的货物或服务，供应商应分别报价。对于本文件中未列明，而供应商认为必需的费用也需列入总报价。在合同实施时，采购人将不予支付中标人</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val="en-US" w:eastAsia="zh-CN"/>
              </w:rPr>
              <w:t>成交人</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eastAsia="en-US"/>
              </w:rPr>
              <w:t>没有列入的项目费用，并认为此项目的费用已包括在响应总报价中。</w:t>
            </w:r>
          </w:p>
        </w:tc>
      </w:tr>
      <w:tr w14:paraId="6BB3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254" w:type="pct"/>
            <w:vAlign w:val="center"/>
          </w:tcPr>
          <w:p w14:paraId="08884299">
            <w:pPr>
              <w:widowControl/>
              <w:autoSpaceDE/>
              <w:autoSpaceDN/>
              <w:spacing w:line="360" w:lineRule="exact"/>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2</w:t>
            </w:r>
          </w:p>
        </w:tc>
        <w:tc>
          <w:tcPr>
            <w:tcW w:w="568" w:type="pct"/>
            <w:vAlign w:val="center"/>
          </w:tcPr>
          <w:p w14:paraId="2ED4596E">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合同签订日期</w:t>
            </w:r>
          </w:p>
        </w:tc>
        <w:tc>
          <w:tcPr>
            <w:tcW w:w="4177" w:type="pct"/>
            <w:vAlign w:val="center"/>
          </w:tcPr>
          <w:p w14:paraId="62AB663F">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en-US" w:eastAsia="zh-CN"/>
              </w:rPr>
              <w:t>成交</w:t>
            </w:r>
            <w:r>
              <w:rPr>
                <w:rFonts w:hint="eastAsia" w:cs="宋体" w:asciiTheme="minorEastAsia" w:hAnsiTheme="minorEastAsia" w:eastAsiaTheme="minorEastAsia"/>
                <w:color w:val="auto"/>
                <w:kern w:val="0"/>
                <w:sz w:val="21"/>
                <w:szCs w:val="21"/>
                <w:highlight w:val="none"/>
                <w:lang w:eastAsia="en-US"/>
              </w:rPr>
              <w:t>通知书发出后1</w:t>
            </w:r>
            <w:r>
              <w:rPr>
                <w:rFonts w:hint="eastAsia" w:cs="宋体" w:asciiTheme="minorEastAsia" w:hAnsiTheme="minorEastAsia" w:eastAsiaTheme="minorEastAsia"/>
                <w:color w:val="auto"/>
                <w:kern w:val="0"/>
                <w:sz w:val="21"/>
                <w:szCs w:val="21"/>
                <w:highlight w:val="none"/>
                <w:lang w:val="en-US" w:eastAsia="zh-CN"/>
              </w:rPr>
              <w:t>0</w:t>
            </w:r>
            <w:r>
              <w:rPr>
                <w:rFonts w:hint="eastAsia" w:cs="宋体" w:asciiTheme="minorEastAsia" w:hAnsiTheme="minorEastAsia" w:eastAsiaTheme="minorEastAsia"/>
                <w:color w:val="auto"/>
                <w:kern w:val="0"/>
                <w:sz w:val="21"/>
                <w:szCs w:val="21"/>
                <w:highlight w:val="none"/>
                <w:lang w:eastAsia="en-US"/>
              </w:rPr>
              <w:t>日内。</w:t>
            </w:r>
          </w:p>
        </w:tc>
      </w:tr>
      <w:tr w14:paraId="0262F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jc w:val="center"/>
        </w:trPr>
        <w:tc>
          <w:tcPr>
            <w:tcW w:w="254" w:type="pct"/>
            <w:vAlign w:val="center"/>
          </w:tcPr>
          <w:p w14:paraId="508876EA">
            <w:pPr>
              <w:widowControl/>
              <w:autoSpaceDE/>
              <w:autoSpaceDN/>
              <w:spacing w:line="360" w:lineRule="exact"/>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3</w:t>
            </w:r>
          </w:p>
        </w:tc>
        <w:tc>
          <w:tcPr>
            <w:tcW w:w="568" w:type="pct"/>
            <w:vAlign w:val="center"/>
          </w:tcPr>
          <w:p w14:paraId="125786EF">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交付使用时间及交货地点</w:t>
            </w:r>
          </w:p>
        </w:tc>
        <w:tc>
          <w:tcPr>
            <w:tcW w:w="4177" w:type="pct"/>
            <w:vAlign w:val="center"/>
          </w:tcPr>
          <w:p w14:paraId="650A37B8">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1、交付使用时间：</w:t>
            </w:r>
            <w:r>
              <w:rPr>
                <w:rFonts w:hint="eastAsia" w:cs="宋体" w:asciiTheme="minorEastAsia" w:hAnsiTheme="minorEastAsia" w:eastAsiaTheme="minorEastAsia"/>
                <w:color w:val="auto"/>
                <w:kern w:val="0"/>
                <w:sz w:val="21"/>
                <w:szCs w:val="21"/>
                <w:highlight w:val="none"/>
                <w:lang w:eastAsia="en-US"/>
              </w:rPr>
              <w:t xml:space="preserve">自合同签订之日起 </w:t>
            </w:r>
            <w:r>
              <w:rPr>
                <w:rFonts w:hint="eastAsia" w:cs="宋体" w:asciiTheme="minorEastAsia" w:hAnsiTheme="minorEastAsia" w:eastAsiaTheme="minorEastAsia"/>
                <w:color w:val="auto"/>
                <w:kern w:val="0"/>
                <w:sz w:val="21"/>
                <w:szCs w:val="21"/>
                <w:highlight w:val="none"/>
                <w:lang w:val="en-US" w:eastAsia="zh-CN"/>
              </w:rPr>
              <w:t>45</w:t>
            </w:r>
            <w:r>
              <w:rPr>
                <w:rFonts w:hint="eastAsia" w:cs="宋体" w:asciiTheme="minorEastAsia" w:hAnsiTheme="minorEastAsia" w:eastAsiaTheme="minorEastAsia"/>
                <w:color w:val="auto"/>
                <w:kern w:val="0"/>
                <w:sz w:val="21"/>
                <w:szCs w:val="21"/>
                <w:highlight w:val="none"/>
                <w:lang w:eastAsia="en-US"/>
              </w:rPr>
              <w:t>天（日历天）内</w:t>
            </w:r>
            <w:r>
              <w:rPr>
                <w:rFonts w:hint="eastAsia" w:cs="宋体" w:asciiTheme="minorEastAsia" w:hAnsiTheme="minorEastAsia" w:eastAsiaTheme="minorEastAsia"/>
                <w:color w:val="auto"/>
                <w:kern w:val="0"/>
                <w:sz w:val="21"/>
                <w:szCs w:val="21"/>
                <w:highlight w:val="none"/>
                <w:lang w:val="en-US" w:eastAsia="zh-CN"/>
              </w:rPr>
              <w:t>完成建设</w:t>
            </w:r>
            <w:r>
              <w:rPr>
                <w:rFonts w:hint="eastAsia" w:cs="宋体" w:asciiTheme="minorEastAsia" w:hAnsiTheme="minorEastAsia" w:eastAsiaTheme="minorEastAsia"/>
                <w:color w:val="auto"/>
                <w:kern w:val="0"/>
                <w:sz w:val="21"/>
                <w:szCs w:val="21"/>
                <w:highlight w:val="none"/>
                <w:lang w:eastAsia="en-US"/>
              </w:rPr>
              <w:t>并</w:t>
            </w:r>
            <w:r>
              <w:rPr>
                <w:rFonts w:hint="eastAsia" w:cs="宋体" w:asciiTheme="minorEastAsia" w:hAnsiTheme="minorEastAsia" w:eastAsiaTheme="minorEastAsia"/>
                <w:color w:val="auto"/>
                <w:kern w:val="0"/>
                <w:sz w:val="21"/>
                <w:szCs w:val="21"/>
                <w:highlight w:val="none"/>
                <w:lang w:val="en-US" w:eastAsia="zh-CN"/>
              </w:rPr>
              <w:t>交付使用</w:t>
            </w:r>
            <w:r>
              <w:rPr>
                <w:rFonts w:hint="eastAsia" w:cs="宋体" w:asciiTheme="minorEastAsia" w:hAnsiTheme="minorEastAsia" w:eastAsiaTheme="minorEastAsia"/>
                <w:color w:val="auto"/>
                <w:kern w:val="0"/>
                <w:sz w:val="21"/>
                <w:szCs w:val="21"/>
                <w:highlight w:val="none"/>
                <w:lang w:eastAsia="en-US"/>
              </w:rPr>
              <w:t>（如现场不符合安装条件交付时间双方另外协商）。</w:t>
            </w:r>
          </w:p>
          <w:p w14:paraId="7E1B2A39">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2、质保期：通过采购人及有关监督部门验收合格之日起算叁年。</w:t>
            </w:r>
          </w:p>
          <w:p w14:paraId="70AEAEAD">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3、交货地点：广西贺州市（采购人指定地点）。</w:t>
            </w:r>
          </w:p>
        </w:tc>
      </w:tr>
      <w:tr w14:paraId="2E119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254" w:type="pct"/>
            <w:vAlign w:val="center"/>
          </w:tcPr>
          <w:p w14:paraId="0B25B232">
            <w:pPr>
              <w:widowControl/>
              <w:autoSpaceDE/>
              <w:autoSpaceDN/>
              <w:spacing w:line="360" w:lineRule="exact"/>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4</w:t>
            </w:r>
          </w:p>
        </w:tc>
        <w:tc>
          <w:tcPr>
            <w:tcW w:w="568" w:type="pct"/>
            <w:vAlign w:val="center"/>
          </w:tcPr>
          <w:p w14:paraId="282BDD00">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验收标准、验收方法及方案</w:t>
            </w:r>
          </w:p>
        </w:tc>
        <w:tc>
          <w:tcPr>
            <w:tcW w:w="4177" w:type="pct"/>
            <w:vAlign w:val="center"/>
          </w:tcPr>
          <w:p w14:paraId="407AF4FF">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1.采购人对成交人提交的产品依据采购文件上的技术规格要求和国家有关质量标准进行现场签收，外观、说明书符合采购文件技术要求的，给予签收，不合格的不予签收。</w:t>
            </w:r>
          </w:p>
          <w:p w14:paraId="1E5410BA">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2.成交人交货前应对产品作出全面检查和对验收文件进行整理，并列出清单，作为采购人收货验收和使用的技术条件依据，检验的结果应随货物交采购人。成交人不能完整交付货物及本款规定的单证和工具的，必须负责补齐，否则视为未按合同约定交货。</w:t>
            </w:r>
          </w:p>
          <w:p w14:paraId="23C6862A">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hint="eastAsia"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3. 成交人需负责安装、调试，并培训采购人的使用操作人员，直到设备运行符合技术要求，采购人方可验收。</w:t>
            </w:r>
          </w:p>
          <w:p w14:paraId="0D1BA4DC">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hint="default" w:cs="宋体" w:asciiTheme="minorEastAsia" w:hAnsiTheme="minorEastAsia" w:eastAsiaTheme="minorEastAsia"/>
                <w:color w:val="auto"/>
                <w:kern w:val="0"/>
                <w:sz w:val="21"/>
                <w:szCs w:val="21"/>
                <w:highlight w:val="none"/>
                <w:lang w:val="en-US" w:eastAsia="zh-CN"/>
              </w:rPr>
            </w:pPr>
            <w:r>
              <w:rPr>
                <w:rFonts w:hint="eastAsia" w:cs="宋体" w:asciiTheme="minorEastAsia" w:hAnsiTheme="minorEastAsia" w:eastAsiaTheme="minorEastAsia"/>
                <w:color w:val="auto"/>
                <w:kern w:val="0"/>
                <w:sz w:val="21"/>
                <w:szCs w:val="21"/>
                <w:highlight w:val="none"/>
                <w:lang w:val="en-US" w:eastAsia="zh-CN"/>
              </w:rPr>
              <w:t>4.通过商用密码应用安全性评估测评机构评审（达到评分70分以上，且不存在高风险项）。</w:t>
            </w:r>
          </w:p>
          <w:p w14:paraId="5C72171A">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en-US" w:eastAsia="zh-CN"/>
              </w:rPr>
              <w:t>5</w:t>
            </w:r>
            <w:r>
              <w:rPr>
                <w:rFonts w:hint="eastAsia" w:cs="宋体" w:asciiTheme="minorEastAsia" w:hAnsiTheme="minorEastAsia" w:eastAsiaTheme="minorEastAsia"/>
                <w:color w:val="auto"/>
                <w:kern w:val="0"/>
                <w:sz w:val="21"/>
                <w:szCs w:val="21"/>
                <w:highlight w:val="none"/>
                <w:lang w:eastAsia="en-US"/>
              </w:rPr>
              <w:t>.验收方案:</w:t>
            </w:r>
          </w:p>
          <w:p w14:paraId="15ADB42B">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（1）验收过程中所产生的一切费用(包含委托第三方验收)均由成交人</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val="en-US" w:eastAsia="zh-CN"/>
              </w:rPr>
              <w:t>中标方</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eastAsia="en-US"/>
              </w:rPr>
              <w:t>承担，报价时应考虑相关费用。</w:t>
            </w:r>
          </w:p>
          <w:p w14:paraId="76553634">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（2）由验收小组对照招标文件的技术参数要求核对检验，如不符合招标文件的技术参数要求的，按合同约定执行，成交人承担所有责任和费用。采购人保留进一步追究责任的权利。</w:t>
            </w:r>
          </w:p>
          <w:p w14:paraId="44083AE5">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a.验收活动开始前，成交人应对产品作出全面检查和对验收文件进行整理，并列出清单，作为采购人收货验收和使用的技术条件依据。</w:t>
            </w:r>
          </w:p>
          <w:p w14:paraId="03C15D64">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b.因验收不合格的，需要再次组织验收的，由此产生相关费用由成交人承担。</w:t>
            </w:r>
          </w:p>
          <w:p w14:paraId="32DC9D52">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（3）项目验收过程中，需委托第三方检测机构介入的，费用由成交人另行承担。</w:t>
            </w:r>
          </w:p>
          <w:p w14:paraId="749FE1D7">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en-US" w:eastAsia="zh-CN"/>
              </w:rPr>
              <w:t>6</w:t>
            </w:r>
            <w:r>
              <w:rPr>
                <w:rFonts w:hint="eastAsia" w:cs="宋体" w:asciiTheme="minorEastAsia" w:hAnsiTheme="minorEastAsia" w:eastAsiaTheme="minorEastAsia"/>
                <w:color w:val="auto"/>
                <w:kern w:val="0"/>
                <w:sz w:val="21"/>
                <w:szCs w:val="21"/>
                <w:highlight w:val="none"/>
                <w:lang w:eastAsia="en-US"/>
              </w:rPr>
              <w:t>. 其他未尽事宜应严格按照《关于印发广西壮族自治区政府采购项目履约验收管理办法的通知》</w:t>
            </w:r>
            <w:r>
              <w:rPr>
                <w:rFonts w:hint="eastAsia" w:cs="宋体" w:asciiTheme="minorEastAsia" w:hAnsiTheme="minorEastAsia" w:eastAsiaTheme="minorEastAsia"/>
                <w:color w:val="auto"/>
                <w:kern w:val="0"/>
                <w:sz w:val="21"/>
                <w:szCs w:val="21"/>
                <w:highlight w:val="none"/>
                <w:lang w:val="en-US" w:eastAsia="zh-CN"/>
              </w:rPr>
              <w:t>有关</w:t>
            </w:r>
            <w:r>
              <w:rPr>
                <w:rFonts w:hint="eastAsia" w:cs="宋体" w:asciiTheme="minorEastAsia" w:hAnsiTheme="minorEastAsia" w:eastAsiaTheme="minorEastAsia"/>
                <w:color w:val="auto"/>
                <w:kern w:val="0"/>
                <w:sz w:val="21"/>
                <w:szCs w:val="21"/>
                <w:highlight w:val="none"/>
                <w:lang w:eastAsia="en-US"/>
              </w:rPr>
              <w:t>规定执行。</w:t>
            </w:r>
          </w:p>
        </w:tc>
      </w:tr>
      <w:tr w14:paraId="4C3E6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254" w:type="pct"/>
            <w:vAlign w:val="center"/>
          </w:tcPr>
          <w:p w14:paraId="5CFDFA0D">
            <w:pPr>
              <w:widowControl/>
              <w:autoSpaceDE/>
              <w:autoSpaceDN/>
              <w:spacing w:line="360" w:lineRule="exact"/>
              <w:jc w:val="center"/>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5</w:t>
            </w:r>
          </w:p>
        </w:tc>
        <w:tc>
          <w:tcPr>
            <w:tcW w:w="568" w:type="pct"/>
            <w:vAlign w:val="center"/>
          </w:tcPr>
          <w:p w14:paraId="377A6882">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textAlignment w:val="center"/>
              <w:rPr>
                <w:rFonts w:hint="default" w:cs="宋体" w:asciiTheme="minorEastAsia" w:hAnsiTheme="minorEastAsia" w:eastAsiaTheme="minorEastAsia"/>
                <w:color w:val="auto"/>
                <w:kern w:val="0"/>
                <w:sz w:val="21"/>
                <w:szCs w:val="21"/>
                <w:highlight w:val="none"/>
                <w:lang w:val="en-US" w:eastAsia="zh-CN"/>
              </w:rPr>
            </w:pPr>
            <w:r>
              <w:rPr>
                <w:rFonts w:hint="eastAsia" w:cs="宋体" w:asciiTheme="minorEastAsia" w:hAnsiTheme="minorEastAsia" w:eastAsiaTheme="minorEastAsia"/>
                <w:color w:val="auto"/>
                <w:kern w:val="0"/>
                <w:sz w:val="21"/>
                <w:szCs w:val="21"/>
                <w:highlight w:val="none"/>
                <w:lang w:val="en-US" w:eastAsia="zh-CN"/>
              </w:rPr>
              <w:t>质量和保密要求</w:t>
            </w:r>
          </w:p>
        </w:tc>
        <w:tc>
          <w:tcPr>
            <w:tcW w:w="4177" w:type="pct"/>
            <w:vAlign w:val="center"/>
          </w:tcPr>
          <w:p w14:paraId="77E8A65B">
            <w:pPr>
              <w:keepNext w:val="0"/>
              <w:keepLines w:val="0"/>
              <w:pageBreakBefore w:val="0"/>
              <w:widowControl/>
              <w:numPr>
                <w:ilvl w:val="0"/>
                <w:numId w:val="0"/>
              </w:numPr>
              <w:kinsoku/>
              <w:wordWrap/>
              <w:overflowPunct/>
              <w:topLinePunct w:val="0"/>
              <w:autoSpaceDE/>
              <w:autoSpaceDN/>
              <w:bidi w:val="0"/>
              <w:adjustRightInd/>
              <w:snapToGrid/>
              <w:spacing w:line="360" w:lineRule="exact"/>
              <w:ind w:left="105" w:leftChars="50" w:right="105" w:rightChars="50" w:firstLine="420" w:firstLineChars="200"/>
              <w:textAlignment w:val="center"/>
              <w:rPr>
                <w:rFonts w:hint="eastAsia"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en-US" w:eastAsia="zh-CN" w:bidi="ar-SA"/>
              </w:rPr>
              <w:t>1</w:t>
            </w:r>
            <w:r>
              <w:rPr>
                <w:rFonts w:hint="eastAsia" w:cs="宋体" w:asciiTheme="minorEastAsia" w:hAnsiTheme="minorEastAsia" w:eastAsiaTheme="minorEastAsia"/>
                <w:color w:val="auto"/>
                <w:kern w:val="0"/>
                <w:sz w:val="21"/>
                <w:szCs w:val="21"/>
                <w:highlight w:val="none"/>
                <w:lang w:val="en-US" w:eastAsia="en-US" w:bidi="ar-SA"/>
              </w:rPr>
              <w:t>、</w:t>
            </w:r>
            <w:r>
              <w:rPr>
                <w:rFonts w:hint="eastAsia" w:cs="宋体" w:asciiTheme="minorEastAsia" w:hAnsiTheme="minorEastAsia" w:eastAsiaTheme="minorEastAsia"/>
                <w:color w:val="auto"/>
                <w:kern w:val="0"/>
                <w:sz w:val="21"/>
                <w:szCs w:val="21"/>
                <w:highlight w:val="none"/>
                <w:lang w:val="en-US" w:eastAsia="zh-CN"/>
              </w:rPr>
              <w:t>竞标</w:t>
            </w:r>
            <w:r>
              <w:rPr>
                <w:rFonts w:hint="eastAsia" w:cs="宋体" w:asciiTheme="minorEastAsia" w:hAnsiTheme="minorEastAsia" w:eastAsiaTheme="minorEastAsia"/>
                <w:color w:val="auto"/>
                <w:kern w:val="0"/>
                <w:sz w:val="21"/>
                <w:szCs w:val="21"/>
                <w:highlight w:val="none"/>
                <w:lang w:eastAsia="en-US"/>
              </w:rPr>
              <w:t>产品必须是原厂生产的正品、全新、完整、未使用过的合格产品，产品质量符合国家相关标准和规范，具备正规合法经销渠道</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eastAsia="en-US"/>
              </w:rPr>
              <w:t>相关部件及服务须满足本项目需求中各项要求</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eastAsia="en-US"/>
              </w:rPr>
              <w:t>所有产品要求的技术参数和配置均按国家标准及生产厂家出厂标准配置</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eastAsia="en-US"/>
              </w:rPr>
              <w:t>如果国家、自治区有新的文件要求，</w:t>
            </w:r>
            <w:r>
              <w:rPr>
                <w:rFonts w:hint="eastAsia" w:cs="宋体" w:asciiTheme="minorEastAsia" w:hAnsiTheme="minorEastAsia" w:eastAsiaTheme="minorEastAsia"/>
                <w:color w:val="auto"/>
                <w:kern w:val="0"/>
                <w:sz w:val="21"/>
                <w:szCs w:val="21"/>
                <w:highlight w:val="none"/>
                <w:lang w:val="en-US" w:eastAsia="zh-CN"/>
              </w:rPr>
              <w:t>供应商</w:t>
            </w:r>
            <w:r>
              <w:rPr>
                <w:rFonts w:hint="eastAsia" w:cs="宋体" w:asciiTheme="minorEastAsia" w:hAnsiTheme="minorEastAsia" w:eastAsiaTheme="minorEastAsia"/>
                <w:color w:val="auto"/>
                <w:kern w:val="0"/>
                <w:sz w:val="21"/>
                <w:szCs w:val="21"/>
                <w:highlight w:val="none"/>
                <w:lang w:eastAsia="en-US"/>
              </w:rPr>
              <w:t>无条件执行国家、自治区最新文件规定的质量控制要求。</w:t>
            </w:r>
          </w:p>
          <w:p w14:paraId="2DC3DEB8">
            <w:pPr>
              <w:keepNext w:val="0"/>
              <w:keepLines w:val="0"/>
              <w:pageBreakBefore w:val="0"/>
              <w:widowControl/>
              <w:numPr>
                <w:ilvl w:val="0"/>
                <w:numId w:val="0"/>
              </w:numPr>
              <w:kinsoku/>
              <w:wordWrap/>
              <w:overflowPunct/>
              <w:topLinePunct w:val="0"/>
              <w:autoSpaceDE/>
              <w:autoSpaceDN/>
              <w:bidi w:val="0"/>
              <w:adjustRightInd/>
              <w:snapToGrid/>
              <w:spacing w:line="360" w:lineRule="exact"/>
              <w:ind w:left="105" w:leftChars="50" w:right="105" w:rightChars="50" w:firstLine="420" w:firstLineChars="200"/>
              <w:textAlignment w:val="center"/>
              <w:rPr>
                <w:rFonts w:hint="eastAsia"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en-US" w:eastAsia="zh-CN"/>
              </w:rPr>
              <w:t>2</w:t>
            </w:r>
            <w:r>
              <w:rPr>
                <w:rFonts w:hint="eastAsia" w:cs="宋体" w:asciiTheme="minorEastAsia" w:hAnsiTheme="minorEastAsia" w:eastAsiaTheme="minorEastAsia"/>
                <w:color w:val="auto"/>
                <w:kern w:val="0"/>
                <w:sz w:val="21"/>
                <w:szCs w:val="21"/>
                <w:highlight w:val="none"/>
                <w:lang w:eastAsia="en-US"/>
              </w:rPr>
              <w:t>、所提供的软硬件不得包含任何侵犯第三方权益的内容和行为，由此造成的一切后果均由中标方（</w:t>
            </w:r>
            <w:r>
              <w:rPr>
                <w:rFonts w:hint="eastAsia" w:cs="宋体" w:asciiTheme="minorEastAsia" w:hAnsiTheme="minorEastAsia" w:eastAsiaTheme="minorEastAsia"/>
                <w:color w:val="auto"/>
                <w:kern w:val="0"/>
                <w:sz w:val="21"/>
                <w:szCs w:val="21"/>
                <w:highlight w:val="none"/>
                <w:lang w:val="en-US" w:eastAsia="zh-CN"/>
              </w:rPr>
              <w:t>成交</w:t>
            </w:r>
            <w:r>
              <w:rPr>
                <w:rFonts w:hint="eastAsia" w:cs="宋体" w:asciiTheme="minorEastAsia" w:hAnsiTheme="minorEastAsia" w:eastAsiaTheme="minorEastAsia"/>
                <w:color w:val="auto"/>
                <w:kern w:val="0"/>
                <w:sz w:val="21"/>
                <w:szCs w:val="21"/>
                <w:highlight w:val="none"/>
                <w:lang w:eastAsia="en-US"/>
              </w:rPr>
              <w:t>供应商</w:t>
            </w:r>
            <w:r>
              <w:rPr>
                <w:rFonts w:hint="eastAsia" w:cs="宋体" w:asciiTheme="minorEastAsia" w:hAnsiTheme="minorEastAsia" w:eastAsiaTheme="minorEastAsia"/>
                <w:color w:val="auto"/>
                <w:kern w:val="0"/>
                <w:sz w:val="21"/>
                <w:szCs w:val="21"/>
                <w:highlight w:val="none"/>
                <w:lang w:eastAsia="en-US"/>
              </w:rPr>
              <w:t>）负责。</w:t>
            </w:r>
          </w:p>
          <w:p w14:paraId="282563B9">
            <w:pPr>
              <w:keepNext w:val="0"/>
              <w:keepLines w:val="0"/>
              <w:pageBreakBefore w:val="0"/>
              <w:widowControl/>
              <w:numPr>
                <w:ilvl w:val="0"/>
                <w:numId w:val="0"/>
              </w:numPr>
              <w:kinsoku/>
              <w:wordWrap/>
              <w:overflowPunct/>
              <w:topLinePunct w:val="0"/>
              <w:autoSpaceDE/>
              <w:autoSpaceDN/>
              <w:bidi w:val="0"/>
              <w:adjustRightInd/>
              <w:snapToGrid/>
              <w:spacing w:line="360" w:lineRule="exact"/>
              <w:ind w:left="105" w:leftChars="50" w:right="105" w:rightChars="50" w:firstLine="420" w:firstLineChars="200"/>
              <w:textAlignment w:val="center"/>
              <w:rPr>
                <w:rFonts w:hint="eastAsia" w:cs="宋体" w:asciiTheme="minorEastAsia" w:hAnsiTheme="minorEastAsia" w:eastAsiaTheme="minorEastAsia"/>
                <w:color w:val="auto"/>
                <w:kern w:val="0"/>
                <w:sz w:val="21"/>
                <w:szCs w:val="21"/>
                <w:highlight w:val="none"/>
                <w:lang w:val="en-US" w:eastAsia="en-US" w:bidi="ar-SA"/>
              </w:rPr>
            </w:pPr>
            <w:r>
              <w:rPr>
                <w:rFonts w:hint="eastAsia" w:cs="宋体" w:asciiTheme="minorEastAsia" w:hAnsiTheme="minorEastAsia" w:eastAsiaTheme="minorEastAsia"/>
                <w:color w:val="auto"/>
                <w:kern w:val="0"/>
                <w:sz w:val="21"/>
                <w:szCs w:val="21"/>
                <w:highlight w:val="none"/>
                <w:lang w:val="en-US" w:eastAsia="zh-CN" w:bidi="ar-SA"/>
              </w:rPr>
              <w:t>3、</w:t>
            </w:r>
            <w:r>
              <w:rPr>
                <w:rFonts w:hint="eastAsia" w:cs="宋体" w:asciiTheme="minorEastAsia" w:hAnsiTheme="minorEastAsia" w:eastAsiaTheme="minorEastAsia"/>
                <w:color w:val="auto"/>
                <w:kern w:val="0"/>
                <w:sz w:val="21"/>
                <w:szCs w:val="21"/>
                <w:highlight w:val="none"/>
                <w:lang w:val="en-US" w:eastAsia="en-US" w:bidi="ar-SA"/>
              </w:rPr>
              <w:t>知识产权</w:t>
            </w:r>
          </w:p>
          <w:p w14:paraId="00736BF7">
            <w:pPr>
              <w:keepNext w:val="0"/>
              <w:keepLines w:val="0"/>
              <w:pageBreakBefore w:val="0"/>
              <w:widowControl/>
              <w:numPr>
                <w:ilvl w:val="0"/>
                <w:numId w:val="0"/>
              </w:numPr>
              <w:kinsoku/>
              <w:wordWrap/>
              <w:overflowPunct/>
              <w:topLinePunct w:val="0"/>
              <w:autoSpaceDE/>
              <w:autoSpaceDN/>
              <w:bidi w:val="0"/>
              <w:adjustRightInd/>
              <w:snapToGrid/>
              <w:spacing w:line="360" w:lineRule="exact"/>
              <w:ind w:left="105" w:leftChars="50" w:right="105" w:rightChars="50" w:firstLine="420" w:firstLineChars="200"/>
              <w:textAlignment w:val="center"/>
              <w:rPr>
                <w:rFonts w:hint="eastAsia" w:cs="宋体" w:asciiTheme="minorEastAsia" w:hAnsiTheme="minorEastAsia" w:eastAsiaTheme="minorEastAsia"/>
                <w:color w:val="auto"/>
                <w:kern w:val="0"/>
                <w:sz w:val="21"/>
                <w:szCs w:val="21"/>
                <w:highlight w:val="none"/>
                <w:lang w:val="en-US" w:eastAsia="en-US" w:bidi="ar-SA"/>
              </w:rPr>
            </w:pPr>
            <w:r>
              <w:rPr>
                <w:rFonts w:hint="eastAsia" w:cs="宋体" w:asciiTheme="minorEastAsia" w:hAnsiTheme="minorEastAsia" w:eastAsiaTheme="minorEastAsia"/>
                <w:color w:val="auto"/>
                <w:kern w:val="0"/>
                <w:sz w:val="21"/>
                <w:szCs w:val="21"/>
                <w:highlight w:val="none"/>
                <w:lang w:val="en-US" w:eastAsia="en-US" w:bidi="ar-SA"/>
              </w:rPr>
              <w:t>为保证本项目的服务质量以及提升相关数据资料的安全性和保密性，在本项目服务过程中，要求供应商所使用的商用密码产品必须具有自主知识产权，并提供相关软件著作权证书。采购人在中华人民共和国境内使用成交人提供的产品及服务时免受第三方提出的侵犯其专利权或其它知识产权的起诉。如果第三方提出侵权指控，成交人应承担由此而引起的一切法律责任和费用</w:t>
            </w:r>
          </w:p>
          <w:p w14:paraId="70E80F26">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bCs/>
                <w:color w:val="auto"/>
                <w:kern w:val="0"/>
                <w:sz w:val="21"/>
                <w:szCs w:val="21"/>
                <w:highlight w:val="none"/>
                <w:lang w:eastAsia="en-US"/>
              </w:rPr>
            </w:pPr>
            <w:r>
              <w:rPr>
                <w:rFonts w:hint="eastAsia" w:cs="宋体" w:asciiTheme="minorEastAsia" w:hAnsiTheme="minorEastAsia" w:eastAsiaTheme="minorEastAsia"/>
                <w:bCs/>
                <w:color w:val="auto"/>
                <w:kern w:val="0"/>
                <w:sz w:val="21"/>
                <w:szCs w:val="21"/>
                <w:highlight w:val="none"/>
                <w:lang w:val="en-US" w:eastAsia="zh-CN"/>
              </w:rPr>
              <w:t>4</w:t>
            </w:r>
            <w:r>
              <w:rPr>
                <w:rFonts w:hint="eastAsia" w:cs="宋体" w:asciiTheme="minorEastAsia" w:hAnsiTheme="minorEastAsia" w:eastAsiaTheme="minorEastAsia"/>
                <w:bCs/>
                <w:color w:val="auto"/>
                <w:kern w:val="0"/>
                <w:sz w:val="21"/>
                <w:szCs w:val="21"/>
                <w:highlight w:val="none"/>
                <w:lang w:eastAsia="en-US"/>
              </w:rPr>
              <w:t>、信息安全保密要求：</w:t>
            </w:r>
          </w:p>
          <w:p w14:paraId="232411BF">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a）必须严格遵守贺州市妇幼保健院的安全保密制度。</w:t>
            </w:r>
          </w:p>
          <w:p w14:paraId="01FE26EF">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b）项目人员须保证遵守国家有关版本和知识产权保护的政策、法律法规和制度。</w:t>
            </w:r>
          </w:p>
          <w:p w14:paraId="5AFA1FF6">
            <w:pPr>
              <w:pStyle w:val="17"/>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rPr>
                <w:rFonts w:cs="宋体" w:asciiTheme="minorEastAsia" w:hAnsiTheme="minorEastAsia" w:eastAsiaTheme="minorEastAsia"/>
                <w:color w:val="auto"/>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c）</w:t>
            </w:r>
            <w:r>
              <w:rPr>
                <w:rFonts w:hint="eastAsia" w:cs="宋体" w:asciiTheme="minorEastAsia" w:hAnsiTheme="minorEastAsia" w:eastAsiaTheme="minorEastAsia"/>
                <w:color w:val="auto"/>
                <w:kern w:val="0"/>
                <w:sz w:val="21"/>
                <w:szCs w:val="21"/>
                <w:highlight w:val="none"/>
                <w:lang w:val="en-US" w:eastAsia="zh-CN"/>
              </w:rPr>
              <w:t>中标方</w:t>
            </w:r>
            <w:r>
              <w:rPr>
                <w:rFonts w:hint="eastAsia" w:cs="宋体" w:asciiTheme="minorEastAsia" w:hAnsiTheme="minorEastAsia" w:eastAsiaTheme="minorEastAsia"/>
                <w:color w:val="auto"/>
                <w:kern w:val="0"/>
                <w:sz w:val="21"/>
                <w:szCs w:val="21"/>
                <w:highlight w:val="none"/>
                <w:lang w:eastAsia="en-US"/>
              </w:rPr>
              <w:t>（</w:t>
            </w:r>
            <w:r>
              <w:rPr>
                <w:rFonts w:hint="eastAsia" w:cs="宋体" w:asciiTheme="minorEastAsia" w:hAnsiTheme="minorEastAsia" w:eastAsiaTheme="minorEastAsia"/>
                <w:color w:val="auto"/>
                <w:kern w:val="0"/>
                <w:sz w:val="21"/>
                <w:szCs w:val="21"/>
                <w:highlight w:val="none"/>
                <w:lang w:val="en-US" w:eastAsia="zh-CN"/>
              </w:rPr>
              <w:t>成交</w:t>
            </w:r>
            <w:r>
              <w:rPr>
                <w:rFonts w:hint="eastAsia" w:cs="宋体" w:asciiTheme="minorEastAsia" w:hAnsiTheme="minorEastAsia" w:eastAsiaTheme="minorEastAsia"/>
                <w:color w:val="auto"/>
                <w:kern w:val="0"/>
                <w:sz w:val="21"/>
                <w:szCs w:val="21"/>
                <w:highlight w:val="none"/>
                <w:lang w:eastAsia="en-US"/>
              </w:rPr>
              <w:t>供应商</w:t>
            </w:r>
            <w:r>
              <w:rPr>
                <w:rFonts w:hint="eastAsia" w:cs="宋体" w:asciiTheme="minorEastAsia" w:hAnsiTheme="minorEastAsia" w:eastAsiaTheme="minorEastAsia"/>
                <w:color w:val="auto"/>
                <w:kern w:val="0"/>
                <w:sz w:val="21"/>
                <w:szCs w:val="21"/>
                <w:highlight w:val="none"/>
                <w:lang w:eastAsia="en-US"/>
              </w:rPr>
              <w:t>）应对项目中接触到的贺州市妇幼保健院所有的知识产权、商业秘密、技术成果等信息负保密义务；未经贺州市妇幼保健院书面同意，不得向社会公众或第三方通过任何途径出示、泄露，不得许可使用，不得对上述信息进行复制、传播、销售；保证不向外泄露任何保密的技术资料；如果出现</w:t>
            </w:r>
            <w:r>
              <w:rPr>
                <w:rFonts w:hint="eastAsia" w:cs="宋体" w:asciiTheme="minorEastAsia" w:hAnsiTheme="minorEastAsia" w:eastAsiaTheme="minorEastAsia"/>
                <w:color w:val="auto"/>
                <w:kern w:val="0"/>
                <w:sz w:val="21"/>
                <w:szCs w:val="21"/>
                <w:highlight w:val="none"/>
                <w:lang w:val="en-US" w:eastAsia="zh-CN"/>
              </w:rPr>
              <w:t>项目</w:t>
            </w:r>
            <w:r>
              <w:rPr>
                <w:rFonts w:hint="eastAsia" w:cs="宋体" w:asciiTheme="minorEastAsia" w:hAnsiTheme="minorEastAsia" w:eastAsiaTheme="minorEastAsia"/>
                <w:color w:val="auto"/>
                <w:kern w:val="0"/>
                <w:sz w:val="21"/>
                <w:szCs w:val="21"/>
                <w:highlight w:val="none"/>
                <w:lang w:eastAsia="en-US"/>
              </w:rPr>
              <w:t>人员泄密事件，中标人应负有连带责任；中标人须与贺州市妇幼保健院签署合同项目实施期间的信息保密协议</w:t>
            </w:r>
            <w:r>
              <w:rPr>
                <w:rFonts w:hint="eastAsia" w:cs="宋体" w:asciiTheme="minorEastAsia" w:hAnsiTheme="minorEastAsia" w:eastAsiaTheme="minorEastAsia"/>
                <w:color w:val="auto"/>
                <w:kern w:val="0"/>
                <w:sz w:val="21"/>
                <w:szCs w:val="21"/>
                <w:highlight w:val="none"/>
                <w:lang w:eastAsia="zh-CN"/>
              </w:rPr>
              <w:t>。</w:t>
            </w:r>
          </w:p>
        </w:tc>
      </w:tr>
      <w:tr w14:paraId="4791E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254" w:type="pct"/>
            <w:vAlign w:val="center"/>
          </w:tcPr>
          <w:p w14:paraId="1A950E48">
            <w:pPr>
              <w:autoSpaceDE/>
              <w:autoSpaceDN/>
              <w:spacing w:line="360" w:lineRule="exact"/>
              <w:rPr>
                <w:rFonts w:hint="eastAsia" w:cs="宋体" w:asciiTheme="minorEastAsia" w:hAnsiTheme="minorEastAsia" w:eastAsiaTheme="minorEastAsia"/>
                <w:color w:val="auto"/>
                <w:kern w:val="0"/>
                <w:sz w:val="21"/>
                <w:szCs w:val="21"/>
                <w:highlight w:val="none"/>
                <w:lang w:val="en-US" w:eastAsia="zh-CN"/>
              </w:rPr>
            </w:pPr>
            <w:r>
              <w:rPr>
                <w:rFonts w:hint="eastAsia" w:cs="宋体" w:asciiTheme="minorEastAsia" w:hAnsiTheme="minorEastAsia" w:eastAsiaTheme="minorEastAsia"/>
                <w:color w:val="auto"/>
                <w:kern w:val="0"/>
                <w:sz w:val="21"/>
                <w:szCs w:val="21"/>
                <w:highlight w:val="none"/>
                <w:lang w:val="en-US" w:eastAsia="zh-CN"/>
              </w:rPr>
              <w:t>6</w:t>
            </w:r>
          </w:p>
        </w:tc>
        <w:tc>
          <w:tcPr>
            <w:tcW w:w="568" w:type="pct"/>
            <w:vAlign w:val="center"/>
          </w:tcPr>
          <w:p w14:paraId="7D281550">
            <w:pPr>
              <w:keepNext w:val="0"/>
              <w:keepLines w:val="0"/>
              <w:pageBreakBefore w:val="0"/>
              <w:kinsoku/>
              <w:wordWrap/>
              <w:overflowPunct/>
              <w:topLinePunct w:val="0"/>
              <w:autoSpaceDE/>
              <w:autoSpaceDN/>
              <w:bidi w:val="0"/>
              <w:adjustRightInd/>
              <w:snapToGrid/>
              <w:spacing w:line="360" w:lineRule="exact"/>
              <w:ind w:left="105" w:leftChars="50" w:right="105" w:rightChars="50"/>
              <w:rPr>
                <w:rFonts w:hint="eastAsia"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售后服务要求</w:t>
            </w:r>
          </w:p>
        </w:tc>
        <w:tc>
          <w:tcPr>
            <w:tcW w:w="4177" w:type="pct"/>
            <w:vAlign w:val="top"/>
          </w:tcPr>
          <w:p w14:paraId="45632B88">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jc w:val="both"/>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eastAsia="en-US"/>
              </w:rPr>
              <w:t>1、免费送货上门、安装、调试，免费提供完善的设备使用。</w:t>
            </w:r>
          </w:p>
          <w:p w14:paraId="35379F4F">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jc w:val="both"/>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eastAsia="en-US"/>
              </w:rPr>
              <w:t>2、按国家有关产品“三包”规定执行“三包”，质保期内非采购人的原因引起的质量问题由成交供应商负责</w:t>
            </w:r>
            <w:r>
              <w:rPr>
                <w:rFonts w:hint="eastAsia" w:cs="宋体" w:asciiTheme="minorEastAsia" w:hAnsiTheme="minorEastAsia" w:eastAsiaTheme="minorEastAsia"/>
                <w:color w:val="auto"/>
                <w:kern w:val="0"/>
                <w:sz w:val="21"/>
                <w:szCs w:val="21"/>
                <w:highlight w:val="none"/>
                <w:lang w:eastAsia="zh-CN"/>
              </w:rPr>
              <w:t>；</w:t>
            </w:r>
          </w:p>
          <w:p w14:paraId="2FFCD1A5">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jc w:val="both"/>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val="en-US" w:eastAsia="zh-CN"/>
              </w:rPr>
              <w:t>3.</w:t>
            </w:r>
            <w:r>
              <w:rPr>
                <w:rFonts w:hint="eastAsia" w:cs="宋体" w:asciiTheme="minorEastAsia" w:hAnsiTheme="minorEastAsia" w:eastAsiaTheme="minorEastAsia"/>
                <w:color w:val="auto"/>
                <w:kern w:val="0"/>
                <w:sz w:val="21"/>
                <w:szCs w:val="21"/>
                <w:highlight w:val="none"/>
                <w:lang w:eastAsia="zh-CN"/>
              </w:rPr>
              <w:t>根据采购人需要，提供信息安全、密评等咨询、定制服务等保障服务。供应商安排一名项目经理，在项目实施期间提供商用密码改造建设的专业指导和总体协调服务，协调应包含各系统改造进度、改造合规性等。</w:t>
            </w:r>
          </w:p>
          <w:p w14:paraId="37339B60">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jc w:val="both"/>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val="en-US" w:eastAsia="zh-CN"/>
              </w:rPr>
              <w:t>4</w:t>
            </w:r>
            <w:r>
              <w:rPr>
                <w:rFonts w:hint="eastAsia" w:cs="宋体" w:asciiTheme="minorEastAsia" w:hAnsiTheme="minorEastAsia" w:eastAsiaTheme="minorEastAsia"/>
                <w:color w:val="auto"/>
                <w:kern w:val="0"/>
                <w:sz w:val="21"/>
                <w:szCs w:val="21"/>
                <w:highlight w:val="none"/>
                <w:lang w:eastAsia="zh-CN"/>
              </w:rPr>
              <w:t>、提供密码应用方案咨询与编制、密码应用技术设计与执行、密码应用安全性评估辅助过测评等多项保障性服务。</w:t>
            </w:r>
          </w:p>
          <w:p w14:paraId="297E238B">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jc w:val="both"/>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val="en-US" w:eastAsia="zh-CN"/>
              </w:rPr>
              <w:t>5</w:t>
            </w:r>
            <w:r>
              <w:rPr>
                <w:rFonts w:hint="eastAsia" w:cs="宋体" w:asciiTheme="minorEastAsia" w:hAnsiTheme="minorEastAsia" w:eastAsiaTheme="minorEastAsia"/>
                <w:color w:val="auto"/>
                <w:kern w:val="0"/>
                <w:sz w:val="21"/>
                <w:szCs w:val="21"/>
                <w:highlight w:val="none"/>
                <w:lang w:eastAsia="zh-CN"/>
              </w:rPr>
              <w:t>、至少安排一名项目经理，在密码应用领域具备丰富的项目经验的现场交付经理提供全程的产品应用技术支持，该项目经理在具备丰富的商用密码应用等各方面项目经验，确保顺利通过密码应用安全性评估。</w:t>
            </w:r>
          </w:p>
          <w:p w14:paraId="69EC1806">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jc w:val="both"/>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val="en-US" w:eastAsia="zh-CN"/>
              </w:rPr>
              <w:t>6.</w:t>
            </w:r>
            <w:r>
              <w:rPr>
                <w:rFonts w:hint="eastAsia" w:cs="宋体" w:asciiTheme="minorEastAsia" w:hAnsiTheme="minorEastAsia" w:eastAsiaTheme="minorEastAsia"/>
                <w:color w:val="auto"/>
                <w:kern w:val="0"/>
                <w:sz w:val="21"/>
                <w:szCs w:val="21"/>
                <w:highlight w:val="none"/>
                <w:lang w:eastAsia="zh-CN"/>
              </w:rPr>
              <w:t>安排技术人员进行技术培训，具体培训时间、地点以用户认可为准，提供有关设备安装、操作、维护和基本排障，以及配套功能特性的使用的文档和培</w:t>
            </w:r>
          </w:p>
          <w:p w14:paraId="1AC3A4E9">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jc w:val="both"/>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val="en-US" w:eastAsia="zh-CN"/>
              </w:rPr>
              <w:t>7.</w:t>
            </w:r>
            <w:r>
              <w:rPr>
                <w:rFonts w:hint="eastAsia" w:cs="宋体" w:asciiTheme="minorEastAsia" w:hAnsiTheme="minorEastAsia" w:eastAsiaTheme="minorEastAsia"/>
                <w:color w:val="auto"/>
                <w:kern w:val="0"/>
                <w:sz w:val="21"/>
                <w:szCs w:val="21"/>
                <w:highlight w:val="none"/>
                <w:lang w:eastAsia="zh-CN"/>
              </w:rPr>
              <w:t>供货商需配合采购人向密码管理部门申请备案，最终取得密码管理部门出具的《商用密码应用安全性评估结果备案证明》或同等效力的备案证明文件。改造需符合《商用密码管理条例》《信息安全技术商用密码应用安全性评估规则》（GB/T39786）等现行法规及技术标准。供货商应全程协助采购人准备备案材料、配合现场评估，若密码管理部门提出整改要求，供货商须在收到整改通知后30日内完成整改。</w:t>
            </w:r>
          </w:p>
          <w:p w14:paraId="264B464E">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jc w:val="both"/>
              <w:rPr>
                <w:rFonts w:hint="eastAsia" w:cs="宋体" w:asciiTheme="minorEastAsia" w:hAnsiTheme="minorEastAsia" w:eastAsiaTheme="minorEastAsia"/>
                <w:color w:val="auto"/>
                <w:kern w:val="0"/>
                <w:sz w:val="21"/>
                <w:szCs w:val="21"/>
                <w:highlight w:val="none"/>
                <w:lang w:val="en-US" w:eastAsia="zh-CN"/>
              </w:rPr>
            </w:pPr>
            <w:r>
              <w:rPr>
                <w:rFonts w:hint="eastAsia" w:cs="宋体" w:asciiTheme="minorEastAsia" w:hAnsiTheme="minorEastAsia" w:eastAsiaTheme="minorEastAsia"/>
                <w:color w:val="auto"/>
                <w:kern w:val="0"/>
                <w:sz w:val="21"/>
                <w:szCs w:val="21"/>
                <w:highlight w:val="none"/>
                <w:lang w:val="en-US" w:eastAsia="zh-CN"/>
              </w:rPr>
              <w:t>8</w:t>
            </w:r>
            <w:r>
              <w:rPr>
                <w:rFonts w:hint="eastAsia" w:cs="宋体" w:asciiTheme="minorEastAsia" w:hAnsiTheme="minorEastAsia" w:eastAsiaTheme="minorEastAsia"/>
                <w:color w:val="auto"/>
                <w:kern w:val="0"/>
                <w:sz w:val="21"/>
                <w:szCs w:val="21"/>
                <w:highlight w:val="none"/>
                <w:lang w:eastAsia="en-US"/>
              </w:rPr>
              <w:t>.质保期内，每年不低于</w:t>
            </w:r>
            <w:r>
              <w:rPr>
                <w:rFonts w:hint="eastAsia" w:cs="宋体" w:asciiTheme="minorEastAsia" w:hAnsiTheme="minorEastAsia" w:eastAsiaTheme="minorEastAsia"/>
                <w:color w:val="auto"/>
                <w:kern w:val="0"/>
                <w:sz w:val="21"/>
                <w:szCs w:val="21"/>
                <w:highlight w:val="none"/>
                <w:lang w:val="en-US" w:eastAsia="zh-CN"/>
              </w:rPr>
              <w:t>4</w:t>
            </w:r>
            <w:r>
              <w:rPr>
                <w:rFonts w:hint="eastAsia" w:cs="宋体" w:asciiTheme="minorEastAsia" w:hAnsiTheme="minorEastAsia" w:eastAsiaTheme="minorEastAsia"/>
                <w:color w:val="auto"/>
                <w:kern w:val="0"/>
                <w:sz w:val="21"/>
                <w:szCs w:val="21"/>
                <w:highlight w:val="none"/>
                <w:lang w:eastAsia="en-US"/>
              </w:rPr>
              <w:t>次的例行维护及巡检。例行维护内容包括:硬件的现场巡检、调整优化并对设备进行保养和正常维护等</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eastAsia="en-US"/>
              </w:rPr>
              <w:t>并在重大保障时间点前提供专项巡检服务</w:t>
            </w:r>
            <w:r>
              <w:rPr>
                <w:rFonts w:hint="eastAsia" w:cs="宋体" w:asciiTheme="minorEastAsia" w:hAnsiTheme="minorEastAsia" w:eastAsiaTheme="minorEastAsia"/>
                <w:color w:val="auto"/>
                <w:kern w:val="0"/>
                <w:sz w:val="21"/>
                <w:szCs w:val="21"/>
                <w:highlight w:val="none"/>
                <w:lang w:eastAsia="zh-CN"/>
              </w:rPr>
              <w:t>。</w:t>
            </w:r>
          </w:p>
          <w:p w14:paraId="71FFA36A">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jc w:val="both"/>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en-US" w:eastAsia="zh-CN"/>
              </w:rPr>
              <w:t>9</w:t>
            </w:r>
            <w:r>
              <w:rPr>
                <w:rFonts w:hint="eastAsia" w:cs="宋体" w:asciiTheme="minorEastAsia" w:hAnsiTheme="minorEastAsia" w:eastAsiaTheme="minorEastAsia"/>
                <w:color w:val="auto"/>
                <w:kern w:val="0"/>
                <w:sz w:val="21"/>
                <w:szCs w:val="21"/>
                <w:highlight w:val="none"/>
                <w:lang w:eastAsia="en-US"/>
              </w:rPr>
              <w:t>、供应商</w:t>
            </w:r>
            <w:r>
              <w:rPr>
                <w:rFonts w:hint="eastAsia" w:cs="宋体" w:asciiTheme="minorEastAsia" w:hAnsiTheme="minorEastAsia" w:eastAsiaTheme="minorEastAsia"/>
                <w:color w:val="auto"/>
                <w:kern w:val="0"/>
                <w:sz w:val="21"/>
                <w:szCs w:val="21"/>
                <w:highlight w:val="none"/>
                <w:lang w:val="en-US" w:eastAsia="zh-CN"/>
              </w:rPr>
              <w:t>须</w:t>
            </w:r>
            <w:r>
              <w:rPr>
                <w:rFonts w:hint="eastAsia" w:cs="宋体" w:asciiTheme="minorEastAsia" w:hAnsiTheme="minorEastAsia" w:eastAsiaTheme="minorEastAsia"/>
                <w:color w:val="auto"/>
                <w:kern w:val="0"/>
                <w:sz w:val="21"/>
                <w:szCs w:val="21"/>
                <w:highlight w:val="none"/>
                <w:lang w:eastAsia="en-US"/>
              </w:rPr>
              <w:t>有良好的售后服务能力，并提供质保期内的免费服务及管理软件升级，需提供全年</w:t>
            </w:r>
            <w:r>
              <w:rPr>
                <w:rFonts w:hint="eastAsia" w:cs="宋体" w:asciiTheme="minorEastAsia" w:hAnsiTheme="minorEastAsia" w:eastAsiaTheme="minorEastAsia"/>
                <w:color w:val="auto"/>
                <w:kern w:val="0"/>
                <w:sz w:val="21"/>
                <w:szCs w:val="21"/>
                <w:highlight w:val="none"/>
                <w:lang w:val="en-US" w:eastAsia="zh-CN"/>
              </w:rPr>
              <w:t xml:space="preserve">的 </w:t>
            </w:r>
            <w:r>
              <w:rPr>
                <w:rFonts w:hint="eastAsia" w:cs="宋体" w:asciiTheme="minorEastAsia" w:hAnsiTheme="minorEastAsia" w:eastAsiaTheme="minorEastAsia"/>
                <w:color w:val="auto"/>
                <w:kern w:val="0"/>
                <w:sz w:val="21"/>
                <w:szCs w:val="21"/>
                <w:highlight w:val="none"/>
                <w:lang w:eastAsia="en-US"/>
              </w:rPr>
              <w:t>7</w:t>
            </w:r>
            <w:r>
              <w:rPr>
                <w:rFonts w:hint="eastAsia" w:cs="宋体" w:asciiTheme="minorEastAsia" w:hAnsiTheme="minorEastAsia" w:eastAsiaTheme="minorEastAsia"/>
                <w:color w:val="auto"/>
                <w:kern w:val="0"/>
                <w:sz w:val="21"/>
                <w:szCs w:val="21"/>
                <w:highlight w:val="none"/>
                <w:lang w:val="en-US" w:eastAsia="zh-CN"/>
              </w:rPr>
              <w:t>*</w:t>
            </w:r>
            <w:r>
              <w:rPr>
                <w:rFonts w:hint="eastAsia" w:cs="宋体" w:asciiTheme="minorEastAsia" w:hAnsiTheme="minorEastAsia" w:eastAsiaTheme="minorEastAsia"/>
                <w:color w:val="auto"/>
                <w:kern w:val="0"/>
                <w:sz w:val="21"/>
                <w:szCs w:val="21"/>
                <w:highlight w:val="none"/>
                <w:lang w:eastAsia="en-US"/>
              </w:rPr>
              <w:t xml:space="preserve"> 24小时服务(电话、远程或现场</w:t>
            </w:r>
            <w:r>
              <w:rPr>
                <w:rFonts w:hint="eastAsia" w:cs="宋体" w:asciiTheme="minorEastAsia" w:hAnsiTheme="minorEastAsia" w:eastAsiaTheme="minorEastAsia"/>
                <w:color w:val="auto"/>
                <w:kern w:val="0"/>
                <w:sz w:val="21"/>
                <w:szCs w:val="21"/>
                <w:highlight w:val="none"/>
                <w:lang w:eastAsia="zh-CN"/>
              </w:rPr>
              <w:t>），</w:t>
            </w:r>
            <w:r>
              <w:rPr>
                <w:rFonts w:hint="eastAsia" w:cs="宋体" w:asciiTheme="minorEastAsia" w:hAnsiTheme="minorEastAsia" w:eastAsiaTheme="minorEastAsia"/>
                <w:color w:val="auto"/>
                <w:kern w:val="0"/>
                <w:sz w:val="21"/>
                <w:szCs w:val="21"/>
                <w:highlight w:val="none"/>
                <w:lang w:eastAsia="en-US"/>
              </w:rPr>
              <w:t>在质保期内，设备出现故障，中标方工程师在收到采购人的维修服务要求后1小时内做出回应，8小时到达采购人现场进行维修。</w:t>
            </w:r>
          </w:p>
          <w:p w14:paraId="442F026A">
            <w:pPr>
              <w:keepNext w:val="0"/>
              <w:keepLines w:val="0"/>
              <w:pageBreakBefore w:val="0"/>
              <w:kinsoku/>
              <w:wordWrap/>
              <w:overflowPunct/>
              <w:topLinePunct w:val="0"/>
              <w:autoSpaceDE/>
              <w:autoSpaceDN/>
              <w:bidi w:val="0"/>
              <w:adjustRightInd/>
              <w:snapToGrid/>
              <w:spacing w:line="360" w:lineRule="exact"/>
              <w:ind w:left="105" w:leftChars="50" w:right="105" w:rightChars="50" w:firstLine="420" w:firstLineChars="200"/>
              <w:jc w:val="both"/>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en-US" w:eastAsia="zh-CN"/>
              </w:rPr>
              <w:t>10</w:t>
            </w:r>
            <w:r>
              <w:rPr>
                <w:rFonts w:hint="eastAsia" w:cs="宋体" w:asciiTheme="minorEastAsia" w:hAnsiTheme="minorEastAsia" w:eastAsiaTheme="minorEastAsia"/>
                <w:color w:val="auto"/>
                <w:kern w:val="0"/>
                <w:sz w:val="21"/>
                <w:szCs w:val="21"/>
                <w:highlight w:val="none"/>
                <w:lang w:eastAsia="en-US"/>
              </w:rPr>
              <w:t>、发生重大网络安全事件，中标方专业安全工程师应立即响应，4小时内到现场处理，并协助事件追溯；发生一般网络安全事件，中标方专业安全工程师应1小时内响应，8小时内到现场处理；未达到现场前，应提供电话或其他方式的远程指导。</w:t>
            </w:r>
          </w:p>
          <w:p w14:paraId="05D479F0">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jc w:val="both"/>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val="en-US" w:eastAsia="zh-CN"/>
              </w:rPr>
              <w:t>11</w:t>
            </w:r>
            <w:r>
              <w:rPr>
                <w:rFonts w:hint="eastAsia" w:cs="宋体" w:asciiTheme="minorEastAsia" w:hAnsiTheme="minorEastAsia" w:eastAsiaTheme="minorEastAsia"/>
                <w:color w:val="auto"/>
                <w:kern w:val="0"/>
                <w:sz w:val="21"/>
                <w:szCs w:val="21"/>
                <w:highlight w:val="none"/>
                <w:lang w:eastAsia="en-US"/>
              </w:rPr>
              <w:t>、质保期过后，提供终身维修、保养服务(只收取成本费用)</w:t>
            </w:r>
            <w:r>
              <w:rPr>
                <w:rFonts w:hint="eastAsia" w:cs="宋体" w:asciiTheme="minorEastAsia" w:hAnsiTheme="minorEastAsia" w:eastAsiaTheme="minorEastAsia"/>
                <w:color w:val="auto"/>
                <w:kern w:val="0"/>
                <w:sz w:val="21"/>
                <w:szCs w:val="21"/>
                <w:highlight w:val="none"/>
                <w:lang w:eastAsia="zh-CN"/>
              </w:rPr>
              <w:t>。</w:t>
            </w:r>
          </w:p>
        </w:tc>
      </w:tr>
      <w:tr w14:paraId="04FAF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jc w:val="center"/>
        </w:trPr>
        <w:tc>
          <w:tcPr>
            <w:tcW w:w="254" w:type="pct"/>
            <w:vAlign w:val="center"/>
          </w:tcPr>
          <w:p w14:paraId="6DA56D1B">
            <w:pPr>
              <w:widowControl/>
              <w:autoSpaceDE/>
              <w:autoSpaceDN/>
              <w:spacing w:line="360" w:lineRule="exact"/>
              <w:jc w:val="center"/>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val="en-US" w:eastAsia="zh-CN"/>
              </w:rPr>
              <w:t>7</w:t>
            </w:r>
          </w:p>
        </w:tc>
        <w:tc>
          <w:tcPr>
            <w:tcW w:w="568" w:type="pct"/>
            <w:vAlign w:val="center"/>
          </w:tcPr>
          <w:p w14:paraId="7F8C266C">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zh-CN" w:eastAsia="en-US"/>
              </w:rPr>
              <w:t>付款方式、时间及条件</w:t>
            </w:r>
          </w:p>
        </w:tc>
        <w:tc>
          <w:tcPr>
            <w:tcW w:w="4177" w:type="pct"/>
            <w:vAlign w:val="center"/>
          </w:tcPr>
          <w:p w14:paraId="59E1E8BA">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2" w:firstLineChars="200"/>
              <w:textAlignment w:val="center"/>
              <w:rPr>
                <w:rFonts w:hint="default" w:cs="宋体" w:asciiTheme="minorEastAsia" w:hAnsiTheme="minorEastAsia" w:eastAsiaTheme="minorEastAsia"/>
                <w:b/>
                <w:bCs/>
                <w:color w:val="auto"/>
                <w:kern w:val="0"/>
                <w:sz w:val="21"/>
                <w:szCs w:val="21"/>
                <w:highlight w:val="none"/>
                <w:lang w:val="en-US" w:eastAsia="zh-CN"/>
              </w:rPr>
            </w:pPr>
            <w:r>
              <w:rPr>
                <w:rFonts w:hint="eastAsia" w:cs="宋体" w:asciiTheme="minorEastAsia" w:hAnsiTheme="minorEastAsia" w:eastAsiaTheme="minorEastAsia"/>
                <w:b/>
                <w:bCs/>
                <w:color w:val="auto"/>
                <w:kern w:val="0"/>
                <w:sz w:val="21"/>
                <w:szCs w:val="21"/>
                <w:highlight w:val="none"/>
                <w:lang w:val="zh-CN" w:eastAsia="en-US"/>
              </w:rPr>
              <w:t>本项目合同总金额</w:t>
            </w:r>
            <w:r>
              <w:rPr>
                <w:rFonts w:hint="eastAsia" w:cs="宋体" w:asciiTheme="minorEastAsia" w:hAnsiTheme="minorEastAsia" w:eastAsiaTheme="minorEastAsia"/>
                <w:b/>
                <w:bCs/>
                <w:color w:val="auto"/>
                <w:kern w:val="0"/>
                <w:sz w:val="21"/>
                <w:szCs w:val="21"/>
                <w:highlight w:val="none"/>
                <w:lang w:val="en-US" w:eastAsia="zh-CN"/>
              </w:rPr>
              <w:t>分4期付款：</w:t>
            </w:r>
          </w:p>
          <w:p w14:paraId="39BFEAF6">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2" w:firstLineChars="200"/>
              <w:textAlignment w:val="center"/>
              <w:rPr>
                <w:rFonts w:cs="宋体" w:asciiTheme="minorEastAsia" w:hAnsiTheme="minorEastAsia" w:eastAsiaTheme="minorEastAsia"/>
                <w:color w:val="auto"/>
                <w:kern w:val="0"/>
                <w:sz w:val="21"/>
                <w:szCs w:val="21"/>
                <w:highlight w:val="none"/>
                <w:lang w:val="zh-CN" w:eastAsia="en-US"/>
              </w:rPr>
            </w:pPr>
            <w:r>
              <w:rPr>
                <w:rFonts w:hint="eastAsia" w:cs="宋体" w:asciiTheme="minorEastAsia" w:hAnsiTheme="minorEastAsia" w:eastAsiaTheme="minorEastAsia"/>
                <w:b/>
                <w:bCs/>
                <w:color w:val="auto"/>
                <w:kern w:val="0"/>
                <w:sz w:val="21"/>
                <w:szCs w:val="21"/>
                <w:highlight w:val="none"/>
                <w:lang w:val="zh-CN" w:eastAsia="en-US"/>
              </w:rPr>
              <w:t>1</w:t>
            </w:r>
            <w:r>
              <w:rPr>
                <w:rFonts w:hint="eastAsia" w:cs="宋体" w:asciiTheme="minorEastAsia" w:hAnsiTheme="minorEastAsia" w:eastAsiaTheme="minorEastAsia"/>
                <w:b/>
                <w:bCs/>
                <w:color w:val="auto"/>
                <w:kern w:val="0"/>
                <w:sz w:val="21"/>
                <w:szCs w:val="21"/>
                <w:highlight w:val="none"/>
                <w:lang w:val="en-US" w:eastAsia="zh-CN"/>
              </w:rPr>
              <w:t>.第1期：</w:t>
            </w:r>
            <w:r>
              <w:rPr>
                <w:rFonts w:hint="eastAsia" w:cs="宋体" w:asciiTheme="minorEastAsia" w:hAnsiTheme="minorEastAsia" w:eastAsiaTheme="minorEastAsia"/>
                <w:color w:val="auto"/>
                <w:kern w:val="0"/>
                <w:sz w:val="21"/>
                <w:szCs w:val="21"/>
                <w:highlight w:val="none"/>
                <w:lang w:val="zh-CN" w:eastAsia="en-US"/>
              </w:rPr>
              <w:t>本项目全部硬件产品送达指点地点，签收后，初步验收合格，</w:t>
            </w:r>
            <w:r>
              <w:rPr>
                <w:rFonts w:hint="eastAsia" w:cs="宋体" w:asciiTheme="minorEastAsia" w:hAnsiTheme="minorEastAsia" w:eastAsiaTheme="minorEastAsia"/>
                <w:color w:val="auto"/>
                <w:kern w:val="0"/>
                <w:sz w:val="21"/>
                <w:szCs w:val="21"/>
                <w:highlight w:val="none"/>
                <w:lang w:val="en-US" w:eastAsia="zh-CN"/>
              </w:rPr>
              <w:t>采购人收到发票后1</w:t>
            </w:r>
            <w:r>
              <w:rPr>
                <w:rFonts w:hint="eastAsia" w:cs="宋体" w:asciiTheme="minorEastAsia" w:hAnsiTheme="minorEastAsia" w:eastAsiaTheme="minorEastAsia"/>
                <w:color w:val="auto"/>
                <w:kern w:val="0"/>
                <w:sz w:val="21"/>
                <w:szCs w:val="21"/>
                <w:highlight w:val="none"/>
                <w:lang w:val="zh-CN" w:eastAsia="en-US"/>
              </w:rPr>
              <w:t>0个</w:t>
            </w:r>
            <w:r>
              <w:rPr>
                <w:rFonts w:hint="eastAsia" w:cs="宋体" w:asciiTheme="minorEastAsia" w:hAnsiTheme="minorEastAsia" w:eastAsiaTheme="minorEastAsia"/>
                <w:color w:val="auto"/>
                <w:kern w:val="0"/>
                <w:sz w:val="21"/>
                <w:szCs w:val="21"/>
                <w:highlight w:val="none"/>
                <w:lang w:val="en-US" w:eastAsia="zh-CN"/>
              </w:rPr>
              <w:t>工作日</w:t>
            </w:r>
            <w:r>
              <w:rPr>
                <w:rFonts w:hint="eastAsia" w:cs="宋体" w:asciiTheme="minorEastAsia" w:hAnsiTheme="minorEastAsia" w:eastAsiaTheme="minorEastAsia"/>
                <w:color w:val="auto"/>
                <w:kern w:val="0"/>
                <w:sz w:val="21"/>
                <w:szCs w:val="21"/>
                <w:highlight w:val="none"/>
                <w:lang w:val="zh-CN" w:eastAsia="en-US"/>
              </w:rPr>
              <w:t>内，支付成交供应商本项目合同总金额的2</w:t>
            </w:r>
            <w:r>
              <w:rPr>
                <w:rFonts w:hint="eastAsia" w:cs="宋体" w:asciiTheme="minorEastAsia" w:hAnsiTheme="minorEastAsia" w:eastAsiaTheme="minorEastAsia"/>
                <w:color w:val="auto"/>
                <w:kern w:val="0"/>
                <w:sz w:val="21"/>
                <w:szCs w:val="21"/>
                <w:highlight w:val="none"/>
                <w:lang w:val="en-US" w:eastAsia="zh-CN"/>
              </w:rPr>
              <w:t>0</w:t>
            </w:r>
            <w:r>
              <w:rPr>
                <w:rFonts w:hint="eastAsia" w:cs="宋体" w:asciiTheme="minorEastAsia" w:hAnsiTheme="minorEastAsia" w:eastAsiaTheme="minorEastAsia"/>
                <w:color w:val="auto"/>
                <w:kern w:val="0"/>
                <w:sz w:val="21"/>
                <w:szCs w:val="21"/>
                <w:highlight w:val="none"/>
                <w:lang w:val="zh-CN" w:eastAsia="en-US"/>
              </w:rPr>
              <w:t>%（含税）。</w:t>
            </w:r>
          </w:p>
          <w:p w14:paraId="619F7EBD">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2" w:firstLineChars="200"/>
              <w:textAlignment w:val="center"/>
              <w:rPr>
                <w:rFonts w:cs="宋体" w:asciiTheme="minorEastAsia" w:hAnsiTheme="minorEastAsia" w:eastAsiaTheme="minorEastAsia"/>
                <w:color w:val="auto"/>
                <w:kern w:val="0"/>
                <w:sz w:val="21"/>
                <w:szCs w:val="21"/>
                <w:highlight w:val="none"/>
                <w:lang w:val="zh-CN" w:eastAsia="en-US"/>
              </w:rPr>
            </w:pPr>
            <w:r>
              <w:rPr>
                <w:rFonts w:hint="eastAsia" w:cs="宋体" w:asciiTheme="minorEastAsia" w:hAnsiTheme="minorEastAsia" w:eastAsiaTheme="minorEastAsia"/>
                <w:b/>
                <w:bCs/>
                <w:color w:val="auto"/>
                <w:kern w:val="0"/>
                <w:sz w:val="21"/>
                <w:szCs w:val="21"/>
                <w:highlight w:val="none"/>
                <w:lang w:val="zh-CN" w:eastAsia="en-US"/>
              </w:rPr>
              <w:t>2</w:t>
            </w:r>
            <w:r>
              <w:rPr>
                <w:rFonts w:hint="eastAsia" w:cs="宋体" w:asciiTheme="minorEastAsia" w:hAnsiTheme="minorEastAsia" w:eastAsiaTheme="minorEastAsia"/>
                <w:b/>
                <w:bCs/>
                <w:color w:val="auto"/>
                <w:kern w:val="0"/>
                <w:sz w:val="21"/>
                <w:szCs w:val="21"/>
                <w:highlight w:val="none"/>
                <w:lang w:val="en-US" w:eastAsia="zh-CN"/>
              </w:rPr>
              <w:t>.第2期：</w:t>
            </w:r>
            <w:r>
              <w:rPr>
                <w:rFonts w:hint="eastAsia" w:cs="宋体" w:asciiTheme="minorEastAsia" w:hAnsiTheme="minorEastAsia" w:eastAsiaTheme="minorEastAsia"/>
                <w:color w:val="auto"/>
                <w:kern w:val="0"/>
                <w:sz w:val="21"/>
                <w:szCs w:val="21"/>
                <w:highlight w:val="none"/>
                <w:lang w:val="zh-CN" w:eastAsia="en-US"/>
              </w:rPr>
              <w:t>本项目软硬件系统全部实施完成，稳定运行1个月以上，</w:t>
            </w:r>
            <w:r>
              <w:rPr>
                <w:rFonts w:hint="eastAsia" w:cs="宋体" w:asciiTheme="minorEastAsia" w:hAnsiTheme="minorEastAsia" w:eastAsiaTheme="minorEastAsia"/>
                <w:color w:val="auto"/>
                <w:kern w:val="0"/>
                <w:sz w:val="21"/>
                <w:szCs w:val="21"/>
                <w:highlight w:val="none"/>
                <w:lang w:val="en-US" w:eastAsia="zh-CN"/>
              </w:rPr>
              <w:t>采购人收到发票后1</w:t>
            </w:r>
            <w:r>
              <w:rPr>
                <w:rFonts w:hint="eastAsia" w:cs="宋体" w:asciiTheme="minorEastAsia" w:hAnsiTheme="minorEastAsia" w:eastAsiaTheme="minorEastAsia"/>
                <w:color w:val="auto"/>
                <w:kern w:val="0"/>
                <w:sz w:val="21"/>
                <w:szCs w:val="21"/>
                <w:highlight w:val="none"/>
                <w:lang w:val="zh-CN" w:eastAsia="en-US"/>
              </w:rPr>
              <w:t>0个</w:t>
            </w:r>
            <w:r>
              <w:rPr>
                <w:rFonts w:hint="eastAsia" w:cs="宋体" w:asciiTheme="minorEastAsia" w:hAnsiTheme="minorEastAsia" w:eastAsiaTheme="minorEastAsia"/>
                <w:color w:val="auto"/>
                <w:kern w:val="0"/>
                <w:sz w:val="21"/>
                <w:szCs w:val="21"/>
                <w:highlight w:val="none"/>
                <w:lang w:val="en-US" w:eastAsia="zh-CN"/>
              </w:rPr>
              <w:t>工作日</w:t>
            </w:r>
            <w:r>
              <w:rPr>
                <w:rFonts w:hint="eastAsia" w:cs="宋体" w:asciiTheme="minorEastAsia" w:hAnsiTheme="minorEastAsia" w:eastAsiaTheme="minorEastAsia"/>
                <w:color w:val="auto"/>
                <w:kern w:val="0"/>
                <w:sz w:val="21"/>
                <w:szCs w:val="21"/>
                <w:highlight w:val="none"/>
                <w:lang w:val="zh-CN" w:eastAsia="en-US"/>
              </w:rPr>
              <w:t>内，支付成交供应商本项目合同总金额的</w:t>
            </w:r>
            <w:r>
              <w:rPr>
                <w:rFonts w:hint="eastAsia" w:cs="宋体" w:asciiTheme="minorEastAsia" w:hAnsiTheme="minorEastAsia" w:eastAsiaTheme="minorEastAsia"/>
                <w:color w:val="auto"/>
                <w:kern w:val="0"/>
                <w:sz w:val="21"/>
                <w:szCs w:val="21"/>
                <w:highlight w:val="none"/>
                <w:lang w:val="en-US" w:eastAsia="zh-CN"/>
              </w:rPr>
              <w:t>20</w:t>
            </w:r>
            <w:r>
              <w:rPr>
                <w:rFonts w:hint="eastAsia" w:cs="宋体" w:asciiTheme="minorEastAsia" w:hAnsiTheme="minorEastAsia" w:eastAsiaTheme="minorEastAsia"/>
                <w:color w:val="auto"/>
                <w:kern w:val="0"/>
                <w:sz w:val="21"/>
                <w:szCs w:val="21"/>
                <w:highlight w:val="none"/>
                <w:lang w:val="zh-CN" w:eastAsia="en-US"/>
              </w:rPr>
              <w:t>%（含税）</w:t>
            </w:r>
            <w:r>
              <w:rPr>
                <w:rFonts w:hint="eastAsia" w:cs="宋体" w:asciiTheme="minorEastAsia" w:hAnsiTheme="minorEastAsia" w:eastAsiaTheme="minorEastAsia"/>
                <w:color w:val="auto"/>
                <w:kern w:val="0"/>
                <w:sz w:val="21"/>
                <w:szCs w:val="21"/>
                <w:highlight w:val="none"/>
                <w:lang w:eastAsia="en-US"/>
              </w:rPr>
              <w:t>（不计利息）</w:t>
            </w:r>
            <w:r>
              <w:rPr>
                <w:rFonts w:hint="eastAsia" w:cs="宋体" w:asciiTheme="minorEastAsia" w:hAnsiTheme="minorEastAsia" w:eastAsiaTheme="minorEastAsia"/>
                <w:color w:val="auto"/>
                <w:kern w:val="0"/>
                <w:sz w:val="21"/>
                <w:szCs w:val="21"/>
                <w:highlight w:val="none"/>
                <w:lang w:val="zh-CN" w:eastAsia="en-US"/>
              </w:rPr>
              <w:t>。</w:t>
            </w:r>
          </w:p>
          <w:p w14:paraId="7BBDC8A0">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2" w:firstLineChars="200"/>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b/>
                <w:bCs/>
                <w:color w:val="auto"/>
                <w:kern w:val="0"/>
                <w:sz w:val="21"/>
                <w:szCs w:val="21"/>
                <w:highlight w:val="none"/>
                <w:lang w:eastAsia="en-US"/>
              </w:rPr>
              <w:t>3.</w:t>
            </w:r>
            <w:r>
              <w:rPr>
                <w:rFonts w:hint="eastAsia" w:cs="宋体" w:asciiTheme="minorEastAsia" w:hAnsiTheme="minorEastAsia" w:eastAsiaTheme="minorEastAsia"/>
                <w:b/>
                <w:bCs/>
                <w:color w:val="auto"/>
                <w:kern w:val="0"/>
                <w:sz w:val="21"/>
                <w:szCs w:val="21"/>
                <w:highlight w:val="none"/>
                <w:lang w:val="en-US" w:eastAsia="zh-CN"/>
              </w:rPr>
              <w:t>第3期：</w:t>
            </w:r>
            <w:r>
              <w:rPr>
                <w:rFonts w:hint="eastAsia" w:cs="宋体" w:asciiTheme="minorEastAsia" w:hAnsiTheme="minorEastAsia" w:eastAsiaTheme="minorEastAsia"/>
                <w:color w:val="auto"/>
                <w:kern w:val="0"/>
                <w:sz w:val="21"/>
                <w:szCs w:val="21"/>
                <w:highlight w:val="none"/>
                <w:lang w:eastAsia="en-US"/>
              </w:rPr>
              <w:t>具有测评资质的单位对贺州市妇幼保健医院</w:t>
            </w:r>
            <w:r>
              <w:rPr>
                <w:rFonts w:hint="eastAsia" w:cs="宋体" w:asciiTheme="minorEastAsia" w:hAnsiTheme="minorEastAsia" w:eastAsiaTheme="minorEastAsia"/>
                <w:color w:val="auto"/>
                <w:kern w:val="0"/>
                <w:sz w:val="21"/>
                <w:szCs w:val="21"/>
                <w:highlight w:val="none"/>
                <w:lang w:val="en-US" w:eastAsia="zh-CN"/>
              </w:rPr>
              <w:t>智慧医院</w:t>
            </w:r>
            <w:r>
              <w:rPr>
                <w:rFonts w:hint="eastAsia" w:cs="宋体" w:asciiTheme="minorEastAsia" w:hAnsiTheme="minorEastAsia" w:eastAsiaTheme="minorEastAsia"/>
                <w:color w:val="auto"/>
                <w:kern w:val="0"/>
                <w:sz w:val="21"/>
                <w:szCs w:val="21"/>
                <w:highlight w:val="none"/>
                <w:lang w:eastAsia="en-US"/>
              </w:rPr>
              <w:t>信息系统进行</w:t>
            </w:r>
            <w:r>
              <w:rPr>
                <w:rFonts w:hint="eastAsia" w:asciiTheme="minorEastAsia" w:hAnsiTheme="minorEastAsia" w:eastAsiaTheme="minorEastAsia" w:cstheme="majorEastAsia"/>
                <w:color w:val="auto"/>
                <w:szCs w:val="21"/>
                <w:highlight w:val="none"/>
                <w:lang w:val="en-US" w:eastAsia="zh-CN"/>
              </w:rPr>
              <w:t>商用密码应用安全性评估</w:t>
            </w:r>
            <w:r>
              <w:rPr>
                <w:rFonts w:hint="eastAsia" w:cs="宋体" w:asciiTheme="minorEastAsia" w:hAnsiTheme="minorEastAsia" w:eastAsiaTheme="minorEastAsia"/>
                <w:color w:val="auto"/>
                <w:kern w:val="0"/>
                <w:sz w:val="21"/>
                <w:szCs w:val="21"/>
                <w:highlight w:val="none"/>
                <w:lang w:eastAsia="en-US"/>
              </w:rPr>
              <w:t>，</w:t>
            </w:r>
            <w:r>
              <w:rPr>
                <w:rFonts w:hint="eastAsia" w:cs="宋体" w:asciiTheme="minorEastAsia" w:hAnsiTheme="minorEastAsia" w:eastAsiaTheme="minorEastAsia"/>
                <w:color w:val="auto"/>
                <w:kern w:val="0"/>
                <w:sz w:val="21"/>
                <w:szCs w:val="21"/>
                <w:highlight w:val="none"/>
                <w:lang w:val="en-US" w:eastAsia="zh-CN"/>
              </w:rPr>
              <w:t>密评合格</w:t>
            </w:r>
            <w:r>
              <w:rPr>
                <w:rFonts w:hint="eastAsia" w:cs="宋体" w:asciiTheme="minorEastAsia" w:hAnsiTheme="minorEastAsia" w:eastAsiaTheme="minorEastAsia"/>
                <w:color w:val="auto"/>
                <w:kern w:val="0"/>
                <w:sz w:val="21"/>
                <w:szCs w:val="21"/>
                <w:highlight w:val="none"/>
                <w:lang w:eastAsia="en-US"/>
              </w:rPr>
              <w:t>，取得正式测评报告</w:t>
            </w:r>
            <w:r>
              <w:rPr>
                <w:rFonts w:hint="eastAsia" w:cs="宋体" w:asciiTheme="minorEastAsia" w:hAnsiTheme="minorEastAsia" w:eastAsiaTheme="minorEastAsia"/>
                <w:color w:val="auto"/>
                <w:kern w:val="0"/>
                <w:sz w:val="21"/>
                <w:szCs w:val="21"/>
                <w:highlight w:val="none"/>
                <w:lang w:val="en-US" w:eastAsia="zh-CN"/>
              </w:rPr>
              <w:t>和相关部门出具的《</w:t>
            </w:r>
            <w:r>
              <w:rPr>
                <w:rFonts w:hint="eastAsia" w:asciiTheme="minorEastAsia" w:hAnsiTheme="minorEastAsia" w:eastAsiaTheme="minorEastAsia" w:cstheme="majorEastAsia"/>
                <w:color w:val="auto"/>
                <w:szCs w:val="21"/>
                <w:highlight w:val="none"/>
                <w:lang w:val="en-US" w:eastAsia="zh-CN"/>
              </w:rPr>
              <w:t>商用密码应用安全性评估结果备案证明》</w:t>
            </w:r>
            <w:r>
              <w:rPr>
                <w:rFonts w:hint="eastAsia" w:cs="宋体" w:asciiTheme="minorEastAsia" w:hAnsiTheme="minorEastAsia" w:eastAsiaTheme="minorEastAsia"/>
                <w:color w:val="auto"/>
                <w:kern w:val="0"/>
                <w:sz w:val="21"/>
                <w:szCs w:val="21"/>
                <w:highlight w:val="none"/>
                <w:lang w:eastAsia="zh-CN"/>
              </w:rPr>
              <w:t>或同等效力的备案证明文件</w:t>
            </w:r>
            <w:r>
              <w:rPr>
                <w:rFonts w:hint="eastAsia" w:cs="宋体" w:asciiTheme="minorEastAsia" w:hAnsiTheme="minorEastAsia" w:eastAsiaTheme="minorEastAsia"/>
                <w:color w:val="auto"/>
                <w:kern w:val="0"/>
                <w:sz w:val="21"/>
                <w:szCs w:val="21"/>
                <w:highlight w:val="none"/>
                <w:lang w:eastAsia="en-US"/>
              </w:rPr>
              <w:t>30天内进行项目整体验收，整体验收合格</w:t>
            </w:r>
            <w:r>
              <w:rPr>
                <w:rFonts w:hint="eastAsia" w:cs="宋体" w:asciiTheme="minorEastAsia" w:hAnsiTheme="minorEastAsia" w:eastAsiaTheme="minorEastAsia"/>
                <w:color w:val="auto"/>
                <w:kern w:val="0"/>
                <w:sz w:val="21"/>
                <w:szCs w:val="21"/>
                <w:highlight w:val="none"/>
                <w:lang w:val="en-US" w:eastAsia="zh-CN"/>
              </w:rPr>
              <w:t>后，采购人收到发票后1</w:t>
            </w:r>
            <w:r>
              <w:rPr>
                <w:rFonts w:hint="eastAsia" w:cs="宋体" w:asciiTheme="minorEastAsia" w:hAnsiTheme="minorEastAsia" w:eastAsiaTheme="minorEastAsia"/>
                <w:color w:val="auto"/>
                <w:kern w:val="0"/>
                <w:sz w:val="21"/>
                <w:szCs w:val="21"/>
                <w:highlight w:val="none"/>
                <w:lang w:val="zh-CN" w:eastAsia="en-US"/>
              </w:rPr>
              <w:t>0个</w:t>
            </w:r>
            <w:r>
              <w:rPr>
                <w:rFonts w:hint="eastAsia" w:cs="宋体" w:asciiTheme="minorEastAsia" w:hAnsiTheme="minorEastAsia" w:eastAsiaTheme="minorEastAsia"/>
                <w:color w:val="auto"/>
                <w:kern w:val="0"/>
                <w:sz w:val="21"/>
                <w:szCs w:val="21"/>
                <w:highlight w:val="none"/>
                <w:lang w:val="en-US" w:eastAsia="zh-CN"/>
              </w:rPr>
              <w:t>工作日</w:t>
            </w:r>
            <w:r>
              <w:rPr>
                <w:rFonts w:hint="eastAsia" w:cs="宋体" w:asciiTheme="minorEastAsia" w:hAnsiTheme="minorEastAsia" w:eastAsiaTheme="minorEastAsia"/>
                <w:color w:val="auto"/>
                <w:kern w:val="0"/>
                <w:sz w:val="21"/>
                <w:szCs w:val="21"/>
                <w:highlight w:val="none"/>
                <w:lang w:val="zh-CN" w:eastAsia="en-US"/>
              </w:rPr>
              <w:t>内</w:t>
            </w:r>
            <w:r>
              <w:rPr>
                <w:rFonts w:hint="eastAsia" w:cs="宋体" w:asciiTheme="minorEastAsia" w:hAnsiTheme="minorEastAsia" w:eastAsiaTheme="minorEastAsia"/>
                <w:color w:val="auto"/>
                <w:kern w:val="0"/>
                <w:sz w:val="21"/>
                <w:szCs w:val="21"/>
                <w:highlight w:val="none"/>
                <w:lang w:eastAsia="en-US"/>
              </w:rPr>
              <w:t>，支付乙方本项目合同总金额的</w:t>
            </w:r>
            <w:r>
              <w:rPr>
                <w:rFonts w:hint="eastAsia" w:cs="宋体" w:asciiTheme="minorEastAsia" w:hAnsiTheme="minorEastAsia" w:eastAsiaTheme="minorEastAsia"/>
                <w:color w:val="auto"/>
                <w:kern w:val="0"/>
                <w:sz w:val="21"/>
                <w:szCs w:val="21"/>
                <w:highlight w:val="none"/>
                <w:lang w:val="en-US" w:eastAsia="zh-CN"/>
              </w:rPr>
              <w:t>30</w:t>
            </w:r>
            <w:r>
              <w:rPr>
                <w:rFonts w:hint="eastAsia" w:cs="宋体" w:asciiTheme="minorEastAsia" w:hAnsiTheme="minorEastAsia" w:eastAsiaTheme="minorEastAsia"/>
                <w:color w:val="auto"/>
                <w:kern w:val="0"/>
                <w:sz w:val="21"/>
                <w:szCs w:val="21"/>
                <w:highlight w:val="none"/>
                <w:lang w:eastAsia="en-US"/>
              </w:rPr>
              <w:t>%（含税）（不计利息）</w:t>
            </w:r>
            <w:r>
              <w:rPr>
                <w:rFonts w:hint="eastAsia" w:cs="宋体" w:asciiTheme="minorEastAsia" w:hAnsiTheme="minorEastAsia" w:eastAsiaTheme="minorEastAsia"/>
                <w:color w:val="auto"/>
                <w:kern w:val="0"/>
                <w:sz w:val="21"/>
                <w:szCs w:val="21"/>
                <w:highlight w:val="none"/>
                <w:lang w:eastAsia="zh-CN"/>
              </w:rPr>
              <w:t>。</w:t>
            </w:r>
          </w:p>
          <w:p w14:paraId="68F89324">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2" w:firstLineChars="200"/>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b/>
                <w:bCs/>
                <w:color w:val="auto"/>
                <w:kern w:val="0"/>
                <w:sz w:val="21"/>
                <w:szCs w:val="21"/>
                <w:highlight w:val="none"/>
                <w:lang w:val="zh-CN" w:eastAsia="en-US"/>
              </w:rPr>
              <w:t>4</w:t>
            </w:r>
            <w:r>
              <w:rPr>
                <w:rFonts w:hint="eastAsia" w:cs="宋体" w:asciiTheme="minorEastAsia" w:hAnsiTheme="minorEastAsia" w:eastAsiaTheme="minorEastAsia"/>
                <w:b/>
                <w:bCs/>
                <w:color w:val="auto"/>
                <w:kern w:val="0"/>
                <w:sz w:val="21"/>
                <w:szCs w:val="21"/>
                <w:highlight w:val="none"/>
                <w:lang w:val="en-US" w:eastAsia="zh-CN"/>
              </w:rPr>
              <w:t>.第4期：</w:t>
            </w:r>
            <w:r>
              <w:rPr>
                <w:rFonts w:hint="eastAsia" w:cs="宋体" w:asciiTheme="minorEastAsia" w:hAnsiTheme="minorEastAsia" w:eastAsiaTheme="minorEastAsia"/>
                <w:color w:val="auto"/>
                <w:kern w:val="0"/>
                <w:sz w:val="21"/>
                <w:szCs w:val="21"/>
                <w:highlight w:val="none"/>
                <w:lang w:val="zh-CN" w:eastAsia="en-US"/>
              </w:rPr>
              <w:t>整体验收合格满</w:t>
            </w:r>
            <w:r>
              <w:rPr>
                <w:rFonts w:hint="eastAsia" w:cs="宋体" w:asciiTheme="minorEastAsia" w:hAnsiTheme="minorEastAsia" w:eastAsiaTheme="minorEastAsia"/>
                <w:color w:val="auto"/>
                <w:kern w:val="0"/>
                <w:sz w:val="21"/>
                <w:szCs w:val="21"/>
                <w:highlight w:val="none"/>
                <w:lang w:val="en-US" w:eastAsia="zh-CN"/>
              </w:rPr>
              <w:t>1</w:t>
            </w:r>
            <w:r>
              <w:rPr>
                <w:rFonts w:hint="eastAsia" w:cs="宋体" w:asciiTheme="minorEastAsia" w:hAnsiTheme="minorEastAsia" w:eastAsiaTheme="minorEastAsia"/>
                <w:color w:val="auto"/>
                <w:kern w:val="0"/>
                <w:sz w:val="21"/>
                <w:szCs w:val="21"/>
                <w:highlight w:val="none"/>
                <w:lang w:val="zh-CN" w:eastAsia="en-US"/>
              </w:rPr>
              <w:t>年后，</w:t>
            </w:r>
            <w:r>
              <w:rPr>
                <w:rFonts w:hint="eastAsia" w:cs="宋体" w:asciiTheme="minorEastAsia" w:hAnsiTheme="minorEastAsia" w:eastAsiaTheme="minorEastAsia"/>
                <w:color w:val="auto"/>
                <w:kern w:val="0"/>
                <w:sz w:val="21"/>
                <w:szCs w:val="21"/>
                <w:highlight w:val="none"/>
                <w:lang w:val="en-US" w:eastAsia="zh-CN"/>
              </w:rPr>
              <w:t>采购人收到发票后1</w:t>
            </w:r>
            <w:r>
              <w:rPr>
                <w:rFonts w:hint="eastAsia" w:cs="宋体" w:asciiTheme="minorEastAsia" w:hAnsiTheme="minorEastAsia" w:eastAsiaTheme="minorEastAsia"/>
                <w:color w:val="auto"/>
                <w:kern w:val="0"/>
                <w:sz w:val="21"/>
                <w:szCs w:val="21"/>
                <w:highlight w:val="none"/>
                <w:lang w:val="zh-CN" w:eastAsia="en-US"/>
              </w:rPr>
              <w:t>0个</w:t>
            </w:r>
            <w:r>
              <w:rPr>
                <w:rFonts w:hint="eastAsia" w:cs="宋体" w:asciiTheme="minorEastAsia" w:hAnsiTheme="minorEastAsia" w:eastAsiaTheme="minorEastAsia"/>
                <w:color w:val="auto"/>
                <w:kern w:val="0"/>
                <w:sz w:val="21"/>
                <w:szCs w:val="21"/>
                <w:highlight w:val="none"/>
                <w:lang w:val="en-US" w:eastAsia="zh-CN"/>
              </w:rPr>
              <w:t>工作日</w:t>
            </w:r>
            <w:r>
              <w:rPr>
                <w:rFonts w:hint="eastAsia" w:cs="宋体" w:asciiTheme="minorEastAsia" w:hAnsiTheme="minorEastAsia" w:eastAsiaTheme="minorEastAsia"/>
                <w:color w:val="auto"/>
                <w:kern w:val="0"/>
                <w:sz w:val="21"/>
                <w:szCs w:val="21"/>
                <w:highlight w:val="none"/>
                <w:lang w:val="zh-CN" w:eastAsia="en-US"/>
              </w:rPr>
              <w:t>内，</w:t>
            </w:r>
            <w:r>
              <w:rPr>
                <w:rFonts w:hint="eastAsia" w:cs="宋体" w:asciiTheme="minorEastAsia" w:hAnsiTheme="minorEastAsia" w:eastAsiaTheme="minorEastAsia"/>
                <w:color w:val="auto"/>
                <w:kern w:val="0"/>
                <w:sz w:val="21"/>
                <w:szCs w:val="21"/>
                <w:highlight w:val="none"/>
                <w:lang w:eastAsia="en-US"/>
              </w:rPr>
              <w:t>支付乙方本项目合同总金额的</w:t>
            </w:r>
            <w:r>
              <w:rPr>
                <w:rFonts w:hint="eastAsia" w:cs="宋体" w:asciiTheme="minorEastAsia" w:hAnsiTheme="minorEastAsia" w:eastAsiaTheme="minorEastAsia"/>
                <w:color w:val="auto"/>
                <w:kern w:val="0"/>
                <w:sz w:val="21"/>
                <w:szCs w:val="21"/>
                <w:highlight w:val="none"/>
                <w:lang w:val="en-US" w:eastAsia="zh-CN"/>
              </w:rPr>
              <w:t>30</w:t>
            </w:r>
            <w:r>
              <w:rPr>
                <w:rFonts w:hint="eastAsia" w:cs="宋体" w:asciiTheme="minorEastAsia" w:hAnsiTheme="minorEastAsia" w:eastAsiaTheme="minorEastAsia"/>
                <w:color w:val="auto"/>
                <w:kern w:val="0"/>
                <w:sz w:val="21"/>
                <w:szCs w:val="21"/>
                <w:highlight w:val="none"/>
                <w:lang w:eastAsia="en-US"/>
              </w:rPr>
              <w:t>%（含税）（不计利息）</w:t>
            </w:r>
            <w:r>
              <w:rPr>
                <w:rFonts w:hint="eastAsia" w:cs="宋体" w:asciiTheme="minorEastAsia" w:hAnsiTheme="minorEastAsia" w:eastAsiaTheme="minorEastAsia"/>
                <w:color w:val="auto"/>
                <w:kern w:val="0"/>
                <w:sz w:val="21"/>
                <w:szCs w:val="21"/>
                <w:highlight w:val="none"/>
                <w:lang w:eastAsia="zh-CN"/>
              </w:rPr>
              <w:t>。</w:t>
            </w:r>
          </w:p>
          <w:p w14:paraId="5294DF2A">
            <w:pPr>
              <w:keepNext w:val="0"/>
              <w:keepLines w:val="0"/>
              <w:pageBreakBefore w:val="0"/>
              <w:widowControl w:val="0"/>
              <w:kinsoku/>
              <w:wordWrap/>
              <w:overflowPunct/>
              <w:topLinePunct w:val="0"/>
              <w:autoSpaceDE/>
              <w:autoSpaceDN/>
              <w:bidi w:val="0"/>
              <w:adjustRightInd/>
              <w:snapToGrid/>
              <w:spacing w:line="380" w:lineRule="exact"/>
              <w:ind w:left="105" w:leftChars="50" w:right="105" w:rightChars="50"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5.</w:t>
            </w:r>
            <w:r>
              <w:rPr>
                <w:rFonts w:hint="eastAsia" w:ascii="宋体" w:hAnsi="宋体" w:eastAsia="宋体" w:cs="宋体"/>
                <w:color w:val="auto"/>
                <w:szCs w:val="21"/>
                <w:highlight w:val="none"/>
              </w:rPr>
              <w:t>票据要求：中标人必须按照采购人要求提供真实、有效、合法的正式发票。一旦发现中标人提供虚假发票，除须向采购人补开合法发票外，须赔偿采购人</w:t>
            </w:r>
            <w:r>
              <w:rPr>
                <w:rFonts w:hint="eastAsia" w:ascii="宋体" w:hAnsi="宋体" w:eastAsia="宋体" w:cs="宋体"/>
                <w:color w:val="auto"/>
                <w:szCs w:val="21"/>
                <w:highlight w:val="none"/>
                <w:lang w:val="en-US" w:eastAsia="zh-CN"/>
              </w:rPr>
              <w:t>遭受</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lang w:val="en-US" w:eastAsia="zh-CN"/>
              </w:rPr>
              <w:t>一切损失</w:t>
            </w:r>
            <w:r>
              <w:rPr>
                <w:rFonts w:hint="eastAsia" w:ascii="宋体" w:hAnsi="宋体" w:eastAsia="宋体" w:cs="宋体"/>
                <w:color w:val="auto"/>
                <w:szCs w:val="21"/>
                <w:highlight w:val="none"/>
              </w:rPr>
              <w:t>，且采购人有权终止合同，供应商不得提出异议，因终止合同而产生的一切损失均由供应商承担。</w:t>
            </w:r>
          </w:p>
          <w:p w14:paraId="07A558DC">
            <w:pPr>
              <w:keepNext w:val="0"/>
              <w:keepLines w:val="0"/>
              <w:pageBreakBefore w:val="0"/>
              <w:widowControl w:val="0"/>
              <w:kinsoku/>
              <w:wordWrap/>
              <w:overflowPunct/>
              <w:topLinePunct w:val="0"/>
              <w:autoSpaceDE/>
              <w:autoSpaceDN/>
              <w:bidi w:val="0"/>
              <w:adjustRightInd/>
              <w:snapToGrid/>
              <w:spacing w:line="380" w:lineRule="exact"/>
              <w:ind w:left="105" w:leftChars="50" w:right="105" w:rightChars="50" w:firstLine="422" w:firstLineChars="200"/>
              <w:textAlignment w:val="auto"/>
              <w:rPr>
                <w:rFonts w:hint="eastAsia" w:cs="宋体" w:asciiTheme="minorEastAsia" w:hAnsiTheme="minorEastAsia" w:eastAsiaTheme="minorEastAsia"/>
                <w:color w:val="auto"/>
                <w:kern w:val="0"/>
                <w:sz w:val="21"/>
                <w:szCs w:val="21"/>
                <w:highlight w:val="none"/>
                <w:lang w:val="zh-CN" w:eastAsia="zh-CN"/>
              </w:rPr>
            </w:pPr>
            <w:r>
              <w:rPr>
                <w:rFonts w:hint="eastAsia" w:ascii="宋体" w:hAnsi="宋体" w:cs="宋体"/>
                <w:b/>
                <w:bCs/>
                <w:color w:val="auto"/>
                <w:szCs w:val="21"/>
                <w:highlight w:val="none"/>
                <w:lang w:val="en-US" w:eastAsia="zh-CN"/>
              </w:rPr>
              <w:t>6.</w:t>
            </w:r>
            <w:r>
              <w:rPr>
                <w:rFonts w:hint="eastAsia" w:ascii="宋体" w:hAnsi="宋体" w:eastAsia="宋体" w:cs="宋体"/>
                <w:color w:val="auto"/>
                <w:szCs w:val="21"/>
                <w:highlight w:val="none"/>
              </w:rPr>
              <w:t>本</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使用货币币制如未作特别说明均为人民币，金额均为含税金额。</w:t>
            </w:r>
          </w:p>
        </w:tc>
      </w:tr>
      <w:tr w14:paraId="605BC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jc w:val="center"/>
        </w:trPr>
        <w:tc>
          <w:tcPr>
            <w:tcW w:w="254" w:type="pct"/>
            <w:vAlign w:val="center"/>
          </w:tcPr>
          <w:p w14:paraId="7DF370CC">
            <w:pPr>
              <w:widowControl/>
              <w:autoSpaceDE/>
              <w:autoSpaceDN/>
              <w:spacing w:line="360" w:lineRule="exact"/>
              <w:jc w:val="center"/>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color w:val="auto"/>
                <w:kern w:val="0"/>
                <w:sz w:val="21"/>
                <w:szCs w:val="21"/>
                <w:highlight w:val="none"/>
                <w:lang w:val="en-US" w:eastAsia="zh-CN"/>
              </w:rPr>
              <w:t>8</w:t>
            </w:r>
          </w:p>
        </w:tc>
        <w:tc>
          <w:tcPr>
            <w:tcW w:w="568" w:type="pct"/>
            <w:vAlign w:val="center"/>
          </w:tcPr>
          <w:p w14:paraId="54DC66D1">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textAlignment w:val="center"/>
              <w:rPr>
                <w:rFonts w:cs="宋体" w:asciiTheme="minorEastAsia" w:hAnsiTheme="minorEastAsia" w:eastAsiaTheme="minorEastAsia"/>
                <w:color w:val="auto"/>
                <w:kern w:val="0"/>
                <w:sz w:val="21"/>
                <w:szCs w:val="21"/>
                <w:highlight w:val="none"/>
                <w:lang w:eastAsia="en-US"/>
              </w:rPr>
            </w:pPr>
            <w:r>
              <w:rPr>
                <w:rFonts w:hint="eastAsia" w:cs="宋体" w:asciiTheme="minorEastAsia" w:hAnsiTheme="minorEastAsia" w:eastAsiaTheme="minorEastAsia"/>
                <w:color w:val="auto"/>
                <w:kern w:val="0"/>
                <w:sz w:val="21"/>
                <w:szCs w:val="21"/>
                <w:highlight w:val="none"/>
                <w:lang w:val="zh-CN" w:eastAsia="en-US"/>
              </w:rPr>
              <w:t>注意事项</w:t>
            </w:r>
          </w:p>
        </w:tc>
        <w:tc>
          <w:tcPr>
            <w:tcW w:w="4177" w:type="pct"/>
            <w:vAlign w:val="center"/>
          </w:tcPr>
          <w:p w14:paraId="63578F7F">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firstLine="420" w:firstLineChars="200"/>
              <w:textAlignment w:val="center"/>
              <w:rPr>
                <w:rFonts w:cs="宋体" w:asciiTheme="minorEastAsia" w:hAnsiTheme="minorEastAsia" w:eastAsiaTheme="minorEastAsia"/>
                <w:color w:val="auto"/>
                <w:kern w:val="0"/>
                <w:sz w:val="21"/>
                <w:szCs w:val="21"/>
                <w:highlight w:val="none"/>
                <w:lang w:val="zh-CN" w:eastAsia="en-US"/>
              </w:rPr>
            </w:pPr>
            <w:r>
              <w:rPr>
                <w:rFonts w:hint="eastAsia" w:cs="宋体" w:asciiTheme="minorEastAsia" w:hAnsiTheme="minorEastAsia" w:eastAsiaTheme="minorEastAsia"/>
                <w:color w:val="auto"/>
                <w:kern w:val="0"/>
                <w:sz w:val="21"/>
                <w:szCs w:val="21"/>
                <w:highlight w:val="none"/>
                <w:lang w:val="zh-CN" w:eastAsia="en-US"/>
              </w:rPr>
              <w:t xml:space="preserve">本项目货物不接受进口产品 (即通过中国海关报关验放进入中国境内且产自关境外的产品) </w:t>
            </w:r>
            <w:r>
              <w:rPr>
                <w:rFonts w:hint="eastAsia" w:cs="宋体" w:asciiTheme="minorEastAsia" w:hAnsiTheme="minorEastAsia" w:eastAsiaTheme="minorEastAsia"/>
                <w:color w:val="auto"/>
                <w:kern w:val="0"/>
                <w:sz w:val="21"/>
                <w:szCs w:val="21"/>
                <w:highlight w:val="none"/>
                <w:lang w:val="zh-CN" w:eastAsia="en-US"/>
              </w:rPr>
              <w:t>参与</w:t>
            </w:r>
            <w:r>
              <w:rPr>
                <w:rFonts w:hint="eastAsia" w:cs="宋体" w:asciiTheme="minorEastAsia" w:hAnsiTheme="minorEastAsia" w:eastAsiaTheme="minorEastAsia"/>
                <w:color w:val="auto"/>
                <w:kern w:val="0"/>
                <w:sz w:val="21"/>
                <w:szCs w:val="21"/>
                <w:highlight w:val="none"/>
                <w:lang w:val="en-US" w:eastAsia="zh-CN"/>
              </w:rPr>
              <w:t>竞标</w:t>
            </w:r>
            <w:r>
              <w:rPr>
                <w:rFonts w:hint="eastAsia" w:cs="宋体" w:asciiTheme="minorEastAsia" w:hAnsiTheme="minorEastAsia" w:eastAsiaTheme="minorEastAsia"/>
                <w:color w:val="auto"/>
                <w:kern w:val="0"/>
                <w:sz w:val="21"/>
                <w:szCs w:val="21"/>
                <w:highlight w:val="none"/>
                <w:lang w:val="zh-CN" w:eastAsia="en-US"/>
              </w:rPr>
              <w:t>，如有此类产品参与</w:t>
            </w:r>
            <w:r>
              <w:rPr>
                <w:rFonts w:hint="eastAsia" w:cs="宋体" w:asciiTheme="minorEastAsia" w:hAnsiTheme="minorEastAsia" w:eastAsiaTheme="minorEastAsia"/>
                <w:color w:val="auto"/>
                <w:kern w:val="0"/>
                <w:sz w:val="21"/>
                <w:szCs w:val="21"/>
                <w:highlight w:val="none"/>
                <w:lang w:val="en-US" w:eastAsia="zh-CN"/>
              </w:rPr>
              <w:t>竞标</w:t>
            </w:r>
            <w:r>
              <w:rPr>
                <w:rFonts w:hint="eastAsia" w:cs="宋体" w:asciiTheme="minorEastAsia" w:hAnsiTheme="minorEastAsia" w:eastAsiaTheme="minorEastAsia"/>
                <w:color w:val="auto"/>
                <w:kern w:val="0"/>
                <w:sz w:val="21"/>
                <w:szCs w:val="21"/>
                <w:highlight w:val="none"/>
                <w:lang w:val="zh-CN" w:eastAsia="en-US"/>
              </w:rPr>
              <w:t>的，响应文件作无效处理</w:t>
            </w:r>
            <w:r>
              <w:rPr>
                <w:rFonts w:hint="eastAsia" w:cs="宋体" w:asciiTheme="minorEastAsia" w:hAnsiTheme="minorEastAsia" w:eastAsiaTheme="minorEastAsia"/>
                <w:color w:val="auto"/>
                <w:kern w:val="0"/>
                <w:sz w:val="21"/>
                <w:szCs w:val="21"/>
                <w:highlight w:val="none"/>
                <w:lang w:val="zh-CN" w:eastAsia="en-US"/>
              </w:rPr>
              <w:t>。</w:t>
            </w:r>
          </w:p>
        </w:tc>
      </w:tr>
    </w:tbl>
    <w:p w14:paraId="6BC7C88D">
      <w:pPr>
        <w:pStyle w:val="8"/>
        <w:rPr>
          <w:color w:val="auto"/>
          <w:highlight w:val="none"/>
        </w:rPr>
      </w:pPr>
    </w:p>
    <w:p w14:paraId="4CFD9149">
      <w:pPr>
        <w:jc w:val="left"/>
        <w:rPr>
          <w:rFonts w:hint="eastAsia" w:ascii="宋体" w:hAnsi="宋体" w:eastAsia="宋体" w:cs="宋体"/>
          <w:color w:val="auto"/>
          <w:kern w:val="0"/>
          <w:sz w:val="32"/>
          <w:szCs w:val="32"/>
          <w:highlight w:val="none"/>
        </w:rPr>
      </w:pPr>
      <w:r>
        <w:rPr>
          <w:rFonts w:hint="eastAsia" w:ascii="宋体" w:hAnsi="宋体" w:eastAsia="宋体" w:cs="宋体"/>
          <w:b/>
          <w:bCs/>
          <w:color w:val="auto"/>
          <w:szCs w:val="21"/>
          <w:highlight w:val="none"/>
        </w:rPr>
        <w:br w:type="page"/>
      </w:r>
      <w:bookmarkStart w:id="128" w:name="_Toc24469"/>
      <w:r>
        <w:rPr>
          <w:rFonts w:hint="eastAsia" w:ascii="宋体" w:hAnsi="宋体" w:eastAsia="宋体" w:cs="宋体"/>
          <w:color w:val="auto"/>
          <w:sz w:val="32"/>
          <w:szCs w:val="32"/>
          <w:highlight w:val="none"/>
        </w:rPr>
        <w:t>附件</w:t>
      </w:r>
      <w:r>
        <w:rPr>
          <w:rFonts w:hint="eastAsia" w:ascii="宋体" w:hAnsi="宋体" w:cs="宋体"/>
          <w:color w:val="auto"/>
          <w:sz w:val="32"/>
          <w:szCs w:val="32"/>
          <w:highlight w:val="none"/>
          <w:lang w:val="en-US" w:eastAsia="zh-CN"/>
        </w:rPr>
        <w:t>1</w:t>
      </w:r>
      <w:r>
        <w:rPr>
          <w:rFonts w:hint="eastAsia" w:ascii="宋体" w:hAnsi="宋体" w:eastAsia="宋体" w:cs="宋体"/>
          <w:color w:val="auto"/>
          <w:sz w:val="32"/>
          <w:szCs w:val="32"/>
          <w:highlight w:val="none"/>
        </w:rPr>
        <w:t>：</w:t>
      </w:r>
    </w:p>
    <w:p w14:paraId="58B37C8A">
      <w:pPr>
        <w:widowControl/>
        <w:spacing w:before="120" w:beforeLines="50" w:after="120" w:afterLines="50" w:line="240" w:lineRule="auto"/>
        <w:jc w:val="center"/>
        <w:rPr>
          <w:rFonts w:hint="eastAsia" w:ascii="宋体" w:hAnsi="宋体" w:eastAsia="宋体" w:cs="宋体"/>
          <w:b/>
          <w:bCs/>
          <w:color w:val="auto"/>
          <w:kern w:val="0"/>
          <w:sz w:val="30"/>
          <w:szCs w:val="30"/>
          <w:highlight w:val="none"/>
        </w:rPr>
      </w:pPr>
      <w:bookmarkStart w:id="129" w:name="_Toc28361_WPSOffice_Level2"/>
      <w:r>
        <w:rPr>
          <w:rFonts w:hint="eastAsia" w:ascii="宋体" w:hAnsi="宋体" w:eastAsia="宋体" w:cs="宋体"/>
          <w:b/>
          <w:bCs/>
          <w:color w:val="auto"/>
          <w:kern w:val="0"/>
          <w:sz w:val="30"/>
          <w:szCs w:val="30"/>
          <w:highlight w:val="none"/>
        </w:rPr>
        <w:t>统计上大中小微型企业划分标准</w:t>
      </w:r>
      <w:bookmarkEnd w:id="12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11C2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noWrap w:val="0"/>
            <w:vAlign w:val="center"/>
          </w:tcPr>
          <w:p w14:paraId="581BCFEA">
            <w:pPr>
              <w:widowControl/>
              <w:spacing w:line="280" w:lineRule="exact"/>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369" w:type="dxa"/>
            <w:shd w:val="clear" w:color="auto" w:fill="8DB3E2"/>
            <w:noWrap w:val="0"/>
            <w:vAlign w:val="center"/>
          </w:tcPr>
          <w:p w14:paraId="43E52DE4">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709" w:type="dxa"/>
            <w:shd w:val="clear" w:color="auto" w:fill="8DB3E2"/>
            <w:noWrap w:val="0"/>
            <w:vAlign w:val="center"/>
          </w:tcPr>
          <w:p w14:paraId="1744B315">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计量</w:t>
            </w:r>
          </w:p>
          <w:p w14:paraId="20F0AAB8">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1125" w:type="dxa"/>
            <w:shd w:val="clear" w:color="auto" w:fill="8DB3E2"/>
            <w:noWrap w:val="0"/>
            <w:vAlign w:val="center"/>
          </w:tcPr>
          <w:p w14:paraId="2DC5EB8A">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shd w:val="clear" w:color="auto" w:fill="8DB3E2"/>
            <w:noWrap w:val="0"/>
            <w:vAlign w:val="center"/>
          </w:tcPr>
          <w:p w14:paraId="46D0273B">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shd w:val="clear" w:color="auto" w:fill="8DB3E2"/>
            <w:noWrap w:val="0"/>
            <w:vAlign w:val="center"/>
          </w:tcPr>
          <w:p w14:paraId="7ECD7A0A">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shd w:val="clear" w:color="auto" w:fill="8DB3E2"/>
            <w:noWrap w:val="0"/>
            <w:vAlign w:val="center"/>
          </w:tcPr>
          <w:p w14:paraId="1F3FA9DF">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7E63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57EE8CE8">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369" w:type="dxa"/>
            <w:noWrap w:val="0"/>
            <w:vAlign w:val="center"/>
          </w:tcPr>
          <w:p w14:paraId="7AC5A12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622B2E3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130D8BD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noWrap w:val="0"/>
            <w:vAlign w:val="center"/>
          </w:tcPr>
          <w:p w14:paraId="1E99576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noWrap w:val="0"/>
            <w:vAlign w:val="center"/>
          </w:tcPr>
          <w:p w14:paraId="2472BEC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2" w:type="dxa"/>
            <w:noWrap w:val="0"/>
            <w:vAlign w:val="center"/>
          </w:tcPr>
          <w:p w14:paraId="45A9712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4608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3661A0F">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1369" w:type="dxa"/>
            <w:noWrap w:val="0"/>
            <w:vAlign w:val="center"/>
          </w:tcPr>
          <w:p w14:paraId="0B22EA1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4D2B1E9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3D5D169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10CD782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035205D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72AC2C6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6E15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A0F69A9">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3D92449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5A50168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2F34E33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noWrap w:val="0"/>
            <w:vAlign w:val="center"/>
          </w:tcPr>
          <w:p w14:paraId="6104A9D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noWrap w:val="0"/>
            <w:vAlign w:val="center"/>
          </w:tcPr>
          <w:p w14:paraId="7B9F46C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2" w:type="dxa"/>
            <w:noWrap w:val="0"/>
            <w:vAlign w:val="center"/>
          </w:tcPr>
          <w:p w14:paraId="750F736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7172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327529B">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369" w:type="dxa"/>
            <w:noWrap w:val="0"/>
            <w:vAlign w:val="center"/>
          </w:tcPr>
          <w:p w14:paraId="2DD8C72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7078F8A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01694FF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noWrap w:val="0"/>
            <w:vAlign w:val="center"/>
          </w:tcPr>
          <w:p w14:paraId="248F0BB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426" w:type="dxa"/>
            <w:noWrap w:val="0"/>
            <w:vAlign w:val="center"/>
          </w:tcPr>
          <w:p w14:paraId="7FDF7D0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992" w:type="dxa"/>
            <w:noWrap w:val="0"/>
            <w:vAlign w:val="center"/>
          </w:tcPr>
          <w:p w14:paraId="6DA8367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02B0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6224EFB">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4496166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noWrap w:val="0"/>
            <w:vAlign w:val="center"/>
          </w:tcPr>
          <w:p w14:paraId="453EF40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63655DF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noWrap w:val="0"/>
            <w:vAlign w:val="center"/>
          </w:tcPr>
          <w:p w14:paraId="55AE664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noWrap w:val="0"/>
            <w:vAlign w:val="center"/>
          </w:tcPr>
          <w:p w14:paraId="1FD6F9B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2" w:type="dxa"/>
            <w:noWrap w:val="0"/>
            <w:vAlign w:val="center"/>
          </w:tcPr>
          <w:p w14:paraId="20A06C5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5071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75A9E6A">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369" w:type="dxa"/>
            <w:noWrap w:val="0"/>
            <w:vAlign w:val="center"/>
          </w:tcPr>
          <w:p w14:paraId="47FCE9B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48D5A8D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6EC3B1A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noWrap w:val="0"/>
            <w:vAlign w:val="center"/>
          </w:tcPr>
          <w:p w14:paraId="35086D1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noWrap w:val="0"/>
            <w:vAlign w:val="center"/>
          </w:tcPr>
          <w:p w14:paraId="1AAFB6C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2" w:type="dxa"/>
            <w:noWrap w:val="0"/>
            <w:vAlign w:val="center"/>
          </w:tcPr>
          <w:p w14:paraId="0E741FB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5C76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5F37CFB">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57A3E97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1C07A32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6C8C69C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noWrap w:val="0"/>
            <w:vAlign w:val="center"/>
          </w:tcPr>
          <w:p w14:paraId="0C7DE0B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noWrap w:val="0"/>
            <w:vAlign w:val="center"/>
          </w:tcPr>
          <w:p w14:paraId="3FA2D870">
            <w:pPr>
              <w:widowControl/>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noWrap w:val="0"/>
            <w:vAlign w:val="center"/>
          </w:tcPr>
          <w:p w14:paraId="7A5CC75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6F4B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95B3D24">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369" w:type="dxa"/>
            <w:noWrap w:val="0"/>
            <w:vAlign w:val="center"/>
          </w:tcPr>
          <w:p w14:paraId="2C3490C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03A6FCF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4BC6E06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20DC7EB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noWrap w:val="0"/>
            <w:vAlign w:val="center"/>
          </w:tcPr>
          <w:p w14:paraId="4972A8C3">
            <w:pPr>
              <w:widowControl/>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992" w:type="dxa"/>
            <w:noWrap w:val="0"/>
            <w:vAlign w:val="center"/>
          </w:tcPr>
          <w:p w14:paraId="2F3525E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398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11C8F9D">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5D2D9D9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1A6B616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700262F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noWrap w:val="0"/>
            <w:vAlign w:val="center"/>
          </w:tcPr>
          <w:p w14:paraId="0725556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noWrap w:val="0"/>
            <w:vAlign w:val="center"/>
          </w:tcPr>
          <w:p w14:paraId="177F25F8">
            <w:pPr>
              <w:widowControl/>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2" w:type="dxa"/>
            <w:noWrap w:val="0"/>
            <w:vAlign w:val="center"/>
          </w:tcPr>
          <w:p w14:paraId="169EC79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381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BDB8501">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1369" w:type="dxa"/>
            <w:noWrap w:val="0"/>
            <w:vAlign w:val="center"/>
          </w:tcPr>
          <w:p w14:paraId="191D076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4D2556E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476C837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79975D2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5C5E6E9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7943056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13CF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BB434A3">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0BC866E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5421B4F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2358E73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66697D5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noWrap w:val="0"/>
            <w:vAlign w:val="center"/>
          </w:tcPr>
          <w:p w14:paraId="640CC67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2" w:type="dxa"/>
            <w:noWrap w:val="0"/>
            <w:vAlign w:val="center"/>
          </w:tcPr>
          <w:p w14:paraId="0AC4915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7F88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636E516">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369" w:type="dxa"/>
            <w:noWrap w:val="0"/>
            <w:vAlign w:val="center"/>
          </w:tcPr>
          <w:p w14:paraId="0440148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1327B80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01DF6EB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noWrap w:val="0"/>
            <w:vAlign w:val="center"/>
          </w:tcPr>
          <w:p w14:paraId="158A6EAE">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noWrap w:val="0"/>
            <w:vAlign w:val="center"/>
          </w:tcPr>
          <w:p w14:paraId="172482C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2" w:type="dxa"/>
            <w:noWrap w:val="0"/>
            <w:vAlign w:val="center"/>
          </w:tcPr>
          <w:p w14:paraId="3478377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BA5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A9F4E3D">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233158C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164ABBA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5132CFE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439CF90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noWrap w:val="0"/>
            <w:vAlign w:val="center"/>
          </w:tcPr>
          <w:p w14:paraId="13314EA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5E0860E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105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EFC2CA7">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369" w:type="dxa"/>
            <w:noWrap w:val="0"/>
            <w:vAlign w:val="center"/>
          </w:tcPr>
          <w:p w14:paraId="4C176E7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46A818A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446FA1C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29DEC7D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6139195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2714A3E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7D0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84F05BD">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23B3134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5FF3169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54346AE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4161151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noWrap w:val="0"/>
            <w:vAlign w:val="center"/>
          </w:tcPr>
          <w:p w14:paraId="2C56BC5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0A59BD2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21C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CC5A1C5">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369" w:type="dxa"/>
            <w:noWrap w:val="0"/>
            <w:vAlign w:val="center"/>
          </w:tcPr>
          <w:p w14:paraId="7FDCF39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67EA738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0A9A709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5CAEAD89">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1B25D77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22D3C24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039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8235C3E">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14DB4E6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34E6C93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1AD0C7E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798D405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noWrap w:val="0"/>
            <w:vAlign w:val="center"/>
          </w:tcPr>
          <w:p w14:paraId="49B11A2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4DD7DCD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F23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743E719">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369" w:type="dxa"/>
            <w:noWrap w:val="0"/>
            <w:vAlign w:val="center"/>
          </w:tcPr>
          <w:p w14:paraId="79ED27C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2F2B31F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12D6173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08FFA939">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noWrap w:val="0"/>
            <w:vAlign w:val="center"/>
          </w:tcPr>
          <w:p w14:paraId="27F231EF">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3E570F8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92C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6469B11">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1888D6F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4AC9F11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55D4EEA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0575189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noWrap w:val="0"/>
            <w:vAlign w:val="center"/>
          </w:tcPr>
          <w:p w14:paraId="080F71C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13E9C0C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A00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C745E68">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1369" w:type="dxa"/>
            <w:noWrap w:val="0"/>
            <w:vAlign w:val="center"/>
          </w:tcPr>
          <w:p w14:paraId="5439466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7F80132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3DB8620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noWrap w:val="0"/>
            <w:vAlign w:val="center"/>
          </w:tcPr>
          <w:p w14:paraId="1D19B98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noWrap w:val="0"/>
            <w:vAlign w:val="center"/>
          </w:tcPr>
          <w:p w14:paraId="77AC62E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2213ADE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E18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5791ABA">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3C7E610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6F471D4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0071743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noWrap w:val="0"/>
            <w:vAlign w:val="center"/>
          </w:tcPr>
          <w:p w14:paraId="4D6BCC1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26" w:type="dxa"/>
            <w:noWrap w:val="0"/>
            <w:vAlign w:val="center"/>
          </w:tcPr>
          <w:p w14:paraId="4BA36AC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1A0A2AA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306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3E8E0791">
            <w:pPr>
              <w:widowControl/>
              <w:spacing w:line="280" w:lineRule="exact"/>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369" w:type="dxa"/>
            <w:noWrap w:val="0"/>
            <w:vAlign w:val="center"/>
          </w:tcPr>
          <w:p w14:paraId="06835B5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5BA3372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6DD1332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43095D6B">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noWrap w:val="0"/>
            <w:vAlign w:val="center"/>
          </w:tcPr>
          <w:p w14:paraId="5AB0CF9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2ABD5B6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BA1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0E73244C">
            <w:pPr>
              <w:widowControl/>
              <w:spacing w:line="280" w:lineRule="exact"/>
              <w:jc w:val="left"/>
              <w:rPr>
                <w:rFonts w:hint="eastAsia" w:ascii="宋体" w:hAnsi="宋体" w:eastAsia="宋体" w:cs="宋体"/>
                <w:color w:val="auto"/>
                <w:spacing w:val="-12"/>
                <w:kern w:val="0"/>
                <w:sz w:val="18"/>
                <w:szCs w:val="18"/>
                <w:highlight w:val="none"/>
              </w:rPr>
            </w:pPr>
          </w:p>
        </w:tc>
        <w:tc>
          <w:tcPr>
            <w:tcW w:w="1369" w:type="dxa"/>
            <w:noWrap w:val="0"/>
            <w:vAlign w:val="center"/>
          </w:tcPr>
          <w:p w14:paraId="015B288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3F4AB72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3268933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2805C0F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noWrap w:val="0"/>
            <w:vAlign w:val="center"/>
          </w:tcPr>
          <w:p w14:paraId="4F8B4A28">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2" w:type="dxa"/>
            <w:noWrap w:val="0"/>
            <w:vAlign w:val="center"/>
          </w:tcPr>
          <w:p w14:paraId="1FE0781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76F9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0A062003">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369" w:type="dxa"/>
            <w:noWrap w:val="0"/>
            <w:vAlign w:val="center"/>
          </w:tcPr>
          <w:p w14:paraId="4F6CA6C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5CFA745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3361869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noWrap w:val="0"/>
            <w:vAlign w:val="center"/>
          </w:tcPr>
          <w:p w14:paraId="49A0AD4B">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26" w:type="dxa"/>
            <w:noWrap w:val="0"/>
            <w:vAlign w:val="center"/>
          </w:tcPr>
          <w:p w14:paraId="7F85F51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55815B2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F2A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F4A416F">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4DCCA21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noWrap w:val="0"/>
            <w:vAlign w:val="center"/>
          </w:tcPr>
          <w:p w14:paraId="33919B9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28D9779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noWrap w:val="0"/>
            <w:vAlign w:val="center"/>
          </w:tcPr>
          <w:p w14:paraId="2D97592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noWrap w:val="0"/>
            <w:vAlign w:val="center"/>
          </w:tcPr>
          <w:p w14:paraId="6AA900B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992" w:type="dxa"/>
            <w:noWrap w:val="0"/>
            <w:vAlign w:val="center"/>
          </w:tcPr>
          <w:p w14:paraId="53A855A5">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573F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19ACE8F3">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369" w:type="dxa"/>
            <w:noWrap w:val="0"/>
            <w:vAlign w:val="center"/>
          </w:tcPr>
          <w:p w14:paraId="6D626C5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25D9039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6FFA0F31">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47BCA4E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5B36E6B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2" w:type="dxa"/>
            <w:noWrap w:val="0"/>
            <w:vAlign w:val="center"/>
          </w:tcPr>
          <w:p w14:paraId="0F33523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0426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69DB0BB5">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1BE9979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14:paraId="01DDC05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011FE74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noWrap w:val="0"/>
            <w:vAlign w:val="center"/>
          </w:tcPr>
          <w:p w14:paraId="118A1B05">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26" w:type="dxa"/>
            <w:noWrap w:val="0"/>
            <w:vAlign w:val="center"/>
          </w:tcPr>
          <w:p w14:paraId="5CE246E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2" w:type="dxa"/>
            <w:noWrap w:val="0"/>
            <w:vAlign w:val="center"/>
          </w:tcPr>
          <w:p w14:paraId="1F614FC6">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0C7E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3DE67CA0">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369" w:type="dxa"/>
            <w:noWrap w:val="0"/>
            <w:vAlign w:val="center"/>
          </w:tcPr>
          <w:p w14:paraId="52486C27">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7C463CC2">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4834CC23">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6D00FA60">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4ABDF339">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0480E28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8DC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38BE1146">
            <w:pPr>
              <w:widowControl/>
              <w:spacing w:line="280" w:lineRule="exact"/>
              <w:jc w:val="left"/>
              <w:rPr>
                <w:rFonts w:hint="eastAsia" w:ascii="宋体" w:hAnsi="宋体" w:eastAsia="宋体" w:cs="宋体"/>
                <w:color w:val="auto"/>
                <w:kern w:val="0"/>
                <w:sz w:val="18"/>
                <w:szCs w:val="18"/>
                <w:highlight w:val="none"/>
              </w:rPr>
            </w:pPr>
          </w:p>
        </w:tc>
        <w:tc>
          <w:tcPr>
            <w:tcW w:w="1369" w:type="dxa"/>
            <w:noWrap w:val="0"/>
            <w:vAlign w:val="center"/>
          </w:tcPr>
          <w:p w14:paraId="4538731D">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noWrap w:val="0"/>
            <w:vAlign w:val="center"/>
          </w:tcPr>
          <w:p w14:paraId="40C7011C">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14:paraId="6D8464D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noWrap w:val="0"/>
            <w:vAlign w:val="center"/>
          </w:tcPr>
          <w:p w14:paraId="43434ED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26" w:type="dxa"/>
            <w:noWrap w:val="0"/>
            <w:vAlign w:val="center"/>
          </w:tcPr>
          <w:p w14:paraId="2415720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2" w:type="dxa"/>
            <w:noWrap w:val="0"/>
            <w:vAlign w:val="center"/>
          </w:tcPr>
          <w:p w14:paraId="3F7B820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5145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6B580A9D">
            <w:pPr>
              <w:widowControl/>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1369" w:type="dxa"/>
            <w:noWrap w:val="0"/>
            <w:vAlign w:val="center"/>
          </w:tcPr>
          <w:p w14:paraId="137AE4CA">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14:paraId="7801881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14:paraId="459D2144">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7DDF6442">
            <w:pPr>
              <w:widowControl/>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66CCD9EE">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50C453A0">
            <w:pPr>
              <w:widowControl/>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4F7D2D8A">
      <w:pPr>
        <w:widowControl/>
        <w:spacing w:line="280" w:lineRule="exact"/>
        <w:rPr>
          <w:rFonts w:hint="eastAsia" w:ascii="宋体" w:hAnsi="宋体" w:eastAsia="宋体" w:cs="宋体"/>
          <w:color w:val="auto"/>
          <w:spacing w:val="8"/>
          <w:kern w:val="0"/>
          <w:sz w:val="24"/>
          <w:highlight w:val="none"/>
        </w:rPr>
      </w:pPr>
    </w:p>
    <w:p w14:paraId="614D2E9C">
      <w:pPr>
        <w:widowControl/>
        <w:spacing w:line="280" w:lineRule="exact"/>
        <w:rPr>
          <w:rFonts w:hint="eastAsia" w:ascii="宋体" w:hAnsi="宋体" w:eastAsia="宋体" w:cs="宋体"/>
          <w:color w:val="auto"/>
          <w:spacing w:val="8"/>
          <w:kern w:val="0"/>
          <w:sz w:val="24"/>
          <w:highlight w:val="none"/>
        </w:rPr>
      </w:pPr>
    </w:p>
    <w:p w14:paraId="62B29BF2">
      <w:pPr>
        <w:widowControl/>
        <w:spacing w:line="240" w:lineRule="auto"/>
        <w:rPr>
          <w:rFonts w:hint="eastAsia" w:ascii="宋体" w:hAnsi="宋体" w:eastAsia="宋体" w:cs="宋体"/>
          <w:color w:val="auto"/>
          <w:spacing w:val="8"/>
          <w:kern w:val="0"/>
          <w:szCs w:val="21"/>
          <w:highlight w:val="none"/>
        </w:rPr>
      </w:pPr>
      <w:r>
        <w:rPr>
          <w:rFonts w:hint="eastAsia" w:ascii="宋体" w:hAnsi="宋体" w:eastAsia="宋体" w:cs="宋体"/>
          <w:color w:val="auto"/>
          <w:spacing w:val="8"/>
          <w:kern w:val="0"/>
          <w:szCs w:val="21"/>
          <w:highlight w:val="none"/>
        </w:rPr>
        <w:t>说明：</w:t>
      </w:r>
    </w:p>
    <w:p w14:paraId="43C47B83">
      <w:pPr>
        <w:pStyle w:val="13"/>
        <w:adjustRightInd w:val="0"/>
        <w:spacing w:line="240" w:lineRule="auto"/>
        <w:ind w:firstLine="432" w:firstLineChars="200"/>
        <w:contextualSpacing/>
        <w:rPr>
          <w:rFonts w:hint="eastAsia" w:ascii="宋体" w:hAnsi="宋体" w:eastAsia="宋体" w:cs="宋体"/>
          <w:color w:val="auto"/>
          <w:spacing w:val="8"/>
          <w:highlight w:val="none"/>
        </w:rPr>
      </w:pPr>
      <w:r>
        <w:rPr>
          <w:rFonts w:hint="eastAsia" w:ascii="宋体" w:hAnsi="宋体" w:eastAsia="宋体" w:cs="宋体"/>
          <w:color w:val="auto"/>
          <w:spacing w:val="8"/>
          <w:highlight w:val="none"/>
        </w:rPr>
        <w:t>1.大型、中型和小型企业须同时满足所列指标的下限，否则下划一档；微型企业只须满足所列指标中的一项即可。</w:t>
      </w:r>
    </w:p>
    <w:p w14:paraId="6DFAAF74">
      <w:pPr>
        <w:pStyle w:val="13"/>
        <w:adjustRightInd w:val="0"/>
        <w:spacing w:line="240" w:lineRule="auto"/>
        <w:ind w:firstLine="432" w:firstLineChars="200"/>
        <w:contextualSpacing/>
        <w:rPr>
          <w:rFonts w:hint="eastAsia" w:ascii="宋体" w:hAnsi="宋体" w:eastAsia="宋体" w:cs="宋体"/>
          <w:color w:val="auto"/>
          <w:spacing w:val="8"/>
          <w:highlight w:val="none"/>
        </w:rPr>
      </w:pPr>
      <w:r>
        <w:rPr>
          <w:rFonts w:hint="eastAsia" w:ascii="宋体" w:hAnsi="宋体" w:eastAsia="宋体" w:cs="宋体"/>
          <w:color w:val="auto"/>
          <w:spacing w:val="8"/>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B816A03">
      <w:pPr>
        <w:pStyle w:val="13"/>
        <w:spacing w:line="240" w:lineRule="auto"/>
        <w:ind w:firstLine="432" w:firstLineChars="2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B0D3688">
      <w:pPr>
        <w:widowControl/>
        <w:spacing w:line="360" w:lineRule="exact"/>
        <w:ind w:firstLine="413"/>
        <w:jc w:val="center"/>
        <w:outlineLvl w:val="0"/>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br w:type="page"/>
      </w:r>
      <w:bookmarkStart w:id="130" w:name="_Toc31611"/>
      <w:r>
        <w:rPr>
          <w:rFonts w:hint="eastAsia" w:ascii="宋体" w:hAnsi="宋体" w:eastAsia="宋体" w:cs="宋体"/>
          <w:b/>
          <w:bCs/>
          <w:color w:val="auto"/>
          <w:sz w:val="32"/>
          <w:szCs w:val="32"/>
          <w:highlight w:val="none"/>
        </w:rPr>
        <w:t>第四章  评审程序、评审方法</w:t>
      </w:r>
      <w:bookmarkEnd w:id="128"/>
      <w:bookmarkEnd w:id="130"/>
    </w:p>
    <w:p w14:paraId="673B0462">
      <w:pPr>
        <w:spacing w:line="360" w:lineRule="auto"/>
        <w:jc w:val="center"/>
        <w:outlineLvl w:val="1"/>
        <w:rPr>
          <w:rFonts w:hint="eastAsia" w:ascii="宋体" w:hAnsi="宋体" w:eastAsia="宋体" w:cs="宋体"/>
          <w:b/>
          <w:color w:val="auto"/>
          <w:sz w:val="32"/>
          <w:szCs w:val="32"/>
          <w:highlight w:val="none"/>
        </w:rPr>
      </w:pPr>
      <w:bookmarkStart w:id="131" w:name="_Toc446"/>
      <w:r>
        <w:rPr>
          <w:rFonts w:hint="eastAsia" w:ascii="宋体" w:hAnsi="宋体" w:eastAsia="宋体" w:cs="宋体"/>
          <w:b/>
          <w:color w:val="auto"/>
          <w:sz w:val="32"/>
          <w:szCs w:val="32"/>
          <w:highlight w:val="none"/>
        </w:rPr>
        <w:t>一、评审程序</w:t>
      </w:r>
      <w:bookmarkEnd w:id="131"/>
    </w:p>
    <w:p w14:paraId="00B8C5EA">
      <w:pPr>
        <w:spacing w:line="360" w:lineRule="auto"/>
        <w:ind w:firstLine="482" w:firstLineChars="200"/>
        <w:outlineLvl w:val="2"/>
        <w:rPr>
          <w:rFonts w:hint="eastAsia" w:ascii="宋体" w:hAnsi="宋体" w:eastAsia="宋体" w:cs="宋体"/>
          <w:b/>
          <w:bCs/>
          <w:color w:val="auto"/>
          <w:sz w:val="24"/>
          <w:szCs w:val="24"/>
          <w:highlight w:val="none"/>
        </w:rPr>
      </w:pPr>
      <w:bookmarkStart w:id="132" w:name="_Toc11242"/>
      <w:r>
        <w:rPr>
          <w:rFonts w:hint="eastAsia" w:ascii="宋体" w:hAnsi="宋体" w:eastAsia="宋体" w:cs="宋体"/>
          <w:b/>
          <w:bCs/>
          <w:color w:val="auto"/>
          <w:sz w:val="24"/>
          <w:szCs w:val="24"/>
          <w:highlight w:val="none"/>
        </w:rPr>
        <w:t>1、资格审查</w:t>
      </w:r>
      <w:bookmarkEnd w:id="132"/>
    </w:p>
    <w:p w14:paraId="6239C48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1.1响应文件开启后，磋商小组依法对供应商的资格证明文件进行审查。</w:t>
      </w:r>
    </w:p>
    <w:p w14:paraId="622646C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注：采购人或者采购代理机构在资格审查结束前，对供应商进行信用查询。</w:t>
      </w:r>
    </w:p>
    <w:p w14:paraId="261A5045">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（1）查询渠道：广西政府采购云平台“信用中国”网站(</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"http://www.ceditchina.gov.cn"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www、ceditchina、gov、cn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www、ccgp、gov、cn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)链接入口。</w:t>
      </w:r>
    </w:p>
    <w:p w14:paraId="0485E46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（2）信用查询截止时点：资格审查结束前。</w:t>
      </w:r>
    </w:p>
    <w:p w14:paraId="7520367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查询记录和证据留存方式：在查询网站中直接打印查询记录，打印材料作为评审资料保存。</w:t>
      </w:r>
    </w:p>
    <w:p w14:paraId="5FFB690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1FA87F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1.2资格审查标准为本磋商文件中载明对供应商资格要求的条件。资格审查采用合格制，凡符合磋商文件规定的供应商资格要求的响应文件均通过资格审查。</w:t>
      </w:r>
    </w:p>
    <w:p w14:paraId="3892721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1.3供应商有下列情形之一的，资格审查不通过，其响应文件按无效响应处理：</w:t>
      </w:r>
    </w:p>
    <w:p w14:paraId="4A62EB4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（1）不具备磋商文件中规定的资格要求的；</w:t>
      </w:r>
    </w:p>
    <w:p w14:paraId="4568093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（2）响应文件未提供任一项“供应商须知前附表”资格证明文件规定的“必须提供”的文件资料的；</w:t>
      </w:r>
    </w:p>
    <w:p w14:paraId="7BAF649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（3）响应文件提供的资格证明文件出现任一项不符合“供应商须知前附表”资格证明文件规定的“必须提供”的文件资料要求或者无效的。</w:t>
      </w:r>
    </w:p>
    <w:p w14:paraId="10DEE64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1.4通过资格审查的合格供应商不足3家的，不得进入符合性审查环节，采购人或者采购代理机构应当重新开展采购活动。</w:t>
      </w:r>
    </w:p>
    <w:p w14:paraId="0C2B2DEF">
      <w:pPr>
        <w:spacing w:line="360" w:lineRule="auto"/>
        <w:ind w:firstLine="482" w:firstLineChars="200"/>
        <w:outlineLvl w:val="2"/>
        <w:rPr>
          <w:rFonts w:hint="eastAsia" w:ascii="宋体" w:hAnsi="宋体" w:eastAsia="宋体" w:cs="宋体"/>
          <w:b/>
          <w:bCs/>
          <w:color w:val="auto"/>
          <w:sz w:val="24"/>
          <w:szCs w:val="24"/>
          <w:highlight w:val="none"/>
        </w:rPr>
      </w:pPr>
      <w:bookmarkStart w:id="133" w:name="_Toc26104"/>
      <w:r>
        <w:rPr>
          <w:rFonts w:hint="eastAsia" w:ascii="宋体" w:hAnsi="宋体" w:eastAsia="宋体" w:cs="宋体"/>
          <w:b/>
          <w:bCs/>
          <w:color w:val="auto"/>
          <w:sz w:val="24"/>
          <w:szCs w:val="24"/>
          <w:highlight w:val="none"/>
        </w:rPr>
        <w:t>2、符合性审查</w:t>
      </w:r>
      <w:bookmarkEnd w:id="133"/>
    </w:p>
    <w:p w14:paraId="41B19505">
      <w:pPr>
        <w:spacing w:line="360" w:lineRule="auto"/>
        <w:ind w:firstLine="480" w:firstLineChars="200"/>
        <w:rPr>
          <w:rFonts w:hint="eastAsia" w:ascii="宋体" w:hAnsi="宋体" w:eastAsia="宋体" w:cs="宋体"/>
          <w:color w:val="auto"/>
          <w:sz w:val="24"/>
          <w:szCs w:val="24"/>
          <w:highlight w:val="none"/>
        </w:rPr>
      </w:pPr>
      <w:bookmarkStart w:id="134" w:name="_Hlk42528882"/>
      <w:r>
        <w:rPr>
          <w:rFonts w:hint="eastAsia" w:ascii="宋体" w:hAnsi="宋体" w:eastAsia="宋体" w:cs="宋体"/>
          <w:color w:val="auto"/>
          <w:sz w:val="24"/>
          <w:szCs w:val="24"/>
          <w:highlight w:val="none"/>
        </w:rPr>
        <w:t>2.1由磋商小组对通过资格审查的合格供应商的响应文件的竞标报价、商务、技术等实质性要求进行符合性审查，以确定其是否满足磋商文件的实质性要求。</w:t>
      </w:r>
    </w:p>
    <w:bookmarkEnd w:id="134"/>
    <w:p w14:paraId="4C8EB43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1BF3465">
      <w:pPr>
        <w:spacing w:line="360" w:lineRule="auto"/>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2.3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电子公章。由委托代理人签字的，</w:t>
      </w:r>
      <w:r>
        <w:rPr>
          <w:rFonts w:hint="eastAsia" w:ascii="宋体" w:hAnsi="宋体" w:eastAsia="宋体" w:cs="宋体"/>
          <w:bCs/>
          <w:color w:val="auto"/>
          <w:sz w:val="24"/>
          <w:szCs w:val="24"/>
          <w:highlight w:val="none"/>
        </w:rPr>
        <w:t>若委托代理人不是响应文件中授权的委托代理人时，必须同时出示有效的法定代表人授权委托书原件</w:t>
      </w:r>
      <w:r>
        <w:rPr>
          <w:rFonts w:hint="eastAsia" w:ascii="宋体" w:hAnsi="宋体" w:eastAsia="宋体" w:cs="宋体"/>
          <w:color w:val="auto"/>
          <w:spacing w:val="-6"/>
          <w:sz w:val="24"/>
          <w:szCs w:val="24"/>
          <w:highlight w:val="none"/>
        </w:rPr>
        <w:t>。供应商为自然人的，必须由本人签字并附身份证明。</w:t>
      </w:r>
    </w:p>
    <w:p w14:paraId="171B60F4">
      <w:pPr>
        <w:spacing w:line="360" w:lineRule="auto"/>
        <w:ind w:firstLine="456" w:firstLineChars="200"/>
        <w:outlineLvl w:val="3"/>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2.4</w:t>
      </w:r>
      <w:r>
        <w:rPr>
          <w:rFonts w:hint="eastAsia" w:ascii="宋体" w:hAnsi="宋体" w:eastAsia="宋体" w:cs="宋体"/>
          <w:color w:val="auto"/>
          <w:sz w:val="24"/>
          <w:szCs w:val="24"/>
          <w:highlight w:val="none"/>
        </w:rPr>
        <w:t xml:space="preserve">首次响应文件报价出现前后不一致的，按照下列规定修正： </w:t>
      </w:r>
    </w:p>
    <w:p w14:paraId="605C419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（1）响应文件中报价表内容与响应文件中相应内容不一致的，以报价表为准；</w:t>
      </w:r>
    </w:p>
    <w:p w14:paraId="030A86E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14:paraId="4511077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（3）单价金额小数点或者百分比有明显错位的，以报价表的总价为准，并修改单价；</w:t>
      </w:r>
    </w:p>
    <w:p w14:paraId="3C39F0D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p>
    <w:p w14:paraId="05B0BC8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同时出现两种以上不一致的，按照以上（1）-（4）规定的顺序逐条进行修正。修正后的报价经供应商确认后产生约束力，供应商不确认的，其响应文件按无效响应处理。</w:t>
      </w:r>
    </w:p>
    <w:p w14:paraId="21C72964">
      <w:pPr>
        <w:spacing w:line="360" w:lineRule="auto"/>
        <w:ind w:firstLine="480" w:firstLineChars="200"/>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2.5商务技术报价评审</w:t>
      </w:r>
    </w:p>
    <w:p w14:paraId="42AECBD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在评审时，如发现下列情形之一的，将被视为响应文件无效处理：</w:t>
      </w:r>
    </w:p>
    <w:p w14:paraId="7256C78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（1）商务技术评审</w:t>
      </w:r>
    </w:p>
    <w:p w14:paraId="0D70488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1）响应文件未按磋商文件要求签署、盖章；</w:t>
      </w:r>
    </w:p>
    <w:p w14:paraId="3E6C0D4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2）委托代理人未能出具有效身份证明或者出具的身份证明与授权委托书中的信息不符； </w:t>
      </w:r>
    </w:p>
    <w:p w14:paraId="51E818F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3274D94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4）商务条款中标“</w:t>
      </w:r>
      <w:r>
        <w:rPr>
          <w:rFonts w:hint="eastAsia" w:ascii="宋体" w:hAnsi="宋体" w:eastAsia="宋体" w:cs="宋体"/>
          <w:color w:val="auto"/>
          <w:szCs w:val="21"/>
          <w:highlight w:val="none"/>
        </w:rPr>
        <w:t>▲</w:t>
      </w:r>
      <w:r>
        <w:rPr>
          <w:rFonts w:hint="eastAsia" w:ascii="宋体" w:hAnsi="宋体" w:eastAsia="宋体" w:cs="宋体"/>
          <w:color w:val="auto"/>
          <w:sz w:val="24"/>
          <w:szCs w:val="24"/>
          <w:highlight w:val="none"/>
        </w:rPr>
        <w:t>”的条款发生负偏离的或者允许负偏离的条款数超过“供应商须知前附表”规定项数的或者标明实质性的要求发生负偏离；</w:t>
      </w:r>
    </w:p>
    <w:p w14:paraId="1C01B55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5）未对竞标有效期作出响应或者响应文件承诺的竞标有效期不满足磋商文件要求；</w:t>
      </w:r>
    </w:p>
    <w:p w14:paraId="3D06923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6）响应文件的实质性内容未使用中文表述、使用计量单位不符合磋商文件要求；</w:t>
      </w:r>
    </w:p>
    <w:p w14:paraId="19B17FE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7）响应文件中的文件资料因填写不齐全或者内容虚假或者出现其他情形而导致被磋商小组认定无效；</w:t>
      </w:r>
    </w:p>
    <w:p w14:paraId="7D23783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9）响应文件含有采购人不能接受的附加条件；</w:t>
      </w:r>
    </w:p>
    <w:p w14:paraId="288876D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10）属于“供应商须知正文”第7.5条情形；</w:t>
      </w:r>
    </w:p>
    <w:p w14:paraId="299C0AD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11）技术需求允许负偏离的条款数超过“供应商须知前附表”规定项数；</w:t>
      </w:r>
    </w:p>
    <w:p w14:paraId="3FEED4C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12）虚假竞标，或者出现其他情形而导致被磋商小组认定无效；</w:t>
      </w:r>
    </w:p>
    <w:p w14:paraId="43AE199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13）竞标技术方案不明确，磋商文件未允许但响应文件中存在一个或者一个以上备选（替代）竞标方案；</w:t>
      </w:r>
    </w:p>
    <w:p w14:paraId="3FBB4AC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14）响应文件标注的项目名称或者项目编号与竞争性磋商文件标注的项目名称或者项目编号不一致的；</w:t>
      </w:r>
    </w:p>
    <w:p w14:paraId="6FB19A9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15）未响应磋商文件实质性要求；</w:t>
      </w:r>
    </w:p>
    <w:p w14:paraId="507136F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16）法律、法规和磋商文件规定的其他无效情形。</w:t>
      </w:r>
    </w:p>
    <w:p w14:paraId="74925D6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（2）报价评审</w:t>
      </w:r>
    </w:p>
    <w:p w14:paraId="053A744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响应文件未提供“供应商须知前附表” 报价商务技术文件中规定的“竞标报价表”；</w:t>
      </w:r>
    </w:p>
    <w:p w14:paraId="04CAED1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2）未采用人民币报价或者未按照磋商文件标明的币种报价；</w:t>
      </w:r>
    </w:p>
    <w:p w14:paraId="3564BB6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495C3C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4）竞标报价（包含首次报价、最后报价）超过所竞标分标规定的采购预算金额或者最高限价的（如本项目公布了最高限价）；</w:t>
      </w:r>
      <w:bookmarkStart w:id="135" w:name="_Hlk42596405"/>
      <w:r>
        <w:rPr>
          <w:rFonts w:hint="eastAsia" w:ascii="宋体" w:hAnsi="宋体" w:eastAsia="宋体" w:cs="宋体"/>
          <w:color w:val="auto"/>
          <w:sz w:val="24"/>
          <w:szCs w:val="24"/>
          <w:highlight w:val="none"/>
        </w:rPr>
        <w:t>竞标报价（包含首次报价、最后报价）</w:t>
      </w:r>
      <w:bookmarkEnd w:id="135"/>
      <w:bookmarkStart w:id="136" w:name="_Hlk42596276"/>
      <w:r>
        <w:rPr>
          <w:rFonts w:hint="eastAsia" w:ascii="宋体" w:hAnsi="宋体" w:eastAsia="宋体" w:cs="宋体"/>
          <w:color w:val="auto"/>
          <w:sz w:val="24"/>
          <w:szCs w:val="24"/>
          <w:highlight w:val="none"/>
        </w:rPr>
        <w:t>超过磋商文件分项采购预算金额或者最高限价的</w:t>
      </w:r>
      <w:bookmarkEnd w:id="136"/>
      <w:r>
        <w:rPr>
          <w:rFonts w:hint="eastAsia" w:ascii="宋体" w:hAnsi="宋体" w:eastAsia="宋体" w:cs="宋体"/>
          <w:color w:val="auto"/>
          <w:sz w:val="24"/>
          <w:szCs w:val="24"/>
          <w:highlight w:val="none"/>
        </w:rPr>
        <w:t>（如本项目公布了最高限价）；</w:t>
      </w:r>
    </w:p>
    <w:p w14:paraId="46F3ECB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6E137C9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6）响应文件响应的标的数量及单位与竞争性磋商采购文件要求实质性不一致的。</w:t>
      </w:r>
    </w:p>
    <w:p w14:paraId="63EE9A3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4020B6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2.7通过符合性审查的合格供应商不足3家的，不得进入磋商环节，采购人或者采购代理机构应当重新开展采购活动。</w:t>
      </w:r>
    </w:p>
    <w:p w14:paraId="74AFF787">
      <w:pPr>
        <w:spacing w:line="360" w:lineRule="auto"/>
        <w:ind w:firstLine="482" w:firstLineChars="200"/>
        <w:outlineLvl w:val="2"/>
        <w:rPr>
          <w:rFonts w:hint="eastAsia" w:ascii="宋体" w:hAnsi="宋体" w:eastAsia="宋体" w:cs="宋体"/>
          <w:b/>
          <w:bCs/>
          <w:color w:val="auto"/>
          <w:sz w:val="24"/>
          <w:szCs w:val="24"/>
          <w:highlight w:val="none"/>
        </w:rPr>
      </w:pPr>
      <w:bookmarkStart w:id="137" w:name="_Toc17731"/>
      <w:r>
        <w:rPr>
          <w:rFonts w:hint="eastAsia" w:ascii="宋体" w:hAnsi="宋体" w:eastAsia="宋体" w:cs="宋体"/>
          <w:b/>
          <w:bCs/>
          <w:color w:val="auto"/>
          <w:sz w:val="24"/>
          <w:szCs w:val="24"/>
          <w:highlight w:val="none"/>
        </w:rPr>
        <w:t>3、磋商程序</w:t>
      </w:r>
      <w:bookmarkEnd w:id="137"/>
    </w:p>
    <w:p w14:paraId="514F964A">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3.1磋商小组按照“供应商须知前附表”</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确定的</w:t>
      </w:r>
      <w:r>
        <w:rPr>
          <w:rFonts w:hint="eastAsia" w:ascii="宋体" w:hAnsi="宋体" w:eastAsia="宋体" w:cs="宋体"/>
          <w:color w:val="auto"/>
          <w:sz w:val="24"/>
          <w:szCs w:val="24"/>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744C6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在磋商过程中，磋商小组可以根据磋商文件和磋商情况实质性变动采购需求和说明中的技术、服务要求以及合同草案条款，但不得变动磋商文件中的其他内容。实质性变动的内容，须经采购人代表确认。可能实质性变动的内容为采购需求和说明中的技术、服务要求以及合同草案条款。</w:t>
      </w:r>
    </w:p>
    <w:p w14:paraId="13B2014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3.3对磋商文件作出的实质性变动是磋商文件的有效组成部分，由磋商小组及时以书面形式同时通知所有参加磋商的供应商。</w:t>
      </w:r>
    </w:p>
    <w:p w14:paraId="10F9EBD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3.4供应商必须按照磋商文件的变动情况和磋商小组的要求重新提交响应文件，并由其法定代表人或者授权代表签字或者加盖公章或电子签章 。由委托代理人签字的，</w:t>
      </w:r>
      <w:r>
        <w:rPr>
          <w:rFonts w:hint="eastAsia" w:ascii="宋体" w:hAnsi="宋体" w:eastAsia="宋体" w:cs="宋体"/>
          <w:bCs/>
          <w:color w:val="auto"/>
          <w:sz w:val="24"/>
          <w:szCs w:val="24"/>
          <w:highlight w:val="none"/>
        </w:rPr>
        <w:t>若委托代理人不是响应文件中授权的委托代理人时，必须同时出示有效的法定代表人授权委托书原件</w:t>
      </w:r>
      <w:r>
        <w:rPr>
          <w:rFonts w:hint="eastAsia" w:ascii="宋体" w:hAnsi="宋体" w:eastAsia="宋体" w:cs="宋体"/>
          <w:color w:val="auto"/>
          <w:sz w:val="24"/>
          <w:szCs w:val="24"/>
          <w:highlight w:val="none"/>
        </w:rPr>
        <w:t>。供应商为自然人的，必须由本人签字并附身份证明。参加磋商的供应商未在规定时间内重新提交响应文件的，视同退出磋商。</w:t>
      </w:r>
    </w:p>
    <w:p w14:paraId="4EEC2A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3.5磋商中，</w:t>
      </w:r>
      <w:r>
        <w:rPr>
          <w:rFonts w:hint="eastAsia" w:ascii="宋体" w:hAnsi="宋体" w:eastAsia="宋体" w:cs="宋体"/>
          <w:color w:val="auto"/>
          <w:spacing w:val="-6"/>
          <w:sz w:val="24"/>
          <w:szCs w:val="24"/>
          <w:highlight w:val="none"/>
        </w:rPr>
        <w:t>磋商的任何一方不得透露与磋商有关的其他供应商的技术资料、价格和其他信息。</w:t>
      </w:r>
    </w:p>
    <w:p w14:paraId="50E01CF5">
      <w:pPr>
        <w:widowControl/>
        <w:tabs>
          <w:tab w:val="left" w:pos="540"/>
        </w:tabs>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3.6采购代理机构对磋商过程和重要磋商内容进行记录，磋商双方在记录上签字确认。</w:t>
      </w:r>
    </w:p>
    <w:p w14:paraId="2D87483F">
      <w:pPr>
        <w:widowControl/>
        <w:tabs>
          <w:tab w:val="left" w:pos="540"/>
        </w:tabs>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3.7磋商过程中重新提交的响应文件，供应商可以在开启前补充、修改。</w:t>
      </w:r>
    </w:p>
    <w:p w14:paraId="29B07617">
      <w:pPr>
        <w:tabs>
          <w:tab w:val="left" w:pos="283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3.8对磋商过程提交的响应文件进行有效性、完整性和响应程度审查，通过审查的合格供应商不足3家的，采购人或者采购代理机构应当重新开展采购活动。</w:t>
      </w:r>
    </w:p>
    <w:p w14:paraId="5FA7BDDD">
      <w:pPr>
        <w:spacing w:line="360" w:lineRule="auto"/>
        <w:ind w:firstLine="482" w:firstLineChars="200"/>
        <w:outlineLvl w:val="2"/>
        <w:rPr>
          <w:rFonts w:hint="eastAsia" w:ascii="宋体" w:hAnsi="宋体" w:eastAsia="宋体" w:cs="宋体"/>
          <w:color w:val="auto"/>
          <w:sz w:val="24"/>
          <w:szCs w:val="24"/>
          <w:highlight w:val="none"/>
        </w:rPr>
      </w:pPr>
      <w:bookmarkStart w:id="138" w:name="_Toc15151"/>
      <w:r>
        <w:rPr>
          <w:rFonts w:hint="eastAsia" w:ascii="宋体" w:hAnsi="宋体" w:eastAsia="宋体" w:cs="宋体"/>
          <w:b/>
          <w:bCs/>
          <w:color w:val="auto"/>
          <w:sz w:val="24"/>
          <w:szCs w:val="24"/>
          <w:highlight w:val="none"/>
        </w:rPr>
        <w:t>4、 最后报价</w:t>
      </w:r>
      <w:bookmarkEnd w:id="138"/>
    </w:p>
    <w:p w14:paraId="44049CE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磋商文件能够详细列明采购标的的技术、服务要求的，磋商结束后，由磋商小组要求所有继续参加磋商的供应商在规定时间内密封提交最后报价，除本章第4.3条外，提交最后报价的供应商不得少于3家，否则必须重新采购。</w:t>
      </w:r>
    </w:p>
    <w:p w14:paraId="688203F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B988E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F71538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4.4已经提交响应文件的供应商，在提交最后报价之前，可以根据磋商情况退出磋商，退出磋商的供应商的响应文件按无效响应处理。采购人、采购代理机构将退还退出磋商的供应商的保证金。</w:t>
      </w:r>
    </w:p>
    <w:p w14:paraId="3FE2E808">
      <w:pPr>
        <w:spacing w:line="360" w:lineRule="auto"/>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4.5供应商未在规定时间内提交最后报价的，视同退出磋商。</w:t>
      </w:r>
    </w:p>
    <w:p w14:paraId="3872E39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4.6磋商小组收齐某一分标最后报价后统一开启，磋商小组对最后报价进行有效性、完整性和响应程度的审查。</w:t>
      </w:r>
    </w:p>
    <w:p w14:paraId="7B47E14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4.7响应文件最后报价出现前后不一致的，按照本章第2.4条的规定修正。 </w:t>
      </w:r>
    </w:p>
    <w:p w14:paraId="4BB284C8">
      <w:pPr>
        <w:spacing w:line="360" w:lineRule="auto"/>
        <w:ind w:firstLine="480" w:firstLineChars="200"/>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4.8修正后的报价出现下列情形的，按无效响应处理：</w:t>
      </w:r>
    </w:p>
    <w:p w14:paraId="027B817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（1）供应商不确认的；</w:t>
      </w:r>
    </w:p>
    <w:p w14:paraId="121B438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（2）经供应商确认修正后的竞标报价（包含首次报价、最后报价）超过所竞标分标规定的采购预算金额或者最高限价的（如本项目公布了最高限价）；</w:t>
      </w:r>
    </w:p>
    <w:p w14:paraId="1A3825D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（3）经供应商确认修正后的竞标报价（包含首次报价、最后报价）超过分项采购预算金额或者最高限价的（如本项目公布了最高限价）。</w:t>
      </w:r>
    </w:p>
    <w:p w14:paraId="44DDAED4">
      <w:pPr>
        <w:spacing w:line="360" w:lineRule="auto"/>
        <w:ind w:firstLine="480" w:firstLineChars="200"/>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4.9经供应商确认修正后的最后报价作为评审及签订合同的依据。</w:t>
      </w:r>
    </w:p>
    <w:p w14:paraId="108D44F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4.10供应商出现最后报价按无效响应处理或者响应文件按无效处理时，磋商小组应当告知有关供应商。</w:t>
      </w:r>
    </w:p>
    <w:p w14:paraId="06139EF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4.11最后报价结束后，磋商小组不得再与供应商进行任何形式的商谈。</w:t>
      </w:r>
    </w:p>
    <w:p w14:paraId="71C668F4">
      <w:pPr>
        <w:spacing w:line="360" w:lineRule="auto"/>
        <w:ind w:firstLine="482" w:firstLineChars="200"/>
        <w:outlineLvl w:val="2"/>
        <w:rPr>
          <w:rFonts w:hint="eastAsia" w:ascii="宋体" w:hAnsi="宋体" w:eastAsia="宋体" w:cs="宋体"/>
          <w:b/>
          <w:bCs/>
          <w:color w:val="auto"/>
          <w:sz w:val="24"/>
          <w:szCs w:val="24"/>
          <w:highlight w:val="none"/>
        </w:rPr>
      </w:pPr>
      <w:bookmarkStart w:id="139" w:name="_Toc18675"/>
      <w:r>
        <w:rPr>
          <w:rFonts w:hint="eastAsia" w:ascii="宋体" w:hAnsi="宋体" w:eastAsia="宋体" w:cs="宋体"/>
          <w:b/>
          <w:bCs/>
          <w:color w:val="auto"/>
          <w:sz w:val="24"/>
          <w:szCs w:val="24"/>
          <w:highlight w:val="none"/>
        </w:rPr>
        <w:t>5、比较与评价</w:t>
      </w:r>
      <w:bookmarkEnd w:id="139"/>
    </w:p>
    <w:p w14:paraId="6AE13D03">
      <w:pPr>
        <w:spacing w:line="360" w:lineRule="auto"/>
        <w:ind w:firstLine="480" w:firstLineChars="200"/>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5.1评审方法：综合评分法。</w:t>
      </w:r>
    </w:p>
    <w:p w14:paraId="2637CE9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5.2经磋商确定最终采购需求和说明和提交最后报价的供应商后，由磋商小组采用综合评分法对提交最后报价的供应商的响应文件和最后报价进行综合评分。</w:t>
      </w:r>
    </w:p>
    <w:p w14:paraId="0E6FA44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5.3评审时，磋商小组各成员应当独立对每个有效响应的文件进行评价、打分，然后汇总每个供应商每项评分因素的得分。</w:t>
      </w:r>
    </w:p>
    <w:p w14:paraId="3FAA07C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（1）磋商小组按照磋商文件中规定的评审方法计算各供应商的报价得分。项目评审过程中，不得去掉最后报价中的最高报价和最低报价。</w:t>
      </w:r>
    </w:p>
    <w:p w14:paraId="3A3F33D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（2）各供应商的得分为磋商小组所有成员的有效评分的算术平均数。</w:t>
      </w:r>
    </w:p>
    <w:p w14:paraId="55CB0FF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5.4评审价为供应商的最后报价进行政策性扣除后的价格，评审价只是作为评审时使用。最终成交供应商的成交金额等于最后报价（如有修正，以确认修正后的最后报价为准）。</w:t>
      </w:r>
    </w:p>
    <w:p w14:paraId="75447C53">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5.5由磋商小组根据综合评分情况，按照评审得分由高到低顺序推荐3名以上成交候选供应商，并在线评</w:t>
      </w:r>
      <w:r>
        <w:rPr>
          <w:rFonts w:hint="eastAsia" w:ascii="宋体" w:hAnsi="宋体" w:eastAsia="宋体" w:cs="宋体"/>
          <w:color w:val="auto"/>
          <w:kern w:val="0"/>
          <w:sz w:val="24"/>
          <w:szCs w:val="24"/>
          <w:highlight w:val="none"/>
        </w:rPr>
        <w:t>审报告。符合本章第4.3条情形的，可以推荐2家成交候选供应商。评审得分相同的，按照最后报价由低到高的顺序推荐。评审得分且最后报价相同的，按照技术指标优劣顺序推荐。</w:t>
      </w:r>
    </w:p>
    <w:p w14:paraId="0EB3786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35E1C8F">
      <w:pPr>
        <w:spacing w:line="360" w:lineRule="auto"/>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bookmarkStart w:id="140" w:name="_Toc18883"/>
      <w:r>
        <w:rPr>
          <w:rFonts w:hint="eastAsia" w:ascii="宋体" w:hAnsi="宋体" w:eastAsia="宋体" w:cs="宋体"/>
          <w:b/>
          <w:color w:val="auto"/>
          <w:sz w:val="32"/>
          <w:szCs w:val="32"/>
          <w:highlight w:val="none"/>
        </w:rPr>
        <w:t>二、评审方法</w:t>
      </w:r>
      <w:bookmarkEnd w:id="140"/>
    </w:p>
    <w:p w14:paraId="7DB23F3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6、评审依据：磋商小组将以磋商响应文件为评审依据，对供应商的报价、技术、商务等方面内容按百分制打分。（计分方法按四舍五入取至百分位）</w:t>
      </w:r>
    </w:p>
    <w:tbl>
      <w:tblPr>
        <w:tblStyle w:val="22"/>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575"/>
        <w:gridCol w:w="6986"/>
        <w:gridCol w:w="5"/>
        <w:gridCol w:w="940"/>
      </w:tblGrid>
      <w:tr w14:paraId="4FCB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dxa"/>
            <w:noWrap w:val="0"/>
            <w:vAlign w:val="center"/>
          </w:tcPr>
          <w:p w14:paraId="18AB449C">
            <w:pPr>
              <w:widowControl/>
              <w:wordWrap w:val="0"/>
              <w:spacing w:line="400" w:lineRule="exact"/>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575" w:type="dxa"/>
            <w:noWrap w:val="0"/>
            <w:vAlign w:val="center"/>
          </w:tcPr>
          <w:p w14:paraId="11CE2D48">
            <w:pPr>
              <w:widowControl/>
              <w:wordWrap w:val="0"/>
              <w:spacing w:line="400" w:lineRule="exact"/>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评审因素</w:t>
            </w:r>
          </w:p>
        </w:tc>
        <w:tc>
          <w:tcPr>
            <w:tcW w:w="6986" w:type="dxa"/>
            <w:noWrap w:val="0"/>
            <w:vAlign w:val="center"/>
          </w:tcPr>
          <w:p w14:paraId="000D7EFF">
            <w:pPr>
              <w:widowControl/>
              <w:wordWrap w:val="0"/>
              <w:spacing w:line="400" w:lineRule="exact"/>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评审因素具体内容</w:t>
            </w:r>
          </w:p>
        </w:tc>
        <w:tc>
          <w:tcPr>
            <w:tcW w:w="945" w:type="dxa"/>
            <w:gridSpan w:val="2"/>
            <w:noWrap w:val="0"/>
            <w:vAlign w:val="center"/>
          </w:tcPr>
          <w:p w14:paraId="26A767ED">
            <w:pPr>
              <w:widowControl/>
              <w:wordWrap w:val="0"/>
              <w:spacing w:line="400" w:lineRule="exact"/>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分值</w:t>
            </w:r>
          </w:p>
        </w:tc>
      </w:tr>
      <w:tr w14:paraId="4B88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dxa"/>
            <w:noWrap w:val="0"/>
            <w:vAlign w:val="center"/>
          </w:tcPr>
          <w:p w14:paraId="039E3C80">
            <w:pPr>
              <w:widowControl/>
              <w:wordWrap w:val="0"/>
              <w:spacing w:line="4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575" w:type="dxa"/>
            <w:noWrap w:val="0"/>
            <w:vAlign w:val="center"/>
          </w:tcPr>
          <w:p w14:paraId="10ABAEDC">
            <w:pPr>
              <w:widowControl/>
              <w:wordWrap w:val="0"/>
              <w:spacing w:line="4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价格分</w:t>
            </w:r>
          </w:p>
        </w:tc>
        <w:tc>
          <w:tcPr>
            <w:tcW w:w="6986" w:type="dxa"/>
            <w:noWrap w:val="0"/>
            <w:vAlign w:val="top"/>
          </w:tcPr>
          <w:p w14:paraId="46A4B628">
            <w:pPr>
              <w:keepNext w:val="0"/>
              <w:keepLines w:val="0"/>
              <w:pageBreakBefore w:val="0"/>
              <w:kinsoku/>
              <w:wordWrap/>
              <w:overflowPunct/>
              <w:topLinePunct w:val="0"/>
              <w:bidi w:val="0"/>
              <w:snapToGrid/>
              <w:spacing w:line="440" w:lineRule="exact"/>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w:t>
            </w:r>
            <w:r>
              <w:rPr>
                <w:rFonts w:hint="eastAsia" w:ascii="宋体" w:hAnsi="宋体" w:cs="宋体"/>
                <w:color w:val="auto"/>
                <w:sz w:val="21"/>
                <w:szCs w:val="21"/>
                <w:highlight w:val="none"/>
              </w:rPr>
              <w:t>政策性扣除计算方法</w:t>
            </w:r>
          </w:p>
          <w:p w14:paraId="4855B9A9">
            <w:pPr>
              <w:keepNext w:val="0"/>
              <w:keepLines w:val="0"/>
              <w:pageBreakBefore w:val="0"/>
              <w:kinsoku/>
              <w:wordWrap/>
              <w:overflowPunct/>
              <w:topLinePunct w:val="0"/>
              <w:bidi w:val="0"/>
              <w:snapToGrid/>
              <w:spacing w:line="44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 xml:space="preserve">)按照《政府采购促进中小企业发展管理办法》(财库 </w:t>
            </w:r>
          </w:p>
          <w:p w14:paraId="77E7E123">
            <w:pPr>
              <w:keepNext w:val="0"/>
              <w:keepLines w:val="0"/>
              <w:pageBreakBefore w:val="0"/>
              <w:kinsoku/>
              <w:wordWrap/>
              <w:overflowPunct/>
              <w:topLinePunct w:val="0"/>
              <w:bidi w:val="0"/>
              <w:snapToGrid/>
              <w:spacing w:line="440" w:lineRule="exac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〔2020〕46号)、《财政部关于进一步加大政府采购支持中小企业力度的通知》(财库〔2022〕19 号)的规定，</w:t>
            </w:r>
            <w:r>
              <w:rPr>
                <w:rFonts w:hint="eastAsia" w:ascii="宋体" w:hAnsi="宋体" w:cs="宋体"/>
                <w:bCs/>
                <w:color w:val="auto"/>
                <w:sz w:val="21"/>
                <w:szCs w:val="21"/>
                <w:highlight w:val="none"/>
                <w:lang w:val="en-US" w:eastAsia="zh-CN"/>
              </w:rPr>
              <w:t>竞标</w:t>
            </w:r>
            <w:r>
              <w:rPr>
                <w:rFonts w:hint="eastAsia" w:ascii="宋体" w:hAnsi="宋体" w:eastAsia="宋体" w:cs="宋体"/>
                <w:bCs/>
                <w:color w:val="auto"/>
                <w:sz w:val="21"/>
                <w:szCs w:val="21"/>
                <w:highlight w:val="none"/>
                <w:lang w:val="en-US" w:eastAsia="zh-CN"/>
              </w:rPr>
              <w:t>人在其</w:t>
            </w:r>
            <w:r>
              <w:rPr>
                <w:rFonts w:hint="eastAsia" w:ascii="宋体" w:hAnsi="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en-US" w:eastAsia="zh-CN"/>
              </w:rPr>
              <w:t xml:space="preserve">文件中提供《中小企业声明函》，且其投标产品全部为小型和微型企业产品的，对其最后报价给予20%的扣除。 </w:t>
            </w:r>
          </w:p>
          <w:p w14:paraId="78BEFBF9">
            <w:pPr>
              <w:keepNext w:val="0"/>
              <w:keepLines w:val="0"/>
              <w:pageBreakBefore w:val="0"/>
              <w:kinsoku/>
              <w:wordWrap/>
              <w:overflowPunct/>
              <w:topLinePunct w:val="0"/>
              <w:bidi w:val="0"/>
              <w:snapToGrid/>
              <w:spacing w:line="44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 xml:space="preserve">)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 </w:t>
            </w:r>
          </w:p>
          <w:p w14:paraId="42E5CAD9">
            <w:pPr>
              <w:keepNext w:val="0"/>
              <w:keepLines w:val="0"/>
              <w:pageBreakBefore w:val="0"/>
              <w:kinsoku/>
              <w:wordWrap/>
              <w:overflowPunct/>
              <w:topLinePunct w:val="0"/>
              <w:bidi w:val="0"/>
              <w:snapToGrid/>
              <w:spacing w:line="44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en-US" w:eastAsia="zh-CN"/>
              </w:rPr>
              <w:t xml:space="preserve">)按照《关于促进残疾人就业政府采购政策的通知》(财 </w:t>
            </w:r>
          </w:p>
          <w:p w14:paraId="3E140A89">
            <w:pPr>
              <w:keepNext w:val="0"/>
              <w:keepLines w:val="0"/>
              <w:pageBreakBefore w:val="0"/>
              <w:kinsoku/>
              <w:wordWrap/>
              <w:overflowPunct/>
              <w:topLinePunct w:val="0"/>
              <w:bidi w:val="0"/>
              <w:snapToGrid/>
              <w:spacing w:line="440" w:lineRule="exac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库〔2017〕141号)的规定，残疾人福利性单位视同小型、微型 </w:t>
            </w:r>
          </w:p>
          <w:p w14:paraId="00F84BF4">
            <w:pPr>
              <w:keepNext w:val="0"/>
              <w:keepLines w:val="0"/>
              <w:pageBreakBefore w:val="0"/>
              <w:kinsoku/>
              <w:wordWrap/>
              <w:overflowPunct/>
              <w:topLinePunct w:val="0"/>
              <w:bidi w:val="0"/>
              <w:snapToGrid/>
              <w:spacing w:line="440" w:lineRule="exac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 </w:t>
            </w:r>
          </w:p>
          <w:p w14:paraId="13AC0A78">
            <w:pPr>
              <w:keepNext w:val="0"/>
              <w:keepLines w:val="0"/>
              <w:pageBreakBefore w:val="0"/>
              <w:numPr>
                <w:ilvl w:val="0"/>
                <w:numId w:val="0"/>
              </w:numPr>
              <w:kinsoku/>
              <w:wordWrap/>
              <w:overflowPunct/>
              <w:topLinePunct w:val="0"/>
              <w:bidi w:val="0"/>
              <w:snapToGrid/>
              <w:spacing w:line="44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政策性扣除计算方法。在货物采购项目中，投标人投标全部货物由小型和微型企业制造；对符合上述要求的投标人的投标报价给予20%的扣除，扣除后的价格为评标报价，即评标报价</w:t>
            </w:r>
            <w:r>
              <w:rPr>
                <w:rFonts w:hint="eastAsia" w:ascii="宋体" w:hAnsi="宋体" w:cs="宋体"/>
                <w:bCs/>
                <w:color w:val="auto"/>
                <w:sz w:val="21"/>
                <w:szCs w:val="21"/>
                <w:highlight w:val="none"/>
                <w:lang w:val="en-US" w:eastAsia="zh-CN"/>
              </w:rPr>
              <w:t>最后</w:t>
            </w:r>
            <w:r>
              <w:rPr>
                <w:rFonts w:hint="eastAsia" w:ascii="宋体" w:hAnsi="宋体" w:eastAsia="宋体" w:cs="宋体"/>
                <w:bCs/>
                <w:color w:val="auto"/>
                <w:sz w:val="21"/>
                <w:szCs w:val="21"/>
                <w:highlight w:val="none"/>
                <w:lang w:val="en-US" w:eastAsia="zh-CN"/>
              </w:rPr>
              <w:t>报价×(1-20%)。允许大中型企业向一家或者多家小微企业分包的采购项目，分包意向协议约定小微企业的合同份额占到合同总金额30%以上的，采购人、采购代理机构应当对大中型企业的报价给予4%(范围为4%-6%)的扣除，用扣除后的价格参加评审，扣除后的价格为</w:t>
            </w:r>
            <w:r>
              <w:rPr>
                <w:rFonts w:hint="eastAsia" w:ascii="宋体" w:hAnsi="宋体" w:cs="宋体"/>
                <w:bCs/>
                <w:color w:val="auto"/>
                <w:sz w:val="21"/>
                <w:szCs w:val="21"/>
                <w:highlight w:val="none"/>
                <w:lang w:val="en-US" w:eastAsia="zh-CN"/>
              </w:rPr>
              <w:t>评审</w:t>
            </w:r>
            <w:r>
              <w:rPr>
                <w:rFonts w:hint="eastAsia" w:ascii="宋体" w:hAnsi="宋体" w:eastAsia="宋体" w:cs="宋体"/>
                <w:bCs/>
                <w:color w:val="auto"/>
                <w:sz w:val="21"/>
                <w:szCs w:val="21"/>
                <w:highlight w:val="none"/>
                <w:lang w:val="en-US" w:eastAsia="zh-CN"/>
              </w:rPr>
              <w:t>报价，即</w:t>
            </w:r>
            <w:r>
              <w:rPr>
                <w:rFonts w:hint="eastAsia" w:ascii="宋体" w:hAnsi="宋体" w:cs="宋体"/>
                <w:bCs/>
                <w:color w:val="auto"/>
                <w:sz w:val="21"/>
                <w:szCs w:val="21"/>
                <w:highlight w:val="none"/>
                <w:lang w:val="en-US" w:eastAsia="zh-CN"/>
              </w:rPr>
              <w:t>评审</w:t>
            </w:r>
            <w:r>
              <w:rPr>
                <w:rFonts w:hint="eastAsia" w:ascii="宋体" w:hAnsi="宋体" w:eastAsia="宋体" w:cs="宋体"/>
                <w:bCs/>
                <w:color w:val="auto"/>
                <w:sz w:val="21"/>
                <w:szCs w:val="21"/>
                <w:highlight w:val="none"/>
                <w:lang w:val="en-US" w:eastAsia="zh-CN"/>
              </w:rPr>
              <w:t>报价=</w:t>
            </w:r>
            <w:r>
              <w:rPr>
                <w:rFonts w:hint="eastAsia" w:ascii="宋体" w:hAnsi="宋体" w:cs="宋体"/>
                <w:bCs/>
                <w:color w:val="auto"/>
                <w:sz w:val="21"/>
                <w:szCs w:val="21"/>
                <w:highlight w:val="none"/>
                <w:lang w:val="en-US" w:eastAsia="zh-CN"/>
              </w:rPr>
              <w:t>最后</w:t>
            </w:r>
            <w:r>
              <w:rPr>
                <w:rFonts w:hint="eastAsia" w:ascii="宋体" w:hAnsi="宋体" w:eastAsia="宋体" w:cs="宋体"/>
                <w:bCs/>
                <w:color w:val="auto"/>
                <w:sz w:val="21"/>
                <w:szCs w:val="21"/>
                <w:highlight w:val="none"/>
                <w:lang w:val="en-US" w:eastAsia="zh-CN"/>
              </w:rPr>
              <w:t>报价(1-4%)。</w:t>
            </w:r>
          </w:p>
          <w:p w14:paraId="14E49F6C">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除上述情况外，</w:t>
            </w:r>
            <w:r>
              <w:rPr>
                <w:rFonts w:hint="eastAsia" w:ascii="宋体" w:hAnsi="宋体" w:eastAsia="宋体" w:cs="宋体"/>
                <w:b w:val="0"/>
                <w:bCs/>
                <w:color w:val="auto"/>
                <w:sz w:val="21"/>
                <w:szCs w:val="21"/>
                <w:highlight w:val="none"/>
              </w:rPr>
              <w:t>评审价＝最后报价。</w:t>
            </w:r>
          </w:p>
          <w:p w14:paraId="3D99F694">
            <w:pPr>
              <w:keepNext w:val="0"/>
              <w:keepLines w:val="0"/>
              <w:pageBreakBefore w:val="0"/>
              <w:kinsoku/>
              <w:wordWrap/>
              <w:overflowPunct/>
              <w:topLinePunct w:val="0"/>
              <w:bidi w:val="0"/>
              <w:snapToGrid/>
              <w:spacing w:line="44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r>
              <w:rPr>
                <w:rFonts w:hint="eastAsia" w:ascii="宋体" w:hAnsi="宋体" w:cs="宋体"/>
                <w:bCs/>
                <w:color w:val="auto"/>
                <w:sz w:val="21"/>
                <w:szCs w:val="21"/>
                <w:highlight w:val="none"/>
                <w:lang w:val="en-US" w:eastAsia="zh-CN"/>
              </w:rPr>
              <w:t>评审</w:t>
            </w:r>
            <w:r>
              <w:rPr>
                <w:rFonts w:hint="eastAsia" w:ascii="宋体" w:hAnsi="宋体" w:eastAsia="宋体" w:cs="宋体"/>
                <w:bCs/>
                <w:color w:val="auto"/>
                <w:sz w:val="21"/>
                <w:szCs w:val="21"/>
                <w:highlight w:val="none"/>
                <w:lang w:val="en-US" w:eastAsia="zh-CN"/>
              </w:rPr>
              <w:t>报价为</w:t>
            </w: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val="en-US" w:eastAsia="zh-CN"/>
              </w:rPr>
              <w:t>的</w:t>
            </w:r>
            <w:r>
              <w:rPr>
                <w:rFonts w:hint="eastAsia" w:ascii="宋体" w:hAnsi="宋体" w:cs="宋体"/>
                <w:bCs/>
                <w:color w:val="auto"/>
                <w:sz w:val="21"/>
                <w:szCs w:val="21"/>
                <w:highlight w:val="none"/>
                <w:lang w:val="en-US" w:eastAsia="zh-CN"/>
              </w:rPr>
              <w:t>最后</w:t>
            </w:r>
            <w:r>
              <w:rPr>
                <w:rFonts w:hint="eastAsia" w:ascii="宋体" w:hAnsi="宋体" w:eastAsia="宋体" w:cs="宋体"/>
                <w:bCs/>
                <w:color w:val="auto"/>
                <w:sz w:val="21"/>
                <w:szCs w:val="21"/>
                <w:highlight w:val="none"/>
                <w:lang w:val="en-US" w:eastAsia="zh-CN"/>
              </w:rPr>
              <w:t>报价进行政策性扣除后的价格，</w:t>
            </w:r>
            <w:r>
              <w:rPr>
                <w:rFonts w:hint="eastAsia" w:ascii="宋体" w:hAnsi="宋体" w:cs="宋体"/>
                <w:bCs/>
                <w:color w:val="auto"/>
                <w:sz w:val="21"/>
                <w:szCs w:val="21"/>
                <w:highlight w:val="none"/>
                <w:lang w:val="en-US" w:eastAsia="zh-CN"/>
              </w:rPr>
              <w:t>评审</w:t>
            </w:r>
            <w:r>
              <w:rPr>
                <w:rFonts w:hint="eastAsia" w:ascii="宋体" w:hAnsi="宋体" w:eastAsia="宋体" w:cs="宋体"/>
                <w:bCs/>
                <w:color w:val="auto"/>
                <w:sz w:val="21"/>
                <w:szCs w:val="21"/>
                <w:highlight w:val="none"/>
                <w:lang w:val="en-US" w:eastAsia="zh-CN"/>
              </w:rPr>
              <w:t>报价只是作为</w:t>
            </w:r>
            <w:r>
              <w:rPr>
                <w:rFonts w:hint="eastAsia" w:ascii="宋体" w:hAnsi="宋体" w:cs="宋体"/>
                <w:bCs/>
                <w:color w:val="auto"/>
                <w:sz w:val="21"/>
                <w:szCs w:val="21"/>
                <w:highlight w:val="none"/>
                <w:lang w:val="en-US" w:eastAsia="zh-CN"/>
              </w:rPr>
              <w:t>评审</w:t>
            </w:r>
            <w:r>
              <w:rPr>
                <w:rFonts w:hint="eastAsia" w:ascii="宋体" w:hAnsi="宋体" w:eastAsia="宋体" w:cs="宋体"/>
                <w:bCs/>
                <w:color w:val="auto"/>
                <w:sz w:val="21"/>
                <w:szCs w:val="21"/>
                <w:highlight w:val="none"/>
                <w:lang w:val="en-US" w:eastAsia="zh-CN"/>
              </w:rPr>
              <w:t>时使用。最终</w:t>
            </w:r>
            <w:r>
              <w:rPr>
                <w:rFonts w:hint="eastAsia" w:ascii="宋体" w:hAnsi="宋体" w:cs="宋体"/>
                <w:bCs/>
                <w:color w:val="auto"/>
                <w:sz w:val="21"/>
                <w:szCs w:val="21"/>
                <w:highlight w:val="none"/>
                <w:lang w:val="en-US" w:eastAsia="zh-CN"/>
              </w:rPr>
              <w:t>成交</w:t>
            </w:r>
            <w:r>
              <w:rPr>
                <w:rFonts w:hint="eastAsia" w:ascii="宋体" w:hAnsi="宋体" w:eastAsia="宋体" w:cs="宋体"/>
                <w:bCs/>
                <w:color w:val="auto"/>
                <w:sz w:val="21"/>
                <w:szCs w:val="21"/>
                <w:highlight w:val="none"/>
                <w:lang w:val="en-US" w:eastAsia="zh-CN"/>
              </w:rPr>
              <w:t>人的</w:t>
            </w:r>
            <w:r>
              <w:rPr>
                <w:rFonts w:hint="eastAsia" w:ascii="宋体" w:hAnsi="宋体" w:cs="宋体"/>
                <w:bCs/>
                <w:color w:val="auto"/>
                <w:sz w:val="21"/>
                <w:szCs w:val="21"/>
                <w:highlight w:val="none"/>
                <w:lang w:val="en-US" w:eastAsia="zh-CN"/>
              </w:rPr>
              <w:t>成交</w:t>
            </w:r>
            <w:r>
              <w:rPr>
                <w:rFonts w:hint="eastAsia" w:ascii="宋体" w:hAnsi="宋体" w:eastAsia="宋体" w:cs="宋体"/>
                <w:bCs/>
                <w:color w:val="auto"/>
                <w:sz w:val="21"/>
                <w:szCs w:val="21"/>
                <w:highlight w:val="none"/>
                <w:lang w:val="en-US" w:eastAsia="zh-CN"/>
              </w:rPr>
              <w:t>金额等于</w:t>
            </w:r>
            <w:r>
              <w:rPr>
                <w:rFonts w:hint="eastAsia" w:ascii="宋体" w:hAnsi="宋体" w:cs="宋体"/>
                <w:bCs/>
                <w:color w:val="auto"/>
                <w:sz w:val="21"/>
                <w:szCs w:val="21"/>
                <w:highlight w:val="none"/>
                <w:lang w:val="en-US" w:eastAsia="zh-CN"/>
              </w:rPr>
              <w:t>最后</w:t>
            </w:r>
            <w:r>
              <w:rPr>
                <w:rFonts w:hint="eastAsia" w:ascii="宋体" w:hAnsi="宋体" w:eastAsia="宋体" w:cs="宋体"/>
                <w:bCs/>
                <w:color w:val="auto"/>
                <w:sz w:val="21"/>
                <w:szCs w:val="21"/>
                <w:highlight w:val="none"/>
                <w:lang w:val="en-US" w:eastAsia="zh-CN"/>
              </w:rPr>
              <w:t xml:space="preserve">报价。 </w:t>
            </w:r>
          </w:p>
          <w:p w14:paraId="7565EFAE">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以进入比较与评价环节的最低的评审报价为基准价，基准价得分为</w:t>
            </w:r>
            <w:r>
              <w:rPr>
                <w:rFonts w:hint="eastAsia" w:ascii="宋体" w:hAnsi="宋体" w:cs="宋体"/>
                <w:bCs/>
                <w:color w:val="auto"/>
                <w:sz w:val="21"/>
                <w:szCs w:val="21"/>
                <w:highlight w:val="none"/>
                <w:lang w:val="en-US" w:eastAsia="zh-CN"/>
              </w:rPr>
              <w:t>30</w:t>
            </w:r>
            <w:r>
              <w:rPr>
                <w:rFonts w:hint="eastAsia" w:ascii="宋体" w:hAnsi="宋体" w:cs="宋体"/>
                <w:bCs/>
                <w:color w:val="auto"/>
                <w:sz w:val="21"/>
                <w:szCs w:val="21"/>
                <w:highlight w:val="none"/>
              </w:rPr>
              <w:t>分。</w:t>
            </w:r>
          </w:p>
          <w:p w14:paraId="6EBDB7E2">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lang w:val="en-US" w:eastAsia="zh-CN"/>
              </w:rPr>
              <w:t>4、</w:t>
            </w:r>
            <w:r>
              <w:rPr>
                <w:rFonts w:hint="eastAsia" w:ascii="宋体" w:hAnsi="宋体" w:cs="宋体"/>
                <w:bCs/>
                <w:color w:val="auto"/>
                <w:sz w:val="21"/>
                <w:szCs w:val="21"/>
                <w:highlight w:val="none"/>
              </w:rPr>
              <w:t>价格分计算公式：</w:t>
            </w:r>
          </w:p>
          <w:p w14:paraId="4BD58B00">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rPr>
              <w:t>报价得分=（基准价/最后报价）×</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0分</w:t>
            </w:r>
          </w:p>
          <w:p w14:paraId="14F1B8B4">
            <w:pPr>
              <w:wordWrap w:val="0"/>
              <w:adjustRightInd w:val="0"/>
              <w:spacing w:line="400" w:lineRule="exact"/>
              <w:ind w:firstLine="420" w:firstLineChars="200"/>
              <w:rPr>
                <w:rFonts w:hint="eastAsia" w:ascii="宋体" w:hAnsi="宋体" w:cs="宋体"/>
                <w:color w:val="auto"/>
                <w:sz w:val="21"/>
                <w:szCs w:val="21"/>
                <w:highlight w:val="none"/>
              </w:rPr>
            </w:pPr>
            <w:r>
              <w:rPr>
                <w:rFonts w:hint="eastAsia"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为了确保采购项目的完成质量和维护公平的竞争及合同的正常履行，根据《中华人民共和国财政部第87号令》第六十条的规定,</w:t>
            </w:r>
            <w:r>
              <w:rPr>
                <w:rFonts w:hint="eastAsia" w:ascii="宋体" w:hAnsi="宋体" w:cs="宋体"/>
                <w:color w:val="auto"/>
                <w:sz w:val="21"/>
                <w:szCs w:val="21"/>
                <w:highlight w:val="none"/>
              </w:rPr>
              <w:t>磋商小组认为磋商人的报价明显低于其他通过符合性审查磋商人的报价或者明显低于最高限价，有可能影响产品质量或者不能诚信履约的，应当要求其在评标现场合理的时间内提供书面说明，必要时提交相关证明材料；磋商人不能证明其报价合理性的，磋商小组应当将其作为无效响应处理。</w:t>
            </w:r>
          </w:p>
        </w:tc>
        <w:tc>
          <w:tcPr>
            <w:tcW w:w="945" w:type="dxa"/>
            <w:gridSpan w:val="2"/>
            <w:noWrap w:val="0"/>
            <w:vAlign w:val="center"/>
          </w:tcPr>
          <w:p w14:paraId="191FA5DC">
            <w:pPr>
              <w:widowControl/>
              <w:wordWrap w:val="0"/>
              <w:spacing w:line="4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w:t>
            </w:r>
          </w:p>
        </w:tc>
      </w:tr>
      <w:tr w14:paraId="1A0C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dxa"/>
            <w:noWrap w:val="0"/>
            <w:vAlign w:val="center"/>
          </w:tcPr>
          <w:p w14:paraId="461CF84D">
            <w:pPr>
              <w:wordWrap w:val="0"/>
              <w:adjustRightInd w:val="0"/>
              <w:spacing w:line="400" w:lineRule="exact"/>
              <w:ind w:left="-105" w:leftChars="-50" w:right="-105" w:rightChars="-50"/>
              <w:jc w:val="center"/>
              <w:textAlignment w:val="baseline"/>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w:t>
            </w:r>
          </w:p>
        </w:tc>
        <w:tc>
          <w:tcPr>
            <w:tcW w:w="1575" w:type="dxa"/>
            <w:noWrap w:val="0"/>
            <w:vAlign w:val="center"/>
          </w:tcPr>
          <w:p w14:paraId="37F97297">
            <w:pPr>
              <w:wordWrap w:val="0"/>
              <w:spacing w:line="400" w:lineRule="exact"/>
              <w:jc w:val="center"/>
              <w:textAlignment w:val="baseline"/>
              <w:rPr>
                <w:rFonts w:hint="eastAsia" w:ascii="宋体" w:hAnsi="宋体" w:cs="宋体"/>
                <w:b/>
                <w:color w:val="auto"/>
                <w:sz w:val="21"/>
                <w:szCs w:val="21"/>
                <w:highlight w:val="none"/>
              </w:rPr>
            </w:pPr>
            <w:r>
              <w:rPr>
                <w:rFonts w:hint="eastAsia" w:ascii="宋体" w:hAnsi="宋体" w:cs="宋体"/>
                <w:b/>
                <w:color w:val="auto"/>
                <w:sz w:val="21"/>
                <w:szCs w:val="21"/>
                <w:highlight w:val="none"/>
              </w:rPr>
              <w:t>技术指标</w:t>
            </w:r>
          </w:p>
        </w:tc>
        <w:tc>
          <w:tcPr>
            <w:tcW w:w="6991" w:type="dxa"/>
            <w:gridSpan w:val="2"/>
            <w:noWrap w:val="0"/>
            <w:vAlign w:val="center"/>
          </w:tcPr>
          <w:p w14:paraId="65084978">
            <w:pPr>
              <w:wordWrap w:val="0"/>
              <w:spacing w:line="400" w:lineRule="exact"/>
              <w:jc w:val="center"/>
              <w:rPr>
                <w:rFonts w:hint="eastAsia" w:ascii="宋体" w:hAnsi="宋体" w:cs="宋体"/>
                <w:b/>
                <w:color w:val="auto"/>
                <w:kern w:val="0"/>
                <w:sz w:val="21"/>
                <w:szCs w:val="21"/>
                <w:highlight w:val="none"/>
              </w:rPr>
            </w:pPr>
            <w:r>
              <w:rPr>
                <w:rFonts w:hint="eastAsia" w:ascii="宋体" w:hAnsi="宋体" w:cs="宋体"/>
                <w:b/>
                <w:color w:val="auto"/>
                <w:sz w:val="21"/>
                <w:szCs w:val="21"/>
                <w:highlight w:val="none"/>
              </w:rPr>
              <w:t>评审因素</w:t>
            </w:r>
          </w:p>
        </w:tc>
        <w:tc>
          <w:tcPr>
            <w:tcW w:w="940" w:type="dxa"/>
            <w:noWrap w:val="0"/>
            <w:vAlign w:val="center"/>
          </w:tcPr>
          <w:p w14:paraId="7BEFC325">
            <w:pPr>
              <w:wordWrap w:val="0"/>
              <w:spacing w:line="400" w:lineRule="exact"/>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70分</w:t>
            </w:r>
          </w:p>
        </w:tc>
      </w:tr>
      <w:tr w14:paraId="1604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dxa"/>
            <w:noWrap w:val="0"/>
            <w:vAlign w:val="center"/>
          </w:tcPr>
          <w:p w14:paraId="5BA74FE0">
            <w:pPr>
              <w:wordWrap w:val="0"/>
              <w:adjustRightInd w:val="0"/>
              <w:spacing w:line="400" w:lineRule="exact"/>
              <w:ind w:left="-105" w:leftChars="-50" w:right="-105" w:rightChars="-50"/>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 w:val="21"/>
                <w:szCs w:val="21"/>
                <w:highlight w:val="none"/>
              </w:rPr>
              <w:t>2.1</w:t>
            </w:r>
          </w:p>
        </w:tc>
        <w:tc>
          <w:tcPr>
            <w:tcW w:w="1575" w:type="dxa"/>
            <w:noWrap w:val="0"/>
            <w:vAlign w:val="center"/>
          </w:tcPr>
          <w:p w14:paraId="5E42EE9F">
            <w:pPr>
              <w:wordWrap w:val="0"/>
              <w:spacing w:line="400" w:lineRule="exact"/>
              <w:jc w:val="center"/>
              <w:textAlignment w:val="baseline"/>
              <w:rPr>
                <w:rFonts w:hint="eastAsia" w:ascii="宋体" w:hAnsi="宋体" w:eastAsia="宋体" w:cs="宋体"/>
                <w:bCs/>
                <w:color w:val="auto"/>
                <w:kern w:val="0"/>
                <w:sz w:val="21"/>
                <w:szCs w:val="21"/>
                <w:highlight w:val="none"/>
                <w:lang w:eastAsia="zh-CN"/>
              </w:rPr>
            </w:pPr>
            <w:r>
              <w:rPr>
                <w:rFonts w:ascii="宋体" w:hAnsi="宋体"/>
                <w:color w:val="auto"/>
                <w:sz w:val="21"/>
                <w:szCs w:val="21"/>
                <w:highlight w:val="none"/>
              </w:rPr>
              <w:t>技术参数</w:t>
            </w:r>
            <w:r>
              <w:rPr>
                <w:rFonts w:hint="eastAsia" w:ascii="宋体" w:hAnsi="宋体"/>
                <w:color w:val="auto"/>
                <w:sz w:val="21"/>
                <w:szCs w:val="21"/>
                <w:highlight w:val="none"/>
                <w:lang w:val="en-US" w:eastAsia="zh-CN"/>
              </w:rPr>
              <w:t>分</w:t>
            </w:r>
          </w:p>
        </w:tc>
        <w:tc>
          <w:tcPr>
            <w:tcW w:w="6986" w:type="dxa"/>
            <w:noWrap w:val="0"/>
            <w:vAlign w:val="center"/>
          </w:tcPr>
          <w:p w14:paraId="6EBD5D4C">
            <w:pPr>
              <w:pStyle w:val="30"/>
              <w:keepNext w:val="0"/>
              <w:keepLines w:val="0"/>
              <w:pageBreakBefore w:val="0"/>
              <w:kinsoku/>
              <w:wordWrap/>
              <w:overflowPunct/>
              <w:topLinePunct w:val="0"/>
              <w:bidi w:val="0"/>
              <w:adjustRightInd/>
              <w:snapToGrid/>
              <w:spacing w:line="360" w:lineRule="exact"/>
              <w:ind w:firstLine="422" w:firstLineChars="200"/>
              <w:jc w:val="both"/>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由磋商小组根据竞标人所投</w:t>
            </w:r>
            <w:r>
              <w:rPr>
                <w:rFonts w:hint="eastAsia" w:hAnsi="宋体" w:cs="宋体"/>
                <w:b/>
                <w:bCs/>
                <w:color w:val="auto"/>
                <w:sz w:val="21"/>
                <w:szCs w:val="21"/>
                <w:highlight w:val="none"/>
                <w:lang w:val="en-US" w:eastAsia="zh-CN"/>
              </w:rPr>
              <w:t>产品</w:t>
            </w:r>
            <w:r>
              <w:rPr>
                <w:rFonts w:hint="eastAsia" w:ascii="宋体" w:hAnsi="宋体" w:cs="宋体"/>
                <w:b/>
                <w:bCs/>
                <w:color w:val="auto"/>
                <w:sz w:val="21"/>
                <w:szCs w:val="21"/>
                <w:highlight w:val="none"/>
              </w:rPr>
              <w:t>的技术参数、性能等因素综合打分。如磋商小组认为技术参数为某一品牌特有或其它限制性要求的，将不作为实质性响应条件，不作无效投标处理，也不扣分。</w:t>
            </w:r>
          </w:p>
          <w:p w14:paraId="25DCF3D7">
            <w:pPr>
              <w:keepNext w:val="0"/>
              <w:keepLines w:val="0"/>
              <w:pageBreakBefore w:val="0"/>
              <w:kinsoku/>
              <w:wordWrap/>
              <w:overflowPunct/>
              <w:topLinePunct w:val="0"/>
              <w:bidi w:val="0"/>
              <w:adjustRightInd w:val="0"/>
              <w:spacing w:line="440" w:lineRule="exact"/>
              <w:ind w:firstLine="420" w:firstLineChars="200"/>
              <w:textAlignment w:val="baseline"/>
              <w:rPr>
                <w:rFonts w:hint="eastAsia" w:ascii="宋体" w:hAnsi="宋体" w:eastAsia="宋体" w:cs="宋体"/>
                <w:color w:val="auto"/>
                <w:sz w:val="21"/>
                <w:szCs w:val="21"/>
                <w:highlight w:val="none"/>
                <w:lang w:val="en-US" w:eastAsia="zh-CN"/>
              </w:rPr>
            </w:pPr>
            <w:r>
              <w:rPr>
                <w:rFonts w:hint="eastAsia" w:ascii="宋体" w:hAnsi="宋体"/>
                <w:color w:val="auto"/>
                <w:sz w:val="21"/>
                <w:szCs w:val="21"/>
                <w:highlight w:val="none"/>
                <w:lang w:val="en-US" w:eastAsia="zh-CN"/>
              </w:rPr>
              <w:t>标有</w:t>
            </w:r>
            <w:r>
              <w:rPr>
                <w:rFonts w:ascii="宋体" w:hAnsi="宋体"/>
                <w:color w:val="auto"/>
                <w:sz w:val="21"/>
                <w:szCs w:val="21"/>
                <w:highlight w:val="none"/>
              </w:rPr>
              <w:t>“</w:t>
            </w:r>
            <w:r>
              <w:rPr>
                <w:rFonts w:hint="eastAsia" w:ascii="宋体" w:hAnsi="宋体"/>
                <w:color w:val="auto"/>
                <w:sz w:val="21"/>
                <w:szCs w:val="21"/>
                <w:highlight w:val="none"/>
                <w:lang w:eastAsia="zh-CN"/>
              </w:rPr>
              <w:t>▲</w:t>
            </w:r>
            <w:r>
              <w:rPr>
                <w:rFonts w:ascii="宋体" w:hAnsi="宋体"/>
                <w:color w:val="auto"/>
                <w:sz w:val="21"/>
                <w:szCs w:val="21"/>
                <w:highlight w:val="none"/>
              </w:rPr>
              <w:t>”</w:t>
            </w:r>
            <w:r>
              <w:rPr>
                <w:rFonts w:hint="eastAsia" w:ascii="宋体" w:hAnsi="宋体"/>
                <w:color w:val="auto"/>
                <w:sz w:val="21"/>
                <w:szCs w:val="21"/>
                <w:highlight w:val="none"/>
                <w:lang w:val="en-US" w:eastAsia="zh-CN"/>
              </w:rPr>
              <w:t>的</w:t>
            </w:r>
            <w:r>
              <w:rPr>
                <w:rFonts w:hint="eastAsia" w:ascii="宋体" w:hAnsi="宋体" w:cs="宋体"/>
                <w:color w:val="auto"/>
                <w:sz w:val="21"/>
                <w:szCs w:val="21"/>
                <w:highlight w:val="none"/>
                <w:lang w:val="en-US" w:eastAsia="zh-CN"/>
              </w:rPr>
              <w:t>技术参数</w:t>
            </w:r>
            <w:r>
              <w:rPr>
                <w:rFonts w:hint="eastAsia" w:ascii="宋体" w:hAnsi="宋体" w:cs="宋体"/>
                <w:color w:val="auto"/>
                <w:sz w:val="21"/>
                <w:szCs w:val="21"/>
                <w:highlight w:val="none"/>
              </w:rPr>
              <w:t>为实质性内容要求，磋商时必须满足，否则磋商无效</w:t>
            </w:r>
            <w:r>
              <w:rPr>
                <w:rFonts w:hint="eastAsia" w:ascii="宋体" w:hAnsi="宋体" w:cs="宋体"/>
                <w:color w:val="auto"/>
                <w:sz w:val="21"/>
                <w:szCs w:val="21"/>
                <w:highlight w:val="none"/>
                <w:lang w:eastAsia="zh-CN"/>
              </w:rPr>
              <w:t>。</w:t>
            </w:r>
          </w:p>
          <w:p w14:paraId="56B0DF8F">
            <w:pPr>
              <w:keepNext w:val="0"/>
              <w:keepLines w:val="0"/>
              <w:pageBreakBefore w:val="0"/>
              <w:kinsoku/>
              <w:wordWrap/>
              <w:overflowPunct/>
              <w:topLinePunct w:val="0"/>
              <w:bidi w:val="0"/>
              <w:adjustRightInd w:val="0"/>
              <w:spacing w:line="440" w:lineRule="exact"/>
              <w:ind w:firstLine="420" w:firstLineChars="200"/>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竞争性磋商文件的技术参数中无负偏离的得40分。如出现负偏离按以下规则扣分，技术参数分扣到零分为止，本项不得负分，当本项得零分时不影响投标有效性。</w:t>
            </w:r>
          </w:p>
          <w:p w14:paraId="26776B35">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①</w:t>
            </w:r>
            <w:r>
              <w:rPr>
                <w:rFonts w:hint="eastAsia" w:ascii="宋体" w:hAnsi="宋体" w:eastAsia="宋体" w:cs="宋体"/>
                <w:color w:val="auto"/>
                <w:sz w:val="21"/>
                <w:szCs w:val="21"/>
                <w:highlight w:val="none"/>
                <w:lang w:val="en-US" w:eastAsia="zh-CN"/>
              </w:rPr>
              <w:t>标</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的技术参数</w:t>
            </w:r>
            <w:r>
              <w:rPr>
                <w:rFonts w:hint="eastAsia" w:ascii="宋体" w:hAnsi="宋体" w:cs="宋体"/>
                <w:color w:val="auto"/>
                <w:sz w:val="21"/>
                <w:szCs w:val="21"/>
                <w:highlight w:val="none"/>
                <w:lang w:val="en-US" w:eastAsia="zh-CN"/>
              </w:rPr>
              <w:t>每</w:t>
            </w:r>
            <w:r>
              <w:rPr>
                <w:rFonts w:hint="eastAsia" w:ascii="宋体" w:hAnsi="宋体" w:eastAsia="宋体" w:cs="宋体"/>
                <w:color w:val="auto"/>
                <w:sz w:val="21"/>
                <w:szCs w:val="21"/>
                <w:highlight w:val="none"/>
                <w:lang w:val="en-US" w:eastAsia="zh-CN"/>
              </w:rPr>
              <w:t>出现</w:t>
            </w:r>
            <w:r>
              <w:rPr>
                <w:rFonts w:hint="eastAsia" w:ascii="宋体" w:hAnsi="宋体" w:cs="宋体"/>
                <w:color w:val="auto"/>
                <w:sz w:val="21"/>
                <w:szCs w:val="21"/>
                <w:highlight w:val="none"/>
                <w:lang w:val="en-US" w:eastAsia="zh-CN"/>
              </w:rPr>
              <w:t>一项</w:t>
            </w:r>
            <w:r>
              <w:rPr>
                <w:rFonts w:hint="eastAsia" w:ascii="宋体" w:hAnsi="宋体" w:eastAsia="宋体" w:cs="宋体"/>
                <w:color w:val="auto"/>
                <w:sz w:val="21"/>
                <w:szCs w:val="21"/>
                <w:highlight w:val="none"/>
                <w:lang w:val="en-US" w:eastAsia="zh-CN"/>
              </w:rPr>
              <w:t>负偏离或漏项</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扣</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p w14:paraId="459B6842">
            <w:pPr>
              <w:wordWrap w:val="0"/>
              <w:adjustRightInd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②其他一般性技术参数（未标注</w:t>
            </w:r>
            <w:r>
              <w:rPr>
                <w:rFonts w:ascii="宋体" w:hAnsi="宋体"/>
                <w:color w:val="auto"/>
                <w:sz w:val="21"/>
                <w:szCs w:val="21"/>
                <w:highlight w:val="none"/>
              </w:rPr>
              <w:t>“</w:t>
            </w:r>
            <w:r>
              <w:rPr>
                <w:rFonts w:hint="eastAsia" w:ascii="宋体" w:hAnsi="宋体"/>
                <w:color w:val="auto"/>
                <w:sz w:val="21"/>
                <w:szCs w:val="21"/>
                <w:highlight w:val="none"/>
                <w:lang w:eastAsia="zh-CN"/>
              </w:rPr>
              <w:t>▲</w:t>
            </w:r>
            <w:r>
              <w:rPr>
                <w:rFonts w:ascii="宋体" w:hAnsi="宋体"/>
                <w:color w:val="auto"/>
                <w:sz w:val="21"/>
                <w:szCs w:val="21"/>
                <w:highlight w:val="none"/>
              </w:rPr>
              <w:t>”</w:t>
            </w:r>
            <w:r>
              <w:rPr>
                <w:rFonts w:hint="eastAsia" w:ascii="宋体" w:hAnsi="宋体"/>
                <w:color w:val="auto"/>
                <w:sz w:val="21"/>
                <w:szCs w:val="21"/>
                <w:highlight w:val="none"/>
                <w:lang w:val="en-US" w:eastAsia="zh-CN"/>
              </w:rPr>
              <w:t>或</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的技术参数）每</w:t>
            </w:r>
            <w:r>
              <w:rPr>
                <w:rFonts w:hint="eastAsia" w:ascii="宋体" w:hAnsi="宋体" w:eastAsia="宋体" w:cs="宋体"/>
                <w:color w:val="auto"/>
                <w:sz w:val="21"/>
                <w:szCs w:val="21"/>
                <w:highlight w:val="none"/>
                <w:lang w:val="en-US" w:eastAsia="zh-CN"/>
              </w:rPr>
              <w:t>出现</w:t>
            </w:r>
            <w:r>
              <w:rPr>
                <w:rFonts w:hint="eastAsia" w:ascii="宋体" w:hAnsi="宋体" w:cs="宋体"/>
                <w:color w:val="auto"/>
                <w:sz w:val="21"/>
                <w:szCs w:val="21"/>
                <w:highlight w:val="none"/>
                <w:lang w:val="en-US" w:eastAsia="zh-CN"/>
              </w:rPr>
              <w:t>一项</w:t>
            </w:r>
            <w:r>
              <w:rPr>
                <w:rFonts w:hint="eastAsia" w:ascii="宋体" w:hAnsi="宋体" w:eastAsia="宋体" w:cs="宋体"/>
                <w:color w:val="auto"/>
                <w:sz w:val="21"/>
                <w:szCs w:val="21"/>
                <w:highlight w:val="none"/>
                <w:lang w:val="en-US" w:eastAsia="zh-CN"/>
              </w:rPr>
              <w:t>负偏离或漏项</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扣1分</w:t>
            </w:r>
            <w:r>
              <w:rPr>
                <w:rFonts w:hint="eastAsia" w:ascii="宋体" w:hAnsi="宋体" w:cs="宋体"/>
                <w:color w:val="auto"/>
                <w:sz w:val="21"/>
                <w:szCs w:val="21"/>
                <w:highlight w:val="none"/>
                <w:lang w:val="en-US" w:eastAsia="zh-CN"/>
              </w:rPr>
              <w:t>。</w:t>
            </w:r>
          </w:p>
        </w:tc>
        <w:tc>
          <w:tcPr>
            <w:tcW w:w="945" w:type="dxa"/>
            <w:gridSpan w:val="2"/>
            <w:noWrap w:val="0"/>
            <w:vAlign w:val="center"/>
          </w:tcPr>
          <w:p w14:paraId="19FE27C5">
            <w:pPr>
              <w:wordWrap w:val="0"/>
              <w:spacing w:line="4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40</w:t>
            </w:r>
            <w:r>
              <w:rPr>
                <w:rFonts w:hint="eastAsia" w:ascii="宋体" w:hAnsi="宋体" w:cs="宋体"/>
                <w:color w:val="auto"/>
                <w:kern w:val="0"/>
                <w:sz w:val="21"/>
                <w:szCs w:val="21"/>
                <w:highlight w:val="none"/>
              </w:rPr>
              <w:t>分</w:t>
            </w:r>
          </w:p>
        </w:tc>
      </w:tr>
      <w:tr w14:paraId="29E1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dxa"/>
            <w:noWrap w:val="0"/>
            <w:vAlign w:val="center"/>
          </w:tcPr>
          <w:p w14:paraId="5ECC54C2">
            <w:pPr>
              <w:wordWrap w:val="0"/>
              <w:adjustRightInd w:val="0"/>
              <w:spacing w:line="400" w:lineRule="exact"/>
              <w:ind w:left="-105" w:leftChars="-50" w:right="-105" w:rightChars="-50"/>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 w:val="21"/>
                <w:szCs w:val="21"/>
                <w:highlight w:val="none"/>
              </w:rPr>
              <w:t>2.2</w:t>
            </w:r>
          </w:p>
        </w:tc>
        <w:tc>
          <w:tcPr>
            <w:tcW w:w="1575" w:type="dxa"/>
            <w:noWrap w:val="0"/>
            <w:vAlign w:val="center"/>
          </w:tcPr>
          <w:p w14:paraId="40B24DDC">
            <w:pPr>
              <w:wordWrap w:val="0"/>
              <w:spacing w:line="400" w:lineRule="exact"/>
              <w:jc w:val="center"/>
              <w:textAlignment w:val="baseline"/>
              <w:rPr>
                <w:rFonts w:hint="eastAsia" w:ascii="宋体" w:hAnsi="宋体" w:cs="宋体"/>
                <w:bCs/>
                <w:color w:val="auto"/>
                <w:sz w:val="21"/>
                <w:szCs w:val="21"/>
                <w:highlight w:val="none"/>
              </w:rPr>
            </w:pPr>
            <w:r>
              <w:rPr>
                <w:rFonts w:hint="eastAsia" w:ascii="宋体" w:hAnsi="宋体"/>
                <w:color w:val="auto"/>
                <w:sz w:val="21"/>
                <w:szCs w:val="21"/>
                <w:highlight w:val="none"/>
              </w:rPr>
              <w:t>整体建设方案</w:t>
            </w:r>
          </w:p>
        </w:tc>
        <w:tc>
          <w:tcPr>
            <w:tcW w:w="6986" w:type="dxa"/>
            <w:noWrap w:val="0"/>
            <w:vAlign w:val="center"/>
          </w:tcPr>
          <w:p w14:paraId="1E4B8904">
            <w:pPr>
              <w:spacing w:line="360" w:lineRule="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由磋商小组成员从供应商提供的整体建设方案内容进行独立打分。</w:t>
            </w:r>
          </w:p>
          <w:p w14:paraId="7EED750E">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1.一档（5分）：提供针对本项目的实施方案，对项目总体的理解程度基本符合项目要求，实施方案的质量保证措施描述简单、完工测试标准满足采购需求、安装调试及验收方案设置一般，可行性一般。</w:t>
            </w:r>
          </w:p>
          <w:p w14:paraId="469F3B8C">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二档（10分）：在满足上一档的基础上，提供的实施方案对项目实施及管理等方面有较详细描述，符合项目实际情况；项目实施方案切实可行，项目管理制度及方法严谨；质量保证措施描述比较完善、完工测试标准较好满足采购需求、安装调试验收方案设置良好，具备较好的可行性的。</w:t>
            </w:r>
          </w:p>
          <w:p w14:paraId="02AE7E43">
            <w:pPr>
              <w:spacing w:line="360" w:lineRule="auto"/>
              <w:rPr>
                <w:rFonts w:ascii="宋体" w:hAnsi="宋体"/>
                <w:color w:val="auto"/>
                <w:sz w:val="21"/>
                <w:szCs w:val="21"/>
                <w:highlight w:val="none"/>
              </w:rPr>
            </w:pPr>
            <w:r>
              <w:rPr>
                <w:rFonts w:hint="eastAsia" w:ascii="宋体" w:hAnsi="宋体"/>
                <w:color w:val="auto"/>
                <w:sz w:val="21"/>
                <w:szCs w:val="21"/>
                <w:highlight w:val="none"/>
                <w:lang w:val="en-US" w:eastAsia="zh-CN"/>
              </w:rPr>
              <w:t>3.三档（15分）：在满足上一档的基础上，质量保证措施描述规范科学，完工测试标准优于采购需求，安装调试验收方案设置完善，可行性高；项目实施方案提供详细的组织实施管理机构，项目小组成员职责分工明确责任到人，对项目的实施步骤均有明细说明，且可行性强；详细描述了项目功能的实现方式，技术方案可行；对系统架构及功能实现方式描述具体详细，思路清晰，技术方案实操性强；保障措施、风险防范方法详细可行强，有完整的保密措施及承诺书。</w:t>
            </w:r>
          </w:p>
          <w:p w14:paraId="26AB9A32">
            <w:pPr>
              <w:wordWrap w:val="0"/>
              <w:adjustRightInd w:val="0"/>
              <w:spacing w:line="400" w:lineRule="exact"/>
              <w:ind w:firstLine="420" w:firstLineChars="200"/>
              <w:rPr>
                <w:rFonts w:hint="eastAsia" w:ascii="宋体" w:hAnsi="宋体" w:cs="宋体"/>
                <w:color w:val="auto"/>
                <w:sz w:val="21"/>
                <w:szCs w:val="21"/>
                <w:highlight w:val="none"/>
              </w:rPr>
            </w:pPr>
            <w:r>
              <w:rPr>
                <w:rFonts w:hint="eastAsia" w:ascii="宋体" w:hAnsi="宋体"/>
                <w:color w:val="auto"/>
                <w:sz w:val="21"/>
                <w:szCs w:val="21"/>
                <w:highlight w:val="none"/>
                <w:lang w:val="en-US" w:eastAsia="zh-CN"/>
              </w:rPr>
              <w:t>注：</w:t>
            </w:r>
            <w:r>
              <w:rPr>
                <w:rFonts w:hint="eastAsia" w:ascii="宋体" w:hAnsi="宋体"/>
                <w:color w:val="auto"/>
                <w:sz w:val="21"/>
                <w:szCs w:val="21"/>
                <w:highlight w:val="none"/>
              </w:rPr>
              <w:t>不提供不得分。</w:t>
            </w:r>
          </w:p>
        </w:tc>
        <w:tc>
          <w:tcPr>
            <w:tcW w:w="945" w:type="dxa"/>
            <w:gridSpan w:val="2"/>
            <w:noWrap w:val="0"/>
            <w:vAlign w:val="center"/>
          </w:tcPr>
          <w:p w14:paraId="7343B1F4">
            <w:pPr>
              <w:wordWrap w:val="0"/>
              <w:spacing w:line="4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15</w:t>
            </w:r>
            <w:r>
              <w:rPr>
                <w:rFonts w:hint="eastAsia" w:ascii="宋体" w:hAnsi="宋体" w:cs="宋体"/>
                <w:color w:val="auto"/>
                <w:kern w:val="0"/>
                <w:sz w:val="21"/>
                <w:szCs w:val="21"/>
                <w:highlight w:val="none"/>
              </w:rPr>
              <w:t>分</w:t>
            </w:r>
          </w:p>
        </w:tc>
      </w:tr>
      <w:tr w14:paraId="1292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jc w:val="center"/>
        </w:trPr>
        <w:tc>
          <w:tcPr>
            <w:tcW w:w="592" w:type="dxa"/>
            <w:noWrap w:val="0"/>
            <w:vAlign w:val="center"/>
          </w:tcPr>
          <w:p w14:paraId="48042AFD">
            <w:pPr>
              <w:wordWrap w:val="0"/>
              <w:adjustRightInd w:val="0"/>
              <w:spacing w:line="400" w:lineRule="exact"/>
              <w:ind w:left="-105" w:leftChars="-50" w:right="-105" w:rightChars="-50"/>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 w:val="21"/>
                <w:szCs w:val="21"/>
                <w:highlight w:val="none"/>
              </w:rPr>
              <w:t>2.3</w:t>
            </w:r>
          </w:p>
        </w:tc>
        <w:tc>
          <w:tcPr>
            <w:tcW w:w="1575" w:type="dxa"/>
            <w:noWrap w:val="0"/>
            <w:vAlign w:val="center"/>
          </w:tcPr>
          <w:p w14:paraId="5CF03D2C">
            <w:pPr>
              <w:wordWrap w:val="0"/>
              <w:spacing w:line="400" w:lineRule="exact"/>
              <w:jc w:val="center"/>
              <w:rPr>
                <w:rFonts w:hint="eastAsia" w:ascii="宋体" w:hAnsi="宋体" w:cs="宋体"/>
                <w:color w:val="auto"/>
                <w:sz w:val="21"/>
                <w:szCs w:val="21"/>
                <w:highlight w:val="none"/>
              </w:rPr>
            </w:pPr>
            <w:r>
              <w:rPr>
                <w:rFonts w:hint="eastAsia" w:ascii="宋体" w:hAnsi="宋体"/>
                <w:color w:val="auto"/>
                <w:sz w:val="21"/>
                <w:szCs w:val="21"/>
                <w:highlight w:val="none"/>
              </w:rPr>
              <w:t>售后服务方案</w:t>
            </w:r>
          </w:p>
        </w:tc>
        <w:tc>
          <w:tcPr>
            <w:tcW w:w="6986" w:type="dxa"/>
            <w:noWrap w:val="0"/>
            <w:vAlign w:val="center"/>
          </w:tcPr>
          <w:p w14:paraId="188E65DB">
            <w:pPr>
              <w:spacing w:line="360" w:lineRule="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由磋商小组成员从供应商提供的</w:t>
            </w:r>
            <w:r>
              <w:rPr>
                <w:rFonts w:hint="eastAsia" w:ascii="宋体" w:hAnsi="宋体" w:eastAsia="宋体" w:cs="Times New Roman"/>
                <w:color w:val="auto"/>
                <w:sz w:val="21"/>
                <w:szCs w:val="21"/>
                <w:highlight w:val="none"/>
                <w:lang w:val="en-US" w:eastAsia="zh-CN"/>
              </w:rPr>
              <w:t>售后服务</w:t>
            </w:r>
            <w:r>
              <w:rPr>
                <w:rFonts w:hint="eastAsia" w:ascii="宋体" w:hAnsi="宋体" w:eastAsia="宋体" w:cs="Times New Roman"/>
                <w:color w:val="auto"/>
                <w:sz w:val="21"/>
                <w:szCs w:val="21"/>
                <w:highlight w:val="none"/>
              </w:rPr>
              <w:t>方案内容进行独立打分。</w:t>
            </w:r>
          </w:p>
          <w:p w14:paraId="2CC0249A">
            <w:pPr>
              <w:spacing w:line="360" w:lineRule="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一档（5分）：售后服务方案响应采购要求，满足</w:t>
            </w:r>
            <w:r>
              <w:rPr>
                <w:rFonts w:hint="eastAsia" w:ascii="宋体" w:hAnsi="宋体"/>
                <w:color w:val="auto"/>
                <w:sz w:val="21"/>
                <w:szCs w:val="21"/>
                <w:highlight w:val="none"/>
                <w:lang w:val="en-US" w:eastAsia="zh-CN"/>
              </w:rPr>
              <w:t>竞争性磋商</w:t>
            </w:r>
            <w:r>
              <w:rPr>
                <w:rFonts w:hint="eastAsia" w:ascii="宋体" w:hAnsi="宋体"/>
                <w:color w:val="auto"/>
                <w:sz w:val="21"/>
                <w:szCs w:val="21"/>
                <w:highlight w:val="none"/>
              </w:rPr>
              <w:t>文件对响应时间的要求，项目售后服务要求响应程度合格，有售后服务人员配置清单。内容较完整、可行、保障响应措施可行，有质量保证期、质量问题解决方案、应急解决方案、故障处理到达时间、技术培训、用户回访、系统维护升级、技术服务优惠条件等方面方案</w:t>
            </w:r>
            <w:r>
              <w:rPr>
                <w:rFonts w:hint="eastAsia" w:ascii="宋体" w:hAnsi="宋体"/>
                <w:color w:val="auto"/>
                <w:sz w:val="21"/>
                <w:szCs w:val="21"/>
                <w:highlight w:val="none"/>
                <w:lang w:eastAsia="zh-CN"/>
              </w:rPr>
              <w:t>，</w:t>
            </w:r>
            <w:r>
              <w:rPr>
                <w:rFonts w:hint="eastAsia" w:ascii="宋体" w:hAnsi="宋体"/>
                <w:color w:val="auto"/>
                <w:sz w:val="21"/>
                <w:szCs w:val="21"/>
                <w:highlight w:val="none"/>
              </w:rPr>
              <w:t>有一定操作性的。</w:t>
            </w:r>
          </w:p>
          <w:p w14:paraId="1AF072E9">
            <w:pPr>
              <w:spacing w:line="360" w:lineRule="auto"/>
              <w:rPr>
                <w:rFonts w:hint="eastAsia" w:ascii="宋体" w:hAnsi="宋体"/>
                <w:color w:val="auto"/>
                <w:sz w:val="21"/>
                <w:szCs w:val="21"/>
                <w:highlight w:val="none"/>
              </w:rPr>
            </w:pPr>
            <w:r>
              <w:rPr>
                <w:rFonts w:hint="eastAsia" w:ascii="宋体" w:hAnsi="宋体"/>
                <w:color w:val="auto"/>
                <w:sz w:val="21"/>
                <w:szCs w:val="21"/>
                <w:highlight w:val="none"/>
              </w:rPr>
              <w:t>二档（10分）：售后服务方案完全响应采购要求，完全满足</w:t>
            </w:r>
            <w:r>
              <w:rPr>
                <w:rFonts w:hint="eastAsia" w:ascii="宋体" w:hAnsi="宋体"/>
                <w:color w:val="auto"/>
                <w:sz w:val="21"/>
                <w:szCs w:val="21"/>
                <w:highlight w:val="none"/>
                <w:lang w:eastAsia="zh-CN"/>
              </w:rPr>
              <w:t>竞争性磋商文件</w:t>
            </w:r>
            <w:r>
              <w:rPr>
                <w:rFonts w:hint="eastAsia" w:ascii="宋体" w:hAnsi="宋体"/>
                <w:color w:val="auto"/>
                <w:sz w:val="21"/>
                <w:szCs w:val="21"/>
                <w:highlight w:val="none"/>
              </w:rPr>
              <w:t>对响应时间的要求，项目售后服务要求响应程度良好，有售后服务人员配置清单。内容较完整、可行、保障响应措施有力，有质量保证期、质量问题解决方案、应急解决方案、故障处理到达时间、技术培训、用户回访、系统维护升级、技术服务优惠条件等方面方案优于</w:t>
            </w:r>
            <w:r>
              <w:rPr>
                <w:rFonts w:hint="eastAsia" w:ascii="宋体" w:hAnsi="宋体"/>
                <w:color w:val="auto"/>
                <w:sz w:val="21"/>
                <w:szCs w:val="21"/>
                <w:highlight w:val="none"/>
                <w:lang w:val="en-US" w:eastAsia="zh-CN"/>
              </w:rPr>
              <w:t>一</w:t>
            </w:r>
            <w:r>
              <w:rPr>
                <w:rFonts w:hint="eastAsia" w:ascii="宋体" w:hAnsi="宋体"/>
                <w:color w:val="auto"/>
                <w:sz w:val="21"/>
                <w:szCs w:val="21"/>
                <w:highlight w:val="none"/>
              </w:rPr>
              <w:t>档，操作性可行。</w:t>
            </w:r>
          </w:p>
          <w:p w14:paraId="6443A24F">
            <w:pPr>
              <w:spacing w:line="360" w:lineRule="auto"/>
              <w:rPr>
                <w:rFonts w:hint="eastAsia" w:ascii="宋体" w:hAnsi="宋体"/>
                <w:color w:val="auto"/>
                <w:sz w:val="21"/>
                <w:szCs w:val="21"/>
                <w:highlight w:val="none"/>
              </w:rPr>
            </w:pPr>
            <w:r>
              <w:rPr>
                <w:rFonts w:hint="eastAsia" w:ascii="宋体" w:hAnsi="宋体"/>
                <w:color w:val="auto"/>
                <w:sz w:val="21"/>
                <w:szCs w:val="21"/>
                <w:highlight w:val="none"/>
              </w:rPr>
              <w:t>三档（15分）：在满足</w:t>
            </w:r>
            <w:r>
              <w:rPr>
                <w:rFonts w:hint="eastAsia" w:ascii="宋体" w:hAnsi="宋体"/>
                <w:color w:val="auto"/>
                <w:sz w:val="21"/>
                <w:szCs w:val="21"/>
                <w:highlight w:val="none"/>
                <w:lang w:val="en-US" w:eastAsia="zh-CN"/>
              </w:rPr>
              <w:t>二档</w:t>
            </w:r>
            <w:r>
              <w:rPr>
                <w:rFonts w:hint="eastAsia" w:ascii="宋体" w:hAnsi="宋体"/>
                <w:color w:val="auto"/>
                <w:sz w:val="21"/>
                <w:szCs w:val="21"/>
                <w:highlight w:val="none"/>
              </w:rPr>
              <w:t>的基础上，售后服务方案完全满足招标售后服务要求，售后服务方案论述准确，售后保障措施表述清晰、完整、严谨、合理、先进、具体、有效、成熟，内容完整、可行、质量保证期、质量问题解决方案、应急解决方案、故障处理到达时间、技术培训、用户回访、系统维护升级、技术服务优惠条件等方面方案优于二</w:t>
            </w:r>
            <w:r>
              <w:rPr>
                <w:rFonts w:hint="eastAsia" w:ascii="宋体" w:hAnsi="宋体"/>
                <w:color w:val="auto"/>
                <w:sz w:val="21"/>
                <w:szCs w:val="21"/>
                <w:highlight w:val="none"/>
                <w:lang w:val="en-US" w:eastAsia="zh-CN"/>
              </w:rPr>
              <w:t>档</w:t>
            </w:r>
            <w:r>
              <w:rPr>
                <w:rFonts w:hint="eastAsia" w:ascii="宋体" w:hAnsi="宋体"/>
                <w:color w:val="auto"/>
                <w:sz w:val="21"/>
                <w:szCs w:val="21"/>
                <w:highlight w:val="none"/>
              </w:rPr>
              <w:t>，有售后应急预案，有培训计划，有服务响应体系，有售后定期回访、定期维护，优于</w:t>
            </w:r>
            <w:r>
              <w:rPr>
                <w:rFonts w:hint="eastAsia" w:ascii="宋体" w:hAnsi="宋体"/>
                <w:color w:val="auto"/>
                <w:sz w:val="21"/>
                <w:szCs w:val="21"/>
                <w:highlight w:val="none"/>
                <w:lang w:eastAsia="zh-CN"/>
              </w:rPr>
              <w:t>竞争性磋商文件</w:t>
            </w:r>
            <w:r>
              <w:rPr>
                <w:rFonts w:hint="eastAsia" w:ascii="宋体" w:hAnsi="宋体"/>
                <w:color w:val="auto"/>
                <w:sz w:val="21"/>
                <w:szCs w:val="21"/>
                <w:highlight w:val="none"/>
              </w:rPr>
              <w:t>对响应时间的要求，项目实施计划符合项目采购需求，响应时间短，项目售后服务要求响应程度优秀，有专门的售后服务团队，如产品出现质量问题有具体解决方案且方案执行力强，有售后服务人员配置清单及分工。</w:t>
            </w:r>
          </w:p>
          <w:p w14:paraId="20DAF9B9">
            <w:pPr>
              <w:wordWrap w:val="0"/>
              <w:spacing w:line="400" w:lineRule="exact"/>
              <w:rPr>
                <w:rFonts w:hint="eastAsia" w:ascii="宋体" w:hAnsi="宋体" w:cs="宋体"/>
                <w:color w:val="auto"/>
                <w:sz w:val="21"/>
                <w:szCs w:val="21"/>
                <w:highlight w:val="none"/>
              </w:rPr>
            </w:pPr>
            <w:r>
              <w:rPr>
                <w:rFonts w:hint="eastAsia" w:ascii="宋体" w:hAnsi="宋体"/>
                <w:color w:val="auto"/>
                <w:sz w:val="21"/>
                <w:szCs w:val="21"/>
                <w:highlight w:val="none"/>
                <w:lang w:val="en-US" w:eastAsia="zh-CN"/>
              </w:rPr>
              <w:t>注：</w:t>
            </w:r>
            <w:r>
              <w:rPr>
                <w:rFonts w:hint="eastAsia" w:ascii="宋体" w:hAnsi="宋体"/>
                <w:color w:val="auto"/>
                <w:sz w:val="21"/>
                <w:szCs w:val="21"/>
                <w:highlight w:val="none"/>
              </w:rPr>
              <w:t>不提供不得分。</w:t>
            </w:r>
          </w:p>
        </w:tc>
        <w:tc>
          <w:tcPr>
            <w:tcW w:w="945" w:type="dxa"/>
            <w:gridSpan w:val="2"/>
            <w:noWrap w:val="0"/>
            <w:vAlign w:val="center"/>
          </w:tcPr>
          <w:p w14:paraId="0F60B1BA">
            <w:pPr>
              <w:wordWrap w:val="0"/>
              <w:spacing w:line="4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15</w:t>
            </w:r>
            <w:r>
              <w:rPr>
                <w:rFonts w:hint="eastAsia" w:ascii="宋体" w:hAnsi="宋体" w:cs="宋体"/>
                <w:color w:val="auto"/>
                <w:kern w:val="0"/>
                <w:sz w:val="21"/>
                <w:szCs w:val="21"/>
                <w:highlight w:val="none"/>
              </w:rPr>
              <w:t>分</w:t>
            </w:r>
          </w:p>
        </w:tc>
      </w:tr>
      <w:tr w14:paraId="5AAB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53" w:type="dxa"/>
            <w:gridSpan w:val="3"/>
            <w:noWrap w:val="0"/>
            <w:vAlign w:val="top"/>
          </w:tcPr>
          <w:p w14:paraId="29694E33">
            <w:pPr>
              <w:pStyle w:val="13"/>
              <w:wordWrap w:val="0"/>
              <w:spacing w:line="400" w:lineRule="exact"/>
              <w:ind w:firstLine="420" w:firstLineChars="200"/>
              <w:rPr>
                <w:rFonts w:hint="eastAsia" w:hAnsi="宋体" w:cs="宋体"/>
                <w:bCs/>
                <w:color w:val="auto"/>
                <w:sz w:val="21"/>
                <w:szCs w:val="21"/>
                <w:highlight w:val="none"/>
              </w:rPr>
            </w:pPr>
            <w:r>
              <w:rPr>
                <w:rFonts w:hint="eastAsia" w:hAnsi="宋体" w:cs="宋体"/>
                <w:bCs/>
                <w:color w:val="auto"/>
                <w:sz w:val="21"/>
                <w:szCs w:val="21"/>
                <w:highlight w:val="none"/>
              </w:rPr>
              <w:t>总得分＝1+2</w:t>
            </w:r>
          </w:p>
        </w:tc>
        <w:tc>
          <w:tcPr>
            <w:tcW w:w="945" w:type="dxa"/>
            <w:gridSpan w:val="2"/>
            <w:noWrap w:val="0"/>
            <w:vAlign w:val="center"/>
          </w:tcPr>
          <w:p w14:paraId="507877F5">
            <w:pPr>
              <w:widowControl/>
              <w:wordWrap w:val="0"/>
              <w:spacing w:line="4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100分</w:t>
            </w:r>
          </w:p>
        </w:tc>
      </w:tr>
    </w:tbl>
    <w:p w14:paraId="5DE8424F">
      <w:pPr>
        <w:spacing w:line="360" w:lineRule="auto"/>
        <w:ind w:firstLine="480" w:firstLineChars="200"/>
        <w:rPr>
          <w:rFonts w:hint="eastAsia" w:ascii="宋体" w:hAnsi="宋体" w:eastAsia="宋体" w:cs="宋体"/>
          <w:bCs/>
          <w:color w:val="auto"/>
          <w:sz w:val="24"/>
          <w:szCs w:val="24"/>
          <w:highlight w:val="none"/>
        </w:rPr>
      </w:pPr>
    </w:p>
    <w:p w14:paraId="55A9AA43">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7、由磋商小组根据综合评分情况，按照评审得分由高到低顺序推荐3名以上成交候选供应商（</w:t>
      </w:r>
      <w:r>
        <w:rPr>
          <w:rFonts w:hint="eastAsia" w:ascii="宋体" w:hAnsi="宋体" w:eastAsia="宋体" w:cs="宋体"/>
          <w:b/>
          <w:color w:val="auto"/>
          <w:sz w:val="24"/>
          <w:szCs w:val="24"/>
          <w:highlight w:val="none"/>
        </w:rPr>
        <w:t>本项目采购人授权磋商小组直接确定成交供应商</w:t>
      </w:r>
      <w:r>
        <w:rPr>
          <w:rFonts w:hint="eastAsia" w:ascii="宋体" w:hAnsi="宋体" w:eastAsia="宋体" w:cs="宋体"/>
          <w:bCs/>
          <w:color w:val="auto"/>
          <w:sz w:val="24"/>
          <w:szCs w:val="24"/>
          <w:highlight w:val="none"/>
        </w:rPr>
        <w:t>），并编写评审报告。符合本章第4、3条情形的，可以推荐2家成交候选供应商。评审得分相同的，按照最后报价（不计算价格折扣）由低到高的顺序推荐。评审得分且最后报价（不计算价格折扣）相同的，按照技术指标优劣顺序推荐。评审得分、最后报价（不计算价格折扣）、技术得分均相同的，由磋商小组随机抽取推荐。</w:t>
      </w:r>
    </w:p>
    <w:p w14:paraId="13D7ADE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E3697A1">
      <w:pPr>
        <w:pStyle w:val="3"/>
        <w:spacing w:line="520" w:lineRule="exact"/>
        <w:jc w:val="center"/>
        <w:rPr>
          <w:rFonts w:hint="eastAsia" w:ascii="宋体" w:hAnsi="宋体" w:eastAsia="宋体" w:cs="宋体"/>
          <w:color w:val="auto"/>
          <w:sz w:val="44"/>
          <w:szCs w:val="44"/>
          <w:highlight w:val="none"/>
        </w:rPr>
      </w:pPr>
      <w:bookmarkStart w:id="141" w:name="_Toc7915"/>
      <w:bookmarkStart w:id="142" w:name="_Toc8132"/>
      <w:r>
        <w:rPr>
          <w:rFonts w:hint="eastAsia" w:ascii="宋体" w:hAnsi="宋体" w:eastAsia="宋体" w:cs="宋体"/>
          <w:color w:val="auto"/>
          <w:sz w:val="44"/>
          <w:szCs w:val="44"/>
          <w:highlight w:val="none"/>
        </w:rPr>
        <w:t>第五章 响应文件格式</w:t>
      </w:r>
      <w:bookmarkEnd w:id="141"/>
      <w:bookmarkEnd w:id="142"/>
    </w:p>
    <w:p w14:paraId="31F7C264">
      <w:pPr>
        <w:spacing w:line="240" w:lineRule="atLeast"/>
        <w:jc w:val="left"/>
        <w:rPr>
          <w:rFonts w:hint="eastAsia" w:ascii="宋体" w:hAnsi="宋体" w:eastAsia="宋体" w:cs="宋体"/>
          <w:b/>
          <w:color w:val="auto"/>
          <w:sz w:val="28"/>
          <w:szCs w:val="28"/>
          <w:highlight w:val="none"/>
        </w:rPr>
      </w:pPr>
      <w:bookmarkStart w:id="143" w:name="_Toc6401"/>
      <w:bookmarkStart w:id="144" w:name="_Toc2531"/>
      <w:r>
        <w:rPr>
          <w:rFonts w:hint="eastAsia" w:ascii="宋体" w:hAnsi="宋体" w:eastAsia="宋体" w:cs="宋体"/>
          <w:color w:val="auto"/>
          <w:sz w:val="28"/>
          <w:szCs w:val="28"/>
          <w:highlight w:val="none"/>
        </w:rPr>
        <w:t>(封面)</w:t>
      </w:r>
    </w:p>
    <w:p w14:paraId="2E60BB60">
      <w:pPr>
        <w:pStyle w:val="30"/>
        <w:rPr>
          <w:rStyle w:val="31"/>
          <w:rFonts w:hint="eastAsia" w:ascii="宋体" w:hAnsi="宋体" w:eastAsia="宋体" w:cs="宋体"/>
          <w:color w:val="auto"/>
          <w:highlight w:val="none"/>
        </w:rPr>
      </w:pPr>
    </w:p>
    <w:p w14:paraId="326134E0">
      <w:pPr>
        <w:spacing w:line="240" w:lineRule="atLeast"/>
        <w:jc w:val="center"/>
        <w:rPr>
          <w:rFonts w:hint="eastAsia" w:ascii="宋体" w:hAnsi="宋体" w:eastAsia="宋体" w:cs="宋体"/>
          <w:b/>
          <w:color w:val="auto"/>
          <w:sz w:val="44"/>
          <w:szCs w:val="44"/>
          <w:highlight w:val="none"/>
        </w:rPr>
      </w:pPr>
      <w:r>
        <w:rPr>
          <w:rFonts w:hint="eastAsia" w:ascii="宋体" w:hAnsi="宋体" w:eastAsia="宋体" w:cs="宋体"/>
          <w:bCs/>
          <w:color w:val="auto"/>
          <w:sz w:val="44"/>
          <w:szCs w:val="44"/>
          <w:highlight w:val="none"/>
        </w:rPr>
        <w:t>响  应  文  件</w:t>
      </w:r>
      <w:r>
        <w:rPr>
          <w:rFonts w:hint="eastAsia" w:ascii="宋体" w:hAnsi="宋体" w:eastAsia="宋体" w:cs="宋体"/>
          <w:b/>
          <w:color w:val="auto"/>
          <w:sz w:val="44"/>
          <w:szCs w:val="44"/>
          <w:highlight w:val="none"/>
        </w:rPr>
        <w:t xml:space="preserve"> </w:t>
      </w:r>
    </w:p>
    <w:p w14:paraId="79F9BAA2">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（电子投标文件）</w:t>
      </w:r>
    </w:p>
    <w:p w14:paraId="4D58A3CD">
      <w:pPr>
        <w:spacing w:line="360" w:lineRule="auto"/>
        <w:jc w:val="center"/>
        <w:rPr>
          <w:rFonts w:hint="eastAsia" w:ascii="宋体" w:hAnsi="宋体" w:eastAsia="宋体" w:cs="宋体"/>
          <w:color w:val="auto"/>
          <w:szCs w:val="21"/>
          <w:highlight w:val="none"/>
        </w:rPr>
      </w:pPr>
    </w:p>
    <w:p w14:paraId="4607CC72">
      <w:pPr>
        <w:spacing w:line="360" w:lineRule="auto"/>
        <w:jc w:val="center"/>
        <w:rPr>
          <w:rFonts w:hint="eastAsia" w:ascii="宋体" w:hAnsi="宋体" w:eastAsia="宋体" w:cs="宋体"/>
          <w:color w:val="auto"/>
          <w:szCs w:val="21"/>
          <w:highlight w:val="none"/>
        </w:rPr>
      </w:pPr>
    </w:p>
    <w:p w14:paraId="016CF3EE">
      <w:pPr>
        <w:spacing w:line="360" w:lineRule="auto"/>
        <w:jc w:val="center"/>
        <w:rPr>
          <w:rFonts w:hint="eastAsia" w:ascii="宋体" w:hAnsi="宋体" w:eastAsia="宋体" w:cs="宋体"/>
          <w:color w:val="auto"/>
          <w:szCs w:val="21"/>
          <w:highlight w:val="none"/>
        </w:rPr>
      </w:pPr>
    </w:p>
    <w:p w14:paraId="2666CE9B">
      <w:pPr>
        <w:spacing w:line="360" w:lineRule="auto"/>
        <w:jc w:val="left"/>
        <w:rPr>
          <w:rFonts w:hint="eastAsia" w:ascii="宋体" w:hAnsi="宋体" w:eastAsia="宋体" w:cs="宋体"/>
          <w:color w:val="auto"/>
          <w:sz w:val="32"/>
          <w:szCs w:val="32"/>
          <w:highlight w:val="none"/>
        </w:rPr>
      </w:pPr>
    </w:p>
    <w:p w14:paraId="6DC17111">
      <w:pPr>
        <w:spacing w:line="360" w:lineRule="auto"/>
        <w:jc w:val="left"/>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项目编号：</w:t>
      </w:r>
      <w:r>
        <w:rPr>
          <w:rFonts w:hint="eastAsia" w:ascii="宋体" w:hAnsi="宋体" w:eastAsia="宋体" w:cs="宋体"/>
          <w:color w:val="auto"/>
          <w:sz w:val="32"/>
          <w:szCs w:val="32"/>
          <w:highlight w:val="none"/>
          <w:lang w:val="en-US" w:eastAsia="zh-CN"/>
        </w:rPr>
        <w:t xml:space="preserve"> </w:t>
      </w:r>
    </w:p>
    <w:p w14:paraId="61189DCD">
      <w:pPr>
        <w:spacing w:line="360" w:lineRule="auto"/>
        <w:ind w:firstLine="640" w:firstLineChars="200"/>
        <w:jc w:val="left"/>
        <w:rPr>
          <w:rFonts w:hint="eastAsia" w:ascii="宋体" w:hAnsi="宋体" w:eastAsia="宋体" w:cs="宋体"/>
          <w:color w:val="auto"/>
          <w:sz w:val="32"/>
          <w:szCs w:val="32"/>
          <w:highlight w:val="none"/>
          <w:u w:val="single"/>
        </w:rPr>
      </w:pPr>
    </w:p>
    <w:p w14:paraId="541531DE">
      <w:pPr>
        <w:tabs>
          <w:tab w:val="left" w:pos="3240"/>
        </w:tabs>
        <w:spacing w:line="360" w:lineRule="auto"/>
        <w:jc w:val="left"/>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项目名称：</w:t>
      </w:r>
      <w:r>
        <w:rPr>
          <w:rFonts w:hint="eastAsia" w:ascii="宋体" w:hAnsi="宋体" w:cs="宋体"/>
          <w:color w:val="auto"/>
          <w:sz w:val="32"/>
          <w:szCs w:val="32"/>
          <w:highlight w:val="none"/>
          <w:lang w:eastAsia="zh-CN"/>
        </w:rPr>
        <w:t>贺州市妇幼保健院智慧医院信息系统商用密码安全性应用改造项目</w:t>
      </w:r>
    </w:p>
    <w:p w14:paraId="36DE112C">
      <w:pPr>
        <w:tabs>
          <w:tab w:val="left" w:pos="3240"/>
        </w:tabs>
        <w:spacing w:line="360" w:lineRule="auto"/>
        <w:ind w:firstLine="640" w:firstLineChars="200"/>
        <w:jc w:val="left"/>
        <w:rPr>
          <w:rFonts w:hint="eastAsia" w:ascii="宋体" w:hAnsi="宋体" w:eastAsia="宋体" w:cs="宋体"/>
          <w:color w:val="auto"/>
          <w:sz w:val="32"/>
          <w:szCs w:val="32"/>
          <w:highlight w:val="none"/>
          <w:u w:val="single"/>
        </w:rPr>
      </w:pPr>
    </w:p>
    <w:p w14:paraId="2F36C97A">
      <w:pPr>
        <w:spacing w:line="360" w:lineRule="auto"/>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所竞分标：（如有则填写，无分标时填写“无”或者留空）</w:t>
      </w:r>
    </w:p>
    <w:p w14:paraId="4A7629D4">
      <w:pPr>
        <w:spacing w:line="360" w:lineRule="auto"/>
        <w:ind w:firstLine="640" w:firstLineChars="200"/>
        <w:jc w:val="left"/>
        <w:rPr>
          <w:rFonts w:hint="eastAsia" w:ascii="宋体" w:hAnsi="宋体" w:eastAsia="宋体" w:cs="宋体"/>
          <w:color w:val="auto"/>
          <w:sz w:val="32"/>
          <w:szCs w:val="32"/>
          <w:highlight w:val="none"/>
          <w:u w:val="single"/>
        </w:rPr>
      </w:pPr>
    </w:p>
    <w:p w14:paraId="4FB15C5B">
      <w:pPr>
        <w:spacing w:line="360" w:lineRule="auto"/>
        <w:jc w:val="left"/>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供应商名称：</w:t>
      </w:r>
    </w:p>
    <w:p w14:paraId="38A2107B">
      <w:pPr>
        <w:snapToGrid w:val="0"/>
        <w:spacing w:before="156" w:beforeLines="50" w:after="50"/>
        <w:rPr>
          <w:rFonts w:hint="eastAsia" w:ascii="宋体" w:hAnsi="宋体" w:eastAsia="宋体" w:cs="宋体"/>
          <w:color w:val="auto"/>
          <w:sz w:val="32"/>
          <w:szCs w:val="32"/>
          <w:highlight w:val="none"/>
        </w:rPr>
      </w:pPr>
    </w:p>
    <w:p w14:paraId="041748D2">
      <w:pPr>
        <w:snapToGrid w:val="0"/>
        <w:spacing w:before="156" w:beforeLines="50" w:after="50"/>
        <w:jc w:val="center"/>
        <w:rPr>
          <w:rFonts w:hint="eastAsia" w:ascii="宋体" w:hAnsi="宋体" w:eastAsia="宋体" w:cs="宋体"/>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60BE14A1">
      <w:pPr>
        <w:snapToGrid w:val="0"/>
        <w:spacing w:before="156" w:beforeLines="50" w:after="50"/>
        <w:rPr>
          <w:rFonts w:hint="eastAsia" w:ascii="宋体" w:hAnsi="宋体" w:eastAsia="宋体" w:cs="宋体"/>
          <w:color w:val="auto"/>
          <w:sz w:val="32"/>
          <w:szCs w:val="32"/>
          <w:highlight w:val="none"/>
        </w:rPr>
      </w:pPr>
    </w:p>
    <w:p w14:paraId="128840DD">
      <w:pPr>
        <w:snapToGrid w:val="0"/>
        <w:spacing w:before="156"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23D5840">
      <w:pPr>
        <w:snapToGrid w:val="0"/>
        <w:spacing w:before="156" w:beforeLines="50" w:after="50"/>
        <w:jc w:val="center"/>
        <w:rPr>
          <w:rFonts w:hint="eastAsia" w:ascii="宋体" w:hAnsi="宋体" w:eastAsia="宋体" w:cs="宋体"/>
          <w:bCs/>
          <w:color w:val="auto"/>
          <w:sz w:val="32"/>
          <w:szCs w:val="32"/>
          <w:highlight w:val="none"/>
        </w:rPr>
      </w:pPr>
      <w:r>
        <w:rPr>
          <w:rFonts w:hint="eastAsia" w:ascii="宋体" w:hAnsi="宋体" w:eastAsia="宋体" w:cs="宋体"/>
          <w:color w:val="auto"/>
          <w:sz w:val="32"/>
          <w:szCs w:val="32"/>
          <w:highlight w:val="none"/>
        </w:rPr>
        <w:br w:type="page"/>
      </w:r>
    </w:p>
    <w:p w14:paraId="4ADF8A9C">
      <w:pPr>
        <w:snapToGrid w:val="0"/>
        <w:spacing w:before="156" w:beforeLines="50" w:after="50" w:line="360" w:lineRule="auto"/>
        <w:outlineLvl w:val="1"/>
        <w:rPr>
          <w:rFonts w:hint="eastAsia" w:ascii="宋体" w:hAnsi="宋体" w:eastAsia="宋体" w:cs="宋体"/>
          <w:b/>
          <w:bCs/>
          <w:color w:val="auto"/>
          <w:sz w:val="32"/>
          <w:szCs w:val="32"/>
          <w:highlight w:val="none"/>
        </w:rPr>
      </w:pPr>
      <w:bookmarkStart w:id="145" w:name="_Toc13850"/>
      <w:bookmarkStart w:id="146" w:name="_Toc31728084"/>
      <w:bookmarkStart w:id="147" w:name="_Toc35611516"/>
      <w:bookmarkStart w:id="148" w:name="_Toc22230"/>
      <w:bookmarkStart w:id="149" w:name="_Toc31723070"/>
      <w:bookmarkStart w:id="150" w:name="_Toc44229899"/>
      <w:bookmarkStart w:id="151" w:name="_Toc35611438"/>
      <w:r>
        <w:rPr>
          <w:rFonts w:hint="eastAsia" w:ascii="宋体" w:hAnsi="宋体" w:eastAsia="宋体" w:cs="宋体"/>
          <w:b/>
          <w:bCs/>
          <w:color w:val="auto"/>
          <w:sz w:val="32"/>
          <w:szCs w:val="32"/>
          <w:highlight w:val="none"/>
        </w:rPr>
        <w:t>一、资格证明文件格式</w:t>
      </w:r>
      <w:bookmarkEnd w:id="145"/>
      <w:bookmarkEnd w:id="146"/>
      <w:bookmarkEnd w:id="147"/>
      <w:bookmarkEnd w:id="148"/>
      <w:bookmarkEnd w:id="149"/>
      <w:bookmarkEnd w:id="150"/>
      <w:bookmarkEnd w:id="151"/>
    </w:p>
    <w:p w14:paraId="481812B5">
      <w:pPr>
        <w:snapToGrid w:val="0"/>
        <w:spacing w:before="156" w:beforeLines="50" w:after="50" w:line="360" w:lineRule="auto"/>
        <w:jc w:val="left"/>
        <w:outlineLvl w:val="2"/>
        <w:rPr>
          <w:rFonts w:hint="eastAsia" w:ascii="宋体" w:hAnsi="宋体" w:eastAsia="宋体" w:cs="宋体"/>
          <w:b/>
          <w:color w:val="auto"/>
          <w:sz w:val="24"/>
          <w:highlight w:val="none"/>
        </w:rPr>
      </w:pPr>
      <w:bookmarkStart w:id="152" w:name="_Toc3677"/>
      <w:r>
        <w:rPr>
          <w:rFonts w:hint="eastAsia" w:ascii="宋体" w:hAnsi="宋体" w:eastAsia="宋体" w:cs="宋体"/>
          <w:b/>
          <w:color w:val="auto"/>
          <w:sz w:val="32"/>
          <w:szCs w:val="32"/>
          <w:highlight w:val="none"/>
        </w:rPr>
        <w:t>1、资格证明文件封面格式：</w:t>
      </w:r>
      <w:bookmarkEnd w:id="152"/>
      <w:r>
        <w:rPr>
          <w:rFonts w:hint="eastAsia" w:ascii="宋体" w:hAnsi="宋体" w:eastAsia="宋体" w:cs="宋体"/>
          <w:b/>
          <w:color w:val="auto"/>
          <w:sz w:val="24"/>
          <w:highlight w:val="none"/>
        </w:rPr>
        <w:t xml:space="preserve"> </w:t>
      </w:r>
    </w:p>
    <w:p w14:paraId="576391B9">
      <w:pPr>
        <w:snapToGrid w:val="0"/>
        <w:spacing w:before="156"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8"/>
          <w:szCs w:val="28"/>
          <w:highlight w:val="none"/>
        </w:rPr>
        <w:t xml:space="preserve"> 全流程电子文件</w:t>
      </w:r>
    </w:p>
    <w:p w14:paraId="6893F469">
      <w:pPr>
        <w:snapToGrid w:val="0"/>
        <w:spacing w:before="156" w:beforeLines="50" w:after="50"/>
        <w:rPr>
          <w:rFonts w:hint="eastAsia" w:ascii="宋体" w:hAnsi="宋体" w:eastAsia="宋体" w:cs="宋体"/>
          <w:color w:val="auto"/>
          <w:sz w:val="24"/>
          <w:szCs w:val="20"/>
          <w:highlight w:val="none"/>
        </w:rPr>
      </w:pPr>
    </w:p>
    <w:p w14:paraId="21C14347">
      <w:pPr>
        <w:snapToGrid w:val="0"/>
        <w:spacing w:before="156" w:beforeLines="50" w:after="50"/>
        <w:rPr>
          <w:rFonts w:hint="eastAsia" w:ascii="宋体" w:hAnsi="宋体" w:eastAsia="宋体" w:cs="宋体"/>
          <w:color w:val="auto"/>
          <w:sz w:val="24"/>
          <w:szCs w:val="20"/>
          <w:highlight w:val="none"/>
        </w:rPr>
      </w:pPr>
    </w:p>
    <w:p w14:paraId="3A597091">
      <w:pPr>
        <w:snapToGrid w:val="0"/>
        <w:spacing w:before="156" w:beforeLines="50" w:after="50"/>
        <w:jc w:val="center"/>
        <w:rPr>
          <w:rFonts w:hint="eastAsia" w:ascii="宋体" w:hAnsi="宋体" w:eastAsia="宋体" w:cs="宋体"/>
          <w:bCs/>
          <w:color w:val="auto"/>
          <w:sz w:val="48"/>
          <w:szCs w:val="48"/>
          <w:highlight w:val="none"/>
        </w:rPr>
      </w:pPr>
      <w:r>
        <w:rPr>
          <w:rFonts w:hint="eastAsia" w:ascii="宋体" w:hAnsi="宋体" w:eastAsia="宋体" w:cs="宋体"/>
          <w:bCs/>
          <w:color w:val="auto"/>
          <w:sz w:val="48"/>
          <w:szCs w:val="48"/>
          <w:highlight w:val="none"/>
        </w:rPr>
        <w:t>资  格  证  明  文  件</w:t>
      </w:r>
    </w:p>
    <w:p w14:paraId="704FEA13">
      <w:pPr>
        <w:snapToGrid w:val="0"/>
        <w:spacing w:before="156" w:beforeLines="50" w:after="50"/>
        <w:rPr>
          <w:rFonts w:hint="eastAsia" w:ascii="宋体" w:hAnsi="宋体" w:eastAsia="宋体" w:cs="宋体"/>
          <w:bCs/>
          <w:color w:val="auto"/>
          <w:sz w:val="24"/>
          <w:szCs w:val="20"/>
          <w:highlight w:val="none"/>
        </w:rPr>
      </w:pPr>
    </w:p>
    <w:p w14:paraId="2B186E72">
      <w:pPr>
        <w:snapToGrid w:val="0"/>
        <w:spacing w:before="156" w:beforeLines="50" w:after="50"/>
        <w:rPr>
          <w:rFonts w:hint="eastAsia" w:ascii="宋体" w:hAnsi="宋体" w:eastAsia="宋体" w:cs="宋体"/>
          <w:bCs/>
          <w:color w:val="auto"/>
          <w:sz w:val="24"/>
          <w:szCs w:val="20"/>
          <w:highlight w:val="none"/>
        </w:rPr>
      </w:pPr>
    </w:p>
    <w:p w14:paraId="5CDA62CE">
      <w:pPr>
        <w:snapToGrid w:val="0"/>
        <w:spacing w:before="156" w:beforeLines="50" w:after="50"/>
        <w:rPr>
          <w:rFonts w:hint="eastAsia" w:ascii="宋体" w:hAnsi="宋体" w:eastAsia="宋体" w:cs="宋体"/>
          <w:bCs/>
          <w:color w:val="auto"/>
          <w:sz w:val="24"/>
          <w:szCs w:val="20"/>
          <w:highlight w:val="none"/>
        </w:rPr>
      </w:pPr>
    </w:p>
    <w:p w14:paraId="318245B3">
      <w:pPr>
        <w:snapToGrid w:val="0"/>
        <w:spacing w:before="156" w:beforeLines="50" w:after="50"/>
        <w:rPr>
          <w:rFonts w:hint="eastAsia" w:ascii="宋体" w:hAnsi="宋体" w:eastAsia="宋体" w:cs="宋体"/>
          <w:bCs/>
          <w:color w:val="auto"/>
          <w:sz w:val="24"/>
          <w:szCs w:val="20"/>
          <w:highlight w:val="none"/>
        </w:rPr>
      </w:pPr>
    </w:p>
    <w:p w14:paraId="4B0DE013">
      <w:pPr>
        <w:snapToGrid w:val="0"/>
        <w:spacing w:before="156" w:beforeLines="50" w:after="50"/>
        <w:rPr>
          <w:rFonts w:hint="eastAsia" w:ascii="宋体" w:hAnsi="宋体" w:eastAsia="宋体" w:cs="宋体"/>
          <w:bCs/>
          <w:color w:val="auto"/>
          <w:sz w:val="24"/>
          <w:szCs w:val="20"/>
          <w:highlight w:val="none"/>
        </w:rPr>
      </w:pPr>
    </w:p>
    <w:p w14:paraId="7E410541">
      <w:pPr>
        <w:snapToGrid w:val="0"/>
        <w:spacing w:before="156" w:beforeLines="50" w:after="50"/>
        <w:rPr>
          <w:rFonts w:hint="default" w:ascii="宋体" w:hAnsi="宋体" w:eastAsia="宋体" w:cs="宋体"/>
          <w:bCs/>
          <w:color w:val="auto"/>
          <w:sz w:val="32"/>
          <w:szCs w:val="32"/>
          <w:highlight w:val="none"/>
          <w:lang w:val="en-US"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贺州市妇幼保健院智慧医院信息系统商用密码安全性应用改造项目</w:t>
      </w:r>
    </w:p>
    <w:p w14:paraId="60AFCFE0">
      <w:pPr>
        <w:snapToGrid w:val="0"/>
        <w:spacing w:before="156" w:beforeLines="50" w:after="50"/>
        <w:ind w:firstLine="720" w:firstLineChars="225"/>
        <w:rPr>
          <w:rFonts w:hint="eastAsia" w:ascii="宋体" w:hAnsi="宋体" w:eastAsia="宋体" w:cs="宋体"/>
          <w:bCs/>
          <w:color w:val="auto"/>
          <w:sz w:val="32"/>
          <w:szCs w:val="32"/>
          <w:highlight w:val="none"/>
        </w:rPr>
      </w:pPr>
    </w:p>
    <w:p w14:paraId="18CCD44E">
      <w:pPr>
        <w:snapToGrid w:val="0"/>
        <w:spacing w:before="156" w:beforeLines="50" w:after="5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项目编号：</w:t>
      </w:r>
      <w:r>
        <w:rPr>
          <w:rFonts w:hint="eastAsia" w:ascii="宋体" w:hAnsi="宋体" w:eastAsia="宋体" w:cs="宋体"/>
          <w:bCs/>
          <w:color w:val="auto"/>
          <w:sz w:val="32"/>
          <w:szCs w:val="32"/>
          <w:highlight w:val="none"/>
          <w:lang w:val="en-US" w:eastAsia="zh-CN"/>
        </w:rPr>
        <w:t xml:space="preserve"> </w:t>
      </w:r>
    </w:p>
    <w:p w14:paraId="5521570B">
      <w:pPr>
        <w:snapToGrid w:val="0"/>
        <w:spacing w:before="156"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763D4A33">
      <w:pPr>
        <w:snapToGrid w:val="0"/>
        <w:spacing w:before="156" w:beforeLines="50" w:after="5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70F76B7B">
      <w:pPr>
        <w:snapToGrid w:val="0"/>
        <w:spacing w:before="156" w:beforeLines="50" w:after="50"/>
        <w:ind w:firstLine="720" w:firstLineChars="225"/>
        <w:rPr>
          <w:rFonts w:hint="eastAsia" w:ascii="宋体" w:hAnsi="宋体" w:eastAsia="宋体" w:cs="宋体"/>
          <w:bCs/>
          <w:color w:val="auto"/>
          <w:sz w:val="32"/>
          <w:szCs w:val="32"/>
          <w:highlight w:val="none"/>
        </w:rPr>
      </w:pPr>
    </w:p>
    <w:p w14:paraId="04B39A75">
      <w:pPr>
        <w:pStyle w:val="7"/>
        <w:snapToGrid w:val="0"/>
        <w:spacing w:before="50" w:after="50"/>
        <w:ind w:left="0" w:leftChars="0" w:firstLine="0" w:firstLineChars="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12DA1ED0">
      <w:pPr>
        <w:pStyle w:val="7"/>
        <w:snapToGrid w:val="0"/>
        <w:spacing w:before="50" w:after="50"/>
        <w:ind w:firstLine="720" w:firstLineChars="225"/>
        <w:rPr>
          <w:rFonts w:hint="eastAsia" w:ascii="宋体" w:hAnsi="宋体" w:eastAsia="宋体" w:cs="宋体"/>
          <w:bCs/>
          <w:color w:val="auto"/>
          <w:sz w:val="32"/>
          <w:szCs w:val="32"/>
          <w:highlight w:val="none"/>
        </w:rPr>
      </w:pPr>
    </w:p>
    <w:p w14:paraId="1A424418">
      <w:pPr>
        <w:pStyle w:val="7"/>
        <w:snapToGrid w:val="0"/>
        <w:spacing w:before="50" w:after="50"/>
        <w:ind w:firstLine="720" w:firstLineChars="225"/>
        <w:rPr>
          <w:rFonts w:hint="eastAsia" w:ascii="宋体" w:hAnsi="宋体" w:eastAsia="宋体" w:cs="宋体"/>
          <w:bCs/>
          <w:color w:val="auto"/>
          <w:sz w:val="32"/>
          <w:szCs w:val="32"/>
          <w:highlight w:val="none"/>
        </w:rPr>
      </w:pPr>
    </w:p>
    <w:p w14:paraId="14507DA6">
      <w:pPr>
        <w:pStyle w:val="7"/>
        <w:snapToGrid w:val="0"/>
        <w:spacing w:before="50" w:after="50"/>
        <w:ind w:firstLine="720" w:firstLineChars="225"/>
        <w:rPr>
          <w:rFonts w:hint="eastAsia" w:ascii="宋体" w:hAnsi="宋体" w:eastAsia="宋体" w:cs="宋体"/>
          <w:bCs/>
          <w:color w:val="auto"/>
          <w:sz w:val="32"/>
          <w:szCs w:val="32"/>
          <w:highlight w:val="none"/>
        </w:rPr>
      </w:pPr>
    </w:p>
    <w:p w14:paraId="15EBB104">
      <w:pPr>
        <w:pStyle w:val="7"/>
        <w:snapToGrid w:val="0"/>
        <w:spacing w:before="50" w:after="50"/>
        <w:ind w:firstLine="1280" w:firstLineChars="400"/>
        <w:rPr>
          <w:rFonts w:hint="eastAsia" w:ascii="宋体" w:hAnsi="宋体" w:eastAsia="宋体" w:cs="宋体"/>
          <w:bCs/>
          <w:color w:val="auto"/>
          <w:sz w:val="32"/>
          <w:szCs w:val="32"/>
          <w:highlight w:val="none"/>
        </w:rPr>
      </w:pPr>
    </w:p>
    <w:p w14:paraId="4B21CCF1">
      <w:pPr>
        <w:snapToGrid w:val="0"/>
        <w:spacing w:before="156"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D4ECF35">
      <w:pPr>
        <w:snapToGrid w:val="0"/>
        <w:spacing w:before="156" w:beforeLines="50" w:after="50" w:line="360" w:lineRule="auto"/>
        <w:ind w:left="142"/>
        <w:jc w:val="left"/>
        <w:outlineLvl w:val="2"/>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bookmarkStart w:id="153" w:name="_Toc31135"/>
      <w:r>
        <w:rPr>
          <w:rFonts w:hint="eastAsia" w:ascii="宋体" w:hAnsi="宋体" w:eastAsia="宋体" w:cs="宋体"/>
          <w:b/>
          <w:bCs/>
          <w:color w:val="auto"/>
          <w:sz w:val="32"/>
          <w:szCs w:val="32"/>
          <w:highlight w:val="none"/>
        </w:rPr>
        <w:t>2、资格证明文件目录</w:t>
      </w:r>
      <w:bookmarkEnd w:id="153"/>
    </w:p>
    <w:p w14:paraId="2945EB40">
      <w:pPr>
        <w:snapToGrid w:val="0"/>
        <w:spacing w:before="156" w:beforeLines="50" w:after="50" w:line="360" w:lineRule="auto"/>
        <w:ind w:firstLine="64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根据磋商文件规定及供应商提供的材料自行编写目录（</w:t>
      </w:r>
      <w:r>
        <w:rPr>
          <w:rFonts w:hint="eastAsia" w:ascii="宋体" w:hAnsi="宋体" w:eastAsia="宋体" w:cs="宋体"/>
          <w:b/>
          <w:bCs/>
          <w:color w:val="auto"/>
          <w:sz w:val="28"/>
          <w:szCs w:val="28"/>
          <w:highlight w:val="none"/>
        </w:rPr>
        <w:t>部分格式后附，没有要求部分格式自拟</w:t>
      </w:r>
      <w:r>
        <w:rPr>
          <w:rFonts w:hint="eastAsia" w:ascii="宋体" w:hAnsi="宋体" w:eastAsia="宋体" w:cs="宋体"/>
          <w:color w:val="auto"/>
          <w:sz w:val="28"/>
          <w:szCs w:val="28"/>
          <w:highlight w:val="none"/>
        </w:rPr>
        <w:t>）</w:t>
      </w:r>
    </w:p>
    <w:p w14:paraId="7A962BF1">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（备注：资格证明文件请根据第二章《供应商须知前附表》12.1.1资格证明文件要求按顺序提供）</w:t>
      </w:r>
    </w:p>
    <w:p w14:paraId="7176EE29">
      <w:pPr>
        <w:spacing w:line="300" w:lineRule="auto"/>
        <w:rPr>
          <w:rFonts w:hint="eastAsia" w:ascii="宋体" w:hAnsi="宋体" w:eastAsia="宋体" w:cs="宋体"/>
          <w:color w:val="auto"/>
          <w:szCs w:val="21"/>
          <w:highlight w:val="none"/>
        </w:rPr>
      </w:pPr>
    </w:p>
    <w:p w14:paraId="7A03BAD1">
      <w:pPr>
        <w:spacing w:line="300" w:lineRule="auto"/>
        <w:rPr>
          <w:rFonts w:hint="eastAsia" w:ascii="宋体" w:hAnsi="宋体" w:eastAsia="宋体" w:cs="宋体"/>
          <w:color w:val="auto"/>
          <w:szCs w:val="21"/>
          <w:highlight w:val="none"/>
        </w:rPr>
      </w:pPr>
    </w:p>
    <w:p w14:paraId="1738D485">
      <w:pPr>
        <w:spacing w:line="300" w:lineRule="auto"/>
        <w:rPr>
          <w:rFonts w:hint="eastAsia" w:ascii="宋体" w:hAnsi="宋体" w:eastAsia="宋体" w:cs="宋体"/>
          <w:color w:val="auto"/>
          <w:szCs w:val="21"/>
          <w:highlight w:val="none"/>
        </w:rPr>
      </w:pPr>
    </w:p>
    <w:p w14:paraId="61C8514E">
      <w:pPr>
        <w:spacing w:line="300" w:lineRule="auto"/>
        <w:rPr>
          <w:rFonts w:hint="eastAsia" w:ascii="宋体" w:hAnsi="宋体" w:eastAsia="宋体" w:cs="宋体"/>
          <w:color w:val="auto"/>
          <w:szCs w:val="21"/>
          <w:highlight w:val="none"/>
        </w:rPr>
      </w:pPr>
    </w:p>
    <w:p w14:paraId="02D43E43">
      <w:pPr>
        <w:spacing w:line="300" w:lineRule="auto"/>
        <w:rPr>
          <w:rFonts w:hint="eastAsia" w:ascii="宋体" w:hAnsi="宋体" w:eastAsia="宋体" w:cs="宋体"/>
          <w:color w:val="auto"/>
          <w:szCs w:val="21"/>
          <w:highlight w:val="none"/>
        </w:rPr>
      </w:pPr>
    </w:p>
    <w:p w14:paraId="6A3B5807">
      <w:pPr>
        <w:spacing w:line="300" w:lineRule="auto"/>
        <w:rPr>
          <w:rFonts w:hint="eastAsia" w:ascii="宋体" w:hAnsi="宋体" w:eastAsia="宋体" w:cs="宋体"/>
          <w:color w:val="auto"/>
          <w:szCs w:val="21"/>
          <w:highlight w:val="none"/>
        </w:rPr>
      </w:pPr>
    </w:p>
    <w:p w14:paraId="081758F2">
      <w:pPr>
        <w:spacing w:line="300" w:lineRule="auto"/>
        <w:rPr>
          <w:rFonts w:hint="eastAsia" w:ascii="宋体" w:hAnsi="宋体" w:eastAsia="宋体" w:cs="宋体"/>
          <w:color w:val="auto"/>
          <w:szCs w:val="21"/>
          <w:highlight w:val="none"/>
        </w:rPr>
      </w:pPr>
    </w:p>
    <w:p w14:paraId="43488D7C">
      <w:pPr>
        <w:spacing w:line="300" w:lineRule="auto"/>
        <w:rPr>
          <w:rFonts w:hint="eastAsia" w:ascii="宋体" w:hAnsi="宋体" w:eastAsia="宋体" w:cs="宋体"/>
          <w:color w:val="auto"/>
          <w:szCs w:val="21"/>
          <w:highlight w:val="none"/>
        </w:rPr>
      </w:pPr>
    </w:p>
    <w:p w14:paraId="5E8E2BDA">
      <w:pPr>
        <w:spacing w:line="300" w:lineRule="auto"/>
        <w:rPr>
          <w:rFonts w:hint="eastAsia" w:ascii="宋体" w:hAnsi="宋体" w:eastAsia="宋体" w:cs="宋体"/>
          <w:color w:val="auto"/>
          <w:szCs w:val="21"/>
          <w:highlight w:val="none"/>
        </w:rPr>
      </w:pPr>
    </w:p>
    <w:p w14:paraId="039945AE">
      <w:pPr>
        <w:spacing w:line="300" w:lineRule="auto"/>
        <w:rPr>
          <w:rFonts w:hint="eastAsia" w:ascii="宋体" w:hAnsi="宋体" w:eastAsia="宋体" w:cs="宋体"/>
          <w:color w:val="auto"/>
          <w:szCs w:val="21"/>
          <w:highlight w:val="none"/>
        </w:rPr>
      </w:pPr>
    </w:p>
    <w:p w14:paraId="13E7FC26">
      <w:pPr>
        <w:spacing w:line="300" w:lineRule="auto"/>
        <w:rPr>
          <w:rFonts w:hint="eastAsia" w:ascii="宋体" w:hAnsi="宋体" w:eastAsia="宋体" w:cs="宋体"/>
          <w:color w:val="auto"/>
          <w:szCs w:val="21"/>
          <w:highlight w:val="none"/>
        </w:rPr>
      </w:pPr>
    </w:p>
    <w:p w14:paraId="07D9060D">
      <w:pPr>
        <w:spacing w:line="300" w:lineRule="auto"/>
        <w:rPr>
          <w:rFonts w:hint="eastAsia" w:ascii="宋体" w:hAnsi="宋体" w:eastAsia="宋体" w:cs="宋体"/>
          <w:color w:val="auto"/>
          <w:szCs w:val="21"/>
          <w:highlight w:val="none"/>
        </w:rPr>
      </w:pPr>
    </w:p>
    <w:p w14:paraId="30705C3E">
      <w:pPr>
        <w:spacing w:line="300" w:lineRule="auto"/>
        <w:rPr>
          <w:rFonts w:hint="eastAsia" w:ascii="宋体" w:hAnsi="宋体" w:eastAsia="宋体" w:cs="宋体"/>
          <w:color w:val="auto"/>
          <w:szCs w:val="21"/>
          <w:highlight w:val="none"/>
        </w:rPr>
      </w:pPr>
    </w:p>
    <w:p w14:paraId="1753B822">
      <w:pPr>
        <w:spacing w:line="300" w:lineRule="auto"/>
        <w:rPr>
          <w:rFonts w:hint="eastAsia" w:ascii="宋体" w:hAnsi="宋体" w:eastAsia="宋体" w:cs="宋体"/>
          <w:color w:val="auto"/>
          <w:szCs w:val="21"/>
          <w:highlight w:val="none"/>
        </w:rPr>
      </w:pPr>
    </w:p>
    <w:p w14:paraId="1E301E61">
      <w:pPr>
        <w:spacing w:line="3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541E94D0">
      <w:pPr>
        <w:spacing w:line="360" w:lineRule="auto"/>
        <w:jc w:val="center"/>
        <w:outlineLvl w:val="3"/>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贺州市政府采购供应商信用承诺函（格式）</w:t>
      </w:r>
    </w:p>
    <w:p w14:paraId="5E05AF2E">
      <w:pPr>
        <w:spacing w:line="320" w:lineRule="exact"/>
        <w:jc w:val="left"/>
        <w:rPr>
          <w:rFonts w:hint="eastAsia" w:ascii="宋体" w:hAnsi="宋体" w:eastAsia="宋体" w:cs="宋体"/>
          <w:color w:val="auto"/>
          <w:szCs w:val="21"/>
          <w:highlight w:val="none"/>
        </w:rPr>
      </w:pPr>
    </w:p>
    <w:p w14:paraId="345DE841">
      <w:pPr>
        <w:spacing w:line="320" w:lineRule="exact"/>
        <w:jc w:val="left"/>
        <w:rPr>
          <w:rFonts w:hint="eastAsia" w:ascii="宋体" w:hAnsi="宋体" w:eastAsia="宋体" w:cs="宋体"/>
          <w:color w:val="auto"/>
          <w:szCs w:val="21"/>
          <w:highlight w:val="none"/>
        </w:rPr>
      </w:pPr>
    </w:p>
    <w:p w14:paraId="3CAB104A">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致（采购人或采购代理机构）：</w:t>
      </w:r>
    </w:p>
    <w:p w14:paraId="40E5B88A">
      <w:pPr>
        <w:spacing w:line="320" w:lineRule="exact"/>
        <w:jc w:val="left"/>
        <w:rPr>
          <w:rFonts w:hint="eastAsia" w:ascii="宋体" w:hAnsi="宋体" w:eastAsia="宋体" w:cs="宋体"/>
          <w:color w:val="auto"/>
          <w:sz w:val="24"/>
          <w:highlight w:val="none"/>
        </w:rPr>
      </w:pPr>
    </w:p>
    <w:p w14:paraId="6A6B5877">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p>
    <w:p w14:paraId="259B97BE">
      <w:pPr>
        <w:spacing w:line="320" w:lineRule="exact"/>
        <w:jc w:val="left"/>
        <w:rPr>
          <w:rFonts w:hint="eastAsia" w:ascii="宋体" w:hAnsi="宋体" w:eastAsia="宋体" w:cs="宋体"/>
          <w:color w:val="auto"/>
          <w:sz w:val="24"/>
          <w:highlight w:val="none"/>
        </w:rPr>
      </w:pPr>
    </w:p>
    <w:p w14:paraId="4465B8FB">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统一社会信用代码：</w:t>
      </w:r>
    </w:p>
    <w:p w14:paraId="0FA053AA">
      <w:pPr>
        <w:spacing w:line="320" w:lineRule="exact"/>
        <w:jc w:val="left"/>
        <w:rPr>
          <w:rFonts w:hint="eastAsia" w:ascii="宋体" w:hAnsi="宋体" w:eastAsia="宋体" w:cs="宋体"/>
          <w:color w:val="auto"/>
          <w:sz w:val="24"/>
          <w:highlight w:val="none"/>
        </w:rPr>
      </w:pPr>
    </w:p>
    <w:p w14:paraId="20D00F0F">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供应商地址：</w:t>
      </w:r>
    </w:p>
    <w:p w14:paraId="10D3AB4E">
      <w:pPr>
        <w:spacing w:line="320" w:lineRule="exact"/>
        <w:jc w:val="left"/>
        <w:rPr>
          <w:rFonts w:hint="eastAsia" w:ascii="宋体" w:hAnsi="宋体" w:eastAsia="宋体" w:cs="宋体"/>
          <w:color w:val="auto"/>
          <w:sz w:val="24"/>
          <w:highlight w:val="none"/>
        </w:rPr>
      </w:pPr>
    </w:p>
    <w:p w14:paraId="7FA297A4">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1EA19773">
      <w:pPr>
        <w:spacing w:line="320" w:lineRule="exact"/>
        <w:jc w:val="left"/>
        <w:rPr>
          <w:rFonts w:hint="eastAsia" w:ascii="宋体" w:hAnsi="宋体" w:eastAsia="宋体" w:cs="宋体"/>
          <w:color w:val="auto"/>
          <w:sz w:val="24"/>
          <w:highlight w:val="none"/>
        </w:rPr>
      </w:pPr>
    </w:p>
    <w:p w14:paraId="69D3C6ED">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1.我单位具有符合采购文件资格要求独立承担民事责任的能力。</w:t>
      </w:r>
    </w:p>
    <w:p w14:paraId="39B21ED5">
      <w:pPr>
        <w:spacing w:line="320" w:lineRule="exact"/>
        <w:jc w:val="left"/>
        <w:rPr>
          <w:rFonts w:hint="eastAsia" w:ascii="宋体" w:hAnsi="宋体" w:eastAsia="宋体" w:cs="宋体"/>
          <w:color w:val="auto"/>
          <w:sz w:val="24"/>
          <w:highlight w:val="none"/>
        </w:rPr>
      </w:pPr>
    </w:p>
    <w:p w14:paraId="06AB8B8E">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2.我单位具有符合采购文件资格要求的财务状况报告。</w:t>
      </w:r>
    </w:p>
    <w:p w14:paraId="01EF3107">
      <w:pPr>
        <w:spacing w:line="320" w:lineRule="exact"/>
        <w:jc w:val="left"/>
        <w:rPr>
          <w:rFonts w:hint="eastAsia" w:ascii="宋体" w:hAnsi="宋体" w:eastAsia="宋体" w:cs="宋体"/>
          <w:color w:val="auto"/>
          <w:sz w:val="24"/>
          <w:highlight w:val="none"/>
        </w:rPr>
      </w:pPr>
    </w:p>
    <w:p w14:paraId="4D2AC4A9">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3.我单位具有符合采购文件资格要求的依法缴纳税收和社会保障记录的良好记录。</w:t>
      </w:r>
    </w:p>
    <w:p w14:paraId="06D2BF20">
      <w:pPr>
        <w:spacing w:line="320" w:lineRule="exact"/>
        <w:jc w:val="left"/>
        <w:rPr>
          <w:rFonts w:hint="eastAsia" w:ascii="宋体" w:hAnsi="宋体" w:eastAsia="宋体" w:cs="宋体"/>
          <w:color w:val="auto"/>
          <w:sz w:val="24"/>
          <w:highlight w:val="none"/>
        </w:rPr>
      </w:pPr>
    </w:p>
    <w:p w14:paraId="54F2CA15">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4.我单位具有符合采购文件资格要求履行合同所必需的设备和专业技术能力。</w:t>
      </w:r>
    </w:p>
    <w:p w14:paraId="3B558C63">
      <w:pPr>
        <w:spacing w:line="320" w:lineRule="exact"/>
        <w:jc w:val="left"/>
        <w:rPr>
          <w:rFonts w:hint="eastAsia" w:ascii="宋体" w:hAnsi="宋体" w:eastAsia="宋体" w:cs="宋体"/>
          <w:color w:val="auto"/>
          <w:sz w:val="24"/>
          <w:highlight w:val="none"/>
        </w:rPr>
      </w:pPr>
    </w:p>
    <w:p w14:paraId="5EA0E79C">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7A3C665">
      <w:pPr>
        <w:spacing w:line="320" w:lineRule="exact"/>
        <w:jc w:val="left"/>
        <w:rPr>
          <w:rFonts w:hint="eastAsia" w:ascii="宋体" w:hAnsi="宋体" w:eastAsia="宋体" w:cs="宋体"/>
          <w:color w:val="auto"/>
          <w:sz w:val="24"/>
          <w:highlight w:val="none"/>
        </w:rPr>
      </w:pPr>
    </w:p>
    <w:p w14:paraId="043F69AC">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若我单位承诺不实，自愿承担提供虚假材料谋取中标、成交的法律责任。</w:t>
      </w:r>
    </w:p>
    <w:p w14:paraId="6123B33B">
      <w:pPr>
        <w:spacing w:line="320" w:lineRule="exact"/>
        <w:jc w:val="left"/>
        <w:rPr>
          <w:rFonts w:hint="eastAsia" w:ascii="宋体" w:hAnsi="宋体" w:eastAsia="宋体" w:cs="宋体"/>
          <w:color w:val="auto"/>
          <w:sz w:val="24"/>
          <w:highlight w:val="none"/>
        </w:rPr>
      </w:pPr>
    </w:p>
    <w:p w14:paraId="5517BB18">
      <w:pPr>
        <w:spacing w:line="320" w:lineRule="exact"/>
        <w:jc w:val="left"/>
        <w:rPr>
          <w:rFonts w:hint="eastAsia" w:ascii="宋体" w:hAnsi="宋体" w:eastAsia="宋体" w:cs="宋体"/>
          <w:color w:val="auto"/>
          <w:sz w:val="24"/>
          <w:highlight w:val="none"/>
        </w:rPr>
      </w:pPr>
    </w:p>
    <w:p w14:paraId="513E5DB0">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6EF48549">
      <w:pPr>
        <w:spacing w:line="320" w:lineRule="exact"/>
        <w:jc w:val="left"/>
        <w:rPr>
          <w:rFonts w:hint="eastAsia" w:ascii="宋体" w:hAnsi="宋体" w:eastAsia="宋体" w:cs="宋体"/>
          <w:color w:val="auto"/>
          <w:sz w:val="24"/>
          <w:highlight w:val="none"/>
        </w:rPr>
      </w:pPr>
    </w:p>
    <w:p w14:paraId="608ECF61">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法定代表人或授权代表(签名)：</w:t>
      </w:r>
    </w:p>
    <w:p w14:paraId="5C116D74">
      <w:pPr>
        <w:spacing w:line="320" w:lineRule="exact"/>
        <w:jc w:val="left"/>
        <w:rPr>
          <w:rFonts w:hint="eastAsia" w:ascii="宋体" w:hAnsi="宋体" w:eastAsia="宋体" w:cs="宋体"/>
          <w:color w:val="auto"/>
          <w:sz w:val="24"/>
          <w:highlight w:val="none"/>
        </w:rPr>
      </w:pPr>
    </w:p>
    <w:p w14:paraId="27AAC15A">
      <w:pPr>
        <w:spacing w:line="320" w:lineRule="exact"/>
        <w:jc w:val="left"/>
        <w:rPr>
          <w:rFonts w:hint="eastAsia" w:ascii="宋体" w:hAnsi="宋体" w:eastAsia="宋体" w:cs="宋体"/>
          <w:color w:val="auto"/>
          <w:sz w:val="24"/>
          <w:highlight w:val="none"/>
        </w:rPr>
      </w:pPr>
    </w:p>
    <w:p w14:paraId="7A656B66">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61109739">
      <w:pPr>
        <w:spacing w:line="320" w:lineRule="exact"/>
        <w:jc w:val="left"/>
        <w:rPr>
          <w:rFonts w:hint="eastAsia" w:ascii="宋体" w:hAnsi="宋体" w:eastAsia="宋体" w:cs="宋体"/>
          <w:color w:val="auto"/>
          <w:sz w:val="24"/>
          <w:highlight w:val="none"/>
        </w:rPr>
      </w:pPr>
    </w:p>
    <w:p w14:paraId="06494B3F">
      <w:pPr>
        <w:spacing w:line="320" w:lineRule="exact"/>
        <w:jc w:val="left"/>
        <w:rPr>
          <w:rFonts w:hint="eastAsia" w:ascii="宋体" w:hAnsi="宋体" w:eastAsia="宋体" w:cs="宋体"/>
          <w:color w:val="auto"/>
          <w:sz w:val="24"/>
          <w:highlight w:val="none"/>
        </w:rPr>
      </w:pPr>
    </w:p>
    <w:p w14:paraId="3E138A1A">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注：1.供应商须在投标（响应）文件中按此模板提供承诺函，未提供视为未实质性响应招标（采购）文件要求，按无效投标（响应）处理。</w:t>
      </w:r>
    </w:p>
    <w:p w14:paraId="47AF544A">
      <w:pPr>
        <w:spacing w:line="320" w:lineRule="exact"/>
        <w:jc w:val="left"/>
        <w:rPr>
          <w:rFonts w:hint="eastAsia" w:ascii="宋体" w:hAnsi="宋体" w:eastAsia="宋体" w:cs="宋体"/>
          <w:color w:val="auto"/>
          <w:sz w:val="24"/>
          <w:highlight w:val="none"/>
        </w:rPr>
      </w:pPr>
    </w:p>
    <w:p w14:paraId="218680DF">
      <w:pPr>
        <w:spacing w:line="3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2.供应商的法定代表人（其他组织的为负责人）或者授权代表的签名或盖章应真实、有效，如由授权代表签名或盖章的，应提供“法定代表人授权书”。</w:t>
      </w:r>
    </w:p>
    <w:p w14:paraId="55725A57">
      <w:pPr>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2760321A">
      <w:pPr>
        <w:spacing w:line="360" w:lineRule="auto"/>
        <w:jc w:val="center"/>
        <w:outlineLvl w:val="3"/>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rPr>
        <w:t>供应商直接控股、管理关系信息表</w:t>
      </w:r>
    </w:p>
    <w:p w14:paraId="6B5DDDDE">
      <w:pPr>
        <w:spacing w:line="360" w:lineRule="auto"/>
        <w:contextualSpacing/>
        <w:jc w:val="center"/>
        <w:rPr>
          <w:rFonts w:hint="eastAsia" w:ascii="宋体" w:hAnsi="宋体" w:eastAsia="宋体" w:cs="宋体"/>
          <w:b/>
          <w:color w:val="auto"/>
          <w:sz w:val="32"/>
          <w:szCs w:val="32"/>
          <w:highlight w:val="none"/>
        </w:rPr>
      </w:pPr>
    </w:p>
    <w:p w14:paraId="320DFCF1">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rPr>
        <w:t>供应商直接控股股东信息表</w:t>
      </w:r>
    </w:p>
    <w:tbl>
      <w:tblPr>
        <w:tblStyle w:val="22"/>
        <w:tblW w:w="9330" w:type="dxa"/>
        <w:jc w:val="center"/>
        <w:shd w:val="clear" w:color="auto" w:fill="FBFBFB"/>
        <w:tblLayout w:type="fixed"/>
        <w:tblCellMar>
          <w:top w:w="0" w:type="dxa"/>
          <w:left w:w="0" w:type="dxa"/>
          <w:bottom w:w="0" w:type="dxa"/>
          <w:right w:w="0" w:type="dxa"/>
        </w:tblCellMar>
      </w:tblPr>
      <w:tblGrid>
        <w:gridCol w:w="735"/>
        <w:gridCol w:w="2235"/>
        <w:gridCol w:w="1290"/>
        <w:gridCol w:w="4020"/>
        <w:gridCol w:w="1050"/>
      </w:tblGrid>
      <w:tr w14:paraId="0E8EA96D">
        <w:tblPrEx>
          <w:shd w:val="clear" w:color="auto" w:fill="FBFBFB"/>
          <w:tblCellMar>
            <w:top w:w="0" w:type="dxa"/>
            <w:left w:w="0" w:type="dxa"/>
            <w:bottom w:w="0" w:type="dxa"/>
            <w:right w:w="0" w:type="dxa"/>
          </w:tblCellMar>
        </w:tblPrEx>
        <w:trPr>
          <w:tblHeade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52CE96">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BF0F4A9">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直接控股股东名称</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8F88BF">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出资比例</w:t>
            </w:r>
          </w:p>
        </w:tc>
        <w:tc>
          <w:tcPr>
            <w:tcW w:w="402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B9AC83">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身份证号码或者统一社会信用代码</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5D99BE">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7D21A2A0">
        <w:tblPrEx>
          <w:tblCellMar>
            <w:top w:w="0" w:type="dxa"/>
            <w:left w:w="0" w:type="dxa"/>
            <w:bottom w:w="0" w:type="dxa"/>
            <w:right w:w="0" w:type="dxa"/>
          </w:tblCellMar>
        </w:tblPrEx>
        <w:trP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DEF30E">
            <w:pPr>
              <w:widowControl/>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0F00DC">
            <w:pPr>
              <w:widowControl/>
              <w:spacing w:line="360" w:lineRule="auto"/>
              <w:contextualSpacing/>
              <w:jc w:val="center"/>
              <w:rPr>
                <w:rFonts w:hint="eastAsia" w:ascii="宋体" w:hAnsi="宋体" w:eastAsia="宋体" w:cs="宋体"/>
                <w:color w:val="auto"/>
                <w:kern w:val="0"/>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261781">
            <w:pPr>
              <w:widowControl/>
              <w:spacing w:line="360" w:lineRule="auto"/>
              <w:contextualSpacing/>
              <w:jc w:val="center"/>
              <w:rPr>
                <w:rFonts w:hint="eastAsia" w:ascii="宋体" w:hAnsi="宋体" w:eastAsia="宋体" w:cs="宋体"/>
                <w:color w:val="auto"/>
                <w:kern w:val="0"/>
                <w:sz w:val="24"/>
                <w:szCs w:val="24"/>
                <w:highlight w:val="none"/>
              </w:rPr>
            </w:pPr>
          </w:p>
        </w:tc>
        <w:tc>
          <w:tcPr>
            <w:tcW w:w="402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34D311">
            <w:pPr>
              <w:widowControl/>
              <w:spacing w:line="360" w:lineRule="auto"/>
              <w:contextualSpacing/>
              <w:jc w:val="center"/>
              <w:rPr>
                <w:rFonts w:hint="eastAsia" w:ascii="宋体" w:hAnsi="宋体" w:eastAsia="宋体" w:cs="宋体"/>
                <w:color w:val="auto"/>
                <w:kern w:val="0"/>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86E958">
            <w:pPr>
              <w:widowControl/>
              <w:spacing w:line="360" w:lineRule="auto"/>
              <w:contextualSpacing/>
              <w:jc w:val="center"/>
              <w:rPr>
                <w:rFonts w:hint="eastAsia" w:ascii="宋体" w:hAnsi="宋体" w:eastAsia="宋体" w:cs="宋体"/>
                <w:color w:val="auto"/>
                <w:kern w:val="0"/>
                <w:sz w:val="24"/>
                <w:szCs w:val="24"/>
                <w:highlight w:val="none"/>
              </w:rPr>
            </w:pPr>
          </w:p>
        </w:tc>
      </w:tr>
      <w:tr w14:paraId="22D9BF28">
        <w:tblPrEx>
          <w:tblCellMar>
            <w:top w:w="0" w:type="dxa"/>
            <w:left w:w="0" w:type="dxa"/>
            <w:bottom w:w="0" w:type="dxa"/>
            <w:right w:w="0" w:type="dxa"/>
          </w:tblCellMar>
        </w:tblPrEx>
        <w:trP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9B4705">
            <w:pPr>
              <w:widowControl/>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2B59D4">
            <w:pPr>
              <w:widowControl/>
              <w:spacing w:line="360" w:lineRule="auto"/>
              <w:contextualSpacing/>
              <w:jc w:val="center"/>
              <w:rPr>
                <w:rFonts w:hint="eastAsia" w:ascii="宋体" w:hAnsi="宋体" w:eastAsia="宋体" w:cs="宋体"/>
                <w:color w:val="auto"/>
                <w:kern w:val="0"/>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4A1511">
            <w:pPr>
              <w:widowControl/>
              <w:spacing w:line="360" w:lineRule="auto"/>
              <w:contextualSpacing/>
              <w:jc w:val="center"/>
              <w:rPr>
                <w:rFonts w:hint="eastAsia" w:ascii="宋体" w:hAnsi="宋体" w:eastAsia="宋体" w:cs="宋体"/>
                <w:color w:val="auto"/>
                <w:kern w:val="0"/>
                <w:sz w:val="24"/>
                <w:szCs w:val="24"/>
                <w:highlight w:val="none"/>
              </w:rPr>
            </w:pPr>
          </w:p>
        </w:tc>
        <w:tc>
          <w:tcPr>
            <w:tcW w:w="402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F84ADF">
            <w:pPr>
              <w:widowControl/>
              <w:spacing w:line="360" w:lineRule="auto"/>
              <w:contextualSpacing/>
              <w:jc w:val="center"/>
              <w:rPr>
                <w:rFonts w:hint="eastAsia" w:ascii="宋体" w:hAnsi="宋体" w:eastAsia="宋体" w:cs="宋体"/>
                <w:color w:val="auto"/>
                <w:kern w:val="0"/>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90737F">
            <w:pPr>
              <w:widowControl/>
              <w:spacing w:line="360" w:lineRule="auto"/>
              <w:contextualSpacing/>
              <w:jc w:val="center"/>
              <w:rPr>
                <w:rFonts w:hint="eastAsia" w:ascii="宋体" w:hAnsi="宋体" w:eastAsia="宋体" w:cs="宋体"/>
                <w:color w:val="auto"/>
                <w:kern w:val="0"/>
                <w:sz w:val="24"/>
                <w:szCs w:val="24"/>
                <w:highlight w:val="none"/>
              </w:rPr>
            </w:pPr>
          </w:p>
        </w:tc>
      </w:tr>
      <w:tr w14:paraId="3580BB91">
        <w:tblPrEx>
          <w:tblCellMar>
            <w:top w:w="0" w:type="dxa"/>
            <w:left w:w="0" w:type="dxa"/>
            <w:bottom w:w="0" w:type="dxa"/>
            <w:right w:w="0" w:type="dxa"/>
          </w:tblCellMar>
        </w:tblPrEx>
        <w:trP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E0B967">
            <w:pPr>
              <w:widowControl/>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96A7AE">
            <w:pPr>
              <w:widowControl/>
              <w:spacing w:line="360" w:lineRule="auto"/>
              <w:contextualSpacing/>
              <w:jc w:val="center"/>
              <w:rPr>
                <w:rFonts w:hint="eastAsia" w:ascii="宋体" w:hAnsi="宋体" w:eastAsia="宋体" w:cs="宋体"/>
                <w:color w:val="auto"/>
                <w:kern w:val="0"/>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6FE2FE">
            <w:pPr>
              <w:widowControl/>
              <w:spacing w:line="360" w:lineRule="auto"/>
              <w:contextualSpacing/>
              <w:jc w:val="center"/>
              <w:rPr>
                <w:rFonts w:hint="eastAsia" w:ascii="宋体" w:hAnsi="宋体" w:eastAsia="宋体" w:cs="宋体"/>
                <w:color w:val="auto"/>
                <w:kern w:val="0"/>
                <w:sz w:val="24"/>
                <w:szCs w:val="24"/>
                <w:highlight w:val="none"/>
              </w:rPr>
            </w:pPr>
          </w:p>
        </w:tc>
        <w:tc>
          <w:tcPr>
            <w:tcW w:w="402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CDD2DE">
            <w:pPr>
              <w:widowControl/>
              <w:spacing w:line="360" w:lineRule="auto"/>
              <w:contextualSpacing/>
              <w:jc w:val="center"/>
              <w:rPr>
                <w:rFonts w:hint="eastAsia" w:ascii="宋体" w:hAnsi="宋体" w:eastAsia="宋体" w:cs="宋体"/>
                <w:color w:val="auto"/>
                <w:kern w:val="0"/>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C04872">
            <w:pPr>
              <w:widowControl/>
              <w:spacing w:line="360" w:lineRule="auto"/>
              <w:contextualSpacing/>
              <w:jc w:val="center"/>
              <w:rPr>
                <w:rFonts w:hint="eastAsia" w:ascii="宋体" w:hAnsi="宋体" w:eastAsia="宋体" w:cs="宋体"/>
                <w:color w:val="auto"/>
                <w:kern w:val="0"/>
                <w:sz w:val="24"/>
                <w:szCs w:val="24"/>
                <w:highlight w:val="none"/>
              </w:rPr>
            </w:pPr>
          </w:p>
        </w:tc>
      </w:tr>
      <w:tr w14:paraId="65A1EA53">
        <w:tblPrEx>
          <w:tblCellMar>
            <w:top w:w="0" w:type="dxa"/>
            <w:left w:w="0" w:type="dxa"/>
            <w:bottom w:w="0" w:type="dxa"/>
            <w:right w:w="0" w:type="dxa"/>
          </w:tblCellMar>
        </w:tblPrEx>
        <w:trP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264A3D">
            <w:pPr>
              <w:widowControl/>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7DE72B">
            <w:pPr>
              <w:widowControl/>
              <w:spacing w:line="360" w:lineRule="auto"/>
              <w:contextualSpacing/>
              <w:jc w:val="center"/>
              <w:rPr>
                <w:rFonts w:hint="eastAsia" w:ascii="宋体" w:hAnsi="宋体" w:eastAsia="宋体" w:cs="宋体"/>
                <w:color w:val="auto"/>
                <w:kern w:val="0"/>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739F2D">
            <w:pPr>
              <w:widowControl/>
              <w:spacing w:line="360" w:lineRule="auto"/>
              <w:contextualSpacing/>
              <w:jc w:val="center"/>
              <w:rPr>
                <w:rFonts w:hint="eastAsia" w:ascii="宋体" w:hAnsi="宋体" w:eastAsia="宋体" w:cs="宋体"/>
                <w:color w:val="auto"/>
                <w:kern w:val="0"/>
                <w:sz w:val="24"/>
                <w:szCs w:val="24"/>
                <w:highlight w:val="none"/>
              </w:rPr>
            </w:pPr>
          </w:p>
        </w:tc>
        <w:tc>
          <w:tcPr>
            <w:tcW w:w="402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2E77B9">
            <w:pPr>
              <w:widowControl/>
              <w:spacing w:line="360" w:lineRule="auto"/>
              <w:contextualSpacing/>
              <w:jc w:val="center"/>
              <w:rPr>
                <w:rFonts w:hint="eastAsia" w:ascii="宋体" w:hAnsi="宋体" w:eastAsia="宋体" w:cs="宋体"/>
                <w:color w:val="auto"/>
                <w:kern w:val="0"/>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4BEE2D">
            <w:pPr>
              <w:widowControl/>
              <w:spacing w:line="360" w:lineRule="auto"/>
              <w:contextualSpacing/>
              <w:jc w:val="center"/>
              <w:rPr>
                <w:rFonts w:hint="eastAsia" w:ascii="宋体" w:hAnsi="宋体" w:eastAsia="宋体" w:cs="宋体"/>
                <w:color w:val="auto"/>
                <w:kern w:val="0"/>
                <w:sz w:val="24"/>
                <w:szCs w:val="24"/>
                <w:highlight w:val="none"/>
              </w:rPr>
            </w:pPr>
          </w:p>
        </w:tc>
      </w:tr>
    </w:tbl>
    <w:p w14:paraId="02F410E2">
      <w:pPr>
        <w:spacing w:line="360" w:lineRule="auto"/>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5567860E">
      <w:pPr>
        <w:spacing w:line="360" w:lineRule="auto"/>
        <w:ind w:firstLine="480"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DAAB9E5">
      <w:pPr>
        <w:spacing w:line="360" w:lineRule="auto"/>
        <w:ind w:firstLine="480"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2、本表所指的控股关系仅限于直接控股关系，不包括间接的控股关系。公司实际控制人与公司之间的关系不属于本表所指的直接控股关系。</w:t>
      </w:r>
    </w:p>
    <w:p w14:paraId="48716214">
      <w:pPr>
        <w:spacing w:line="360" w:lineRule="auto"/>
        <w:ind w:firstLine="480" w:firstLineChars="200"/>
        <w:contextualSpacing/>
        <w:jc w:val="left"/>
        <w:outlineLvl w:val="2"/>
        <w:rPr>
          <w:rFonts w:hint="eastAsia" w:ascii="宋体" w:hAnsi="宋体" w:eastAsia="宋体" w:cs="宋体"/>
          <w:color w:val="auto"/>
          <w:sz w:val="24"/>
          <w:szCs w:val="24"/>
          <w:highlight w:val="none"/>
        </w:rPr>
      </w:pPr>
      <w:bookmarkStart w:id="154" w:name="_Toc13123"/>
      <w:r>
        <w:rPr>
          <w:rFonts w:hint="eastAsia" w:ascii="宋体" w:hAnsi="宋体" w:eastAsia="宋体" w:cs="宋体"/>
          <w:color w:val="auto"/>
          <w:sz w:val="24"/>
          <w:szCs w:val="24"/>
          <w:highlight w:val="none"/>
        </w:rPr>
        <w:t>3、供应商不存在直接控股股东的，则填“无”。</w:t>
      </w:r>
      <w:bookmarkEnd w:id="154"/>
    </w:p>
    <w:p w14:paraId="7F4C0358">
      <w:pPr>
        <w:snapToGrid w:val="0"/>
        <w:spacing w:line="360" w:lineRule="auto"/>
        <w:jc w:val="left"/>
        <w:rPr>
          <w:rFonts w:hint="eastAsia" w:ascii="宋体" w:hAnsi="宋体" w:eastAsia="宋体" w:cs="宋体"/>
          <w:color w:val="auto"/>
          <w:sz w:val="24"/>
          <w:szCs w:val="24"/>
          <w:highlight w:val="none"/>
        </w:rPr>
      </w:pPr>
    </w:p>
    <w:p w14:paraId="5F4FB99E">
      <w:pPr>
        <w:snapToGrid w:val="0"/>
        <w:spacing w:line="360" w:lineRule="auto"/>
        <w:jc w:val="left"/>
        <w:rPr>
          <w:rFonts w:hint="eastAsia" w:ascii="宋体" w:hAnsi="宋体" w:eastAsia="宋体" w:cs="宋体"/>
          <w:color w:val="auto"/>
          <w:sz w:val="24"/>
          <w:szCs w:val="24"/>
          <w:highlight w:val="none"/>
        </w:rPr>
      </w:pPr>
    </w:p>
    <w:p w14:paraId="7CC92A27">
      <w:pPr>
        <w:snapToGrid w:val="0"/>
        <w:spacing w:line="360" w:lineRule="auto"/>
        <w:jc w:val="left"/>
        <w:rPr>
          <w:rFonts w:hint="eastAsia" w:ascii="宋体" w:hAnsi="宋体" w:eastAsia="宋体" w:cs="宋体"/>
          <w:color w:val="auto"/>
          <w:sz w:val="24"/>
          <w:szCs w:val="24"/>
          <w:highlight w:val="none"/>
        </w:rPr>
      </w:pPr>
    </w:p>
    <w:p w14:paraId="7398FEE0">
      <w:pPr>
        <w:snapToGrid w:val="0"/>
        <w:spacing w:before="156" w:beforeLines="50" w:line="360" w:lineRule="auto"/>
        <w:ind w:right="480" w:firstLine="1920" w:firstLineChars="8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法定代表人或者委托代理人（签字或盖章）：</w:t>
      </w:r>
      <w:r>
        <w:rPr>
          <w:rFonts w:hint="eastAsia" w:ascii="宋体" w:hAnsi="宋体" w:eastAsia="宋体" w:cs="宋体"/>
          <w:color w:val="auto"/>
          <w:sz w:val="24"/>
          <w:szCs w:val="24"/>
          <w:highlight w:val="none"/>
          <w:u w:val="single"/>
        </w:rPr>
        <w:t xml:space="preserve">                </w:t>
      </w:r>
    </w:p>
    <w:p w14:paraId="1E5CB0EC">
      <w:pPr>
        <w:snapToGrid w:val="0"/>
        <w:spacing w:before="156" w:beforeLines="50" w:after="50" w:line="360" w:lineRule="auto"/>
        <w:ind w:right="480" w:firstLine="3000" w:firstLineChars="12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供应商（公章或电子签章 ）：</w:t>
      </w:r>
      <w:r>
        <w:rPr>
          <w:rFonts w:hint="eastAsia" w:ascii="宋体" w:hAnsi="宋体" w:eastAsia="宋体" w:cs="宋体"/>
          <w:color w:val="auto"/>
          <w:sz w:val="24"/>
          <w:szCs w:val="24"/>
          <w:highlight w:val="none"/>
          <w:u w:val="single"/>
        </w:rPr>
        <w:t xml:space="preserve">                    </w:t>
      </w:r>
    </w:p>
    <w:p w14:paraId="2DFEFACA">
      <w:pPr>
        <w:snapToGrid w:val="0"/>
        <w:spacing w:before="156" w:beforeLines="50" w:after="50" w:line="360" w:lineRule="auto"/>
        <w:ind w:right="480" w:firstLine="5280" w:firstLineChars="2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年    月    日</w:t>
      </w:r>
    </w:p>
    <w:p w14:paraId="2940D41E">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供应商直接管理关系信息表</w:t>
      </w:r>
    </w:p>
    <w:tbl>
      <w:tblPr>
        <w:tblStyle w:val="22"/>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2C88024">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4D380A">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4B7BC6">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0E944A2">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2FB8F4">
            <w:pPr>
              <w:widowControl/>
              <w:spacing w:line="360" w:lineRule="auto"/>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35EC9CA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B145CA">
            <w:pPr>
              <w:widowControl/>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341F58">
            <w:pPr>
              <w:widowControl/>
              <w:spacing w:line="360" w:lineRule="auto"/>
              <w:contextualSpacing/>
              <w:jc w:val="center"/>
              <w:rPr>
                <w:rFonts w:hint="eastAsia"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0A8DAC">
            <w:pPr>
              <w:widowControl/>
              <w:spacing w:line="360" w:lineRule="auto"/>
              <w:contextualSpacing/>
              <w:jc w:val="center"/>
              <w:rPr>
                <w:rFonts w:hint="eastAsia"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335C5E">
            <w:pPr>
              <w:widowControl/>
              <w:spacing w:line="360" w:lineRule="auto"/>
              <w:contextualSpacing/>
              <w:jc w:val="center"/>
              <w:rPr>
                <w:rFonts w:hint="eastAsia" w:ascii="宋体" w:hAnsi="宋体" w:eastAsia="宋体" w:cs="宋体"/>
                <w:color w:val="auto"/>
                <w:kern w:val="0"/>
                <w:sz w:val="24"/>
                <w:szCs w:val="24"/>
                <w:highlight w:val="none"/>
              </w:rPr>
            </w:pPr>
          </w:p>
        </w:tc>
      </w:tr>
      <w:tr w14:paraId="03AA32B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A6C1617">
            <w:pPr>
              <w:widowControl/>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6770B2">
            <w:pPr>
              <w:widowControl/>
              <w:spacing w:line="360" w:lineRule="auto"/>
              <w:contextualSpacing/>
              <w:jc w:val="center"/>
              <w:rPr>
                <w:rFonts w:hint="eastAsia"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827766">
            <w:pPr>
              <w:widowControl/>
              <w:spacing w:line="360" w:lineRule="auto"/>
              <w:contextualSpacing/>
              <w:jc w:val="center"/>
              <w:rPr>
                <w:rFonts w:hint="eastAsia"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24012D">
            <w:pPr>
              <w:widowControl/>
              <w:spacing w:line="360" w:lineRule="auto"/>
              <w:contextualSpacing/>
              <w:jc w:val="center"/>
              <w:rPr>
                <w:rFonts w:hint="eastAsia" w:ascii="宋体" w:hAnsi="宋体" w:eastAsia="宋体" w:cs="宋体"/>
                <w:color w:val="auto"/>
                <w:kern w:val="0"/>
                <w:sz w:val="24"/>
                <w:szCs w:val="24"/>
                <w:highlight w:val="none"/>
              </w:rPr>
            </w:pPr>
          </w:p>
        </w:tc>
      </w:tr>
      <w:tr w14:paraId="517C95F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1C4BE9">
            <w:pPr>
              <w:widowControl/>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E47BCE">
            <w:pPr>
              <w:widowControl/>
              <w:spacing w:line="360" w:lineRule="auto"/>
              <w:contextualSpacing/>
              <w:jc w:val="center"/>
              <w:rPr>
                <w:rFonts w:hint="eastAsia"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6969CA">
            <w:pPr>
              <w:widowControl/>
              <w:spacing w:line="360" w:lineRule="auto"/>
              <w:contextualSpacing/>
              <w:jc w:val="center"/>
              <w:rPr>
                <w:rFonts w:hint="eastAsia"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A6874B">
            <w:pPr>
              <w:widowControl/>
              <w:spacing w:line="360" w:lineRule="auto"/>
              <w:contextualSpacing/>
              <w:jc w:val="center"/>
              <w:rPr>
                <w:rFonts w:hint="eastAsia" w:ascii="宋体" w:hAnsi="宋体" w:eastAsia="宋体" w:cs="宋体"/>
                <w:color w:val="auto"/>
                <w:kern w:val="0"/>
                <w:sz w:val="24"/>
                <w:szCs w:val="24"/>
                <w:highlight w:val="none"/>
              </w:rPr>
            </w:pPr>
          </w:p>
        </w:tc>
      </w:tr>
      <w:tr w14:paraId="0FB4DF8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3D8434">
            <w:pPr>
              <w:widowControl/>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EA166A">
            <w:pPr>
              <w:widowControl/>
              <w:spacing w:line="360" w:lineRule="auto"/>
              <w:contextualSpacing/>
              <w:jc w:val="center"/>
              <w:rPr>
                <w:rFonts w:hint="eastAsia"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259205">
            <w:pPr>
              <w:widowControl/>
              <w:spacing w:line="360" w:lineRule="auto"/>
              <w:contextualSpacing/>
              <w:jc w:val="center"/>
              <w:rPr>
                <w:rFonts w:hint="eastAsia"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3324D">
            <w:pPr>
              <w:widowControl/>
              <w:spacing w:line="360" w:lineRule="auto"/>
              <w:contextualSpacing/>
              <w:jc w:val="center"/>
              <w:rPr>
                <w:rFonts w:hint="eastAsia" w:ascii="宋体" w:hAnsi="宋体" w:eastAsia="宋体" w:cs="宋体"/>
                <w:color w:val="auto"/>
                <w:kern w:val="0"/>
                <w:sz w:val="24"/>
                <w:szCs w:val="24"/>
                <w:highlight w:val="none"/>
              </w:rPr>
            </w:pPr>
          </w:p>
        </w:tc>
      </w:tr>
    </w:tbl>
    <w:p w14:paraId="47ECCD8C">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7FAB7DFD">
      <w:pPr>
        <w:spacing w:line="360" w:lineRule="auto"/>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1、管理关系：是指不具有出资持股关系的其他单位之间存在的管理与被管理关系，如一些上下级关系的事业单位和团体组织。</w:t>
      </w:r>
    </w:p>
    <w:p w14:paraId="5DFA30B3">
      <w:pPr>
        <w:spacing w:line="360" w:lineRule="auto"/>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pacing w:val="-6"/>
          <w:sz w:val="24"/>
          <w:highlight w:val="none"/>
        </w:rPr>
        <w:t>本表所指的管理关系仅限于直接管理关系，不包括间接的管理关系。</w:t>
      </w:r>
    </w:p>
    <w:p w14:paraId="73ACCF68">
      <w:pPr>
        <w:spacing w:line="360" w:lineRule="auto"/>
        <w:ind w:firstLine="480" w:firstLineChars="200"/>
        <w:contextualSpacing/>
        <w:jc w:val="left"/>
        <w:outlineLvl w:val="2"/>
        <w:rPr>
          <w:rFonts w:hint="eastAsia" w:ascii="宋体" w:hAnsi="宋体" w:eastAsia="宋体" w:cs="宋体"/>
          <w:color w:val="auto"/>
          <w:sz w:val="24"/>
          <w:highlight w:val="none"/>
        </w:rPr>
      </w:pPr>
      <w:bookmarkStart w:id="155" w:name="_Toc16714"/>
      <w:r>
        <w:rPr>
          <w:rFonts w:hint="eastAsia" w:ascii="宋体" w:hAnsi="宋体" w:eastAsia="宋体" w:cs="宋体"/>
          <w:color w:val="auto"/>
          <w:sz w:val="24"/>
          <w:highlight w:val="none"/>
        </w:rPr>
        <w:t>3、供应商不存在直接管理关系的，则填“无”。</w:t>
      </w:r>
      <w:bookmarkEnd w:id="155"/>
    </w:p>
    <w:p w14:paraId="28A321EF">
      <w:pPr>
        <w:spacing w:line="360" w:lineRule="auto"/>
        <w:contextualSpacing/>
        <w:jc w:val="left"/>
        <w:rPr>
          <w:rFonts w:hint="eastAsia" w:ascii="宋体" w:hAnsi="宋体" w:eastAsia="宋体" w:cs="宋体"/>
          <w:color w:val="auto"/>
          <w:sz w:val="24"/>
          <w:highlight w:val="none"/>
        </w:rPr>
      </w:pPr>
    </w:p>
    <w:p w14:paraId="5EFEC893">
      <w:pPr>
        <w:spacing w:line="360" w:lineRule="auto"/>
        <w:contextualSpacing/>
        <w:jc w:val="left"/>
        <w:rPr>
          <w:rFonts w:hint="eastAsia" w:ascii="宋体" w:hAnsi="宋体" w:eastAsia="宋体" w:cs="宋体"/>
          <w:color w:val="auto"/>
          <w:sz w:val="24"/>
          <w:highlight w:val="none"/>
        </w:rPr>
      </w:pPr>
    </w:p>
    <w:p w14:paraId="6AA8BF3B">
      <w:pPr>
        <w:spacing w:line="360" w:lineRule="auto"/>
        <w:contextualSpacing/>
        <w:jc w:val="left"/>
        <w:rPr>
          <w:rFonts w:hint="eastAsia" w:ascii="宋体" w:hAnsi="宋体" w:eastAsia="宋体" w:cs="宋体"/>
          <w:color w:val="auto"/>
          <w:sz w:val="24"/>
          <w:highlight w:val="none"/>
        </w:rPr>
      </w:pPr>
    </w:p>
    <w:p w14:paraId="7756A75D">
      <w:pPr>
        <w:spacing w:line="360" w:lineRule="auto"/>
        <w:contextualSpacing/>
        <w:jc w:val="left"/>
        <w:rPr>
          <w:rFonts w:hint="eastAsia" w:ascii="宋体" w:hAnsi="宋体" w:eastAsia="宋体" w:cs="宋体"/>
          <w:color w:val="auto"/>
          <w:sz w:val="24"/>
          <w:highlight w:val="none"/>
        </w:rPr>
      </w:pPr>
    </w:p>
    <w:p w14:paraId="742EFB2C">
      <w:pPr>
        <w:spacing w:line="360" w:lineRule="auto"/>
        <w:contextualSpacing/>
        <w:jc w:val="left"/>
        <w:rPr>
          <w:rFonts w:hint="eastAsia" w:ascii="宋体" w:hAnsi="宋体" w:eastAsia="宋体" w:cs="宋体"/>
          <w:color w:val="auto"/>
          <w:sz w:val="24"/>
          <w:highlight w:val="none"/>
        </w:rPr>
      </w:pPr>
    </w:p>
    <w:p w14:paraId="65775809">
      <w:pPr>
        <w:spacing w:line="360" w:lineRule="auto"/>
        <w:contextualSpacing/>
        <w:jc w:val="left"/>
        <w:rPr>
          <w:rFonts w:hint="eastAsia" w:ascii="宋体" w:hAnsi="宋体" w:eastAsia="宋体" w:cs="宋体"/>
          <w:color w:val="auto"/>
          <w:sz w:val="24"/>
          <w:highlight w:val="none"/>
        </w:rPr>
      </w:pPr>
    </w:p>
    <w:p w14:paraId="2C860261">
      <w:pPr>
        <w:spacing w:line="360" w:lineRule="auto"/>
        <w:ind w:right="480" w:firstLine="2160" w:firstLineChars="9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法定代表人或者委托代理人（签字或盖章）：</w:t>
      </w:r>
      <w:r>
        <w:rPr>
          <w:rFonts w:hint="eastAsia" w:ascii="宋体" w:hAnsi="宋体" w:eastAsia="宋体" w:cs="宋体"/>
          <w:color w:val="auto"/>
          <w:sz w:val="24"/>
          <w:szCs w:val="24"/>
          <w:highlight w:val="none"/>
          <w:u w:val="single"/>
        </w:rPr>
        <w:t xml:space="preserve">               </w:t>
      </w:r>
    </w:p>
    <w:p w14:paraId="2353F9F2">
      <w:pPr>
        <w:spacing w:line="360" w:lineRule="auto"/>
        <w:ind w:right="480" w:firstLine="3360" w:firstLineChars="14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供应商（公章或电子签章 ）：</w:t>
      </w:r>
      <w:r>
        <w:rPr>
          <w:rFonts w:hint="eastAsia" w:ascii="宋体" w:hAnsi="宋体" w:eastAsia="宋体" w:cs="宋体"/>
          <w:color w:val="auto"/>
          <w:sz w:val="24"/>
          <w:szCs w:val="24"/>
          <w:highlight w:val="none"/>
          <w:u w:val="single"/>
        </w:rPr>
        <w:t xml:space="preserve">                </w:t>
      </w:r>
    </w:p>
    <w:p w14:paraId="2CBC2AD7">
      <w:pPr>
        <w:spacing w:line="360" w:lineRule="auto"/>
        <w:ind w:right="480" w:firstLine="240" w:firstLineChars="10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p>
    <w:p w14:paraId="61665938">
      <w:pPr>
        <w:spacing w:line="360" w:lineRule="auto"/>
        <w:ind w:right="480" w:firstLine="280" w:firstLineChars="100"/>
        <w:contextualSpacing/>
        <w:jc w:val="center"/>
        <w:rPr>
          <w:rFonts w:hint="eastAsia" w:ascii="宋体" w:hAnsi="宋体" w:eastAsia="宋体" w:cs="宋体"/>
          <w:b/>
          <w:color w:val="auto"/>
          <w:sz w:val="32"/>
          <w:szCs w:val="32"/>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sz w:val="32"/>
          <w:szCs w:val="32"/>
          <w:highlight w:val="none"/>
        </w:rPr>
        <w:t>竞标声明</w:t>
      </w:r>
    </w:p>
    <w:p w14:paraId="755ED445">
      <w:pPr>
        <w:spacing w:line="360" w:lineRule="auto"/>
        <w:ind w:right="480" w:firstLine="240" w:firstLineChars="100"/>
        <w:contextualSpacing/>
        <w:jc w:val="center"/>
        <w:rPr>
          <w:rFonts w:hint="eastAsia" w:ascii="宋体" w:hAnsi="宋体" w:eastAsia="宋体" w:cs="宋体"/>
          <w:color w:val="auto"/>
          <w:sz w:val="24"/>
          <w:szCs w:val="20"/>
          <w:highlight w:val="none"/>
        </w:rPr>
      </w:pPr>
    </w:p>
    <w:p w14:paraId="42AD696E">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2F604351">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（供应商名称）</w:t>
      </w:r>
      <w:r>
        <w:rPr>
          <w:rFonts w:hint="eastAsia" w:ascii="宋体" w:hAnsi="宋体" w:eastAsia="宋体" w:cs="宋体"/>
          <w:color w:val="auto"/>
          <w:sz w:val="24"/>
          <w:szCs w:val="24"/>
          <w:highlight w:val="none"/>
        </w:rPr>
        <w:t>系中华人民共和国合法供应商，经营地址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5654042">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我方愿意参加贵方组织的</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u w:val="single"/>
        </w:rPr>
        <w:t>（项目名称、项目编号）</w:t>
      </w:r>
      <w:r>
        <w:rPr>
          <w:rFonts w:hint="eastAsia" w:ascii="宋体" w:hAnsi="宋体" w:eastAsia="宋体" w:cs="宋体"/>
          <w:color w:val="auto"/>
          <w:sz w:val="24"/>
          <w:szCs w:val="24"/>
          <w:highlight w:val="none"/>
        </w:rPr>
        <w:t>项目的竞标，为便于贵方公正、择优地确定成交供应商及其竞标产品和服务，我方就本次竞标有关事项郑重声明如下：</w:t>
      </w:r>
    </w:p>
    <w:p w14:paraId="7DAB31BC">
      <w:pPr>
        <w:spacing w:line="560" w:lineRule="exact"/>
        <w:ind w:right="0" w:firstLine="480" w:firstLineChars="200"/>
        <w:contextualSpacing/>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1、我方向贵方提交的所有响应文件、资料都是准确的和真实的。</w:t>
      </w:r>
    </w:p>
    <w:p w14:paraId="1FCDE9C1">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4017DE0">
      <w:pPr>
        <w:spacing w:line="560" w:lineRule="exact"/>
        <w:ind w:right="0" w:firstLine="480" w:firstLineChars="200"/>
        <w:contextualSpacing/>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3、在此，我方宣布同意如下：</w:t>
      </w:r>
    </w:p>
    <w:p w14:paraId="034B3EE2">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（1）将按磋商文件的约定履行合同责任和义务；</w:t>
      </w:r>
    </w:p>
    <w:p w14:paraId="54C559CC">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（2）已详细审查全部磋商文件，包括澄清或者更正公告（如有）；</w:t>
      </w:r>
    </w:p>
    <w:p w14:paraId="5CB767EF">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（3）同意提供按照贵方可能要求的与磋商有关的一切数据或者资料；</w:t>
      </w:r>
    </w:p>
    <w:p w14:paraId="6C7825DC">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（4）响应磋商文件规定的竞标有效期。</w:t>
      </w:r>
    </w:p>
    <w:p w14:paraId="5EEF35D8">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362D2D05">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内容中</w:t>
      </w:r>
      <w:r>
        <w:rPr>
          <w:rFonts w:hint="eastAsia" w:ascii="宋体" w:hAnsi="宋体" w:eastAsia="宋体" w:cs="宋体"/>
          <w:color w:val="auto"/>
          <w:sz w:val="24"/>
          <w:szCs w:val="24"/>
          <w:highlight w:val="none"/>
        </w:rPr>
        <w:t>未</w:t>
      </w:r>
      <w:r>
        <w:rPr>
          <w:rFonts w:hint="eastAsia" w:ascii="宋体" w:hAnsi="宋体" w:eastAsia="宋体" w:cs="宋体"/>
          <w:color w:val="auto"/>
          <w:kern w:val="0"/>
          <w:sz w:val="24"/>
          <w:szCs w:val="24"/>
          <w:highlight w:val="none"/>
        </w:rPr>
        <w:t>涉及商业秘密；</w:t>
      </w:r>
    </w:p>
    <w:p w14:paraId="6F3F2E38">
      <w:pPr>
        <w:spacing w:line="560" w:lineRule="exact"/>
        <w:ind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涉及商业秘密的内容有：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612E631D">
      <w:pPr>
        <w:spacing w:line="560" w:lineRule="exact"/>
        <w:ind w:right="0" w:firstLine="480" w:firstLineChars="200"/>
        <w:contextualSpacing/>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、与本磋商有关的一切正式往来信函请寄：</w:t>
      </w:r>
      <w:r>
        <w:rPr>
          <w:rFonts w:hint="eastAsia" w:ascii="宋体" w:hAnsi="宋体" w:eastAsia="宋体" w:cs="宋体"/>
          <w:color w:val="auto"/>
          <w:sz w:val="24"/>
          <w:szCs w:val="24"/>
          <w:highlight w:val="none"/>
          <w:u w:val="single"/>
        </w:rPr>
        <w:t xml:space="preserve">                  </w:t>
      </w:r>
    </w:p>
    <w:p w14:paraId="282C4F25">
      <w:pPr>
        <w:spacing w:line="560" w:lineRule="exact"/>
        <w:ind w:right="0" w:firstLine="480" w:firstLineChars="200"/>
        <w:contextualSpacing/>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39081860">
      <w:pPr>
        <w:spacing w:line="560" w:lineRule="exact"/>
        <w:ind w:right="0" w:firstLine="480" w:firstLineChars="200"/>
        <w:contextualSpacing/>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3ED323E">
      <w:pPr>
        <w:spacing w:line="560" w:lineRule="exact"/>
        <w:ind w:left="141" w:leftChars="67"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帐号：</w:t>
      </w:r>
      <w:r>
        <w:rPr>
          <w:rFonts w:hint="eastAsia" w:ascii="宋体" w:hAnsi="宋体" w:eastAsia="宋体" w:cs="宋体"/>
          <w:color w:val="auto"/>
          <w:sz w:val="24"/>
          <w:szCs w:val="24"/>
          <w:highlight w:val="none"/>
          <w:u w:val="single"/>
        </w:rPr>
        <w:t xml:space="preserve">                               </w:t>
      </w:r>
    </w:p>
    <w:p w14:paraId="33BD6F3A">
      <w:pPr>
        <w:spacing w:line="560" w:lineRule="exact"/>
        <w:ind w:left="0" w:leftChars="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、以上事项如有虚假或者隐瞒，我方愿意承担一切后果，并不再寻求任何旨在减轻或者免除法律责任的辩解。</w:t>
      </w:r>
    </w:p>
    <w:p w14:paraId="47A331E3">
      <w:pPr>
        <w:spacing w:line="560" w:lineRule="exact"/>
        <w:ind w:left="141" w:leftChars="67"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1D1270AE">
      <w:pPr>
        <w:spacing w:line="560" w:lineRule="exact"/>
        <w:ind w:left="0" w:leftChars="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注：如为联合体竞标，盖章处须加盖联合体各方公章并由联合体各方法定代表人签署，否则其响应文件按无效响应处理。</w:t>
      </w:r>
    </w:p>
    <w:p w14:paraId="41696975">
      <w:pPr>
        <w:spacing w:line="360" w:lineRule="auto"/>
        <w:ind w:left="0" w:leftChars="0" w:right="480" w:firstLine="240" w:firstLineChars="100"/>
        <w:jc w:val="center"/>
        <w:rPr>
          <w:rFonts w:hint="eastAsia" w:ascii="宋体" w:hAnsi="宋体" w:eastAsia="宋体" w:cs="宋体"/>
          <w:color w:val="auto"/>
          <w:sz w:val="24"/>
          <w:szCs w:val="24"/>
          <w:highlight w:val="none"/>
        </w:rPr>
      </w:pPr>
    </w:p>
    <w:p w14:paraId="3D4E979E">
      <w:pPr>
        <w:spacing w:line="360" w:lineRule="auto"/>
        <w:ind w:right="480" w:firstLine="240" w:firstLineChars="10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23A57E55">
      <w:pPr>
        <w:spacing w:line="360" w:lineRule="auto"/>
        <w:ind w:right="480" w:firstLine="240" w:firstLineChars="10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法定代表人或者委托代理人（签字或盖章）：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92FF916">
      <w:pPr>
        <w:spacing w:line="360" w:lineRule="auto"/>
        <w:ind w:right="480" w:firstLine="240" w:firstLineChars="100"/>
        <w:contextualSpacing/>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供应商（公章或电子签章）：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634237B">
      <w:pPr>
        <w:spacing w:line="360" w:lineRule="auto"/>
        <w:ind w:right="480" w:firstLine="240" w:firstLineChars="10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p>
    <w:p w14:paraId="0B0968C3">
      <w:pPr>
        <w:overflowPunct w:val="0"/>
        <w:spacing w:line="360" w:lineRule="auto"/>
        <w:ind w:right="480" w:firstLine="321" w:firstLineChars="100"/>
        <w:contextualSpacing/>
        <w:jc w:val="center"/>
        <w:rPr>
          <w:rFonts w:hint="eastAsia" w:ascii="宋体" w:hAnsi="宋体" w:eastAsia="宋体" w:cs="宋体"/>
          <w:b/>
          <w:bCs/>
          <w:color w:val="auto"/>
          <w:sz w:val="32"/>
          <w:szCs w:val="32"/>
          <w:highlight w:val="none"/>
        </w:rPr>
      </w:pPr>
    </w:p>
    <w:p w14:paraId="0167C0C1">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7B476A66">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46037AAB">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4A3F9E73">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7D95AF35">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660F2E8E">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115B62A7">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662FC84E">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79615D40">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652CD7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b/>
          <w:bCs/>
          <w:color w:val="auto"/>
          <w:sz w:val="32"/>
          <w:szCs w:val="32"/>
          <w:highlight w:val="none"/>
        </w:rPr>
        <w:t>其他文书、文件格式</w:t>
      </w:r>
    </w:p>
    <w:p w14:paraId="1AC58B2A">
      <w:pPr>
        <w:spacing w:line="400" w:lineRule="exact"/>
        <w:rPr>
          <w:rFonts w:hint="eastAsia" w:ascii="宋体" w:hAnsi="宋体" w:eastAsia="宋体" w:cs="宋体"/>
          <w:b/>
          <w:color w:val="auto"/>
          <w:sz w:val="28"/>
          <w:szCs w:val="28"/>
          <w:highlight w:val="none"/>
        </w:rPr>
      </w:pPr>
      <w:bookmarkStart w:id="156" w:name="_Toc71365926"/>
      <w:r>
        <w:rPr>
          <w:rFonts w:hint="eastAsia" w:ascii="宋体" w:hAnsi="宋体" w:eastAsia="宋体" w:cs="宋体"/>
          <w:b/>
          <w:color w:val="auto"/>
          <w:sz w:val="28"/>
          <w:szCs w:val="28"/>
          <w:highlight w:val="none"/>
        </w:rPr>
        <w:t>附件1：中小企业声明函（格式）</w:t>
      </w:r>
      <w:r>
        <w:rPr>
          <w:rFonts w:hint="eastAsia" w:ascii="宋体" w:hAnsi="宋体" w:eastAsia="宋体" w:cs="宋体"/>
          <w:b/>
          <w:color w:val="auto"/>
          <w:sz w:val="28"/>
          <w:szCs w:val="28"/>
          <w:highlight w:val="none"/>
          <w:lang w:eastAsia="zh-CN"/>
        </w:rPr>
        <w:t>（</w:t>
      </w:r>
      <w:r>
        <w:rPr>
          <w:rFonts w:hint="eastAsia" w:ascii="宋体" w:hAnsi="宋体" w:eastAsia="宋体" w:cs="宋体"/>
          <w:b/>
          <w:bCs/>
          <w:color w:val="auto"/>
          <w:sz w:val="28"/>
          <w:szCs w:val="28"/>
          <w:highlight w:val="none"/>
        </w:rPr>
        <w:t>如有，必须提供</w:t>
      </w:r>
      <w:r>
        <w:rPr>
          <w:rFonts w:hint="eastAsia" w:ascii="宋体" w:hAnsi="宋体" w:eastAsia="宋体" w:cs="宋体"/>
          <w:b/>
          <w:color w:val="auto"/>
          <w:sz w:val="28"/>
          <w:szCs w:val="28"/>
          <w:highlight w:val="none"/>
          <w:lang w:eastAsia="zh-CN"/>
        </w:rPr>
        <w:t>）</w:t>
      </w:r>
    </w:p>
    <w:p w14:paraId="616479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32"/>
          <w:szCs w:val="32"/>
          <w:highlight w:val="none"/>
        </w:rPr>
      </w:pPr>
    </w:p>
    <w:p w14:paraId="6AEA54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44"/>
          <w:szCs w:val="44"/>
          <w:highlight w:val="none"/>
        </w:rPr>
      </w:pPr>
      <w:r>
        <w:rPr>
          <w:rFonts w:hint="eastAsia" w:ascii="宋体" w:hAnsi="宋体" w:eastAsia="宋体" w:cs="宋体"/>
          <w:color w:val="auto"/>
          <w:sz w:val="32"/>
          <w:szCs w:val="32"/>
          <w:highlight w:val="none"/>
        </w:rPr>
        <w:t>中小企业声明函（服务）</w:t>
      </w:r>
      <w:bookmarkEnd w:id="156"/>
    </w:p>
    <w:p w14:paraId="78E7F09D">
      <w:pPr>
        <w:spacing w:before="2" w:line="500" w:lineRule="exact"/>
        <w:ind w:firstLine="708" w:firstLineChars="294"/>
        <w:rPr>
          <w:rFonts w:hint="eastAsia" w:ascii="宋体" w:hAnsi="宋体" w:eastAsia="宋体" w:cs="宋体"/>
          <w:b/>
          <w:bCs/>
          <w:color w:val="auto"/>
          <w:sz w:val="24"/>
          <w:highlight w:val="none"/>
        </w:rPr>
      </w:pPr>
    </w:p>
    <w:p w14:paraId="2272A619">
      <w:pPr>
        <w:pStyle w:val="1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本公司郑重声明，根据《政府采购促进中小企业发展管理办法》（财库﹝2020﹞46 号）的规定，本公司参加</w:t>
      </w:r>
      <w:r>
        <w:rPr>
          <w:rFonts w:hint="eastAsia" w:ascii="宋体" w:hAnsi="宋体" w:eastAsia="宋体" w:cs="宋体"/>
          <w:color w:val="auto"/>
          <w:sz w:val="21"/>
          <w:szCs w:val="21"/>
          <w:highlight w:val="none"/>
          <w:u w:val="single"/>
        </w:rPr>
        <w:t xml:space="preserve">    （单位名称）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采购活动，提供的服务全部由符合政策要求的中小企业承接。相关企业的具体情况如下：</w:t>
      </w:r>
    </w:p>
    <w:p w14:paraId="5A1FA731">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kern w:val="0"/>
          <w:sz w:val="21"/>
          <w:szCs w:val="21"/>
          <w:highlight w:val="none"/>
          <w:lang w:val="en-US" w:eastAsia="zh-CN" w:bidi="ar-SA"/>
        </w:rPr>
        <w:t>1.</w:t>
      </w:r>
      <w:r>
        <w:rPr>
          <w:rFonts w:hint="eastAsia" w:ascii="宋体" w:hAnsi="宋体" w:eastAsia="宋体" w:cs="宋体"/>
          <w:color w:val="auto"/>
          <w:sz w:val="21"/>
          <w:szCs w:val="21"/>
          <w:highlight w:val="none"/>
          <w:u w:val="single"/>
        </w:rPr>
        <w:t xml:space="preserve"> （标的名称）   </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行业；承接企业为</w:t>
      </w:r>
      <w:r>
        <w:rPr>
          <w:rFonts w:hint="eastAsia" w:ascii="宋体" w:hAnsi="宋体" w:eastAsia="宋体" w:cs="宋体"/>
          <w:color w:val="auto"/>
          <w:sz w:val="21"/>
          <w:szCs w:val="21"/>
          <w:highlight w:val="none"/>
          <w:u w:val="single"/>
        </w:rPr>
        <w:t xml:space="preserve">  （企业名称）   </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（中型企业、小型企业或微型企业）</w:t>
      </w:r>
      <w:r>
        <w:rPr>
          <w:rFonts w:hint="eastAsia" w:ascii="宋体" w:hAnsi="宋体" w:eastAsia="宋体" w:cs="宋体"/>
          <w:color w:val="auto"/>
          <w:sz w:val="21"/>
          <w:szCs w:val="21"/>
          <w:highlight w:val="none"/>
          <w:u w:val="single"/>
          <w:lang w:val="en-US" w:eastAsia="zh-CN"/>
        </w:rPr>
        <w:t>;</w:t>
      </w:r>
    </w:p>
    <w:p w14:paraId="46FE1AC5">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u w:val="single"/>
        </w:rPr>
        <w:t xml:space="preserve">  （标的名称）   </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行业；承接企业为</w:t>
      </w:r>
      <w:r>
        <w:rPr>
          <w:rFonts w:hint="eastAsia" w:ascii="宋体" w:hAnsi="宋体" w:eastAsia="宋体" w:cs="宋体"/>
          <w:color w:val="auto"/>
          <w:sz w:val="21"/>
          <w:szCs w:val="21"/>
          <w:highlight w:val="none"/>
          <w:u w:val="single"/>
        </w:rPr>
        <w:t xml:space="preserve">  （企业名称）   </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（中型企业、小型企业或微型企业）</w:t>
      </w:r>
    </w:p>
    <w:p w14:paraId="7CBEA475">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lang w:val="en-US" w:eastAsia="zh-CN"/>
        </w:rPr>
        <w:t>..</w:t>
      </w:r>
    </w:p>
    <w:p w14:paraId="211E8527">
      <w:pPr>
        <w:pStyle w:val="1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以上企业，不属于大企业的分支机构，不存在控股股东为大企业的情形，也不存在与大企业的负责人为同一人的情形。</w:t>
      </w:r>
    </w:p>
    <w:p w14:paraId="2556603A">
      <w:pPr>
        <w:pStyle w:val="1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rPr>
        <w:t>本企业对上述声明内容的真实性负责。如有虚假，将依法承担相应责任。</w:t>
      </w:r>
    </w:p>
    <w:p w14:paraId="3BC23425">
      <w:pPr>
        <w:pStyle w:val="10"/>
        <w:spacing w:before="25" w:line="500" w:lineRule="exact"/>
        <w:ind w:right="142" w:firstLine="705" w:firstLineChars="294"/>
        <w:rPr>
          <w:rFonts w:hint="eastAsia" w:ascii="宋体" w:hAnsi="宋体" w:eastAsia="宋体" w:cs="宋体"/>
          <w:color w:val="auto"/>
          <w:sz w:val="24"/>
          <w:highlight w:val="none"/>
        </w:rPr>
      </w:pPr>
    </w:p>
    <w:p w14:paraId="473C5564">
      <w:pPr>
        <w:pStyle w:val="10"/>
        <w:spacing w:before="56" w:line="500" w:lineRule="exact"/>
        <w:ind w:right="1808" w:firstLine="705" w:firstLineChars="294"/>
        <w:rPr>
          <w:rFonts w:hint="eastAsia" w:ascii="宋体" w:hAnsi="宋体" w:eastAsia="宋体" w:cs="宋体"/>
          <w:color w:val="auto"/>
          <w:sz w:val="24"/>
          <w:highlight w:val="none"/>
        </w:rPr>
      </w:pPr>
    </w:p>
    <w:p w14:paraId="09BB6F11">
      <w:pPr>
        <w:pStyle w:val="10"/>
        <w:keepNext w:val="0"/>
        <w:keepLines w:val="0"/>
        <w:pageBreakBefore w:val="0"/>
        <w:widowControl w:val="0"/>
        <w:kinsoku/>
        <w:wordWrap/>
        <w:overflowPunct/>
        <w:topLinePunct w:val="0"/>
        <w:autoSpaceDE/>
        <w:autoSpaceDN/>
        <w:bidi w:val="0"/>
        <w:adjustRightInd/>
        <w:snapToGrid/>
        <w:spacing w:after="0" w:line="360" w:lineRule="auto"/>
        <w:ind w:right="0" w:firstLine="3780" w:firstLineChars="18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企业名称（章）： </w:t>
      </w:r>
    </w:p>
    <w:p w14:paraId="4AEB99CD">
      <w:pPr>
        <w:pStyle w:val="10"/>
        <w:keepNext w:val="0"/>
        <w:keepLines w:val="0"/>
        <w:pageBreakBefore w:val="0"/>
        <w:widowControl w:val="0"/>
        <w:kinsoku/>
        <w:wordWrap/>
        <w:overflowPunct/>
        <w:topLinePunct w:val="0"/>
        <w:autoSpaceDE/>
        <w:autoSpaceDN/>
        <w:bidi w:val="0"/>
        <w:adjustRightInd/>
        <w:snapToGrid/>
        <w:spacing w:after="0" w:line="360" w:lineRule="auto"/>
        <w:ind w:right="0" w:firstLine="3780" w:firstLineChars="18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4FF1070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1"/>
          <w:szCs w:val="21"/>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1CBE917">
      <w:pPr>
        <w:spacing w:line="520" w:lineRule="exact"/>
        <w:jc w:val="center"/>
        <w:rPr>
          <w:rFonts w:hint="eastAsia" w:ascii="宋体" w:hAnsi="宋体" w:eastAsia="宋体" w:cs="宋体"/>
          <w:color w:val="auto"/>
          <w:sz w:val="24"/>
          <w:highlight w:val="none"/>
        </w:rPr>
      </w:pPr>
    </w:p>
    <w:p w14:paraId="3E39C226">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7C14AAAF">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2249D04B">
      <w:pPr>
        <w:spacing w:line="400" w:lineRule="exac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附件2：监狱企业证明文件</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如有，必须提供</w:t>
      </w:r>
      <w:r>
        <w:rPr>
          <w:rFonts w:hint="eastAsia" w:ascii="宋体" w:hAnsi="宋体" w:eastAsia="宋体" w:cs="宋体"/>
          <w:b/>
          <w:color w:val="auto"/>
          <w:sz w:val="28"/>
          <w:szCs w:val="28"/>
          <w:highlight w:val="none"/>
          <w:lang w:eastAsia="zh-CN"/>
        </w:rPr>
        <w:t>）</w:t>
      </w:r>
    </w:p>
    <w:p w14:paraId="79FD080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56EBC4BB">
      <w:pPr>
        <w:spacing w:line="400" w:lineRule="exact"/>
        <w:ind w:firstLine="422" w:firstLineChars="200"/>
        <w:rPr>
          <w:rFonts w:hint="eastAsia" w:ascii="宋体" w:hAnsi="宋体" w:eastAsia="宋体" w:cs="宋体"/>
          <w:b/>
          <w:color w:val="auto"/>
          <w:szCs w:val="21"/>
          <w:highlight w:val="none"/>
        </w:rPr>
      </w:pPr>
    </w:p>
    <w:p w14:paraId="20B45E8F">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说明：中标供应商的监狱企业证明文件随中标结果一并公告。</w:t>
      </w:r>
    </w:p>
    <w:p w14:paraId="4388228A">
      <w:pPr>
        <w:spacing w:line="400" w:lineRule="exact"/>
        <w:ind w:firstLine="422" w:firstLineChars="200"/>
        <w:rPr>
          <w:rFonts w:hint="eastAsia" w:ascii="宋体" w:hAnsi="宋体" w:eastAsia="宋体" w:cs="宋体"/>
          <w:b/>
          <w:color w:val="auto"/>
          <w:szCs w:val="21"/>
          <w:highlight w:val="none"/>
        </w:rPr>
      </w:pPr>
    </w:p>
    <w:p w14:paraId="2520CD38">
      <w:pPr>
        <w:spacing w:line="400" w:lineRule="exact"/>
        <w:rPr>
          <w:rFonts w:hint="eastAsia" w:ascii="宋体" w:hAnsi="宋体" w:eastAsia="宋体" w:cs="宋体"/>
          <w:b/>
          <w:bCs/>
          <w:color w:val="auto"/>
          <w:sz w:val="32"/>
          <w:szCs w:val="32"/>
          <w:highlight w:val="none"/>
        </w:rPr>
      </w:pPr>
    </w:p>
    <w:p w14:paraId="746307DB">
      <w:pPr>
        <w:spacing w:before="151" w:line="225" w:lineRule="auto"/>
        <w:ind w:left="0"/>
        <w:jc w:val="left"/>
        <w:rPr>
          <w:rFonts w:hint="eastAsia" w:ascii="宋体" w:hAnsi="宋体" w:eastAsia="宋体" w:cs="宋体"/>
          <w:color w:val="auto"/>
          <w:spacing w:val="10"/>
          <w:sz w:val="31"/>
          <w:szCs w:val="31"/>
          <w:highlight w:val="none"/>
          <w:lang w:eastAsia="zh-CN"/>
        </w:rPr>
      </w:pPr>
    </w:p>
    <w:p w14:paraId="52231D64">
      <w:pPr>
        <w:spacing w:before="151" w:line="225" w:lineRule="auto"/>
        <w:ind w:left="0"/>
        <w:jc w:val="left"/>
        <w:rPr>
          <w:rFonts w:hint="eastAsia" w:ascii="宋体" w:hAnsi="宋体" w:eastAsia="宋体" w:cs="宋体"/>
          <w:color w:val="auto"/>
          <w:spacing w:val="10"/>
          <w:sz w:val="31"/>
          <w:szCs w:val="31"/>
          <w:highlight w:val="none"/>
          <w:lang w:eastAsia="zh-CN"/>
        </w:rPr>
      </w:pPr>
    </w:p>
    <w:p w14:paraId="1AFEB745">
      <w:pPr>
        <w:spacing w:before="0" w:line="240" w:lineRule="auto"/>
        <w:ind w:left="0"/>
        <w:rPr>
          <w:rFonts w:hint="eastAsia" w:ascii="宋体" w:hAnsi="宋体" w:eastAsia="宋体" w:cs="宋体"/>
          <w:color w:val="auto"/>
          <w:spacing w:val="10"/>
          <w:sz w:val="31"/>
          <w:szCs w:val="31"/>
          <w:highlight w:val="none"/>
          <w:lang w:eastAsia="zh-CN"/>
        </w:rPr>
      </w:pPr>
      <w:r>
        <w:rPr>
          <w:rFonts w:hint="eastAsia" w:ascii="宋体" w:hAnsi="宋体" w:eastAsia="宋体" w:cs="宋体"/>
          <w:color w:val="auto"/>
          <w:spacing w:val="10"/>
          <w:sz w:val="31"/>
          <w:szCs w:val="31"/>
          <w:highlight w:val="none"/>
          <w:lang w:eastAsia="zh-CN"/>
        </w:rPr>
        <w:br w:type="page"/>
      </w:r>
    </w:p>
    <w:p w14:paraId="4A3FF7D2">
      <w:pPr>
        <w:spacing w:before="151" w:line="225" w:lineRule="auto"/>
        <w:ind w:left="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pacing w:val="10"/>
          <w:sz w:val="28"/>
          <w:szCs w:val="28"/>
          <w:highlight w:val="none"/>
          <w:lang w:eastAsia="zh-CN"/>
        </w:rPr>
        <w:t>附件</w:t>
      </w:r>
      <w:r>
        <w:rPr>
          <w:rFonts w:hint="eastAsia" w:ascii="宋体" w:hAnsi="宋体" w:eastAsia="宋体" w:cs="宋体"/>
          <w:b/>
          <w:bCs/>
          <w:color w:val="auto"/>
          <w:spacing w:val="10"/>
          <w:sz w:val="28"/>
          <w:szCs w:val="28"/>
          <w:highlight w:val="none"/>
          <w:lang w:val="en-US" w:eastAsia="zh-CN"/>
        </w:rPr>
        <w:t>3：</w:t>
      </w:r>
      <w:r>
        <w:rPr>
          <w:rFonts w:hint="eastAsia" w:ascii="宋体" w:hAnsi="宋体" w:eastAsia="宋体" w:cs="宋体"/>
          <w:b/>
          <w:bCs/>
          <w:color w:val="auto"/>
          <w:spacing w:val="10"/>
          <w:sz w:val="28"/>
          <w:szCs w:val="28"/>
          <w:highlight w:val="none"/>
        </w:rPr>
        <w:t>残疾人福利性单位声明函</w:t>
      </w:r>
      <w:r>
        <w:rPr>
          <w:rFonts w:hint="eastAsia" w:ascii="宋体" w:hAnsi="宋体" w:eastAsia="宋体" w:cs="宋体"/>
          <w:b/>
          <w:bCs/>
          <w:color w:val="auto"/>
          <w:spacing w:val="10"/>
          <w:sz w:val="28"/>
          <w:szCs w:val="28"/>
          <w:highlight w:val="none"/>
          <w:lang w:eastAsia="zh-CN"/>
        </w:rPr>
        <w:t>（如有，必须提供）</w:t>
      </w:r>
    </w:p>
    <w:p w14:paraId="2A667427">
      <w:pPr>
        <w:spacing w:line="328" w:lineRule="auto"/>
        <w:rPr>
          <w:rFonts w:hint="eastAsia" w:ascii="宋体" w:hAnsi="宋体" w:eastAsia="宋体" w:cs="宋体"/>
          <w:color w:val="auto"/>
          <w:sz w:val="21"/>
          <w:highlight w:val="none"/>
        </w:rPr>
      </w:pPr>
    </w:p>
    <w:p w14:paraId="4D279879">
      <w:pPr>
        <w:spacing w:line="328" w:lineRule="auto"/>
        <w:rPr>
          <w:rFonts w:hint="eastAsia" w:ascii="宋体" w:hAnsi="宋体" w:eastAsia="宋体" w:cs="宋体"/>
          <w:color w:val="auto"/>
          <w:sz w:val="21"/>
          <w:highlight w:val="none"/>
        </w:rPr>
      </w:pPr>
    </w:p>
    <w:p w14:paraId="65C37FF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本单位郑重声明，根据《财政部 民政部 中国残疾人联合会关于促进残疾人就业 政府采购政策的通知》（财库〔2017〕141 号）的规定，本单位为符合条件的残疾人 福利性单位，且本单位参加</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单位的</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项目采购活动提供本单位制造的 货物（由本单位承担工程/提供服务），或者提供其他残疾人福利性单位制造的货物</w:t>
      </w:r>
    </w:p>
    <w:p w14:paraId="37C05AD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（不包括使用非残疾人福利性单位注册商标的货物）。</w:t>
      </w:r>
    </w:p>
    <w:p w14:paraId="3E1A0C8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本单位对上述声明的真实性负责。如有虚假，将依法承担相应责任。</w:t>
      </w:r>
    </w:p>
    <w:p w14:paraId="784C57B0">
      <w:pPr>
        <w:spacing w:line="249" w:lineRule="auto"/>
        <w:rPr>
          <w:rFonts w:hint="eastAsia" w:ascii="宋体" w:hAnsi="宋体" w:eastAsia="宋体" w:cs="宋体"/>
          <w:color w:val="auto"/>
          <w:sz w:val="21"/>
          <w:highlight w:val="none"/>
        </w:rPr>
      </w:pPr>
    </w:p>
    <w:p w14:paraId="5D098CCC">
      <w:pPr>
        <w:spacing w:line="250" w:lineRule="auto"/>
        <w:rPr>
          <w:rFonts w:hint="eastAsia" w:ascii="宋体" w:hAnsi="宋体" w:eastAsia="宋体" w:cs="宋体"/>
          <w:color w:val="auto"/>
          <w:sz w:val="21"/>
          <w:highlight w:val="none"/>
        </w:rPr>
      </w:pPr>
    </w:p>
    <w:p w14:paraId="3E9A21E1">
      <w:pPr>
        <w:spacing w:line="250" w:lineRule="auto"/>
        <w:rPr>
          <w:rFonts w:hint="eastAsia" w:ascii="宋体" w:hAnsi="宋体" w:eastAsia="宋体" w:cs="宋体"/>
          <w:color w:val="auto"/>
          <w:sz w:val="21"/>
          <w:highlight w:val="none"/>
        </w:rPr>
      </w:pPr>
    </w:p>
    <w:p w14:paraId="33144036">
      <w:pPr>
        <w:spacing w:line="250" w:lineRule="auto"/>
        <w:rPr>
          <w:rFonts w:hint="eastAsia" w:ascii="宋体" w:hAnsi="宋体" w:eastAsia="宋体" w:cs="宋体"/>
          <w:color w:val="auto"/>
          <w:sz w:val="21"/>
          <w:highlight w:val="none"/>
        </w:rPr>
      </w:pPr>
    </w:p>
    <w:p w14:paraId="10902A97">
      <w:pPr>
        <w:spacing w:line="250" w:lineRule="auto"/>
        <w:rPr>
          <w:rFonts w:hint="eastAsia" w:ascii="宋体" w:hAnsi="宋体" w:eastAsia="宋体" w:cs="宋体"/>
          <w:color w:val="auto"/>
          <w:sz w:val="21"/>
          <w:highlight w:val="none"/>
        </w:rPr>
      </w:pPr>
    </w:p>
    <w:p w14:paraId="65D544BC">
      <w:pPr>
        <w:spacing w:line="250" w:lineRule="auto"/>
        <w:rPr>
          <w:rFonts w:hint="eastAsia" w:ascii="宋体" w:hAnsi="宋体" w:eastAsia="宋体" w:cs="宋体"/>
          <w:color w:val="auto"/>
          <w:sz w:val="21"/>
          <w:highlight w:val="none"/>
        </w:rPr>
      </w:pPr>
    </w:p>
    <w:p w14:paraId="5FCCA4E7">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单位名称（盖章）：</w:t>
      </w:r>
    </w:p>
    <w:p w14:paraId="0B65E4FF">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  期：</w:t>
      </w:r>
    </w:p>
    <w:p w14:paraId="785E4C58">
      <w:pPr>
        <w:spacing w:line="254" w:lineRule="auto"/>
        <w:rPr>
          <w:rFonts w:hint="eastAsia" w:ascii="宋体" w:hAnsi="宋体" w:eastAsia="宋体" w:cs="宋体"/>
          <w:color w:val="auto"/>
          <w:sz w:val="21"/>
          <w:highlight w:val="none"/>
        </w:rPr>
      </w:pPr>
    </w:p>
    <w:p w14:paraId="56C5590D">
      <w:pPr>
        <w:spacing w:line="254" w:lineRule="auto"/>
        <w:rPr>
          <w:rFonts w:hint="eastAsia" w:ascii="宋体" w:hAnsi="宋体" w:eastAsia="宋体" w:cs="宋体"/>
          <w:color w:val="auto"/>
          <w:sz w:val="21"/>
          <w:highlight w:val="none"/>
        </w:rPr>
      </w:pPr>
    </w:p>
    <w:p w14:paraId="5BB8FA2A">
      <w:pPr>
        <w:spacing w:line="254" w:lineRule="auto"/>
        <w:rPr>
          <w:rFonts w:hint="eastAsia" w:ascii="宋体" w:hAnsi="宋体" w:eastAsia="宋体" w:cs="宋体"/>
          <w:color w:val="auto"/>
          <w:sz w:val="21"/>
          <w:highlight w:val="none"/>
        </w:rPr>
      </w:pPr>
    </w:p>
    <w:p w14:paraId="08042FB7">
      <w:pPr>
        <w:spacing w:line="254" w:lineRule="auto"/>
        <w:rPr>
          <w:rFonts w:hint="eastAsia" w:ascii="宋体" w:hAnsi="宋体" w:eastAsia="宋体" w:cs="宋体"/>
          <w:color w:val="auto"/>
          <w:sz w:val="21"/>
          <w:highlight w:val="none"/>
        </w:rPr>
      </w:pPr>
    </w:p>
    <w:p w14:paraId="4D8A033F">
      <w:pPr>
        <w:spacing w:line="254" w:lineRule="auto"/>
        <w:rPr>
          <w:rFonts w:hint="eastAsia" w:ascii="宋体" w:hAnsi="宋体" w:eastAsia="宋体" w:cs="宋体"/>
          <w:color w:val="auto"/>
          <w:sz w:val="21"/>
          <w:highlight w:val="none"/>
        </w:rPr>
      </w:pPr>
    </w:p>
    <w:p w14:paraId="4C95B699">
      <w:pPr>
        <w:spacing w:line="255" w:lineRule="auto"/>
        <w:rPr>
          <w:rFonts w:hint="eastAsia" w:ascii="宋体" w:hAnsi="宋体" w:eastAsia="宋体" w:cs="宋体"/>
          <w:color w:val="auto"/>
          <w:sz w:val="21"/>
          <w:highlight w:val="none"/>
        </w:rPr>
      </w:pPr>
    </w:p>
    <w:p w14:paraId="10E871B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注：请根据自己的真实情况出具《残疾人福利性单位声明函》 。依法享受中小企业优惠政策的，采购人或者采购代理机构在公告中标结果时，同时公告其《残疾人福利性单位声明函》，接受社会监督。</w:t>
      </w:r>
    </w:p>
    <w:p w14:paraId="18824AD4">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6AA73C47">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169B0BA4">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14:paraId="0BFF0187">
      <w:pPr>
        <w:snapToGrid w:val="0"/>
        <w:spacing w:before="156" w:beforeLines="50" w:after="50" w:line="360" w:lineRule="auto"/>
        <w:ind w:right="480" w:firstLine="321" w:firstLineChars="100"/>
        <w:jc w:val="center"/>
        <w:outlineLvl w:val="1"/>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rPr>
        <w:br w:type="page"/>
      </w:r>
      <w:bookmarkStart w:id="157" w:name="_Toc7883"/>
      <w:bookmarkStart w:id="158" w:name="_Toc23373"/>
      <w:r>
        <w:rPr>
          <w:rFonts w:hint="eastAsia" w:ascii="宋体" w:hAnsi="宋体" w:eastAsia="宋体" w:cs="宋体"/>
          <w:b/>
          <w:bCs/>
          <w:color w:val="auto"/>
          <w:sz w:val="36"/>
          <w:szCs w:val="36"/>
          <w:highlight w:val="none"/>
        </w:rPr>
        <w:t>二、</w:t>
      </w:r>
      <w:r>
        <w:rPr>
          <w:rFonts w:hint="eastAsia" w:ascii="宋体" w:hAnsi="宋体" w:eastAsia="宋体" w:cs="宋体"/>
          <w:b/>
          <w:color w:val="auto"/>
          <w:sz w:val="36"/>
          <w:szCs w:val="36"/>
          <w:highlight w:val="none"/>
        </w:rPr>
        <w:t>报价商务技术文件格式</w:t>
      </w:r>
      <w:bookmarkEnd w:id="157"/>
      <w:bookmarkEnd w:id="158"/>
    </w:p>
    <w:p w14:paraId="437455D1">
      <w:pPr>
        <w:snapToGrid w:val="0"/>
        <w:spacing w:before="156" w:beforeLines="50" w:after="50" w:line="360" w:lineRule="auto"/>
        <w:jc w:val="left"/>
        <w:outlineLvl w:val="2"/>
        <w:rPr>
          <w:rFonts w:hint="eastAsia" w:ascii="宋体" w:hAnsi="宋体" w:eastAsia="宋体" w:cs="宋体"/>
          <w:b/>
          <w:color w:val="auto"/>
          <w:sz w:val="32"/>
          <w:szCs w:val="32"/>
          <w:highlight w:val="none"/>
        </w:rPr>
      </w:pPr>
      <w:bookmarkStart w:id="159" w:name="_Toc1592"/>
      <w:r>
        <w:rPr>
          <w:rFonts w:hint="eastAsia" w:ascii="宋体" w:hAnsi="宋体" w:eastAsia="宋体" w:cs="宋体"/>
          <w:b/>
          <w:color w:val="auto"/>
          <w:sz w:val="32"/>
          <w:szCs w:val="32"/>
          <w:highlight w:val="none"/>
        </w:rPr>
        <w:t>1、报价商务技术文件封面格式</w:t>
      </w:r>
      <w:bookmarkEnd w:id="159"/>
    </w:p>
    <w:p w14:paraId="0E909241">
      <w:pPr>
        <w:snapToGrid w:val="0"/>
        <w:spacing w:before="156"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8"/>
          <w:szCs w:val="28"/>
          <w:highlight w:val="none"/>
        </w:rPr>
        <w:t>全流程电子文件</w:t>
      </w:r>
    </w:p>
    <w:p w14:paraId="13390C68">
      <w:pPr>
        <w:snapToGrid w:val="0"/>
        <w:spacing w:before="156" w:beforeLines="50" w:after="50"/>
        <w:rPr>
          <w:rFonts w:hint="eastAsia" w:ascii="宋体" w:hAnsi="宋体" w:eastAsia="宋体" w:cs="宋体"/>
          <w:color w:val="auto"/>
          <w:sz w:val="24"/>
          <w:szCs w:val="20"/>
          <w:highlight w:val="none"/>
        </w:rPr>
      </w:pPr>
    </w:p>
    <w:p w14:paraId="26D1457A">
      <w:pPr>
        <w:snapToGrid w:val="0"/>
        <w:spacing w:before="156" w:beforeLines="50" w:after="50"/>
        <w:rPr>
          <w:rFonts w:hint="eastAsia" w:ascii="宋体" w:hAnsi="宋体" w:eastAsia="宋体" w:cs="宋体"/>
          <w:color w:val="auto"/>
          <w:sz w:val="24"/>
          <w:szCs w:val="20"/>
          <w:highlight w:val="none"/>
        </w:rPr>
      </w:pPr>
    </w:p>
    <w:p w14:paraId="30056E83">
      <w:pPr>
        <w:snapToGrid w:val="0"/>
        <w:spacing w:before="156" w:beforeLines="50" w:after="50"/>
        <w:rPr>
          <w:rFonts w:hint="eastAsia" w:ascii="宋体" w:hAnsi="宋体" w:eastAsia="宋体" w:cs="宋体"/>
          <w:color w:val="auto"/>
          <w:sz w:val="24"/>
          <w:szCs w:val="20"/>
          <w:highlight w:val="none"/>
        </w:rPr>
      </w:pPr>
    </w:p>
    <w:p w14:paraId="48380DF8">
      <w:pPr>
        <w:snapToGrid w:val="0"/>
        <w:spacing w:before="156"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商  务  技  术  文  件</w:t>
      </w:r>
    </w:p>
    <w:p w14:paraId="7D340F37">
      <w:pPr>
        <w:snapToGrid w:val="0"/>
        <w:spacing w:before="156" w:beforeLines="50" w:after="50"/>
        <w:rPr>
          <w:rFonts w:hint="eastAsia" w:ascii="宋体" w:hAnsi="宋体" w:eastAsia="宋体" w:cs="宋体"/>
          <w:bCs/>
          <w:color w:val="auto"/>
          <w:sz w:val="24"/>
          <w:szCs w:val="20"/>
          <w:highlight w:val="none"/>
        </w:rPr>
      </w:pPr>
    </w:p>
    <w:p w14:paraId="2F517263">
      <w:pPr>
        <w:snapToGrid w:val="0"/>
        <w:spacing w:before="156" w:beforeLines="50" w:after="50"/>
        <w:rPr>
          <w:rFonts w:hint="eastAsia" w:ascii="宋体" w:hAnsi="宋体" w:eastAsia="宋体" w:cs="宋体"/>
          <w:bCs/>
          <w:color w:val="auto"/>
          <w:sz w:val="24"/>
          <w:szCs w:val="20"/>
          <w:highlight w:val="none"/>
        </w:rPr>
      </w:pPr>
    </w:p>
    <w:p w14:paraId="0FDEB7FD">
      <w:pPr>
        <w:snapToGrid w:val="0"/>
        <w:spacing w:before="156" w:beforeLines="50" w:after="50"/>
        <w:rPr>
          <w:rFonts w:hint="eastAsia" w:ascii="宋体" w:hAnsi="宋体" w:eastAsia="宋体" w:cs="宋体"/>
          <w:bCs/>
          <w:color w:val="auto"/>
          <w:sz w:val="24"/>
          <w:szCs w:val="20"/>
          <w:highlight w:val="none"/>
        </w:rPr>
      </w:pPr>
    </w:p>
    <w:p w14:paraId="63AEBEBF">
      <w:pPr>
        <w:snapToGrid w:val="0"/>
        <w:spacing w:before="156" w:beforeLines="50" w:after="50"/>
        <w:rPr>
          <w:rFonts w:hint="eastAsia" w:ascii="宋体" w:hAnsi="宋体" w:eastAsia="宋体" w:cs="宋体"/>
          <w:bCs/>
          <w:color w:val="auto"/>
          <w:sz w:val="24"/>
          <w:szCs w:val="20"/>
          <w:highlight w:val="none"/>
        </w:rPr>
      </w:pPr>
    </w:p>
    <w:p w14:paraId="351D1838">
      <w:pPr>
        <w:snapToGrid w:val="0"/>
        <w:spacing w:before="156" w:beforeLines="50" w:after="50"/>
        <w:rPr>
          <w:rFonts w:hint="eastAsia" w:ascii="宋体" w:hAnsi="宋体" w:eastAsia="宋体" w:cs="宋体"/>
          <w:bCs/>
          <w:color w:val="auto"/>
          <w:sz w:val="24"/>
          <w:szCs w:val="20"/>
          <w:highlight w:val="none"/>
        </w:rPr>
      </w:pPr>
    </w:p>
    <w:p w14:paraId="0D52EDFF">
      <w:pPr>
        <w:snapToGrid w:val="0"/>
        <w:spacing w:before="156" w:beforeLines="50" w:after="50"/>
        <w:rPr>
          <w:rFonts w:hint="default" w:ascii="宋体" w:hAnsi="宋体" w:eastAsia="宋体" w:cs="宋体"/>
          <w:bCs/>
          <w:color w:val="auto"/>
          <w:sz w:val="32"/>
          <w:szCs w:val="32"/>
          <w:highlight w:val="none"/>
          <w:lang w:val="en-US"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贺州市妇幼保健院智慧医院信息系统商用密码安全性应用改造项目</w:t>
      </w:r>
    </w:p>
    <w:p w14:paraId="266CCC34">
      <w:pPr>
        <w:snapToGrid w:val="0"/>
        <w:spacing w:before="156" w:beforeLines="50" w:after="50"/>
        <w:ind w:firstLine="720" w:firstLineChars="225"/>
        <w:rPr>
          <w:rFonts w:hint="eastAsia" w:ascii="宋体" w:hAnsi="宋体" w:eastAsia="宋体" w:cs="宋体"/>
          <w:bCs/>
          <w:color w:val="auto"/>
          <w:sz w:val="32"/>
          <w:szCs w:val="32"/>
          <w:highlight w:val="none"/>
        </w:rPr>
      </w:pPr>
    </w:p>
    <w:p w14:paraId="4730653A">
      <w:pPr>
        <w:snapToGrid w:val="0"/>
        <w:spacing w:before="156" w:beforeLines="50" w:after="5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项目编号：</w:t>
      </w:r>
      <w:r>
        <w:rPr>
          <w:rFonts w:hint="eastAsia" w:ascii="宋体" w:hAnsi="宋体" w:eastAsia="宋体" w:cs="宋体"/>
          <w:bCs/>
          <w:color w:val="auto"/>
          <w:sz w:val="32"/>
          <w:szCs w:val="32"/>
          <w:highlight w:val="none"/>
          <w:lang w:val="en-US" w:eastAsia="zh-CN"/>
        </w:rPr>
        <w:t xml:space="preserve"> </w:t>
      </w:r>
    </w:p>
    <w:p w14:paraId="78414E96">
      <w:pPr>
        <w:snapToGrid w:val="0"/>
        <w:spacing w:before="156"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5FAC970">
      <w:pPr>
        <w:snapToGrid w:val="0"/>
        <w:spacing w:before="156" w:beforeLines="50" w:after="5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550DBDF8">
      <w:pPr>
        <w:snapToGrid w:val="0"/>
        <w:spacing w:before="156" w:beforeLines="50" w:after="50"/>
        <w:ind w:firstLine="720" w:firstLineChars="225"/>
        <w:rPr>
          <w:rFonts w:hint="eastAsia" w:ascii="宋体" w:hAnsi="宋体" w:eastAsia="宋体" w:cs="宋体"/>
          <w:bCs/>
          <w:color w:val="auto"/>
          <w:sz w:val="32"/>
          <w:szCs w:val="32"/>
          <w:highlight w:val="none"/>
        </w:rPr>
      </w:pPr>
    </w:p>
    <w:p w14:paraId="30DF51EB">
      <w:pPr>
        <w:pStyle w:val="7"/>
        <w:snapToGrid w:val="0"/>
        <w:spacing w:before="50" w:after="50"/>
        <w:ind w:left="0" w:leftChars="0" w:firstLine="0" w:firstLineChars="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9F972FD">
      <w:pPr>
        <w:pStyle w:val="7"/>
        <w:snapToGrid w:val="0"/>
        <w:spacing w:before="50" w:after="50"/>
        <w:ind w:firstLine="720" w:firstLineChars="225"/>
        <w:rPr>
          <w:rFonts w:hint="eastAsia" w:ascii="宋体" w:hAnsi="宋体" w:eastAsia="宋体" w:cs="宋体"/>
          <w:bCs/>
          <w:color w:val="auto"/>
          <w:sz w:val="32"/>
          <w:szCs w:val="32"/>
          <w:highlight w:val="none"/>
        </w:rPr>
      </w:pPr>
    </w:p>
    <w:p w14:paraId="7D373497">
      <w:pPr>
        <w:pStyle w:val="7"/>
        <w:snapToGrid w:val="0"/>
        <w:spacing w:before="50" w:after="50"/>
        <w:ind w:firstLine="720" w:firstLineChars="225"/>
        <w:rPr>
          <w:rFonts w:hint="eastAsia" w:ascii="宋体" w:hAnsi="宋体" w:eastAsia="宋体" w:cs="宋体"/>
          <w:bCs/>
          <w:color w:val="auto"/>
          <w:sz w:val="32"/>
          <w:szCs w:val="32"/>
          <w:highlight w:val="none"/>
        </w:rPr>
      </w:pPr>
    </w:p>
    <w:p w14:paraId="1B3BF609">
      <w:pPr>
        <w:pStyle w:val="7"/>
        <w:snapToGrid w:val="0"/>
        <w:spacing w:before="50" w:after="50"/>
        <w:ind w:firstLine="1280" w:firstLineChars="400"/>
        <w:rPr>
          <w:rFonts w:hint="eastAsia" w:ascii="宋体" w:hAnsi="宋体" w:eastAsia="宋体" w:cs="宋体"/>
          <w:bCs/>
          <w:color w:val="auto"/>
          <w:sz w:val="32"/>
          <w:szCs w:val="32"/>
          <w:highlight w:val="none"/>
        </w:rPr>
      </w:pPr>
    </w:p>
    <w:p w14:paraId="6E67F15B">
      <w:pPr>
        <w:snapToGrid w:val="0"/>
        <w:spacing w:before="156"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6DFCA0CF">
      <w:pPr>
        <w:snapToGrid w:val="0"/>
        <w:spacing w:before="156" w:beforeLines="50" w:after="50" w:line="360" w:lineRule="auto"/>
        <w:ind w:left="142"/>
        <w:jc w:val="left"/>
        <w:outlineLvl w:val="2"/>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bookmarkStart w:id="160" w:name="_Toc19477"/>
      <w:r>
        <w:rPr>
          <w:rFonts w:hint="eastAsia" w:ascii="宋体" w:hAnsi="宋体" w:eastAsia="宋体" w:cs="宋体"/>
          <w:b/>
          <w:bCs/>
          <w:color w:val="auto"/>
          <w:sz w:val="32"/>
          <w:szCs w:val="32"/>
          <w:highlight w:val="none"/>
        </w:rPr>
        <w:t>2、报价商务技术文件目录</w:t>
      </w:r>
      <w:bookmarkEnd w:id="160"/>
    </w:p>
    <w:p w14:paraId="04535DEE">
      <w:pPr>
        <w:spacing w:line="30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根据磋商文件规定及供应商提供的材料自行编写目录（部分格式后附）。</w:t>
      </w:r>
    </w:p>
    <w:p w14:paraId="414A4CCE">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（备注：报价商务技术文件请根据第二章《供应商须知前附表》12.1.2报价商务技术文件要求按顺序提供）</w:t>
      </w:r>
    </w:p>
    <w:p w14:paraId="76C292C8">
      <w:pPr>
        <w:jc w:val="left"/>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br w:type="page"/>
      </w:r>
    </w:p>
    <w:p w14:paraId="2D1E076C">
      <w:pPr>
        <w:spacing w:line="360" w:lineRule="auto"/>
        <w:ind w:firstLine="643" w:firstLineChars="200"/>
        <w:contextualSpacing/>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竞标函</w:t>
      </w:r>
    </w:p>
    <w:p w14:paraId="61EE1331">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（采购人名称）   </w:t>
      </w:r>
    </w:p>
    <w:p w14:paraId="3BB27A24">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我方已仔细阅读了贵方组织的</w:t>
      </w:r>
      <w:r>
        <w:rPr>
          <w:rFonts w:hint="eastAsia" w:ascii="宋体" w:hAnsi="宋体" w:eastAsia="宋体" w:cs="宋体"/>
          <w:color w:val="auto"/>
          <w:sz w:val="24"/>
          <w:szCs w:val="24"/>
          <w:highlight w:val="none"/>
          <w:u w:val="single"/>
        </w:rPr>
        <w:t xml:space="preserve"> （项目名称）</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eastAsia="zh-CN"/>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）的竞争性磋商采购文件的全部内容，现正式递交下述文件参加贵方组织的本次政府采购活动：</w:t>
      </w:r>
    </w:p>
    <w:p w14:paraId="2E64BD7E">
      <w:pPr>
        <w:pStyle w:val="13"/>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资格证明文件</w:t>
      </w:r>
    </w:p>
    <w:p w14:paraId="3160CBA3">
      <w:pPr>
        <w:pStyle w:val="13"/>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报价商务技术文件</w:t>
      </w:r>
    </w:p>
    <w:p w14:paraId="64C10B9D">
      <w:pPr>
        <w:pStyle w:val="13"/>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其他文件</w:t>
      </w:r>
    </w:p>
    <w:p w14:paraId="530090D0">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据此函，我方宣布同意如下：</w:t>
      </w:r>
    </w:p>
    <w:p w14:paraId="738B5E93">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按竞争性磋商文件《采购需求和说明》和竞标报价表，磋商总报价人民币（大写）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E557BA1">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1、我方同意在供应商须知规定的开标日期起遵循本响应文件，并在磋商有效期满之前均具有约束力。</w:t>
      </w:r>
    </w:p>
    <w:p w14:paraId="3A4ED4AB">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outlineLvl w:val="2"/>
        <w:rPr>
          <w:rFonts w:hint="eastAsia" w:ascii="宋体" w:hAnsi="宋体" w:eastAsia="宋体" w:cs="宋体"/>
          <w:color w:val="auto"/>
          <w:sz w:val="24"/>
          <w:szCs w:val="24"/>
          <w:highlight w:val="none"/>
        </w:rPr>
      </w:pPr>
      <w:bookmarkStart w:id="161" w:name="_Toc21054"/>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、我方根据竞争性磋商文件的规定，承担完成合同的责任和义务。</w:t>
      </w:r>
      <w:bookmarkEnd w:id="161"/>
    </w:p>
    <w:p w14:paraId="2C065015">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、我方已详细审核磋商文件，我方知道必须放弃提出含糊不清或误解问题的权利。</w:t>
      </w:r>
    </w:p>
    <w:p w14:paraId="0B122D2B">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、同意向贵方提供贵方可能要求的与本磋商有关的任何数据或资料。</w:t>
      </w:r>
    </w:p>
    <w:p w14:paraId="424C7C30">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、我方完全理解贵方不一定接受最低报价的供应商为成交供应商。</w:t>
      </w:r>
    </w:p>
    <w:p w14:paraId="3F927F1B">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、若贵方需要，我方愿意提供我方作出的一切承诺的证明材料。</w:t>
      </w:r>
    </w:p>
    <w:p w14:paraId="66E1E731">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我方将严格遵守《中华人民共和国政府采购法》的规定，知悉作为政府采购供应商应负的法律责任。</w:t>
      </w:r>
    </w:p>
    <w:p w14:paraId="14ADCFFF">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与本磋商有关的正式通讯地址为：</w:t>
      </w:r>
    </w:p>
    <w:p w14:paraId="45590B2B">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（电子签章）</w:t>
      </w:r>
    </w:p>
    <w:p w14:paraId="0F1725A9">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邮政编码：</w:t>
      </w:r>
      <w:r>
        <w:rPr>
          <w:rFonts w:hint="eastAsia" w:ascii="宋体" w:hAnsi="宋体" w:eastAsia="宋体" w:cs="宋体"/>
          <w:color w:val="auto"/>
          <w:sz w:val="24"/>
          <w:szCs w:val="24"/>
          <w:highlight w:val="none"/>
          <w:u w:val="single"/>
        </w:rPr>
        <w:t xml:space="preserve">             </w:t>
      </w:r>
    </w:p>
    <w:p w14:paraId="78029AA3">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电话、电报、传真或电传：</w:t>
      </w:r>
      <w:r>
        <w:rPr>
          <w:rFonts w:hint="eastAsia" w:ascii="宋体" w:hAnsi="宋体" w:eastAsia="宋体" w:cs="宋体"/>
          <w:color w:val="auto"/>
          <w:sz w:val="24"/>
          <w:szCs w:val="24"/>
          <w:highlight w:val="none"/>
          <w:u w:val="words"/>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B832809">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开户名称：</w:t>
      </w:r>
      <w:r>
        <w:rPr>
          <w:rFonts w:hint="eastAsia" w:ascii="宋体" w:hAnsi="宋体" w:eastAsia="宋体" w:cs="宋体"/>
          <w:color w:val="auto"/>
          <w:sz w:val="24"/>
          <w:szCs w:val="24"/>
          <w:highlight w:val="none"/>
          <w:u w:val="single"/>
        </w:rPr>
        <w:t xml:space="preserve">                                                     </w:t>
      </w:r>
    </w:p>
    <w:p w14:paraId="1B479DA4">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p>
    <w:p w14:paraId="723BB341">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r>
        <w:rPr>
          <w:rFonts w:hint="eastAsia" w:ascii="宋体" w:hAnsi="宋体" w:eastAsia="宋体" w:cs="宋体"/>
          <w:color w:val="auto"/>
          <w:sz w:val="24"/>
          <w:szCs w:val="24"/>
          <w:highlight w:val="none"/>
          <w:u w:val="single"/>
        </w:rPr>
        <w:t xml:space="preserve">                                                        </w:t>
      </w:r>
    </w:p>
    <w:p w14:paraId="38DBDD68">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法定代表人（负责人）或委托代理人（签字或盖章）：</w:t>
      </w:r>
      <w:r>
        <w:rPr>
          <w:rFonts w:hint="eastAsia" w:ascii="宋体" w:hAnsi="宋体" w:eastAsia="宋体" w:cs="宋体"/>
          <w:color w:val="auto"/>
          <w:sz w:val="24"/>
          <w:szCs w:val="24"/>
          <w:highlight w:val="none"/>
          <w:u w:val="single"/>
        </w:rPr>
        <w:t xml:space="preserve">                                  </w:t>
      </w:r>
    </w:p>
    <w:p w14:paraId="4847577F">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p>
    <w:p w14:paraId="3A9BC67C">
      <w:pPr>
        <w:pStyle w:val="13"/>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both"/>
        <w:textAlignment w:val="auto"/>
        <w:rPr>
          <w:rFonts w:hint="eastAsia" w:ascii="宋体" w:hAnsi="宋体" w:eastAsia="宋体" w:cs="宋体"/>
          <w:color w:val="auto"/>
          <w:sz w:val="24"/>
          <w:szCs w:val="24"/>
          <w:highlight w:val="none"/>
          <w:u w:val="single"/>
        </w:rPr>
      </w:pPr>
    </w:p>
    <w:p w14:paraId="398AD460">
      <w:pPr>
        <w:pStyle w:val="13"/>
        <w:spacing w:line="400" w:lineRule="exact"/>
        <w:ind w:firstLine="480" w:firstLineChars="200"/>
        <w:rPr>
          <w:rFonts w:hint="eastAsia" w:ascii="宋体" w:hAnsi="宋体" w:eastAsia="宋体" w:cs="宋体"/>
          <w:color w:val="auto"/>
          <w:sz w:val="24"/>
          <w:szCs w:val="24"/>
          <w:highlight w:val="none"/>
          <w:u w:val="single"/>
        </w:rPr>
      </w:pPr>
    </w:p>
    <w:p w14:paraId="317E5E16">
      <w:pPr>
        <w:pStyle w:val="13"/>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注：未按照本竞标函要求填报的竞标函将被视为非实质性响应。</w:t>
      </w:r>
    </w:p>
    <w:p w14:paraId="3AB2E36D">
      <w:pPr>
        <w:pStyle w:val="13"/>
        <w:spacing w:line="440" w:lineRule="exact"/>
        <w:rPr>
          <w:rFonts w:hint="eastAsia" w:ascii="宋体" w:hAnsi="宋体" w:eastAsia="宋体" w:cs="宋体"/>
          <w:color w:val="auto"/>
          <w:sz w:val="24"/>
          <w:szCs w:val="24"/>
          <w:highlight w:val="none"/>
        </w:rPr>
      </w:pPr>
    </w:p>
    <w:p w14:paraId="5F8C3F44">
      <w:pPr>
        <w:spacing w:line="520" w:lineRule="exact"/>
        <w:jc w:val="center"/>
        <w:rPr>
          <w:rFonts w:hint="eastAsia" w:ascii="宋体" w:hAnsi="宋体" w:eastAsia="宋体" w:cs="宋体"/>
          <w:bCs/>
          <w:color w:val="auto"/>
          <w:sz w:val="24"/>
          <w:highlight w:val="none"/>
        </w:rPr>
      </w:pPr>
    </w:p>
    <w:p w14:paraId="5B26156A">
      <w:pPr>
        <w:spacing w:line="360" w:lineRule="auto"/>
        <w:ind w:right="-817" w:rightChars="-389" w:firstLine="3840" w:firstLineChars="16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法定代表人或者委托代理人（签字或盖章）：                                       </w:t>
      </w:r>
    </w:p>
    <w:p w14:paraId="63B2384E">
      <w:pPr>
        <w:spacing w:line="360" w:lineRule="auto"/>
        <w:ind w:right="-817" w:rightChars="-389" w:firstLine="5520" w:firstLineChars="23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供应商（公章或电子签章 ）：      </w:t>
      </w:r>
    </w:p>
    <w:p w14:paraId="7FBFFCDC">
      <w:pPr>
        <w:snapToGrid w:val="0"/>
        <w:spacing w:before="50" w:after="156" w:afterLines="50" w:line="400" w:lineRule="exact"/>
        <w:ind w:firstLine="5520" w:firstLineChars="2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166FD958">
      <w:pPr>
        <w:spacing w:line="520" w:lineRule="exact"/>
        <w:jc w:val="center"/>
        <w:rPr>
          <w:rFonts w:hint="eastAsia" w:ascii="宋体" w:hAnsi="宋体" w:eastAsia="宋体" w:cs="宋体"/>
          <w:bCs/>
          <w:color w:val="auto"/>
          <w:sz w:val="24"/>
          <w:highlight w:val="none"/>
        </w:rPr>
      </w:pPr>
    </w:p>
    <w:p w14:paraId="2333318E">
      <w:pPr>
        <w:spacing w:line="520" w:lineRule="exact"/>
        <w:jc w:val="center"/>
        <w:rPr>
          <w:rFonts w:hint="eastAsia" w:ascii="宋体" w:hAnsi="宋体" w:eastAsia="宋体" w:cs="宋体"/>
          <w:bCs/>
          <w:color w:val="auto"/>
          <w:sz w:val="24"/>
          <w:highlight w:val="none"/>
        </w:rPr>
      </w:pPr>
    </w:p>
    <w:p w14:paraId="2E3C8857">
      <w:pPr>
        <w:spacing w:line="520" w:lineRule="exact"/>
        <w:jc w:val="center"/>
        <w:rPr>
          <w:rFonts w:hint="eastAsia" w:ascii="宋体" w:hAnsi="宋体" w:eastAsia="宋体" w:cs="宋体"/>
          <w:bCs/>
          <w:color w:val="auto"/>
          <w:sz w:val="24"/>
          <w:highlight w:val="none"/>
        </w:rPr>
      </w:pPr>
    </w:p>
    <w:p w14:paraId="457CBECC">
      <w:pPr>
        <w:spacing w:line="520" w:lineRule="exact"/>
        <w:jc w:val="center"/>
        <w:rPr>
          <w:rFonts w:hint="eastAsia" w:ascii="宋体" w:hAnsi="宋体" w:eastAsia="宋体" w:cs="宋体"/>
          <w:bCs/>
          <w:color w:val="auto"/>
          <w:sz w:val="24"/>
          <w:highlight w:val="none"/>
        </w:rPr>
      </w:pPr>
    </w:p>
    <w:p w14:paraId="5AA4DF23">
      <w:pPr>
        <w:spacing w:line="520" w:lineRule="exact"/>
        <w:jc w:val="center"/>
        <w:rPr>
          <w:rFonts w:hint="eastAsia" w:ascii="宋体" w:hAnsi="宋体" w:eastAsia="宋体" w:cs="宋体"/>
          <w:bCs/>
          <w:color w:val="auto"/>
          <w:sz w:val="24"/>
          <w:highlight w:val="none"/>
        </w:rPr>
      </w:pPr>
    </w:p>
    <w:p w14:paraId="3F3C9801">
      <w:pPr>
        <w:spacing w:line="520" w:lineRule="exact"/>
        <w:jc w:val="center"/>
        <w:rPr>
          <w:rFonts w:hint="eastAsia" w:ascii="宋体" w:hAnsi="宋体" w:eastAsia="宋体" w:cs="宋体"/>
          <w:bCs/>
          <w:color w:val="auto"/>
          <w:sz w:val="24"/>
          <w:highlight w:val="none"/>
        </w:rPr>
      </w:pPr>
    </w:p>
    <w:p w14:paraId="1F009D94">
      <w:pPr>
        <w:spacing w:line="520" w:lineRule="exact"/>
        <w:jc w:val="center"/>
        <w:rPr>
          <w:rFonts w:hint="eastAsia" w:ascii="宋体" w:hAnsi="宋体" w:eastAsia="宋体" w:cs="宋体"/>
          <w:bCs/>
          <w:color w:val="auto"/>
          <w:sz w:val="24"/>
          <w:highlight w:val="none"/>
        </w:rPr>
      </w:pPr>
    </w:p>
    <w:p w14:paraId="192CD403">
      <w:pPr>
        <w:spacing w:line="520" w:lineRule="exact"/>
        <w:jc w:val="center"/>
        <w:rPr>
          <w:rFonts w:hint="eastAsia" w:ascii="宋体" w:hAnsi="宋体" w:eastAsia="宋体" w:cs="宋体"/>
          <w:bCs/>
          <w:color w:val="auto"/>
          <w:sz w:val="24"/>
          <w:highlight w:val="none"/>
        </w:rPr>
      </w:pPr>
    </w:p>
    <w:p w14:paraId="2D03D3C9">
      <w:pPr>
        <w:spacing w:line="520" w:lineRule="exact"/>
        <w:jc w:val="center"/>
        <w:rPr>
          <w:rFonts w:hint="eastAsia" w:ascii="宋体" w:hAnsi="宋体" w:eastAsia="宋体" w:cs="宋体"/>
          <w:bCs/>
          <w:color w:val="auto"/>
          <w:sz w:val="24"/>
          <w:highlight w:val="none"/>
        </w:rPr>
      </w:pPr>
    </w:p>
    <w:p w14:paraId="3B288F3D">
      <w:pPr>
        <w:spacing w:line="520" w:lineRule="exact"/>
        <w:jc w:val="center"/>
        <w:rPr>
          <w:rFonts w:hint="eastAsia" w:ascii="宋体" w:hAnsi="宋体" w:eastAsia="宋体" w:cs="宋体"/>
          <w:bCs/>
          <w:color w:val="auto"/>
          <w:sz w:val="24"/>
          <w:highlight w:val="none"/>
        </w:rPr>
      </w:pPr>
    </w:p>
    <w:p w14:paraId="4F31B01A">
      <w:pPr>
        <w:spacing w:line="520" w:lineRule="exact"/>
        <w:jc w:val="center"/>
        <w:rPr>
          <w:rFonts w:hint="eastAsia" w:ascii="宋体" w:hAnsi="宋体" w:eastAsia="宋体" w:cs="宋体"/>
          <w:bCs/>
          <w:color w:val="auto"/>
          <w:sz w:val="24"/>
          <w:highlight w:val="none"/>
        </w:rPr>
      </w:pPr>
    </w:p>
    <w:p w14:paraId="08710B33">
      <w:pPr>
        <w:spacing w:line="520" w:lineRule="exact"/>
        <w:jc w:val="center"/>
        <w:rPr>
          <w:rFonts w:hint="eastAsia" w:ascii="宋体" w:hAnsi="宋体" w:eastAsia="宋体" w:cs="宋体"/>
          <w:bCs/>
          <w:color w:val="auto"/>
          <w:sz w:val="24"/>
          <w:highlight w:val="none"/>
        </w:rPr>
      </w:pPr>
    </w:p>
    <w:p w14:paraId="4CF2C991">
      <w:pPr>
        <w:spacing w:line="520" w:lineRule="exact"/>
        <w:jc w:val="center"/>
        <w:rPr>
          <w:rFonts w:hint="eastAsia" w:ascii="宋体" w:hAnsi="宋体" w:eastAsia="宋体" w:cs="宋体"/>
          <w:bCs/>
          <w:color w:val="auto"/>
          <w:sz w:val="24"/>
          <w:highlight w:val="none"/>
        </w:rPr>
      </w:pPr>
    </w:p>
    <w:p w14:paraId="030FBE70">
      <w:pPr>
        <w:spacing w:line="520" w:lineRule="exact"/>
        <w:jc w:val="center"/>
        <w:rPr>
          <w:rFonts w:hint="eastAsia" w:ascii="宋体" w:hAnsi="宋体" w:eastAsia="宋体" w:cs="宋体"/>
          <w:bCs/>
          <w:color w:val="auto"/>
          <w:sz w:val="24"/>
          <w:highlight w:val="none"/>
        </w:rPr>
      </w:pPr>
    </w:p>
    <w:p w14:paraId="388BE6B0">
      <w:pPr>
        <w:spacing w:line="520" w:lineRule="exact"/>
        <w:jc w:val="center"/>
        <w:rPr>
          <w:rFonts w:hint="eastAsia" w:ascii="宋体" w:hAnsi="宋体" w:eastAsia="宋体" w:cs="宋体"/>
          <w:bCs/>
          <w:color w:val="auto"/>
          <w:sz w:val="24"/>
          <w:highlight w:val="none"/>
        </w:rPr>
      </w:pPr>
    </w:p>
    <w:p w14:paraId="6A618311">
      <w:pPr>
        <w:jc w:val="center"/>
        <w:rPr>
          <w:rFonts w:hint="eastAsia" w:ascii="宋体" w:hAnsi="宋体" w:cs="宋体"/>
          <w:b/>
          <w:color w:val="auto"/>
          <w:kern w:val="0"/>
          <w:sz w:val="28"/>
          <w:szCs w:val="28"/>
          <w:highlight w:val="none"/>
          <w:lang w:val="en-US" w:eastAsia="zh-CN"/>
        </w:rPr>
      </w:pPr>
      <w:r>
        <w:rPr>
          <w:rFonts w:hint="eastAsia" w:ascii="宋体" w:hAnsi="宋体" w:cs="宋体"/>
          <w:b/>
          <w:color w:val="auto"/>
          <w:kern w:val="0"/>
          <w:sz w:val="28"/>
          <w:szCs w:val="28"/>
          <w:highlight w:val="none"/>
          <w:lang w:val="en-US" w:eastAsia="zh-CN"/>
        </w:rPr>
        <w:t>竞标报价表</w:t>
      </w:r>
    </w:p>
    <w:p w14:paraId="33DE9AE6">
      <w:pPr>
        <w:spacing w:line="360" w:lineRule="auto"/>
        <w:contextualSpacing/>
        <w:rPr>
          <w:rFonts w:hint="default" w:ascii="宋体" w:hAnsi="宋体" w:cs="宋体"/>
          <w:b/>
          <w:color w:val="auto"/>
          <w:kern w:val="0"/>
          <w:sz w:val="40"/>
          <w:szCs w:val="40"/>
          <w:highlight w:val="none"/>
          <w:lang w:val="en-US" w:eastAsia="zh-CN"/>
        </w:rPr>
      </w:pPr>
      <w:r>
        <w:rPr>
          <w:rFonts w:hint="eastAsia" w:ascii="宋体" w:hAnsi="宋体" w:eastAsia="宋体" w:cs="宋体"/>
          <w:color w:val="auto"/>
          <w:sz w:val="24"/>
          <w:highlight w:val="none"/>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6321"/>
      </w:tblGrid>
      <w:tr w14:paraId="4CC6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2304" w:type="dxa"/>
            <w:noWrap w:val="0"/>
            <w:vAlign w:val="center"/>
          </w:tcPr>
          <w:p w14:paraId="74875493">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6321" w:type="dxa"/>
            <w:noWrap w:val="0"/>
            <w:vAlign w:val="center"/>
          </w:tcPr>
          <w:p w14:paraId="3E91BC82">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贺州市妇幼保健院智慧医院信息系统商用密码安全性应用改造项目</w:t>
            </w:r>
          </w:p>
        </w:tc>
      </w:tr>
      <w:tr w14:paraId="2A57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2304" w:type="dxa"/>
            <w:noWrap w:val="0"/>
            <w:vAlign w:val="center"/>
          </w:tcPr>
          <w:p w14:paraId="28F0A7A4">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tc>
        <w:tc>
          <w:tcPr>
            <w:tcW w:w="6321" w:type="dxa"/>
            <w:noWrap w:val="0"/>
            <w:vAlign w:val="center"/>
          </w:tcPr>
          <w:p w14:paraId="2D3D4489">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HZZC2025-C3-990283-GDZC </w:t>
            </w:r>
          </w:p>
        </w:tc>
      </w:tr>
      <w:tr w14:paraId="5AA2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304" w:type="dxa"/>
            <w:noWrap w:val="0"/>
            <w:vAlign w:val="center"/>
          </w:tcPr>
          <w:p w14:paraId="4FBA5A3B">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竞标</w:t>
            </w:r>
            <w:r>
              <w:rPr>
                <w:rFonts w:hint="eastAsia" w:ascii="宋体" w:hAnsi="宋体" w:eastAsia="宋体" w:cs="宋体"/>
                <w:color w:val="auto"/>
                <w:sz w:val="24"/>
                <w:highlight w:val="none"/>
              </w:rPr>
              <w:t>总报价</w:t>
            </w:r>
          </w:p>
        </w:tc>
        <w:tc>
          <w:tcPr>
            <w:tcW w:w="6321" w:type="dxa"/>
            <w:noWrap w:val="0"/>
            <w:vAlign w:val="center"/>
          </w:tcPr>
          <w:p w14:paraId="02EA1E48">
            <w:pPr>
              <w:keepNext w:val="0"/>
              <w:keepLines w:val="0"/>
              <w:suppressLineNumbers w:val="0"/>
              <w:spacing w:before="0" w:beforeAutospacing="0" w:after="0" w:afterAutospacing="0"/>
              <w:ind w:left="0" w:right="0"/>
              <w:jc w:val="both"/>
              <w:rPr>
                <w:rFonts w:hint="eastAsia" w:ascii="宋体" w:hAnsi="宋体" w:cs="宋体"/>
                <w:color w:val="auto"/>
                <w:sz w:val="24"/>
                <w:highlight w:val="none"/>
                <w:u w:val="single"/>
                <w:lang w:val="en-US" w:eastAsia="zh-CN"/>
              </w:rPr>
            </w:pPr>
            <w:r>
              <w:rPr>
                <w:rFonts w:hint="eastAsia" w:ascii="宋体" w:hAnsi="宋体" w:eastAsia="宋体" w:cs="宋体"/>
                <w:color w:val="auto"/>
                <w:sz w:val="24"/>
                <w:highlight w:val="none"/>
                <w:lang w:val="en-US" w:eastAsia="zh-CN"/>
              </w:rPr>
              <w:t>竞标</w:t>
            </w:r>
            <w:r>
              <w:rPr>
                <w:rFonts w:hint="eastAsia" w:ascii="宋体" w:hAnsi="宋体" w:eastAsia="宋体" w:cs="宋体"/>
                <w:color w:val="auto"/>
                <w:sz w:val="24"/>
                <w:highlight w:val="none"/>
              </w:rPr>
              <w:t>总报价</w:t>
            </w:r>
            <w:r>
              <w:rPr>
                <w:rFonts w:hint="eastAsia" w:ascii="宋体" w:hAnsi="宋体" w:cs="宋体"/>
                <w:color w:val="auto"/>
                <w:sz w:val="24"/>
                <w:highlight w:val="none"/>
                <w:lang w:val="en-US" w:eastAsia="zh-CN"/>
              </w:rPr>
              <w:t>为：人民币</w:t>
            </w:r>
            <w:r>
              <w:rPr>
                <w:rFonts w:hint="eastAsia" w:ascii="宋体" w:hAnsi="宋体" w:cs="宋体"/>
                <w:color w:val="auto"/>
                <w:sz w:val="24"/>
                <w:highlight w:val="none"/>
                <w:u w:val="single"/>
                <w:lang w:val="en-US" w:eastAsia="zh-CN"/>
              </w:rPr>
              <w:t>（大写）</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p>
          <w:p w14:paraId="23B7BC1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cs="宋体"/>
                <w:color w:val="auto"/>
                <w:sz w:val="24"/>
                <w:highlight w:val="none"/>
                <w:u w:val="none"/>
                <w:lang w:val="en-US" w:eastAsia="zh-CN"/>
              </w:rPr>
              <w:t xml:space="preserve">      </w:t>
            </w:r>
            <w:r>
              <w:rPr>
                <w:rFonts w:hint="eastAsia" w:ascii="宋体" w:hAnsi="宋体" w:cs="宋体"/>
                <w:color w:val="auto"/>
                <w:sz w:val="24"/>
                <w:highlight w:val="none"/>
                <w:u w:val="single"/>
                <w:lang w:val="en-US" w:eastAsia="zh-CN"/>
              </w:rPr>
              <w:t>（小写：                ¥）</w:t>
            </w:r>
            <w:r>
              <w:rPr>
                <w:rFonts w:hint="eastAsia" w:ascii="宋体" w:hAnsi="宋体" w:eastAsia="宋体" w:cs="宋体"/>
                <w:color w:val="auto"/>
                <w:sz w:val="24"/>
                <w:highlight w:val="none"/>
              </w:rPr>
              <w:t>。</w:t>
            </w:r>
          </w:p>
        </w:tc>
      </w:tr>
      <w:tr w14:paraId="5343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304" w:type="dxa"/>
            <w:noWrap w:val="0"/>
            <w:vAlign w:val="center"/>
          </w:tcPr>
          <w:p w14:paraId="361B87CD">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合同履约</w:t>
            </w:r>
            <w:r>
              <w:rPr>
                <w:rFonts w:hint="eastAsia" w:ascii="宋体" w:hAnsi="宋体" w:eastAsia="宋体" w:cs="宋体"/>
                <w:color w:val="auto"/>
                <w:sz w:val="24"/>
                <w:highlight w:val="none"/>
              </w:rPr>
              <w:t>期限</w:t>
            </w:r>
          </w:p>
        </w:tc>
        <w:tc>
          <w:tcPr>
            <w:tcW w:w="6321" w:type="dxa"/>
            <w:noWrap w:val="0"/>
            <w:vAlign w:val="center"/>
          </w:tcPr>
          <w:p w14:paraId="73E79C77">
            <w:pPr>
              <w:keepNext w:val="0"/>
              <w:keepLines w:val="0"/>
              <w:suppressLineNumbers w:val="0"/>
              <w:spacing w:before="0" w:beforeAutospacing="0" w:after="0" w:afterAutospacing="0"/>
              <w:ind w:left="0" w:right="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p>
        </w:tc>
      </w:tr>
      <w:tr w14:paraId="59EC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2304" w:type="dxa"/>
            <w:noWrap w:val="0"/>
            <w:vAlign w:val="center"/>
          </w:tcPr>
          <w:p w14:paraId="7431E043">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竞标</w:t>
            </w:r>
            <w:r>
              <w:rPr>
                <w:rFonts w:hint="eastAsia" w:ascii="宋体" w:hAnsi="宋体" w:eastAsia="宋体" w:cs="宋体"/>
                <w:color w:val="auto"/>
                <w:sz w:val="24"/>
                <w:highlight w:val="none"/>
              </w:rPr>
              <w:t>有效期</w:t>
            </w:r>
          </w:p>
        </w:tc>
        <w:tc>
          <w:tcPr>
            <w:tcW w:w="6321" w:type="dxa"/>
            <w:noWrap w:val="0"/>
            <w:vAlign w:val="center"/>
          </w:tcPr>
          <w:p w14:paraId="276082FB">
            <w:pPr>
              <w:keepNext w:val="0"/>
              <w:keepLines w:val="0"/>
              <w:suppressLineNumbers w:val="0"/>
              <w:spacing w:before="0" w:beforeAutospacing="0" w:after="0" w:afterAutospacing="0"/>
              <w:ind w:left="0" w:right="0" w:firstLine="360" w:firstLineChars="15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w:t>
            </w:r>
          </w:p>
        </w:tc>
      </w:tr>
    </w:tbl>
    <w:p w14:paraId="0A59CA24">
      <w:pPr>
        <w:spacing w:line="400" w:lineRule="exact"/>
        <w:ind w:right="-817" w:rightChars="-389"/>
        <w:contextualSpacing/>
        <w:rPr>
          <w:rFonts w:hint="eastAsia" w:ascii="宋体" w:hAnsi="宋体" w:eastAsia="宋体" w:cs="宋体"/>
          <w:color w:val="auto"/>
          <w:sz w:val="24"/>
          <w:highlight w:val="none"/>
        </w:rPr>
      </w:pPr>
    </w:p>
    <w:p w14:paraId="7A4BF7CA">
      <w:pPr>
        <w:spacing w:line="400" w:lineRule="exact"/>
        <w:contextualSpacing/>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注: </w:t>
      </w:r>
    </w:p>
    <w:p w14:paraId="1A22722C">
      <w:pPr>
        <w:spacing w:line="400" w:lineRule="exact"/>
        <w:ind w:firstLine="440" w:firstLineChars="200"/>
        <w:contextualSpacing/>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1.供应商的报价表必须加盖供应商公章并由法定代表人或者委托代理人签字，</w:t>
      </w:r>
      <w:r>
        <w:rPr>
          <w:rFonts w:hint="eastAsia" w:ascii="宋体" w:hAnsi="宋体" w:eastAsia="宋体" w:cs="宋体"/>
          <w:b/>
          <w:color w:val="auto"/>
          <w:sz w:val="22"/>
          <w:szCs w:val="22"/>
          <w:highlight w:val="none"/>
        </w:rPr>
        <w:t>否则其响应文件按无效响应处理</w:t>
      </w:r>
      <w:r>
        <w:rPr>
          <w:rFonts w:hint="eastAsia" w:ascii="宋体" w:hAnsi="宋体" w:eastAsia="宋体" w:cs="宋体"/>
          <w:color w:val="auto"/>
          <w:sz w:val="22"/>
          <w:szCs w:val="22"/>
          <w:highlight w:val="none"/>
        </w:rPr>
        <w:t>。</w:t>
      </w:r>
    </w:p>
    <w:p w14:paraId="6B9EA0EE">
      <w:pPr>
        <w:spacing w:line="400" w:lineRule="exact"/>
        <w:ind w:firstLine="440" w:firstLineChars="200"/>
        <w:contextualSpacing/>
        <w:jc w:val="left"/>
        <w:rPr>
          <w:rFonts w:hint="eastAsia" w:ascii="宋体" w:hAnsi="宋体" w:eastAsia="宋体" w:cs="宋体"/>
          <w:b/>
          <w:color w:val="auto"/>
          <w:sz w:val="22"/>
          <w:szCs w:val="22"/>
          <w:highlight w:val="none"/>
        </w:rPr>
      </w:pPr>
      <w:r>
        <w:rPr>
          <w:rFonts w:hint="eastAsia" w:ascii="宋体" w:hAnsi="宋体" w:eastAsia="宋体" w:cs="宋体"/>
          <w:bCs/>
          <w:color w:val="auto"/>
          <w:sz w:val="22"/>
          <w:szCs w:val="22"/>
          <w:highlight w:val="none"/>
        </w:rPr>
        <w:t>2.</w:t>
      </w:r>
      <w:r>
        <w:rPr>
          <w:rFonts w:hint="eastAsia" w:ascii="宋体" w:hAnsi="宋体" w:eastAsia="宋体" w:cs="宋体"/>
          <w:color w:val="auto"/>
          <w:sz w:val="22"/>
          <w:szCs w:val="22"/>
          <w:highlight w:val="none"/>
        </w:rPr>
        <w:t>报价一经涂改，应在涂改处加盖供应商公章或者由法定代表人或者委托代理人签字或者盖章</w:t>
      </w:r>
      <w:r>
        <w:rPr>
          <w:rFonts w:hint="eastAsia" w:ascii="宋体" w:hAnsi="宋体" w:eastAsia="宋体" w:cs="宋体"/>
          <w:b/>
          <w:color w:val="auto"/>
          <w:sz w:val="22"/>
          <w:szCs w:val="22"/>
          <w:highlight w:val="none"/>
        </w:rPr>
        <w:t>，否则其响应文件按无效响应处理。</w:t>
      </w:r>
    </w:p>
    <w:p w14:paraId="7974E463">
      <w:pPr>
        <w:spacing w:line="400" w:lineRule="exact"/>
        <w:ind w:firstLine="440" w:firstLineChars="200"/>
        <w:contextualSpacing/>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3.如为联合体竞标，“供应商名称”处必须列明联合体各方名称，标注联合体牵头人名称，</w:t>
      </w:r>
      <w:r>
        <w:rPr>
          <w:rFonts w:hint="eastAsia" w:ascii="宋体" w:hAnsi="宋体" w:eastAsia="宋体" w:cs="宋体"/>
          <w:b/>
          <w:color w:val="auto"/>
          <w:sz w:val="22"/>
          <w:szCs w:val="22"/>
          <w:highlight w:val="none"/>
        </w:rPr>
        <w:t>否则其响应文件按无效响应处理。（采购人可根据项目情况自行修改是否需要联合体各方签字盖章）。</w:t>
      </w:r>
    </w:p>
    <w:p w14:paraId="4D3D3BC2">
      <w:pPr>
        <w:spacing w:line="400" w:lineRule="exact"/>
        <w:ind w:firstLine="440" w:firstLineChars="200"/>
        <w:contextualSpacing/>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4.如为联合体竞标，盖章处须加盖联合体各方公章，</w:t>
      </w:r>
      <w:r>
        <w:rPr>
          <w:rFonts w:hint="eastAsia" w:ascii="宋体" w:hAnsi="宋体" w:eastAsia="宋体" w:cs="宋体"/>
          <w:b/>
          <w:color w:val="auto"/>
          <w:sz w:val="22"/>
          <w:szCs w:val="22"/>
          <w:highlight w:val="none"/>
        </w:rPr>
        <w:t>否则其响应文件按无效响应处理。（采购人可根据项目情况自行修改是否需要联合体各方签字盖章）。</w:t>
      </w:r>
    </w:p>
    <w:p w14:paraId="26759388">
      <w:pPr>
        <w:spacing w:line="400" w:lineRule="exact"/>
        <w:ind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hint="eastAsia" w:ascii="宋体" w:hAnsi="宋体" w:eastAsia="宋体" w:cs="宋体"/>
          <w:color w:val="auto"/>
          <w:spacing w:val="-6"/>
          <w:sz w:val="22"/>
          <w:szCs w:val="22"/>
          <w:highlight w:val="none"/>
        </w:rPr>
        <w:t>如有多分标，分别列明各分标的报价表，</w:t>
      </w:r>
      <w:r>
        <w:rPr>
          <w:rFonts w:hint="eastAsia" w:ascii="宋体" w:hAnsi="宋体" w:eastAsia="宋体" w:cs="宋体"/>
          <w:b/>
          <w:color w:val="auto"/>
          <w:spacing w:val="-6"/>
          <w:sz w:val="22"/>
          <w:szCs w:val="22"/>
          <w:highlight w:val="none"/>
        </w:rPr>
        <w:t>否则其响应文件按无效响应处理。</w:t>
      </w:r>
    </w:p>
    <w:p w14:paraId="1E617EAF">
      <w:pPr>
        <w:spacing w:line="400" w:lineRule="exact"/>
        <w:ind w:right="-817" w:rightChars="-389"/>
        <w:contextualSpacing/>
        <w:rPr>
          <w:rFonts w:hint="eastAsia" w:ascii="宋体" w:hAnsi="宋体" w:eastAsia="宋体" w:cs="宋体"/>
          <w:color w:val="auto"/>
          <w:sz w:val="24"/>
          <w:highlight w:val="none"/>
        </w:rPr>
      </w:pPr>
    </w:p>
    <w:p w14:paraId="18504E82">
      <w:pPr>
        <w:spacing w:line="400" w:lineRule="exact"/>
        <w:ind w:right="-817" w:rightChars="-389"/>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法定代表人或者委托代理人（签字</w:t>
      </w:r>
      <w:r>
        <w:rPr>
          <w:rFonts w:hint="eastAsia" w:ascii="宋体" w:hAnsi="宋体" w:eastAsia="宋体" w:cs="宋体"/>
          <w:color w:val="auto"/>
          <w:sz w:val="24"/>
          <w:highlight w:val="none"/>
          <w:lang w:val="en-US" w:eastAsia="zh-CN"/>
        </w:rPr>
        <w:t>或盖章</w:t>
      </w:r>
      <w:r>
        <w:rPr>
          <w:rFonts w:hint="eastAsia" w:ascii="宋体" w:hAnsi="宋体" w:eastAsia="宋体" w:cs="宋体"/>
          <w:color w:val="auto"/>
          <w:sz w:val="24"/>
          <w:highlight w:val="none"/>
        </w:rPr>
        <w:t>）：</w:t>
      </w:r>
      <w:r>
        <w:rPr>
          <w:rFonts w:hint="eastAsia" w:ascii="宋体" w:hAnsi="宋体" w:eastAsia="宋体" w:cs="宋体"/>
          <w:color w:val="auto"/>
          <w:spacing w:val="20"/>
          <w:sz w:val="24"/>
          <w:highlight w:val="none"/>
          <w:u w:val="single"/>
        </w:rPr>
        <w:t xml:space="preserve">         </w:t>
      </w:r>
      <w:r>
        <w:rPr>
          <w:rFonts w:hint="eastAsia" w:ascii="宋体" w:hAnsi="宋体" w:eastAsia="宋体" w:cs="宋体"/>
          <w:color w:val="auto"/>
          <w:sz w:val="24"/>
          <w:highlight w:val="none"/>
        </w:rPr>
        <w:t xml:space="preserve">                    </w:t>
      </w:r>
    </w:p>
    <w:p w14:paraId="5B866981">
      <w:pPr>
        <w:spacing w:line="400" w:lineRule="exact"/>
        <w:ind w:right="-817" w:rightChars="-389"/>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供应商（盖公章或CA章）：</w:t>
      </w:r>
      <w:r>
        <w:rPr>
          <w:rFonts w:hint="eastAsia" w:ascii="宋体" w:hAnsi="宋体" w:eastAsia="宋体" w:cs="宋体"/>
          <w:color w:val="auto"/>
          <w:spacing w:val="20"/>
          <w:sz w:val="24"/>
          <w:highlight w:val="none"/>
          <w:u w:val="single"/>
        </w:rPr>
        <w:t xml:space="preserve">         </w:t>
      </w:r>
      <w:r>
        <w:rPr>
          <w:rFonts w:hint="eastAsia" w:ascii="宋体" w:hAnsi="宋体" w:eastAsia="宋体" w:cs="宋体"/>
          <w:color w:val="auto"/>
          <w:sz w:val="24"/>
          <w:highlight w:val="none"/>
        </w:rPr>
        <w:t xml:space="preserve">      </w:t>
      </w:r>
    </w:p>
    <w:p w14:paraId="5FDACF77">
      <w:pPr>
        <w:spacing w:line="400" w:lineRule="exact"/>
        <w:ind w:right="-817" w:rightChars="-389"/>
        <w:contextualSpacing/>
        <w:rPr>
          <w:rFonts w:hint="eastAsia" w:ascii="宋体" w:hAnsi="宋体" w:eastAsia="宋体" w:cs="宋体"/>
          <w:color w:val="auto"/>
          <w:spacing w:val="20"/>
          <w:sz w:val="24"/>
          <w:highlight w:val="none"/>
          <w:u w:val="single"/>
        </w:rPr>
      </w:pPr>
      <w:r>
        <w:rPr>
          <w:rFonts w:hint="eastAsia" w:ascii="宋体" w:hAnsi="宋体" w:eastAsia="宋体" w:cs="宋体"/>
          <w:color w:val="auto"/>
          <w:sz w:val="24"/>
          <w:highlight w:val="none"/>
        </w:rPr>
        <w:t>日期：</w:t>
      </w:r>
      <w:r>
        <w:rPr>
          <w:rFonts w:hint="eastAsia" w:ascii="宋体" w:hAnsi="宋体" w:eastAsia="宋体" w:cs="宋体"/>
          <w:color w:val="auto"/>
          <w:spacing w:val="20"/>
          <w:sz w:val="24"/>
          <w:highlight w:val="none"/>
          <w:u w:val="single"/>
        </w:rPr>
        <w:t xml:space="preserve">         </w:t>
      </w:r>
    </w:p>
    <w:p w14:paraId="773AE811">
      <w:pPr>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24"/>
          <w:highlight w:val="none"/>
        </w:rPr>
        <w:br w:type="page"/>
      </w:r>
      <w:r>
        <w:rPr>
          <w:rFonts w:hint="eastAsia" w:ascii="宋体" w:hAnsi="宋体" w:eastAsia="宋体" w:cs="宋体"/>
          <w:b/>
          <w:color w:val="auto"/>
          <w:kern w:val="0"/>
          <w:sz w:val="28"/>
          <w:szCs w:val="28"/>
          <w:highlight w:val="none"/>
          <w:lang w:val="en-US" w:eastAsia="zh-CN"/>
        </w:rPr>
        <w:t>竞标报价明细表</w:t>
      </w:r>
    </w:p>
    <w:p w14:paraId="21F4FB87">
      <w:pPr>
        <w:spacing w:line="360" w:lineRule="auto"/>
        <w:contextualSpacing/>
        <w:rPr>
          <w:rFonts w:hint="eastAsia" w:ascii="宋体" w:hAnsi="宋体" w:eastAsia="宋体" w:cs="宋体"/>
          <w:color w:val="auto"/>
          <w:sz w:val="24"/>
          <w:highlight w:val="none"/>
        </w:rPr>
      </w:pPr>
    </w:p>
    <w:p w14:paraId="2EB9619C">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08F4213E">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1EA41FAF">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单位：元</w:t>
      </w:r>
    </w:p>
    <w:p w14:paraId="64C172CA">
      <w:pPr>
        <w:pStyle w:val="10"/>
        <w:numPr>
          <w:ilvl w:val="0"/>
          <w:numId w:val="0"/>
        </w:numPr>
        <w:ind w:right="63" w:rightChars="30"/>
        <w:jc w:val="both"/>
        <w:rPr>
          <w:rFonts w:hint="eastAsia" w:ascii="宋体" w:hAnsi="宋体" w:eastAsia="宋体" w:cs="宋体"/>
          <w:color w:val="auto"/>
          <w:highlight w:val="none"/>
          <w:lang w:val="en-US" w:eastAsia="zh-CN"/>
        </w:rPr>
      </w:pPr>
    </w:p>
    <w:p w14:paraId="63AC3724">
      <w:pPr>
        <w:rPr>
          <w:rFonts w:hint="eastAsia" w:ascii="宋体" w:hAnsi="宋体" w:eastAsia="宋体" w:cs="宋体"/>
          <w:color w:val="auto"/>
          <w:highlight w:val="none"/>
          <w:lang w:val="en-US" w:eastAsia="zh-CN"/>
        </w:rPr>
      </w:pPr>
    </w:p>
    <w:p w14:paraId="7642FF0A">
      <w:pPr>
        <w:rPr>
          <w:rFonts w:hint="eastAsia" w:ascii="宋体" w:hAnsi="宋体" w:eastAsia="宋体" w:cs="宋体"/>
          <w:color w:val="auto"/>
          <w:highlight w:val="none"/>
          <w:lang w:val="en-US" w:eastAsia="zh-CN"/>
        </w:rPr>
      </w:pPr>
    </w:p>
    <w:tbl>
      <w:tblPr>
        <w:tblStyle w:val="22"/>
        <w:tblW w:w="469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5"/>
        <w:gridCol w:w="2280"/>
        <w:gridCol w:w="2159"/>
        <w:gridCol w:w="868"/>
        <w:gridCol w:w="834"/>
        <w:gridCol w:w="919"/>
        <w:gridCol w:w="1065"/>
      </w:tblGrid>
      <w:tr w14:paraId="56295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320" w:type="pct"/>
            <w:noWrap w:val="0"/>
            <w:vAlign w:val="center"/>
          </w:tcPr>
          <w:p w14:paraId="43BC92E8">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1313" w:type="pct"/>
            <w:noWrap w:val="0"/>
            <w:vAlign w:val="center"/>
          </w:tcPr>
          <w:p w14:paraId="2DE407A4">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标的的名称</w:t>
            </w:r>
          </w:p>
        </w:tc>
        <w:tc>
          <w:tcPr>
            <w:tcW w:w="1243" w:type="pct"/>
            <w:noWrap w:val="0"/>
            <w:vAlign w:val="center"/>
          </w:tcPr>
          <w:p w14:paraId="37202A96">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服务商</w:t>
            </w:r>
          </w:p>
        </w:tc>
        <w:tc>
          <w:tcPr>
            <w:tcW w:w="500" w:type="pct"/>
            <w:noWrap w:val="0"/>
            <w:vAlign w:val="center"/>
          </w:tcPr>
          <w:p w14:paraId="58504083">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w:t>
            </w:r>
          </w:p>
        </w:tc>
        <w:tc>
          <w:tcPr>
            <w:tcW w:w="480" w:type="pct"/>
            <w:noWrap w:val="0"/>
            <w:vAlign w:val="center"/>
          </w:tcPr>
          <w:p w14:paraId="61931D93">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数量</w:t>
            </w:r>
          </w:p>
        </w:tc>
        <w:tc>
          <w:tcPr>
            <w:tcW w:w="529" w:type="pct"/>
            <w:noWrap w:val="0"/>
            <w:vAlign w:val="center"/>
          </w:tcPr>
          <w:p w14:paraId="0F027471">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单价(元)</w:t>
            </w:r>
          </w:p>
        </w:tc>
        <w:tc>
          <w:tcPr>
            <w:tcW w:w="613" w:type="pct"/>
            <w:noWrap w:val="0"/>
            <w:vAlign w:val="center"/>
          </w:tcPr>
          <w:p w14:paraId="04B969DB">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总价</w:t>
            </w:r>
          </w:p>
          <w:p w14:paraId="55306DE2">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(元)</w:t>
            </w:r>
          </w:p>
        </w:tc>
      </w:tr>
      <w:tr w14:paraId="6F9D2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320" w:type="pct"/>
            <w:noWrap w:val="0"/>
            <w:vAlign w:val="center"/>
          </w:tcPr>
          <w:p w14:paraId="75AF562A">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313" w:type="pct"/>
            <w:noWrap w:val="0"/>
            <w:vAlign w:val="center"/>
          </w:tcPr>
          <w:p w14:paraId="7EB25AD8">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1243" w:type="pct"/>
            <w:noWrap w:val="0"/>
            <w:vAlign w:val="center"/>
          </w:tcPr>
          <w:p w14:paraId="59EAD4B9">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500" w:type="pct"/>
            <w:noWrap w:val="0"/>
            <w:vAlign w:val="center"/>
          </w:tcPr>
          <w:p w14:paraId="2DD2BA29">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480" w:type="pct"/>
            <w:noWrap w:val="0"/>
            <w:vAlign w:val="center"/>
          </w:tcPr>
          <w:p w14:paraId="64388F8B">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529" w:type="pct"/>
            <w:noWrap w:val="0"/>
            <w:vAlign w:val="center"/>
          </w:tcPr>
          <w:p w14:paraId="7BE18ABE">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613" w:type="pct"/>
            <w:noWrap w:val="0"/>
            <w:vAlign w:val="center"/>
          </w:tcPr>
          <w:p w14:paraId="759ACA53">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r>
      <w:tr w14:paraId="7B151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320" w:type="pct"/>
            <w:noWrap w:val="0"/>
            <w:vAlign w:val="center"/>
          </w:tcPr>
          <w:p w14:paraId="3EF57933">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13" w:type="pct"/>
            <w:noWrap w:val="0"/>
            <w:vAlign w:val="center"/>
          </w:tcPr>
          <w:p w14:paraId="43CA032C">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243" w:type="pct"/>
            <w:noWrap w:val="0"/>
            <w:vAlign w:val="center"/>
          </w:tcPr>
          <w:p w14:paraId="469197B3">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500" w:type="pct"/>
            <w:noWrap w:val="0"/>
            <w:vAlign w:val="center"/>
          </w:tcPr>
          <w:p w14:paraId="4529AB97">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480" w:type="pct"/>
            <w:noWrap w:val="0"/>
            <w:vAlign w:val="center"/>
          </w:tcPr>
          <w:p w14:paraId="5DAF6D0A">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529" w:type="pct"/>
            <w:noWrap w:val="0"/>
            <w:vAlign w:val="center"/>
          </w:tcPr>
          <w:p w14:paraId="5DBB0E37">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613" w:type="pct"/>
            <w:noWrap w:val="0"/>
            <w:vAlign w:val="center"/>
          </w:tcPr>
          <w:p w14:paraId="352F25CD">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r>
      <w:tr w14:paraId="74D3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320" w:type="pct"/>
            <w:noWrap w:val="0"/>
            <w:vAlign w:val="center"/>
          </w:tcPr>
          <w:p w14:paraId="20FE0FD6">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n</w:t>
            </w:r>
          </w:p>
        </w:tc>
        <w:tc>
          <w:tcPr>
            <w:tcW w:w="1313" w:type="pct"/>
            <w:noWrap w:val="0"/>
            <w:vAlign w:val="center"/>
          </w:tcPr>
          <w:p w14:paraId="13AE0652">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243" w:type="pct"/>
            <w:noWrap w:val="0"/>
            <w:vAlign w:val="center"/>
          </w:tcPr>
          <w:p w14:paraId="0BD34FA0">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500" w:type="pct"/>
            <w:noWrap w:val="0"/>
            <w:vAlign w:val="center"/>
          </w:tcPr>
          <w:p w14:paraId="762FCC83">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480" w:type="pct"/>
            <w:noWrap w:val="0"/>
            <w:vAlign w:val="center"/>
          </w:tcPr>
          <w:p w14:paraId="664B10D4">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529" w:type="pct"/>
            <w:noWrap w:val="0"/>
            <w:vAlign w:val="center"/>
          </w:tcPr>
          <w:p w14:paraId="6F8FF847">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c>
          <w:tcPr>
            <w:tcW w:w="613" w:type="pct"/>
            <w:noWrap w:val="0"/>
            <w:vAlign w:val="center"/>
          </w:tcPr>
          <w:p w14:paraId="7053D2CF">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color w:val="auto"/>
                <w:sz w:val="21"/>
                <w:szCs w:val="21"/>
                <w:highlight w:val="none"/>
                <w:lang w:val="en-US" w:eastAsia="zh-CN"/>
              </w:rPr>
            </w:pPr>
          </w:p>
        </w:tc>
      </w:tr>
      <w:tr w14:paraId="6568F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054" w:type="dxa"/>
            <w:gridSpan w:val="7"/>
            <w:noWrap w:val="0"/>
            <w:vAlign w:val="center"/>
          </w:tcPr>
          <w:p w14:paraId="6774A116">
            <w:pPr>
              <w:keepNext w:val="0"/>
              <w:keepLines w:val="0"/>
              <w:pageBreakBefore w:val="0"/>
              <w:widowControl w:val="0"/>
              <w:kinsoku/>
              <w:wordWrap/>
              <w:overflowPunct/>
              <w:topLinePunct w:val="0"/>
              <w:autoSpaceDE/>
              <w:autoSpaceDN/>
              <w:bidi w:val="0"/>
              <w:adjustRightInd/>
              <w:snapToGrid/>
              <w:spacing w:line="360" w:lineRule="auto"/>
              <w:contextualSpacing/>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竞标总报价（元）：人民币大写</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lang w:val="en-US" w:eastAsia="zh-CN"/>
              </w:rPr>
              <w:t>)</w:t>
            </w:r>
          </w:p>
        </w:tc>
      </w:tr>
      <w:tr w14:paraId="7DD4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054" w:type="dxa"/>
            <w:gridSpan w:val="7"/>
            <w:noWrap w:val="0"/>
            <w:vAlign w:val="center"/>
          </w:tcPr>
          <w:p w14:paraId="64E6BC51">
            <w:pPr>
              <w:keepNext w:val="0"/>
              <w:keepLines w:val="0"/>
              <w:pageBreakBefore w:val="0"/>
              <w:widowControl w:val="0"/>
              <w:kinsoku/>
              <w:wordWrap/>
              <w:overflowPunct/>
              <w:topLinePunct w:val="0"/>
              <w:autoSpaceDE/>
              <w:autoSpaceDN/>
              <w:bidi w:val="0"/>
              <w:adjustRightInd/>
              <w:snapToGrid/>
              <w:spacing w:line="360" w:lineRule="auto"/>
              <w:contextualSpacing/>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合同履行期限：</w:t>
            </w:r>
          </w:p>
        </w:tc>
      </w:tr>
    </w:tbl>
    <w:p w14:paraId="08ED0FB7">
      <w:pPr>
        <w:tabs>
          <w:tab w:val="left" w:pos="1418"/>
        </w:tabs>
        <w:snapToGrid w:val="0"/>
        <w:spacing w:line="400" w:lineRule="exact"/>
        <w:ind w:firstLine="500" w:firstLineChars="200"/>
        <w:jc w:val="center"/>
        <w:rPr>
          <w:rFonts w:hint="eastAsia" w:ascii="宋体" w:hAnsi="宋体" w:eastAsia="宋体" w:cs="宋体"/>
          <w:color w:val="auto"/>
          <w:spacing w:val="20"/>
          <w:szCs w:val="21"/>
          <w:highlight w:val="none"/>
          <w:u w:val="single"/>
        </w:rPr>
      </w:pPr>
    </w:p>
    <w:p w14:paraId="7060646A">
      <w:pPr>
        <w:rPr>
          <w:rFonts w:hint="default"/>
          <w:color w:val="auto"/>
          <w:highlight w:val="none"/>
          <w:lang w:val="en-US" w:eastAsia="zh-CN"/>
        </w:rPr>
      </w:pPr>
    </w:p>
    <w:p w14:paraId="4B38A217">
      <w:pPr>
        <w:rPr>
          <w:rFonts w:hint="default"/>
          <w:color w:val="auto"/>
          <w:highlight w:val="none"/>
          <w:lang w:val="en-US" w:eastAsia="zh-CN"/>
        </w:rPr>
      </w:pPr>
    </w:p>
    <w:p w14:paraId="6342732B">
      <w:pPr>
        <w:rPr>
          <w:rFonts w:hint="default"/>
          <w:color w:val="auto"/>
          <w:highlight w:val="none"/>
          <w:lang w:val="en-US" w:eastAsia="zh-CN"/>
        </w:rPr>
      </w:pPr>
    </w:p>
    <w:p w14:paraId="7AA403E9">
      <w:pPr>
        <w:spacing w:line="400" w:lineRule="exact"/>
        <w:ind w:right="-817" w:rightChars="-389"/>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法定代表人或者委托代理人（签字</w:t>
      </w:r>
      <w:r>
        <w:rPr>
          <w:rFonts w:hint="eastAsia" w:ascii="宋体" w:hAnsi="宋体" w:eastAsia="宋体" w:cs="宋体"/>
          <w:color w:val="auto"/>
          <w:sz w:val="24"/>
          <w:highlight w:val="none"/>
          <w:lang w:val="en-US" w:eastAsia="zh-CN"/>
        </w:rPr>
        <w:t>或盖章</w:t>
      </w:r>
      <w:r>
        <w:rPr>
          <w:rFonts w:hint="eastAsia" w:ascii="宋体" w:hAnsi="宋体" w:eastAsia="宋体" w:cs="宋体"/>
          <w:color w:val="auto"/>
          <w:sz w:val="24"/>
          <w:highlight w:val="none"/>
        </w:rPr>
        <w:t>）：</w:t>
      </w:r>
      <w:r>
        <w:rPr>
          <w:rFonts w:hint="eastAsia" w:ascii="宋体" w:hAnsi="宋体" w:eastAsia="宋体" w:cs="宋体"/>
          <w:color w:val="auto"/>
          <w:spacing w:val="20"/>
          <w:sz w:val="24"/>
          <w:highlight w:val="none"/>
          <w:u w:val="single"/>
        </w:rPr>
        <w:t xml:space="preserve">         </w:t>
      </w:r>
      <w:r>
        <w:rPr>
          <w:rFonts w:hint="eastAsia" w:ascii="宋体" w:hAnsi="宋体" w:eastAsia="宋体" w:cs="宋体"/>
          <w:color w:val="auto"/>
          <w:sz w:val="24"/>
          <w:highlight w:val="none"/>
        </w:rPr>
        <w:t xml:space="preserve">                    </w:t>
      </w:r>
    </w:p>
    <w:p w14:paraId="49EBCCF8">
      <w:pPr>
        <w:spacing w:line="400" w:lineRule="exact"/>
        <w:ind w:right="-817" w:rightChars="-389"/>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供应商（盖公章或CA章）：</w:t>
      </w:r>
      <w:r>
        <w:rPr>
          <w:rFonts w:hint="eastAsia" w:ascii="宋体" w:hAnsi="宋体" w:eastAsia="宋体" w:cs="宋体"/>
          <w:color w:val="auto"/>
          <w:spacing w:val="20"/>
          <w:sz w:val="24"/>
          <w:highlight w:val="none"/>
          <w:u w:val="single"/>
        </w:rPr>
        <w:t xml:space="preserve">         </w:t>
      </w:r>
      <w:r>
        <w:rPr>
          <w:rFonts w:hint="eastAsia" w:ascii="宋体" w:hAnsi="宋体" w:eastAsia="宋体" w:cs="宋体"/>
          <w:color w:val="auto"/>
          <w:sz w:val="24"/>
          <w:highlight w:val="none"/>
        </w:rPr>
        <w:t xml:space="preserve">      </w:t>
      </w:r>
    </w:p>
    <w:p w14:paraId="089B3219">
      <w:pPr>
        <w:spacing w:line="400" w:lineRule="exact"/>
        <w:ind w:right="-817" w:rightChars="-389"/>
        <w:contextualSpacing/>
        <w:rPr>
          <w:rFonts w:hint="eastAsia" w:ascii="宋体" w:hAnsi="宋体" w:eastAsia="宋体" w:cs="宋体"/>
          <w:color w:val="auto"/>
          <w:spacing w:val="20"/>
          <w:sz w:val="24"/>
          <w:highlight w:val="none"/>
          <w:u w:val="single"/>
        </w:rPr>
      </w:pPr>
      <w:r>
        <w:rPr>
          <w:rFonts w:hint="eastAsia" w:ascii="宋体" w:hAnsi="宋体" w:eastAsia="宋体" w:cs="宋体"/>
          <w:color w:val="auto"/>
          <w:sz w:val="24"/>
          <w:highlight w:val="none"/>
        </w:rPr>
        <w:t>日期：</w:t>
      </w:r>
      <w:r>
        <w:rPr>
          <w:rFonts w:hint="eastAsia" w:ascii="宋体" w:hAnsi="宋体" w:eastAsia="宋体" w:cs="宋体"/>
          <w:color w:val="auto"/>
          <w:spacing w:val="20"/>
          <w:sz w:val="24"/>
          <w:highlight w:val="none"/>
          <w:u w:val="single"/>
        </w:rPr>
        <w:t xml:space="preserve">         </w:t>
      </w:r>
    </w:p>
    <w:p w14:paraId="3B6DC41A">
      <w:pPr>
        <w:widowControl/>
        <w:jc w:val="center"/>
        <w:rPr>
          <w:rFonts w:hint="eastAsia" w:ascii="宋体" w:hAnsi="宋体" w:eastAsia="宋体" w:cs="宋体"/>
          <w:b/>
          <w:color w:val="auto"/>
          <w:kern w:val="0"/>
          <w:sz w:val="24"/>
          <w:szCs w:val="24"/>
          <w:highlight w:val="none"/>
          <w:lang w:bidi="ar"/>
        </w:rPr>
      </w:pPr>
    </w:p>
    <w:p w14:paraId="4BE1BEA1">
      <w:pPr>
        <w:widowControl/>
        <w:jc w:val="center"/>
        <w:rPr>
          <w:rFonts w:hint="eastAsia" w:ascii="宋体" w:hAnsi="宋体" w:eastAsia="宋体" w:cs="宋体"/>
          <w:b/>
          <w:color w:val="auto"/>
          <w:kern w:val="0"/>
          <w:sz w:val="24"/>
          <w:szCs w:val="24"/>
          <w:highlight w:val="none"/>
          <w:lang w:bidi="ar"/>
        </w:rPr>
      </w:pPr>
    </w:p>
    <w:p w14:paraId="0694A8FB">
      <w:pPr>
        <w:widowControl/>
        <w:jc w:val="center"/>
        <w:rPr>
          <w:rFonts w:hint="eastAsia" w:ascii="宋体" w:hAnsi="宋体" w:eastAsia="宋体" w:cs="宋体"/>
          <w:b/>
          <w:color w:val="auto"/>
          <w:kern w:val="0"/>
          <w:sz w:val="24"/>
          <w:szCs w:val="24"/>
          <w:highlight w:val="none"/>
          <w:lang w:bidi="ar"/>
        </w:rPr>
      </w:pPr>
    </w:p>
    <w:p w14:paraId="2B4BFD6A">
      <w:pPr>
        <w:widowControl/>
        <w:jc w:val="lef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注：</w:t>
      </w:r>
    </w:p>
    <w:p w14:paraId="7F013B99">
      <w:pPr>
        <w:widowControl/>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特别提示：采购机构将对项目名称和项目编号，</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名称、地址和</w:t>
      </w:r>
      <w:r>
        <w:rPr>
          <w:rFonts w:hint="eastAsia" w:ascii="宋体" w:hAnsi="宋体" w:eastAsia="宋体" w:cs="宋体"/>
          <w:color w:val="auto"/>
          <w:highlight w:val="none"/>
          <w:lang w:val="en-US" w:eastAsia="zh-CN"/>
        </w:rPr>
        <w:t>成交</w:t>
      </w:r>
      <w:r>
        <w:rPr>
          <w:rFonts w:hint="eastAsia" w:ascii="宋体" w:hAnsi="宋体" w:eastAsia="宋体" w:cs="宋体"/>
          <w:color w:val="auto"/>
          <w:highlight w:val="none"/>
        </w:rPr>
        <w:t>金额， 主要</w:t>
      </w:r>
      <w:r>
        <w:rPr>
          <w:rFonts w:hint="eastAsia" w:ascii="宋体" w:hAnsi="宋体" w:eastAsia="宋体" w:cs="宋体"/>
          <w:color w:val="auto"/>
          <w:highlight w:val="none"/>
          <w:lang w:val="en-US" w:eastAsia="zh-CN"/>
        </w:rPr>
        <w:t>成交</w:t>
      </w:r>
      <w:r>
        <w:rPr>
          <w:rFonts w:hint="eastAsia" w:ascii="宋体" w:hAnsi="宋体" w:eastAsia="宋体" w:cs="宋体"/>
          <w:color w:val="auto"/>
          <w:highlight w:val="none"/>
        </w:rPr>
        <w:t>标的的名称、数量、单价、服务要求等予以公示。</w:t>
      </w:r>
    </w:p>
    <w:p w14:paraId="5BE2C648">
      <w:pPr>
        <w:widowControl/>
        <w:ind w:firstLine="420" w:firstLineChars="200"/>
        <w:jc w:val="left"/>
        <w:rPr>
          <w:rFonts w:hint="eastAsia" w:ascii="宋体" w:hAnsi="宋体" w:eastAsia="宋体" w:cs="宋体"/>
          <w:color w:val="auto"/>
          <w:highlight w:val="none"/>
        </w:rPr>
      </w:pPr>
      <w:r>
        <w:rPr>
          <w:rFonts w:hint="eastAsia" w:ascii="宋体" w:hAnsi="宋体" w:cs="宋体"/>
          <w:color w:val="auto"/>
          <w:highlight w:val="none"/>
          <w:lang w:val="en-US" w:eastAsia="zh-CN"/>
        </w:rPr>
        <w:t>2</w:t>
      </w:r>
      <w:r>
        <w:rPr>
          <w:rFonts w:hint="eastAsia" w:ascii="宋体" w:hAnsi="宋体" w:eastAsia="宋体" w:cs="宋体"/>
          <w:color w:val="auto"/>
          <w:highlight w:val="none"/>
        </w:rPr>
        <w:t>、符合</w:t>
      </w:r>
      <w:r>
        <w:rPr>
          <w:rFonts w:hint="eastAsia" w:ascii="宋体" w:hAnsi="宋体" w:eastAsia="宋体" w:cs="宋体"/>
          <w:color w:val="auto"/>
          <w:highlight w:val="none"/>
          <w:lang w:val="en-US" w:eastAsia="zh-CN"/>
        </w:rPr>
        <w:t>竞争性磋商</w:t>
      </w:r>
      <w:r>
        <w:rPr>
          <w:rFonts w:hint="eastAsia" w:ascii="宋体" w:hAnsi="宋体" w:eastAsia="宋体" w:cs="宋体"/>
          <w:color w:val="auto"/>
          <w:highlight w:val="none"/>
        </w:rPr>
        <w:t>文件中列明的可享受中小企业扶持政策的</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 xml:space="preserve">，请填写中小企业声明函。 </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提供的中小企业声明函内容不实的，属于提供虚假材料谋取中标、成交，依照《中华人民共和国政府采购法》等国家有关规定追究相应责任</w:t>
      </w:r>
    </w:p>
    <w:p w14:paraId="02A232B7">
      <w:pPr>
        <w:spacing w:line="360" w:lineRule="auto"/>
        <w:contextualSpacing/>
        <w:rPr>
          <w:rFonts w:hint="eastAsia" w:ascii="宋体" w:hAnsi="宋体" w:eastAsia="宋体" w:cs="宋体"/>
          <w:color w:val="auto"/>
          <w:sz w:val="24"/>
          <w:highlight w:val="none"/>
        </w:rPr>
      </w:pPr>
    </w:p>
    <w:p w14:paraId="29E03ABF">
      <w:pPr>
        <w:spacing w:line="360" w:lineRule="auto"/>
        <w:contextualSpacing/>
        <w:rPr>
          <w:rFonts w:hint="eastAsia" w:ascii="宋体" w:hAnsi="宋体" w:eastAsia="宋体" w:cs="宋体"/>
          <w:color w:val="auto"/>
          <w:sz w:val="24"/>
          <w:highlight w:val="none"/>
        </w:rPr>
      </w:pPr>
    </w:p>
    <w:p w14:paraId="46127552">
      <w:pPr>
        <w:spacing w:line="360" w:lineRule="auto"/>
        <w:contextualSpacing/>
        <w:rPr>
          <w:rFonts w:hint="eastAsia" w:ascii="宋体" w:hAnsi="宋体" w:eastAsia="宋体" w:cs="宋体"/>
          <w:color w:val="auto"/>
          <w:sz w:val="24"/>
          <w:highlight w:val="none"/>
        </w:rPr>
      </w:pPr>
    </w:p>
    <w:p w14:paraId="41265AB0">
      <w:pPr>
        <w:jc w:val="center"/>
        <w:rPr>
          <w:rFonts w:hint="eastAsia" w:ascii="宋体" w:hAnsi="宋体" w:eastAsia="宋体" w:cs="宋体"/>
          <w:b/>
          <w:color w:val="auto"/>
          <w:kern w:val="0"/>
          <w:sz w:val="28"/>
          <w:szCs w:val="28"/>
          <w:highlight w:val="none"/>
          <w:lang w:val="en-US" w:eastAsia="zh-CN"/>
        </w:rPr>
      </w:pPr>
      <w:bookmarkStart w:id="162" w:name="_Toc5109"/>
      <w:r>
        <w:rPr>
          <w:rFonts w:hint="eastAsia" w:ascii="宋体" w:hAnsi="宋体" w:eastAsia="宋体" w:cs="宋体"/>
          <w:b/>
          <w:color w:val="auto"/>
          <w:kern w:val="0"/>
          <w:sz w:val="28"/>
          <w:szCs w:val="28"/>
          <w:highlight w:val="none"/>
          <w:lang w:val="en-US" w:eastAsia="zh-CN"/>
        </w:rPr>
        <w:t>法定代表人身份证明书</w:t>
      </w:r>
      <w:bookmarkEnd w:id="162"/>
    </w:p>
    <w:p w14:paraId="1B7FAEFD">
      <w:pPr>
        <w:spacing w:line="360" w:lineRule="auto"/>
        <w:ind w:left="540"/>
        <w:contextualSpacing/>
        <w:rPr>
          <w:rFonts w:hint="eastAsia" w:ascii="宋体" w:hAnsi="宋体" w:eastAsia="宋体" w:cs="宋体"/>
          <w:color w:val="auto"/>
          <w:sz w:val="32"/>
          <w:szCs w:val="32"/>
          <w:highlight w:val="none"/>
        </w:rPr>
      </w:pPr>
    </w:p>
    <w:p w14:paraId="4EBFB1E8">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727C4394">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28B51BC5">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75B298CD">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0523781E">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549075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w:t>
      </w:r>
      <w:r>
        <w:rPr>
          <w:rFonts w:hint="eastAsia" w:ascii="宋体" w:hAnsi="宋体" w:eastAsia="宋体" w:cs="宋体"/>
          <w:color w:val="auto"/>
          <w:sz w:val="24"/>
          <w:highlight w:val="none"/>
        </w:rPr>
        <w:t>的法定代表人。</w:t>
      </w:r>
    </w:p>
    <w:p w14:paraId="0F31143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6CCFEBFD">
      <w:pPr>
        <w:spacing w:line="360" w:lineRule="auto"/>
        <w:ind w:left="540"/>
        <w:contextualSpacing/>
        <w:rPr>
          <w:rFonts w:hint="eastAsia" w:ascii="宋体" w:hAnsi="宋体" w:eastAsia="宋体" w:cs="宋体"/>
          <w:color w:val="auto"/>
          <w:sz w:val="24"/>
          <w:highlight w:val="none"/>
        </w:rPr>
      </w:pPr>
    </w:p>
    <w:p w14:paraId="0AA574BC">
      <w:pPr>
        <w:spacing w:line="360" w:lineRule="auto"/>
        <w:ind w:left="540"/>
        <w:contextualSpacing/>
        <w:rPr>
          <w:rFonts w:hint="eastAsia" w:ascii="宋体" w:hAnsi="宋体" w:eastAsia="宋体" w:cs="宋体"/>
          <w:color w:val="auto"/>
          <w:sz w:val="24"/>
          <w:highlight w:val="none"/>
        </w:rPr>
      </w:pPr>
    </w:p>
    <w:p w14:paraId="5D6D2AEF">
      <w:pPr>
        <w:spacing w:line="360" w:lineRule="auto"/>
        <w:ind w:left="540"/>
        <w:contextualSpacing/>
        <w:rPr>
          <w:rFonts w:hint="eastAsia" w:ascii="宋体" w:hAnsi="宋体" w:eastAsia="宋体" w:cs="宋体"/>
          <w:color w:val="auto"/>
          <w:sz w:val="24"/>
          <w:highlight w:val="none"/>
        </w:rPr>
      </w:pPr>
    </w:p>
    <w:p w14:paraId="3F3CA62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04F75050">
      <w:pPr>
        <w:spacing w:line="360" w:lineRule="auto"/>
        <w:ind w:left="540"/>
        <w:contextualSpacing/>
        <w:rPr>
          <w:rFonts w:hint="eastAsia" w:ascii="宋体" w:hAnsi="宋体" w:eastAsia="宋体" w:cs="宋体"/>
          <w:color w:val="auto"/>
          <w:sz w:val="24"/>
          <w:highlight w:val="none"/>
        </w:rPr>
      </w:pPr>
    </w:p>
    <w:p w14:paraId="3C5E8120">
      <w:pPr>
        <w:spacing w:line="360" w:lineRule="auto"/>
        <w:ind w:left="540"/>
        <w:contextualSpacing/>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供应商（公章或电子签章 ）：</w:t>
      </w:r>
      <w:r>
        <w:rPr>
          <w:rFonts w:hint="eastAsia" w:ascii="宋体" w:hAnsi="宋体" w:eastAsia="宋体" w:cs="宋体"/>
          <w:color w:val="auto"/>
          <w:sz w:val="24"/>
          <w:highlight w:val="none"/>
          <w:u w:val="single"/>
        </w:rPr>
        <w:t xml:space="preserve">               </w:t>
      </w:r>
    </w:p>
    <w:p w14:paraId="6CB200A5">
      <w:pPr>
        <w:spacing w:line="360" w:lineRule="auto"/>
        <w:ind w:firstLine="4080" w:firstLineChars="17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A0ECD56">
      <w:pPr>
        <w:spacing w:line="360" w:lineRule="auto"/>
        <w:contextualSpacing/>
        <w:jc w:val="center"/>
        <w:rPr>
          <w:rFonts w:hint="eastAsia" w:ascii="宋体" w:hAnsi="宋体" w:eastAsia="宋体" w:cs="宋体"/>
          <w:b/>
          <w:color w:val="auto"/>
          <w:sz w:val="24"/>
          <w:highlight w:val="none"/>
        </w:rPr>
      </w:pPr>
    </w:p>
    <w:p w14:paraId="17EA31F9">
      <w:pPr>
        <w:spacing w:line="360" w:lineRule="auto"/>
        <w:contextualSpacing/>
        <w:jc w:val="left"/>
        <w:rPr>
          <w:rFonts w:hint="eastAsia" w:ascii="宋体" w:hAnsi="宋体" w:eastAsia="宋体" w:cs="宋体"/>
          <w:color w:val="auto"/>
          <w:sz w:val="24"/>
          <w:highlight w:val="none"/>
        </w:rPr>
      </w:pPr>
    </w:p>
    <w:p w14:paraId="0D49DF67">
      <w:pPr>
        <w:spacing w:line="360" w:lineRule="auto"/>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注：1、自然人竞标的无需提供，联合体竞标的只需牵头人出具。</w:t>
      </w:r>
    </w:p>
    <w:p w14:paraId="56327EF1">
      <w:pPr>
        <w:spacing w:line="360" w:lineRule="auto"/>
        <w:ind w:firstLine="480" w:firstLineChars="200"/>
        <w:contextualSpacing/>
        <w:jc w:val="left"/>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rPr>
        <w:t>2、供应商为其他组织或者自然人时，本磋商文件规定的法定代表人指负责人或者自然人。本磋商文件所称负责人是指参加竞标的其他组织的法定负责人，本磋商文件所称自然人指参与竞标的自然人本人</w:t>
      </w:r>
      <w:r>
        <w:rPr>
          <w:rFonts w:hint="eastAsia" w:ascii="宋体" w:hAnsi="宋体" w:eastAsia="宋体" w:cs="宋体"/>
          <w:color w:val="auto"/>
          <w:sz w:val="24"/>
          <w:szCs w:val="24"/>
          <w:highlight w:val="none"/>
          <w:lang w:eastAsia="zh-CN"/>
        </w:rPr>
        <w:t>。</w:t>
      </w:r>
    </w:p>
    <w:p w14:paraId="629C7F00">
      <w:pPr>
        <w:adjustRightInd w:val="0"/>
        <w:snapToGrid w:val="0"/>
        <w:spacing w:line="300" w:lineRule="auto"/>
        <w:jc w:val="left"/>
        <w:rPr>
          <w:rFonts w:hint="eastAsia" w:ascii="宋体" w:hAnsi="宋体" w:eastAsia="宋体" w:cs="宋体"/>
          <w:b/>
          <w:color w:val="auto"/>
          <w:szCs w:val="21"/>
          <w:highlight w:val="none"/>
        </w:rPr>
      </w:pPr>
    </w:p>
    <w:p w14:paraId="0DB265A6">
      <w:pPr>
        <w:spacing w:line="5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p>
    <w:p w14:paraId="07C97A22">
      <w:pPr>
        <w:jc w:val="center"/>
        <w:rPr>
          <w:rFonts w:hint="eastAsia" w:ascii="宋体" w:hAnsi="宋体" w:eastAsia="宋体" w:cs="宋体"/>
          <w:b/>
          <w:color w:val="auto"/>
          <w:kern w:val="0"/>
          <w:sz w:val="28"/>
          <w:szCs w:val="28"/>
          <w:highlight w:val="none"/>
          <w:lang w:val="en-US" w:eastAsia="zh-CN"/>
        </w:rPr>
      </w:pPr>
      <w:bookmarkStart w:id="163" w:name="_Hlk65853643"/>
      <w:r>
        <w:rPr>
          <w:rFonts w:hint="eastAsia" w:ascii="宋体" w:hAnsi="宋体" w:eastAsia="宋体" w:cs="宋体"/>
          <w:b/>
          <w:color w:val="auto"/>
          <w:kern w:val="0"/>
          <w:sz w:val="28"/>
          <w:szCs w:val="28"/>
          <w:highlight w:val="none"/>
          <w:lang w:val="en-US" w:eastAsia="zh-CN"/>
        </w:rPr>
        <w:t>授权委托书（如有委托时）</w:t>
      </w:r>
    </w:p>
    <w:p w14:paraId="4A167B37">
      <w:pPr>
        <w:spacing w:line="520" w:lineRule="exact"/>
        <w:rPr>
          <w:rFonts w:hint="eastAsia" w:ascii="宋体" w:hAnsi="宋体" w:eastAsia="宋体" w:cs="宋体"/>
          <w:color w:val="auto"/>
          <w:sz w:val="32"/>
          <w:szCs w:val="32"/>
          <w:highlight w:val="none"/>
        </w:rPr>
      </w:pPr>
    </w:p>
    <w:p w14:paraId="45B4D12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232D4F2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u w:val="single"/>
        </w:rPr>
        <w:t xml:space="preserve">         （分标段名称）  </w:t>
      </w:r>
      <w:r>
        <w:rPr>
          <w:rFonts w:hint="eastAsia" w:ascii="宋体" w:hAnsi="宋体" w:eastAsia="宋体" w:cs="宋体"/>
          <w:color w:val="auto"/>
          <w:sz w:val="24"/>
          <w:highlight w:val="none"/>
        </w:rPr>
        <w:t>的竞标活动，并代表我方全权办理针对上述项目的所有采购程序和环节的具体事务和签署相关文件。</w:t>
      </w:r>
    </w:p>
    <w:p w14:paraId="6009D0B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53C2361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09731EB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461D0AF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4DC7919C">
      <w:pPr>
        <w:spacing w:line="360" w:lineRule="auto"/>
        <w:rPr>
          <w:rFonts w:hint="eastAsia" w:ascii="宋体" w:hAnsi="宋体" w:eastAsia="宋体" w:cs="宋体"/>
          <w:color w:val="auto"/>
          <w:sz w:val="24"/>
          <w:highlight w:val="none"/>
        </w:rPr>
      </w:pPr>
    </w:p>
    <w:p w14:paraId="174DAD8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委托代理人（签字或盖章）：               法定代表人（签字或盖章）：                    </w:t>
      </w:r>
    </w:p>
    <w:p w14:paraId="17A1073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10D01EB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357B32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供应商（公章或电子签章 ）：                      </w:t>
      </w:r>
    </w:p>
    <w:p w14:paraId="5216BAE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08BBE37C">
      <w:pPr>
        <w:spacing w:line="360" w:lineRule="auto"/>
        <w:rPr>
          <w:rFonts w:hint="eastAsia" w:ascii="宋体" w:hAnsi="宋体" w:eastAsia="宋体" w:cs="宋体"/>
          <w:color w:val="auto"/>
          <w:sz w:val="24"/>
          <w:highlight w:val="none"/>
        </w:rPr>
      </w:pPr>
    </w:p>
    <w:p w14:paraId="7CC8C69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法定代表人必须在授权委托书上亲笔签字或盖章，委托代理人必须在授权委托书上亲笔签字或盖章，</w:t>
      </w:r>
      <w:r>
        <w:rPr>
          <w:rFonts w:hint="eastAsia" w:ascii="宋体" w:hAnsi="宋体" w:eastAsia="宋体" w:cs="宋体"/>
          <w:b/>
          <w:color w:val="auto"/>
          <w:sz w:val="24"/>
          <w:highlight w:val="none"/>
        </w:rPr>
        <w:t>否则其响应文件按无效响应处理。</w:t>
      </w:r>
    </w:p>
    <w:p w14:paraId="36927FF3">
      <w:pPr>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2、供应商为其他组织或者自然人时，本磋商文件规定的法定代表人指负责人或者自然人。本磋商文件所称负责人是指参加竞标的其他组织的法定负责人，本磋商文件所称自然人指参与竞标的自然人本人</w:t>
      </w:r>
      <w:r>
        <w:rPr>
          <w:rFonts w:hint="eastAsia" w:ascii="宋体" w:hAnsi="宋体" w:eastAsia="宋体" w:cs="宋体"/>
          <w:color w:val="auto"/>
          <w:sz w:val="24"/>
          <w:highlight w:val="none"/>
          <w:lang w:eastAsia="zh-CN"/>
        </w:rPr>
        <w:t>。</w:t>
      </w:r>
    </w:p>
    <w:p w14:paraId="360FAEF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 </w:t>
      </w:r>
      <w:bookmarkStart w:id="164" w:name="_Hlk65853542"/>
      <w:bookmarkStart w:id="165" w:name="_Hlk65853109"/>
      <w:r>
        <w:rPr>
          <w:rFonts w:hint="eastAsia" w:ascii="宋体" w:hAnsi="宋体" w:eastAsia="宋体" w:cs="宋体"/>
          <w:color w:val="auto"/>
          <w:sz w:val="24"/>
          <w:highlight w:val="none"/>
        </w:rPr>
        <w:t>法人、其他组织竞标时“我方”是指“我单位”，自然人竞标时“我方”是指“本人”。</w:t>
      </w:r>
      <w:bookmarkEnd w:id="163"/>
      <w:bookmarkEnd w:id="164"/>
      <w:bookmarkEnd w:id="165"/>
    </w:p>
    <w:p w14:paraId="2E769C50">
      <w:pPr>
        <w:pStyle w:val="19"/>
        <w:rPr>
          <w:rFonts w:hint="eastAsia"/>
          <w:color w:val="auto"/>
          <w:highlight w:val="none"/>
        </w:rPr>
      </w:pPr>
      <w:r>
        <w:rPr>
          <w:rFonts w:hint="eastAsia" w:ascii="宋体" w:hAnsi="宋体" w:eastAsia="宋体" w:cs="宋体"/>
          <w:color w:val="auto"/>
          <w:sz w:val="32"/>
          <w:szCs w:val="32"/>
          <w:highlight w:val="none"/>
        </w:rPr>
        <w:br w:type="page"/>
      </w:r>
    </w:p>
    <w:p w14:paraId="4ACD0183">
      <w:pPr>
        <w:jc w:val="center"/>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无串通竞标行为的承诺函</w:t>
      </w:r>
    </w:p>
    <w:p w14:paraId="690FF825">
      <w:pPr>
        <w:keepNext w:val="0"/>
        <w:keepLines w:val="0"/>
        <w:pageBreakBefore w:val="0"/>
        <w:widowControl w:val="0"/>
        <w:kinsoku/>
        <w:wordWrap/>
        <w:overflowPunct/>
        <w:topLinePunct w:val="0"/>
        <w:autoSpaceDE/>
        <w:autoSpaceDN/>
        <w:bidi w:val="0"/>
        <w:adjustRightInd/>
        <w:snapToGrid/>
        <w:spacing w:line="560" w:lineRule="exact"/>
        <w:ind w:firstLine="422" w:firstLineChars="200"/>
        <w:contextualSpacing/>
        <w:textAlignment w:val="auto"/>
        <w:outlineLvl w:val="1"/>
        <w:rPr>
          <w:rFonts w:hint="eastAsia" w:ascii="宋体" w:hAnsi="宋体" w:eastAsia="宋体" w:cs="宋体"/>
          <w:b/>
          <w:bCs/>
          <w:color w:val="auto"/>
          <w:sz w:val="21"/>
          <w:szCs w:val="21"/>
          <w:highlight w:val="none"/>
        </w:rPr>
      </w:pPr>
      <w:bookmarkStart w:id="166" w:name="_Toc32752"/>
      <w:r>
        <w:rPr>
          <w:rFonts w:hint="eastAsia" w:ascii="宋体" w:hAnsi="宋体" w:eastAsia="宋体" w:cs="宋体"/>
          <w:b/>
          <w:bCs/>
          <w:color w:val="auto"/>
          <w:sz w:val="21"/>
          <w:szCs w:val="21"/>
          <w:highlight w:val="none"/>
        </w:rPr>
        <w:t>一、我方承诺无下列相互串通竞标的情形：</w:t>
      </w:r>
      <w:bookmarkEnd w:id="166"/>
    </w:p>
    <w:p w14:paraId="73957F71">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1、不同投标人的投标文件由同一单位或者个人编制；或不同投标人报名的</w:t>
      </w:r>
      <w:r>
        <w:rPr>
          <w:rFonts w:hint="default" w:ascii="宋体" w:hAnsi="宋体" w:eastAsia="宋体" w:cs="宋体"/>
          <w:color w:val="auto"/>
          <w:sz w:val="21"/>
          <w:szCs w:val="21"/>
          <w:highlight w:val="none"/>
          <w:lang w:val="en-US" w:eastAsia="zh-CN"/>
        </w:rPr>
        <w:t>IP地址一致的</w:t>
      </w:r>
      <w:r>
        <w:rPr>
          <w:rFonts w:hint="eastAsia" w:ascii="宋体" w:hAnsi="宋体" w:eastAsia="宋体" w:cs="宋体"/>
          <w:color w:val="auto"/>
          <w:sz w:val="21"/>
          <w:szCs w:val="21"/>
          <w:highlight w:val="none"/>
          <w:lang w:val="en-US" w:eastAsia="zh-CN"/>
        </w:rPr>
        <w:t>；</w:t>
      </w:r>
    </w:p>
    <w:p w14:paraId="3D8C7634">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不同投标人委托同一单位或者个人办理投标事宜</w:t>
      </w:r>
      <w:r>
        <w:rPr>
          <w:rFonts w:hint="eastAsia" w:ascii="宋体" w:hAnsi="宋体" w:eastAsia="宋体" w:cs="宋体"/>
          <w:color w:val="auto"/>
          <w:sz w:val="21"/>
          <w:szCs w:val="21"/>
          <w:highlight w:val="none"/>
          <w:lang w:val="en-US" w:eastAsia="zh-CN"/>
        </w:rPr>
        <w:t>；</w:t>
      </w:r>
    </w:p>
    <w:p w14:paraId="245CCEF8">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val="en-US" w:eastAsia="zh-CN"/>
        </w:rPr>
        <w:t>不同的投标人的投标文件载明的项目管理员为同一个人</w:t>
      </w:r>
      <w:r>
        <w:rPr>
          <w:rFonts w:hint="eastAsia" w:ascii="宋体" w:hAnsi="宋体" w:eastAsia="宋体" w:cs="宋体"/>
          <w:color w:val="auto"/>
          <w:sz w:val="21"/>
          <w:szCs w:val="21"/>
          <w:highlight w:val="none"/>
          <w:lang w:val="en-US" w:eastAsia="zh-CN"/>
        </w:rPr>
        <w:t>；</w:t>
      </w:r>
    </w:p>
    <w:p w14:paraId="5C190C49">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不同投标人的投标文件异常一致或投标报价呈规律性差异</w:t>
      </w:r>
      <w:r>
        <w:rPr>
          <w:rFonts w:hint="eastAsia" w:ascii="宋体" w:hAnsi="宋体" w:eastAsia="宋体" w:cs="宋体"/>
          <w:color w:val="auto"/>
          <w:sz w:val="21"/>
          <w:szCs w:val="21"/>
          <w:highlight w:val="none"/>
          <w:lang w:val="en-US" w:eastAsia="zh-CN"/>
        </w:rPr>
        <w:t>；</w:t>
      </w:r>
    </w:p>
    <w:p w14:paraId="061F4BED">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不同投标人的投标文件相互混装</w:t>
      </w:r>
      <w:r>
        <w:rPr>
          <w:rFonts w:hint="eastAsia" w:ascii="宋体" w:hAnsi="宋体" w:eastAsia="宋体" w:cs="宋体"/>
          <w:color w:val="auto"/>
          <w:sz w:val="21"/>
          <w:szCs w:val="21"/>
          <w:highlight w:val="none"/>
          <w:lang w:val="en-US" w:eastAsia="zh-CN"/>
        </w:rPr>
        <w:t>；</w:t>
      </w:r>
    </w:p>
    <w:p w14:paraId="01EF9C5A">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default" w:ascii="宋体" w:hAnsi="宋体" w:eastAsia="宋体" w:cs="宋体"/>
          <w:color w:val="auto"/>
          <w:sz w:val="21"/>
          <w:szCs w:val="21"/>
          <w:highlight w:val="none"/>
          <w:lang w:val="en-US" w:eastAsia="zh-CN"/>
        </w:rPr>
        <w:t>不同投标人的投标保证金从同一单位或者个人账户转出。</w:t>
      </w:r>
    </w:p>
    <w:p w14:paraId="6F48C210">
      <w:pPr>
        <w:keepNext w:val="0"/>
        <w:keepLines w:val="0"/>
        <w:pageBreakBefore w:val="0"/>
        <w:widowControl w:val="0"/>
        <w:kinsoku/>
        <w:wordWrap/>
        <w:overflowPunct/>
        <w:topLinePunct w:val="0"/>
        <w:autoSpaceDE/>
        <w:autoSpaceDN/>
        <w:bidi w:val="0"/>
        <w:adjustRightInd/>
        <w:snapToGrid/>
        <w:spacing w:line="560" w:lineRule="exact"/>
        <w:ind w:firstLine="422" w:firstLineChars="200"/>
        <w:contextualSpacing/>
        <w:textAlignment w:val="auto"/>
        <w:outlineLvl w:val="1"/>
        <w:rPr>
          <w:rFonts w:hint="eastAsia" w:ascii="宋体" w:hAnsi="宋体" w:eastAsia="宋体" w:cs="宋体"/>
          <w:b/>
          <w:bCs/>
          <w:color w:val="auto"/>
          <w:sz w:val="21"/>
          <w:szCs w:val="21"/>
          <w:highlight w:val="none"/>
        </w:rPr>
      </w:pPr>
      <w:bookmarkStart w:id="167" w:name="_Toc24461"/>
      <w:r>
        <w:rPr>
          <w:rFonts w:hint="eastAsia" w:ascii="宋体" w:hAnsi="宋体" w:eastAsia="宋体" w:cs="宋体"/>
          <w:b/>
          <w:bCs/>
          <w:color w:val="auto"/>
          <w:sz w:val="21"/>
          <w:szCs w:val="21"/>
          <w:highlight w:val="none"/>
        </w:rPr>
        <w:t>二、我方承诺无下列恶意串通的情形：</w:t>
      </w:r>
      <w:bookmarkEnd w:id="167"/>
    </w:p>
    <w:p w14:paraId="75F63D73">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1、供应商直接或者间接从采购人或者采购代理机构处获得其他供应商的相关信息并修改其响应文件；</w:t>
      </w:r>
    </w:p>
    <w:p w14:paraId="5C13F522">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2、供应商按照采购人或者采购代理机构的授意撤换、修改响应文件；</w:t>
      </w:r>
    </w:p>
    <w:p w14:paraId="39FD0687">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outlineLvl w:val="2"/>
        <w:rPr>
          <w:rFonts w:hint="eastAsia" w:ascii="宋体" w:hAnsi="宋体" w:eastAsia="宋体" w:cs="宋体"/>
          <w:color w:val="auto"/>
          <w:sz w:val="21"/>
          <w:szCs w:val="21"/>
          <w:highlight w:val="none"/>
        </w:rPr>
      </w:pPr>
      <w:bookmarkStart w:id="168" w:name="_Toc28989"/>
      <w:r>
        <w:rPr>
          <w:rFonts w:hint="eastAsia" w:ascii="宋体" w:hAnsi="宋体" w:eastAsia="宋体" w:cs="宋体"/>
          <w:color w:val="auto"/>
          <w:sz w:val="21"/>
          <w:szCs w:val="21"/>
          <w:highlight w:val="none"/>
        </w:rPr>
        <w:t>3、供</w:t>
      </w:r>
      <w:r>
        <w:rPr>
          <w:rFonts w:hint="eastAsia" w:ascii="宋体" w:hAnsi="宋体" w:eastAsia="宋体" w:cs="宋体"/>
          <w:color w:val="auto"/>
          <w:spacing w:val="-6"/>
          <w:sz w:val="21"/>
          <w:szCs w:val="21"/>
          <w:highlight w:val="none"/>
        </w:rPr>
        <w:t>应商之间协商报价、技术方案等响应文件的实质性内容；</w:t>
      </w:r>
      <w:bookmarkEnd w:id="168"/>
    </w:p>
    <w:p w14:paraId="71D19B5E">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4、属于同一集团、协会、商会等组织成员的供应商按照该组织要求协同参加政府采购活动；</w:t>
      </w:r>
    </w:p>
    <w:p w14:paraId="658447E0">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5、供应商之间事先约定一致抬高或者压低竞标报价，或者在竞争性磋商项目中事先约定轮流以高价位或者低价位成交，或者事先约定由某一特定供应商成交，然后再参加竞标；</w:t>
      </w:r>
    </w:p>
    <w:p w14:paraId="49C84159">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6、供应商之间商定部分供应商放弃参加政府采购活动或者放弃成交；</w:t>
      </w:r>
    </w:p>
    <w:p w14:paraId="212576CF">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7、供应商与采购人或者采购代理机构之间、供应商相互之间，为</w:t>
      </w:r>
      <w:r>
        <w:rPr>
          <w:rFonts w:hint="eastAsia" w:ascii="宋体" w:hAnsi="宋体" w:eastAsia="宋体" w:cs="宋体"/>
          <w:color w:val="auto"/>
          <w:spacing w:val="-6"/>
          <w:sz w:val="21"/>
          <w:szCs w:val="21"/>
          <w:highlight w:val="none"/>
        </w:rPr>
        <w:t>谋求特定供应商成交或者排斥其他供应商的其他串通行为。</w:t>
      </w:r>
    </w:p>
    <w:p w14:paraId="30E74F1F">
      <w:pPr>
        <w:spacing w:line="360" w:lineRule="auto"/>
        <w:ind w:firstLine="422" w:firstLineChars="200"/>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以上情形一经核查属实，我方愿意承担一切后果，并不再寻求任何旨在减轻或者免除法律责任的辩解。</w:t>
      </w:r>
    </w:p>
    <w:p w14:paraId="2863E860">
      <w:pPr>
        <w:spacing w:line="360" w:lineRule="auto"/>
        <w:contextualSpacing/>
        <w:rPr>
          <w:rFonts w:hint="eastAsia" w:ascii="宋体" w:hAnsi="宋体" w:eastAsia="宋体" w:cs="宋体"/>
          <w:color w:val="auto"/>
          <w:sz w:val="21"/>
          <w:szCs w:val="21"/>
          <w:highlight w:val="none"/>
        </w:rPr>
      </w:pPr>
    </w:p>
    <w:p w14:paraId="141737C0">
      <w:pPr>
        <w:spacing w:line="360" w:lineRule="auto"/>
        <w:ind w:firstLine="4200" w:firstLineChars="20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供应商（公章或电子签章 ）：</w:t>
      </w:r>
    </w:p>
    <w:p w14:paraId="1E29EAFD">
      <w:pPr>
        <w:spacing w:line="360" w:lineRule="auto"/>
        <w:ind w:firstLine="420" w:firstLineChars="20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77C80B6E">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6256BD81">
      <w:pPr>
        <w:jc w:val="center"/>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商务条款偏离表格式</w:t>
      </w:r>
    </w:p>
    <w:p w14:paraId="57C9C5EB">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32"/>
          <w:szCs w:val="32"/>
          <w:highlight w:val="none"/>
        </w:rPr>
        <w:t>(注：按采购需求和说明具体条款修改)</w:t>
      </w:r>
    </w:p>
    <w:p w14:paraId="61B1C3F7">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0FA878D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1FB3703C">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分标（如有）：</w:t>
      </w:r>
      <w:r>
        <w:rPr>
          <w:rFonts w:hint="eastAsia" w:ascii="宋体" w:hAnsi="宋体" w:eastAsia="宋体" w:cs="宋体"/>
          <w:color w:val="auto"/>
          <w:sz w:val="24"/>
          <w:highlight w:val="none"/>
          <w:u w:val="single"/>
        </w:rPr>
        <w:t xml:space="preserve">                                         </w:t>
      </w:r>
    </w:p>
    <w:p w14:paraId="6AC448CF">
      <w:pPr>
        <w:spacing w:line="360" w:lineRule="auto"/>
        <w:contextualSpacing/>
        <w:jc w:val="left"/>
        <w:rPr>
          <w:rFonts w:hint="eastAsia" w:ascii="宋体" w:hAnsi="宋体" w:eastAsia="宋体" w:cs="宋体"/>
          <w:color w:val="auto"/>
          <w:sz w:val="24"/>
          <w:highlight w:val="none"/>
        </w:rPr>
      </w:pPr>
    </w:p>
    <w:tbl>
      <w:tblPr>
        <w:tblStyle w:val="22"/>
        <w:tblW w:w="89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385"/>
        <w:gridCol w:w="3045"/>
        <w:gridCol w:w="2149"/>
        <w:gridCol w:w="1467"/>
      </w:tblGrid>
      <w:tr w14:paraId="18163B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4892A1D7">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1385" w:type="dxa"/>
            <w:tcBorders>
              <w:right w:val="single" w:color="auto" w:sz="4" w:space="0"/>
            </w:tcBorders>
            <w:noWrap w:val="0"/>
            <w:vAlign w:val="center"/>
          </w:tcPr>
          <w:p w14:paraId="1552CF3D">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条款名称</w:t>
            </w:r>
          </w:p>
        </w:tc>
        <w:tc>
          <w:tcPr>
            <w:tcW w:w="3045" w:type="dxa"/>
            <w:tcBorders>
              <w:left w:val="single" w:color="auto" w:sz="4" w:space="0"/>
            </w:tcBorders>
            <w:noWrap w:val="0"/>
            <w:vAlign w:val="center"/>
          </w:tcPr>
          <w:p w14:paraId="15071A3F">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磋商文件商务条款要求</w:t>
            </w:r>
          </w:p>
        </w:tc>
        <w:tc>
          <w:tcPr>
            <w:tcW w:w="2149" w:type="dxa"/>
            <w:noWrap w:val="0"/>
            <w:vAlign w:val="center"/>
          </w:tcPr>
          <w:p w14:paraId="00D25822">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竞标响应</w:t>
            </w:r>
          </w:p>
        </w:tc>
        <w:tc>
          <w:tcPr>
            <w:tcW w:w="1467" w:type="dxa"/>
            <w:noWrap w:val="0"/>
            <w:vAlign w:val="center"/>
          </w:tcPr>
          <w:p w14:paraId="1D935635">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偏离说明</w:t>
            </w:r>
          </w:p>
        </w:tc>
      </w:tr>
      <w:tr w14:paraId="4D4097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0A82ADE1">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p>
        </w:tc>
        <w:tc>
          <w:tcPr>
            <w:tcW w:w="1385" w:type="dxa"/>
            <w:tcBorders>
              <w:right w:val="single" w:color="auto" w:sz="4" w:space="0"/>
            </w:tcBorders>
            <w:noWrap w:val="0"/>
            <w:vAlign w:val="center"/>
          </w:tcPr>
          <w:p w14:paraId="2CE91E24">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3045" w:type="dxa"/>
            <w:tcBorders>
              <w:left w:val="single" w:color="auto" w:sz="4" w:space="0"/>
            </w:tcBorders>
            <w:noWrap w:val="0"/>
            <w:vAlign w:val="center"/>
          </w:tcPr>
          <w:p w14:paraId="0E6EFA51">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149" w:type="dxa"/>
            <w:noWrap w:val="0"/>
            <w:vAlign w:val="center"/>
          </w:tcPr>
          <w:p w14:paraId="5BC6B3EB">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1467" w:type="dxa"/>
            <w:noWrap w:val="0"/>
            <w:vAlign w:val="center"/>
          </w:tcPr>
          <w:p w14:paraId="6B173059">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r>
      <w:tr w14:paraId="2363A2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103274FB">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w:t>
            </w:r>
          </w:p>
        </w:tc>
        <w:tc>
          <w:tcPr>
            <w:tcW w:w="1385" w:type="dxa"/>
            <w:tcBorders>
              <w:right w:val="single" w:color="auto" w:sz="4" w:space="0"/>
            </w:tcBorders>
            <w:noWrap w:val="0"/>
            <w:vAlign w:val="center"/>
          </w:tcPr>
          <w:p w14:paraId="52DDBDED">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3045" w:type="dxa"/>
            <w:tcBorders>
              <w:left w:val="single" w:color="auto" w:sz="4" w:space="0"/>
            </w:tcBorders>
            <w:noWrap w:val="0"/>
            <w:vAlign w:val="center"/>
          </w:tcPr>
          <w:p w14:paraId="77CFFA52">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149" w:type="dxa"/>
            <w:noWrap w:val="0"/>
            <w:vAlign w:val="center"/>
          </w:tcPr>
          <w:p w14:paraId="4EC47E82">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1467" w:type="dxa"/>
            <w:noWrap w:val="0"/>
            <w:vAlign w:val="center"/>
          </w:tcPr>
          <w:p w14:paraId="147B53BA">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r>
      <w:tr w14:paraId="118D9C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60801752">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w:t>
            </w:r>
          </w:p>
        </w:tc>
        <w:tc>
          <w:tcPr>
            <w:tcW w:w="1385" w:type="dxa"/>
            <w:tcBorders>
              <w:right w:val="single" w:color="auto" w:sz="4" w:space="0"/>
            </w:tcBorders>
            <w:noWrap w:val="0"/>
            <w:vAlign w:val="center"/>
          </w:tcPr>
          <w:p w14:paraId="4628EEB0">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3045" w:type="dxa"/>
            <w:tcBorders>
              <w:left w:val="single" w:color="auto" w:sz="4" w:space="0"/>
            </w:tcBorders>
            <w:noWrap w:val="0"/>
            <w:vAlign w:val="center"/>
          </w:tcPr>
          <w:p w14:paraId="10FCDEFB">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149" w:type="dxa"/>
            <w:noWrap w:val="0"/>
            <w:vAlign w:val="center"/>
          </w:tcPr>
          <w:p w14:paraId="4D299A44">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1467" w:type="dxa"/>
            <w:noWrap w:val="0"/>
            <w:vAlign w:val="center"/>
          </w:tcPr>
          <w:p w14:paraId="1A239D0F">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r>
      <w:tr w14:paraId="6ABAA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noWrap w:val="0"/>
            <w:vAlign w:val="center"/>
          </w:tcPr>
          <w:p w14:paraId="6158D830">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w:t>
            </w:r>
          </w:p>
        </w:tc>
        <w:tc>
          <w:tcPr>
            <w:tcW w:w="1385" w:type="dxa"/>
            <w:tcBorders>
              <w:right w:val="single" w:color="auto" w:sz="4" w:space="0"/>
            </w:tcBorders>
            <w:noWrap w:val="0"/>
            <w:vAlign w:val="center"/>
          </w:tcPr>
          <w:p w14:paraId="4D6355CB">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3045" w:type="dxa"/>
            <w:tcBorders>
              <w:left w:val="single" w:color="auto" w:sz="4" w:space="0"/>
            </w:tcBorders>
            <w:noWrap w:val="0"/>
            <w:vAlign w:val="center"/>
          </w:tcPr>
          <w:p w14:paraId="6213F4AF">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149" w:type="dxa"/>
            <w:noWrap w:val="0"/>
            <w:vAlign w:val="center"/>
          </w:tcPr>
          <w:p w14:paraId="2E46F55B">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1467" w:type="dxa"/>
            <w:tcBorders>
              <w:right w:val="single" w:color="auto" w:sz="4" w:space="0"/>
            </w:tcBorders>
            <w:noWrap w:val="0"/>
            <w:vAlign w:val="center"/>
          </w:tcPr>
          <w:p w14:paraId="44744EE9">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r>
    </w:tbl>
    <w:p w14:paraId="7AA70A70">
      <w:pPr>
        <w:pStyle w:val="9"/>
        <w:spacing w:after="0" w:line="360" w:lineRule="auto"/>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p>
    <w:p w14:paraId="412CA0D3">
      <w:pPr>
        <w:pStyle w:val="9"/>
        <w:spacing w:after="0" w:line="360" w:lineRule="auto"/>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说明：应对照磋商文件“第三章 采购需求和说明”中的</w:t>
      </w:r>
      <w:r>
        <w:rPr>
          <w:rFonts w:hint="eastAsia" w:ascii="宋体" w:hAnsi="宋体" w:eastAsia="宋体" w:cs="宋体"/>
          <w:color w:val="auto"/>
          <w:sz w:val="24"/>
          <w:szCs w:val="24"/>
          <w:highlight w:val="none"/>
        </w:rPr>
        <w:t>“二、</w:t>
      </w:r>
      <w:r>
        <w:rPr>
          <w:rFonts w:hint="eastAsia" w:ascii="宋体" w:hAnsi="宋体" w:eastAsia="宋体" w:cs="宋体"/>
          <w:color w:val="auto"/>
          <w:kern w:val="0"/>
          <w:sz w:val="24"/>
          <w:szCs w:val="24"/>
          <w:highlight w:val="none"/>
        </w:rPr>
        <w:t>商务条款</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要求逐条作出明确响应，并作出偏离说明。</w:t>
      </w:r>
    </w:p>
    <w:p w14:paraId="71171687">
      <w:pPr>
        <w:spacing w:line="360" w:lineRule="auto"/>
        <w:contextualSpacing/>
        <w:jc w:val="left"/>
        <w:rPr>
          <w:rFonts w:hint="eastAsia" w:ascii="宋体" w:hAnsi="宋体" w:eastAsia="宋体" w:cs="宋体"/>
          <w:color w:val="auto"/>
          <w:sz w:val="24"/>
          <w:highlight w:val="none"/>
          <w:u w:val="single"/>
        </w:rPr>
      </w:pPr>
      <w:r>
        <w:rPr>
          <w:rFonts w:hint="eastAsia" w:ascii="宋体" w:hAnsi="宋体" w:eastAsia="宋体" w:cs="宋体"/>
          <w:color w:val="auto"/>
          <w:kern w:val="0"/>
          <w:sz w:val="24"/>
          <w:highlight w:val="none"/>
        </w:rPr>
        <w:t>2、供应商应根据自身的承诺，对照磋商文件要求在“偏离说明”中注明“正偏离”、“负偏离”或者“无偏离”。既不属于“正偏离”也不属于“负偏离”即为“无偏离”。</w:t>
      </w:r>
    </w:p>
    <w:p w14:paraId="055552D3">
      <w:pPr>
        <w:spacing w:line="360" w:lineRule="auto"/>
        <w:ind w:right="-817" w:rightChars="-389"/>
        <w:contextualSpacing/>
        <w:rPr>
          <w:rFonts w:hint="eastAsia" w:ascii="宋体" w:hAnsi="宋体" w:eastAsia="宋体" w:cs="宋体"/>
          <w:color w:val="auto"/>
          <w:sz w:val="24"/>
          <w:highlight w:val="none"/>
        </w:rPr>
      </w:pPr>
    </w:p>
    <w:p w14:paraId="0650942C">
      <w:pPr>
        <w:spacing w:line="360" w:lineRule="auto"/>
        <w:ind w:right="-817" w:rightChars="-389" w:firstLine="960" w:firstLineChars="4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E91FA4D">
      <w:pPr>
        <w:spacing w:line="360" w:lineRule="auto"/>
        <w:ind w:right="-817" w:rightChars="-389" w:firstLine="2640" w:firstLineChars="11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供应商（公章或电子签章 ）：      </w:t>
      </w:r>
    </w:p>
    <w:p w14:paraId="36DEE43F">
      <w:pPr>
        <w:spacing w:line="360" w:lineRule="auto"/>
        <w:ind w:right="-817" w:rightChars="-389" w:firstLine="4080" w:firstLineChars="1700"/>
        <w:contextualSpacing/>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   年   月   日</w:t>
      </w:r>
    </w:p>
    <w:p w14:paraId="57D9BFB3">
      <w:pPr>
        <w:adjustRightInd w:val="0"/>
        <w:snapToGrid w:val="0"/>
        <w:spacing w:line="520" w:lineRule="exact"/>
        <w:ind w:firstLine="7040" w:firstLineChars="1600"/>
        <w:jc w:val="center"/>
        <w:rPr>
          <w:rFonts w:hint="eastAsia" w:ascii="宋体" w:hAnsi="宋体" w:eastAsia="宋体" w:cs="宋体"/>
          <w:bCs/>
          <w:color w:val="auto"/>
          <w:sz w:val="44"/>
          <w:szCs w:val="44"/>
          <w:highlight w:val="none"/>
        </w:rPr>
      </w:pPr>
    </w:p>
    <w:p w14:paraId="0B33CD30">
      <w:pPr>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br w:type="page"/>
      </w:r>
      <w:r>
        <w:rPr>
          <w:rFonts w:hint="eastAsia" w:ascii="宋体" w:hAnsi="宋体" w:eastAsia="宋体" w:cs="宋体"/>
          <w:b/>
          <w:color w:val="auto"/>
          <w:kern w:val="0"/>
          <w:sz w:val="28"/>
          <w:szCs w:val="28"/>
          <w:highlight w:val="none"/>
          <w:lang w:val="en-US" w:eastAsia="zh-CN"/>
        </w:rPr>
        <w:t>技术条款偏离表</w:t>
      </w:r>
    </w:p>
    <w:p w14:paraId="58D3D940">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68295900">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43081AAE">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分标（如有）：</w:t>
      </w:r>
      <w:r>
        <w:rPr>
          <w:rFonts w:hint="eastAsia" w:ascii="宋体" w:hAnsi="宋体" w:eastAsia="宋体" w:cs="宋体"/>
          <w:color w:val="auto"/>
          <w:sz w:val="24"/>
          <w:highlight w:val="none"/>
          <w:u w:val="single"/>
        </w:rPr>
        <w:t xml:space="preserve">                                         </w:t>
      </w:r>
    </w:p>
    <w:tbl>
      <w:tblPr>
        <w:tblStyle w:val="22"/>
        <w:tblW w:w="89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460"/>
        <w:gridCol w:w="2576"/>
        <w:gridCol w:w="2543"/>
        <w:gridCol w:w="1467"/>
      </w:tblGrid>
      <w:tr w14:paraId="1C27D6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2F0EE9D6">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bookmarkStart w:id="169" w:name="_Toc301781611"/>
            <w:bookmarkStart w:id="170" w:name="_Toc254970588"/>
            <w:bookmarkStart w:id="171" w:name="_Toc297193185"/>
            <w:bookmarkStart w:id="172" w:name="_Toc173066401"/>
            <w:bookmarkStart w:id="173" w:name="_Toc173211900"/>
            <w:bookmarkStart w:id="174" w:name="_Toc383699906"/>
            <w:bookmarkStart w:id="175" w:name="_Toc254970729"/>
            <w:bookmarkStart w:id="176" w:name="_Toc295404981"/>
            <w:bookmarkStart w:id="177" w:name="_Toc373333689"/>
            <w:r>
              <w:rPr>
                <w:rFonts w:hint="eastAsia" w:ascii="宋体" w:hAnsi="宋体" w:eastAsia="宋体" w:cs="宋体"/>
                <w:color w:val="auto"/>
                <w:kern w:val="2"/>
                <w:sz w:val="24"/>
                <w:szCs w:val="24"/>
                <w:highlight w:val="none"/>
              </w:rPr>
              <w:t>序号</w:t>
            </w:r>
            <w:bookmarkEnd w:id="169"/>
            <w:bookmarkEnd w:id="170"/>
            <w:bookmarkEnd w:id="171"/>
            <w:bookmarkEnd w:id="172"/>
            <w:bookmarkEnd w:id="173"/>
            <w:bookmarkEnd w:id="174"/>
            <w:bookmarkEnd w:id="175"/>
            <w:bookmarkEnd w:id="176"/>
            <w:bookmarkEnd w:id="177"/>
          </w:p>
        </w:tc>
        <w:tc>
          <w:tcPr>
            <w:tcW w:w="1460" w:type="dxa"/>
            <w:tcBorders>
              <w:right w:val="single" w:color="auto" w:sz="4" w:space="0"/>
            </w:tcBorders>
            <w:noWrap w:val="0"/>
            <w:vAlign w:val="center"/>
          </w:tcPr>
          <w:p w14:paraId="609B7B62">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条款名称</w:t>
            </w:r>
          </w:p>
        </w:tc>
        <w:tc>
          <w:tcPr>
            <w:tcW w:w="2576" w:type="dxa"/>
            <w:tcBorders>
              <w:left w:val="single" w:color="auto" w:sz="4" w:space="0"/>
            </w:tcBorders>
            <w:noWrap w:val="0"/>
            <w:vAlign w:val="center"/>
          </w:tcPr>
          <w:p w14:paraId="035C6DD7">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磋商文件技术需求</w:t>
            </w:r>
          </w:p>
        </w:tc>
        <w:tc>
          <w:tcPr>
            <w:tcW w:w="2543" w:type="dxa"/>
            <w:noWrap w:val="0"/>
            <w:vAlign w:val="center"/>
          </w:tcPr>
          <w:p w14:paraId="374E10AC">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bookmarkStart w:id="178" w:name="_Toc173211902"/>
            <w:bookmarkStart w:id="179" w:name="_Toc254970590"/>
            <w:bookmarkStart w:id="180" w:name="_Toc295404983"/>
            <w:bookmarkStart w:id="181" w:name="_Toc301781613"/>
            <w:bookmarkStart w:id="182" w:name="_Toc297193187"/>
            <w:bookmarkStart w:id="183" w:name="_Toc173066403"/>
            <w:bookmarkStart w:id="184" w:name="_Toc254970731"/>
            <w:bookmarkStart w:id="185" w:name="_Toc373333691"/>
            <w:bookmarkStart w:id="186" w:name="_Toc383699908"/>
            <w:r>
              <w:rPr>
                <w:rFonts w:hint="eastAsia" w:ascii="宋体" w:hAnsi="宋体" w:eastAsia="宋体" w:cs="宋体"/>
                <w:color w:val="auto"/>
                <w:kern w:val="2"/>
                <w:sz w:val="24"/>
                <w:szCs w:val="24"/>
                <w:highlight w:val="none"/>
              </w:rPr>
              <w:t>竞标响应</w:t>
            </w:r>
            <w:bookmarkEnd w:id="178"/>
            <w:bookmarkEnd w:id="179"/>
            <w:bookmarkEnd w:id="180"/>
            <w:bookmarkEnd w:id="181"/>
            <w:bookmarkEnd w:id="182"/>
            <w:bookmarkEnd w:id="183"/>
            <w:bookmarkEnd w:id="184"/>
            <w:bookmarkEnd w:id="185"/>
            <w:bookmarkEnd w:id="186"/>
          </w:p>
        </w:tc>
        <w:tc>
          <w:tcPr>
            <w:tcW w:w="1467" w:type="dxa"/>
            <w:noWrap w:val="0"/>
            <w:vAlign w:val="center"/>
          </w:tcPr>
          <w:p w14:paraId="2EF24107">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bookmarkStart w:id="187" w:name="_Toc301781614"/>
            <w:bookmarkStart w:id="188" w:name="_Toc373333692"/>
            <w:bookmarkStart w:id="189" w:name="_Toc297193188"/>
            <w:bookmarkStart w:id="190" w:name="_Toc383699909"/>
            <w:bookmarkStart w:id="191" w:name="_Toc173211903"/>
            <w:bookmarkStart w:id="192" w:name="_Toc295404984"/>
            <w:bookmarkStart w:id="193" w:name="_Toc254970591"/>
            <w:bookmarkStart w:id="194" w:name="_Toc254970732"/>
            <w:bookmarkStart w:id="195" w:name="_Toc173066404"/>
            <w:r>
              <w:rPr>
                <w:rFonts w:hint="eastAsia" w:ascii="宋体" w:hAnsi="宋体" w:eastAsia="宋体" w:cs="宋体"/>
                <w:color w:val="auto"/>
                <w:kern w:val="2"/>
                <w:sz w:val="24"/>
                <w:szCs w:val="24"/>
                <w:highlight w:val="none"/>
              </w:rPr>
              <w:t>偏离</w:t>
            </w:r>
            <w:bookmarkEnd w:id="187"/>
            <w:bookmarkEnd w:id="188"/>
            <w:bookmarkEnd w:id="189"/>
            <w:bookmarkEnd w:id="190"/>
            <w:bookmarkEnd w:id="191"/>
            <w:bookmarkEnd w:id="192"/>
            <w:bookmarkEnd w:id="193"/>
            <w:bookmarkEnd w:id="194"/>
            <w:bookmarkEnd w:id="195"/>
            <w:bookmarkStart w:id="196" w:name="_Toc301781615"/>
            <w:bookmarkStart w:id="197" w:name="_Toc373333693"/>
            <w:bookmarkStart w:id="198" w:name="_Toc295404985"/>
            <w:bookmarkStart w:id="199" w:name="_Toc254970733"/>
            <w:bookmarkStart w:id="200" w:name="_Toc297193189"/>
            <w:bookmarkStart w:id="201" w:name="_Toc173066405"/>
            <w:bookmarkStart w:id="202" w:name="_Toc383699910"/>
            <w:bookmarkStart w:id="203" w:name="_Toc254970592"/>
            <w:bookmarkStart w:id="204" w:name="_Toc173211904"/>
            <w:r>
              <w:rPr>
                <w:rFonts w:hint="eastAsia" w:ascii="宋体" w:hAnsi="宋体" w:eastAsia="宋体" w:cs="宋体"/>
                <w:color w:val="auto"/>
                <w:kern w:val="2"/>
                <w:sz w:val="24"/>
                <w:szCs w:val="24"/>
                <w:highlight w:val="none"/>
              </w:rPr>
              <w:t>说明</w:t>
            </w:r>
            <w:bookmarkEnd w:id="196"/>
            <w:bookmarkEnd w:id="197"/>
            <w:bookmarkEnd w:id="198"/>
            <w:bookmarkEnd w:id="199"/>
            <w:bookmarkEnd w:id="200"/>
            <w:bookmarkEnd w:id="201"/>
            <w:bookmarkEnd w:id="202"/>
            <w:bookmarkEnd w:id="203"/>
            <w:bookmarkEnd w:id="204"/>
          </w:p>
        </w:tc>
      </w:tr>
      <w:tr w14:paraId="047164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6D78C571">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bookmarkStart w:id="205" w:name="_Toc373333694"/>
            <w:bookmarkStart w:id="206" w:name="_Toc173066406"/>
            <w:bookmarkStart w:id="207" w:name="_Toc295404986"/>
            <w:bookmarkStart w:id="208" w:name="_Toc254970734"/>
            <w:bookmarkStart w:id="209" w:name="_Toc301781616"/>
            <w:bookmarkStart w:id="210" w:name="_Toc297193190"/>
            <w:bookmarkStart w:id="211" w:name="_Toc383699911"/>
            <w:bookmarkStart w:id="212" w:name="_Toc254970593"/>
            <w:bookmarkStart w:id="213" w:name="_Toc173211905"/>
            <w:r>
              <w:rPr>
                <w:rFonts w:hint="eastAsia" w:ascii="宋体" w:hAnsi="宋体" w:eastAsia="宋体" w:cs="宋体"/>
                <w:color w:val="auto"/>
                <w:kern w:val="2"/>
                <w:sz w:val="24"/>
                <w:szCs w:val="24"/>
                <w:highlight w:val="none"/>
              </w:rPr>
              <w:t>1</w:t>
            </w:r>
            <w:bookmarkEnd w:id="205"/>
            <w:bookmarkEnd w:id="206"/>
            <w:bookmarkEnd w:id="207"/>
            <w:bookmarkEnd w:id="208"/>
            <w:bookmarkEnd w:id="209"/>
            <w:bookmarkEnd w:id="210"/>
            <w:bookmarkEnd w:id="211"/>
            <w:bookmarkEnd w:id="212"/>
            <w:bookmarkEnd w:id="213"/>
          </w:p>
        </w:tc>
        <w:tc>
          <w:tcPr>
            <w:tcW w:w="1460" w:type="dxa"/>
            <w:tcBorders>
              <w:right w:val="single" w:color="auto" w:sz="4" w:space="0"/>
            </w:tcBorders>
            <w:noWrap w:val="0"/>
            <w:vAlign w:val="center"/>
          </w:tcPr>
          <w:p w14:paraId="131C342B">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576" w:type="dxa"/>
            <w:tcBorders>
              <w:left w:val="single" w:color="auto" w:sz="4" w:space="0"/>
            </w:tcBorders>
            <w:noWrap w:val="0"/>
            <w:vAlign w:val="center"/>
          </w:tcPr>
          <w:p w14:paraId="4B90B42F">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543" w:type="dxa"/>
            <w:noWrap w:val="0"/>
            <w:vAlign w:val="center"/>
          </w:tcPr>
          <w:p w14:paraId="4FDAAEED">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1467" w:type="dxa"/>
            <w:noWrap w:val="0"/>
            <w:vAlign w:val="center"/>
          </w:tcPr>
          <w:p w14:paraId="6EADE548">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r>
      <w:tr w14:paraId="453ED6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058DB09A">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bookmarkStart w:id="214" w:name="_Toc301781617"/>
            <w:bookmarkStart w:id="215" w:name="_Toc173066407"/>
            <w:bookmarkStart w:id="216" w:name="_Toc383699912"/>
            <w:bookmarkStart w:id="217" w:name="_Toc173211906"/>
            <w:bookmarkStart w:id="218" w:name="_Toc297193191"/>
            <w:bookmarkStart w:id="219" w:name="_Toc254970594"/>
            <w:bookmarkStart w:id="220" w:name="_Toc373333695"/>
            <w:bookmarkStart w:id="221" w:name="_Toc254970735"/>
            <w:bookmarkStart w:id="222" w:name="_Toc295404987"/>
            <w:r>
              <w:rPr>
                <w:rFonts w:hint="eastAsia" w:ascii="宋体" w:hAnsi="宋体" w:eastAsia="宋体" w:cs="宋体"/>
                <w:color w:val="auto"/>
                <w:kern w:val="2"/>
                <w:sz w:val="24"/>
                <w:szCs w:val="24"/>
                <w:highlight w:val="none"/>
              </w:rPr>
              <w:t>2</w:t>
            </w:r>
            <w:bookmarkEnd w:id="214"/>
            <w:bookmarkEnd w:id="215"/>
            <w:bookmarkEnd w:id="216"/>
            <w:bookmarkEnd w:id="217"/>
            <w:bookmarkEnd w:id="218"/>
            <w:bookmarkEnd w:id="219"/>
            <w:bookmarkEnd w:id="220"/>
            <w:bookmarkEnd w:id="221"/>
            <w:bookmarkEnd w:id="222"/>
          </w:p>
        </w:tc>
        <w:tc>
          <w:tcPr>
            <w:tcW w:w="1460" w:type="dxa"/>
            <w:tcBorders>
              <w:right w:val="single" w:color="auto" w:sz="4" w:space="0"/>
            </w:tcBorders>
            <w:noWrap w:val="0"/>
            <w:vAlign w:val="center"/>
          </w:tcPr>
          <w:p w14:paraId="3B433635">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576" w:type="dxa"/>
            <w:tcBorders>
              <w:left w:val="single" w:color="auto" w:sz="4" w:space="0"/>
            </w:tcBorders>
            <w:noWrap w:val="0"/>
            <w:vAlign w:val="center"/>
          </w:tcPr>
          <w:p w14:paraId="548F6F7D">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543" w:type="dxa"/>
            <w:noWrap w:val="0"/>
            <w:vAlign w:val="center"/>
          </w:tcPr>
          <w:p w14:paraId="56AACD6D">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1467" w:type="dxa"/>
            <w:noWrap w:val="0"/>
            <w:vAlign w:val="center"/>
          </w:tcPr>
          <w:p w14:paraId="2CC0D26A">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r>
      <w:tr w14:paraId="0BD323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noWrap w:val="0"/>
            <w:vAlign w:val="center"/>
          </w:tcPr>
          <w:p w14:paraId="389A2B4A">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bookmarkStart w:id="223" w:name="_Toc254970602"/>
            <w:bookmarkStart w:id="224" w:name="_Toc173211914"/>
            <w:bookmarkStart w:id="225" w:name="_Toc383699916"/>
            <w:bookmarkStart w:id="226" w:name="_Toc373333699"/>
            <w:bookmarkStart w:id="227" w:name="_Toc301781621"/>
            <w:bookmarkStart w:id="228" w:name="_Toc295404991"/>
            <w:bookmarkStart w:id="229" w:name="_Toc297193195"/>
            <w:bookmarkStart w:id="230" w:name="_Toc173066415"/>
            <w:bookmarkStart w:id="231" w:name="_Toc254970743"/>
            <w:r>
              <w:rPr>
                <w:rFonts w:hint="eastAsia" w:ascii="宋体" w:hAnsi="宋体" w:eastAsia="宋体" w:cs="宋体"/>
                <w:color w:val="auto"/>
                <w:kern w:val="2"/>
                <w:sz w:val="24"/>
                <w:szCs w:val="24"/>
                <w:highlight w:val="none"/>
              </w:rPr>
              <w:t>…</w:t>
            </w:r>
            <w:bookmarkEnd w:id="223"/>
            <w:bookmarkEnd w:id="224"/>
            <w:bookmarkEnd w:id="225"/>
            <w:bookmarkEnd w:id="226"/>
            <w:bookmarkEnd w:id="227"/>
            <w:bookmarkEnd w:id="228"/>
            <w:bookmarkEnd w:id="229"/>
            <w:bookmarkEnd w:id="230"/>
            <w:bookmarkEnd w:id="231"/>
          </w:p>
        </w:tc>
        <w:tc>
          <w:tcPr>
            <w:tcW w:w="1460" w:type="dxa"/>
            <w:tcBorders>
              <w:right w:val="single" w:color="auto" w:sz="4" w:space="0"/>
            </w:tcBorders>
            <w:noWrap w:val="0"/>
            <w:vAlign w:val="center"/>
          </w:tcPr>
          <w:p w14:paraId="415FA231">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576" w:type="dxa"/>
            <w:tcBorders>
              <w:left w:val="single" w:color="auto" w:sz="4" w:space="0"/>
            </w:tcBorders>
            <w:noWrap w:val="0"/>
            <w:vAlign w:val="center"/>
          </w:tcPr>
          <w:p w14:paraId="125085C0">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2543" w:type="dxa"/>
            <w:noWrap w:val="0"/>
            <w:vAlign w:val="center"/>
          </w:tcPr>
          <w:p w14:paraId="73F765A9">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c>
          <w:tcPr>
            <w:tcW w:w="1467" w:type="dxa"/>
            <w:tcBorders>
              <w:right w:val="single" w:color="auto" w:sz="4" w:space="0"/>
            </w:tcBorders>
            <w:noWrap w:val="0"/>
            <w:vAlign w:val="center"/>
          </w:tcPr>
          <w:p w14:paraId="7231D3CF">
            <w:pPr>
              <w:pStyle w:val="11"/>
              <w:spacing w:line="360" w:lineRule="auto"/>
              <w:ind w:firstLine="0" w:firstLineChars="0"/>
              <w:contextualSpacing/>
              <w:jc w:val="center"/>
              <w:rPr>
                <w:rFonts w:hint="eastAsia" w:ascii="宋体" w:hAnsi="宋体" w:eastAsia="宋体" w:cs="宋体"/>
                <w:color w:val="auto"/>
                <w:kern w:val="2"/>
                <w:sz w:val="24"/>
                <w:szCs w:val="24"/>
                <w:highlight w:val="none"/>
              </w:rPr>
            </w:pPr>
          </w:p>
        </w:tc>
      </w:tr>
    </w:tbl>
    <w:p w14:paraId="27F4053B">
      <w:pPr>
        <w:pStyle w:val="11"/>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17CD09E4">
      <w:pPr>
        <w:pStyle w:val="11"/>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1、说明：应对照磋商文件“第三章 采购需求和说明”中的“项目要求及技术需求（包含功能目标、技术指标）”逐条作出明确响应，并作出偏离说明。</w:t>
      </w:r>
    </w:p>
    <w:p w14:paraId="0598FA43">
      <w:pPr>
        <w:pStyle w:val="11"/>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2、供应商应根据自身的承诺，对照磋商文件要求，在“偏离说明”中注明“正偏离”、“负偏离”或者“无偏离”。既不属于“正偏离”也不属于“负偏离”即为“无偏离”。</w:t>
      </w:r>
    </w:p>
    <w:p w14:paraId="725BD018">
      <w:pPr>
        <w:pStyle w:val="13"/>
        <w:spacing w:line="360" w:lineRule="auto"/>
        <w:contextualSpacing/>
        <w:rPr>
          <w:rFonts w:hint="eastAsia" w:ascii="宋体" w:hAnsi="宋体" w:eastAsia="宋体" w:cs="宋体"/>
          <w:color w:val="auto"/>
          <w:sz w:val="24"/>
          <w:szCs w:val="24"/>
          <w:highlight w:val="none"/>
        </w:rPr>
      </w:pPr>
    </w:p>
    <w:p w14:paraId="08EE5508">
      <w:pPr>
        <w:spacing w:line="360" w:lineRule="auto"/>
        <w:ind w:right="-817" w:rightChars="-389"/>
        <w:contextualSpacing/>
        <w:rPr>
          <w:rFonts w:hint="eastAsia" w:ascii="宋体" w:hAnsi="宋体" w:eastAsia="宋体" w:cs="宋体"/>
          <w:color w:val="auto"/>
          <w:sz w:val="24"/>
          <w:highlight w:val="none"/>
        </w:rPr>
      </w:pPr>
    </w:p>
    <w:p w14:paraId="383CDAC2">
      <w:pPr>
        <w:spacing w:line="360" w:lineRule="auto"/>
        <w:ind w:right="-817" w:rightChars="-389" w:firstLine="960" w:firstLineChars="4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C1D406A">
      <w:pPr>
        <w:spacing w:line="360" w:lineRule="auto"/>
        <w:ind w:right="-817" w:rightChars="-389" w:firstLine="2640" w:firstLineChars="1100"/>
        <w:contextualSpacing/>
        <w:jc w:val="center"/>
        <w:rPr>
          <w:rFonts w:hint="eastAsia" w:ascii="宋体" w:hAnsi="宋体" w:eastAsia="宋体" w:cs="宋体"/>
          <w:color w:val="auto"/>
          <w:sz w:val="24"/>
          <w:highlight w:val="none"/>
        </w:rPr>
      </w:pPr>
    </w:p>
    <w:p w14:paraId="65529893">
      <w:pPr>
        <w:spacing w:line="360" w:lineRule="auto"/>
        <w:ind w:right="-817" w:rightChars="-389" w:firstLine="2640" w:firstLineChars="1100"/>
        <w:contextualSpacing/>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供应商（公章或电子签章 ）：</w:t>
      </w:r>
    </w:p>
    <w:p w14:paraId="4541FF14">
      <w:pPr>
        <w:spacing w:line="360" w:lineRule="auto"/>
        <w:ind w:right="-817" w:rightChars="-389" w:firstLine="5040" w:firstLineChars="2100"/>
        <w:contextualSpacing/>
        <w:jc w:val="both"/>
        <w:rPr>
          <w:rFonts w:hint="eastAsia" w:ascii="宋体" w:hAnsi="宋体" w:eastAsia="宋体" w:cs="宋体"/>
          <w:color w:val="auto"/>
          <w:sz w:val="24"/>
          <w:highlight w:val="none"/>
        </w:rPr>
      </w:pPr>
    </w:p>
    <w:p w14:paraId="7451664C">
      <w:pPr>
        <w:spacing w:line="360" w:lineRule="auto"/>
        <w:ind w:right="-817" w:rightChars="-389" w:firstLine="5040" w:firstLineChars="2100"/>
        <w:contextualSpacing/>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1A48AAD9">
      <w:pPr>
        <w:adjustRightInd w:val="0"/>
        <w:snapToGrid w:val="0"/>
        <w:spacing w:line="520" w:lineRule="exact"/>
        <w:rPr>
          <w:rFonts w:hint="eastAsia" w:ascii="宋体" w:hAnsi="宋体" w:eastAsia="宋体" w:cs="宋体"/>
          <w:bCs/>
          <w:color w:val="auto"/>
          <w:sz w:val="44"/>
          <w:szCs w:val="44"/>
          <w:highlight w:val="none"/>
        </w:rPr>
      </w:pPr>
    </w:p>
    <w:p w14:paraId="6B226263">
      <w:pPr>
        <w:adjustRightInd w:val="0"/>
        <w:snapToGrid w:val="0"/>
        <w:spacing w:line="520" w:lineRule="exact"/>
        <w:rPr>
          <w:rFonts w:hint="eastAsia" w:ascii="宋体" w:hAnsi="宋体" w:eastAsia="宋体" w:cs="宋体"/>
          <w:color w:val="auto"/>
          <w:szCs w:val="21"/>
          <w:highlight w:val="none"/>
          <w:u w:val="single"/>
        </w:rPr>
      </w:pPr>
    </w:p>
    <w:p w14:paraId="6C181835">
      <w:pPr>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br w:type="page"/>
      </w:r>
      <w:r>
        <w:rPr>
          <w:rFonts w:hint="eastAsia" w:ascii="宋体" w:hAnsi="宋体" w:eastAsia="宋体" w:cs="宋体"/>
          <w:b/>
          <w:color w:val="auto"/>
          <w:kern w:val="0"/>
          <w:sz w:val="28"/>
          <w:szCs w:val="28"/>
          <w:highlight w:val="none"/>
          <w:lang w:val="en-US" w:eastAsia="zh-CN"/>
        </w:rPr>
        <w:t>整体建设方案（格式自拟）</w:t>
      </w:r>
    </w:p>
    <w:p w14:paraId="0E9D0A3C">
      <w:pPr>
        <w:spacing w:line="360" w:lineRule="auto"/>
        <w:ind w:right="-817" w:rightChars="-389" w:firstLine="1680" w:firstLineChars="600"/>
        <w:contextualSpacing/>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编制内容应包含采购需求及评审方法要求。</w:t>
      </w:r>
    </w:p>
    <w:p w14:paraId="2E7DC5FA">
      <w:pPr>
        <w:spacing w:line="360" w:lineRule="auto"/>
        <w:ind w:right="-817" w:rightChars="-389" w:firstLine="2640" w:firstLineChars="1100"/>
        <w:contextualSpacing/>
        <w:rPr>
          <w:rFonts w:hint="eastAsia" w:ascii="宋体" w:hAnsi="宋体" w:eastAsia="宋体" w:cs="宋体"/>
          <w:color w:val="auto"/>
          <w:sz w:val="24"/>
          <w:highlight w:val="none"/>
        </w:rPr>
      </w:pPr>
    </w:p>
    <w:p w14:paraId="03EDFB16">
      <w:pPr>
        <w:spacing w:line="360" w:lineRule="auto"/>
        <w:ind w:right="-817" w:rightChars="-389" w:firstLine="2640" w:firstLineChars="1100"/>
        <w:contextualSpacing/>
        <w:jc w:val="center"/>
        <w:rPr>
          <w:rFonts w:hint="eastAsia" w:ascii="宋体" w:hAnsi="宋体" w:eastAsia="宋体" w:cs="宋体"/>
          <w:color w:val="auto"/>
          <w:sz w:val="24"/>
          <w:szCs w:val="24"/>
          <w:highlight w:val="none"/>
        </w:rPr>
      </w:pPr>
    </w:p>
    <w:p w14:paraId="27ADBD05">
      <w:pPr>
        <w:spacing w:line="360" w:lineRule="auto"/>
        <w:ind w:right="-817" w:rightChars="-389" w:firstLine="2640" w:firstLineChars="1100"/>
        <w:contextualSpacing/>
        <w:jc w:val="center"/>
        <w:rPr>
          <w:rFonts w:hint="eastAsia" w:ascii="宋体" w:hAnsi="宋体" w:eastAsia="宋体" w:cs="宋体"/>
          <w:color w:val="auto"/>
          <w:sz w:val="24"/>
          <w:szCs w:val="24"/>
          <w:highlight w:val="none"/>
        </w:rPr>
      </w:pPr>
    </w:p>
    <w:p w14:paraId="681B4432">
      <w:pPr>
        <w:spacing w:line="360" w:lineRule="auto"/>
        <w:ind w:right="-817" w:rightChars="-389" w:firstLine="2640" w:firstLineChars="1100"/>
        <w:contextualSpacing/>
        <w:jc w:val="center"/>
        <w:rPr>
          <w:rFonts w:hint="eastAsia" w:ascii="宋体" w:hAnsi="宋体" w:eastAsia="宋体" w:cs="宋体"/>
          <w:color w:val="auto"/>
          <w:sz w:val="24"/>
          <w:szCs w:val="24"/>
          <w:highlight w:val="none"/>
        </w:rPr>
      </w:pPr>
    </w:p>
    <w:p w14:paraId="23E68780">
      <w:pPr>
        <w:spacing w:line="360" w:lineRule="auto"/>
        <w:ind w:right="-817" w:rightChars="-389" w:firstLine="2640" w:firstLineChars="1100"/>
        <w:contextualSpacing/>
        <w:jc w:val="center"/>
        <w:rPr>
          <w:rFonts w:hint="eastAsia" w:ascii="宋体" w:hAnsi="宋体" w:eastAsia="宋体" w:cs="宋体"/>
          <w:color w:val="auto"/>
          <w:sz w:val="24"/>
          <w:szCs w:val="24"/>
          <w:highlight w:val="none"/>
        </w:rPr>
      </w:pPr>
    </w:p>
    <w:p w14:paraId="1C884CAE">
      <w:pPr>
        <w:spacing w:line="360" w:lineRule="auto"/>
        <w:ind w:right="-817" w:rightChars="-389" w:firstLine="2640" w:firstLineChars="110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供应商（公章或电子签章 ）：</w:t>
      </w:r>
    </w:p>
    <w:p w14:paraId="37F703E3">
      <w:pPr>
        <w:adjustRightInd w:val="0"/>
        <w:snapToGrid w:val="0"/>
        <w:spacing w:line="30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20A97E62">
      <w:pPr>
        <w:adjustRightInd w:val="0"/>
        <w:snapToGrid w:val="0"/>
        <w:spacing w:line="300" w:lineRule="auto"/>
        <w:jc w:val="center"/>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日期：   年   月   日</w:t>
      </w:r>
    </w:p>
    <w:p w14:paraId="6EFE9A17">
      <w:pPr>
        <w:adjustRightInd w:val="0"/>
        <w:snapToGrid w:val="0"/>
        <w:spacing w:line="300" w:lineRule="auto"/>
        <w:jc w:val="center"/>
        <w:rPr>
          <w:rFonts w:hint="eastAsia" w:ascii="宋体" w:hAnsi="宋体" w:eastAsia="宋体" w:cs="宋体"/>
          <w:bCs/>
          <w:color w:val="auto"/>
          <w:sz w:val="44"/>
          <w:szCs w:val="44"/>
          <w:highlight w:val="none"/>
        </w:rPr>
      </w:pPr>
    </w:p>
    <w:p w14:paraId="71EF6E45">
      <w:pPr>
        <w:adjustRightInd w:val="0"/>
        <w:snapToGrid w:val="0"/>
        <w:spacing w:line="300" w:lineRule="auto"/>
        <w:jc w:val="center"/>
        <w:rPr>
          <w:rFonts w:hint="eastAsia" w:ascii="宋体" w:hAnsi="宋体" w:eastAsia="宋体" w:cs="宋体"/>
          <w:bCs/>
          <w:color w:val="auto"/>
          <w:sz w:val="44"/>
          <w:szCs w:val="44"/>
          <w:highlight w:val="none"/>
        </w:rPr>
      </w:pPr>
    </w:p>
    <w:p w14:paraId="33FDBC09">
      <w:pPr>
        <w:adjustRightInd w:val="0"/>
        <w:snapToGrid w:val="0"/>
        <w:spacing w:line="300" w:lineRule="auto"/>
        <w:jc w:val="center"/>
        <w:rPr>
          <w:rFonts w:hint="eastAsia" w:ascii="宋体" w:hAnsi="宋体" w:eastAsia="宋体" w:cs="宋体"/>
          <w:bCs/>
          <w:color w:val="auto"/>
          <w:sz w:val="44"/>
          <w:szCs w:val="44"/>
          <w:highlight w:val="none"/>
        </w:rPr>
      </w:pPr>
    </w:p>
    <w:p w14:paraId="0F88B02E">
      <w:pPr>
        <w:adjustRightInd w:val="0"/>
        <w:snapToGrid w:val="0"/>
        <w:spacing w:line="300" w:lineRule="auto"/>
        <w:jc w:val="center"/>
        <w:rPr>
          <w:rFonts w:hint="eastAsia" w:ascii="宋体" w:hAnsi="宋体" w:eastAsia="宋体" w:cs="宋体"/>
          <w:bCs/>
          <w:color w:val="auto"/>
          <w:sz w:val="44"/>
          <w:szCs w:val="44"/>
          <w:highlight w:val="none"/>
        </w:rPr>
      </w:pPr>
    </w:p>
    <w:p w14:paraId="0DD2039B">
      <w:pPr>
        <w:adjustRightInd w:val="0"/>
        <w:snapToGrid w:val="0"/>
        <w:spacing w:line="300" w:lineRule="auto"/>
        <w:jc w:val="center"/>
        <w:rPr>
          <w:rFonts w:hint="eastAsia" w:ascii="宋体" w:hAnsi="宋体" w:eastAsia="宋体" w:cs="宋体"/>
          <w:bCs/>
          <w:color w:val="auto"/>
          <w:sz w:val="44"/>
          <w:szCs w:val="44"/>
          <w:highlight w:val="none"/>
        </w:rPr>
      </w:pPr>
    </w:p>
    <w:p w14:paraId="763B30FD">
      <w:pPr>
        <w:adjustRightInd w:val="0"/>
        <w:snapToGrid w:val="0"/>
        <w:spacing w:line="300" w:lineRule="auto"/>
        <w:jc w:val="center"/>
        <w:rPr>
          <w:rFonts w:hint="eastAsia" w:ascii="宋体" w:hAnsi="宋体" w:eastAsia="宋体" w:cs="宋体"/>
          <w:bCs/>
          <w:color w:val="auto"/>
          <w:sz w:val="44"/>
          <w:szCs w:val="44"/>
          <w:highlight w:val="none"/>
        </w:rPr>
      </w:pPr>
    </w:p>
    <w:p w14:paraId="6F61617E">
      <w:pPr>
        <w:adjustRightInd w:val="0"/>
        <w:snapToGrid w:val="0"/>
        <w:spacing w:line="300" w:lineRule="auto"/>
        <w:jc w:val="center"/>
        <w:rPr>
          <w:rFonts w:hint="eastAsia" w:ascii="宋体" w:hAnsi="宋体" w:eastAsia="宋体" w:cs="宋体"/>
          <w:bCs/>
          <w:color w:val="auto"/>
          <w:sz w:val="44"/>
          <w:szCs w:val="44"/>
          <w:highlight w:val="none"/>
        </w:rPr>
      </w:pPr>
    </w:p>
    <w:p w14:paraId="704D010D">
      <w:pPr>
        <w:pStyle w:val="28"/>
        <w:rPr>
          <w:rFonts w:hint="eastAsia" w:ascii="宋体" w:hAnsi="宋体" w:eastAsia="宋体" w:cs="宋体"/>
          <w:color w:val="auto"/>
          <w:highlight w:val="none"/>
        </w:rPr>
      </w:pPr>
    </w:p>
    <w:p w14:paraId="38096DCD">
      <w:pP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br w:type="page"/>
      </w:r>
    </w:p>
    <w:p w14:paraId="577F15CC">
      <w:pPr>
        <w:jc w:val="center"/>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售后服务方案（格式自拟）</w:t>
      </w:r>
    </w:p>
    <w:p w14:paraId="5D9005C9">
      <w:pPr>
        <w:spacing w:line="360" w:lineRule="auto"/>
        <w:ind w:right="-817" w:rightChars="-389" w:firstLine="1680" w:firstLineChars="600"/>
        <w:contextualSpacing/>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编制内容应包含采购需求及评审方法要求。</w:t>
      </w:r>
    </w:p>
    <w:p w14:paraId="769AACF2">
      <w:pPr>
        <w:spacing w:line="360" w:lineRule="auto"/>
        <w:ind w:right="-817" w:rightChars="-389" w:firstLine="2640" w:firstLineChars="1100"/>
        <w:contextualSpacing/>
        <w:rPr>
          <w:rFonts w:hint="eastAsia" w:ascii="宋体" w:hAnsi="宋体" w:eastAsia="宋体" w:cs="宋体"/>
          <w:color w:val="auto"/>
          <w:sz w:val="24"/>
          <w:highlight w:val="none"/>
        </w:rPr>
      </w:pPr>
    </w:p>
    <w:p w14:paraId="0C7B95D2">
      <w:pPr>
        <w:spacing w:line="360" w:lineRule="auto"/>
        <w:ind w:right="-817" w:rightChars="-389" w:firstLine="2640" w:firstLineChars="1100"/>
        <w:contextualSpacing/>
        <w:jc w:val="center"/>
        <w:rPr>
          <w:rFonts w:hint="eastAsia" w:ascii="宋体" w:hAnsi="宋体" w:eastAsia="宋体" w:cs="宋体"/>
          <w:color w:val="auto"/>
          <w:sz w:val="24"/>
          <w:highlight w:val="none"/>
        </w:rPr>
      </w:pPr>
    </w:p>
    <w:p w14:paraId="6CB9F290">
      <w:pPr>
        <w:spacing w:line="360" w:lineRule="auto"/>
        <w:ind w:right="-817" w:rightChars="-389" w:firstLine="2640" w:firstLineChars="1100"/>
        <w:contextualSpacing/>
        <w:jc w:val="center"/>
        <w:rPr>
          <w:rFonts w:hint="eastAsia" w:ascii="宋体" w:hAnsi="宋体" w:eastAsia="宋体" w:cs="宋体"/>
          <w:color w:val="auto"/>
          <w:sz w:val="24"/>
          <w:highlight w:val="none"/>
        </w:rPr>
      </w:pPr>
    </w:p>
    <w:p w14:paraId="082D380E">
      <w:pPr>
        <w:spacing w:line="360" w:lineRule="auto"/>
        <w:ind w:right="-817" w:rightChars="-389" w:firstLine="2640" w:firstLineChars="1100"/>
        <w:contextualSpacing/>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供应商（公章或电子签章 ）：</w:t>
      </w:r>
    </w:p>
    <w:p w14:paraId="1BB6A9CD">
      <w:pPr>
        <w:adjustRightInd w:val="0"/>
        <w:snapToGrid w:val="0"/>
        <w:spacing w:line="30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14:paraId="0DC2CAE9">
      <w:pPr>
        <w:adjustRightInd w:val="0"/>
        <w:snapToGrid w:val="0"/>
        <w:spacing w:line="300" w:lineRule="auto"/>
        <w:jc w:val="center"/>
        <w:rPr>
          <w:rFonts w:hint="eastAsia" w:ascii="宋体" w:hAnsi="宋体" w:eastAsia="宋体" w:cs="宋体"/>
          <w:bCs/>
          <w:color w:val="auto"/>
          <w:sz w:val="44"/>
          <w:szCs w:val="4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日期：   年   月   日</w:t>
      </w:r>
    </w:p>
    <w:p w14:paraId="0AE7860B">
      <w:pPr>
        <w:adjustRightInd w:val="0"/>
        <w:snapToGrid w:val="0"/>
        <w:spacing w:line="300" w:lineRule="auto"/>
        <w:rPr>
          <w:rFonts w:hint="eastAsia" w:ascii="宋体" w:hAnsi="宋体" w:eastAsia="宋体" w:cs="宋体"/>
          <w:bCs/>
          <w:color w:val="auto"/>
          <w:sz w:val="44"/>
          <w:szCs w:val="44"/>
          <w:highlight w:val="none"/>
        </w:rPr>
      </w:pPr>
    </w:p>
    <w:p w14:paraId="13957174">
      <w:pPr>
        <w:jc w:val="left"/>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br w:type="page"/>
      </w:r>
    </w:p>
    <w:p w14:paraId="0150F8AD">
      <w:pPr>
        <w:jc w:val="center"/>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拟投入本项目服务团队人员一览表（如有）</w:t>
      </w:r>
    </w:p>
    <w:tbl>
      <w:tblPr>
        <w:tblStyle w:val="22"/>
        <w:tblpPr w:leftFromText="180" w:rightFromText="180" w:vertAnchor="text" w:horzAnchor="page" w:tblpX="1902" w:tblpY="161"/>
        <w:tblOverlap w:val="never"/>
        <w:tblW w:w="9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736"/>
        <w:gridCol w:w="795"/>
        <w:gridCol w:w="2315"/>
        <w:gridCol w:w="1413"/>
        <w:gridCol w:w="1725"/>
        <w:gridCol w:w="900"/>
      </w:tblGrid>
      <w:tr w14:paraId="4302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351" w:type="dxa"/>
            <w:noWrap w:val="0"/>
            <w:vAlign w:val="center"/>
          </w:tcPr>
          <w:p w14:paraId="272C8AB0">
            <w:pPr>
              <w:spacing w:line="360" w:lineRule="auto"/>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736" w:type="dxa"/>
            <w:noWrap w:val="0"/>
            <w:vAlign w:val="center"/>
          </w:tcPr>
          <w:p w14:paraId="4046A7DE">
            <w:pPr>
              <w:spacing w:line="360" w:lineRule="auto"/>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795" w:type="dxa"/>
            <w:noWrap w:val="0"/>
            <w:vAlign w:val="center"/>
          </w:tcPr>
          <w:p w14:paraId="5F6EA60A">
            <w:pPr>
              <w:spacing w:line="360" w:lineRule="auto"/>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2315" w:type="dxa"/>
            <w:noWrap w:val="0"/>
            <w:vAlign w:val="center"/>
          </w:tcPr>
          <w:p w14:paraId="2CD6B870">
            <w:pPr>
              <w:spacing w:line="360" w:lineRule="auto"/>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资格/职称证书名称</w:t>
            </w:r>
          </w:p>
        </w:tc>
        <w:tc>
          <w:tcPr>
            <w:tcW w:w="1413" w:type="dxa"/>
            <w:noWrap w:val="0"/>
            <w:vAlign w:val="center"/>
          </w:tcPr>
          <w:p w14:paraId="7A0A9B4D">
            <w:pPr>
              <w:spacing w:line="360" w:lineRule="auto"/>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证书编号</w:t>
            </w:r>
          </w:p>
        </w:tc>
        <w:tc>
          <w:tcPr>
            <w:tcW w:w="1725" w:type="dxa"/>
            <w:noWrap w:val="0"/>
            <w:vAlign w:val="center"/>
          </w:tcPr>
          <w:p w14:paraId="34810D15">
            <w:pPr>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工作经验年限</w:t>
            </w:r>
          </w:p>
        </w:tc>
        <w:tc>
          <w:tcPr>
            <w:tcW w:w="900" w:type="dxa"/>
            <w:noWrap w:val="0"/>
            <w:vAlign w:val="center"/>
          </w:tcPr>
          <w:p w14:paraId="4D7E4496">
            <w:pPr>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3795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351" w:type="dxa"/>
            <w:noWrap w:val="0"/>
            <w:vAlign w:val="center"/>
          </w:tcPr>
          <w:p w14:paraId="09D9F2A1">
            <w:pPr>
              <w:spacing w:line="360" w:lineRule="auto"/>
              <w:contextualSpacing/>
              <w:jc w:val="center"/>
              <w:rPr>
                <w:rFonts w:hint="eastAsia" w:ascii="宋体" w:hAnsi="宋体" w:eastAsia="宋体" w:cs="宋体"/>
                <w:color w:val="auto"/>
                <w:sz w:val="24"/>
                <w:szCs w:val="24"/>
                <w:highlight w:val="none"/>
              </w:rPr>
            </w:pPr>
          </w:p>
        </w:tc>
        <w:tc>
          <w:tcPr>
            <w:tcW w:w="736" w:type="dxa"/>
            <w:noWrap w:val="0"/>
            <w:vAlign w:val="center"/>
          </w:tcPr>
          <w:p w14:paraId="4D3CF043">
            <w:pPr>
              <w:spacing w:line="360" w:lineRule="auto"/>
              <w:contextualSpacing/>
              <w:jc w:val="center"/>
              <w:rPr>
                <w:rFonts w:hint="eastAsia" w:ascii="宋体" w:hAnsi="宋体" w:eastAsia="宋体" w:cs="宋体"/>
                <w:color w:val="auto"/>
                <w:sz w:val="24"/>
                <w:szCs w:val="24"/>
                <w:highlight w:val="none"/>
              </w:rPr>
            </w:pPr>
          </w:p>
        </w:tc>
        <w:tc>
          <w:tcPr>
            <w:tcW w:w="795" w:type="dxa"/>
            <w:noWrap w:val="0"/>
            <w:vAlign w:val="center"/>
          </w:tcPr>
          <w:p w14:paraId="1FB90B9A">
            <w:pPr>
              <w:spacing w:line="360" w:lineRule="auto"/>
              <w:contextualSpacing/>
              <w:jc w:val="center"/>
              <w:rPr>
                <w:rFonts w:hint="eastAsia" w:ascii="宋体" w:hAnsi="宋体" w:eastAsia="宋体" w:cs="宋体"/>
                <w:color w:val="auto"/>
                <w:sz w:val="24"/>
                <w:szCs w:val="24"/>
                <w:highlight w:val="none"/>
              </w:rPr>
            </w:pPr>
          </w:p>
        </w:tc>
        <w:tc>
          <w:tcPr>
            <w:tcW w:w="2315" w:type="dxa"/>
            <w:noWrap w:val="0"/>
            <w:vAlign w:val="center"/>
          </w:tcPr>
          <w:p w14:paraId="28F4215C">
            <w:pPr>
              <w:spacing w:line="360" w:lineRule="auto"/>
              <w:contextualSpacing/>
              <w:jc w:val="center"/>
              <w:rPr>
                <w:rFonts w:hint="eastAsia" w:ascii="宋体" w:hAnsi="宋体" w:eastAsia="宋体" w:cs="宋体"/>
                <w:color w:val="auto"/>
                <w:sz w:val="24"/>
                <w:szCs w:val="24"/>
                <w:highlight w:val="none"/>
              </w:rPr>
            </w:pPr>
          </w:p>
        </w:tc>
        <w:tc>
          <w:tcPr>
            <w:tcW w:w="1413" w:type="dxa"/>
            <w:noWrap w:val="0"/>
            <w:vAlign w:val="center"/>
          </w:tcPr>
          <w:p w14:paraId="6D8F34FD">
            <w:pPr>
              <w:spacing w:line="360" w:lineRule="auto"/>
              <w:contextualSpacing/>
              <w:jc w:val="center"/>
              <w:rPr>
                <w:rFonts w:hint="eastAsia" w:ascii="宋体" w:hAnsi="宋体" w:eastAsia="宋体" w:cs="宋体"/>
                <w:color w:val="auto"/>
                <w:sz w:val="24"/>
                <w:szCs w:val="24"/>
                <w:highlight w:val="none"/>
              </w:rPr>
            </w:pPr>
          </w:p>
        </w:tc>
        <w:tc>
          <w:tcPr>
            <w:tcW w:w="1725" w:type="dxa"/>
            <w:noWrap w:val="0"/>
            <w:vAlign w:val="center"/>
          </w:tcPr>
          <w:p w14:paraId="05C62ABD">
            <w:pPr>
              <w:spacing w:line="360" w:lineRule="auto"/>
              <w:contextualSpacing/>
              <w:jc w:val="center"/>
              <w:rPr>
                <w:rFonts w:hint="eastAsia" w:ascii="宋体" w:hAnsi="宋体" w:eastAsia="宋体" w:cs="宋体"/>
                <w:color w:val="auto"/>
                <w:sz w:val="24"/>
                <w:szCs w:val="24"/>
                <w:highlight w:val="none"/>
              </w:rPr>
            </w:pPr>
          </w:p>
        </w:tc>
        <w:tc>
          <w:tcPr>
            <w:tcW w:w="900" w:type="dxa"/>
            <w:noWrap w:val="0"/>
            <w:vAlign w:val="center"/>
          </w:tcPr>
          <w:p w14:paraId="0C0E9E92">
            <w:pPr>
              <w:spacing w:line="360" w:lineRule="auto"/>
              <w:contextualSpacing/>
              <w:jc w:val="center"/>
              <w:rPr>
                <w:rFonts w:hint="eastAsia" w:ascii="宋体" w:hAnsi="宋体" w:eastAsia="宋体" w:cs="宋体"/>
                <w:color w:val="auto"/>
                <w:sz w:val="24"/>
                <w:szCs w:val="24"/>
                <w:highlight w:val="none"/>
              </w:rPr>
            </w:pPr>
          </w:p>
        </w:tc>
      </w:tr>
      <w:tr w14:paraId="35E3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351" w:type="dxa"/>
            <w:noWrap w:val="0"/>
            <w:vAlign w:val="center"/>
          </w:tcPr>
          <w:p w14:paraId="433AA491">
            <w:pPr>
              <w:spacing w:line="360" w:lineRule="auto"/>
              <w:contextualSpacing/>
              <w:jc w:val="center"/>
              <w:rPr>
                <w:rFonts w:hint="eastAsia" w:ascii="宋体" w:hAnsi="宋体" w:eastAsia="宋体" w:cs="宋体"/>
                <w:color w:val="auto"/>
                <w:sz w:val="24"/>
                <w:szCs w:val="24"/>
                <w:highlight w:val="none"/>
              </w:rPr>
            </w:pPr>
          </w:p>
        </w:tc>
        <w:tc>
          <w:tcPr>
            <w:tcW w:w="736" w:type="dxa"/>
            <w:noWrap w:val="0"/>
            <w:vAlign w:val="center"/>
          </w:tcPr>
          <w:p w14:paraId="1E686509">
            <w:pPr>
              <w:spacing w:line="360" w:lineRule="auto"/>
              <w:contextualSpacing/>
              <w:jc w:val="center"/>
              <w:rPr>
                <w:rFonts w:hint="eastAsia" w:ascii="宋体" w:hAnsi="宋体" w:eastAsia="宋体" w:cs="宋体"/>
                <w:color w:val="auto"/>
                <w:sz w:val="24"/>
                <w:szCs w:val="24"/>
                <w:highlight w:val="none"/>
              </w:rPr>
            </w:pPr>
          </w:p>
        </w:tc>
        <w:tc>
          <w:tcPr>
            <w:tcW w:w="795" w:type="dxa"/>
            <w:noWrap w:val="0"/>
            <w:vAlign w:val="center"/>
          </w:tcPr>
          <w:p w14:paraId="5F2DD5D6">
            <w:pPr>
              <w:spacing w:line="360" w:lineRule="auto"/>
              <w:contextualSpacing/>
              <w:jc w:val="center"/>
              <w:rPr>
                <w:rFonts w:hint="eastAsia" w:ascii="宋体" w:hAnsi="宋体" w:eastAsia="宋体" w:cs="宋体"/>
                <w:color w:val="auto"/>
                <w:sz w:val="24"/>
                <w:szCs w:val="24"/>
                <w:highlight w:val="none"/>
              </w:rPr>
            </w:pPr>
          </w:p>
        </w:tc>
        <w:tc>
          <w:tcPr>
            <w:tcW w:w="2315" w:type="dxa"/>
            <w:noWrap w:val="0"/>
            <w:vAlign w:val="center"/>
          </w:tcPr>
          <w:p w14:paraId="7FB537F7">
            <w:pPr>
              <w:spacing w:line="360" w:lineRule="auto"/>
              <w:contextualSpacing/>
              <w:jc w:val="center"/>
              <w:rPr>
                <w:rFonts w:hint="eastAsia" w:ascii="宋体" w:hAnsi="宋体" w:eastAsia="宋体" w:cs="宋体"/>
                <w:color w:val="auto"/>
                <w:sz w:val="24"/>
                <w:szCs w:val="24"/>
                <w:highlight w:val="none"/>
              </w:rPr>
            </w:pPr>
          </w:p>
        </w:tc>
        <w:tc>
          <w:tcPr>
            <w:tcW w:w="1413" w:type="dxa"/>
            <w:noWrap w:val="0"/>
            <w:vAlign w:val="center"/>
          </w:tcPr>
          <w:p w14:paraId="35BEA4D3">
            <w:pPr>
              <w:spacing w:line="360" w:lineRule="auto"/>
              <w:contextualSpacing/>
              <w:jc w:val="center"/>
              <w:rPr>
                <w:rFonts w:hint="eastAsia" w:ascii="宋体" w:hAnsi="宋体" w:eastAsia="宋体" w:cs="宋体"/>
                <w:color w:val="auto"/>
                <w:sz w:val="24"/>
                <w:szCs w:val="24"/>
                <w:highlight w:val="none"/>
              </w:rPr>
            </w:pPr>
          </w:p>
        </w:tc>
        <w:tc>
          <w:tcPr>
            <w:tcW w:w="1725" w:type="dxa"/>
            <w:noWrap w:val="0"/>
            <w:vAlign w:val="center"/>
          </w:tcPr>
          <w:p w14:paraId="50AA4B47">
            <w:pPr>
              <w:spacing w:line="360" w:lineRule="auto"/>
              <w:contextualSpacing/>
              <w:jc w:val="center"/>
              <w:rPr>
                <w:rFonts w:hint="eastAsia" w:ascii="宋体" w:hAnsi="宋体" w:eastAsia="宋体" w:cs="宋体"/>
                <w:color w:val="auto"/>
                <w:sz w:val="24"/>
                <w:szCs w:val="24"/>
                <w:highlight w:val="none"/>
              </w:rPr>
            </w:pPr>
          </w:p>
        </w:tc>
        <w:tc>
          <w:tcPr>
            <w:tcW w:w="900" w:type="dxa"/>
            <w:noWrap w:val="0"/>
            <w:vAlign w:val="center"/>
          </w:tcPr>
          <w:p w14:paraId="1AB418E5">
            <w:pPr>
              <w:spacing w:line="360" w:lineRule="auto"/>
              <w:contextualSpacing/>
              <w:jc w:val="center"/>
              <w:rPr>
                <w:rFonts w:hint="eastAsia" w:ascii="宋体" w:hAnsi="宋体" w:eastAsia="宋体" w:cs="宋体"/>
                <w:color w:val="auto"/>
                <w:sz w:val="24"/>
                <w:szCs w:val="24"/>
                <w:highlight w:val="none"/>
              </w:rPr>
            </w:pPr>
          </w:p>
        </w:tc>
      </w:tr>
      <w:tr w14:paraId="5296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51" w:type="dxa"/>
            <w:noWrap w:val="0"/>
            <w:vAlign w:val="center"/>
          </w:tcPr>
          <w:p w14:paraId="015B51A6">
            <w:pPr>
              <w:spacing w:line="360" w:lineRule="auto"/>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36" w:type="dxa"/>
            <w:noWrap w:val="0"/>
            <w:vAlign w:val="center"/>
          </w:tcPr>
          <w:p w14:paraId="0EF8E4CD">
            <w:pPr>
              <w:spacing w:line="360" w:lineRule="auto"/>
              <w:contextualSpacing/>
              <w:jc w:val="center"/>
              <w:rPr>
                <w:rFonts w:hint="eastAsia" w:ascii="宋体" w:hAnsi="宋体" w:eastAsia="宋体" w:cs="宋体"/>
                <w:color w:val="auto"/>
                <w:sz w:val="24"/>
                <w:szCs w:val="24"/>
                <w:highlight w:val="none"/>
              </w:rPr>
            </w:pPr>
          </w:p>
        </w:tc>
        <w:tc>
          <w:tcPr>
            <w:tcW w:w="795" w:type="dxa"/>
            <w:noWrap w:val="0"/>
            <w:vAlign w:val="center"/>
          </w:tcPr>
          <w:p w14:paraId="2C294EBD">
            <w:pPr>
              <w:spacing w:line="360" w:lineRule="auto"/>
              <w:contextualSpacing/>
              <w:jc w:val="center"/>
              <w:rPr>
                <w:rFonts w:hint="eastAsia" w:ascii="宋体" w:hAnsi="宋体" w:eastAsia="宋体" w:cs="宋体"/>
                <w:color w:val="auto"/>
                <w:sz w:val="24"/>
                <w:szCs w:val="24"/>
                <w:highlight w:val="none"/>
              </w:rPr>
            </w:pPr>
          </w:p>
        </w:tc>
        <w:tc>
          <w:tcPr>
            <w:tcW w:w="2315" w:type="dxa"/>
            <w:noWrap w:val="0"/>
            <w:vAlign w:val="center"/>
          </w:tcPr>
          <w:p w14:paraId="08C73195">
            <w:pPr>
              <w:spacing w:line="360" w:lineRule="auto"/>
              <w:contextualSpacing/>
              <w:jc w:val="center"/>
              <w:rPr>
                <w:rFonts w:hint="eastAsia" w:ascii="宋体" w:hAnsi="宋体" w:eastAsia="宋体" w:cs="宋体"/>
                <w:color w:val="auto"/>
                <w:sz w:val="24"/>
                <w:szCs w:val="24"/>
                <w:highlight w:val="none"/>
              </w:rPr>
            </w:pPr>
          </w:p>
        </w:tc>
        <w:tc>
          <w:tcPr>
            <w:tcW w:w="1413" w:type="dxa"/>
            <w:noWrap w:val="0"/>
            <w:vAlign w:val="center"/>
          </w:tcPr>
          <w:p w14:paraId="09FC7E24">
            <w:pPr>
              <w:spacing w:line="360" w:lineRule="auto"/>
              <w:contextualSpacing/>
              <w:jc w:val="center"/>
              <w:rPr>
                <w:rFonts w:hint="eastAsia" w:ascii="宋体" w:hAnsi="宋体" w:eastAsia="宋体" w:cs="宋体"/>
                <w:color w:val="auto"/>
                <w:sz w:val="24"/>
                <w:szCs w:val="24"/>
                <w:highlight w:val="none"/>
              </w:rPr>
            </w:pPr>
          </w:p>
        </w:tc>
        <w:tc>
          <w:tcPr>
            <w:tcW w:w="1725" w:type="dxa"/>
            <w:noWrap w:val="0"/>
            <w:vAlign w:val="center"/>
          </w:tcPr>
          <w:p w14:paraId="7556345B">
            <w:pPr>
              <w:spacing w:line="360" w:lineRule="auto"/>
              <w:contextualSpacing/>
              <w:jc w:val="center"/>
              <w:rPr>
                <w:rFonts w:hint="eastAsia" w:ascii="宋体" w:hAnsi="宋体" w:eastAsia="宋体" w:cs="宋体"/>
                <w:color w:val="auto"/>
                <w:sz w:val="24"/>
                <w:szCs w:val="24"/>
                <w:highlight w:val="none"/>
              </w:rPr>
            </w:pPr>
          </w:p>
        </w:tc>
        <w:tc>
          <w:tcPr>
            <w:tcW w:w="900" w:type="dxa"/>
            <w:noWrap w:val="0"/>
            <w:vAlign w:val="center"/>
          </w:tcPr>
          <w:p w14:paraId="2CC43241">
            <w:pPr>
              <w:spacing w:line="360" w:lineRule="auto"/>
              <w:contextualSpacing/>
              <w:jc w:val="center"/>
              <w:rPr>
                <w:rFonts w:hint="eastAsia" w:ascii="宋体" w:hAnsi="宋体" w:eastAsia="宋体" w:cs="宋体"/>
                <w:color w:val="auto"/>
                <w:sz w:val="24"/>
                <w:szCs w:val="24"/>
                <w:highlight w:val="none"/>
              </w:rPr>
            </w:pPr>
          </w:p>
        </w:tc>
      </w:tr>
    </w:tbl>
    <w:p w14:paraId="40F3008D">
      <w:pPr>
        <w:adjustRightInd w:val="0"/>
        <w:snapToGrid w:val="0"/>
        <w:spacing w:line="360" w:lineRule="auto"/>
        <w:ind w:firstLine="480" w:firstLineChars="200"/>
        <w:rPr>
          <w:rFonts w:hint="eastAsia" w:ascii="宋体" w:hAnsi="宋体" w:eastAsia="宋体" w:cs="宋体"/>
          <w:color w:val="auto"/>
          <w:sz w:val="24"/>
          <w:highlight w:val="none"/>
        </w:rPr>
      </w:pPr>
    </w:p>
    <w:p w14:paraId="5BA4B777">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注：1、本表格已包含拟投入实施人员及拟投入专家团队，可根据采购需求及评审方法自行扩展。</w:t>
      </w:r>
    </w:p>
    <w:p w14:paraId="62FFEA48">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2、以上人员相关证明根据采购需求及评审方法要求自行提供。</w:t>
      </w:r>
    </w:p>
    <w:p w14:paraId="084AF014">
      <w:pPr>
        <w:pStyle w:val="27"/>
        <w:rPr>
          <w:rFonts w:hint="eastAsia" w:ascii="宋体" w:hAnsi="宋体" w:eastAsia="宋体" w:cs="宋体"/>
          <w:color w:val="auto"/>
          <w:highlight w:val="none"/>
        </w:rPr>
      </w:pPr>
    </w:p>
    <w:p w14:paraId="4307948C">
      <w:pPr>
        <w:pStyle w:val="28"/>
        <w:spacing w:after="0" w:line="360" w:lineRule="auto"/>
        <w:ind w:firstLine="480" w:firstLineChars="200"/>
        <w:rPr>
          <w:rFonts w:hint="eastAsia" w:ascii="宋体" w:hAnsi="宋体" w:eastAsia="宋体" w:cs="宋体"/>
          <w:color w:val="auto"/>
          <w:sz w:val="24"/>
          <w:highlight w:val="none"/>
        </w:rPr>
      </w:pPr>
    </w:p>
    <w:p w14:paraId="0AF065AE">
      <w:pPr>
        <w:adjustRightInd w:val="0"/>
        <w:snapToGrid w:val="0"/>
        <w:spacing w:line="300" w:lineRule="auto"/>
        <w:jc w:val="center"/>
        <w:rPr>
          <w:rFonts w:hint="eastAsia" w:ascii="宋体" w:hAnsi="宋体" w:eastAsia="宋体" w:cs="宋体"/>
          <w:color w:val="auto"/>
          <w:sz w:val="24"/>
          <w:szCs w:val="20"/>
          <w:highlight w:val="none"/>
        </w:rPr>
      </w:pPr>
    </w:p>
    <w:p w14:paraId="2EDDE646">
      <w:pPr>
        <w:spacing w:line="360" w:lineRule="auto"/>
        <w:ind w:left="142"/>
        <w:contextualSpacing/>
        <w:jc w:val="center"/>
        <w:rPr>
          <w:rFonts w:hint="eastAsia" w:ascii="宋体" w:hAnsi="宋体" w:eastAsia="宋体" w:cs="宋体"/>
          <w:b/>
          <w:color w:val="auto"/>
          <w:sz w:val="32"/>
          <w:szCs w:val="32"/>
          <w:highlight w:val="none"/>
        </w:rPr>
      </w:pPr>
    </w:p>
    <w:p w14:paraId="10F76169">
      <w:pPr>
        <w:spacing w:line="360" w:lineRule="auto"/>
        <w:ind w:right="-817" w:rightChars="-389" w:firstLine="2640" w:firstLineChars="1100"/>
        <w:contextualSpacing/>
        <w:rPr>
          <w:rFonts w:hint="eastAsia" w:ascii="宋体" w:hAnsi="宋体" w:eastAsia="宋体" w:cs="宋体"/>
          <w:color w:val="auto"/>
          <w:sz w:val="24"/>
          <w:highlight w:val="none"/>
        </w:rPr>
      </w:pPr>
    </w:p>
    <w:p w14:paraId="26A201BC">
      <w:pPr>
        <w:spacing w:line="360" w:lineRule="auto"/>
        <w:ind w:right="-817" w:rightChars="-389" w:firstLine="2640" w:firstLineChars="1100"/>
        <w:contextualSpacing/>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供应商（公章或电子签章 ）：</w:t>
      </w:r>
    </w:p>
    <w:p w14:paraId="0CDD64AC">
      <w:pPr>
        <w:adjustRightInd w:val="0"/>
        <w:snapToGrid w:val="0"/>
        <w:spacing w:line="30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14:paraId="4DED0130">
      <w:pPr>
        <w:adjustRightInd w:val="0"/>
        <w:snapToGrid w:val="0"/>
        <w:spacing w:line="300" w:lineRule="auto"/>
        <w:jc w:val="center"/>
        <w:rPr>
          <w:rFonts w:hint="eastAsia" w:ascii="宋体" w:hAnsi="宋体" w:eastAsia="宋体" w:cs="宋体"/>
          <w:bCs/>
          <w:color w:val="auto"/>
          <w:sz w:val="44"/>
          <w:szCs w:val="4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日期：   年   月   日</w:t>
      </w:r>
    </w:p>
    <w:p w14:paraId="2509D702">
      <w:pPr>
        <w:adjustRightInd w:val="0"/>
        <w:snapToGrid w:val="0"/>
        <w:spacing w:line="300" w:lineRule="auto"/>
        <w:jc w:val="center"/>
        <w:rPr>
          <w:rFonts w:hint="eastAsia" w:ascii="宋体" w:hAnsi="宋体" w:eastAsia="宋体" w:cs="宋体"/>
          <w:bCs/>
          <w:color w:val="auto"/>
          <w:sz w:val="44"/>
          <w:szCs w:val="44"/>
          <w:highlight w:val="none"/>
        </w:rPr>
      </w:pPr>
    </w:p>
    <w:p w14:paraId="7BBDC1CC">
      <w:pPr>
        <w:spacing w:line="360" w:lineRule="auto"/>
        <w:ind w:left="142"/>
        <w:contextualSpacing/>
        <w:jc w:val="center"/>
        <w:rPr>
          <w:rFonts w:hint="eastAsia" w:ascii="宋体" w:hAnsi="宋体" w:eastAsia="宋体" w:cs="宋体"/>
          <w:b/>
          <w:color w:val="auto"/>
          <w:sz w:val="32"/>
          <w:szCs w:val="32"/>
          <w:highlight w:val="none"/>
        </w:rPr>
      </w:pPr>
    </w:p>
    <w:p w14:paraId="76BA834E">
      <w:pPr>
        <w:spacing w:line="360" w:lineRule="auto"/>
        <w:ind w:left="142"/>
        <w:contextualSpacing/>
        <w:jc w:val="center"/>
        <w:rPr>
          <w:rFonts w:hint="eastAsia" w:ascii="宋体" w:hAnsi="宋体" w:eastAsia="宋体" w:cs="宋体"/>
          <w:b/>
          <w:color w:val="auto"/>
          <w:sz w:val="32"/>
          <w:szCs w:val="32"/>
          <w:highlight w:val="none"/>
        </w:rPr>
      </w:pPr>
    </w:p>
    <w:p w14:paraId="2ECAC601">
      <w:pPr>
        <w:spacing w:line="360" w:lineRule="auto"/>
        <w:ind w:left="142"/>
        <w:contextualSpacing/>
        <w:jc w:val="center"/>
        <w:rPr>
          <w:rFonts w:hint="eastAsia" w:ascii="宋体" w:hAnsi="宋体" w:eastAsia="宋体" w:cs="宋体"/>
          <w:b/>
          <w:color w:val="auto"/>
          <w:sz w:val="32"/>
          <w:szCs w:val="32"/>
          <w:highlight w:val="none"/>
        </w:rPr>
      </w:pPr>
    </w:p>
    <w:p w14:paraId="1329B980">
      <w:pPr>
        <w:pStyle w:val="30"/>
        <w:rPr>
          <w:rFonts w:hint="eastAsia" w:ascii="宋体" w:hAnsi="宋体" w:eastAsia="宋体" w:cs="宋体"/>
          <w:color w:val="auto"/>
          <w:highlight w:val="none"/>
        </w:rPr>
      </w:pPr>
    </w:p>
    <w:p w14:paraId="36EE0B49">
      <w:pPr>
        <w:rPr>
          <w:rFonts w:hint="eastAsia" w:ascii="宋体" w:hAnsi="宋体" w:eastAsia="宋体" w:cs="宋体"/>
          <w:color w:val="auto"/>
          <w:highlight w:val="none"/>
        </w:rPr>
      </w:pPr>
    </w:p>
    <w:p w14:paraId="7599CE55">
      <w:pPr>
        <w:pStyle w:val="30"/>
        <w:rPr>
          <w:rFonts w:hint="eastAsia" w:ascii="宋体" w:hAnsi="宋体" w:eastAsia="宋体" w:cs="宋体"/>
          <w:color w:val="auto"/>
          <w:highlight w:val="none"/>
        </w:rPr>
      </w:pPr>
    </w:p>
    <w:p w14:paraId="47FA3BC7">
      <w:pPr>
        <w:pStyle w:val="30"/>
        <w:rPr>
          <w:rFonts w:hint="eastAsia" w:ascii="宋体" w:hAnsi="宋体" w:eastAsia="宋体" w:cs="宋体"/>
          <w:b/>
          <w:bCs/>
          <w:color w:val="auto"/>
          <w:highlight w:val="none"/>
        </w:rPr>
      </w:pPr>
    </w:p>
    <w:p w14:paraId="56B2B6C3">
      <w:pPr>
        <w:pStyle w:val="32"/>
        <w:rPr>
          <w:rFonts w:hint="eastAsia" w:ascii="宋体" w:hAnsi="宋体" w:eastAsia="宋体" w:cs="宋体"/>
          <w:color w:val="auto"/>
          <w:highlight w:val="none"/>
        </w:rPr>
      </w:pPr>
    </w:p>
    <w:p w14:paraId="0E50E009">
      <w:pPr>
        <w:jc w:val="left"/>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br w:type="page"/>
      </w:r>
    </w:p>
    <w:p w14:paraId="5C14104A">
      <w:pPr>
        <w:jc w:val="center"/>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业绩、综合实力（如有）</w:t>
      </w:r>
    </w:p>
    <w:p w14:paraId="5A0ABFD3">
      <w:pPr>
        <w:spacing w:line="360" w:lineRule="auto"/>
        <w:contextualSpacing/>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根据评审方法内容自行提供</w:t>
      </w:r>
      <w:r>
        <w:rPr>
          <w:rFonts w:hint="eastAsia" w:ascii="宋体" w:hAnsi="宋体" w:eastAsia="宋体" w:cs="宋体"/>
          <w:color w:val="auto"/>
          <w:sz w:val="28"/>
          <w:szCs w:val="28"/>
          <w:highlight w:val="none"/>
          <w:lang w:eastAsia="zh-CN"/>
        </w:rPr>
        <w:t>。</w:t>
      </w:r>
    </w:p>
    <w:p w14:paraId="736941A6">
      <w:pPr>
        <w:spacing w:line="300" w:lineRule="auto"/>
        <w:rPr>
          <w:rFonts w:hint="eastAsia" w:ascii="宋体" w:hAnsi="宋体" w:eastAsia="宋体" w:cs="宋体"/>
          <w:b/>
          <w:bCs/>
          <w:color w:val="auto"/>
          <w:sz w:val="24"/>
          <w:highlight w:val="none"/>
        </w:rPr>
      </w:pPr>
    </w:p>
    <w:p w14:paraId="124428F0">
      <w:pPr>
        <w:spacing w:line="300" w:lineRule="auto"/>
        <w:rPr>
          <w:rFonts w:hint="eastAsia" w:ascii="宋体" w:hAnsi="宋体" w:eastAsia="宋体" w:cs="宋体"/>
          <w:b/>
          <w:bCs/>
          <w:color w:val="auto"/>
          <w:sz w:val="24"/>
          <w:highlight w:val="none"/>
        </w:rPr>
      </w:pPr>
    </w:p>
    <w:p w14:paraId="5864ECD3">
      <w:pPr>
        <w:spacing w:line="300" w:lineRule="auto"/>
        <w:rPr>
          <w:rFonts w:hint="eastAsia" w:ascii="宋体" w:hAnsi="宋体" w:eastAsia="宋体" w:cs="宋体"/>
          <w:b/>
          <w:bCs/>
          <w:color w:val="auto"/>
          <w:sz w:val="24"/>
          <w:highlight w:val="none"/>
        </w:rPr>
      </w:pPr>
    </w:p>
    <w:p w14:paraId="67EDCCB9">
      <w:pPr>
        <w:spacing w:line="300" w:lineRule="auto"/>
        <w:rPr>
          <w:rFonts w:hint="eastAsia" w:ascii="宋体" w:hAnsi="宋体" w:eastAsia="宋体" w:cs="宋体"/>
          <w:b/>
          <w:bCs/>
          <w:color w:val="auto"/>
          <w:sz w:val="24"/>
          <w:highlight w:val="none"/>
        </w:rPr>
      </w:pPr>
    </w:p>
    <w:p w14:paraId="246E390A">
      <w:pPr>
        <w:spacing w:line="300" w:lineRule="auto"/>
        <w:rPr>
          <w:rFonts w:hint="eastAsia" w:ascii="宋体" w:hAnsi="宋体" w:eastAsia="宋体" w:cs="宋体"/>
          <w:b/>
          <w:bCs/>
          <w:color w:val="auto"/>
          <w:sz w:val="24"/>
          <w:highlight w:val="none"/>
        </w:rPr>
      </w:pPr>
    </w:p>
    <w:p w14:paraId="0E54C854">
      <w:pPr>
        <w:spacing w:line="300" w:lineRule="auto"/>
        <w:rPr>
          <w:rFonts w:hint="eastAsia" w:ascii="宋体" w:hAnsi="宋体" w:eastAsia="宋体" w:cs="宋体"/>
          <w:b/>
          <w:bCs/>
          <w:color w:val="auto"/>
          <w:sz w:val="24"/>
          <w:highlight w:val="none"/>
        </w:rPr>
      </w:pPr>
    </w:p>
    <w:p w14:paraId="01C32E59">
      <w:pPr>
        <w:spacing w:line="300" w:lineRule="auto"/>
        <w:rPr>
          <w:rFonts w:hint="eastAsia" w:ascii="宋体" w:hAnsi="宋体" w:eastAsia="宋体" w:cs="宋体"/>
          <w:b/>
          <w:bCs/>
          <w:color w:val="auto"/>
          <w:sz w:val="24"/>
          <w:highlight w:val="none"/>
        </w:rPr>
      </w:pPr>
    </w:p>
    <w:p w14:paraId="5A89C029">
      <w:pPr>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44"/>
          <w:szCs w:val="44"/>
          <w:highlight w:val="none"/>
        </w:rPr>
        <w:br w:type="page"/>
      </w:r>
      <w:r>
        <w:rPr>
          <w:rFonts w:hint="eastAsia" w:ascii="宋体" w:hAnsi="宋体" w:eastAsia="宋体" w:cs="宋体"/>
          <w:b/>
          <w:color w:val="auto"/>
          <w:kern w:val="0"/>
          <w:sz w:val="28"/>
          <w:szCs w:val="28"/>
          <w:highlight w:val="none"/>
          <w:lang w:val="en-US" w:eastAsia="zh-CN"/>
        </w:rPr>
        <w:t>对应采购需求的服务需求、商务条款提供的其他文件资料</w:t>
      </w:r>
    </w:p>
    <w:p w14:paraId="5F32AB4F">
      <w:pPr>
        <w:adjustRightInd w:val="0"/>
        <w:snapToGrid w:val="0"/>
        <w:spacing w:line="30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32"/>
          <w:szCs w:val="32"/>
          <w:highlight w:val="none"/>
        </w:rPr>
        <w:t>（格式自拟）</w:t>
      </w:r>
    </w:p>
    <w:p w14:paraId="57583502">
      <w:pPr>
        <w:spacing w:line="300" w:lineRule="auto"/>
        <w:rPr>
          <w:rFonts w:hint="eastAsia" w:ascii="宋体" w:hAnsi="宋体" w:eastAsia="宋体" w:cs="宋体"/>
          <w:b/>
          <w:bCs/>
          <w:color w:val="auto"/>
          <w:sz w:val="24"/>
          <w:highlight w:val="none"/>
        </w:rPr>
      </w:pPr>
    </w:p>
    <w:p w14:paraId="2388E250">
      <w:pPr>
        <w:spacing w:line="300" w:lineRule="auto"/>
        <w:rPr>
          <w:rFonts w:hint="eastAsia" w:ascii="宋体" w:hAnsi="宋体" w:eastAsia="宋体" w:cs="宋体"/>
          <w:b/>
          <w:bCs/>
          <w:color w:val="auto"/>
          <w:sz w:val="24"/>
          <w:highlight w:val="none"/>
        </w:rPr>
      </w:pPr>
    </w:p>
    <w:p w14:paraId="5C790B35">
      <w:pPr>
        <w:spacing w:line="300" w:lineRule="auto"/>
        <w:rPr>
          <w:rFonts w:hint="eastAsia" w:ascii="宋体" w:hAnsi="宋体" w:eastAsia="宋体" w:cs="宋体"/>
          <w:b/>
          <w:bCs/>
          <w:color w:val="auto"/>
          <w:sz w:val="24"/>
          <w:highlight w:val="none"/>
        </w:rPr>
      </w:pPr>
    </w:p>
    <w:p w14:paraId="6DE164A7">
      <w:pPr>
        <w:spacing w:line="300" w:lineRule="auto"/>
        <w:rPr>
          <w:rFonts w:hint="eastAsia" w:ascii="宋体" w:hAnsi="宋体" w:eastAsia="宋体" w:cs="宋体"/>
          <w:b/>
          <w:bCs/>
          <w:color w:val="auto"/>
          <w:sz w:val="24"/>
          <w:highlight w:val="none"/>
        </w:rPr>
      </w:pPr>
    </w:p>
    <w:p w14:paraId="5FDEBED3">
      <w:pPr>
        <w:spacing w:line="300" w:lineRule="auto"/>
        <w:rPr>
          <w:rFonts w:hint="eastAsia" w:ascii="宋体" w:hAnsi="宋体" w:eastAsia="宋体" w:cs="宋体"/>
          <w:b/>
          <w:bCs/>
          <w:color w:val="auto"/>
          <w:sz w:val="24"/>
          <w:highlight w:val="none"/>
        </w:rPr>
      </w:pPr>
    </w:p>
    <w:p w14:paraId="356FE3D2">
      <w:pPr>
        <w:spacing w:line="300" w:lineRule="auto"/>
        <w:rPr>
          <w:rFonts w:hint="eastAsia" w:ascii="宋体" w:hAnsi="宋体" w:eastAsia="宋体" w:cs="宋体"/>
          <w:b/>
          <w:bCs/>
          <w:color w:val="auto"/>
          <w:sz w:val="24"/>
          <w:highlight w:val="none"/>
        </w:rPr>
      </w:pPr>
    </w:p>
    <w:p w14:paraId="0040618E">
      <w:pPr>
        <w:spacing w:line="300" w:lineRule="auto"/>
        <w:rPr>
          <w:rFonts w:hint="eastAsia" w:ascii="宋体" w:hAnsi="宋体" w:eastAsia="宋体" w:cs="宋体"/>
          <w:b/>
          <w:bCs/>
          <w:color w:val="auto"/>
          <w:sz w:val="24"/>
          <w:highlight w:val="none"/>
        </w:rPr>
      </w:pPr>
    </w:p>
    <w:p w14:paraId="1BB676C7">
      <w:pPr>
        <w:spacing w:line="300" w:lineRule="auto"/>
        <w:rPr>
          <w:rFonts w:hint="eastAsia" w:ascii="宋体" w:hAnsi="宋体" w:eastAsia="宋体" w:cs="宋体"/>
          <w:b/>
          <w:bCs/>
          <w:color w:val="auto"/>
          <w:sz w:val="24"/>
          <w:highlight w:val="none"/>
        </w:rPr>
      </w:pPr>
    </w:p>
    <w:p w14:paraId="6AF3FF3B">
      <w:pPr>
        <w:spacing w:line="300" w:lineRule="auto"/>
        <w:rPr>
          <w:rFonts w:hint="eastAsia" w:ascii="宋体" w:hAnsi="宋体" w:eastAsia="宋体" w:cs="宋体"/>
          <w:b/>
          <w:bCs/>
          <w:color w:val="auto"/>
          <w:sz w:val="24"/>
          <w:highlight w:val="none"/>
        </w:rPr>
      </w:pPr>
    </w:p>
    <w:p w14:paraId="28D767D3">
      <w:pPr>
        <w:spacing w:line="300" w:lineRule="auto"/>
        <w:rPr>
          <w:rFonts w:hint="eastAsia" w:ascii="宋体" w:hAnsi="宋体" w:eastAsia="宋体" w:cs="宋体"/>
          <w:b/>
          <w:bCs/>
          <w:color w:val="auto"/>
          <w:sz w:val="24"/>
          <w:highlight w:val="none"/>
        </w:rPr>
      </w:pPr>
    </w:p>
    <w:p w14:paraId="614F11DF">
      <w:pPr>
        <w:spacing w:line="300" w:lineRule="auto"/>
        <w:rPr>
          <w:rFonts w:hint="eastAsia" w:ascii="宋体" w:hAnsi="宋体" w:eastAsia="宋体" w:cs="宋体"/>
          <w:b/>
          <w:bCs/>
          <w:color w:val="auto"/>
          <w:sz w:val="24"/>
          <w:highlight w:val="none"/>
        </w:rPr>
      </w:pPr>
    </w:p>
    <w:p w14:paraId="3BB14BDC">
      <w:pPr>
        <w:spacing w:line="300" w:lineRule="auto"/>
        <w:rPr>
          <w:rFonts w:hint="eastAsia" w:ascii="宋体" w:hAnsi="宋体" w:eastAsia="宋体" w:cs="宋体"/>
          <w:b/>
          <w:bCs/>
          <w:color w:val="auto"/>
          <w:sz w:val="24"/>
          <w:highlight w:val="none"/>
        </w:rPr>
      </w:pPr>
    </w:p>
    <w:p w14:paraId="7A92B568">
      <w:pPr>
        <w:spacing w:line="300" w:lineRule="auto"/>
        <w:rPr>
          <w:rFonts w:hint="eastAsia" w:ascii="宋体" w:hAnsi="宋体" w:eastAsia="宋体" w:cs="宋体"/>
          <w:b/>
          <w:bCs/>
          <w:color w:val="auto"/>
          <w:sz w:val="24"/>
          <w:highlight w:val="none"/>
        </w:rPr>
      </w:pPr>
    </w:p>
    <w:p w14:paraId="1F7ECBDB">
      <w:pPr>
        <w:spacing w:line="300" w:lineRule="auto"/>
        <w:rPr>
          <w:rFonts w:hint="eastAsia" w:ascii="宋体" w:hAnsi="宋体" w:eastAsia="宋体" w:cs="宋体"/>
          <w:b/>
          <w:bCs/>
          <w:color w:val="auto"/>
          <w:sz w:val="24"/>
          <w:highlight w:val="none"/>
        </w:rPr>
      </w:pPr>
    </w:p>
    <w:p w14:paraId="0955B901">
      <w:pPr>
        <w:spacing w:line="300" w:lineRule="auto"/>
        <w:rPr>
          <w:rFonts w:hint="eastAsia" w:ascii="宋体" w:hAnsi="宋体" w:eastAsia="宋体" w:cs="宋体"/>
          <w:b/>
          <w:bCs/>
          <w:color w:val="auto"/>
          <w:sz w:val="24"/>
          <w:highlight w:val="none"/>
        </w:rPr>
      </w:pPr>
    </w:p>
    <w:p w14:paraId="72578638">
      <w:pPr>
        <w:spacing w:line="300" w:lineRule="auto"/>
        <w:rPr>
          <w:rFonts w:hint="eastAsia" w:ascii="宋体" w:hAnsi="宋体" w:eastAsia="宋体" w:cs="宋体"/>
          <w:b/>
          <w:bCs/>
          <w:color w:val="auto"/>
          <w:sz w:val="24"/>
          <w:highlight w:val="none"/>
        </w:rPr>
      </w:pPr>
    </w:p>
    <w:p w14:paraId="7A1190DE">
      <w:pPr>
        <w:spacing w:line="300" w:lineRule="auto"/>
        <w:rPr>
          <w:rFonts w:hint="eastAsia" w:ascii="宋体" w:hAnsi="宋体" w:eastAsia="宋体" w:cs="宋体"/>
          <w:b/>
          <w:bCs/>
          <w:color w:val="auto"/>
          <w:sz w:val="24"/>
          <w:highlight w:val="none"/>
        </w:rPr>
      </w:pPr>
    </w:p>
    <w:p w14:paraId="67ABA691">
      <w:pPr>
        <w:spacing w:line="300" w:lineRule="auto"/>
        <w:rPr>
          <w:rFonts w:hint="eastAsia" w:ascii="宋体" w:hAnsi="宋体" w:eastAsia="宋体" w:cs="宋体"/>
          <w:b/>
          <w:bCs/>
          <w:color w:val="auto"/>
          <w:sz w:val="24"/>
          <w:highlight w:val="none"/>
        </w:rPr>
      </w:pPr>
    </w:p>
    <w:p w14:paraId="49A38A73">
      <w:pPr>
        <w:spacing w:line="300" w:lineRule="auto"/>
        <w:rPr>
          <w:rFonts w:hint="eastAsia" w:ascii="宋体" w:hAnsi="宋体" w:eastAsia="宋体" w:cs="宋体"/>
          <w:b/>
          <w:bCs/>
          <w:color w:val="auto"/>
          <w:sz w:val="24"/>
          <w:highlight w:val="none"/>
        </w:rPr>
      </w:pPr>
    </w:p>
    <w:p w14:paraId="28623DB0">
      <w:pPr>
        <w:spacing w:line="300" w:lineRule="auto"/>
        <w:rPr>
          <w:rFonts w:hint="eastAsia" w:ascii="宋体" w:hAnsi="宋体" w:eastAsia="宋体" w:cs="宋体"/>
          <w:b/>
          <w:bCs/>
          <w:color w:val="auto"/>
          <w:sz w:val="24"/>
          <w:highlight w:val="none"/>
        </w:rPr>
      </w:pPr>
    </w:p>
    <w:p w14:paraId="077E8026">
      <w:pPr>
        <w:spacing w:line="300" w:lineRule="auto"/>
        <w:rPr>
          <w:rFonts w:hint="eastAsia" w:ascii="宋体" w:hAnsi="宋体" w:eastAsia="宋体" w:cs="宋体"/>
          <w:b/>
          <w:bCs/>
          <w:color w:val="auto"/>
          <w:sz w:val="24"/>
          <w:highlight w:val="none"/>
        </w:rPr>
      </w:pPr>
    </w:p>
    <w:p w14:paraId="79692E0F">
      <w:pPr>
        <w:spacing w:line="300" w:lineRule="auto"/>
        <w:rPr>
          <w:rFonts w:hint="eastAsia" w:ascii="宋体" w:hAnsi="宋体" w:eastAsia="宋体" w:cs="宋体"/>
          <w:b/>
          <w:bCs/>
          <w:color w:val="auto"/>
          <w:sz w:val="24"/>
          <w:highlight w:val="none"/>
        </w:rPr>
      </w:pPr>
    </w:p>
    <w:p w14:paraId="057A79CF">
      <w:pPr>
        <w:spacing w:line="300" w:lineRule="auto"/>
        <w:rPr>
          <w:rFonts w:hint="eastAsia" w:ascii="宋体" w:hAnsi="宋体" w:eastAsia="宋体" w:cs="宋体"/>
          <w:b/>
          <w:bCs/>
          <w:color w:val="auto"/>
          <w:sz w:val="24"/>
          <w:highlight w:val="none"/>
        </w:rPr>
      </w:pPr>
    </w:p>
    <w:p w14:paraId="14BA2345">
      <w:pPr>
        <w:spacing w:line="300" w:lineRule="auto"/>
        <w:rPr>
          <w:rFonts w:hint="eastAsia" w:ascii="宋体" w:hAnsi="宋体" w:eastAsia="宋体" w:cs="宋体"/>
          <w:b/>
          <w:bCs/>
          <w:color w:val="auto"/>
          <w:sz w:val="24"/>
          <w:highlight w:val="none"/>
        </w:rPr>
      </w:pPr>
    </w:p>
    <w:p w14:paraId="21492E3A">
      <w:pPr>
        <w:spacing w:line="300" w:lineRule="auto"/>
        <w:rPr>
          <w:rFonts w:hint="eastAsia" w:ascii="宋体" w:hAnsi="宋体" w:eastAsia="宋体" w:cs="宋体"/>
          <w:b/>
          <w:bCs/>
          <w:color w:val="auto"/>
          <w:sz w:val="24"/>
          <w:highlight w:val="none"/>
        </w:rPr>
      </w:pPr>
    </w:p>
    <w:p w14:paraId="614980FB">
      <w:pPr>
        <w:spacing w:line="300" w:lineRule="auto"/>
        <w:rPr>
          <w:rFonts w:hint="eastAsia" w:ascii="宋体" w:hAnsi="宋体" w:eastAsia="宋体" w:cs="宋体"/>
          <w:b/>
          <w:bCs/>
          <w:color w:val="auto"/>
          <w:sz w:val="24"/>
          <w:highlight w:val="none"/>
        </w:rPr>
      </w:pPr>
    </w:p>
    <w:p w14:paraId="01416D6B">
      <w:pPr>
        <w:spacing w:line="300" w:lineRule="auto"/>
        <w:rPr>
          <w:rFonts w:hint="eastAsia" w:ascii="宋体" w:hAnsi="宋体" w:eastAsia="宋体" w:cs="宋体"/>
          <w:b/>
          <w:bCs/>
          <w:color w:val="auto"/>
          <w:sz w:val="24"/>
          <w:highlight w:val="none"/>
        </w:rPr>
      </w:pPr>
    </w:p>
    <w:p w14:paraId="13A0F283">
      <w:pPr>
        <w:spacing w:line="300" w:lineRule="auto"/>
        <w:rPr>
          <w:rFonts w:hint="eastAsia" w:ascii="宋体" w:hAnsi="宋体" w:eastAsia="宋体" w:cs="宋体"/>
          <w:b/>
          <w:bCs/>
          <w:color w:val="auto"/>
          <w:sz w:val="24"/>
          <w:highlight w:val="none"/>
        </w:rPr>
      </w:pPr>
    </w:p>
    <w:p w14:paraId="72EF8D5D">
      <w:pPr>
        <w:spacing w:line="300" w:lineRule="auto"/>
        <w:rPr>
          <w:rFonts w:hint="eastAsia" w:ascii="宋体" w:hAnsi="宋体" w:eastAsia="宋体" w:cs="宋体"/>
          <w:b/>
          <w:bCs/>
          <w:color w:val="auto"/>
          <w:sz w:val="24"/>
          <w:highlight w:val="none"/>
        </w:rPr>
      </w:pPr>
    </w:p>
    <w:p w14:paraId="130FEECB">
      <w:pPr>
        <w:spacing w:line="300" w:lineRule="auto"/>
        <w:rPr>
          <w:rFonts w:hint="eastAsia" w:ascii="宋体" w:hAnsi="宋体" w:eastAsia="宋体" w:cs="宋体"/>
          <w:b/>
          <w:bCs/>
          <w:color w:val="auto"/>
          <w:sz w:val="24"/>
          <w:highlight w:val="none"/>
        </w:rPr>
      </w:pPr>
    </w:p>
    <w:p w14:paraId="13AA4A57">
      <w:pPr>
        <w:pStyle w:val="3"/>
        <w:spacing w:line="52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第六章 合同文本</w:t>
      </w:r>
      <w:bookmarkEnd w:id="143"/>
      <w:bookmarkEnd w:id="144"/>
    </w:p>
    <w:p w14:paraId="5D041B47">
      <w:pPr>
        <w:pStyle w:val="32"/>
        <w:rPr>
          <w:rFonts w:hint="eastAsia" w:ascii="宋体" w:hAnsi="宋体" w:eastAsia="宋体" w:cs="宋体"/>
          <w:color w:val="auto"/>
          <w:sz w:val="52"/>
          <w:szCs w:val="52"/>
          <w:highlight w:val="none"/>
        </w:rPr>
      </w:pPr>
    </w:p>
    <w:p w14:paraId="6EF5830F">
      <w:pPr>
        <w:rPr>
          <w:rFonts w:hint="eastAsia" w:ascii="宋体" w:hAnsi="宋体" w:eastAsia="宋体" w:cs="宋体"/>
          <w:color w:val="auto"/>
          <w:highlight w:val="none"/>
        </w:rPr>
      </w:pPr>
    </w:p>
    <w:p w14:paraId="2AF633A0">
      <w:pPr>
        <w:pStyle w:val="30"/>
        <w:rPr>
          <w:rFonts w:hint="eastAsia" w:ascii="宋体" w:hAnsi="宋体" w:eastAsia="宋体" w:cs="宋体"/>
          <w:color w:val="auto"/>
          <w:highlight w:val="none"/>
        </w:rPr>
      </w:pPr>
    </w:p>
    <w:p w14:paraId="1CC90C2C">
      <w:pPr>
        <w:spacing w:line="360" w:lineRule="auto"/>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政府采购合同</w:t>
      </w:r>
    </w:p>
    <w:p w14:paraId="569E9AF9">
      <w:pPr>
        <w:pStyle w:val="13"/>
        <w:jc w:val="center"/>
        <w:rPr>
          <w:rFonts w:hint="eastAsia" w:ascii="宋体" w:hAnsi="宋体" w:eastAsia="宋体" w:cs="宋体"/>
          <w:color w:val="auto"/>
          <w:sz w:val="32"/>
          <w:highlight w:val="none"/>
        </w:rPr>
      </w:pPr>
    </w:p>
    <w:p w14:paraId="4552F426">
      <w:pPr>
        <w:pStyle w:val="13"/>
        <w:jc w:val="center"/>
        <w:rPr>
          <w:rFonts w:hint="eastAsia" w:ascii="宋体" w:hAnsi="宋体" w:eastAsia="宋体" w:cs="宋体"/>
          <w:color w:val="auto"/>
          <w:sz w:val="32"/>
          <w:highlight w:val="none"/>
        </w:rPr>
      </w:pPr>
    </w:p>
    <w:p w14:paraId="766C2792">
      <w:pPr>
        <w:pStyle w:val="13"/>
        <w:jc w:val="center"/>
        <w:rPr>
          <w:rFonts w:hint="eastAsia" w:ascii="宋体" w:hAnsi="宋体" w:eastAsia="宋体" w:cs="宋体"/>
          <w:color w:val="auto"/>
          <w:sz w:val="32"/>
          <w:highlight w:val="none"/>
        </w:rPr>
      </w:pPr>
    </w:p>
    <w:p w14:paraId="41394DA4">
      <w:pPr>
        <w:pStyle w:val="13"/>
        <w:ind w:firstLine="2240" w:firstLineChars="700"/>
        <w:jc w:val="left"/>
        <w:rPr>
          <w:rFonts w:hint="eastAsia" w:ascii="宋体" w:hAnsi="宋体" w:eastAsia="宋体" w:cs="宋体"/>
          <w:color w:val="auto"/>
          <w:sz w:val="32"/>
          <w:highlight w:val="none"/>
          <w:u w:val="single"/>
        </w:rPr>
      </w:pPr>
      <w:r>
        <w:rPr>
          <w:rFonts w:hint="eastAsia" w:ascii="宋体" w:hAnsi="宋体" w:eastAsia="宋体" w:cs="宋体"/>
          <w:color w:val="auto"/>
          <w:sz w:val="32"/>
          <w:highlight w:val="none"/>
        </w:rPr>
        <w:t>合同名称：</w:t>
      </w:r>
      <w:r>
        <w:rPr>
          <w:rFonts w:hint="eastAsia" w:ascii="宋体" w:hAnsi="宋体" w:eastAsia="宋体" w:cs="宋体"/>
          <w:color w:val="auto"/>
          <w:sz w:val="32"/>
          <w:highlight w:val="none"/>
          <w:u w:val="single"/>
        </w:rPr>
        <w:t>　　　　　　　　　</w:t>
      </w:r>
    </w:p>
    <w:p w14:paraId="6EFE0B18">
      <w:pPr>
        <w:pStyle w:val="13"/>
        <w:ind w:firstLine="2240" w:firstLineChars="700"/>
        <w:jc w:val="left"/>
        <w:rPr>
          <w:rFonts w:hint="eastAsia" w:ascii="宋体" w:hAnsi="宋体" w:eastAsia="宋体" w:cs="宋体"/>
          <w:color w:val="auto"/>
          <w:sz w:val="32"/>
          <w:highlight w:val="none"/>
          <w:lang w:eastAsia="zh-CN"/>
        </w:rPr>
      </w:pPr>
    </w:p>
    <w:p w14:paraId="13754359">
      <w:pPr>
        <w:pStyle w:val="13"/>
        <w:ind w:firstLine="2240" w:firstLineChars="700"/>
        <w:jc w:val="left"/>
        <w:rPr>
          <w:rFonts w:hint="eastAsia" w:ascii="宋体" w:hAnsi="宋体" w:eastAsia="宋体" w:cs="宋体"/>
          <w:color w:val="auto"/>
          <w:sz w:val="32"/>
          <w:highlight w:val="none"/>
          <w:u w:val="single"/>
          <w:lang w:val="en-US"/>
        </w:rPr>
      </w:pPr>
      <w:r>
        <w:rPr>
          <w:rFonts w:hint="eastAsia" w:ascii="宋体" w:hAnsi="宋体" w:eastAsia="宋体" w:cs="宋体"/>
          <w:color w:val="auto"/>
          <w:sz w:val="32"/>
          <w:highlight w:val="none"/>
          <w:lang w:eastAsia="zh-CN"/>
        </w:rPr>
        <w:t>项目编号</w:t>
      </w:r>
      <w:r>
        <w:rPr>
          <w:rFonts w:hint="eastAsia" w:ascii="宋体" w:hAnsi="宋体" w:eastAsia="宋体" w:cs="宋体"/>
          <w:color w:val="auto"/>
          <w:sz w:val="32"/>
          <w:highlight w:val="none"/>
          <w:u w:val="none"/>
          <w:lang w:eastAsia="zh-CN"/>
        </w:rPr>
        <w:t>：</w:t>
      </w:r>
      <w:r>
        <w:rPr>
          <w:rFonts w:hint="eastAsia" w:ascii="宋体" w:hAnsi="宋体" w:eastAsia="宋体" w:cs="宋体"/>
          <w:color w:val="auto"/>
          <w:sz w:val="32"/>
          <w:highlight w:val="none"/>
          <w:u w:val="single"/>
          <w:lang w:val="en-US" w:eastAsia="zh-CN"/>
        </w:rPr>
        <w:t xml:space="preserve">                  </w:t>
      </w:r>
    </w:p>
    <w:p w14:paraId="5F87A6DB">
      <w:pPr>
        <w:pStyle w:val="13"/>
        <w:jc w:val="left"/>
        <w:rPr>
          <w:rFonts w:hint="eastAsia" w:ascii="宋体" w:hAnsi="宋体" w:eastAsia="宋体" w:cs="宋体"/>
          <w:color w:val="auto"/>
          <w:sz w:val="32"/>
          <w:highlight w:val="none"/>
        </w:rPr>
      </w:pPr>
      <w:r>
        <w:rPr>
          <w:rFonts w:hint="eastAsia" w:ascii="宋体" w:hAnsi="宋体" w:eastAsia="宋体" w:cs="宋体"/>
          <w:color w:val="auto"/>
          <w:sz w:val="32"/>
          <w:highlight w:val="none"/>
        </w:rPr>
        <w:t xml:space="preserve"> </w:t>
      </w:r>
    </w:p>
    <w:p w14:paraId="665F53D6">
      <w:pPr>
        <w:pStyle w:val="13"/>
        <w:ind w:firstLine="2240" w:firstLineChars="700"/>
        <w:jc w:val="left"/>
        <w:rPr>
          <w:rFonts w:hint="eastAsia" w:ascii="宋体" w:hAnsi="宋体" w:eastAsia="宋体" w:cs="宋体"/>
          <w:color w:val="auto"/>
          <w:sz w:val="32"/>
          <w:highlight w:val="none"/>
        </w:rPr>
      </w:pPr>
      <w:r>
        <w:rPr>
          <w:rFonts w:hint="eastAsia" w:ascii="宋体" w:hAnsi="宋体" w:eastAsia="宋体" w:cs="宋体"/>
          <w:color w:val="auto"/>
          <w:sz w:val="32"/>
          <w:highlight w:val="none"/>
        </w:rPr>
        <w:t>签订合同地点：</w:t>
      </w:r>
      <w:r>
        <w:rPr>
          <w:rFonts w:hint="eastAsia" w:ascii="宋体" w:hAnsi="宋体" w:eastAsia="宋体" w:cs="宋体"/>
          <w:color w:val="auto"/>
          <w:sz w:val="32"/>
          <w:highlight w:val="none"/>
          <w:u w:val="single"/>
        </w:rPr>
        <w:t>　　　　　　　　</w:t>
      </w:r>
    </w:p>
    <w:p w14:paraId="1D7AF757">
      <w:pPr>
        <w:pStyle w:val="13"/>
        <w:ind w:firstLine="2240" w:firstLineChars="700"/>
        <w:jc w:val="left"/>
        <w:rPr>
          <w:rFonts w:hint="eastAsia" w:ascii="宋体" w:hAnsi="宋体" w:eastAsia="宋体" w:cs="宋体"/>
          <w:color w:val="auto"/>
          <w:sz w:val="32"/>
          <w:highlight w:val="none"/>
        </w:rPr>
      </w:pPr>
      <w:r>
        <w:rPr>
          <w:rFonts w:hint="eastAsia" w:ascii="宋体" w:hAnsi="宋体" w:eastAsia="宋体" w:cs="宋体"/>
          <w:color w:val="auto"/>
          <w:sz w:val="32"/>
          <w:highlight w:val="none"/>
        </w:rPr>
        <w:t>签订合同时间：</w:t>
      </w:r>
      <w:r>
        <w:rPr>
          <w:rFonts w:hint="eastAsia" w:ascii="宋体" w:hAnsi="宋体" w:eastAsia="宋体" w:cs="宋体"/>
          <w:color w:val="auto"/>
          <w:sz w:val="32"/>
          <w:highlight w:val="none"/>
          <w:u w:val="single"/>
        </w:rPr>
        <w:t>　　　　　　　　</w:t>
      </w:r>
    </w:p>
    <w:p w14:paraId="0ED548F7">
      <w:pPr>
        <w:pStyle w:val="13"/>
        <w:jc w:val="center"/>
        <w:rPr>
          <w:rFonts w:hint="eastAsia" w:ascii="宋体" w:hAnsi="宋体" w:eastAsia="宋体" w:cs="宋体"/>
          <w:color w:val="auto"/>
          <w:sz w:val="32"/>
          <w:highlight w:val="none"/>
        </w:rPr>
      </w:pPr>
    </w:p>
    <w:p w14:paraId="1E53D08A">
      <w:pPr>
        <w:rPr>
          <w:rFonts w:hint="eastAsia" w:ascii="宋体" w:hAnsi="宋体" w:eastAsia="宋体" w:cs="宋体"/>
          <w:color w:val="auto"/>
          <w:sz w:val="32"/>
          <w:highlight w:val="none"/>
        </w:rPr>
      </w:pPr>
    </w:p>
    <w:p w14:paraId="04A966BD">
      <w:pPr>
        <w:rPr>
          <w:rFonts w:hint="eastAsia" w:ascii="宋体" w:hAnsi="宋体" w:eastAsia="宋体" w:cs="宋体"/>
          <w:color w:val="auto"/>
          <w:sz w:val="32"/>
          <w:highlight w:val="none"/>
        </w:rPr>
      </w:pPr>
    </w:p>
    <w:p w14:paraId="7A7C7F23">
      <w:pPr>
        <w:pStyle w:val="13"/>
        <w:jc w:val="center"/>
        <w:rPr>
          <w:rFonts w:hint="eastAsia" w:ascii="宋体" w:hAnsi="宋体" w:eastAsia="宋体" w:cs="宋体"/>
          <w:color w:val="auto"/>
          <w:sz w:val="32"/>
          <w:highlight w:val="none"/>
        </w:rPr>
      </w:pPr>
    </w:p>
    <w:p w14:paraId="6CE0215D">
      <w:pPr>
        <w:pStyle w:val="13"/>
        <w:spacing w:line="36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合同使用说明：根据《中华人民共和国政府采购法》及其实施条例、《中华人民共和国民法典》等法律、法规规定，按照竞争性磋商文件规定条款和成交供应商响应文件及其承诺，甲乙双方签订本合同。</w:t>
      </w:r>
    </w:p>
    <w:p w14:paraId="51F280DF">
      <w:pPr>
        <w:spacing w:line="520" w:lineRule="exact"/>
        <w:rPr>
          <w:rFonts w:hint="eastAsia" w:ascii="宋体" w:hAnsi="宋体" w:eastAsia="宋体" w:cs="宋体"/>
          <w:bCs/>
          <w:color w:val="auto"/>
          <w:sz w:val="32"/>
          <w:szCs w:val="32"/>
          <w:highlight w:val="none"/>
        </w:rPr>
      </w:pPr>
    </w:p>
    <w:p w14:paraId="57446F61">
      <w:pPr>
        <w:spacing w:line="360" w:lineRule="auto"/>
        <w:ind w:left="-105" w:leftChars="-50" w:right="-105" w:rightChars="-50" w:firstLine="640" w:firstLineChars="200"/>
        <w:jc w:val="center"/>
        <w:rPr>
          <w:rFonts w:hint="eastAsia" w:ascii="宋体" w:hAnsi="宋体" w:eastAsia="宋体" w:cs="宋体"/>
          <w:color w:val="auto"/>
          <w:sz w:val="32"/>
          <w:szCs w:val="32"/>
          <w:highlight w:val="none"/>
        </w:rPr>
      </w:pPr>
    </w:p>
    <w:p w14:paraId="3784103F">
      <w:pPr>
        <w:spacing w:line="360" w:lineRule="auto"/>
        <w:jc w:val="center"/>
        <w:rPr>
          <w:rFonts w:hint="eastAsia" w:ascii="黑体" w:hAnsi="Courier New" w:eastAsia="黑体"/>
          <w:color w:val="auto"/>
          <w:sz w:val="30"/>
          <w:szCs w:val="30"/>
          <w:highlight w:val="none"/>
          <w:lang w:eastAsia="zh-CN"/>
        </w:rPr>
      </w:pPr>
      <w:r>
        <w:rPr>
          <w:rFonts w:hint="eastAsia" w:ascii="黑体" w:hAnsi="Courier New" w:eastAsia="黑体"/>
          <w:b/>
          <w:color w:val="auto"/>
          <w:sz w:val="30"/>
          <w:szCs w:val="30"/>
          <w:highlight w:val="none"/>
        </w:rPr>
        <w:t>政府采购合同书</w:t>
      </w:r>
      <w:r>
        <w:rPr>
          <w:rFonts w:hint="eastAsia" w:ascii="黑体" w:hAnsi="Courier New" w:eastAsia="黑体"/>
          <w:b/>
          <w:color w:val="auto"/>
          <w:sz w:val="30"/>
          <w:szCs w:val="30"/>
          <w:highlight w:val="none"/>
          <w:lang w:eastAsia="zh-CN"/>
        </w:rPr>
        <w:t>（</w:t>
      </w:r>
      <w:r>
        <w:rPr>
          <w:rFonts w:hint="eastAsia" w:ascii="黑体" w:hAnsi="Courier New" w:eastAsia="黑体"/>
          <w:b/>
          <w:color w:val="auto"/>
          <w:sz w:val="30"/>
          <w:szCs w:val="30"/>
          <w:highlight w:val="none"/>
          <w:lang w:val="en-US" w:eastAsia="zh-CN"/>
        </w:rPr>
        <w:t>参考格式</w:t>
      </w:r>
      <w:r>
        <w:rPr>
          <w:rFonts w:hint="eastAsia" w:ascii="黑体" w:hAnsi="Courier New" w:eastAsia="黑体"/>
          <w:b/>
          <w:color w:val="auto"/>
          <w:sz w:val="30"/>
          <w:szCs w:val="30"/>
          <w:highlight w:val="none"/>
          <w:lang w:eastAsia="zh-CN"/>
        </w:rPr>
        <w:t>）</w:t>
      </w:r>
    </w:p>
    <w:p w14:paraId="1FD3A1F1">
      <w:pPr>
        <w:widowControl/>
        <w:spacing w:line="960" w:lineRule="exact"/>
        <w:ind w:right="-328"/>
        <w:jc w:val="center"/>
        <w:rPr>
          <w:rFonts w:hint="eastAsia" w:ascii="宋体" w:hAnsi="宋体"/>
          <w:b/>
          <w:color w:val="auto"/>
          <w:spacing w:val="20"/>
          <w:sz w:val="32"/>
          <w:szCs w:val="32"/>
          <w:highlight w:val="none"/>
        </w:rPr>
      </w:pPr>
      <w:r>
        <w:rPr>
          <w:rFonts w:hint="eastAsia" w:ascii="宋体" w:hAnsi="宋体"/>
          <w:b/>
          <w:color w:val="auto"/>
          <w:spacing w:val="20"/>
          <w:sz w:val="32"/>
          <w:szCs w:val="32"/>
          <w:highlight w:val="none"/>
        </w:rPr>
        <w:t>合同书（格式）</w:t>
      </w:r>
    </w:p>
    <w:p w14:paraId="02F3E9E6">
      <w:pPr>
        <w:spacing w:line="360" w:lineRule="auto"/>
        <w:ind w:left="1610" w:hanging="1610" w:hangingChars="700"/>
        <w:rPr>
          <w:rFonts w:hint="eastAsia" w:ascii="宋体" w:hAnsi="宋体"/>
          <w:color w:val="auto"/>
          <w:spacing w:val="10"/>
          <w:szCs w:val="21"/>
          <w:highlight w:val="none"/>
        </w:rPr>
      </w:pPr>
    </w:p>
    <w:p w14:paraId="1BAE4D18">
      <w:pPr>
        <w:spacing w:line="276" w:lineRule="auto"/>
        <w:rPr>
          <w:rFonts w:ascii="宋体" w:hAnsi="宋体"/>
          <w:color w:val="auto"/>
          <w:highlight w:val="none"/>
        </w:rPr>
      </w:pPr>
      <w:r>
        <w:rPr>
          <w:rFonts w:ascii="宋体" w:hAnsi="宋体"/>
          <w:color w:val="auto"/>
          <w:highlight w:val="none"/>
        </w:rPr>
        <w:t>项目名称：</w:t>
      </w:r>
    </w:p>
    <w:p w14:paraId="045B1AAE">
      <w:pPr>
        <w:spacing w:line="276" w:lineRule="auto"/>
        <w:rPr>
          <w:rFonts w:ascii="宋体" w:hAnsi="宋体"/>
          <w:color w:val="auto"/>
          <w:highlight w:val="none"/>
        </w:rPr>
      </w:pPr>
      <w:r>
        <w:rPr>
          <w:rFonts w:ascii="宋体" w:hAnsi="宋体"/>
          <w:color w:val="auto"/>
          <w:highlight w:val="none"/>
        </w:rPr>
        <w:t>项目编号：</w:t>
      </w:r>
    </w:p>
    <w:p w14:paraId="5D8C2D7E">
      <w:pPr>
        <w:spacing w:line="276" w:lineRule="auto"/>
        <w:rPr>
          <w:rFonts w:ascii="宋体" w:hAnsi="宋体"/>
          <w:color w:val="auto"/>
          <w:highlight w:val="none"/>
        </w:rPr>
      </w:pPr>
      <w:r>
        <w:rPr>
          <w:rFonts w:ascii="宋体" w:hAnsi="宋体"/>
          <w:color w:val="auto"/>
          <w:highlight w:val="none"/>
        </w:rPr>
        <w:t>甲方：</w:t>
      </w:r>
      <w:r>
        <w:rPr>
          <w:rFonts w:ascii="宋体" w:hAnsi="宋体"/>
          <w:color w:val="auto"/>
          <w:highlight w:val="none"/>
          <w:u w:val="single"/>
        </w:rPr>
        <w:t xml:space="preserve">                                                      </w:t>
      </w:r>
      <w:r>
        <w:rPr>
          <w:rFonts w:ascii="宋体" w:hAnsi="宋体"/>
          <w:color w:val="auto"/>
          <w:highlight w:val="none"/>
        </w:rPr>
        <w:t>（采购人）</w:t>
      </w:r>
    </w:p>
    <w:p w14:paraId="6ED29978">
      <w:pPr>
        <w:spacing w:line="276" w:lineRule="auto"/>
        <w:rPr>
          <w:rFonts w:ascii="宋体" w:hAnsi="宋体"/>
          <w:color w:val="auto"/>
          <w:highlight w:val="none"/>
        </w:rPr>
      </w:pPr>
      <w:r>
        <w:rPr>
          <w:rFonts w:ascii="宋体" w:hAnsi="宋体"/>
          <w:color w:val="auto"/>
          <w:highlight w:val="none"/>
        </w:rPr>
        <w:t>乙方：</w:t>
      </w:r>
      <w:r>
        <w:rPr>
          <w:rFonts w:ascii="宋体" w:hAnsi="宋体"/>
          <w:color w:val="auto"/>
          <w:highlight w:val="none"/>
          <w:u w:val="single"/>
        </w:rPr>
        <w:t xml:space="preserve">                                                      </w:t>
      </w:r>
      <w:r>
        <w:rPr>
          <w:rFonts w:ascii="宋体" w:hAnsi="宋体"/>
          <w:color w:val="auto"/>
          <w:highlight w:val="none"/>
        </w:rPr>
        <w:t>（</w:t>
      </w:r>
      <w:r>
        <w:rPr>
          <w:rFonts w:hint="eastAsia" w:ascii="宋体" w:hAnsi="宋体"/>
          <w:color w:val="auto"/>
          <w:highlight w:val="none"/>
          <w:lang w:val="en-US" w:eastAsia="zh-CN"/>
        </w:rPr>
        <w:t>成交</w:t>
      </w:r>
      <w:r>
        <w:rPr>
          <w:rFonts w:hint="eastAsia" w:ascii="宋体" w:hAnsi="宋体"/>
          <w:color w:val="auto"/>
          <w:highlight w:val="none"/>
          <w:lang w:eastAsia="zh-CN"/>
        </w:rPr>
        <w:t>人</w:t>
      </w:r>
      <w:r>
        <w:rPr>
          <w:rFonts w:ascii="宋体" w:hAnsi="宋体"/>
          <w:color w:val="auto"/>
          <w:highlight w:val="none"/>
        </w:rPr>
        <w:t>）</w:t>
      </w:r>
    </w:p>
    <w:p w14:paraId="40C0AEC2">
      <w:pPr>
        <w:spacing w:line="276" w:lineRule="auto"/>
        <w:rPr>
          <w:rFonts w:ascii="宋体" w:hAnsi="宋体"/>
          <w:color w:val="auto"/>
          <w:highlight w:val="none"/>
        </w:rPr>
      </w:pPr>
    </w:p>
    <w:p w14:paraId="060AB34E">
      <w:pPr>
        <w:spacing w:line="276" w:lineRule="auto"/>
        <w:ind w:firstLine="420" w:firstLineChars="200"/>
        <w:rPr>
          <w:rFonts w:ascii="宋体" w:hAnsi="宋体"/>
          <w:color w:val="auto"/>
          <w:highlight w:val="none"/>
        </w:rPr>
      </w:pPr>
      <w:r>
        <w:rPr>
          <w:rFonts w:ascii="宋体" w:hAnsi="宋体"/>
          <w:color w:val="auto"/>
          <w:highlight w:val="none"/>
        </w:rPr>
        <w:t>根据《中华人民共和国政府采购法》、《中华人民共和国政府采购法实施条例》、《中华人民共和国合同法》等法律、法规规定，按照</w:t>
      </w:r>
      <w:r>
        <w:rPr>
          <w:rFonts w:hint="eastAsia" w:ascii="宋体" w:hAnsi="宋体"/>
          <w:color w:val="auto"/>
          <w:highlight w:val="none"/>
          <w:lang w:eastAsia="zh-CN"/>
        </w:rPr>
        <w:t>招标文件</w:t>
      </w:r>
      <w:r>
        <w:rPr>
          <w:rFonts w:ascii="宋体" w:hAnsi="宋体"/>
          <w:color w:val="auto"/>
          <w:highlight w:val="none"/>
        </w:rPr>
        <w:t>规定条款和</w:t>
      </w:r>
      <w:r>
        <w:rPr>
          <w:rFonts w:hint="eastAsia" w:ascii="宋体" w:hAnsi="宋体"/>
          <w:color w:val="auto"/>
          <w:highlight w:val="none"/>
          <w:lang w:eastAsia="zh-CN"/>
        </w:rPr>
        <w:t>中标人</w:t>
      </w:r>
      <w:r>
        <w:rPr>
          <w:rFonts w:ascii="宋体" w:hAnsi="宋体"/>
          <w:color w:val="auto"/>
          <w:highlight w:val="none"/>
        </w:rPr>
        <w:t>承诺、甲乙双方签订本采购合同。</w:t>
      </w:r>
    </w:p>
    <w:p w14:paraId="2CA70FA6">
      <w:pPr>
        <w:numPr>
          <w:ilvl w:val="0"/>
          <w:numId w:val="5"/>
        </w:numPr>
        <w:spacing w:line="276" w:lineRule="auto"/>
        <w:rPr>
          <w:rFonts w:ascii="宋体" w:hAnsi="宋体"/>
          <w:b/>
          <w:color w:val="auto"/>
          <w:szCs w:val="21"/>
          <w:highlight w:val="none"/>
        </w:rPr>
      </w:pPr>
      <w:r>
        <w:rPr>
          <w:rFonts w:ascii="宋体" w:hAnsi="宋体"/>
          <w:b/>
          <w:color w:val="auto"/>
          <w:szCs w:val="21"/>
          <w:highlight w:val="none"/>
        </w:rPr>
        <w:t>合同标的及合同金额</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808"/>
        <w:gridCol w:w="1466"/>
        <w:gridCol w:w="980"/>
        <w:gridCol w:w="1507"/>
      </w:tblGrid>
      <w:tr w14:paraId="1EB4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6" w:hRule="atLeast"/>
          <w:jc w:val="center"/>
        </w:trPr>
        <w:tc>
          <w:tcPr>
            <w:tcW w:w="677" w:type="dxa"/>
            <w:tcBorders>
              <w:bottom w:val="single" w:color="auto" w:sz="4" w:space="0"/>
            </w:tcBorders>
            <w:shd w:val="clear" w:color="auto" w:fill="auto"/>
            <w:noWrap w:val="0"/>
            <w:vAlign w:val="center"/>
          </w:tcPr>
          <w:p w14:paraId="72163A30">
            <w:pPr>
              <w:pStyle w:val="13"/>
              <w:keepNext w:val="0"/>
              <w:keepLines w:val="0"/>
              <w:suppressLineNumbers w:val="0"/>
              <w:spacing w:before="0" w:beforeAutospacing="0" w:after="0" w:afterAutospacing="0" w:line="400" w:lineRule="exact"/>
              <w:ind w:left="0" w:right="0"/>
              <w:jc w:val="center"/>
              <w:rPr>
                <w:rFonts w:hint="eastAsia" w:hAnsi="宋体"/>
                <w:color w:val="auto"/>
                <w:spacing w:val="-20"/>
                <w:szCs w:val="21"/>
                <w:highlight w:val="none"/>
              </w:rPr>
            </w:pPr>
            <w:r>
              <w:rPr>
                <w:rFonts w:hint="eastAsia" w:hAnsi="宋体"/>
                <w:color w:val="auto"/>
                <w:spacing w:val="-20"/>
                <w:szCs w:val="21"/>
                <w:highlight w:val="none"/>
              </w:rPr>
              <w:t>项号</w:t>
            </w:r>
          </w:p>
        </w:tc>
        <w:tc>
          <w:tcPr>
            <w:tcW w:w="3808" w:type="dxa"/>
            <w:tcBorders>
              <w:bottom w:val="single" w:color="auto" w:sz="4" w:space="0"/>
            </w:tcBorders>
            <w:shd w:val="clear" w:color="auto" w:fill="auto"/>
            <w:noWrap w:val="0"/>
            <w:vAlign w:val="center"/>
          </w:tcPr>
          <w:p w14:paraId="370FB1F5">
            <w:pPr>
              <w:pStyle w:val="13"/>
              <w:keepNext w:val="0"/>
              <w:keepLines w:val="0"/>
              <w:suppressLineNumbers w:val="0"/>
              <w:spacing w:before="0" w:beforeAutospacing="0" w:after="0" w:afterAutospacing="0" w:line="400" w:lineRule="exact"/>
              <w:ind w:left="0" w:right="0"/>
              <w:jc w:val="center"/>
              <w:rPr>
                <w:rFonts w:hint="default" w:hAnsi="宋体" w:eastAsia="宋体"/>
                <w:color w:val="auto"/>
                <w:spacing w:val="-20"/>
                <w:szCs w:val="21"/>
                <w:highlight w:val="none"/>
                <w:lang w:val="en-US" w:eastAsia="zh-CN"/>
              </w:rPr>
            </w:pPr>
            <w:r>
              <w:rPr>
                <w:rFonts w:hint="eastAsia" w:hAnsi="宋体"/>
                <w:color w:val="auto"/>
                <w:spacing w:val="-20"/>
                <w:szCs w:val="21"/>
                <w:highlight w:val="none"/>
                <w:lang w:val="en-US" w:eastAsia="zh-CN"/>
              </w:rPr>
              <w:t>标的名称</w:t>
            </w:r>
          </w:p>
        </w:tc>
        <w:tc>
          <w:tcPr>
            <w:tcW w:w="1466" w:type="dxa"/>
            <w:tcBorders>
              <w:bottom w:val="single" w:color="auto" w:sz="4" w:space="0"/>
            </w:tcBorders>
            <w:shd w:val="clear" w:color="auto" w:fill="FFFFFF"/>
            <w:noWrap w:val="0"/>
            <w:vAlign w:val="center"/>
          </w:tcPr>
          <w:p w14:paraId="72926DFB">
            <w:pPr>
              <w:pStyle w:val="13"/>
              <w:keepNext w:val="0"/>
              <w:keepLines w:val="0"/>
              <w:suppressLineNumbers w:val="0"/>
              <w:spacing w:before="0" w:beforeAutospacing="0" w:after="0" w:afterAutospacing="0" w:line="400" w:lineRule="exact"/>
              <w:ind w:left="0" w:right="0"/>
              <w:jc w:val="center"/>
              <w:rPr>
                <w:rFonts w:hint="eastAsia" w:hAnsi="宋体"/>
                <w:color w:val="auto"/>
                <w:szCs w:val="21"/>
                <w:highlight w:val="none"/>
              </w:rPr>
            </w:pPr>
            <w:r>
              <w:rPr>
                <w:rFonts w:hint="eastAsia" w:hAnsi="宋体"/>
                <w:bCs/>
                <w:color w:val="auto"/>
                <w:szCs w:val="21"/>
                <w:highlight w:val="none"/>
                <w:lang w:eastAsia="zh-CN"/>
              </w:rPr>
              <w:t>数量</w:t>
            </w:r>
            <w:r>
              <w:rPr>
                <w:rFonts w:hint="eastAsia" w:hAnsi="宋体"/>
                <w:color w:val="auto"/>
                <w:szCs w:val="21"/>
                <w:highlight w:val="none"/>
              </w:rPr>
              <w:t>①</w:t>
            </w:r>
          </w:p>
        </w:tc>
        <w:tc>
          <w:tcPr>
            <w:tcW w:w="980" w:type="dxa"/>
            <w:tcBorders>
              <w:bottom w:val="single" w:color="auto" w:sz="4" w:space="0"/>
            </w:tcBorders>
            <w:shd w:val="clear" w:color="auto" w:fill="FFFFFF"/>
            <w:noWrap w:val="0"/>
            <w:vAlign w:val="center"/>
          </w:tcPr>
          <w:p w14:paraId="7BA0C25F">
            <w:pPr>
              <w:pStyle w:val="13"/>
              <w:keepNext w:val="0"/>
              <w:keepLines w:val="0"/>
              <w:suppressLineNumbers w:val="0"/>
              <w:spacing w:before="0" w:beforeAutospacing="0" w:after="0" w:afterAutospacing="0" w:line="400" w:lineRule="exact"/>
              <w:ind w:left="0" w:right="0"/>
              <w:jc w:val="center"/>
              <w:rPr>
                <w:rFonts w:hint="default" w:hAnsi="宋体"/>
                <w:color w:val="auto"/>
                <w:szCs w:val="21"/>
                <w:highlight w:val="none"/>
              </w:rPr>
            </w:pPr>
            <w:r>
              <w:rPr>
                <w:rFonts w:hint="eastAsia" w:hAnsi="宋体"/>
                <w:color w:val="auto"/>
                <w:szCs w:val="21"/>
                <w:highlight w:val="none"/>
              </w:rPr>
              <w:t>单价(元)②</w:t>
            </w:r>
          </w:p>
        </w:tc>
        <w:tc>
          <w:tcPr>
            <w:tcW w:w="1507" w:type="dxa"/>
            <w:tcBorders>
              <w:bottom w:val="single" w:color="auto" w:sz="4" w:space="0"/>
            </w:tcBorders>
            <w:shd w:val="clear" w:color="auto" w:fill="FFFFFF"/>
            <w:noWrap w:val="0"/>
            <w:vAlign w:val="center"/>
          </w:tcPr>
          <w:p w14:paraId="752CC393">
            <w:pPr>
              <w:pStyle w:val="13"/>
              <w:keepNext w:val="0"/>
              <w:keepLines w:val="0"/>
              <w:suppressLineNumbers w:val="0"/>
              <w:spacing w:before="0" w:beforeAutospacing="0" w:after="0" w:afterAutospacing="0" w:line="400" w:lineRule="exact"/>
              <w:ind w:left="0" w:right="0"/>
              <w:jc w:val="center"/>
              <w:rPr>
                <w:rFonts w:hint="default" w:hAnsi="宋体"/>
                <w:color w:val="auto"/>
                <w:szCs w:val="21"/>
                <w:highlight w:val="none"/>
              </w:rPr>
            </w:pPr>
            <w:r>
              <w:rPr>
                <w:rFonts w:hint="eastAsia" w:hAnsi="宋体"/>
                <w:bCs/>
                <w:color w:val="auto"/>
                <w:szCs w:val="21"/>
                <w:highlight w:val="none"/>
              </w:rPr>
              <w:t>采购</w:t>
            </w:r>
            <w:r>
              <w:rPr>
                <w:rFonts w:hint="eastAsia" w:hAnsi="宋体"/>
                <w:color w:val="auto"/>
                <w:szCs w:val="21"/>
                <w:highlight w:val="none"/>
              </w:rPr>
              <w:t>合价（元）</w:t>
            </w:r>
          </w:p>
          <w:p w14:paraId="339212D3">
            <w:pPr>
              <w:pStyle w:val="13"/>
              <w:keepNext w:val="0"/>
              <w:keepLines w:val="0"/>
              <w:suppressLineNumbers w:val="0"/>
              <w:spacing w:before="0" w:beforeAutospacing="0" w:after="0" w:afterAutospacing="0" w:line="400" w:lineRule="exact"/>
              <w:ind w:left="0" w:right="0"/>
              <w:jc w:val="center"/>
              <w:rPr>
                <w:rFonts w:hint="default" w:hAnsi="宋体"/>
                <w:color w:val="auto"/>
                <w:szCs w:val="21"/>
                <w:highlight w:val="none"/>
              </w:rPr>
            </w:pPr>
            <w:r>
              <w:rPr>
                <w:rFonts w:hint="eastAsia" w:hAnsi="宋体"/>
                <w:color w:val="auto"/>
                <w:szCs w:val="21"/>
                <w:highlight w:val="none"/>
              </w:rPr>
              <w:t>③</w:t>
            </w:r>
            <w:r>
              <w:rPr>
                <w:rFonts w:hint="default" w:hAnsi="宋体"/>
                <w:color w:val="auto"/>
                <w:szCs w:val="21"/>
                <w:highlight w:val="none"/>
              </w:rPr>
              <w:t>=</w:t>
            </w:r>
            <w:r>
              <w:rPr>
                <w:rFonts w:hint="eastAsia" w:hAnsi="宋体"/>
                <w:color w:val="auto"/>
                <w:szCs w:val="21"/>
                <w:highlight w:val="none"/>
              </w:rPr>
              <w:t>①×②</w:t>
            </w:r>
          </w:p>
        </w:tc>
      </w:tr>
      <w:tr w14:paraId="308C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jc w:val="center"/>
        </w:trPr>
        <w:tc>
          <w:tcPr>
            <w:tcW w:w="677" w:type="dxa"/>
            <w:shd w:val="clear" w:color="auto" w:fill="auto"/>
            <w:noWrap w:val="0"/>
            <w:vAlign w:val="center"/>
          </w:tcPr>
          <w:p w14:paraId="654811D6">
            <w:pPr>
              <w:keepNext w:val="0"/>
              <w:keepLines w:val="0"/>
              <w:suppressLineNumbers w:val="0"/>
              <w:spacing w:before="0" w:beforeAutospacing="0" w:after="0" w:afterAutospacing="0" w:line="400" w:lineRule="exact"/>
              <w:ind w:left="0" w:right="0"/>
              <w:jc w:val="center"/>
              <w:rPr>
                <w:rFonts w:hint="eastAsia" w:ascii="宋体" w:hAnsi="宋体"/>
                <w:color w:val="auto"/>
                <w:szCs w:val="21"/>
                <w:highlight w:val="none"/>
              </w:rPr>
            </w:pPr>
            <w:r>
              <w:rPr>
                <w:rFonts w:hint="eastAsia" w:ascii="宋体" w:hAnsi="宋体"/>
                <w:color w:val="auto"/>
                <w:szCs w:val="21"/>
                <w:highlight w:val="none"/>
              </w:rPr>
              <w:t>1</w:t>
            </w:r>
          </w:p>
        </w:tc>
        <w:tc>
          <w:tcPr>
            <w:tcW w:w="3808" w:type="dxa"/>
            <w:shd w:val="clear" w:color="auto" w:fill="auto"/>
            <w:noWrap w:val="0"/>
            <w:vAlign w:val="center"/>
          </w:tcPr>
          <w:p w14:paraId="743274B3">
            <w:pPr>
              <w:keepNext w:val="0"/>
              <w:keepLines w:val="0"/>
              <w:suppressLineNumbers w:val="0"/>
              <w:spacing w:before="0" w:beforeAutospacing="0" w:after="0" w:afterAutospacing="0" w:line="400" w:lineRule="exact"/>
              <w:ind w:left="0" w:right="0" w:firstLine="525" w:firstLineChars="250"/>
              <w:rPr>
                <w:rFonts w:hint="eastAsia" w:ascii="宋体" w:hAnsi="宋体"/>
                <w:bCs/>
                <w:color w:val="auto"/>
                <w:szCs w:val="21"/>
                <w:highlight w:val="none"/>
              </w:rPr>
            </w:pPr>
          </w:p>
        </w:tc>
        <w:tc>
          <w:tcPr>
            <w:tcW w:w="1466" w:type="dxa"/>
            <w:shd w:val="clear" w:color="auto" w:fill="FFFFFF"/>
            <w:noWrap w:val="0"/>
            <w:vAlign w:val="center"/>
          </w:tcPr>
          <w:p w14:paraId="645597CC">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c>
          <w:tcPr>
            <w:tcW w:w="980" w:type="dxa"/>
            <w:shd w:val="clear" w:color="auto" w:fill="FFFFFF"/>
            <w:noWrap w:val="0"/>
            <w:vAlign w:val="center"/>
          </w:tcPr>
          <w:p w14:paraId="10490EB7">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c>
          <w:tcPr>
            <w:tcW w:w="1507" w:type="dxa"/>
            <w:shd w:val="clear" w:color="auto" w:fill="FFFFFF"/>
            <w:noWrap w:val="0"/>
            <w:vAlign w:val="center"/>
          </w:tcPr>
          <w:p w14:paraId="53020F27">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r>
      <w:tr w14:paraId="780E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jc w:val="center"/>
        </w:trPr>
        <w:tc>
          <w:tcPr>
            <w:tcW w:w="677" w:type="dxa"/>
            <w:shd w:val="clear" w:color="auto" w:fill="auto"/>
            <w:noWrap w:val="0"/>
            <w:vAlign w:val="center"/>
          </w:tcPr>
          <w:p w14:paraId="0521A418">
            <w:pPr>
              <w:keepNext w:val="0"/>
              <w:keepLines w:val="0"/>
              <w:suppressLineNumbers w:val="0"/>
              <w:spacing w:before="0" w:beforeAutospacing="0" w:after="0" w:afterAutospacing="0" w:line="40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3808" w:type="dxa"/>
            <w:shd w:val="clear" w:color="auto" w:fill="auto"/>
            <w:noWrap w:val="0"/>
            <w:vAlign w:val="center"/>
          </w:tcPr>
          <w:p w14:paraId="564FA2C5">
            <w:pPr>
              <w:keepNext w:val="0"/>
              <w:keepLines w:val="0"/>
              <w:suppressLineNumbers w:val="0"/>
              <w:spacing w:before="0" w:beforeAutospacing="0" w:after="0" w:afterAutospacing="0" w:line="400" w:lineRule="exact"/>
              <w:ind w:left="0" w:right="0" w:firstLine="525" w:firstLineChars="250"/>
              <w:rPr>
                <w:rFonts w:hint="eastAsia" w:ascii="宋体" w:hAnsi="宋体"/>
                <w:bCs/>
                <w:color w:val="auto"/>
                <w:szCs w:val="21"/>
                <w:highlight w:val="none"/>
              </w:rPr>
            </w:pPr>
          </w:p>
        </w:tc>
        <w:tc>
          <w:tcPr>
            <w:tcW w:w="1466" w:type="dxa"/>
            <w:shd w:val="clear" w:color="auto" w:fill="FFFFFF"/>
            <w:noWrap w:val="0"/>
            <w:vAlign w:val="center"/>
          </w:tcPr>
          <w:p w14:paraId="021A42BC">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c>
          <w:tcPr>
            <w:tcW w:w="980" w:type="dxa"/>
            <w:shd w:val="clear" w:color="auto" w:fill="FFFFFF"/>
            <w:noWrap w:val="0"/>
            <w:vAlign w:val="center"/>
          </w:tcPr>
          <w:p w14:paraId="3291BE79">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c>
          <w:tcPr>
            <w:tcW w:w="1507" w:type="dxa"/>
            <w:shd w:val="clear" w:color="auto" w:fill="FFFFFF"/>
            <w:noWrap w:val="0"/>
            <w:vAlign w:val="center"/>
          </w:tcPr>
          <w:p w14:paraId="503B32BE">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r>
      <w:tr w14:paraId="05A2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jc w:val="center"/>
        </w:trPr>
        <w:tc>
          <w:tcPr>
            <w:tcW w:w="677" w:type="dxa"/>
            <w:shd w:val="clear" w:color="auto" w:fill="auto"/>
            <w:noWrap w:val="0"/>
            <w:vAlign w:val="center"/>
          </w:tcPr>
          <w:p w14:paraId="6B4AABDE">
            <w:pPr>
              <w:keepNext w:val="0"/>
              <w:keepLines w:val="0"/>
              <w:suppressLineNumbers w:val="0"/>
              <w:spacing w:before="0" w:beforeAutospacing="0" w:after="0" w:afterAutospacing="0" w:line="40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3808" w:type="dxa"/>
            <w:shd w:val="clear" w:color="auto" w:fill="auto"/>
            <w:noWrap w:val="0"/>
            <w:vAlign w:val="center"/>
          </w:tcPr>
          <w:p w14:paraId="694864EF">
            <w:pPr>
              <w:keepNext w:val="0"/>
              <w:keepLines w:val="0"/>
              <w:suppressLineNumbers w:val="0"/>
              <w:spacing w:before="0" w:beforeAutospacing="0" w:after="0" w:afterAutospacing="0" w:line="400" w:lineRule="exact"/>
              <w:ind w:left="0" w:right="0" w:firstLine="525" w:firstLineChars="250"/>
              <w:rPr>
                <w:rFonts w:hint="eastAsia" w:ascii="宋体" w:hAnsi="宋体"/>
                <w:bCs/>
                <w:color w:val="auto"/>
                <w:szCs w:val="21"/>
                <w:highlight w:val="none"/>
              </w:rPr>
            </w:pPr>
          </w:p>
        </w:tc>
        <w:tc>
          <w:tcPr>
            <w:tcW w:w="1466" w:type="dxa"/>
            <w:shd w:val="clear" w:color="auto" w:fill="FFFFFF"/>
            <w:noWrap w:val="0"/>
            <w:vAlign w:val="center"/>
          </w:tcPr>
          <w:p w14:paraId="6FF60D51">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c>
          <w:tcPr>
            <w:tcW w:w="980" w:type="dxa"/>
            <w:shd w:val="clear" w:color="auto" w:fill="FFFFFF"/>
            <w:noWrap w:val="0"/>
            <w:vAlign w:val="center"/>
          </w:tcPr>
          <w:p w14:paraId="46593CB3">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c>
          <w:tcPr>
            <w:tcW w:w="1507" w:type="dxa"/>
            <w:shd w:val="clear" w:color="auto" w:fill="FFFFFF"/>
            <w:noWrap w:val="0"/>
            <w:vAlign w:val="center"/>
          </w:tcPr>
          <w:p w14:paraId="27D05AD0">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r>
      <w:tr w14:paraId="25BB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jc w:val="center"/>
        </w:trPr>
        <w:tc>
          <w:tcPr>
            <w:tcW w:w="677" w:type="dxa"/>
            <w:shd w:val="clear" w:color="auto" w:fill="auto"/>
            <w:noWrap w:val="0"/>
            <w:vAlign w:val="center"/>
          </w:tcPr>
          <w:p w14:paraId="664F58F0">
            <w:pPr>
              <w:keepNext w:val="0"/>
              <w:keepLines w:val="0"/>
              <w:suppressLineNumbers w:val="0"/>
              <w:spacing w:before="0" w:beforeAutospacing="0" w:after="0" w:afterAutospacing="0" w:line="40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3808" w:type="dxa"/>
            <w:shd w:val="clear" w:color="auto" w:fill="auto"/>
            <w:noWrap w:val="0"/>
            <w:vAlign w:val="center"/>
          </w:tcPr>
          <w:p w14:paraId="2872B22C">
            <w:pPr>
              <w:keepNext w:val="0"/>
              <w:keepLines w:val="0"/>
              <w:suppressLineNumbers w:val="0"/>
              <w:spacing w:before="0" w:beforeAutospacing="0" w:after="0" w:afterAutospacing="0" w:line="400" w:lineRule="exact"/>
              <w:ind w:left="0" w:right="0" w:firstLine="525" w:firstLineChars="250"/>
              <w:rPr>
                <w:rFonts w:hint="eastAsia" w:ascii="宋体" w:hAnsi="宋体"/>
                <w:bCs/>
                <w:color w:val="auto"/>
                <w:szCs w:val="21"/>
                <w:highlight w:val="none"/>
              </w:rPr>
            </w:pPr>
          </w:p>
        </w:tc>
        <w:tc>
          <w:tcPr>
            <w:tcW w:w="1466" w:type="dxa"/>
            <w:shd w:val="clear" w:color="auto" w:fill="FFFFFF"/>
            <w:noWrap w:val="0"/>
            <w:vAlign w:val="center"/>
          </w:tcPr>
          <w:p w14:paraId="4EF809C0">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c>
          <w:tcPr>
            <w:tcW w:w="980" w:type="dxa"/>
            <w:shd w:val="clear" w:color="auto" w:fill="FFFFFF"/>
            <w:noWrap w:val="0"/>
            <w:vAlign w:val="center"/>
          </w:tcPr>
          <w:p w14:paraId="0F8B32F9">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c>
          <w:tcPr>
            <w:tcW w:w="1507" w:type="dxa"/>
            <w:shd w:val="clear" w:color="auto" w:fill="FFFFFF"/>
            <w:noWrap w:val="0"/>
            <w:vAlign w:val="center"/>
          </w:tcPr>
          <w:p w14:paraId="67C5A39A">
            <w:pPr>
              <w:pStyle w:val="13"/>
              <w:keepNext w:val="0"/>
              <w:keepLines w:val="0"/>
              <w:suppressLineNumbers w:val="0"/>
              <w:spacing w:before="0" w:beforeAutospacing="0" w:after="0" w:afterAutospacing="0" w:line="400" w:lineRule="exact"/>
              <w:ind w:left="0" w:right="0"/>
              <w:jc w:val="center"/>
              <w:rPr>
                <w:rFonts w:hint="eastAsia" w:hAnsi="宋体"/>
                <w:bCs/>
                <w:color w:val="auto"/>
                <w:szCs w:val="21"/>
                <w:highlight w:val="none"/>
              </w:rPr>
            </w:pPr>
          </w:p>
        </w:tc>
      </w:tr>
      <w:tr w14:paraId="7D49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4" w:hRule="atLeast"/>
          <w:jc w:val="center"/>
        </w:trPr>
        <w:tc>
          <w:tcPr>
            <w:tcW w:w="677" w:type="dxa"/>
            <w:shd w:val="clear" w:color="auto" w:fill="auto"/>
            <w:noWrap w:val="0"/>
            <w:vAlign w:val="center"/>
          </w:tcPr>
          <w:p w14:paraId="2373C95C">
            <w:pPr>
              <w:keepNext w:val="0"/>
              <w:keepLines w:val="0"/>
              <w:suppressLineNumbers w:val="0"/>
              <w:spacing w:before="0" w:beforeAutospacing="0" w:after="0" w:afterAutospacing="0" w:line="400" w:lineRule="exact"/>
              <w:ind w:left="0" w:right="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c>
          <w:tcPr>
            <w:tcW w:w="3808" w:type="dxa"/>
            <w:shd w:val="clear" w:color="auto" w:fill="auto"/>
            <w:noWrap w:val="0"/>
            <w:vAlign w:val="center"/>
          </w:tcPr>
          <w:p w14:paraId="525EA352">
            <w:pPr>
              <w:keepNext w:val="0"/>
              <w:keepLines w:val="0"/>
              <w:suppressLineNumbers w:val="0"/>
              <w:spacing w:before="0" w:beforeAutospacing="0" w:after="0" w:afterAutospacing="0" w:line="400" w:lineRule="exact"/>
              <w:ind w:left="0" w:right="0" w:firstLine="525" w:firstLineChars="250"/>
              <w:rPr>
                <w:rFonts w:hint="default" w:ascii="宋体" w:hAnsi="宋体" w:eastAsia="宋体"/>
                <w:bCs/>
                <w:color w:val="auto"/>
                <w:szCs w:val="21"/>
                <w:highlight w:val="none"/>
                <w:lang w:val="en-US" w:eastAsia="zh-CN"/>
              </w:rPr>
            </w:pPr>
          </w:p>
        </w:tc>
        <w:tc>
          <w:tcPr>
            <w:tcW w:w="1466" w:type="dxa"/>
            <w:shd w:val="clear" w:color="auto" w:fill="FFFFFF"/>
            <w:noWrap w:val="0"/>
            <w:vAlign w:val="center"/>
          </w:tcPr>
          <w:p w14:paraId="370171F8">
            <w:pPr>
              <w:pStyle w:val="13"/>
              <w:keepNext w:val="0"/>
              <w:keepLines w:val="0"/>
              <w:suppressLineNumbers w:val="0"/>
              <w:spacing w:before="0" w:beforeAutospacing="0" w:after="0" w:afterAutospacing="0" w:line="400" w:lineRule="exact"/>
              <w:ind w:left="0" w:right="0"/>
              <w:jc w:val="center"/>
              <w:rPr>
                <w:rFonts w:hint="default" w:hAnsi="宋体" w:eastAsia="宋体"/>
                <w:bCs/>
                <w:color w:val="auto"/>
                <w:szCs w:val="21"/>
                <w:highlight w:val="none"/>
                <w:lang w:val="en-US" w:eastAsia="zh-CN"/>
              </w:rPr>
            </w:pPr>
          </w:p>
        </w:tc>
        <w:tc>
          <w:tcPr>
            <w:tcW w:w="980" w:type="dxa"/>
            <w:shd w:val="clear" w:color="auto" w:fill="FFFFFF"/>
            <w:noWrap w:val="0"/>
            <w:vAlign w:val="center"/>
          </w:tcPr>
          <w:p w14:paraId="22A8A930">
            <w:pPr>
              <w:pStyle w:val="13"/>
              <w:keepNext w:val="0"/>
              <w:keepLines w:val="0"/>
              <w:suppressLineNumbers w:val="0"/>
              <w:spacing w:before="0" w:beforeAutospacing="0" w:after="0" w:afterAutospacing="0" w:line="400" w:lineRule="exact"/>
              <w:ind w:left="0" w:right="0"/>
              <w:jc w:val="center"/>
              <w:rPr>
                <w:rFonts w:hint="default" w:hAnsi="宋体" w:eastAsia="宋体"/>
                <w:bCs/>
                <w:color w:val="auto"/>
                <w:szCs w:val="21"/>
                <w:highlight w:val="none"/>
                <w:lang w:val="en-US" w:eastAsia="zh-CN"/>
              </w:rPr>
            </w:pPr>
          </w:p>
        </w:tc>
        <w:tc>
          <w:tcPr>
            <w:tcW w:w="1507" w:type="dxa"/>
            <w:shd w:val="clear" w:color="auto" w:fill="FFFFFF"/>
            <w:noWrap w:val="0"/>
            <w:vAlign w:val="center"/>
          </w:tcPr>
          <w:p w14:paraId="2E090CF1">
            <w:pPr>
              <w:pStyle w:val="13"/>
              <w:keepNext w:val="0"/>
              <w:keepLines w:val="0"/>
              <w:suppressLineNumbers w:val="0"/>
              <w:spacing w:before="0" w:beforeAutospacing="0" w:after="0" w:afterAutospacing="0" w:line="400" w:lineRule="exact"/>
              <w:ind w:left="0" w:right="0"/>
              <w:jc w:val="center"/>
              <w:rPr>
                <w:rFonts w:hint="default" w:hAnsi="宋体" w:eastAsia="宋体"/>
                <w:bCs/>
                <w:color w:val="auto"/>
                <w:szCs w:val="21"/>
                <w:highlight w:val="none"/>
                <w:lang w:val="en-US" w:eastAsia="zh-CN"/>
              </w:rPr>
            </w:pPr>
          </w:p>
        </w:tc>
      </w:tr>
      <w:tr w14:paraId="3A16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4" w:hRule="atLeast"/>
          <w:jc w:val="center"/>
        </w:trPr>
        <w:tc>
          <w:tcPr>
            <w:tcW w:w="8438" w:type="dxa"/>
            <w:gridSpan w:val="5"/>
            <w:shd w:val="clear" w:color="auto" w:fill="auto"/>
            <w:noWrap w:val="0"/>
            <w:vAlign w:val="center"/>
          </w:tcPr>
          <w:p w14:paraId="76D603FC">
            <w:pPr>
              <w:pStyle w:val="13"/>
              <w:keepNext w:val="0"/>
              <w:keepLines w:val="0"/>
              <w:suppressLineNumbers w:val="0"/>
              <w:spacing w:before="0" w:beforeAutospacing="0" w:after="0" w:afterAutospacing="0" w:line="400" w:lineRule="exact"/>
              <w:ind w:left="0" w:right="0"/>
              <w:jc w:val="center"/>
              <w:rPr>
                <w:rFonts w:hint="default" w:hAnsi="宋体" w:eastAsia="宋体"/>
                <w:bCs/>
                <w:color w:val="auto"/>
                <w:szCs w:val="21"/>
                <w:highlight w:val="none"/>
                <w:lang w:val="en-US" w:eastAsia="zh-CN"/>
              </w:rPr>
            </w:pPr>
            <w:r>
              <w:rPr>
                <w:rFonts w:hint="eastAsia" w:hAnsi="宋体" w:eastAsia="宋体"/>
                <w:bCs/>
                <w:color w:val="auto"/>
                <w:szCs w:val="21"/>
                <w:highlight w:val="none"/>
                <w:lang w:val="en-US" w:eastAsia="zh-CN"/>
              </w:rPr>
              <w:t>总计：</w:t>
            </w:r>
            <w:r>
              <w:rPr>
                <w:rFonts w:ascii="宋体" w:hAnsi="宋体"/>
                <w:color w:val="auto"/>
                <w:szCs w:val="21"/>
                <w:highlight w:val="none"/>
              </w:rPr>
              <w:t>人民币（大写）</w:t>
            </w:r>
            <w:r>
              <w:rPr>
                <w:rFonts w:ascii="宋体" w:hAnsi="宋体"/>
                <w:color w:val="auto"/>
                <w:szCs w:val="21"/>
                <w:highlight w:val="none"/>
                <w:u w:val="single"/>
              </w:rPr>
              <w:t>　　   　　　　</w:t>
            </w:r>
            <w:r>
              <w:rPr>
                <w:rFonts w:ascii="宋体" w:hAnsi="宋体"/>
                <w:color w:val="auto"/>
                <w:szCs w:val="21"/>
                <w:highlight w:val="none"/>
              </w:rPr>
              <w:t>（￥</w:t>
            </w:r>
            <w:r>
              <w:rPr>
                <w:rFonts w:ascii="宋体" w:hAnsi="宋体"/>
                <w:color w:val="auto"/>
                <w:szCs w:val="21"/>
                <w:highlight w:val="none"/>
                <w:u w:val="single"/>
              </w:rPr>
              <w:t>　　　　</w:t>
            </w:r>
            <w:r>
              <w:rPr>
                <w:rFonts w:ascii="宋体" w:hAnsi="宋体"/>
                <w:color w:val="auto"/>
                <w:szCs w:val="21"/>
                <w:highlight w:val="none"/>
              </w:rPr>
              <w:t>元）。</w:t>
            </w:r>
          </w:p>
        </w:tc>
      </w:tr>
    </w:tbl>
    <w:p w14:paraId="0B6C9CE0">
      <w:pPr>
        <w:spacing w:line="276" w:lineRule="auto"/>
        <w:ind w:firstLine="420" w:firstLineChars="200"/>
        <w:rPr>
          <w:rFonts w:ascii="宋体" w:hAnsi="宋体"/>
          <w:color w:val="auto"/>
          <w:szCs w:val="21"/>
          <w:highlight w:val="none"/>
        </w:rPr>
      </w:pPr>
      <w:r>
        <w:rPr>
          <w:rFonts w:ascii="宋体" w:hAnsi="宋体"/>
          <w:color w:val="auto"/>
          <w:szCs w:val="21"/>
          <w:highlight w:val="none"/>
        </w:rPr>
        <w:t>根据《</w:t>
      </w:r>
      <w:r>
        <w:rPr>
          <w:rFonts w:hint="eastAsia" w:ascii="宋体" w:hAnsi="宋体"/>
          <w:color w:val="auto"/>
          <w:szCs w:val="21"/>
          <w:highlight w:val="none"/>
          <w:lang w:val="en-US" w:eastAsia="zh-CN"/>
        </w:rPr>
        <w:t>成交</w:t>
      </w:r>
      <w:r>
        <w:rPr>
          <w:rFonts w:hint="eastAsia" w:ascii="宋体" w:hAnsi="宋体"/>
          <w:color w:val="auto"/>
          <w:szCs w:val="21"/>
          <w:highlight w:val="none"/>
          <w:lang w:eastAsia="zh-CN"/>
        </w:rPr>
        <w:t>通知书</w:t>
      </w:r>
      <w:r>
        <w:rPr>
          <w:rFonts w:ascii="宋体" w:hAnsi="宋体"/>
          <w:color w:val="auto"/>
          <w:szCs w:val="21"/>
          <w:highlight w:val="none"/>
        </w:rPr>
        <w:t>》的</w:t>
      </w:r>
      <w:r>
        <w:rPr>
          <w:rFonts w:hint="eastAsia" w:ascii="宋体" w:hAnsi="宋体"/>
          <w:color w:val="auto"/>
          <w:szCs w:val="21"/>
          <w:highlight w:val="none"/>
          <w:lang w:val="en-US" w:eastAsia="zh-CN"/>
        </w:rPr>
        <w:t>成交</w:t>
      </w:r>
      <w:r>
        <w:rPr>
          <w:rFonts w:ascii="宋体" w:hAnsi="宋体"/>
          <w:color w:val="auto"/>
          <w:szCs w:val="21"/>
          <w:highlight w:val="none"/>
        </w:rPr>
        <w:t>内容，合同的总金额为：人民币（大写）</w:t>
      </w:r>
      <w:r>
        <w:rPr>
          <w:rFonts w:ascii="宋体" w:hAnsi="宋体"/>
          <w:color w:val="auto"/>
          <w:szCs w:val="21"/>
          <w:highlight w:val="none"/>
          <w:u w:val="single"/>
        </w:rPr>
        <w:t>　　   　　　　</w:t>
      </w:r>
      <w:r>
        <w:rPr>
          <w:rFonts w:ascii="宋体" w:hAnsi="宋体"/>
          <w:color w:val="auto"/>
          <w:szCs w:val="21"/>
          <w:highlight w:val="none"/>
        </w:rPr>
        <w:t>（￥</w:t>
      </w:r>
      <w:r>
        <w:rPr>
          <w:rFonts w:ascii="宋体" w:hAnsi="宋体"/>
          <w:color w:val="auto"/>
          <w:szCs w:val="21"/>
          <w:highlight w:val="none"/>
          <w:u w:val="single"/>
        </w:rPr>
        <w:t>　　　　</w:t>
      </w:r>
      <w:r>
        <w:rPr>
          <w:rFonts w:ascii="宋体" w:hAnsi="宋体"/>
          <w:color w:val="auto"/>
          <w:szCs w:val="21"/>
          <w:highlight w:val="none"/>
        </w:rPr>
        <w:t>元）。</w:t>
      </w:r>
    </w:p>
    <w:p w14:paraId="500FC368">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第二条  质量保证</w:t>
      </w:r>
    </w:p>
    <w:p w14:paraId="37B7B61F">
      <w:pPr>
        <w:spacing w:line="276" w:lineRule="auto"/>
        <w:ind w:firstLine="411" w:firstLineChars="196"/>
        <w:rPr>
          <w:rFonts w:ascii="宋体" w:hAnsi="宋体"/>
          <w:color w:val="auto"/>
          <w:szCs w:val="21"/>
          <w:highlight w:val="none"/>
        </w:rPr>
      </w:pPr>
      <w:r>
        <w:rPr>
          <w:rFonts w:ascii="宋体" w:hAnsi="宋体"/>
          <w:color w:val="auto"/>
          <w:szCs w:val="21"/>
          <w:highlight w:val="none"/>
        </w:rPr>
        <w:t>1.乙方应按</w:t>
      </w:r>
      <w:r>
        <w:rPr>
          <w:rFonts w:hint="eastAsia" w:ascii="宋体" w:hAnsi="宋体"/>
          <w:color w:val="auto"/>
          <w:szCs w:val="21"/>
          <w:highlight w:val="none"/>
          <w:lang w:eastAsia="zh-CN"/>
        </w:rPr>
        <w:t>投标</w:t>
      </w:r>
      <w:r>
        <w:rPr>
          <w:rFonts w:ascii="宋体" w:hAnsi="宋体"/>
          <w:color w:val="auto"/>
          <w:szCs w:val="21"/>
          <w:highlight w:val="none"/>
        </w:rPr>
        <w:t>文件承诺的</w:t>
      </w:r>
      <w:r>
        <w:rPr>
          <w:rFonts w:hint="eastAsia" w:ascii="宋体" w:hAnsi="宋体"/>
          <w:color w:val="auto"/>
          <w:szCs w:val="21"/>
          <w:highlight w:val="none"/>
        </w:rPr>
        <w:t>服务</w:t>
      </w:r>
      <w:r>
        <w:rPr>
          <w:rFonts w:ascii="宋体" w:hAnsi="宋体"/>
          <w:color w:val="auto"/>
          <w:szCs w:val="21"/>
          <w:highlight w:val="none"/>
        </w:rPr>
        <w:t>质量标准</w:t>
      </w:r>
      <w:r>
        <w:rPr>
          <w:rFonts w:hint="eastAsia" w:ascii="宋体" w:hAnsi="宋体"/>
          <w:color w:val="auto"/>
          <w:szCs w:val="21"/>
          <w:highlight w:val="none"/>
        </w:rPr>
        <w:t>完成服务工作</w:t>
      </w:r>
      <w:r>
        <w:rPr>
          <w:rFonts w:ascii="宋体" w:hAnsi="宋体"/>
          <w:color w:val="auto"/>
          <w:szCs w:val="21"/>
          <w:highlight w:val="none"/>
        </w:rPr>
        <w:t>。</w:t>
      </w:r>
    </w:p>
    <w:p w14:paraId="26C11A40">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第三条  权力保证</w:t>
      </w:r>
    </w:p>
    <w:p w14:paraId="72EA67A9">
      <w:pPr>
        <w:spacing w:line="276" w:lineRule="auto"/>
        <w:ind w:firstLine="411" w:firstLineChars="196"/>
        <w:rPr>
          <w:rFonts w:ascii="宋体" w:hAnsi="宋体"/>
          <w:color w:val="auto"/>
          <w:szCs w:val="21"/>
          <w:highlight w:val="none"/>
        </w:rPr>
      </w:pPr>
      <w:r>
        <w:rPr>
          <w:rFonts w:ascii="宋体" w:hAnsi="宋体"/>
          <w:color w:val="auto"/>
          <w:szCs w:val="21"/>
          <w:highlight w:val="none"/>
        </w:rPr>
        <w:t>1.乙方应保证所提供</w:t>
      </w:r>
      <w:r>
        <w:rPr>
          <w:rFonts w:hint="eastAsia" w:ascii="宋体" w:hAnsi="宋体"/>
          <w:color w:val="auto"/>
          <w:szCs w:val="21"/>
          <w:highlight w:val="none"/>
        </w:rPr>
        <w:t>服务中使用的农药成品符合国家质量标准。</w:t>
      </w:r>
    </w:p>
    <w:p w14:paraId="65A70F27">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w:t>
      </w:r>
      <w:r>
        <w:rPr>
          <w:rFonts w:hint="eastAsia" w:ascii="宋体" w:hAnsi="宋体"/>
          <w:b/>
          <w:color w:val="auto"/>
          <w:szCs w:val="21"/>
          <w:highlight w:val="none"/>
        </w:rPr>
        <w:t>四</w:t>
      </w:r>
      <w:r>
        <w:rPr>
          <w:rFonts w:ascii="宋体" w:hAnsi="宋体"/>
          <w:b/>
          <w:color w:val="auto"/>
          <w:szCs w:val="21"/>
          <w:highlight w:val="none"/>
        </w:rPr>
        <w:t xml:space="preserve">条  </w:t>
      </w:r>
      <w:r>
        <w:rPr>
          <w:rFonts w:hint="eastAsia" w:ascii="宋体" w:hAnsi="宋体"/>
          <w:b/>
          <w:color w:val="auto"/>
          <w:szCs w:val="21"/>
          <w:highlight w:val="none"/>
        </w:rPr>
        <w:t>服务期</w:t>
      </w:r>
    </w:p>
    <w:p w14:paraId="5EE8033F">
      <w:pPr>
        <w:spacing w:line="276"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服务期</w:t>
      </w:r>
      <w:r>
        <w:rPr>
          <w:rFonts w:ascii="宋体" w:hAnsi="宋体"/>
          <w:color w:val="auto"/>
          <w:szCs w:val="21"/>
          <w:highlight w:val="none"/>
        </w:rPr>
        <w:t>：</w:t>
      </w:r>
      <w:r>
        <w:rPr>
          <w:rFonts w:ascii="宋体" w:hAnsi="宋体"/>
          <w:color w:val="auto"/>
          <w:szCs w:val="21"/>
          <w:highlight w:val="none"/>
          <w:u w:val="single"/>
        </w:rPr>
        <w:t>按乙方</w:t>
      </w:r>
      <w:r>
        <w:rPr>
          <w:rFonts w:hint="eastAsia" w:ascii="宋体" w:hAnsi="宋体"/>
          <w:color w:val="auto"/>
          <w:szCs w:val="21"/>
          <w:highlight w:val="none"/>
          <w:u w:val="single"/>
          <w:lang w:val="en-US" w:eastAsia="zh-CN"/>
        </w:rPr>
        <w:t>响应</w:t>
      </w:r>
      <w:r>
        <w:rPr>
          <w:rFonts w:ascii="宋体" w:hAnsi="宋体"/>
          <w:color w:val="auto"/>
          <w:szCs w:val="21"/>
          <w:highlight w:val="none"/>
          <w:u w:val="single"/>
        </w:rPr>
        <w:t>文件中承诺且不超过采购要求的时间</w:t>
      </w:r>
      <w:r>
        <w:rPr>
          <w:rFonts w:hint="eastAsia" w:ascii="宋体" w:hAnsi="宋体"/>
          <w:color w:val="auto"/>
          <w:szCs w:val="21"/>
          <w:highlight w:val="none"/>
        </w:rPr>
        <w:t>；</w:t>
      </w:r>
    </w:p>
    <w:p w14:paraId="2A503D0B">
      <w:pPr>
        <w:spacing w:line="276" w:lineRule="auto"/>
        <w:ind w:firstLine="420" w:firstLineChars="200"/>
        <w:rPr>
          <w:rFonts w:ascii="宋体" w:hAnsi="宋体"/>
          <w:color w:val="auto"/>
          <w:szCs w:val="21"/>
          <w:highlight w:val="none"/>
        </w:rPr>
      </w:pPr>
      <w:r>
        <w:rPr>
          <w:rFonts w:ascii="宋体" w:hAnsi="宋体"/>
          <w:color w:val="auto"/>
          <w:szCs w:val="21"/>
          <w:highlight w:val="none"/>
        </w:rPr>
        <w:t>地点：</w:t>
      </w:r>
      <w:r>
        <w:rPr>
          <w:rFonts w:hint="eastAsia" w:ascii="宋体" w:hAnsi="宋体" w:eastAsia="宋体" w:cs="Times New Roman"/>
          <w:color w:val="auto"/>
          <w:szCs w:val="21"/>
          <w:highlight w:val="none"/>
          <w:u w:val="single"/>
          <w:lang w:val="en-US" w:eastAsia="en-US"/>
        </w:rPr>
        <w:t>广西贺州市（采购人指定地点）</w:t>
      </w:r>
      <w:r>
        <w:rPr>
          <w:rFonts w:ascii="宋体" w:hAnsi="宋体"/>
          <w:color w:val="auto"/>
          <w:szCs w:val="21"/>
          <w:highlight w:val="none"/>
        </w:rPr>
        <w:t>。</w:t>
      </w:r>
    </w:p>
    <w:p w14:paraId="6CC9A62A">
      <w:pPr>
        <w:spacing w:line="276" w:lineRule="auto"/>
        <w:rPr>
          <w:rFonts w:ascii="宋体" w:hAnsi="宋体"/>
          <w:color w:val="auto"/>
          <w:szCs w:val="21"/>
          <w:highlight w:val="none"/>
        </w:rPr>
      </w:pPr>
      <w:r>
        <w:rPr>
          <w:rFonts w:ascii="宋体" w:hAnsi="宋体"/>
          <w:color w:val="auto"/>
          <w:szCs w:val="21"/>
          <w:highlight w:val="none"/>
        </w:rPr>
        <w:t xml:space="preserve">    2.乙方提供</w:t>
      </w:r>
      <w:r>
        <w:rPr>
          <w:rFonts w:hint="eastAsia" w:ascii="宋体" w:hAnsi="宋体"/>
          <w:color w:val="auto"/>
          <w:szCs w:val="21"/>
          <w:highlight w:val="none"/>
        </w:rPr>
        <w:t>服务中使用的</w:t>
      </w:r>
      <w:r>
        <w:rPr>
          <w:rFonts w:hint="eastAsia" w:ascii="宋体" w:hAnsi="宋体"/>
          <w:color w:val="auto"/>
          <w:szCs w:val="21"/>
          <w:highlight w:val="none"/>
          <w:lang w:val="en-US" w:eastAsia="zh-CN"/>
        </w:rPr>
        <w:t>系统</w:t>
      </w:r>
      <w:r>
        <w:rPr>
          <w:rFonts w:hint="eastAsia" w:ascii="宋体" w:hAnsi="宋体"/>
          <w:color w:val="auto"/>
          <w:szCs w:val="21"/>
          <w:highlight w:val="none"/>
        </w:rPr>
        <w:t>及设备</w:t>
      </w:r>
      <w:r>
        <w:rPr>
          <w:rFonts w:ascii="宋体" w:hAnsi="宋体"/>
          <w:color w:val="auto"/>
          <w:szCs w:val="21"/>
          <w:highlight w:val="none"/>
        </w:rPr>
        <w:t>不符合</w:t>
      </w:r>
      <w:r>
        <w:rPr>
          <w:rFonts w:hint="eastAsia" w:ascii="宋体" w:hAnsi="宋体"/>
          <w:color w:val="auto"/>
          <w:szCs w:val="21"/>
          <w:highlight w:val="none"/>
          <w:lang w:val="en-US" w:eastAsia="zh-CN"/>
        </w:rPr>
        <w:t>磋商</w:t>
      </w:r>
      <w:r>
        <w:rPr>
          <w:rFonts w:hint="eastAsia" w:ascii="宋体" w:hAnsi="宋体"/>
          <w:color w:val="auto"/>
          <w:szCs w:val="21"/>
          <w:highlight w:val="none"/>
          <w:lang w:eastAsia="zh-CN"/>
        </w:rPr>
        <w:t>文件</w:t>
      </w:r>
      <w:r>
        <w:rPr>
          <w:rFonts w:ascii="宋体" w:hAnsi="宋体"/>
          <w:color w:val="auto"/>
          <w:szCs w:val="21"/>
          <w:highlight w:val="none"/>
        </w:rPr>
        <w:t>的，甲方有权拒绝接受。</w:t>
      </w:r>
    </w:p>
    <w:p w14:paraId="6FEB12E8">
      <w:pPr>
        <w:spacing w:line="276" w:lineRule="auto"/>
        <w:ind w:left="413"/>
        <w:rPr>
          <w:rFonts w:ascii="宋体" w:hAnsi="宋体"/>
          <w:b/>
          <w:color w:val="auto"/>
          <w:szCs w:val="21"/>
          <w:highlight w:val="none"/>
        </w:rPr>
      </w:pPr>
      <w:r>
        <w:rPr>
          <w:rFonts w:ascii="宋体" w:hAnsi="宋体"/>
          <w:b/>
          <w:color w:val="auto"/>
          <w:szCs w:val="21"/>
          <w:highlight w:val="none"/>
        </w:rPr>
        <w:t>第</w:t>
      </w:r>
      <w:r>
        <w:rPr>
          <w:rFonts w:hint="eastAsia" w:ascii="宋体" w:hAnsi="宋体"/>
          <w:b/>
          <w:color w:val="auto"/>
          <w:szCs w:val="21"/>
          <w:highlight w:val="none"/>
        </w:rPr>
        <w:t>五</w:t>
      </w:r>
      <w:r>
        <w:rPr>
          <w:rFonts w:ascii="宋体" w:hAnsi="宋体"/>
          <w:b/>
          <w:color w:val="auto"/>
          <w:szCs w:val="21"/>
          <w:highlight w:val="none"/>
        </w:rPr>
        <w:t>条  验收</w:t>
      </w:r>
    </w:p>
    <w:p w14:paraId="440B29F7">
      <w:pPr>
        <w:spacing w:line="276" w:lineRule="auto"/>
        <w:ind w:firstLine="420" w:firstLineChars="200"/>
        <w:rPr>
          <w:rFonts w:ascii="宋体" w:hAnsi="宋体"/>
          <w:color w:val="auto"/>
          <w:szCs w:val="21"/>
          <w:highlight w:val="none"/>
        </w:rPr>
      </w:pPr>
      <w:r>
        <w:rPr>
          <w:rFonts w:ascii="宋体" w:hAnsi="宋体"/>
          <w:color w:val="auto"/>
          <w:szCs w:val="21"/>
          <w:highlight w:val="none"/>
        </w:rPr>
        <w:t>1.乙方</w:t>
      </w:r>
      <w:r>
        <w:rPr>
          <w:rFonts w:hint="eastAsia" w:ascii="宋体" w:hAnsi="宋体" w:cs="宋体"/>
          <w:color w:val="auto"/>
          <w:kern w:val="0"/>
          <w:szCs w:val="21"/>
          <w:highlight w:val="none"/>
        </w:rPr>
        <w:t>在完成服务7天内，告知甲方组织有关专家进行验收</w:t>
      </w:r>
      <w:r>
        <w:rPr>
          <w:rFonts w:ascii="宋体" w:hAnsi="宋体"/>
          <w:color w:val="auto"/>
          <w:szCs w:val="21"/>
          <w:highlight w:val="none"/>
        </w:rPr>
        <w:t>。</w:t>
      </w:r>
    </w:p>
    <w:p w14:paraId="68153C01">
      <w:pPr>
        <w:spacing w:line="276" w:lineRule="auto"/>
        <w:ind w:firstLine="420" w:firstLineChars="200"/>
        <w:rPr>
          <w:rFonts w:ascii="宋体" w:hAnsi="宋体"/>
          <w:color w:val="auto"/>
          <w:szCs w:val="21"/>
          <w:highlight w:val="none"/>
        </w:rPr>
      </w:pPr>
      <w:r>
        <w:rPr>
          <w:rFonts w:ascii="宋体" w:hAnsi="宋体"/>
          <w:color w:val="auto"/>
          <w:szCs w:val="21"/>
          <w:highlight w:val="none"/>
        </w:rPr>
        <w:t>2.甲方依据</w:t>
      </w:r>
      <w:r>
        <w:rPr>
          <w:rFonts w:hint="eastAsia" w:ascii="宋体" w:hAnsi="宋体"/>
          <w:color w:val="auto"/>
          <w:szCs w:val="21"/>
          <w:highlight w:val="none"/>
          <w:lang w:val="en-US" w:eastAsia="zh-CN"/>
        </w:rPr>
        <w:t>磋商</w:t>
      </w:r>
      <w:r>
        <w:rPr>
          <w:rFonts w:hint="eastAsia" w:ascii="宋体" w:hAnsi="宋体"/>
          <w:color w:val="auto"/>
          <w:szCs w:val="21"/>
          <w:highlight w:val="none"/>
          <w:lang w:eastAsia="zh-CN"/>
        </w:rPr>
        <w:t>文件</w:t>
      </w:r>
      <w:r>
        <w:rPr>
          <w:rFonts w:ascii="宋体" w:hAnsi="宋体"/>
          <w:color w:val="auto"/>
          <w:szCs w:val="21"/>
          <w:highlight w:val="none"/>
        </w:rPr>
        <w:t>、</w:t>
      </w:r>
      <w:r>
        <w:rPr>
          <w:rFonts w:hint="eastAsia" w:ascii="宋体" w:hAnsi="宋体"/>
          <w:color w:val="auto"/>
          <w:szCs w:val="21"/>
          <w:highlight w:val="none"/>
          <w:lang w:val="en-US" w:eastAsia="zh-CN"/>
        </w:rPr>
        <w:t>响应</w:t>
      </w:r>
      <w:r>
        <w:rPr>
          <w:rFonts w:ascii="宋体" w:hAnsi="宋体"/>
          <w:color w:val="auto"/>
          <w:szCs w:val="21"/>
          <w:highlight w:val="none"/>
        </w:rPr>
        <w:t>文件的</w:t>
      </w:r>
      <w:r>
        <w:rPr>
          <w:rFonts w:hint="eastAsia" w:ascii="宋体" w:hAnsi="宋体"/>
          <w:color w:val="auto"/>
          <w:szCs w:val="21"/>
          <w:highlight w:val="none"/>
        </w:rPr>
        <w:t>采购</w:t>
      </w:r>
      <w:r>
        <w:rPr>
          <w:rFonts w:ascii="宋体" w:hAnsi="宋体"/>
          <w:color w:val="auto"/>
          <w:szCs w:val="21"/>
          <w:highlight w:val="none"/>
        </w:rPr>
        <w:t>要求及承诺和国家有关质量标准对</w:t>
      </w:r>
      <w:r>
        <w:rPr>
          <w:rFonts w:hint="eastAsia" w:ascii="宋体" w:hAnsi="宋体"/>
          <w:color w:val="auto"/>
          <w:szCs w:val="21"/>
          <w:highlight w:val="none"/>
        </w:rPr>
        <w:t>服务项目</w:t>
      </w:r>
      <w:r>
        <w:rPr>
          <w:rFonts w:ascii="宋体" w:hAnsi="宋体"/>
          <w:color w:val="auto"/>
          <w:szCs w:val="21"/>
          <w:highlight w:val="none"/>
        </w:rPr>
        <w:t>进行现场初步验收，初步验收不合格的不予签收。</w:t>
      </w:r>
      <w:r>
        <w:rPr>
          <w:rFonts w:hint="eastAsia" w:ascii="宋体" w:hAnsi="宋体"/>
          <w:color w:val="auto"/>
          <w:szCs w:val="21"/>
          <w:highlight w:val="none"/>
        </w:rPr>
        <w:t>乙方应及时采取补救措施直至验收合格</w:t>
      </w:r>
      <w:r>
        <w:rPr>
          <w:rFonts w:hint="eastAsia" w:ascii="宋体" w:hAnsi="宋体"/>
          <w:color w:val="auto"/>
          <w:szCs w:val="21"/>
          <w:highlight w:val="none"/>
          <w:lang w:eastAsia="zh-CN"/>
        </w:rPr>
        <w:t>为止</w:t>
      </w:r>
      <w:r>
        <w:rPr>
          <w:rFonts w:ascii="宋体" w:hAnsi="宋体"/>
          <w:color w:val="auto"/>
          <w:szCs w:val="21"/>
          <w:highlight w:val="none"/>
        </w:rPr>
        <w:t xml:space="preserve">。 </w:t>
      </w:r>
    </w:p>
    <w:p w14:paraId="48F445A2">
      <w:pPr>
        <w:spacing w:line="276" w:lineRule="auto"/>
        <w:ind w:left="42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.验收时乙方必须在现场，验收完毕后作出验收结果报告，验收费用由乙方负责。</w:t>
      </w:r>
    </w:p>
    <w:p w14:paraId="5C923336">
      <w:pPr>
        <w:spacing w:line="276" w:lineRule="auto"/>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.甲方对验收有异议的，在验收后五个工作日内以书面形式向乙方提出，乙方应自收到甲方书面异议后</w:t>
      </w:r>
      <w:r>
        <w:rPr>
          <w:rFonts w:hint="eastAsia" w:ascii="宋体" w:hAnsi="宋体"/>
          <w:color w:val="auto"/>
          <w:szCs w:val="21"/>
          <w:highlight w:val="none"/>
          <w:u w:val="single"/>
        </w:rPr>
        <w:t>七</w:t>
      </w:r>
      <w:r>
        <w:rPr>
          <w:rFonts w:ascii="宋体" w:hAnsi="宋体"/>
          <w:color w:val="auto"/>
          <w:szCs w:val="21"/>
          <w:highlight w:val="none"/>
        </w:rPr>
        <w:t>日内及时予以解决。</w:t>
      </w:r>
    </w:p>
    <w:p w14:paraId="36A7325A">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w:t>
      </w:r>
      <w:r>
        <w:rPr>
          <w:rFonts w:hint="eastAsia" w:ascii="宋体" w:hAnsi="宋体"/>
          <w:b/>
          <w:color w:val="auto"/>
          <w:szCs w:val="21"/>
          <w:highlight w:val="none"/>
        </w:rPr>
        <w:t>六</w:t>
      </w:r>
      <w:r>
        <w:rPr>
          <w:rFonts w:ascii="宋体" w:hAnsi="宋体"/>
          <w:b/>
          <w:color w:val="auto"/>
          <w:szCs w:val="21"/>
          <w:highlight w:val="none"/>
        </w:rPr>
        <w:t>条  售后服务</w:t>
      </w:r>
    </w:p>
    <w:p w14:paraId="5CDD8E09">
      <w:pPr>
        <w:tabs>
          <w:tab w:val="left" w:pos="0"/>
        </w:tabs>
        <w:spacing w:line="276" w:lineRule="auto"/>
        <w:ind w:firstLine="420" w:firstLineChars="200"/>
        <w:rPr>
          <w:rFonts w:ascii="宋体" w:hAnsi="宋体"/>
          <w:color w:val="auto"/>
          <w:szCs w:val="21"/>
          <w:highlight w:val="none"/>
        </w:rPr>
      </w:pPr>
      <w:r>
        <w:rPr>
          <w:rFonts w:ascii="宋体" w:hAnsi="宋体"/>
          <w:color w:val="auto"/>
          <w:szCs w:val="21"/>
          <w:highlight w:val="none"/>
        </w:rPr>
        <w:t>1.乙方应按照</w:t>
      </w:r>
      <w:r>
        <w:rPr>
          <w:rFonts w:hint="eastAsia" w:ascii="宋体" w:hAnsi="宋体"/>
          <w:color w:val="auto"/>
          <w:szCs w:val="21"/>
          <w:highlight w:val="none"/>
          <w:lang w:val="en-US" w:eastAsia="zh-CN"/>
        </w:rPr>
        <w:t>响应</w:t>
      </w:r>
      <w:r>
        <w:rPr>
          <w:rFonts w:ascii="宋体" w:hAnsi="宋体"/>
          <w:color w:val="auto"/>
          <w:szCs w:val="21"/>
          <w:highlight w:val="none"/>
        </w:rPr>
        <w:t>文件和本合同所附《服务承诺》，为甲方提供售后服务。</w:t>
      </w:r>
    </w:p>
    <w:p w14:paraId="4F32FB9D">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w:t>
      </w:r>
      <w:r>
        <w:rPr>
          <w:rFonts w:hint="eastAsia" w:ascii="宋体" w:hAnsi="宋体"/>
          <w:b/>
          <w:color w:val="auto"/>
          <w:szCs w:val="21"/>
          <w:highlight w:val="none"/>
        </w:rPr>
        <w:t>七</w:t>
      </w:r>
      <w:r>
        <w:rPr>
          <w:rFonts w:ascii="宋体" w:hAnsi="宋体"/>
          <w:b/>
          <w:color w:val="auto"/>
          <w:szCs w:val="21"/>
          <w:highlight w:val="none"/>
        </w:rPr>
        <w:t>条  税费</w:t>
      </w:r>
    </w:p>
    <w:p w14:paraId="43200753">
      <w:pPr>
        <w:spacing w:line="276" w:lineRule="auto"/>
        <w:ind w:firstLine="411" w:firstLineChars="196"/>
        <w:rPr>
          <w:rFonts w:ascii="宋体" w:hAnsi="宋体"/>
          <w:color w:val="auto"/>
          <w:szCs w:val="21"/>
          <w:highlight w:val="none"/>
        </w:rPr>
      </w:pPr>
      <w:r>
        <w:rPr>
          <w:rFonts w:ascii="宋体" w:hAnsi="宋体"/>
          <w:color w:val="auto"/>
          <w:szCs w:val="21"/>
          <w:highlight w:val="none"/>
        </w:rPr>
        <w:t>本合同执行中相关的一切税费均由乙方</w:t>
      </w:r>
      <w:r>
        <w:rPr>
          <w:rFonts w:hint="eastAsia" w:ascii="宋体" w:hAnsi="宋体"/>
          <w:color w:val="auto"/>
          <w:szCs w:val="21"/>
          <w:highlight w:val="none"/>
          <w:lang w:eastAsia="zh-CN"/>
        </w:rPr>
        <w:t>承</w:t>
      </w:r>
      <w:r>
        <w:rPr>
          <w:rFonts w:ascii="宋体" w:hAnsi="宋体"/>
          <w:color w:val="auto"/>
          <w:szCs w:val="21"/>
          <w:highlight w:val="none"/>
        </w:rPr>
        <w:t>担。</w:t>
      </w:r>
    </w:p>
    <w:p w14:paraId="7A063891">
      <w:pPr>
        <w:spacing w:line="276" w:lineRule="auto"/>
        <w:ind w:firstLine="422" w:firstLineChars="200"/>
        <w:rPr>
          <w:rFonts w:ascii="宋体" w:hAnsi="宋体"/>
          <w:b/>
          <w:color w:val="auto"/>
          <w:szCs w:val="21"/>
          <w:highlight w:val="none"/>
        </w:rPr>
      </w:pPr>
      <w:r>
        <w:rPr>
          <w:rFonts w:ascii="宋体" w:hAnsi="宋体"/>
          <w:b/>
          <w:color w:val="auto"/>
          <w:szCs w:val="21"/>
          <w:highlight w:val="none"/>
        </w:rPr>
        <w:t>第</w:t>
      </w:r>
      <w:r>
        <w:rPr>
          <w:rFonts w:hint="eastAsia" w:ascii="宋体" w:hAnsi="宋体"/>
          <w:b/>
          <w:color w:val="auto"/>
          <w:szCs w:val="21"/>
          <w:highlight w:val="none"/>
        </w:rPr>
        <w:t>八</w:t>
      </w:r>
      <w:r>
        <w:rPr>
          <w:rFonts w:ascii="宋体" w:hAnsi="宋体"/>
          <w:b/>
          <w:color w:val="auto"/>
          <w:szCs w:val="21"/>
          <w:highlight w:val="none"/>
        </w:rPr>
        <w:t>条　付款方式</w:t>
      </w:r>
    </w:p>
    <w:p w14:paraId="2AC8B7A2">
      <w:pPr>
        <w:widowControl/>
        <w:autoSpaceDE/>
        <w:autoSpaceDN/>
        <w:spacing w:line="360" w:lineRule="exact"/>
        <w:ind w:firstLine="422" w:firstLineChars="200"/>
        <w:textAlignment w:val="center"/>
        <w:rPr>
          <w:rFonts w:hint="default" w:cs="宋体" w:asciiTheme="minorEastAsia" w:hAnsiTheme="minorEastAsia" w:eastAsiaTheme="minorEastAsia"/>
          <w:b/>
          <w:bCs/>
          <w:color w:val="auto"/>
          <w:kern w:val="0"/>
          <w:sz w:val="21"/>
          <w:szCs w:val="21"/>
          <w:highlight w:val="none"/>
          <w:lang w:val="en-US" w:eastAsia="zh-CN"/>
        </w:rPr>
      </w:pPr>
      <w:r>
        <w:rPr>
          <w:rFonts w:hint="eastAsia" w:cs="宋体" w:asciiTheme="minorEastAsia" w:hAnsiTheme="minorEastAsia" w:eastAsiaTheme="minorEastAsia"/>
          <w:b/>
          <w:bCs/>
          <w:color w:val="auto"/>
          <w:kern w:val="0"/>
          <w:sz w:val="21"/>
          <w:szCs w:val="21"/>
          <w:highlight w:val="none"/>
          <w:lang w:val="zh-CN" w:eastAsia="en-US"/>
        </w:rPr>
        <w:t>本项目合同总金额</w:t>
      </w:r>
      <w:r>
        <w:rPr>
          <w:rFonts w:hint="eastAsia" w:cs="宋体" w:asciiTheme="minorEastAsia" w:hAnsiTheme="minorEastAsia" w:eastAsiaTheme="minorEastAsia"/>
          <w:b/>
          <w:bCs/>
          <w:color w:val="auto"/>
          <w:kern w:val="0"/>
          <w:sz w:val="21"/>
          <w:szCs w:val="21"/>
          <w:highlight w:val="none"/>
          <w:lang w:val="en-US" w:eastAsia="zh-CN"/>
        </w:rPr>
        <w:t>分4期付款：</w:t>
      </w:r>
    </w:p>
    <w:p w14:paraId="141BC09F">
      <w:pPr>
        <w:widowControl/>
        <w:autoSpaceDE/>
        <w:autoSpaceDN/>
        <w:spacing w:line="360" w:lineRule="exact"/>
        <w:ind w:firstLine="422" w:firstLineChars="200"/>
        <w:textAlignment w:val="center"/>
        <w:rPr>
          <w:rFonts w:cs="宋体" w:asciiTheme="minorEastAsia" w:hAnsiTheme="minorEastAsia" w:eastAsiaTheme="minorEastAsia"/>
          <w:color w:val="auto"/>
          <w:kern w:val="0"/>
          <w:sz w:val="21"/>
          <w:szCs w:val="21"/>
          <w:highlight w:val="none"/>
          <w:lang w:val="zh-CN" w:eastAsia="en-US"/>
        </w:rPr>
      </w:pPr>
      <w:r>
        <w:rPr>
          <w:rFonts w:hint="eastAsia" w:cs="宋体" w:asciiTheme="minorEastAsia" w:hAnsiTheme="minorEastAsia" w:eastAsiaTheme="minorEastAsia"/>
          <w:b/>
          <w:bCs/>
          <w:color w:val="auto"/>
          <w:kern w:val="0"/>
          <w:sz w:val="21"/>
          <w:szCs w:val="21"/>
          <w:highlight w:val="none"/>
          <w:lang w:val="zh-CN" w:eastAsia="en-US"/>
        </w:rPr>
        <w:t>1</w:t>
      </w:r>
      <w:r>
        <w:rPr>
          <w:rFonts w:hint="eastAsia" w:cs="宋体" w:asciiTheme="minorEastAsia" w:hAnsiTheme="minorEastAsia" w:eastAsiaTheme="minorEastAsia"/>
          <w:b/>
          <w:bCs/>
          <w:color w:val="auto"/>
          <w:kern w:val="0"/>
          <w:sz w:val="21"/>
          <w:szCs w:val="21"/>
          <w:highlight w:val="none"/>
          <w:lang w:val="en-US" w:eastAsia="zh-CN"/>
        </w:rPr>
        <w:t>.第1期：</w:t>
      </w:r>
      <w:r>
        <w:rPr>
          <w:rFonts w:hint="eastAsia" w:cs="宋体" w:asciiTheme="minorEastAsia" w:hAnsiTheme="minorEastAsia" w:eastAsiaTheme="minorEastAsia"/>
          <w:color w:val="auto"/>
          <w:kern w:val="0"/>
          <w:sz w:val="21"/>
          <w:szCs w:val="21"/>
          <w:highlight w:val="none"/>
          <w:lang w:val="zh-CN" w:eastAsia="en-US"/>
        </w:rPr>
        <w:t>本项目全部硬件产品送达指点地点，签收后，初步验收合格，</w:t>
      </w:r>
      <w:r>
        <w:rPr>
          <w:rFonts w:hint="eastAsia" w:cs="宋体" w:asciiTheme="minorEastAsia" w:hAnsiTheme="minorEastAsia" w:eastAsiaTheme="minorEastAsia"/>
          <w:color w:val="auto"/>
          <w:kern w:val="0"/>
          <w:sz w:val="21"/>
          <w:szCs w:val="21"/>
          <w:highlight w:val="none"/>
          <w:lang w:val="en-US" w:eastAsia="zh-CN"/>
        </w:rPr>
        <w:t>采购人收到发票后1</w:t>
      </w:r>
      <w:r>
        <w:rPr>
          <w:rFonts w:hint="eastAsia" w:cs="宋体" w:asciiTheme="minorEastAsia" w:hAnsiTheme="minorEastAsia" w:eastAsiaTheme="minorEastAsia"/>
          <w:color w:val="auto"/>
          <w:kern w:val="0"/>
          <w:sz w:val="21"/>
          <w:szCs w:val="21"/>
          <w:highlight w:val="none"/>
          <w:lang w:val="zh-CN" w:eastAsia="en-US"/>
        </w:rPr>
        <w:t>0个</w:t>
      </w:r>
      <w:r>
        <w:rPr>
          <w:rFonts w:hint="eastAsia" w:cs="宋体" w:asciiTheme="minorEastAsia" w:hAnsiTheme="minorEastAsia" w:eastAsiaTheme="minorEastAsia"/>
          <w:color w:val="auto"/>
          <w:kern w:val="0"/>
          <w:sz w:val="21"/>
          <w:szCs w:val="21"/>
          <w:highlight w:val="none"/>
          <w:lang w:val="en-US" w:eastAsia="zh-CN"/>
        </w:rPr>
        <w:t>工作日</w:t>
      </w:r>
      <w:r>
        <w:rPr>
          <w:rFonts w:hint="eastAsia" w:cs="宋体" w:asciiTheme="minorEastAsia" w:hAnsiTheme="minorEastAsia" w:eastAsiaTheme="minorEastAsia"/>
          <w:color w:val="auto"/>
          <w:kern w:val="0"/>
          <w:sz w:val="21"/>
          <w:szCs w:val="21"/>
          <w:highlight w:val="none"/>
          <w:lang w:val="zh-CN" w:eastAsia="en-US"/>
        </w:rPr>
        <w:t>内，支付成交供应商本项目合同总金额的2</w:t>
      </w:r>
      <w:r>
        <w:rPr>
          <w:rFonts w:hint="eastAsia" w:cs="宋体" w:asciiTheme="minorEastAsia" w:hAnsiTheme="minorEastAsia" w:eastAsiaTheme="minorEastAsia"/>
          <w:color w:val="auto"/>
          <w:kern w:val="0"/>
          <w:sz w:val="21"/>
          <w:szCs w:val="21"/>
          <w:highlight w:val="none"/>
          <w:lang w:val="en-US" w:eastAsia="zh-CN"/>
        </w:rPr>
        <w:t>0</w:t>
      </w:r>
      <w:r>
        <w:rPr>
          <w:rFonts w:hint="eastAsia" w:cs="宋体" w:asciiTheme="minorEastAsia" w:hAnsiTheme="minorEastAsia" w:eastAsiaTheme="minorEastAsia"/>
          <w:color w:val="auto"/>
          <w:kern w:val="0"/>
          <w:sz w:val="21"/>
          <w:szCs w:val="21"/>
          <w:highlight w:val="none"/>
          <w:lang w:val="zh-CN" w:eastAsia="en-US"/>
        </w:rPr>
        <w:t>%（含税）。</w:t>
      </w:r>
    </w:p>
    <w:p w14:paraId="43ECAE97">
      <w:pPr>
        <w:widowControl/>
        <w:autoSpaceDE/>
        <w:autoSpaceDN/>
        <w:spacing w:line="360" w:lineRule="exact"/>
        <w:ind w:firstLine="422" w:firstLineChars="200"/>
        <w:textAlignment w:val="center"/>
        <w:rPr>
          <w:rFonts w:cs="宋体" w:asciiTheme="minorEastAsia" w:hAnsiTheme="minorEastAsia" w:eastAsiaTheme="minorEastAsia"/>
          <w:color w:val="auto"/>
          <w:kern w:val="0"/>
          <w:sz w:val="21"/>
          <w:szCs w:val="21"/>
          <w:highlight w:val="none"/>
          <w:lang w:val="zh-CN" w:eastAsia="en-US"/>
        </w:rPr>
      </w:pPr>
      <w:r>
        <w:rPr>
          <w:rFonts w:hint="eastAsia" w:cs="宋体" w:asciiTheme="minorEastAsia" w:hAnsiTheme="minorEastAsia" w:eastAsiaTheme="minorEastAsia"/>
          <w:b/>
          <w:bCs/>
          <w:color w:val="auto"/>
          <w:kern w:val="0"/>
          <w:sz w:val="21"/>
          <w:szCs w:val="21"/>
          <w:highlight w:val="none"/>
          <w:lang w:val="zh-CN" w:eastAsia="en-US"/>
        </w:rPr>
        <w:t>2</w:t>
      </w:r>
      <w:r>
        <w:rPr>
          <w:rFonts w:hint="eastAsia" w:cs="宋体" w:asciiTheme="minorEastAsia" w:hAnsiTheme="minorEastAsia" w:eastAsiaTheme="minorEastAsia"/>
          <w:b/>
          <w:bCs/>
          <w:color w:val="auto"/>
          <w:kern w:val="0"/>
          <w:sz w:val="21"/>
          <w:szCs w:val="21"/>
          <w:highlight w:val="none"/>
          <w:lang w:val="en-US" w:eastAsia="zh-CN"/>
        </w:rPr>
        <w:t>.第2期：</w:t>
      </w:r>
      <w:r>
        <w:rPr>
          <w:rFonts w:hint="eastAsia" w:cs="宋体" w:asciiTheme="minorEastAsia" w:hAnsiTheme="minorEastAsia" w:eastAsiaTheme="minorEastAsia"/>
          <w:color w:val="auto"/>
          <w:kern w:val="0"/>
          <w:sz w:val="21"/>
          <w:szCs w:val="21"/>
          <w:highlight w:val="none"/>
          <w:lang w:val="zh-CN" w:eastAsia="en-US"/>
        </w:rPr>
        <w:t>本项目软硬件系统全部实施完成，稳定运行1个月以上，</w:t>
      </w:r>
      <w:r>
        <w:rPr>
          <w:rFonts w:hint="eastAsia" w:cs="宋体" w:asciiTheme="minorEastAsia" w:hAnsiTheme="minorEastAsia" w:eastAsiaTheme="minorEastAsia"/>
          <w:color w:val="auto"/>
          <w:kern w:val="0"/>
          <w:sz w:val="21"/>
          <w:szCs w:val="21"/>
          <w:highlight w:val="none"/>
          <w:lang w:val="en-US" w:eastAsia="zh-CN"/>
        </w:rPr>
        <w:t>采购人收到发票后1</w:t>
      </w:r>
      <w:r>
        <w:rPr>
          <w:rFonts w:hint="eastAsia" w:cs="宋体" w:asciiTheme="minorEastAsia" w:hAnsiTheme="minorEastAsia" w:eastAsiaTheme="minorEastAsia"/>
          <w:color w:val="auto"/>
          <w:kern w:val="0"/>
          <w:sz w:val="21"/>
          <w:szCs w:val="21"/>
          <w:highlight w:val="none"/>
          <w:lang w:val="zh-CN" w:eastAsia="en-US"/>
        </w:rPr>
        <w:t>0个</w:t>
      </w:r>
      <w:r>
        <w:rPr>
          <w:rFonts w:hint="eastAsia" w:cs="宋体" w:asciiTheme="minorEastAsia" w:hAnsiTheme="minorEastAsia" w:eastAsiaTheme="minorEastAsia"/>
          <w:color w:val="auto"/>
          <w:kern w:val="0"/>
          <w:sz w:val="21"/>
          <w:szCs w:val="21"/>
          <w:highlight w:val="none"/>
          <w:lang w:val="en-US" w:eastAsia="zh-CN"/>
        </w:rPr>
        <w:t>工作日</w:t>
      </w:r>
      <w:r>
        <w:rPr>
          <w:rFonts w:hint="eastAsia" w:cs="宋体" w:asciiTheme="minorEastAsia" w:hAnsiTheme="minorEastAsia" w:eastAsiaTheme="minorEastAsia"/>
          <w:color w:val="auto"/>
          <w:kern w:val="0"/>
          <w:sz w:val="21"/>
          <w:szCs w:val="21"/>
          <w:highlight w:val="none"/>
          <w:lang w:val="zh-CN" w:eastAsia="en-US"/>
        </w:rPr>
        <w:t>内，支付成交供应商本项目合同总金额的</w:t>
      </w:r>
      <w:r>
        <w:rPr>
          <w:rFonts w:hint="eastAsia" w:cs="宋体" w:asciiTheme="minorEastAsia" w:hAnsiTheme="minorEastAsia" w:eastAsiaTheme="minorEastAsia"/>
          <w:color w:val="auto"/>
          <w:kern w:val="0"/>
          <w:sz w:val="21"/>
          <w:szCs w:val="21"/>
          <w:highlight w:val="none"/>
          <w:lang w:val="en-US" w:eastAsia="zh-CN"/>
        </w:rPr>
        <w:t>20</w:t>
      </w:r>
      <w:r>
        <w:rPr>
          <w:rFonts w:hint="eastAsia" w:cs="宋体" w:asciiTheme="minorEastAsia" w:hAnsiTheme="minorEastAsia" w:eastAsiaTheme="minorEastAsia"/>
          <w:color w:val="auto"/>
          <w:kern w:val="0"/>
          <w:sz w:val="21"/>
          <w:szCs w:val="21"/>
          <w:highlight w:val="none"/>
          <w:lang w:val="zh-CN" w:eastAsia="en-US"/>
        </w:rPr>
        <w:t>%（含税）</w:t>
      </w:r>
      <w:r>
        <w:rPr>
          <w:rFonts w:hint="eastAsia" w:cs="宋体" w:asciiTheme="minorEastAsia" w:hAnsiTheme="minorEastAsia" w:eastAsiaTheme="minorEastAsia"/>
          <w:color w:val="auto"/>
          <w:kern w:val="0"/>
          <w:sz w:val="21"/>
          <w:szCs w:val="21"/>
          <w:highlight w:val="none"/>
          <w:lang w:eastAsia="en-US"/>
        </w:rPr>
        <w:t>（不计利息）</w:t>
      </w:r>
      <w:r>
        <w:rPr>
          <w:rFonts w:hint="eastAsia" w:cs="宋体" w:asciiTheme="minorEastAsia" w:hAnsiTheme="minorEastAsia" w:eastAsiaTheme="minorEastAsia"/>
          <w:color w:val="auto"/>
          <w:kern w:val="0"/>
          <w:sz w:val="21"/>
          <w:szCs w:val="21"/>
          <w:highlight w:val="none"/>
          <w:lang w:val="zh-CN" w:eastAsia="en-US"/>
        </w:rPr>
        <w:t>。</w:t>
      </w:r>
    </w:p>
    <w:p w14:paraId="63C856D5">
      <w:pPr>
        <w:widowControl/>
        <w:autoSpaceDE/>
        <w:autoSpaceDN/>
        <w:spacing w:line="360" w:lineRule="exact"/>
        <w:ind w:firstLine="422" w:firstLineChars="200"/>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b/>
          <w:bCs/>
          <w:color w:val="auto"/>
          <w:kern w:val="0"/>
          <w:sz w:val="21"/>
          <w:szCs w:val="21"/>
          <w:highlight w:val="none"/>
          <w:lang w:eastAsia="en-US"/>
        </w:rPr>
        <w:t>3.</w:t>
      </w:r>
      <w:r>
        <w:rPr>
          <w:rFonts w:hint="eastAsia" w:cs="宋体" w:asciiTheme="minorEastAsia" w:hAnsiTheme="minorEastAsia" w:eastAsiaTheme="minorEastAsia"/>
          <w:b/>
          <w:bCs/>
          <w:color w:val="auto"/>
          <w:kern w:val="0"/>
          <w:sz w:val="21"/>
          <w:szCs w:val="21"/>
          <w:highlight w:val="none"/>
          <w:lang w:val="en-US" w:eastAsia="zh-CN"/>
        </w:rPr>
        <w:t>第3期：</w:t>
      </w:r>
      <w:r>
        <w:rPr>
          <w:rFonts w:hint="eastAsia" w:cs="宋体" w:asciiTheme="minorEastAsia" w:hAnsiTheme="minorEastAsia" w:eastAsiaTheme="minorEastAsia"/>
          <w:color w:val="auto"/>
          <w:kern w:val="0"/>
          <w:sz w:val="21"/>
          <w:szCs w:val="21"/>
          <w:highlight w:val="none"/>
          <w:lang w:eastAsia="en-US"/>
        </w:rPr>
        <w:t>具有测评资质的单位对贺州市妇幼保健医院</w:t>
      </w:r>
      <w:r>
        <w:rPr>
          <w:rFonts w:hint="eastAsia" w:cs="宋体" w:asciiTheme="minorEastAsia" w:hAnsiTheme="minorEastAsia" w:eastAsiaTheme="minorEastAsia"/>
          <w:color w:val="auto"/>
          <w:kern w:val="0"/>
          <w:sz w:val="21"/>
          <w:szCs w:val="21"/>
          <w:highlight w:val="none"/>
          <w:lang w:val="en-US" w:eastAsia="zh-CN"/>
        </w:rPr>
        <w:t>智慧医院</w:t>
      </w:r>
      <w:r>
        <w:rPr>
          <w:rFonts w:hint="eastAsia" w:cs="宋体" w:asciiTheme="minorEastAsia" w:hAnsiTheme="minorEastAsia" w:eastAsiaTheme="minorEastAsia"/>
          <w:color w:val="auto"/>
          <w:kern w:val="0"/>
          <w:sz w:val="21"/>
          <w:szCs w:val="21"/>
          <w:highlight w:val="none"/>
          <w:lang w:eastAsia="en-US"/>
        </w:rPr>
        <w:t>信息系统进行</w:t>
      </w:r>
      <w:r>
        <w:rPr>
          <w:rFonts w:hint="eastAsia" w:asciiTheme="minorEastAsia" w:hAnsiTheme="minorEastAsia" w:eastAsiaTheme="minorEastAsia" w:cstheme="majorEastAsia"/>
          <w:color w:val="auto"/>
          <w:szCs w:val="21"/>
          <w:highlight w:val="none"/>
          <w:lang w:val="en-US" w:eastAsia="zh-CN"/>
        </w:rPr>
        <w:t>商用密码应用安全性评估</w:t>
      </w:r>
      <w:r>
        <w:rPr>
          <w:rFonts w:hint="eastAsia" w:cs="宋体" w:asciiTheme="minorEastAsia" w:hAnsiTheme="minorEastAsia" w:eastAsiaTheme="minorEastAsia"/>
          <w:color w:val="auto"/>
          <w:kern w:val="0"/>
          <w:sz w:val="21"/>
          <w:szCs w:val="21"/>
          <w:highlight w:val="none"/>
          <w:lang w:eastAsia="en-US"/>
        </w:rPr>
        <w:t>，</w:t>
      </w:r>
      <w:r>
        <w:rPr>
          <w:rFonts w:hint="eastAsia" w:cs="宋体" w:asciiTheme="minorEastAsia" w:hAnsiTheme="minorEastAsia" w:eastAsiaTheme="minorEastAsia"/>
          <w:color w:val="auto"/>
          <w:kern w:val="0"/>
          <w:sz w:val="21"/>
          <w:szCs w:val="21"/>
          <w:highlight w:val="none"/>
          <w:lang w:val="en-US" w:eastAsia="zh-CN"/>
        </w:rPr>
        <w:t>密评合格</w:t>
      </w:r>
      <w:r>
        <w:rPr>
          <w:rFonts w:hint="eastAsia" w:cs="宋体" w:asciiTheme="minorEastAsia" w:hAnsiTheme="minorEastAsia" w:eastAsiaTheme="minorEastAsia"/>
          <w:color w:val="auto"/>
          <w:kern w:val="0"/>
          <w:sz w:val="21"/>
          <w:szCs w:val="21"/>
          <w:highlight w:val="none"/>
          <w:lang w:eastAsia="en-US"/>
        </w:rPr>
        <w:t>，取得正式测评报告</w:t>
      </w:r>
      <w:r>
        <w:rPr>
          <w:rFonts w:hint="eastAsia" w:cs="宋体" w:asciiTheme="minorEastAsia" w:hAnsiTheme="minorEastAsia" w:eastAsiaTheme="minorEastAsia"/>
          <w:color w:val="auto"/>
          <w:kern w:val="0"/>
          <w:sz w:val="21"/>
          <w:szCs w:val="21"/>
          <w:highlight w:val="none"/>
          <w:lang w:val="en-US" w:eastAsia="zh-CN"/>
        </w:rPr>
        <w:t>和相关部门出具的《</w:t>
      </w:r>
      <w:r>
        <w:rPr>
          <w:rFonts w:hint="eastAsia" w:asciiTheme="minorEastAsia" w:hAnsiTheme="minorEastAsia" w:eastAsiaTheme="minorEastAsia" w:cstheme="majorEastAsia"/>
          <w:color w:val="auto"/>
          <w:szCs w:val="21"/>
          <w:highlight w:val="none"/>
          <w:lang w:val="en-US" w:eastAsia="zh-CN"/>
        </w:rPr>
        <w:t>商用密码应用安全性评估结果备案证明》</w:t>
      </w:r>
      <w:r>
        <w:rPr>
          <w:rFonts w:hint="eastAsia" w:cs="宋体" w:asciiTheme="minorEastAsia" w:hAnsiTheme="minorEastAsia" w:eastAsiaTheme="minorEastAsia"/>
          <w:color w:val="auto"/>
          <w:kern w:val="0"/>
          <w:sz w:val="21"/>
          <w:szCs w:val="21"/>
          <w:highlight w:val="none"/>
          <w:lang w:eastAsia="zh-CN"/>
        </w:rPr>
        <w:t>或同等效力的备案证明文件</w:t>
      </w:r>
      <w:r>
        <w:rPr>
          <w:rFonts w:hint="eastAsia" w:cs="宋体" w:asciiTheme="minorEastAsia" w:hAnsiTheme="minorEastAsia" w:eastAsiaTheme="minorEastAsia"/>
          <w:color w:val="auto"/>
          <w:kern w:val="0"/>
          <w:sz w:val="21"/>
          <w:szCs w:val="21"/>
          <w:highlight w:val="none"/>
          <w:lang w:eastAsia="en-US"/>
        </w:rPr>
        <w:t>30天内进行项目整体验收，整体验收合格</w:t>
      </w:r>
      <w:r>
        <w:rPr>
          <w:rFonts w:hint="eastAsia" w:cs="宋体" w:asciiTheme="minorEastAsia" w:hAnsiTheme="minorEastAsia" w:eastAsiaTheme="minorEastAsia"/>
          <w:color w:val="auto"/>
          <w:kern w:val="0"/>
          <w:sz w:val="21"/>
          <w:szCs w:val="21"/>
          <w:highlight w:val="none"/>
          <w:lang w:val="en-US" w:eastAsia="zh-CN"/>
        </w:rPr>
        <w:t>后，采购人收到发票后1</w:t>
      </w:r>
      <w:r>
        <w:rPr>
          <w:rFonts w:hint="eastAsia" w:cs="宋体" w:asciiTheme="minorEastAsia" w:hAnsiTheme="minorEastAsia" w:eastAsiaTheme="minorEastAsia"/>
          <w:color w:val="auto"/>
          <w:kern w:val="0"/>
          <w:sz w:val="21"/>
          <w:szCs w:val="21"/>
          <w:highlight w:val="none"/>
          <w:lang w:val="zh-CN" w:eastAsia="en-US"/>
        </w:rPr>
        <w:t>0个</w:t>
      </w:r>
      <w:r>
        <w:rPr>
          <w:rFonts w:hint="eastAsia" w:cs="宋体" w:asciiTheme="minorEastAsia" w:hAnsiTheme="minorEastAsia" w:eastAsiaTheme="minorEastAsia"/>
          <w:color w:val="auto"/>
          <w:kern w:val="0"/>
          <w:sz w:val="21"/>
          <w:szCs w:val="21"/>
          <w:highlight w:val="none"/>
          <w:lang w:val="en-US" w:eastAsia="zh-CN"/>
        </w:rPr>
        <w:t>工作日</w:t>
      </w:r>
      <w:r>
        <w:rPr>
          <w:rFonts w:hint="eastAsia" w:cs="宋体" w:asciiTheme="minorEastAsia" w:hAnsiTheme="minorEastAsia" w:eastAsiaTheme="minorEastAsia"/>
          <w:color w:val="auto"/>
          <w:kern w:val="0"/>
          <w:sz w:val="21"/>
          <w:szCs w:val="21"/>
          <w:highlight w:val="none"/>
          <w:lang w:val="zh-CN" w:eastAsia="en-US"/>
        </w:rPr>
        <w:t>内</w:t>
      </w:r>
      <w:r>
        <w:rPr>
          <w:rFonts w:hint="eastAsia" w:cs="宋体" w:asciiTheme="minorEastAsia" w:hAnsiTheme="minorEastAsia" w:eastAsiaTheme="minorEastAsia"/>
          <w:color w:val="auto"/>
          <w:kern w:val="0"/>
          <w:sz w:val="21"/>
          <w:szCs w:val="21"/>
          <w:highlight w:val="none"/>
          <w:lang w:eastAsia="en-US"/>
        </w:rPr>
        <w:t>，支付乙方本项目合同总金额的</w:t>
      </w:r>
      <w:r>
        <w:rPr>
          <w:rFonts w:hint="eastAsia" w:cs="宋体" w:asciiTheme="minorEastAsia" w:hAnsiTheme="minorEastAsia" w:eastAsiaTheme="minorEastAsia"/>
          <w:color w:val="auto"/>
          <w:kern w:val="0"/>
          <w:sz w:val="21"/>
          <w:szCs w:val="21"/>
          <w:highlight w:val="none"/>
          <w:lang w:val="en-US" w:eastAsia="zh-CN"/>
        </w:rPr>
        <w:t>30</w:t>
      </w:r>
      <w:r>
        <w:rPr>
          <w:rFonts w:hint="eastAsia" w:cs="宋体" w:asciiTheme="minorEastAsia" w:hAnsiTheme="minorEastAsia" w:eastAsiaTheme="minorEastAsia"/>
          <w:color w:val="auto"/>
          <w:kern w:val="0"/>
          <w:sz w:val="21"/>
          <w:szCs w:val="21"/>
          <w:highlight w:val="none"/>
          <w:lang w:eastAsia="en-US"/>
        </w:rPr>
        <w:t>%（含税）（不计利息）</w:t>
      </w:r>
      <w:r>
        <w:rPr>
          <w:rFonts w:hint="eastAsia" w:cs="宋体" w:asciiTheme="minorEastAsia" w:hAnsiTheme="minorEastAsia" w:eastAsiaTheme="minorEastAsia"/>
          <w:color w:val="auto"/>
          <w:kern w:val="0"/>
          <w:sz w:val="21"/>
          <w:szCs w:val="21"/>
          <w:highlight w:val="none"/>
          <w:lang w:eastAsia="zh-CN"/>
        </w:rPr>
        <w:t>。</w:t>
      </w:r>
    </w:p>
    <w:p w14:paraId="38D220FE">
      <w:pPr>
        <w:widowControl/>
        <w:autoSpaceDE/>
        <w:autoSpaceDN/>
        <w:spacing w:line="360" w:lineRule="exact"/>
        <w:ind w:firstLine="422" w:firstLineChars="200"/>
        <w:textAlignment w:val="center"/>
        <w:rPr>
          <w:rFonts w:hint="eastAsia" w:cs="宋体" w:asciiTheme="minorEastAsia" w:hAnsiTheme="minorEastAsia" w:eastAsiaTheme="minorEastAsia"/>
          <w:color w:val="auto"/>
          <w:kern w:val="0"/>
          <w:sz w:val="21"/>
          <w:szCs w:val="21"/>
          <w:highlight w:val="none"/>
          <w:lang w:eastAsia="zh-CN"/>
        </w:rPr>
      </w:pPr>
      <w:r>
        <w:rPr>
          <w:rFonts w:hint="eastAsia" w:cs="宋体" w:asciiTheme="minorEastAsia" w:hAnsiTheme="minorEastAsia" w:eastAsiaTheme="minorEastAsia"/>
          <w:b/>
          <w:bCs/>
          <w:color w:val="auto"/>
          <w:kern w:val="0"/>
          <w:sz w:val="21"/>
          <w:szCs w:val="21"/>
          <w:highlight w:val="none"/>
          <w:lang w:val="zh-CN" w:eastAsia="en-US"/>
        </w:rPr>
        <w:t>4</w:t>
      </w:r>
      <w:r>
        <w:rPr>
          <w:rFonts w:hint="eastAsia" w:cs="宋体" w:asciiTheme="minorEastAsia" w:hAnsiTheme="minorEastAsia" w:eastAsiaTheme="minorEastAsia"/>
          <w:b/>
          <w:bCs/>
          <w:color w:val="auto"/>
          <w:kern w:val="0"/>
          <w:sz w:val="21"/>
          <w:szCs w:val="21"/>
          <w:highlight w:val="none"/>
          <w:lang w:val="en-US" w:eastAsia="zh-CN"/>
        </w:rPr>
        <w:t>.第4期：</w:t>
      </w:r>
      <w:r>
        <w:rPr>
          <w:rFonts w:hint="eastAsia" w:cs="宋体" w:asciiTheme="minorEastAsia" w:hAnsiTheme="minorEastAsia" w:eastAsiaTheme="minorEastAsia"/>
          <w:color w:val="auto"/>
          <w:kern w:val="0"/>
          <w:sz w:val="21"/>
          <w:szCs w:val="21"/>
          <w:highlight w:val="none"/>
          <w:lang w:val="zh-CN" w:eastAsia="en-US"/>
        </w:rPr>
        <w:t>整体验收合格满</w:t>
      </w:r>
      <w:r>
        <w:rPr>
          <w:rFonts w:hint="eastAsia" w:cs="宋体" w:asciiTheme="minorEastAsia" w:hAnsiTheme="minorEastAsia" w:eastAsiaTheme="minorEastAsia"/>
          <w:color w:val="auto"/>
          <w:kern w:val="0"/>
          <w:sz w:val="21"/>
          <w:szCs w:val="21"/>
          <w:highlight w:val="none"/>
          <w:lang w:val="en-US" w:eastAsia="zh-CN"/>
        </w:rPr>
        <w:t>1</w:t>
      </w:r>
      <w:r>
        <w:rPr>
          <w:rFonts w:hint="eastAsia" w:cs="宋体" w:asciiTheme="minorEastAsia" w:hAnsiTheme="minorEastAsia" w:eastAsiaTheme="minorEastAsia"/>
          <w:color w:val="auto"/>
          <w:kern w:val="0"/>
          <w:sz w:val="21"/>
          <w:szCs w:val="21"/>
          <w:highlight w:val="none"/>
          <w:lang w:val="zh-CN" w:eastAsia="en-US"/>
        </w:rPr>
        <w:t>年后，</w:t>
      </w:r>
      <w:r>
        <w:rPr>
          <w:rFonts w:hint="eastAsia" w:cs="宋体" w:asciiTheme="minorEastAsia" w:hAnsiTheme="minorEastAsia" w:eastAsiaTheme="minorEastAsia"/>
          <w:color w:val="auto"/>
          <w:kern w:val="0"/>
          <w:sz w:val="21"/>
          <w:szCs w:val="21"/>
          <w:highlight w:val="none"/>
          <w:lang w:val="en-US" w:eastAsia="zh-CN"/>
        </w:rPr>
        <w:t>采购人收到发票后1</w:t>
      </w:r>
      <w:r>
        <w:rPr>
          <w:rFonts w:hint="eastAsia" w:cs="宋体" w:asciiTheme="minorEastAsia" w:hAnsiTheme="minorEastAsia" w:eastAsiaTheme="minorEastAsia"/>
          <w:color w:val="auto"/>
          <w:kern w:val="0"/>
          <w:sz w:val="21"/>
          <w:szCs w:val="21"/>
          <w:highlight w:val="none"/>
          <w:lang w:val="zh-CN" w:eastAsia="en-US"/>
        </w:rPr>
        <w:t>0个</w:t>
      </w:r>
      <w:r>
        <w:rPr>
          <w:rFonts w:hint="eastAsia" w:cs="宋体" w:asciiTheme="minorEastAsia" w:hAnsiTheme="minorEastAsia" w:eastAsiaTheme="minorEastAsia"/>
          <w:color w:val="auto"/>
          <w:kern w:val="0"/>
          <w:sz w:val="21"/>
          <w:szCs w:val="21"/>
          <w:highlight w:val="none"/>
          <w:lang w:val="en-US" w:eastAsia="zh-CN"/>
        </w:rPr>
        <w:t>工作日</w:t>
      </w:r>
      <w:r>
        <w:rPr>
          <w:rFonts w:hint="eastAsia" w:cs="宋体" w:asciiTheme="minorEastAsia" w:hAnsiTheme="minorEastAsia" w:eastAsiaTheme="minorEastAsia"/>
          <w:color w:val="auto"/>
          <w:kern w:val="0"/>
          <w:sz w:val="21"/>
          <w:szCs w:val="21"/>
          <w:highlight w:val="none"/>
          <w:lang w:val="zh-CN" w:eastAsia="en-US"/>
        </w:rPr>
        <w:t>内，</w:t>
      </w:r>
      <w:r>
        <w:rPr>
          <w:rFonts w:hint="eastAsia" w:cs="宋体" w:asciiTheme="minorEastAsia" w:hAnsiTheme="minorEastAsia" w:eastAsiaTheme="minorEastAsia"/>
          <w:color w:val="auto"/>
          <w:kern w:val="0"/>
          <w:sz w:val="21"/>
          <w:szCs w:val="21"/>
          <w:highlight w:val="none"/>
          <w:lang w:eastAsia="en-US"/>
        </w:rPr>
        <w:t>支付乙方本项目合同总金额的</w:t>
      </w:r>
      <w:r>
        <w:rPr>
          <w:rFonts w:hint="eastAsia" w:cs="宋体" w:asciiTheme="minorEastAsia" w:hAnsiTheme="minorEastAsia" w:eastAsiaTheme="minorEastAsia"/>
          <w:color w:val="auto"/>
          <w:kern w:val="0"/>
          <w:sz w:val="21"/>
          <w:szCs w:val="21"/>
          <w:highlight w:val="none"/>
          <w:lang w:val="en-US" w:eastAsia="zh-CN"/>
        </w:rPr>
        <w:t>30</w:t>
      </w:r>
      <w:r>
        <w:rPr>
          <w:rFonts w:hint="eastAsia" w:cs="宋体" w:asciiTheme="minorEastAsia" w:hAnsiTheme="minorEastAsia" w:eastAsiaTheme="minorEastAsia"/>
          <w:color w:val="auto"/>
          <w:kern w:val="0"/>
          <w:sz w:val="21"/>
          <w:szCs w:val="21"/>
          <w:highlight w:val="none"/>
          <w:lang w:eastAsia="en-US"/>
        </w:rPr>
        <w:t>%（含税）（不计利息）</w:t>
      </w:r>
      <w:r>
        <w:rPr>
          <w:rFonts w:hint="eastAsia" w:cs="宋体" w:asciiTheme="minorEastAsia" w:hAnsiTheme="minorEastAsia" w:eastAsiaTheme="minorEastAsia"/>
          <w:color w:val="auto"/>
          <w:kern w:val="0"/>
          <w:sz w:val="21"/>
          <w:szCs w:val="21"/>
          <w:highlight w:val="none"/>
          <w:lang w:eastAsia="zh-CN"/>
        </w:rPr>
        <w:t>。</w:t>
      </w:r>
    </w:p>
    <w:p w14:paraId="329CA2A9">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w:t>
      </w:r>
      <w:r>
        <w:rPr>
          <w:rFonts w:hint="eastAsia" w:ascii="宋体" w:hAnsi="宋体"/>
          <w:b/>
          <w:color w:val="auto"/>
          <w:szCs w:val="21"/>
          <w:highlight w:val="none"/>
        </w:rPr>
        <w:t>九</w:t>
      </w:r>
      <w:r>
        <w:rPr>
          <w:rFonts w:ascii="宋体" w:hAnsi="宋体"/>
          <w:b/>
          <w:color w:val="auto"/>
          <w:szCs w:val="21"/>
          <w:highlight w:val="none"/>
        </w:rPr>
        <w:t>条  违约责任</w:t>
      </w:r>
    </w:p>
    <w:p w14:paraId="03489C19">
      <w:pPr>
        <w:spacing w:line="276" w:lineRule="auto"/>
        <w:ind w:firstLine="420" w:firstLineChars="200"/>
        <w:rPr>
          <w:rFonts w:ascii="宋体" w:hAnsi="宋体"/>
          <w:color w:val="auto"/>
          <w:szCs w:val="21"/>
          <w:highlight w:val="none"/>
        </w:rPr>
      </w:pPr>
      <w:r>
        <w:rPr>
          <w:rFonts w:ascii="宋体" w:hAnsi="宋体"/>
          <w:color w:val="auto"/>
          <w:szCs w:val="21"/>
          <w:highlight w:val="none"/>
        </w:rPr>
        <w:t>1. 乙方所</w:t>
      </w:r>
      <w:r>
        <w:rPr>
          <w:rFonts w:hint="eastAsia" w:ascii="宋体" w:hAnsi="宋体"/>
          <w:color w:val="auto"/>
          <w:szCs w:val="21"/>
          <w:highlight w:val="none"/>
        </w:rPr>
        <w:t>完成的服务达不到验收要求的</w:t>
      </w:r>
      <w:r>
        <w:rPr>
          <w:rFonts w:ascii="宋体" w:hAnsi="宋体"/>
          <w:color w:val="auto"/>
          <w:szCs w:val="21"/>
          <w:highlight w:val="none"/>
        </w:rPr>
        <w:t>，</w:t>
      </w:r>
      <w:r>
        <w:rPr>
          <w:rFonts w:hint="eastAsia" w:ascii="宋体" w:hAnsi="宋体"/>
          <w:color w:val="auto"/>
          <w:szCs w:val="21"/>
          <w:highlight w:val="none"/>
        </w:rPr>
        <w:t>应及时补救达到验收标准，否则</w:t>
      </w:r>
      <w:r>
        <w:rPr>
          <w:rFonts w:ascii="宋体" w:hAnsi="宋体"/>
          <w:color w:val="auto"/>
          <w:szCs w:val="21"/>
          <w:highlight w:val="none"/>
        </w:rPr>
        <w:t>按</w:t>
      </w:r>
      <w:r>
        <w:rPr>
          <w:rFonts w:hint="eastAsia" w:ascii="宋体" w:hAnsi="宋体"/>
          <w:color w:val="auto"/>
          <w:szCs w:val="21"/>
          <w:highlight w:val="none"/>
        </w:rPr>
        <w:t>违约处罚</w:t>
      </w:r>
      <w:r>
        <w:rPr>
          <w:rFonts w:ascii="宋体" w:hAnsi="宋体"/>
          <w:color w:val="auto"/>
          <w:szCs w:val="21"/>
          <w:highlight w:val="none"/>
        </w:rPr>
        <w:t>，乙方应向甲方支付合同金额</w:t>
      </w:r>
      <w:r>
        <w:rPr>
          <w:rFonts w:hint="eastAsia" w:ascii="宋体" w:hAnsi="宋体"/>
          <w:color w:val="auto"/>
          <w:szCs w:val="21"/>
          <w:highlight w:val="none"/>
          <w:u w:val="single"/>
        </w:rPr>
        <w:t>5</w:t>
      </w:r>
      <w:r>
        <w:rPr>
          <w:rFonts w:ascii="宋体" w:hAnsi="宋体"/>
          <w:color w:val="auto"/>
          <w:szCs w:val="21"/>
          <w:highlight w:val="none"/>
        </w:rPr>
        <w:t>%违约金并赔偿甲方经济损失。</w:t>
      </w:r>
    </w:p>
    <w:p w14:paraId="3BE2E3C7">
      <w:pPr>
        <w:spacing w:line="276"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乙方</w:t>
      </w:r>
      <w:r>
        <w:rPr>
          <w:rFonts w:hint="eastAsia" w:ascii="宋体" w:hAnsi="宋体"/>
          <w:color w:val="auto"/>
          <w:szCs w:val="21"/>
          <w:highlight w:val="none"/>
        </w:rPr>
        <w:t>不能在甲方要求的服务时间内完成服务工程的</w:t>
      </w:r>
      <w:r>
        <w:rPr>
          <w:rFonts w:ascii="宋体" w:hAnsi="宋体"/>
          <w:color w:val="auto"/>
          <w:szCs w:val="21"/>
          <w:highlight w:val="none"/>
        </w:rPr>
        <w:t>，乙方应向甲方支付合同金额</w:t>
      </w:r>
      <w:r>
        <w:rPr>
          <w:rFonts w:hint="eastAsia" w:ascii="宋体" w:hAnsi="宋体"/>
          <w:color w:val="auto"/>
          <w:szCs w:val="21"/>
          <w:highlight w:val="none"/>
          <w:u w:val="single"/>
        </w:rPr>
        <w:t>5</w:t>
      </w:r>
      <w:r>
        <w:rPr>
          <w:rFonts w:ascii="宋体" w:hAnsi="宋体"/>
          <w:color w:val="auto"/>
          <w:szCs w:val="21"/>
          <w:highlight w:val="none"/>
        </w:rPr>
        <w:t>%违约金并赔偿甲方经济损失。</w:t>
      </w:r>
    </w:p>
    <w:p w14:paraId="2605B196">
      <w:pPr>
        <w:spacing w:line="276"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 乙方未按本合同和</w:t>
      </w:r>
      <w:r>
        <w:rPr>
          <w:rFonts w:hint="eastAsia" w:ascii="宋体" w:hAnsi="宋体"/>
          <w:color w:val="auto"/>
          <w:szCs w:val="21"/>
          <w:highlight w:val="none"/>
          <w:lang w:val="en-US" w:eastAsia="zh-CN"/>
        </w:rPr>
        <w:t>响应</w:t>
      </w:r>
      <w:r>
        <w:rPr>
          <w:rFonts w:hint="eastAsia" w:ascii="宋体" w:hAnsi="宋体"/>
          <w:color w:val="auto"/>
          <w:szCs w:val="21"/>
          <w:highlight w:val="none"/>
        </w:rPr>
        <w:t>文件</w:t>
      </w:r>
      <w:r>
        <w:rPr>
          <w:rFonts w:ascii="宋体" w:hAnsi="宋体"/>
          <w:color w:val="auto"/>
          <w:szCs w:val="21"/>
          <w:highlight w:val="none"/>
        </w:rPr>
        <w:t>中规定的服务承诺提供售后服务的，乙方应按本合同合同金额</w:t>
      </w:r>
      <w:r>
        <w:rPr>
          <w:rFonts w:ascii="宋体" w:hAnsi="宋体"/>
          <w:color w:val="auto"/>
          <w:szCs w:val="21"/>
          <w:highlight w:val="none"/>
          <w:u w:val="single"/>
        </w:rPr>
        <w:t>　</w:t>
      </w:r>
      <w:r>
        <w:rPr>
          <w:rFonts w:hint="eastAsia" w:ascii="宋体" w:hAnsi="宋体"/>
          <w:color w:val="auto"/>
          <w:szCs w:val="21"/>
          <w:highlight w:val="none"/>
          <w:u w:val="single"/>
        </w:rPr>
        <w:t>5</w:t>
      </w:r>
      <w:r>
        <w:rPr>
          <w:rFonts w:ascii="宋体" w:hAnsi="宋体"/>
          <w:color w:val="auto"/>
          <w:szCs w:val="21"/>
          <w:highlight w:val="none"/>
        </w:rPr>
        <w:t>%向甲方支付违约金。</w:t>
      </w:r>
    </w:p>
    <w:p w14:paraId="66894191">
      <w:pPr>
        <w:spacing w:line="276" w:lineRule="auto"/>
        <w:ind w:left="42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 其他违约行为按违约货款额</w:t>
      </w:r>
      <w:r>
        <w:rPr>
          <w:rFonts w:hint="eastAsia" w:ascii="宋体" w:hAnsi="宋体"/>
          <w:color w:val="auto"/>
          <w:szCs w:val="21"/>
          <w:highlight w:val="none"/>
          <w:u w:val="single"/>
        </w:rPr>
        <w:t>5</w:t>
      </w:r>
      <w:r>
        <w:rPr>
          <w:rFonts w:ascii="宋体" w:hAnsi="宋体"/>
          <w:color w:val="auto"/>
          <w:szCs w:val="21"/>
          <w:highlight w:val="none"/>
        </w:rPr>
        <w:t>%收取违约金并赔偿经济损失。</w:t>
      </w:r>
    </w:p>
    <w:p w14:paraId="35BD5305">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第十条  不可抗力事件处理</w:t>
      </w:r>
    </w:p>
    <w:p w14:paraId="04C5FD38">
      <w:pPr>
        <w:spacing w:line="276" w:lineRule="auto"/>
        <w:ind w:firstLine="420" w:firstLineChars="200"/>
        <w:rPr>
          <w:rFonts w:ascii="宋体" w:hAnsi="宋体"/>
          <w:color w:val="auto"/>
          <w:szCs w:val="21"/>
          <w:highlight w:val="none"/>
        </w:rPr>
      </w:pPr>
      <w:r>
        <w:rPr>
          <w:rFonts w:ascii="宋体" w:hAnsi="宋体"/>
          <w:color w:val="auto"/>
          <w:szCs w:val="21"/>
          <w:highlight w:val="none"/>
        </w:rPr>
        <w:t>1.在合同有效期内，乙方因不可抗力事件导致不能履行合同，则合同履行期可延长，其延长期与不可抗力影响期相同。</w:t>
      </w:r>
    </w:p>
    <w:p w14:paraId="3F827D99">
      <w:pPr>
        <w:spacing w:line="276" w:lineRule="auto"/>
        <w:ind w:left="420"/>
        <w:rPr>
          <w:rFonts w:ascii="宋体" w:hAnsi="宋体"/>
          <w:color w:val="auto"/>
          <w:szCs w:val="21"/>
          <w:highlight w:val="none"/>
        </w:rPr>
      </w:pPr>
      <w:r>
        <w:rPr>
          <w:rFonts w:ascii="宋体" w:hAnsi="宋体"/>
          <w:color w:val="auto"/>
          <w:szCs w:val="21"/>
          <w:highlight w:val="none"/>
        </w:rPr>
        <w:t>2.不可抗力事件发生后，应立即通知对方，并寄送有关权威机构出具的证明。</w:t>
      </w:r>
    </w:p>
    <w:p w14:paraId="4F1494F9">
      <w:pPr>
        <w:spacing w:line="276" w:lineRule="auto"/>
        <w:ind w:left="420"/>
        <w:rPr>
          <w:rFonts w:ascii="宋体" w:hAnsi="宋体"/>
          <w:color w:val="auto"/>
          <w:szCs w:val="21"/>
          <w:highlight w:val="none"/>
        </w:rPr>
      </w:pPr>
      <w:r>
        <w:rPr>
          <w:rFonts w:ascii="宋体" w:hAnsi="宋体"/>
          <w:color w:val="auto"/>
          <w:szCs w:val="21"/>
          <w:highlight w:val="none"/>
        </w:rPr>
        <w:t>3.不可抗力事件延续一百二十天以上，双方应通过友好协商，确定是否继续履行合同。</w:t>
      </w:r>
    </w:p>
    <w:p w14:paraId="5B215CC6">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第十</w:t>
      </w:r>
      <w:r>
        <w:rPr>
          <w:rFonts w:hint="eastAsia" w:ascii="宋体" w:hAnsi="宋体"/>
          <w:b/>
          <w:color w:val="auto"/>
          <w:szCs w:val="21"/>
          <w:highlight w:val="none"/>
        </w:rPr>
        <w:t>一</w:t>
      </w:r>
      <w:r>
        <w:rPr>
          <w:rFonts w:ascii="宋体" w:hAnsi="宋体"/>
          <w:b/>
          <w:color w:val="auto"/>
          <w:szCs w:val="21"/>
          <w:highlight w:val="none"/>
        </w:rPr>
        <w:t>条  合同争议解决</w:t>
      </w:r>
    </w:p>
    <w:p w14:paraId="19C2FB0E">
      <w:pPr>
        <w:spacing w:line="276"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.因履行本合同引起的或与本合同有关的争议，甲乙双方应首先通过友好协商解决，如果协商不能解决，可向</w:t>
      </w:r>
      <w:r>
        <w:rPr>
          <w:rFonts w:hint="eastAsia" w:ascii="宋体" w:hAnsi="宋体"/>
          <w:color w:val="auto"/>
          <w:szCs w:val="21"/>
          <w:highlight w:val="none"/>
          <w:lang w:val="en-US" w:eastAsia="zh-CN"/>
        </w:rPr>
        <w:t>贺州市</w:t>
      </w:r>
      <w:r>
        <w:rPr>
          <w:rFonts w:ascii="宋体" w:hAnsi="宋体"/>
          <w:color w:val="auto"/>
          <w:szCs w:val="21"/>
          <w:highlight w:val="none"/>
        </w:rPr>
        <w:t>仲裁委员会申请仲裁或向</w:t>
      </w:r>
      <w:r>
        <w:rPr>
          <w:rFonts w:hint="eastAsia" w:ascii="宋体" w:hAnsi="宋体"/>
          <w:color w:val="auto"/>
          <w:szCs w:val="21"/>
          <w:highlight w:val="none"/>
          <w:lang w:val="en-US" w:eastAsia="zh-CN"/>
        </w:rPr>
        <w:t>贺州市</w:t>
      </w:r>
      <w:r>
        <w:rPr>
          <w:rFonts w:ascii="宋体" w:hAnsi="宋体"/>
          <w:color w:val="auto"/>
          <w:szCs w:val="21"/>
          <w:highlight w:val="none"/>
        </w:rPr>
        <w:t>人民法院提起诉讼。</w:t>
      </w:r>
    </w:p>
    <w:p w14:paraId="4A398E5E">
      <w:pPr>
        <w:spacing w:line="276" w:lineRule="auto"/>
        <w:ind w:left="435"/>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.诉讼期间，本合同继续履行。</w:t>
      </w:r>
    </w:p>
    <w:p w14:paraId="5123A2D6">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第十</w:t>
      </w:r>
      <w:r>
        <w:rPr>
          <w:rFonts w:hint="eastAsia" w:ascii="宋体" w:hAnsi="宋体"/>
          <w:b/>
          <w:color w:val="auto"/>
          <w:szCs w:val="21"/>
          <w:highlight w:val="none"/>
        </w:rPr>
        <w:t>二</w:t>
      </w:r>
      <w:r>
        <w:rPr>
          <w:rFonts w:ascii="宋体" w:hAnsi="宋体"/>
          <w:b/>
          <w:color w:val="auto"/>
          <w:szCs w:val="21"/>
          <w:highlight w:val="none"/>
        </w:rPr>
        <w:t>条  合同生效及其它</w:t>
      </w:r>
    </w:p>
    <w:p w14:paraId="0AFC8260">
      <w:pPr>
        <w:spacing w:line="276" w:lineRule="auto"/>
        <w:ind w:firstLine="420" w:firstLineChars="200"/>
        <w:rPr>
          <w:rFonts w:ascii="宋体" w:hAnsi="宋体"/>
          <w:color w:val="auto"/>
          <w:szCs w:val="21"/>
          <w:highlight w:val="none"/>
        </w:rPr>
      </w:pPr>
      <w:r>
        <w:rPr>
          <w:rFonts w:ascii="宋体" w:hAnsi="宋体"/>
          <w:color w:val="auto"/>
          <w:szCs w:val="21"/>
          <w:highlight w:val="none"/>
        </w:rPr>
        <w:t>1.合同经甲乙双方法定代表人、负责人、自然人或相应的授权代表签字并加盖供应商公章后生效。</w:t>
      </w:r>
    </w:p>
    <w:p w14:paraId="21824099">
      <w:pPr>
        <w:spacing w:line="276" w:lineRule="auto"/>
        <w:ind w:firstLine="420" w:firstLineChars="200"/>
        <w:rPr>
          <w:rFonts w:ascii="宋体" w:hAnsi="宋体"/>
          <w:color w:val="auto"/>
          <w:szCs w:val="21"/>
          <w:highlight w:val="none"/>
        </w:rPr>
      </w:pPr>
      <w:r>
        <w:rPr>
          <w:rFonts w:ascii="宋体" w:hAnsi="宋体"/>
          <w:color w:val="auto"/>
          <w:szCs w:val="21"/>
          <w:highlight w:val="none"/>
        </w:rPr>
        <w:t>2.合同执行中涉及采购资金和采购内容修改或补充的，需经</w:t>
      </w:r>
      <w:r>
        <w:rPr>
          <w:rFonts w:hint="eastAsia" w:ascii="宋体" w:hAnsi="宋体"/>
          <w:color w:val="auto"/>
          <w:szCs w:val="21"/>
          <w:highlight w:val="none"/>
          <w:lang w:val="en-US" w:eastAsia="zh-CN"/>
        </w:rPr>
        <w:t>贺州市</w:t>
      </w:r>
      <w:r>
        <w:rPr>
          <w:rFonts w:ascii="宋体" w:hAnsi="宋体"/>
          <w:color w:val="auto"/>
          <w:szCs w:val="21"/>
          <w:highlight w:val="none"/>
        </w:rPr>
        <w:t>财政部门审批，并签订书面补充协议报</w:t>
      </w:r>
      <w:r>
        <w:rPr>
          <w:rFonts w:hint="eastAsia" w:ascii="宋体" w:hAnsi="宋体"/>
          <w:color w:val="auto"/>
          <w:szCs w:val="21"/>
          <w:highlight w:val="none"/>
          <w:lang w:val="en-US" w:eastAsia="zh-CN"/>
        </w:rPr>
        <w:t>贺州市</w:t>
      </w:r>
      <w:r>
        <w:rPr>
          <w:rFonts w:hint="eastAsia" w:ascii="宋体" w:hAnsi="宋体"/>
          <w:color w:val="auto"/>
          <w:szCs w:val="21"/>
          <w:highlight w:val="none"/>
        </w:rPr>
        <w:t>采购管理办公室</w:t>
      </w:r>
      <w:r>
        <w:rPr>
          <w:rFonts w:ascii="宋体" w:hAnsi="宋体"/>
          <w:color w:val="auto"/>
          <w:szCs w:val="21"/>
          <w:highlight w:val="none"/>
        </w:rPr>
        <w:t>备案，方可作为主合同不可分割的一部分。</w:t>
      </w:r>
    </w:p>
    <w:p w14:paraId="5DF33474">
      <w:pPr>
        <w:spacing w:line="276" w:lineRule="auto"/>
        <w:ind w:left="435"/>
        <w:rPr>
          <w:rFonts w:ascii="宋体" w:hAnsi="宋体"/>
          <w:color w:val="auto"/>
          <w:szCs w:val="21"/>
          <w:highlight w:val="none"/>
        </w:rPr>
      </w:pPr>
      <w:r>
        <w:rPr>
          <w:rFonts w:ascii="宋体" w:hAnsi="宋体"/>
          <w:color w:val="auto"/>
          <w:szCs w:val="21"/>
          <w:highlight w:val="none"/>
        </w:rPr>
        <w:t>3.本合同未尽事宜，遵照《</w:t>
      </w:r>
      <w:r>
        <w:rPr>
          <w:rFonts w:hint="eastAsia" w:ascii="宋体" w:hAnsi="宋体"/>
          <w:color w:val="auto"/>
          <w:szCs w:val="21"/>
          <w:highlight w:val="none"/>
          <w:lang w:val="en-US" w:eastAsia="zh-CN"/>
        </w:rPr>
        <w:t>民法典</w:t>
      </w:r>
      <w:r>
        <w:rPr>
          <w:rFonts w:ascii="宋体" w:hAnsi="宋体"/>
          <w:color w:val="auto"/>
          <w:szCs w:val="21"/>
          <w:highlight w:val="none"/>
        </w:rPr>
        <w:t>》有关条文执行。</w:t>
      </w:r>
    </w:p>
    <w:p w14:paraId="36E1D5C1">
      <w:pPr>
        <w:spacing w:line="276" w:lineRule="auto"/>
        <w:ind w:firstLine="413" w:firstLineChars="196"/>
        <w:rPr>
          <w:rFonts w:ascii="宋体" w:hAnsi="宋体"/>
          <w:b/>
          <w:color w:val="auto"/>
          <w:szCs w:val="21"/>
          <w:highlight w:val="none"/>
        </w:rPr>
      </w:pPr>
      <w:r>
        <w:rPr>
          <w:rFonts w:ascii="宋体" w:hAnsi="宋体"/>
          <w:b/>
          <w:color w:val="auto"/>
          <w:szCs w:val="21"/>
          <w:highlight w:val="none"/>
        </w:rPr>
        <w:t>第十</w:t>
      </w:r>
      <w:r>
        <w:rPr>
          <w:rFonts w:hint="eastAsia" w:ascii="宋体" w:hAnsi="宋体"/>
          <w:b/>
          <w:color w:val="auto"/>
          <w:szCs w:val="21"/>
          <w:highlight w:val="none"/>
        </w:rPr>
        <w:t>三</w:t>
      </w:r>
      <w:r>
        <w:rPr>
          <w:rFonts w:ascii="宋体" w:hAnsi="宋体"/>
          <w:b/>
          <w:color w:val="auto"/>
          <w:szCs w:val="21"/>
          <w:highlight w:val="none"/>
        </w:rPr>
        <w:t>条  合同的变更、终止与转让</w:t>
      </w:r>
    </w:p>
    <w:p w14:paraId="55AF1569">
      <w:pPr>
        <w:spacing w:line="276" w:lineRule="auto"/>
        <w:ind w:firstLine="420" w:firstLineChars="200"/>
        <w:rPr>
          <w:rFonts w:ascii="宋体" w:hAnsi="宋体"/>
          <w:color w:val="auto"/>
          <w:szCs w:val="21"/>
          <w:highlight w:val="none"/>
        </w:rPr>
      </w:pPr>
      <w:r>
        <w:rPr>
          <w:rFonts w:ascii="宋体" w:hAnsi="宋体"/>
          <w:color w:val="auto"/>
          <w:szCs w:val="21"/>
          <w:highlight w:val="none"/>
        </w:rPr>
        <w:t>1.除《中华人民共和国政府采购法》第五十条规定的情形外，本合同一经签订，甲乙双方不得擅自变更，中止或终止。</w:t>
      </w:r>
    </w:p>
    <w:p w14:paraId="79951AE3">
      <w:pPr>
        <w:spacing w:line="276" w:lineRule="auto"/>
        <w:ind w:left="420"/>
        <w:rPr>
          <w:rFonts w:ascii="宋体" w:hAnsi="宋体"/>
          <w:color w:val="auto"/>
          <w:szCs w:val="21"/>
          <w:highlight w:val="none"/>
        </w:rPr>
      </w:pPr>
      <w:r>
        <w:rPr>
          <w:rFonts w:ascii="宋体" w:hAnsi="宋体"/>
          <w:color w:val="auto"/>
          <w:szCs w:val="21"/>
          <w:highlight w:val="none"/>
        </w:rPr>
        <w:t>2.乙方不得擅自转让(无进口资格的供应商委托进口货物除外)其应履行的合同义务。</w:t>
      </w:r>
    </w:p>
    <w:p w14:paraId="414FFB57">
      <w:pPr>
        <w:spacing w:line="276" w:lineRule="auto"/>
        <w:ind w:firstLine="422" w:firstLineChars="200"/>
        <w:rPr>
          <w:rFonts w:ascii="宋体" w:hAnsi="宋体"/>
          <w:b/>
          <w:color w:val="auto"/>
          <w:szCs w:val="21"/>
          <w:highlight w:val="none"/>
        </w:rPr>
      </w:pPr>
      <w:r>
        <w:rPr>
          <w:rFonts w:ascii="宋体" w:hAnsi="宋体"/>
          <w:b/>
          <w:color w:val="auto"/>
          <w:szCs w:val="21"/>
          <w:highlight w:val="none"/>
        </w:rPr>
        <w:t>第十</w:t>
      </w:r>
      <w:r>
        <w:rPr>
          <w:rFonts w:hint="eastAsia" w:ascii="宋体" w:hAnsi="宋体"/>
          <w:b/>
          <w:color w:val="auto"/>
          <w:szCs w:val="21"/>
          <w:highlight w:val="none"/>
        </w:rPr>
        <w:t>四</w:t>
      </w:r>
      <w:r>
        <w:rPr>
          <w:rFonts w:ascii="宋体" w:hAnsi="宋体"/>
          <w:b/>
          <w:color w:val="auto"/>
          <w:szCs w:val="21"/>
          <w:highlight w:val="none"/>
        </w:rPr>
        <w:t>条  签订本合同依据：</w:t>
      </w:r>
    </w:p>
    <w:p w14:paraId="2D75A02F">
      <w:pPr>
        <w:spacing w:line="276" w:lineRule="auto"/>
        <w:ind w:left="42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val="en-US" w:eastAsia="zh-CN"/>
        </w:rPr>
        <w:t>竞争性磋商</w:t>
      </w:r>
      <w:r>
        <w:rPr>
          <w:rFonts w:hint="eastAsia" w:ascii="宋体" w:hAnsi="宋体"/>
          <w:color w:val="auto"/>
          <w:szCs w:val="21"/>
          <w:highlight w:val="none"/>
          <w:lang w:eastAsia="zh-CN"/>
        </w:rPr>
        <w:t>文件</w:t>
      </w:r>
      <w:r>
        <w:rPr>
          <w:rFonts w:ascii="宋体" w:hAnsi="宋体"/>
          <w:color w:val="auto"/>
          <w:szCs w:val="21"/>
          <w:highlight w:val="none"/>
        </w:rPr>
        <w:t>；</w:t>
      </w:r>
    </w:p>
    <w:p w14:paraId="080E331A">
      <w:pPr>
        <w:spacing w:line="276" w:lineRule="auto"/>
        <w:ind w:left="420"/>
        <w:rPr>
          <w:rFonts w:ascii="宋体" w:hAnsi="宋体"/>
          <w:color w:val="auto"/>
          <w:szCs w:val="21"/>
          <w:highlight w:val="none"/>
        </w:rPr>
      </w:pPr>
      <w:r>
        <w:rPr>
          <w:rFonts w:ascii="宋体" w:hAnsi="宋体"/>
          <w:color w:val="auto"/>
          <w:szCs w:val="21"/>
          <w:highlight w:val="none"/>
        </w:rPr>
        <w:t>2.乙方提供的</w:t>
      </w:r>
      <w:r>
        <w:rPr>
          <w:rFonts w:hint="eastAsia" w:ascii="宋体" w:hAnsi="宋体"/>
          <w:color w:val="auto"/>
          <w:szCs w:val="21"/>
          <w:highlight w:val="none"/>
          <w:lang w:val="en-US" w:eastAsia="zh-CN"/>
        </w:rPr>
        <w:t>响应</w:t>
      </w:r>
      <w:r>
        <w:rPr>
          <w:rFonts w:ascii="宋体" w:hAnsi="宋体"/>
          <w:color w:val="auto"/>
          <w:szCs w:val="21"/>
          <w:highlight w:val="none"/>
        </w:rPr>
        <w:t>（或应答）文件；</w:t>
      </w:r>
    </w:p>
    <w:p w14:paraId="401AA70C">
      <w:pPr>
        <w:spacing w:line="276" w:lineRule="auto"/>
        <w:ind w:left="42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val="en-US" w:eastAsia="zh-CN"/>
        </w:rPr>
        <w:t>成交</w:t>
      </w:r>
      <w:r>
        <w:rPr>
          <w:rFonts w:hint="eastAsia" w:ascii="宋体" w:hAnsi="宋体"/>
          <w:color w:val="auto"/>
          <w:szCs w:val="21"/>
          <w:highlight w:val="none"/>
          <w:lang w:eastAsia="zh-CN"/>
        </w:rPr>
        <w:t>通知书</w:t>
      </w:r>
    </w:p>
    <w:p w14:paraId="7A503D79">
      <w:pPr>
        <w:spacing w:line="276" w:lineRule="auto"/>
        <w:ind w:left="420"/>
        <w:rPr>
          <w:rFonts w:ascii="宋体" w:hAnsi="宋体"/>
          <w:color w:val="auto"/>
          <w:szCs w:val="21"/>
          <w:highlight w:val="none"/>
        </w:rPr>
      </w:pPr>
    </w:p>
    <w:p w14:paraId="279F351F">
      <w:pPr>
        <w:spacing w:line="276" w:lineRule="auto"/>
        <w:ind w:firstLine="420" w:firstLineChars="200"/>
        <w:rPr>
          <w:rFonts w:ascii="宋体" w:hAnsi="宋体"/>
          <w:color w:val="auto"/>
          <w:highlight w:val="none"/>
        </w:rPr>
      </w:pPr>
      <w:r>
        <w:rPr>
          <w:rFonts w:ascii="宋体" w:hAnsi="宋体"/>
          <w:color w:val="auto"/>
          <w:szCs w:val="21"/>
          <w:highlight w:val="none"/>
        </w:rPr>
        <w:t>本合同甲乙双方签字盖章后生效，一式</w:t>
      </w:r>
      <w:r>
        <w:rPr>
          <w:rFonts w:hint="eastAsia" w:ascii="宋体" w:hAnsi="宋体"/>
          <w:color w:val="auto"/>
          <w:szCs w:val="21"/>
          <w:highlight w:val="none"/>
          <w:lang w:val="en-US" w:eastAsia="zh-CN"/>
        </w:rPr>
        <w:t>五</w:t>
      </w:r>
      <w:r>
        <w:rPr>
          <w:rFonts w:ascii="宋体" w:hAnsi="宋体"/>
          <w:color w:val="auto"/>
          <w:szCs w:val="21"/>
          <w:highlight w:val="none"/>
        </w:rPr>
        <w:t>份，具有同等法律效力，甲、乙双方各</w:t>
      </w:r>
      <w:r>
        <w:rPr>
          <w:rFonts w:hint="eastAsia" w:ascii="宋体" w:hAnsi="宋体"/>
          <w:color w:val="auto"/>
          <w:szCs w:val="21"/>
          <w:highlight w:val="none"/>
          <w:lang w:val="en-US" w:eastAsia="zh-CN"/>
        </w:rPr>
        <w:t>二</w:t>
      </w:r>
      <w:r>
        <w:rPr>
          <w:rFonts w:ascii="宋体" w:hAnsi="宋体"/>
          <w:color w:val="auto"/>
          <w:szCs w:val="21"/>
          <w:highlight w:val="none"/>
        </w:rPr>
        <w:t>份。</w:t>
      </w:r>
      <w:r>
        <w:rPr>
          <w:rFonts w:ascii="宋体" w:hAnsi="宋体"/>
          <w:color w:val="auto"/>
          <w:highlight w:val="none"/>
        </w:rPr>
        <w:t>政府采购合同双方自签订之日起</w:t>
      </w:r>
      <w:r>
        <w:rPr>
          <w:rFonts w:hint="eastAsia" w:ascii="宋体" w:hAnsi="宋体"/>
          <w:color w:val="auto"/>
          <w:highlight w:val="none"/>
          <w:lang w:val="en-US" w:eastAsia="zh-CN"/>
        </w:rPr>
        <w:t>2</w:t>
      </w:r>
      <w:r>
        <w:rPr>
          <w:rFonts w:ascii="宋体" w:hAnsi="宋体"/>
          <w:color w:val="auto"/>
          <w:highlight w:val="none"/>
        </w:rPr>
        <w:t>个工作日内将合同原件</w:t>
      </w:r>
      <w:r>
        <w:rPr>
          <w:rFonts w:hint="eastAsia" w:ascii="宋体" w:hAnsi="宋体"/>
          <w:color w:val="auto"/>
          <w:highlight w:val="none"/>
          <w:lang w:eastAsia="zh-CN"/>
        </w:rPr>
        <w:t>一</w:t>
      </w:r>
      <w:r>
        <w:rPr>
          <w:rFonts w:ascii="宋体" w:hAnsi="宋体"/>
          <w:color w:val="auto"/>
          <w:highlight w:val="none"/>
        </w:rPr>
        <w:t>份交采购代理机构。</w:t>
      </w:r>
    </w:p>
    <w:p w14:paraId="3A383667">
      <w:pPr>
        <w:snapToGrid w:val="0"/>
        <w:spacing w:line="360" w:lineRule="auto"/>
        <w:ind w:firstLine="420" w:firstLineChars="200"/>
        <w:rPr>
          <w:rFonts w:hint="eastAsia" w:ascii="宋体" w:hAnsi="宋体"/>
          <w:color w:val="auto"/>
          <w:szCs w:val="21"/>
          <w:highlight w:val="none"/>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8"/>
        <w:gridCol w:w="4935"/>
      </w:tblGrid>
      <w:tr w14:paraId="227C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728" w:type="dxa"/>
            <w:noWrap w:val="0"/>
            <w:vAlign w:val="center"/>
          </w:tcPr>
          <w:p w14:paraId="462D009C">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 xml:space="preserve">甲方（章）           </w:t>
            </w:r>
          </w:p>
          <w:p w14:paraId="0D9DE9E0">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p>
          <w:p w14:paraId="38A6E925">
            <w:pPr>
              <w:keepNext w:val="0"/>
              <w:keepLines w:val="0"/>
              <w:suppressLineNumbers w:val="0"/>
              <w:snapToGrid w:val="0"/>
              <w:spacing w:before="0" w:beforeAutospacing="0" w:after="0" w:afterAutospacing="0" w:line="360" w:lineRule="auto"/>
              <w:ind w:left="0" w:right="210" w:firstLine="945" w:firstLineChars="450"/>
              <w:jc w:val="right"/>
              <w:rPr>
                <w:rFonts w:hint="eastAsia" w:ascii="宋体" w:hAnsi="宋体"/>
                <w:color w:val="auto"/>
                <w:szCs w:val="21"/>
                <w:highlight w:val="none"/>
              </w:rPr>
            </w:pPr>
            <w:r>
              <w:rPr>
                <w:rFonts w:hint="eastAsia" w:ascii="宋体" w:hAnsi="宋体"/>
                <w:color w:val="auto"/>
                <w:szCs w:val="21"/>
                <w:highlight w:val="none"/>
              </w:rPr>
              <w:t>年   月   日</w:t>
            </w:r>
          </w:p>
        </w:tc>
        <w:tc>
          <w:tcPr>
            <w:tcW w:w="4935" w:type="dxa"/>
            <w:noWrap w:val="0"/>
            <w:vAlign w:val="center"/>
          </w:tcPr>
          <w:p w14:paraId="12EC80AA">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 xml:space="preserve">乙方（章）              </w:t>
            </w:r>
          </w:p>
          <w:p w14:paraId="1BF5B7CB">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p>
          <w:p w14:paraId="7751F826">
            <w:pPr>
              <w:keepNext w:val="0"/>
              <w:keepLines w:val="0"/>
              <w:suppressLineNumbers w:val="0"/>
              <w:snapToGrid w:val="0"/>
              <w:spacing w:before="0" w:beforeAutospacing="0" w:after="0" w:afterAutospacing="0" w:line="360" w:lineRule="auto"/>
              <w:ind w:left="0" w:right="0"/>
              <w:jc w:val="right"/>
              <w:rPr>
                <w:rFonts w:hint="eastAsia" w:ascii="宋体" w:hAnsi="宋体"/>
                <w:color w:val="auto"/>
                <w:szCs w:val="21"/>
                <w:highlight w:val="none"/>
              </w:rPr>
            </w:pPr>
            <w:r>
              <w:rPr>
                <w:rFonts w:hint="eastAsia" w:ascii="宋体" w:hAnsi="宋体"/>
                <w:color w:val="auto"/>
                <w:szCs w:val="21"/>
                <w:highlight w:val="none"/>
              </w:rPr>
              <w:t xml:space="preserve"> 年   月   日</w:t>
            </w:r>
          </w:p>
        </w:tc>
      </w:tr>
      <w:tr w14:paraId="7E03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728" w:type="dxa"/>
            <w:noWrap w:val="0"/>
            <w:vAlign w:val="center"/>
          </w:tcPr>
          <w:p w14:paraId="2566C598">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单位地址：</w:t>
            </w:r>
          </w:p>
        </w:tc>
        <w:tc>
          <w:tcPr>
            <w:tcW w:w="4935" w:type="dxa"/>
            <w:noWrap w:val="0"/>
            <w:vAlign w:val="center"/>
          </w:tcPr>
          <w:p w14:paraId="1CF408C2">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单位地址：</w:t>
            </w:r>
          </w:p>
        </w:tc>
      </w:tr>
      <w:tr w14:paraId="22C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4728" w:type="dxa"/>
            <w:noWrap w:val="0"/>
            <w:vAlign w:val="center"/>
          </w:tcPr>
          <w:p w14:paraId="538BB955">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法定代表人（负责人）：</w:t>
            </w:r>
          </w:p>
        </w:tc>
        <w:tc>
          <w:tcPr>
            <w:tcW w:w="4935" w:type="dxa"/>
            <w:noWrap w:val="0"/>
            <w:vAlign w:val="center"/>
          </w:tcPr>
          <w:p w14:paraId="312DB460">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法定代表人（负责人）：</w:t>
            </w:r>
          </w:p>
        </w:tc>
      </w:tr>
      <w:tr w14:paraId="6719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4728" w:type="dxa"/>
            <w:noWrap w:val="0"/>
            <w:vAlign w:val="center"/>
          </w:tcPr>
          <w:p w14:paraId="669B69E0">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委托代理人：</w:t>
            </w:r>
          </w:p>
        </w:tc>
        <w:tc>
          <w:tcPr>
            <w:tcW w:w="4935" w:type="dxa"/>
            <w:noWrap w:val="0"/>
            <w:vAlign w:val="center"/>
          </w:tcPr>
          <w:p w14:paraId="32AE6A9C">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委托代理人</w:t>
            </w:r>
          </w:p>
        </w:tc>
      </w:tr>
      <w:tr w14:paraId="0325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728" w:type="dxa"/>
            <w:noWrap w:val="0"/>
            <w:vAlign w:val="center"/>
          </w:tcPr>
          <w:p w14:paraId="6E14D494">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电话：</w:t>
            </w:r>
          </w:p>
        </w:tc>
        <w:tc>
          <w:tcPr>
            <w:tcW w:w="4935" w:type="dxa"/>
            <w:noWrap w:val="0"/>
            <w:vAlign w:val="center"/>
          </w:tcPr>
          <w:p w14:paraId="04A4558C">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电话：</w:t>
            </w:r>
          </w:p>
        </w:tc>
      </w:tr>
      <w:tr w14:paraId="2D66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728" w:type="dxa"/>
            <w:noWrap w:val="0"/>
            <w:vAlign w:val="center"/>
          </w:tcPr>
          <w:p w14:paraId="51A75B8C">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电子邮箱：</w:t>
            </w:r>
          </w:p>
        </w:tc>
        <w:tc>
          <w:tcPr>
            <w:tcW w:w="4935" w:type="dxa"/>
            <w:noWrap w:val="0"/>
            <w:vAlign w:val="center"/>
          </w:tcPr>
          <w:p w14:paraId="10672ACF">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电子邮箱：</w:t>
            </w:r>
          </w:p>
        </w:tc>
      </w:tr>
      <w:tr w14:paraId="20B9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728" w:type="dxa"/>
            <w:noWrap w:val="0"/>
            <w:vAlign w:val="center"/>
          </w:tcPr>
          <w:p w14:paraId="57475532">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开户银行：</w:t>
            </w:r>
          </w:p>
        </w:tc>
        <w:tc>
          <w:tcPr>
            <w:tcW w:w="4935" w:type="dxa"/>
            <w:noWrap w:val="0"/>
            <w:vAlign w:val="center"/>
          </w:tcPr>
          <w:p w14:paraId="450C07CF">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开户银行：</w:t>
            </w:r>
          </w:p>
        </w:tc>
      </w:tr>
      <w:tr w14:paraId="32CE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728" w:type="dxa"/>
            <w:noWrap w:val="0"/>
            <w:vAlign w:val="center"/>
          </w:tcPr>
          <w:p w14:paraId="3FA3A668">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账号：</w:t>
            </w:r>
          </w:p>
        </w:tc>
        <w:tc>
          <w:tcPr>
            <w:tcW w:w="4935" w:type="dxa"/>
            <w:noWrap w:val="0"/>
            <w:vAlign w:val="center"/>
          </w:tcPr>
          <w:p w14:paraId="4700076C">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账号：</w:t>
            </w:r>
          </w:p>
        </w:tc>
      </w:tr>
      <w:tr w14:paraId="205A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728" w:type="dxa"/>
            <w:noWrap w:val="0"/>
            <w:vAlign w:val="center"/>
          </w:tcPr>
          <w:p w14:paraId="424AD233">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邮政编码：</w:t>
            </w:r>
          </w:p>
        </w:tc>
        <w:tc>
          <w:tcPr>
            <w:tcW w:w="4935" w:type="dxa"/>
            <w:noWrap w:val="0"/>
            <w:vAlign w:val="center"/>
          </w:tcPr>
          <w:p w14:paraId="170D82AB">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邮政编码：</w:t>
            </w:r>
          </w:p>
        </w:tc>
      </w:tr>
      <w:tr w14:paraId="1F24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9663" w:type="dxa"/>
            <w:gridSpan w:val="2"/>
            <w:noWrap w:val="0"/>
            <w:vAlign w:val="top"/>
          </w:tcPr>
          <w:p w14:paraId="3F1DE786">
            <w:pPr>
              <w:keepNext w:val="0"/>
              <w:keepLines w:val="0"/>
              <w:suppressLineNumbers w:val="0"/>
              <w:snapToGrid w:val="0"/>
              <w:spacing w:before="0" w:beforeAutospacing="0" w:after="0" w:afterAutospacing="0" w:line="360" w:lineRule="auto"/>
              <w:ind w:left="0" w:right="0"/>
              <w:rPr>
                <w:rFonts w:hint="eastAsia" w:ascii="宋体" w:hAnsi="宋体"/>
                <w:color w:val="auto"/>
                <w:szCs w:val="21"/>
                <w:highlight w:val="none"/>
              </w:rPr>
            </w:pPr>
            <w:r>
              <w:rPr>
                <w:rFonts w:hint="eastAsia" w:ascii="宋体" w:hAnsi="宋体"/>
                <w:color w:val="auto"/>
                <w:szCs w:val="21"/>
                <w:highlight w:val="none"/>
              </w:rPr>
              <w:t>经办人：</w:t>
            </w:r>
          </w:p>
          <w:p w14:paraId="5CE2044B">
            <w:pPr>
              <w:keepNext w:val="0"/>
              <w:keepLines w:val="0"/>
              <w:suppressLineNumbers w:val="0"/>
              <w:snapToGrid w:val="0"/>
              <w:spacing w:before="0" w:beforeAutospacing="0" w:after="0" w:afterAutospacing="0" w:line="360" w:lineRule="auto"/>
              <w:ind w:left="0" w:right="0" w:firstLine="630" w:firstLineChars="300"/>
              <w:jc w:val="right"/>
              <w:rPr>
                <w:rFonts w:hint="eastAsia" w:ascii="宋体" w:hAnsi="宋体"/>
                <w:color w:val="auto"/>
                <w:szCs w:val="21"/>
                <w:highlight w:val="none"/>
              </w:rPr>
            </w:pPr>
            <w:r>
              <w:rPr>
                <w:rFonts w:hint="eastAsia" w:ascii="宋体" w:hAnsi="宋体"/>
                <w:color w:val="auto"/>
                <w:szCs w:val="21"/>
                <w:highlight w:val="none"/>
              </w:rPr>
              <w:t>年    月    日</w:t>
            </w:r>
          </w:p>
        </w:tc>
      </w:tr>
    </w:tbl>
    <w:p w14:paraId="1D5FFCA8">
      <w:pPr>
        <w:pStyle w:val="13"/>
        <w:tabs>
          <w:tab w:val="left" w:pos="2472"/>
        </w:tabs>
        <w:spacing w:line="460" w:lineRule="exact"/>
        <w:jc w:val="center"/>
        <w:rPr>
          <w:rFonts w:hint="eastAsia" w:ascii="仿宋" w:hAnsi="仿宋" w:eastAsia="仿宋" w:cs="仿宋"/>
          <w:b/>
          <w:color w:val="auto"/>
          <w:sz w:val="36"/>
          <w:highlight w:val="none"/>
        </w:rPr>
      </w:pPr>
    </w:p>
    <w:p w14:paraId="23B16331">
      <w:pPr>
        <w:rPr>
          <w:rFonts w:hint="eastAsia" w:ascii="仿宋" w:hAnsi="仿宋" w:eastAsia="仿宋" w:cs="仿宋"/>
          <w:b/>
          <w:color w:val="auto"/>
          <w:sz w:val="36"/>
          <w:highlight w:val="none"/>
        </w:rPr>
      </w:pPr>
    </w:p>
    <w:p w14:paraId="7E20DBD9">
      <w:pPr>
        <w:snapToGrid w:val="0"/>
        <w:spacing w:line="360" w:lineRule="auto"/>
        <w:jc w:val="center"/>
        <w:rPr>
          <w:rFonts w:hint="eastAsia" w:ascii="宋体" w:hAnsi="宋体"/>
          <w:b/>
          <w:color w:val="auto"/>
          <w:szCs w:val="21"/>
          <w:highlight w:val="none"/>
        </w:rPr>
      </w:pPr>
      <w:r>
        <w:rPr>
          <w:rFonts w:hint="eastAsia" w:ascii="宋体" w:hAnsi="宋体"/>
          <w:b/>
          <w:color w:val="auto"/>
          <w:szCs w:val="21"/>
          <w:highlight w:val="none"/>
        </w:rPr>
        <w:t>合 同 附 件</w:t>
      </w:r>
    </w:p>
    <w:p w14:paraId="7579D7CF">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一般</w:t>
      </w:r>
      <w:r>
        <w:rPr>
          <w:rFonts w:hint="eastAsia" w:ascii="宋体" w:hAnsi="宋体"/>
          <w:color w:val="auto"/>
          <w:szCs w:val="21"/>
          <w:highlight w:val="none"/>
          <w:lang w:eastAsia="zh-CN"/>
        </w:rPr>
        <w:t>服务</w:t>
      </w:r>
      <w:r>
        <w:rPr>
          <w:rFonts w:hint="eastAsia" w:ascii="宋体" w:hAnsi="宋体"/>
          <w:color w:val="auto"/>
          <w:szCs w:val="21"/>
          <w:highlight w:val="none"/>
        </w:rPr>
        <w:t>类</w:t>
      </w:r>
    </w:p>
    <w:tbl>
      <w:tblPr>
        <w:tblStyle w:val="22"/>
        <w:tblW w:w="0" w:type="auto"/>
        <w:tblInd w:w="0" w:type="dxa"/>
        <w:tblLayout w:type="fixed"/>
        <w:tblCellMar>
          <w:top w:w="0" w:type="dxa"/>
          <w:left w:w="108" w:type="dxa"/>
          <w:bottom w:w="0" w:type="dxa"/>
          <w:right w:w="108" w:type="dxa"/>
        </w:tblCellMar>
      </w:tblPr>
      <w:tblGrid>
        <w:gridCol w:w="4248"/>
        <w:gridCol w:w="4274"/>
      </w:tblGrid>
      <w:tr w14:paraId="70F4F321">
        <w:tblPrEx>
          <w:tblCellMar>
            <w:top w:w="0" w:type="dxa"/>
            <w:left w:w="108" w:type="dxa"/>
            <w:bottom w:w="0" w:type="dxa"/>
            <w:right w:w="108" w:type="dxa"/>
          </w:tblCellMar>
        </w:tblPrEx>
        <w:trPr>
          <w:trHeight w:val="1226" w:hRule="atLeast"/>
        </w:trPr>
        <w:tc>
          <w:tcPr>
            <w:tcW w:w="8522" w:type="dxa"/>
            <w:gridSpan w:val="2"/>
            <w:tcBorders>
              <w:top w:val="single" w:color="auto" w:sz="4" w:space="0"/>
              <w:left w:val="single" w:color="auto" w:sz="4" w:space="0"/>
              <w:right w:val="single" w:color="auto" w:sz="4" w:space="0"/>
            </w:tcBorders>
            <w:noWrap w:val="0"/>
            <w:vAlign w:val="top"/>
          </w:tcPr>
          <w:p w14:paraId="19CCE24C">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r>
              <w:rPr>
                <w:rFonts w:hint="eastAsia" w:ascii="宋体" w:hAnsi="宋体"/>
                <w:b/>
                <w:color w:val="auto"/>
                <w:szCs w:val="21"/>
                <w:highlight w:val="none"/>
              </w:rPr>
              <w:t>1. 供应商承诺具体事项：</w:t>
            </w:r>
          </w:p>
        </w:tc>
      </w:tr>
      <w:tr w14:paraId="5A899DE7">
        <w:tblPrEx>
          <w:tblCellMar>
            <w:top w:w="0" w:type="dxa"/>
            <w:left w:w="108" w:type="dxa"/>
            <w:bottom w:w="0" w:type="dxa"/>
            <w:right w:w="108" w:type="dxa"/>
          </w:tblCellMar>
        </w:tblPrEx>
        <w:trPr>
          <w:trHeight w:val="1228" w:hRule="atLeast"/>
        </w:trPr>
        <w:tc>
          <w:tcPr>
            <w:tcW w:w="8522" w:type="dxa"/>
            <w:gridSpan w:val="2"/>
            <w:tcBorders>
              <w:top w:val="single" w:color="auto" w:sz="4" w:space="0"/>
              <w:left w:val="single" w:color="auto" w:sz="4" w:space="0"/>
              <w:right w:val="single" w:color="auto" w:sz="4" w:space="0"/>
            </w:tcBorders>
            <w:noWrap w:val="0"/>
            <w:vAlign w:val="top"/>
          </w:tcPr>
          <w:p w14:paraId="5A892EC1">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r>
              <w:rPr>
                <w:rFonts w:hint="eastAsia" w:ascii="宋体" w:hAnsi="宋体"/>
                <w:b/>
                <w:color w:val="auto"/>
                <w:szCs w:val="21"/>
                <w:highlight w:val="none"/>
              </w:rPr>
              <w:t>2. 售后服务具体事项：</w:t>
            </w:r>
          </w:p>
        </w:tc>
      </w:tr>
      <w:tr w14:paraId="55752737">
        <w:tblPrEx>
          <w:tblCellMar>
            <w:top w:w="0" w:type="dxa"/>
            <w:left w:w="108" w:type="dxa"/>
            <w:bottom w:w="0" w:type="dxa"/>
            <w:right w:w="108" w:type="dxa"/>
          </w:tblCellMar>
        </w:tblPrEx>
        <w:trPr>
          <w:trHeight w:val="1088" w:hRule="atLeast"/>
        </w:trPr>
        <w:tc>
          <w:tcPr>
            <w:tcW w:w="8522" w:type="dxa"/>
            <w:gridSpan w:val="2"/>
            <w:tcBorders>
              <w:top w:val="single" w:color="auto" w:sz="4" w:space="0"/>
              <w:left w:val="single" w:color="auto" w:sz="4" w:space="0"/>
              <w:right w:val="single" w:color="auto" w:sz="4" w:space="0"/>
            </w:tcBorders>
            <w:noWrap w:val="0"/>
            <w:vAlign w:val="top"/>
          </w:tcPr>
          <w:p w14:paraId="22D85A04">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r>
              <w:rPr>
                <w:rFonts w:hint="eastAsia" w:ascii="宋体" w:hAnsi="宋体"/>
                <w:b/>
                <w:color w:val="auto"/>
                <w:szCs w:val="21"/>
                <w:highlight w:val="none"/>
              </w:rPr>
              <w:t>3. 保修期责任：</w:t>
            </w:r>
          </w:p>
        </w:tc>
      </w:tr>
      <w:tr w14:paraId="51E333FF">
        <w:tblPrEx>
          <w:tblCellMar>
            <w:top w:w="0" w:type="dxa"/>
            <w:left w:w="108" w:type="dxa"/>
            <w:bottom w:w="0" w:type="dxa"/>
            <w:right w:w="108" w:type="dxa"/>
          </w:tblCellMar>
        </w:tblPrEx>
        <w:trPr>
          <w:trHeight w:val="1360" w:hRule="atLeast"/>
        </w:trPr>
        <w:tc>
          <w:tcPr>
            <w:tcW w:w="8522" w:type="dxa"/>
            <w:gridSpan w:val="2"/>
            <w:tcBorders>
              <w:top w:val="single" w:color="auto" w:sz="4" w:space="0"/>
              <w:left w:val="single" w:color="auto" w:sz="4" w:space="0"/>
              <w:right w:val="single" w:color="auto" w:sz="4" w:space="0"/>
            </w:tcBorders>
            <w:noWrap w:val="0"/>
            <w:vAlign w:val="top"/>
          </w:tcPr>
          <w:p w14:paraId="039E4EBC">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r>
              <w:rPr>
                <w:rFonts w:hint="eastAsia" w:ascii="宋体" w:hAnsi="宋体"/>
                <w:b/>
                <w:color w:val="auto"/>
                <w:szCs w:val="21"/>
                <w:highlight w:val="none"/>
              </w:rPr>
              <w:t>4. 其他具体事项：</w:t>
            </w:r>
          </w:p>
        </w:tc>
      </w:tr>
      <w:tr w14:paraId="3FF19F10">
        <w:tblPrEx>
          <w:tblCellMar>
            <w:top w:w="0" w:type="dxa"/>
            <w:left w:w="108" w:type="dxa"/>
            <w:bottom w:w="0" w:type="dxa"/>
            <w:right w:w="108" w:type="dxa"/>
          </w:tblCellMar>
        </w:tblPrEx>
        <w:trPr>
          <w:trHeight w:val="1703" w:hRule="atLeast"/>
        </w:trPr>
        <w:tc>
          <w:tcPr>
            <w:tcW w:w="4248" w:type="dxa"/>
            <w:tcBorders>
              <w:top w:val="single" w:color="auto" w:sz="4" w:space="0"/>
              <w:left w:val="single" w:color="auto" w:sz="4" w:space="0"/>
              <w:bottom w:val="single" w:color="auto" w:sz="4" w:space="0"/>
              <w:right w:val="single" w:color="auto" w:sz="4" w:space="0"/>
            </w:tcBorders>
            <w:noWrap w:val="0"/>
            <w:vAlign w:val="center"/>
          </w:tcPr>
          <w:p w14:paraId="1360FBA2">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r>
              <w:rPr>
                <w:rFonts w:hint="eastAsia" w:ascii="宋体" w:hAnsi="宋体"/>
                <w:b/>
                <w:color w:val="auto"/>
                <w:szCs w:val="21"/>
                <w:highlight w:val="none"/>
              </w:rPr>
              <w:t>甲方（章）</w:t>
            </w:r>
          </w:p>
          <w:p w14:paraId="36D7DD91">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p>
          <w:p w14:paraId="1767D986">
            <w:pPr>
              <w:keepNext w:val="0"/>
              <w:keepLines w:val="0"/>
              <w:suppressLineNumbers w:val="0"/>
              <w:snapToGrid w:val="0"/>
              <w:spacing w:before="0" w:beforeAutospacing="0" w:after="0" w:afterAutospacing="0" w:line="360" w:lineRule="auto"/>
              <w:ind w:left="0" w:right="0"/>
              <w:rPr>
                <w:rFonts w:hint="eastAsia" w:ascii="宋体" w:hAnsi="宋体"/>
                <w:b/>
                <w:color w:val="auto"/>
                <w:szCs w:val="21"/>
                <w:highlight w:val="none"/>
              </w:rPr>
            </w:pPr>
          </w:p>
          <w:p w14:paraId="3F96B8CA">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r>
              <w:rPr>
                <w:rFonts w:hint="eastAsia" w:ascii="宋体" w:hAnsi="宋体"/>
                <w:b/>
                <w:color w:val="auto"/>
                <w:szCs w:val="21"/>
                <w:highlight w:val="none"/>
              </w:rPr>
              <w:t xml:space="preserve">                 年   月   日 </w:t>
            </w:r>
          </w:p>
        </w:tc>
        <w:tc>
          <w:tcPr>
            <w:tcW w:w="4274" w:type="dxa"/>
            <w:tcBorders>
              <w:top w:val="single" w:color="auto" w:sz="4" w:space="0"/>
              <w:left w:val="single" w:color="auto" w:sz="4" w:space="0"/>
              <w:bottom w:val="single" w:color="auto" w:sz="4" w:space="0"/>
              <w:right w:val="single" w:color="auto" w:sz="4" w:space="0"/>
            </w:tcBorders>
            <w:noWrap w:val="0"/>
            <w:vAlign w:val="center"/>
          </w:tcPr>
          <w:p w14:paraId="237EBEE6">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r>
              <w:rPr>
                <w:rFonts w:hint="eastAsia" w:ascii="宋体" w:hAnsi="宋体"/>
                <w:b/>
                <w:color w:val="auto"/>
                <w:szCs w:val="21"/>
                <w:highlight w:val="none"/>
              </w:rPr>
              <w:t>乙方（章）</w:t>
            </w:r>
          </w:p>
          <w:p w14:paraId="122B165D">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p>
          <w:p w14:paraId="653ED7FF">
            <w:pPr>
              <w:keepNext w:val="0"/>
              <w:keepLines w:val="0"/>
              <w:suppressLineNumbers w:val="0"/>
              <w:snapToGrid w:val="0"/>
              <w:spacing w:before="0" w:beforeAutospacing="0" w:after="0" w:afterAutospacing="0" w:line="360" w:lineRule="auto"/>
              <w:ind w:left="0" w:right="0"/>
              <w:rPr>
                <w:rFonts w:hint="eastAsia" w:ascii="宋体" w:hAnsi="宋体"/>
                <w:b/>
                <w:color w:val="auto"/>
                <w:szCs w:val="21"/>
                <w:highlight w:val="none"/>
              </w:rPr>
            </w:pPr>
          </w:p>
          <w:p w14:paraId="042303EA">
            <w:pPr>
              <w:keepNext w:val="0"/>
              <w:keepLines w:val="0"/>
              <w:suppressLineNumbers w:val="0"/>
              <w:snapToGrid w:val="0"/>
              <w:spacing w:before="0" w:beforeAutospacing="0" w:after="0" w:afterAutospacing="0" w:line="360" w:lineRule="auto"/>
              <w:ind w:left="0" w:right="0" w:firstLine="422" w:firstLineChars="200"/>
              <w:rPr>
                <w:rFonts w:hint="eastAsia" w:ascii="宋体" w:hAnsi="宋体"/>
                <w:b/>
                <w:color w:val="auto"/>
                <w:szCs w:val="21"/>
                <w:highlight w:val="none"/>
              </w:rPr>
            </w:pPr>
            <w:r>
              <w:rPr>
                <w:rFonts w:hint="eastAsia" w:ascii="宋体" w:hAnsi="宋体"/>
                <w:b/>
                <w:color w:val="auto"/>
                <w:szCs w:val="21"/>
                <w:highlight w:val="none"/>
              </w:rPr>
              <w:t xml:space="preserve">                年   月   日</w:t>
            </w:r>
          </w:p>
        </w:tc>
      </w:tr>
    </w:tbl>
    <w:p w14:paraId="5CA82F4F">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 xml:space="preserve">   注：售后服务事项填不下时可另加附页</w:t>
      </w:r>
    </w:p>
    <w:p w14:paraId="65995F6A">
      <w:pPr>
        <w:snapToGrid w:val="0"/>
        <w:spacing w:line="360" w:lineRule="auto"/>
        <w:jc w:val="left"/>
        <w:rPr>
          <w:rFonts w:hint="eastAsia" w:ascii="宋体" w:hAnsi="宋体"/>
          <w:color w:val="auto"/>
          <w:szCs w:val="21"/>
          <w:highlight w:val="none"/>
        </w:rPr>
      </w:pPr>
    </w:p>
    <w:p w14:paraId="65DA3804">
      <w:pPr>
        <w:snapToGrid w:val="0"/>
        <w:jc w:val="both"/>
        <w:rPr>
          <w:rFonts w:hint="eastAsia" w:ascii="宋体" w:hAnsi="宋体" w:eastAsia="宋体" w:cs="Courier New"/>
          <w:color w:val="auto"/>
          <w:szCs w:val="21"/>
          <w:highlight w:val="none"/>
        </w:rPr>
      </w:pPr>
      <w:r>
        <w:rPr>
          <w:rFonts w:hint="eastAsia" w:ascii="宋体" w:hAnsi="宋体"/>
          <w:bCs/>
          <w:color w:val="auto"/>
          <w:sz w:val="32"/>
          <w:szCs w:val="32"/>
          <w:highlight w:val="none"/>
        </w:rPr>
        <w:t>（</w:t>
      </w:r>
      <w:r>
        <w:rPr>
          <w:rFonts w:hint="eastAsia" w:ascii="宋体" w:hAnsi="宋体" w:eastAsia="宋体" w:cs="Courier New"/>
          <w:color w:val="auto"/>
          <w:szCs w:val="21"/>
          <w:highlight w:val="none"/>
        </w:rPr>
        <w:t>注：本合同样本仅供参考，具体内容由招标人和中标人协商确定，但补充和修改不得造成与本章格式内容有实质性的违背。）</w:t>
      </w:r>
    </w:p>
    <w:p w14:paraId="615ACF35">
      <w:pPr>
        <w:snapToGrid w:val="0"/>
        <w:jc w:val="center"/>
        <w:rPr>
          <w:rFonts w:hint="eastAsia" w:ascii="宋体" w:hAnsi="宋体"/>
          <w:bCs/>
          <w:color w:val="auto"/>
          <w:sz w:val="32"/>
          <w:szCs w:val="32"/>
          <w:highlight w:val="none"/>
        </w:rPr>
      </w:pPr>
    </w:p>
    <w:p w14:paraId="6C27E6DE">
      <w:pPr>
        <w:snapToGrid w:val="0"/>
        <w:jc w:val="center"/>
        <w:rPr>
          <w:rFonts w:hint="eastAsia" w:ascii="宋体" w:hAnsi="宋体"/>
          <w:bCs/>
          <w:color w:val="auto"/>
          <w:sz w:val="32"/>
          <w:szCs w:val="32"/>
          <w:highlight w:val="none"/>
        </w:rPr>
      </w:pPr>
    </w:p>
    <w:p w14:paraId="06E06F68">
      <w:pPr>
        <w:snapToGrid w:val="0"/>
        <w:jc w:val="center"/>
        <w:rPr>
          <w:rFonts w:hint="eastAsia" w:ascii="宋体" w:hAnsi="宋体"/>
          <w:bCs/>
          <w:color w:val="auto"/>
          <w:sz w:val="32"/>
          <w:szCs w:val="32"/>
          <w:highlight w:val="none"/>
        </w:rPr>
      </w:pPr>
    </w:p>
    <w:p w14:paraId="6FD79BFF">
      <w:pPr>
        <w:snapToGrid w:val="0"/>
        <w:jc w:val="center"/>
        <w:rPr>
          <w:rFonts w:hint="eastAsia" w:ascii="宋体" w:hAnsi="宋体"/>
          <w:bCs/>
          <w:color w:val="auto"/>
          <w:sz w:val="32"/>
          <w:szCs w:val="32"/>
          <w:highlight w:val="none"/>
        </w:rPr>
      </w:pPr>
    </w:p>
    <w:p w14:paraId="278307C0">
      <w:pPr>
        <w:rPr>
          <w:rFonts w:hint="eastAsia" w:ascii="仿宋" w:hAnsi="仿宋" w:eastAsia="仿宋" w:cs="仿宋"/>
          <w:b/>
          <w:color w:val="auto"/>
          <w:sz w:val="36"/>
          <w:highlight w:val="none"/>
        </w:rPr>
      </w:pPr>
    </w:p>
    <w:p w14:paraId="728ED6C7">
      <w:pPr>
        <w:rPr>
          <w:rFonts w:hint="eastAsia" w:ascii="仿宋" w:hAnsi="仿宋" w:eastAsia="仿宋" w:cs="仿宋"/>
          <w:b/>
          <w:color w:val="auto"/>
          <w:sz w:val="36"/>
          <w:highlight w:val="none"/>
        </w:rPr>
      </w:pPr>
    </w:p>
    <w:p w14:paraId="482F747E">
      <w:pPr>
        <w:rPr>
          <w:rFonts w:hint="eastAsia" w:ascii="仿宋" w:hAnsi="仿宋" w:eastAsia="仿宋" w:cs="仿宋"/>
          <w:b/>
          <w:color w:val="auto"/>
          <w:sz w:val="36"/>
          <w:highlight w:val="none"/>
        </w:rPr>
      </w:pPr>
    </w:p>
    <w:p w14:paraId="640EA52C">
      <w:pPr>
        <w:pStyle w:val="2"/>
        <w:spacing w:line="360" w:lineRule="auto"/>
        <w:jc w:val="center"/>
        <w:outlineLvl w:val="0"/>
        <w:rPr>
          <w:rFonts w:hint="eastAsia" w:ascii="宋体" w:hAnsi="宋体" w:eastAsia="宋体" w:cs="宋体"/>
          <w:b/>
          <w:bCs/>
          <w:color w:val="auto"/>
          <w:sz w:val="36"/>
          <w:szCs w:val="36"/>
          <w:highlight w:val="none"/>
          <w:lang w:val="en-US" w:eastAsia="zh-CN"/>
        </w:rPr>
      </w:pPr>
      <w:bookmarkStart w:id="232" w:name="_Toc32741"/>
      <w:bookmarkStart w:id="233" w:name="_Toc26685"/>
      <w:bookmarkStart w:id="234" w:name="_Toc173351898"/>
      <w:bookmarkStart w:id="235" w:name="_Toc145955960"/>
      <w:r>
        <w:rPr>
          <w:rFonts w:hint="eastAsia" w:ascii="宋体" w:hAnsi="宋体" w:eastAsia="宋体" w:cs="宋体"/>
          <w:b/>
          <w:bCs/>
          <w:color w:val="auto"/>
          <w:sz w:val="36"/>
          <w:szCs w:val="36"/>
          <w:highlight w:val="none"/>
          <w:lang w:val="en-US" w:eastAsia="zh-CN"/>
        </w:rPr>
        <w:t>第</w:t>
      </w:r>
      <w:r>
        <w:rPr>
          <w:rFonts w:hint="eastAsia" w:ascii="宋体" w:hAnsi="宋体" w:cs="宋体"/>
          <w:b/>
          <w:bCs/>
          <w:color w:val="auto"/>
          <w:sz w:val="36"/>
          <w:szCs w:val="36"/>
          <w:highlight w:val="none"/>
          <w:lang w:val="en-US" w:eastAsia="zh-CN"/>
        </w:rPr>
        <w:t>七</w:t>
      </w:r>
      <w:r>
        <w:rPr>
          <w:rFonts w:hint="eastAsia" w:ascii="宋体" w:hAnsi="宋体" w:eastAsia="宋体" w:cs="宋体"/>
          <w:b/>
          <w:bCs/>
          <w:color w:val="auto"/>
          <w:sz w:val="36"/>
          <w:szCs w:val="36"/>
          <w:highlight w:val="none"/>
          <w:lang w:val="en-US" w:eastAsia="zh-CN"/>
        </w:rPr>
        <w:t>章  质疑、投诉材料格式</w:t>
      </w:r>
      <w:bookmarkEnd w:id="232"/>
      <w:bookmarkEnd w:id="233"/>
      <w:bookmarkEnd w:id="234"/>
      <w:bookmarkEnd w:id="235"/>
    </w:p>
    <w:p w14:paraId="675EF5EE">
      <w:pPr>
        <w:spacing w:line="240" w:lineRule="auto"/>
        <w:jc w:val="left"/>
        <w:rPr>
          <w:rFonts w:hint="eastAsia" w:ascii="宋体" w:hAnsi="宋体" w:eastAsia="宋体" w:cs="宋体"/>
          <w:b/>
          <w:color w:val="auto"/>
          <w:szCs w:val="20"/>
          <w:highlight w:val="none"/>
        </w:rPr>
      </w:pPr>
      <w:r>
        <w:rPr>
          <w:rFonts w:hint="eastAsia" w:ascii="宋体" w:hAnsi="宋体" w:eastAsia="宋体" w:cs="宋体"/>
          <w:b/>
          <w:color w:val="auto"/>
          <w:sz w:val="28"/>
          <w:szCs w:val="28"/>
          <w:highlight w:val="none"/>
        </w:rPr>
        <w:t>附件</w:t>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：质疑函（格式）</w:t>
      </w:r>
    </w:p>
    <w:p w14:paraId="4CA611D8">
      <w:pPr>
        <w:spacing w:line="24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0B2EC1F1">
      <w:pPr>
        <w:pStyle w:val="30"/>
        <w:spacing w:line="24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（如有）</w:t>
      </w:r>
    </w:p>
    <w:p w14:paraId="3A96C58D">
      <w:pPr>
        <w:pStyle w:val="13"/>
        <w:spacing w:line="360" w:lineRule="auto"/>
        <w:ind w:firstLine="482" w:firstLineChars="200"/>
        <w:contextualSpacing/>
        <w:outlineLvl w:val="1"/>
        <w:rPr>
          <w:rFonts w:hint="eastAsia" w:ascii="宋体" w:hAnsi="宋体" w:eastAsia="宋体" w:cs="宋体"/>
          <w:b/>
          <w:bCs/>
          <w:color w:val="auto"/>
          <w:sz w:val="24"/>
          <w:szCs w:val="24"/>
          <w:highlight w:val="none"/>
        </w:rPr>
      </w:pPr>
      <w:bookmarkStart w:id="236" w:name="_Toc8269"/>
      <w:bookmarkStart w:id="237" w:name="_Toc4762"/>
      <w:r>
        <w:rPr>
          <w:rFonts w:hint="eastAsia" w:ascii="宋体" w:hAnsi="宋体" w:eastAsia="宋体" w:cs="宋体"/>
          <w:b/>
          <w:bCs/>
          <w:color w:val="auto"/>
          <w:sz w:val="24"/>
          <w:szCs w:val="24"/>
          <w:highlight w:val="none"/>
        </w:rPr>
        <w:t>一、质疑供应商基本信息：</w:t>
      </w:r>
      <w:bookmarkEnd w:id="236"/>
      <w:bookmarkEnd w:id="237"/>
    </w:p>
    <w:p w14:paraId="1FBB90BB">
      <w:pPr>
        <w:pStyle w:val="13"/>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27C742B">
      <w:pPr>
        <w:pStyle w:val="13"/>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E06FF97">
      <w:pPr>
        <w:pStyle w:val="13"/>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16B3B354">
      <w:pPr>
        <w:pStyle w:val="13"/>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5D1682E7">
      <w:pPr>
        <w:pStyle w:val="13"/>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7F36C9CB">
      <w:pPr>
        <w:pStyle w:val="13"/>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0B5684C9">
      <w:pPr>
        <w:pStyle w:val="13"/>
        <w:spacing w:line="360" w:lineRule="auto"/>
        <w:ind w:firstLine="482" w:firstLineChars="200"/>
        <w:contextualSpacing/>
        <w:outlineLvl w:val="1"/>
        <w:rPr>
          <w:rFonts w:hint="eastAsia" w:ascii="宋体" w:hAnsi="宋体" w:eastAsia="宋体" w:cs="宋体"/>
          <w:b/>
          <w:bCs/>
          <w:color w:val="auto"/>
          <w:sz w:val="24"/>
          <w:szCs w:val="24"/>
          <w:highlight w:val="none"/>
        </w:rPr>
      </w:pPr>
      <w:bookmarkStart w:id="238" w:name="_Toc3003"/>
      <w:bookmarkStart w:id="239" w:name="_Toc7817"/>
      <w:r>
        <w:rPr>
          <w:rFonts w:hint="eastAsia" w:ascii="宋体" w:hAnsi="宋体" w:eastAsia="宋体" w:cs="宋体"/>
          <w:b/>
          <w:bCs/>
          <w:color w:val="auto"/>
          <w:sz w:val="24"/>
          <w:szCs w:val="24"/>
          <w:highlight w:val="none"/>
        </w:rPr>
        <w:t>二、质疑项目基本情况：</w:t>
      </w:r>
      <w:bookmarkEnd w:id="238"/>
      <w:bookmarkEnd w:id="239"/>
    </w:p>
    <w:p w14:paraId="0257FBB4">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7DE02C02">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038CE75A">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1D9ED67">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72F9BAFC">
      <w:pPr>
        <w:pStyle w:val="13"/>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5E1AEF77">
      <w:pPr>
        <w:pStyle w:val="13"/>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3DED4CCF">
      <w:pPr>
        <w:pStyle w:val="13"/>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473A03A3">
      <w:pPr>
        <w:pStyle w:val="13"/>
        <w:spacing w:line="360" w:lineRule="auto"/>
        <w:ind w:left="25" w:leftChars="12" w:firstLine="472" w:firstLineChars="196"/>
        <w:contextualSpacing/>
        <w:outlineLvl w:val="1"/>
        <w:rPr>
          <w:rFonts w:hint="eastAsia" w:ascii="宋体" w:hAnsi="宋体" w:eastAsia="宋体" w:cs="宋体"/>
          <w:b/>
          <w:color w:val="auto"/>
          <w:sz w:val="24"/>
          <w:szCs w:val="24"/>
          <w:highlight w:val="none"/>
        </w:rPr>
      </w:pPr>
      <w:bookmarkStart w:id="240" w:name="_Toc8197"/>
      <w:bookmarkStart w:id="241" w:name="_Toc5702"/>
      <w:r>
        <w:rPr>
          <w:rFonts w:hint="eastAsia" w:ascii="宋体" w:hAnsi="宋体" w:eastAsia="宋体" w:cs="宋体"/>
          <w:b/>
          <w:color w:val="auto"/>
          <w:sz w:val="24"/>
          <w:szCs w:val="24"/>
          <w:highlight w:val="none"/>
        </w:rPr>
        <w:t>三、质疑事项具体内容</w:t>
      </w:r>
      <w:bookmarkEnd w:id="240"/>
      <w:bookmarkEnd w:id="241"/>
    </w:p>
    <w:p w14:paraId="012B8672">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1F1C2F70">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564CE4A6">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6A561B89">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35DBA059">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07AA5E6">
      <w:pPr>
        <w:pStyle w:val="13"/>
        <w:spacing w:line="360" w:lineRule="auto"/>
        <w:ind w:left="25" w:leftChars="12" w:firstLine="472" w:firstLineChars="197"/>
        <w:contextualSpacing/>
        <w:outlineLvl w:val="1"/>
        <w:rPr>
          <w:rFonts w:hint="eastAsia" w:ascii="宋体" w:hAnsi="宋体" w:eastAsia="宋体" w:cs="宋体"/>
          <w:color w:val="auto"/>
          <w:sz w:val="24"/>
          <w:szCs w:val="24"/>
          <w:highlight w:val="none"/>
        </w:rPr>
      </w:pPr>
      <w:bookmarkStart w:id="242" w:name="_Toc5996"/>
      <w:bookmarkStart w:id="243" w:name="_Toc14610"/>
      <w:r>
        <w:rPr>
          <w:rFonts w:hint="eastAsia" w:ascii="宋体" w:hAnsi="宋体" w:eastAsia="宋体" w:cs="宋体"/>
          <w:color w:val="auto"/>
          <w:sz w:val="24"/>
          <w:szCs w:val="24"/>
          <w:highlight w:val="none"/>
        </w:rPr>
        <w:t>四、与质疑事项相关的质疑请求：</w:t>
      </w:r>
      <w:bookmarkEnd w:id="242"/>
      <w:bookmarkEnd w:id="243"/>
    </w:p>
    <w:p w14:paraId="796C2724">
      <w:pPr>
        <w:pStyle w:val="13"/>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35A4DAB5">
      <w:pPr>
        <w:pStyle w:val="13"/>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              日期：</w:t>
      </w:r>
    </w:p>
    <w:p w14:paraId="42E707D3">
      <w:pPr>
        <w:pStyle w:val="13"/>
        <w:spacing w:line="360" w:lineRule="auto"/>
        <w:contextualSpacing/>
        <w:rPr>
          <w:rFonts w:hint="eastAsia" w:ascii="宋体" w:hAnsi="宋体" w:eastAsia="宋体" w:cs="宋体"/>
          <w:b/>
          <w:color w:val="auto"/>
          <w:sz w:val="24"/>
          <w:szCs w:val="24"/>
          <w:highlight w:val="none"/>
        </w:rPr>
      </w:pPr>
    </w:p>
    <w:p w14:paraId="42256C51">
      <w:pPr>
        <w:pStyle w:val="13"/>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5BCC4886">
      <w:pPr>
        <w:pStyle w:val="13"/>
        <w:spacing w:line="360" w:lineRule="auto"/>
        <w:ind w:left="25" w:leftChars="12" w:firstLine="354" w:firstLineChars="147"/>
        <w:contextualSpacing/>
        <w:outlineLvl w:val="2"/>
        <w:rPr>
          <w:rFonts w:hint="eastAsia" w:ascii="宋体" w:hAnsi="宋体" w:eastAsia="宋体" w:cs="宋体"/>
          <w:b/>
          <w:bCs/>
          <w:color w:val="auto"/>
          <w:sz w:val="24"/>
          <w:szCs w:val="24"/>
          <w:highlight w:val="none"/>
        </w:rPr>
      </w:pPr>
      <w:bookmarkStart w:id="244" w:name="_Toc14999"/>
      <w:bookmarkStart w:id="245" w:name="_Toc20112"/>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bookmarkEnd w:id="244"/>
      <w:bookmarkEnd w:id="245"/>
    </w:p>
    <w:p w14:paraId="40E0AF7D">
      <w:pPr>
        <w:pStyle w:val="13"/>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13E0961">
      <w:pPr>
        <w:pStyle w:val="13"/>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036F22F8">
      <w:pPr>
        <w:pStyle w:val="13"/>
        <w:spacing w:line="360" w:lineRule="auto"/>
        <w:ind w:left="25" w:leftChars="12" w:firstLine="354" w:firstLineChars="147"/>
        <w:contextualSpacing/>
        <w:outlineLvl w:val="2"/>
        <w:rPr>
          <w:rFonts w:hint="eastAsia" w:ascii="宋体" w:hAnsi="宋体" w:eastAsia="宋体" w:cs="宋体"/>
          <w:b/>
          <w:color w:val="auto"/>
          <w:sz w:val="24"/>
          <w:szCs w:val="24"/>
          <w:highlight w:val="none"/>
        </w:rPr>
      </w:pPr>
      <w:bookmarkStart w:id="246" w:name="_Toc1251"/>
      <w:bookmarkStart w:id="247" w:name="_Toc32290"/>
      <w:r>
        <w:rPr>
          <w:rFonts w:hint="eastAsia" w:ascii="宋体" w:hAnsi="宋体" w:eastAsia="宋体" w:cs="宋体"/>
          <w:b/>
          <w:color w:val="auto"/>
          <w:sz w:val="24"/>
          <w:szCs w:val="24"/>
          <w:highlight w:val="none"/>
        </w:rPr>
        <w:t>4、质疑函的质疑请求应与质疑事项相关。</w:t>
      </w:r>
      <w:bookmarkEnd w:id="246"/>
      <w:bookmarkEnd w:id="247"/>
    </w:p>
    <w:p w14:paraId="34FD834A">
      <w:pPr>
        <w:pStyle w:val="13"/>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38F934D5">
      <w:pPr>
        <w:pStyle w:val="13"/>
        <w:snapToGrid w:val="0"/>
        <w:rPr>
          <w:rFonts w:hint="eastAsia" w:ascii="宋体" w:hAnsi="宋体" w:eastAsia="宋体" w:cs="宋体"/>
          <w:b/>
          <w:color w:val="auto"/>
          <w:sz w:val="24"/>
          <w:szCs w:val="24"/>
          <w:highlight w:val="none"/>
        </w:rPr>
      </w:pPr>
    </w:p>
    <w:p w14:paraId="29794581">
      <w:pPr>
        <w:spacing w:line="460" w:lineRule="exact"/>
        <w:jc w:val="left"/>
        <w:rPr>
          <w:rFonts w:hint="eastAsia" w:ascii="宋体" w:hAnsi="宋体" w:eastAsia="宋体" w:cs="宋体"/>
          <w:color w:val="auto"/>
          <w:sz w:val="24"/>
          <w:highlight w:val="none"/>
        </w:rPr>
      </w:pPr>
      <w:r>
        <w:rPr>
          <w:rFonts w:hint="eastAsia" w:ascii="宋体" w:hAnsi="宋体" w:eastAsia="宋体" w:cs="宋体"/>
          <w:color w:val="auto"/>
          <w:sz w:val="44"/>
          <w:highlight w:val="none"/>
        </w:rPr>
        <w:br w:type="page"/>
      </w:r>
      <w:r>
        <w:rPr>
          <w:rFonts w:hint="eastAsia" w:ascii="宋体" w:hAnsi="宋体" w:eastAsia="宋体" w:cs="宋体"/>
          <w:b/>
          <w:color w:val="auto"/>
          <w:sz w:val="24"/>
          <w:highlight w:val="none"/>
        </w:rPr>
        <w:t>附件</w:t>
      </w: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：投诉书（格式）</w:t>
      </w:r>
    </w:p>
    <w:p w14:paraId="1A52ECDC">
      <w:pPr>
        <w:spacing w:line="460" w:lineRule="exact"/>
        <w:jc w:val="center"/>
        <w:outlineLvl w:val="1"/>
        <w:rPr>
          <w:rFonts w:hint="eastAsia" w:ascii="宋体" w:hAnsi="宋体" w:eastAsia="宋体" w:cs="宋体"/>
          <w:b/>
          <w:bCs/>
          <w:color w:val="auto"/>
          <w:sz w:val="32"/>
          <w:szCs w:val="32"/>
          <w:highlight w:val="none"/>
        </w:rPr>
      </w:pPr>
      <w:bookmarkStart w:id="248" w:name="_Toc4295"/>
      <w:bookmarkStart w:id="249" w:name="_Toc27701"/>
      <w:r>
        <w:rPr>
          <w:rFonts w:hint="eastAsia" w:ascii="宋体" w:hAnsi="宋体" w:eastAsia="宋体" w:cs="宋体"/>
          <w:b/>
          <w:bCs/>
          <w:color w:val="auto"/>
          <w:sz w:val="32"/>
          <w:szCs w:val="32"/>
          <w:highlight w:val="none"/>
        </w:rPr>
        <w:t>投诉书（格式）</w:t>
      </w:r>
      <w:bookmarkEnd w:id="248"/>
      <w:bookmarkEnd w:id="249"/>
    </w:p>
    <w:p w14:paraId="3D10717D">
      <w:pPr>
        <w:pStyle w:val="3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（如有）</w:t>
      </w:r>
    </w:p>
    <w:p w14:paraId="62E1B59B">
      <w:pPr>
        <w:pStyle w:val="30"/>
        <w:rPr>
          <w:rFonts w:hint="eastAsia" w:ascii="宋体" w:hAnsi="宋体" w:eastAsia="宋体" w:cs="宋体"/>
          <w:color w:val="auto"/>
          <w:highlight w:val="none"/>
        </w:rPr>
      </w:pPr>
    </w:p>
    <w:p w14:paraId="45868C4C">
      <w:pPr>
        <w:pStyle w:val="32"/>
        <w:rPr>
          <w:rFonts w:hint="eastAsia" w:ascii="宋体" w:hAnsi="宋体" w:eastAsia="宋体" w:cs="宋体"/>
          <w:color w:val="auto"/>
          <w:highlight w:val="none"/>
        </w:rPr>
      </w:pPr>
    </w:p>
    <w:p w14:paraId="23030C87">
      <w:pPr>
        <w:rPr>
          <w:rFonts w:hint="eastAsia" w:ascii="宋体" w:hAnsi="宋体" w:eastAsia="宋体" w:cs="宋体"/>
          <w:color w:val="auto"/>
          <w:highlight w:val="none"/>
        </w:rPr>
      </w:pPr>
    </w:p>
    <w:p w14:paraId="3ED4494F">
      <w:pPr>
        <w:pStyle w:val="14"/>
        <w:rPr>
          <w:rFonts w:hint="eastAsia" w:ascii="宋体" w:hAnsi="宋体" w:eastAsia="宋体" w:cs="宋体"/>
          <w:color w:val="auto"/>
          <w:highlight w:val="none"/>
        </w:rPr>
      </w:pPr>
    </w:p>
    <w:p w14:paraId="685DD71B">
      <w:pPr>
        <w:pStyle w:val="16"/>
        <w:rPr>
          <w:rFonts w:hint="eastAsia" w:ascii="宋体" w:hAnsi="宋体" w:eastAsia="宋体" w:cs="宋体"/>
          <w:color w:val="auto"/>
          <w:highlight w:val="none"/>
        </w:rPr>
      </w:pPr>
    </w:p>
    <w:p w14:paraId="1196E704">
      <w:pPr>
        <w:rPr>
          <w:rFonts w:hint="eastAsia" w:ascii="宋体" w:hAnsi="宋体" w:eastAsia="宋体" w:cs="宋体"/>
          <w:color w:val="auto"/>
          <w:highlight w:val="none"/>
        </w:rPr>
      </w:pPr>
    </w:p>
    <w:p w14:paraId="48F5FFF8">
      <w:pPr>
        <w:pStyle w:val="14"/>
        <w:rPr>
          <w:rFonts w:hint="eastAsia" w:ascii="宋体" w:hAnsi="宋体" w:eastAsia="宋体" w:cs="宋体"/>
          <w:color w:val="auto"/>
          <w:highlight w:val="none"/>
        </w:rPr>
      </w:pPr>
    </w:p>
    <w:p w14:paraId="071D8837">
      <w:pPr>
        <w:pStyle w:val="16"/>
        <w:rPr>
          <w:rFonts w:hint="eastAsia" w:ascii="宋体" w:hAnsi="宋体" w:eastAsia="宋体" w:cs="宋体"/>
          <w:color w:val="auto"/>
          <w:highlight w:val="none"/>
        </w:rPr>
      </w:pPr>
    </w:p>
    <w:p w14:paraId="6D559D2E">
      <w:pPr>
        <w:rPr>
          <w:rFonts w:hint="eastAsia" w:ascii="宋体" w:hAnsi="宋体" w:eastAsia="宋体" w:cs="宋体"/>
          <w:color w:val="auto"/>
          <w:highlight w:val="none"/>
        </w:rPr>
      </w:pPr>
    </w:p>
    <w:p w14:paraId="5194AE3A">
      <w:pPr>
        <w:pStyle w:val="14"/>
        <w:rPr>
          <w:rFonts w:hint="eastAsia" w:ascii="宋体" w:hAnsi="宋体" w:eastAsia="宋体" w:cs="宋体"/>
          <w:color w:val="auto"/>
          <w:highlight w:val="none"/>
        </w:rPr>
      </w:pPr>
    </w:p>
    <w:p w14:paraId="6BD18675">
      <w:pPr>
        <w:pStyle w:val="16"/>
        <w:rPr>
          <w:rFonts w:hint="eastAsia" w:ascii="宋体" w:hAnsi="宋体" w:eastAsia="宋体" w:cs="宋体"/>
          <w:color w:val="auto"/>
          <w:highlight w:val="none"/>
        </w:rPr>
      </w:pPr>
    </w:p>
    <w:p w14:paraId="12D69B32">
      <w:pPr>
        <w:pStyle w:val="13"/>
        <w:snapToGrid w:val="0"/>
        <w:spacing w:line="360" w:lineRule="auto"/>
        <w:ind w:firstLine="482" w:firstLineChars="200"/>
        <w:outlineLvl w:val="1"/>
        <w:rPr>
          <w:rFonts w:hint="eastAsia" w:ascii="宋体" w:hAnsi="宋体" w:eastAsia="宋体" w:cs="宋体"/>
          <w:b/>
          <w:bCs/>
          <w:color w:val="auto"/>
          <w:sz w:val="24"/>
          <w:szCs w:val="24"/>
          <w:highlight w:val="none"/>
        </w:rPr>
      </w:pPr>
      <w:bookmarkStart w:id="250" w:name="_Toc21435"/>
      <w:bookmarkStart w:id="251" w:name="_Toc2890"/>
      <w:r>
        <w:rPr>
          <w:rFonts w:hint="eastAsia" w:ascii="宋体" w:hAnsi="宋体" w:eastAsia="宋体" w:cs="宋体"/>
          <w:b/>
          <w:bCs/>
          <w:color w:val="auto"/>
          <w:sz w:val="24"/>
          <w:szCs w:val="24"/>
          <w:highlight w:val="none"/>
        </w:rPr>
        <w:t>一、投诉相关主体基本情况：</w:t>
      </w:r>
      <w:bookmarkEnd w:id="250"/>
      <w:bookmarkEnd w:id="251"/>
    </w:p>
    <w:p w14:paraId="1CC8B666">
      <w:pPr>
        <w:pStyle w:val="13"/>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B6B1EA4">
      <w:pPr>
        <w:pStyle w:val="13"/>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B977E66">
      <w:pPr>
        <w:pStyle w:val="13"/>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1794EC02">
      <w:pPr>
        <w:pStyle w:val="13"/>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10092993">
      <w:pPr>
        <w:pStyle w:val="13"/>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16BB04B8">
      <w:pPr>
        <w:pStyle w:val="13"/>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C4DA799">
      <w:pPr>
        <w:pStyle w:val="13"/>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015C3F7">
      <w:pPr>
        <w:pStyle w:val="13"/>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5D6319AC">
      <w:pPr>
        <w:pStyle w:val="13"/>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5C36A356">
      <w:pPr>
        <w:pStyle w:val="13"/>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D4DAB08">
      <w:pPr>
        <w:pStyle w:val="13"/>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220969B">
      <w:pPr>
        <w:pStyle w:val="13"/>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30BE702D">
      <w:pPr>
        <w:pStyle w:val="13"/>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5A554B5E">
      <w:pPr>
        <w:pStyle w:val="13"/>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1D3ABF47">
      <w:pPr>
        <w:pStyle w:val="13"/>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562A64FA">
      <w:pPr>
        <w:pStyle w:val="13"/>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BF57E3A">
      <w:pPr>
        <w:pStyle w:val="13"/>
        <w:snapToGrid w:val="0"/>
        <w:spacing w:line="360" w:lineRule="auto"/>
        <w:ind w:firstLine="482" w:firstLineChars="200"/>
        <w:outlineLvl w:val="1"/>
        <w:rPr>
          <w:rFonts w:hint="eastAsia" w:ascii="宋体" w:hAnsi="宋体" w:eastAsia="宋体" w:cs="宋体"/>
          <w:b/>
          <w:bCs/>
          <w:color w:val="auto"/>
          <w:sz w:val="24"/>
          <w:szCs w:val="24"/>
          <w:highlight w:val="none"/>
        </w:rPr>
      </w:pPr>
      <w:bookmarkStart w:id="252" w:name="_Toc8747"/>
      <w:bookmarkStart w:id="253" w:name="_Toc4891"/>
      <w:r>
        <w:rPr>
          <w:rFonts w:hint="eastAsia" w:ascii="宋体" w:hAnsi="宋体" w:eastAsia="宋体" w:cs="宋体"/>
          <w:b/>
          <w:bCs/>
          <w:color w:val="auto"/>
          <w:sz w:val="24"/>
          <w:szCs w:val="24"/>
          <w:highlight w:val="none"/>
        </w:rPr>
        <w:t>二、投诉项目基本情况：</w:t>
      </w:r>
      <w:bookmarkEnd w:id="252"/>
      <w:bookmarkEnd w:id="253"/>
    </w:p>
    <w:p w14:paraId="615975F1">
      <w:pPr>
        <w:pStyle w:val="13"/>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70C48AAD">
      <w:pPr>
        <w:pStyle w:val="13"/>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58D37DAC">
      <w:pPr>
        <w:pStyle w:val="13"/>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0A00B3CC">
      <w:pPr>
        <w:pStyle w:val="13"/>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791A3F05">
      <w:pPr>
        <w:pStyle w:val="13"/>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709B0355">
      <w:pPr>
        <w:pStyle w:val="13"/>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496144FC">
      <w:pPr>
        <w:pStyle w:val="13"/>
        <w:spacing w:line="360" w:lineRule="auto"/>
        <w:ind w:left="25" w:leftChars="12" w:firstLine="472" w:firstLineChars="196"/>
        <w:outlineLvl w:val="1"/>
        <w:rPr>
          <w:rFonts w:hint="eastAsia" w:ascii="宋体" w:hAnsi="宋体" w:eastAsia="宋体" w:cs="宋体"/>
          <w:b/>
          <w:color w:val="auto"/>
          <w:sz w:val="24"/>
          <w:szCs w:val="24"/>
          <w:highlight w:val="none"/>
        </w:rPr>
      </w:pPr>
      <w:bookmarkStart w:id="254" w:name="_Toc6437"/>
      <w:bookmarkStart w:id="255" w:name="_Toc24557"/>
      <w:r>
        <w:rPr>
          <w:rFonts w:hint="eastAsia" w:ascii="宋体" w:hAnsi="宋体" w:eastAsia="宋体" w:cs="宋体"/>
          <w:b/>
          <w:color w:val="auto"/>
          <w:sz w:val="24"/>
          <w:szCs w:val="24"/>
          <w:highlight w:val="none"/>
        </w:rPr>
        <w:t>三、质疑基本情况</w:t>
      </w:r>
      <w:bookmarkEnd w:id="254"/>
      <w:bookmarkEnd w:id="255"/>
    </w:p>
    <w:p w14:paraId="5F94F491">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176D956F">
      <w:pPr>
        <w:pStyle w:val="13"/>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17970A32">
      <w:pPr>
        <w:pStyle w:val="13"/>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4221C924">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6E456B35">
      <w:pPr>
        <w:pStyle w:val="13"/>
        <w:spacing w:line="360" w:lineRule="auto"/>
        <w:ind w:left="25" w:leftChars="12" w:firstLine="472" w:firstLineChars="196"/>
        <w:outlineLvl w:val="1"/>
        <w:rPr>
          <w:rFonts w:hint="eastAsia" w:ascii="宋体" w:hAnsi="宋体" w:eastAsia="宋体" w:cs="宋体"/>
          <w:b/>
          <w:color w:val="auto"/>
          <w:sz w:val="24"/>
          <w:szCs w:val="24"/>
          <w:highlight w:val="none"/>
        </w:rPr>
      </w:pPr>
      <w:bookmarkStart w:id="256" w:name="_Toc21077"/>
      <w:bookmarkStart w:id="257" w:name="_Toc21703"/>
      <w:r>
        <w:rPr>
          <w:rFonts w:hint="eastAsia" w:ascii="宋体" w:hAnsi="宋体" w:eastAsia="宋体" w:cs="宋体"/>
          <w:b/>
          <w:color w:val="auto"/>
          <w:sz w:val="24"/>
          <w:szCs w:val="24"/>
          <w:highlight w:val="none"/>
        </w:rPr>
        <w:t>四、投诉事项具体内容</w:t>
      </w:r>
      <w:bookmarkEnd w:id="256"/>
      <w:bookmarkEnd w:id="257"/>
    </w:p>
    <w:p w14:paraId="5F218879">
      <w:pPr>
        <w:pStyle w:val="13"/>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643FE0A5">
      <w:pPr>
        <w:pStyle w:val="13"/>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FEADFD4">
      <w:pPr>
        <w:pStyle w:val="13"/>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3D2ABF2A">
      <w:pPr>
        <w:pStyle w:val="13"/>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19F6259E">
      <w:pPr>
        <w:pStyle w:val="13"/>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DA88343">
      <w:pPr>
        <w:pStyle w:val="13"/>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3586C910">
      <w:pPr>
        <w:pStyle w:val="13"/>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24521347">
      <w:pPr>
        <w:pStyle w:val="13"/>
        <w:spacing w:line="360" w:lineRule="auto"/>
        <w:ind w:left="25" w:leftChars="12" w:firstLine="472" w:firstLineChars="196"/>
        <w:outlineLvl w:val="1"/>
        <w:rPr>
          <w:rFonts w:hint="eastAsia" w:ascii="宋体" w:hAnsi="宋体" w:eastAsia="宋体" w:cs="宋体"/>
          <w:b/>
          <w:color w:val="auto"/>
          <w:sz w:val="24"/>
          <w:szCs w:val="24"/>
          <w:highlight w:val="none"/>
        </w:rPr>
      </w:pPr>
      <w:bookmarkStart w:id="258" w:name="_Toc8048"/>
      <w:bookmarkStart w:id="259" w:name="_Toc10725"/>
      <w:r>
        <w:rPr>
          <w:rFonts w:hint="eastAsia" w:ascii="宋体" w:hAnsi="宋体" w:eastAsia="宋体" w:cs="宋体"/>
          <w:b/>
          <w:color w:val="auto"/>
          <w:sz w:val="24"/>
          <w:szCs w:val="24"/>
          <w:highlight w:val="none"/>
        </w:rPr>
        <w:t>五、与投诉事项相关的投诉请求：</w:t>
      </w:r>
      <w:bookmarkEnd w:id="258"/>
      <w:bookmarkEnd w:id="259"/>
    </w:p>
    <w:p w14:paraId="7C938C8A">
      <w:pPr>
        <w:pStyle w:val="13"/>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77219CC0">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           日期：</w:t>
      </w:r>
    </w:p>
    <w:p w14:paraId="41D1E8C1">
      <w:pPr>
        <w:pStyle w:val="13"/>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 xml:space="preserve">                                                                                 </w:t>
      </w:r>
    </w:p>
    <w:p w14:paraId="56F61355">
      <w:pPr>
        <w:pStyle w:val="13"/>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0125BC64">
      <w:pPr>
        <w:pStyle w:val="13"/>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39B193F8">
      <w:pPr>
        <w:pStyle w:val="13"/>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88ED635">
      <w:pPr>
        <w:pStyle w:val="13"/>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5901201A">
      <w:pPr>
        <w:pStyle w:val="13"/>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1CA39769">
      <w:pPr>
        <w:pStyle w:val="13"/>
        <w:spacing w:line="360" w:lineRule="auto"/>
        <w:ind w:left="25" w:leftChars="12" w:firstLine="354" w:firstLineChars="147"/>
        <w:outlineLvl w:val="2"/>
        <w:rPr>
          <w:rFonts w:hint="eastAsia" w:ascii="宋体" w:hAnsi="宋体" w:eastAsia="宋体" w:cs="宋体"/>
          <w:b/>
          <w:color w:val="auto"/>
          <w:sz w:val="24"/>
          <w:szCs w:val="24"/>
          <w:highlight w:val="none"/>
        </w:rPr>
      </w:pPr>
      <w:bookmarkStart w:id="260" w:name="_Toc5486"/>
      <w:bookmarkStart w:id="261" w:name="_Toc32342"/>
      <w:r>
        <w:rPr>
          <w:rFonts w:hint="eastAsia" w:ascii="宋体" w:hAnsi="宋体" w:eastAsia="宋体" w:cs="宋体"/>
          <w:b/>
          <w:color w:val="auto"/>
          <w:sz w:val="24"/>
          <w:szCs w:val="24"/>
          <w:highlight w:val="none"/>
        </w:rPr>
        <w:t>5、投诉书的投诉请求应与投诉事项相关。</w:t>
      </w:r>
      <w:bookmarkEnd w:id="260"/>
      <w:bookmarkEnd w:id="261"/>
    </w:p>
    <w:p w14:paraId="42C9D590">
      <w:pPr>
        <w:pStyle w:val="13"/>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14:paraId="5563D893">
      <w:pPr>
        <w:pStyle w:val="13"/>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2A901556">
      <w:pPr>
        <w:pStyle w:val="2"/>
        <w:spacing w:line="360" w:lineRule="auto"/>
        <w:jc w:val="center"/>
        <w:outlineLvl w:val="0"/>
        <w:rPr>
          <w:rFonts w:hint="eastAsia" w:ascii="宋体" w:hAnsi="宋体" w:eastAsia="宋体" w:cs="宋体"/>
          <w:b/>
          <w:bCs/>
          <w:color w:val="auto"/>
          <w:sz w:val="36"/>
          <w:szCs w:val="36"/>
          <w:highlight w:val="none"/>
          <w:lang w:val="en-US" w:eastAsia="zh-CN"/>
        </w:rPr>
      </w:pPr>
      <w:bookmarkStart w:id="262" w:name="_Toc22708"/>
      <w:bookmarkStart w:id="263" w:name="_Toc29071"/>
      <w:bookmarkStart w:id="264" w:name="_Toc13680"/>
      <w:bookmarkStart w:id="265" w:name="_Toc18775"/>
      <w:r>
        <w:rPr>
          <w:rFonts w:hint="eastAsia" w:ascii="宋体" w:hAnsi="宋体" w:eastAsia="宋体" w:cs="宋体"/>
          <w:b/>
          <w:bCs/>
          <w:color w:val="auto"/>
          <w:sz w:val="36"/>
          <w:szCs w:val="36"/>
          <w:highlight w:val="none"/>
          <w:lang w:val="en-US" w:eastAsia="zh-CN"/>
        </w:rPr>
        <w:t>第</w:t>
      </w:r>
      <w:r>
        <w:rPr>
          <w:rFonts w:hint="eastAsia" w:ascii="宋体" w:hAnsi="宋体" w:cs="宋体"/>
          <w:b/>
          <w:bCs/>
          <w:color w:val="auto"/>
          <w:sz w:val="36"/>
          <w:szCs w:val="36"/>
          <w:highlight w:val="none"/>
          <w:lang w:val="en-US" w:eastAsia="zh-CN"/>
        </w:rPr>
        <w:t>八</w:t>
      </w:r>
      <w:r>
        <w:rPr>
          <w:rFonts w:hint="eastAsia" w:ascii="宋体" w:hAnsi="宋体" w:eastAsia="宋体" w:cs="宋体"/>
          <w:b/>
          <w:bCs/>
          <w:color w:val="auto"/>
          <w:sz w:val="36"/>
          <w:szCs w:val="36"/>
          <w:highlight w:val="none"/>
          <w:lang w:val="en-US" w:eastAsia="zh-CN"/>
        </w:rPr>
        <w:t>章 “政采贷”政策告知函</w:t>
      </w:r>
      <w:bookmarkEnd w:id="262"/>
      <w:bookmarkEnd w:id="263"/>
      <w:bookmarkEnd w:id="264"/>
      <w:bookmarkEnd w:id="265"/>
    </w:p>
    <w:p w14:paraId="49AD61A0">
      <w:pPr>
        <w:keepNext w:val="0"/>
        <w:keepLines w:val="0"/>
        <w:pageBreakBefore w:val="0"/>
        <w:kinsoku/>
        <w:wordWrap/>
        <w:overflowPunct/>
        <w:topLinePunct w:val="0"/>
        <w:autoSpaceDE/>
        <w:autoSpaceDN/>
        <w:bidi w:val="0"/>
        <w:spacing w:line="460" w:lineRule="exact"/>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各供应商:</w:t>
      </w:r>
    </w:p>
    <w:p w14:paraId="281B33EE">
      <w:pPr>
        <w:keepNext w:val="0"/>
        <w:keepLines w:val="0"/>
        <w:pageBreakBefore w:val="0"/>
        <w:kinsoku/>
        <w:wordWrap/>
        <w:overflowPunct/>
        <w:topLinePunct w:val="0"/>
        <w:autoSpaceDE/>
        <w:autoSpaceDN/>
        <w:bidi w:val="0"/>
        <w:spacing w:line="460" w:lineRule="exact"/>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欢迎贵公司参与贺州市政府采购活动!</w:t>
      </w:r>
    </w:p>
    <w:p w14:paraId="18A78DE3">
      <w:pPr>
        <w:keepNext w:val="0"/>
        <w:keepLines w:val="0"/>
        <w:pageBreakBefore w:val="0"/>
        <w:widowControl/>
        <w:kinsoku/>
        <w:wordWrap/>
        <w:overflowPunct/>
        <w:topLinePunct w:val="0"/>
        <w:autoSpaceDE/>
        <w:autoSpaceDN/>
        <w:bidi w:val="0"/>
        <w:adjustRightInd w:val="0"/>
        <w:snapToGrid w:val="0"/>
        <w:spacing w:after="0" w:line="4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融资是支持中小微企业发展，针对参与政府采购活动的供应商融资难、融资贵问题推出的融资政策。参与政府采购的供应商凭借包括中标（成交）通知书或政府采购合同等在内的相关材料、信息向银行业金融机构申请融资，银行业金融机构依托供应商信用和政府采购信息信誉，为其发放贷款，包括银行业金融机构以供应商的历史中标及履约情况等政府采购信息作为授信参考并发放的贷款。贵公司若成为本次政府采购项目的中标成交供应商，可持政府采购合同</w:t>
      </w:r>
      <w:r>
        <w:rPr>
          <w:rFonts w:hint="eastAsia" w:ascii="宋体" w:hAnsi="宋体" w:eastAsia="宋体" w:cs="宋体"/>
          <w:color w:val="auto"/>
          <w:sz w:val="21"/>
          <w:szCs w:val="21"/>
          <w:highlight w:val="none"/>
          <w:lang w:eastAsia="zh-CN"/>
        </w:rPr>
        <w:t>等相关材料</w:t>
      </w:r>
      <w:r>
        <w:rPr>
          <w:rFonts w:hint="eastAsia" w:ascii="宋体" w:hAnsi="宋体" w:eastAsia="宋体" w:cs="宋体"/>
          <w:color w:val="auto"/>
          <w:sz w:val="21"/>
          <w:szCs w:val="21"/>
          <w:highlight w:val="none"/>
        </w:rPr>
        <w:t>向金融机构申请贷款，金融机构核实信息，按照双方自愿的原则提供便捷、优惠的贷款服务。</w:t>
      </w:r>
    </w:p>
    <w:p w14:paraId="300A0CDA">
      <w:pPr>
        <w:keepNext w:val="0"/>
        <w:keepLines w:val="0"/>
        <w:pageBreakBefore w:val="0"/>
        <w:widowControl/>
        <w:kinsoku/>
        <w:wordWrap/>
        <w:overflowPunct/>
        <w:topLinePunct w:val="0"/>
        <w:autoSpaceDE/>
        <w:autoSpaceDN/>
        <w:bidi w:val="0"/>
        <w:adjustRightInd w:val="0"/>
        <w:snapToGrid w:val="0"/>
        <w:spacing w:after="0" w:line="4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一、“政采贷”操作流程</w:t>
      </w:r>
    </w:p>
    <w:p w14:paraId="165B2B24">
      <w:pPr>
        <w:keepNext w:val="0"/>
        <w:keepLines w:val="0"/>
        <w:pageBreakBefore w:val="0"/>
        <w:widowControl/>
        <w:kinsoku/>
        <w:wordWrap/>
        <w:overflowPunct/>
        <w:topLinePunct w:val="0"/>
        <w:autoSpaceDE/>
        <w:autoSpaceDN/>
        <w:bidi w:val="0"/>
        <w:adjustRightInd w:val="0"/>
        <w:snapToGrid w:val="0"/>
        <w:spacing w:after="0" w:line="460" w:lineRule="exact"/>
        <w:ind w:right="0" w:rightChars="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进入“广西政府采购网”（</w:t>
      </w:r>
      <w:r>
        <w:rPr>
          <w:rFonts w:hint="eastAsia" w:ascii="宋体" w:hAnsi="宋体" w:eastAsia="宋体" w:cs="宋体"/>
          <w:color w:val="auto"/>
          <w:sz w:val="21"/>
          <w:szCs w:val="21"/>
          <w:highlight w:val="none"/>
          <w:lang w:eastAsia="zh-CN"/>
        </w:rPr>
        <w:fldChar w:fldCharType="begin"/>
      </w:r>
      <w:r>
        <w:rPr>
          <w:rFonts w:hint="eastAsia" w:ascii="宋体" w:hAnsi="宋体" w:eastAsia="宋体" w:cs="宋体"/>
          <w:color w:val="auto"/>
          <w:sz w:val="21"/>
          <w:szCs w:val="21"/>
          <w:highlight w:val="none"/>
          <w:lang w:eastAsia="zh-CN"/>
        </w:rPr>
        <w:instrText xml:space="preserve"> HYPERLINK "http://zfcg.gxzf.gov.cn/" </w:instrText>
      </w:r>
      <w:r>
        <w:rPr>
          <w:rFonts w:hint="eastAsia" w:ascii="宋体" w:hAnsi="宋体" w:eastAsia="宋体" w:cs="宋体"/>
          <w:color w:val="auto"/>
          <w:sz w:val="21"/>
          <w:szCs w:val="21"/>
          <w:highlight w:val="none"/>
          <w:lang w:eastAsia="zh-CN"/>
        </w:rPr>
        <w:fldChar w:fldCharType="separate"/>
      </w:r>
      <w:r>
        <w:rPr>
          <w:rStyle w:val="25"/>
          <w:rFonts w:hint="eastAsia" w:ascii="宋体" w:hAnsi="宋体" w:eastAsia="宋体" w:cs="宋体"/>
          <w:color w:val="auto"/>
          <w:sz w:val="21"/>
          <w:szCs w:val="21"/>
          <w:highlight w:val="none"/>
          <w:lang w:eastAsia="zh-CN"/>
        </w:rPr>
        <w:t>http://zfcg.gxzf.gov.cn/</w:t>
      </w:r>
      <w:r>
        <w:rPr>
          <w:rFonts w:hint="eastAsia" w:ascii="宋体" w:hAnsi="宋体" w:eastAsia="宋体" w:cs="宋体"/>
          <w:color w:val="auto"/>
          <w:sz w:val="21"/>
          <w:szCs w:val="21"/>
          <w:highlight w:val="none"/>
          <w:lang w:eastAsia="zh-CN"/>
        </w:rPr>
        <w:fldChar w:fldCharType="end"/>
      </w:r>
      <w:r>
        <w:rPr>
          <w:rFonts w:hint="eastAsia" w:ascii="宋体" w:hAnsi="宋体" w:eastAsia="宋体" w:cs="宋体"/>
          <w:color w:val="auto"/>
          <w:sz w:val="21"/>
          <w:szCs w:val="21"/>
          <w:highlight w:val="none"/>
          <w:lang w:eastAsia="zh-CN"/>
        </w:rPr>
        <w:t>）“办事指南”专栏找到“金融融资”板块，进入“广西政府采购金融服务平台”登录，选择试点银行机构进行合同融资预申请。</w:t>
      </w:r>
    </w:p>
    <w:p w14:paraId="2CB15F3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二、</w:t>
      </w:r>
      <w:r>
        <w:rPr>
          <w:rFonts w:hint="eastAsia" w:ascii="宋体" w:hAnsi="宋体" w:eastAsia="宋体" w:cs="宋体"/>
          <w:color w:val="auto"/>
          <w:sz w:val="21"/>
          <w:szCs w:val="21"/>
          <w:highlight w:val="none"/>
          <w:lang w:val="en-US" w:eastAsia="zh-CN"/>
        </w:rPr>
        <w:t>承接银行联系方式</w:t>
      </w:r>
    </w:p>
    <w:p w14:paraId="3E3F036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1.中国建设银行贺州分行</w:t>
      </w:r>
      <w:r>
        <w:rPr>
          <w:rFonts w:hint="eastAsia" w:ascii="宋体" w:hAnsi="宋体" w:eastAsia="宋体" w:cs="宋体"/>
          <w:color w:val="auto"/>
          <w:sz w:val="21"/>
          <w:szCs w:val="21"/>
          <w:highlight w:val="none"/>
          <w:lang w:val="en-US" w:eastAsia="zh-CN"/>
        </w:rPr>
        <w:tab/>
      </w:r>
    </w:p>
    <w:tbl>
      <w:tblPr>
        <w:tblStyle w:val="23"/>
        <w:tblpPr w:leftFromText="180" w:rightFromText="180" w:vertAnchor="text" w:horzAnchor="page" w:tblpX="1362" w:tblpY="142"/>
        <w:tblOverlap w:val="never"/>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0"/>
        <w:gridCol w:w="1185"/>
        <w:gridCol w:w="1515"/>
        <w:gridCol w:w="1470"/>
        <w:gridCol w:w="2820"/>
      </w:tblGrid>
      <w:tr w14:paraId="66F2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360" w:type="dxa"/>
            <w:gridSpan w:val="5"/>
            <w:noWrap w:val="0"/>
            <w:vAlign w:val="bottom"/>
          </w:tcPr>
          <w:p w14:paraId="61D603AA">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中国建设银行贺州分行   总协调人：杨宏毅    职务：公司业务部副总经理  手机号码：18077397188</w:t>
            </w:r>
          </w:p>
        </w:tc>
      </w:tr>
      <w:tr w14:paraId="0F9E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0" w:type="dxa"/>
            <w:noWrap w:val="0"/>
            <w:vAlign w:val="center"/>
          </w:tcPr>
          <w:p w14:paraId="500AA940">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金融机构</w:t>
            </w:r>
          </w:p>
        </w:tc>
        <w:tc>
          <w:tcPr>
            <w:tcW w:w="1185" w:type="dxa"/>
            <w:noWrap w:val="0"/>
            <w:vAlign w:val="center"/>
          </w:tcPr>
          <w:p w14:paraId="1691A078">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联系人</w:t>
            </w:r>
          </w:p>
        </w:tc>
        <w:tc>
          <w:tcPr>
            <w:tcW w:w="1515" w:type="dxa"/>
            <w:noWrap w:val="0"/>
            <w:vAlign w:val="center"/>
          </w:tcPr>
          <w:p w14:paraId="1FD6D4A8">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职务</w:t>
            </w:r>
          </w:p>
        </w:tc>
        <w:tc>
          <w:tcPr>
            <w:tcW w:w="1470" w:type="dxa"/>
            <w:noWrap w:val="0"/>
            <w:vAlign w:val="center"/>
          </w:tcPr>
          <w:p w14:paraId="6C749DD4">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手机号码</w:t>
            </w:r>
          </w:p>
        </w:tc>
        <w:tc>
          <w:tcPr>
            <w:tcW w:w="2820" w:type="dxa"/>
            <w:noWrap w:val="0"/>
            <w:vAlign w:val="center"/>
          </w:tcPr>
          <w:p w14:paraId="26DDB57A">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银行地址</w:t>
            </w:r>
          </w:p>
        </w:tc>
      </w:tr>
      <w:tr w14:paraId="08F7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370" w:type="dxa"/>
            <w:noWrap w:val="0"/>
            <w:vAlign w:val="center"/>
          </w:tcPr>
          <w:p w14:paraId="061EBCD5">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中国建设银行贺州平桂支行</w:t>
            </w:r>
          </w:p>
        </w:tc>
        <w:tc>
          <w:tcPr>
            <w:tcW w:w="1185" w:type="dxa"/>
            <w:noWrap w:val="0"/>
            <w:vAlign w:val="center"/>
          </w:tcPr>
          <w:p w14:paraId="2686483B">
            <w:pPr>
              <w:keepNext w:val="0"/>
              <w:keepLines w:val="0"/>
              <w:pageBreakBefore w:val="0"/>
              <w:widowControl/>
              <w:suppressLineNumbers w:val="0"/>
              <w:kinsoku/>
              <w:wordWrap/>
              <w:overflowPunct/>
              <w:topLinePunct w:val="0"/>
              <w:autoSpaceDE/>
              <w:autoSpaceDN/>
              <w:bidi w:val="0"/>
              <w:spacing w:line="460" w:lineRule="exact"/>
              <w:ind w:firstLine="210" w:firstLineChars="100"/>
              <w:jc w:val="center"/>
              <w:textAlignment w:val="center"/>
              <w:outlineLvl w:val="9"/>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邱伟</w:t>
            </w:r>
          </w:p>
        </w:tc>
        <w:tc>
          <w:tcPr>
            <w:tcW w:w="1515" w:type="dxa"/>
            <w:noWrap w:val="0"/>
            <w:vAlign w:val="center"/>
          </w:tcPr>
          <w:p w14:paraId="3C25423D">
            <w:pPr>
              <w:keepNext w:val="0"/>
              <w:keepLines w:val="0"/>
              <w:pageBreakBefore w:val="0"/>
              <w:widowControl/>
              <w:suppressLineNumbers w:val="0"/>
              <w:kinsoku/>
              <w:wordWrap/>
              <w:overflowPunct/>
              <w:topLinePunct w:val="0"/>
              <w:autoSpaceDE/>
              <w:autoSpaceDN/>
              <w:bidi w:val="0"/>
              <w:spacing w:line="460" w:lineRule="exact"/>
              <w:jc w:val="center"/>
              <w:textAlignment w:val="center"/>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客户经理</w:t>
            </w:r>
          </w:p>
        </w:tc>
        <w:tc>
          <w:tcPr>
            <w:tcW w:w="1470" w:type="dxa"/>
            <w:noWrap w:val="0"/>
            <w:vAlign w:val="center"/>
          </w:tcPr>
          <w:p w14:paraId="4F0EE47D">
            <w:pPr>
              <w:keepNext w:val="0"/>
              <w:keepLines w:val="0"/>
              <w:pageBreakBefore w:val="0"/>
              <w:widowControl/>
              <w:suppressLineNumbers w:val="0"/>
              <w:kinsoku/>
              <w:wordWrap/>
              <w:overflowPunct/>
              <w:topLinePunct w:val="0"/>
              <w:autoSpaceDE/>
              <w:autoSpaceDN/>
              <w:bidi w:val="0"/>
              <w:spacing w:line="460" w:lineRule="exact"/>
              <w:jc w:val="both"/>
              <w:textAlignment w:val="center"/>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18007840720</w:t>
            </w:r>
          </w:p>
        </w:tc>
        <w:tc>
          <w:tcPr>
            <w:tcW w:w="2820" w:type="dxa"/>
            <w:noWrap w:val="0"/>
            <w:vAlign w:val="center"/>
          </w:tcPr>
          <w:p w14:paraId="7BBA0887">
            <w:pPr>
              <w:keepNext w:val="0"/>
              <w:keepLines w:val="0"/>
              <w:pageBreakBefore w:val="0"/>
              <w:widowControl/>
              <w:suppressLineNumbers w:val="0"/>
              <w:kinsoku/>
              <w:wordWrap/>
              <w:overflowPunct/>
              <w:topLinePunct w:val="0"/>
              <w:autoSpaceDE/>
              <w:autoSpaceDN/>
              <w:bidi w:val="0"/>
              <w:spacing w:line="460" w:lineRule="exact"/>
              <w:jc w:val="center"/>
              <w:textAlignment w:val="center"/>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贺州市平桂区平桂大道15号富旺小区1号楼105号商铺</w:t>
            </w:r>
          </w:p>
        </w:tc>
      </w:tr>
    </w:tbl>
    <w:p w14:paraId="60DF6A1E">
      <w:pPr>
        <w:keepNext w:val="0"/>
        <w:keepLines w:val="0"/>
        <w:pageBreakBefore w:val="0"/>
        <w:widowControl/>
        <w:kinsoku/>
        <w:wordWrap/>
        <w:overflowPunct/>
        <w:topLinePunct w:val="0"/>
        <w:autoSpaceDE/>
        <w:autoSpaceDN/>
        <w:bidi w:val="0"/>
        <w:adjustRightInd w:val="0"/>
        <w:snapToGrid w:val="0"/>
        <w:spacing w:after="0" w:line="460" w:lineRule="exact"/>
        <w:ind w:firstLine="420" w:firstLineChars="2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2.广西北部湾银行</w:t>
      </w:r>
    </w:p>
    <w:tbl>
      <w:tblPr>
        <w:tblStyle w:val="23"/>
        <w:tblW w:w="933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1185"/>
        <w:gridCol w:w="1515"/>
        <w:gridCol w:w="1440"/>
        <w:gridCol w:w="2835"/>
      </w:tblGrid>
      <w:tr w14:paraId="68D2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330" w:type="dxa"/>
            <w:gridSpan w:val="5"/>
            <w:noWrap w:val="0"/>
            <w:vAlign w:val="bottom"/>
          </w:tcPr>
          <w:p w14:paraId="38717BBA">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广西北部湾银行贺州分行   总协调人：杨政    职务：普惠金融部总经理  手机号码：18978413000</w:t>
            </w:r>
          </w:p>
        </w:tc>
      </w:tr>
      <w:tr w14:paraId="1A3F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55" w:type="dxa"/>
            <w:noWrap w:val="0"/>
            <w:vAlign w:val="center"/>
          </w:tcPr>
          <w:p w14:paraId="2502394A">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金融机构</w:t>
            </w:r>
          </w:p>
        </w:tc>
        <w:tc>
          <w:tcPr>
            <w:tcW w:w="1185" w:type="dxa"/>
            <w:noWrap w:val="0"/>
            <w:vAlign w:val="center"/>
          </w:tcPr>
          <w:p w14:paraId="00E2F069">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联系人</w:t>
            </w:r>
          </w:p>
        </w:tc>
        <w:tc>
          <w:tcPr>
            <w:tcW w:w="1515" w:type="dxa"/>
            <w:noWrap w:val="0"/>
            <w:vAlign w:val="center"/>
          </w:tcPr>
          <w:p w14:paraId="0CCAF3B0">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职务</w:t>
            </w:r>
          </w:p>
        </w:tc>
        <w:tc>
          <w:tcPr>
            <w:tcW w:w="1440" w:type="dxa"/>
            <w:noWrap w:val="0"/>
            <w:vAlign w:val="center"/>
          </w:tcPr>
          <w:p w14:paraId="74D0C5C3">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手机号码</w:t>
            </w:r>
          </w:p>
        </w:tc>
        <w:tc>
          <w:tcPr>
            <w:tcW w:w="2835" w:type="dxa"/>
            <w:noWrap w:val="0"/>
            <w:vAlign w:val="center"/>
          </w:tcPr>
          <w:p w14:paraId="3AA201F2">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银行地址</w:t>
            </w:r>
          </w:p>
        </w:tc>
      </w:tr>
      <w:tr w14:paraId="558F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55" w:type="dxa"/>
            <w:noWrap w:val="0"/>
            <w:vAlign w:val="center"/>
          </w:tcPr>
          <w:p w14:paraId="337F0BD4">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广西北部湾银行贺州市平桂支行</w:t>
            </w:r>
          </w:p>
        </w:tc>
        <w:tc>
          <w:tcPr>
            <w:tcW w:w="1185" w:type="dxa"/>
            <w:noWrap w:val="0"/>
            <w:vAlign w:val="center"/>
          </w:tcPr>
          <w:p w14:paraId="43DA2261">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刘乐</w:t>
            </w:r>
          </w:p>
        </w:tc>
        <w:tc>
          <w:tcPr>
            <w:tcW w:w="1515" w:type="dxa"/>
            <w:noWrap w:val="0"/>
            <w:vAlign w:val="center"/>
          </w:tcPr>
          <w:p w14:paraId="247001A0">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公司客户经理</w:t>
            </w:r>
          </w:p>
        </w:tc>
        <w:tc>
          <w:tcPr>
            <w:tcW w:w="1440" w:type="dxa"/>
            <w:noWrap w:val="0"/>
            <w:vAlign w:val="center"/>
          </w:tcPr>
          <w:p w14:paraId="3CAC3798">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13036871008</w:t>
            </w:r>
          </w:p>
        </w:tc>
        <w:tc>
          <w:tcPr>
            <w:tcW w:w="2835" w:type="dxa"/>
            <w:noWrap w:val="0"/>
            <w:vAlign w:val="center"/>
          </w:tcPr>
          <w:p w14:paraId="59260429">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贺州市平桂区平桂大道4号3号楼103号商铺</w:t>
            </w:r>
          </w:p>
        </w:tc>
      </w:tr>
    </w:tbl>
    <w:p w14:paraId="1A0D2E33">
      <w:pPr>
        <w:keepNext w:val="0"/>
        <w:keepLines w:val="0"/>
        <w:pageBreakBefore w:val="0"/>
        <w:widowControl/>
        <w:kinsoku/>
        <w:wordWrap/>
        <w:overflowPunct/>
        <w:topLinePunct w:val="0"/>
        <w:autoSpaceDE/>
        <w:autoSpaceDN/>
        <w:bidi w:val="0"/>
        <w:adjustRightInd w:val="0"/>
        <w:snapToGrid w:val="0"/>
        <w:spacing w:after="0" w:line="460" w:lineRule="exact"/>
        <w:ind w:firstLine="420" w:firstLineChars="2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3.广西贺州桂东农村合作银行</w:t>
      </w:r>
    </w:p>
    <w:tbl>
      <w:tblPr>
        <w:tblStyle w:val="23"/>
        <w:tblW w:w="933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020"/>
        <w:gridCol w:w="1680"/>
        <w:gridCol w:w="1440"/>
        <w:gridCol w:w="2850"/>
      </w:tblGrid>
      <w:tr w14:paraId="7A99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0" w:type="dxa"/>
            <w:gridSpan w:val="5"/>
            <w:noWrap w:val="0"/>
            <w:vAlign w:val="top"/>
          </w:tcPr>
          <w:p w14:paraId="0CC5239D">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广西贺州桂东农村合作银行  总协调人：卢士强  职务：授信审批部总经理 手机号码：18077409115</w:t>
            </w:r>
          </w:p>
        </w:tc>
      </w:tr>
      <w:tr w14:paraId="12D6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noWrap w:val="0"/>
            <w:vAlign w:val="center"/>
          </w:tcPr>
          <w:p w14:paraId="671AADAE">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金融机构</w:t>
            </w:r>
          </w:p>
        </w:tc>
        <w:tc>
          <w:tcPr>
            <w:tcW w:w="1020" w:type="dxa"/>
            <w:noWrap w:val="0"/>
            <w:vAlign w:val="center"/>
          </w:tcPr>
          <w:p w14:paraId="301C3A79">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联系人</w:t>
            </w:r>
          </w:p>
        </w:tc>
        <w:tc>
          <w:tcPr>
            <w:tcW w:w="1680" w:type="dxa"/>
            <w:noWrap w:val="0"/>
            <w:vAlign w:val="center"/>
          </w:tcPr>
          <w:p w14:paraId="3EBECA0C">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职务</w:t>
            </w:r>
          </w:p>
        </w:tc>
        <w:tc>
          <w:tcPr>
            <w:tcW w:w="1440" w:type="dxa"/>
            <w:noWrap w:val="0"/>
            <w:vAlign w:val="center"/>
          </w:tcPr>
          <w:p w14:paraId="66E9EDDF">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手机号码</w:t>
            </w:r>
          </w:p>
        </w:tc>
        <w:tc>
          <w:tcPr>
            <w:tcW w:w="2850" w:type="dxa"/>
            <w:noWrap w:val="0"/>
            <w:vAlign w:val="center"/>
          </w:tcPr>
          <w:p w14:paraId="310EDFFF">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银行地址</w:t>
            </w:r>
          </w:p>
        </w:tc>
      </w:tr>
      <w:tr w14:paraId="7CC2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noWrap w:val="0"/>
            <w:vAlign w:val="center"/>
          </w:tcPr>
          <w:p w14:paraId="33C19795">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广西贺州桂东农村合作银行平桂支行</w:t>
            </w:r>
          </w:p>
        </w:tc>
        <w:tc>
          <w:tcPr>
            <w:tcW w:w="1020" w:type="dxa"/>
            <w:noWrap w:val="0"/>
            <w:vAlign w:val="center"/>
          </w:tcPr>
          <w:p w14:paraId="4F22539D">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古睿</w:t>
            </w:r>
          </w:p>
        </w:tc>
        <w:tc>
          <w:tcPr>
            <w:tcW w:w="1680" w:type="dxa"/>
            <w:noWrap w:val="0"/>
            <w:vAlign w:val="center"/>
          </w:tcPr>
          <w:p w14:paraId="1BB48E30">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信贷副行长</w:t>
            </w:r>
          </w:p>
        </w:tc>
        <w:tc>
          <w:tcPr>
            <w:tcW w:w="1440" w:type="dxa"/>
            <w:noWrap w:val="0"/>
            <w:vAlign w:val="center"/>
          </w:tcPr>
          <w:p w14:paraId="2998B2CB">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both"/>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18007840375</w:t>
            </w:r>
          </w:p>
        </w:tc>
        <w:tc>
          <w:tcPr>
            <w:tcW w:w="2850" w:type="dxa"/>
            <w:noWrap w:val="0"/>
            <w:vAlign w:val="center"/>
          </w:tcPr>
          <w:p w14:paraId="787CC4D1">
            <w:pPr>
              <w:keepNext w:val="0"/>
              <w:keepLines w:val="0"/>
              <w:pageBreakBefore w:val="0"/>
              <w:widowControl/>
              <w:tabs>
                <w:tab w:val="left" w:pos="2172"/>
              </w:tabs>
              <w:kinsoku/>
              <w:wordWrap/>
              <w:overflowPunct/>
              <w:topLinePunct w:val="0"/>
              <w:autoSpaceDE/>
              <w:autoSpaceDN/>
              <w:bidi w:val="0"/>
              <w:adjustRightInd w:val="0"/>
              <w:snapToGrid w:val="0"/>
              <w:spacing w:after="0" w:line="460" w:lineRule="exact"/>
              <w:ind w:left="0" w:lef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贺州市平桂区平桂大道财政局一楼</w:t>
            </w:r>
          </w:p>
        </w:tc>
      </w:tr>
    </w:tbl>
    <w:p w14:paraId="110EF053">
      <w:pPr>
        <w:spacing w:line="360" w:lineRule="auto"/>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附件：贺州市财政局关于在政府采购活动中推广使用电子保函的通知</w:t>
      </w:r>
    </w:p>
    <w:p w14:paraId="48935280">
      <w:pPr>
        <w:rPr>
          <w:rFonts w:hint="eastAsia" w:ascii="仿宋" w:hAnsi="仿宋" w:eastAsia="仿宋" w:cs="仿宋"/>
          <w:b/>
          <w:color w:val="auto"/>
          <w:sz w:val="36"/>
          <w:highlight w:val="none"/>
        </w:rPr>
      </w:pPr>
      <w:r>
        <w:rPr>
          <w:rFonts w:hint="eastAsia" w:ascii="宋体" w:hAnsi="宋体" w:eastAsia="宋体" w:cs="宋体"/>
          <w:color w:val="auto"/>
          <w:highlight w:val="none"/>
        </w:rPr>
        <w:drawing>
          <wp:inline distT="0" distB="0" distL="114300" distR="114300">
            <wp:extent cx="5888990" cy="8324215"/>
            <wp:effectExtent l="0" t="0" r="16510"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888990" cy="8324215"/>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85535" cy="8742680"/>
            <wp:effectExtent l="0" t="0" r="5715"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6185535" cy="874268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85535" cy="8797290"/>
            <wp:effectExtent l="0" t="0" r="5715"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6185535" cy="879729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84900" cy="8798560"/>
            <wp:effectExtent l="0" t="0" r="6350" b="25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a:stretch>
                      <a:fillRect/>
                    </a:stretch>
                  </pic:blipFill>
                  <pic:spPr>
                    <a:xfrm>
                      <a:off x="0" y="0"/>
                      <a:ext cx="6184900" cy="8798560"/>
                    </a:xfrm>
                    <a:prstGeom prst="rect">
                      <a:avLst/>
                    </a:prstGeom>
                    <a:noFill/>
                    <a:ln>
                      <a:noFill/>
                    </a:ln>
                  </pic:spPr>
                </pic:pic>
              </a:graphicData>
            </a:graphic>
          </wp:inline>
        </w:drawing>
      </w:r>
    </w:p>
    <w:bookmarkEnd w:id="266"/>
    <w:sectPr>
      <w:footerReference r:id="rId10" w:type="first"/>
      <w:footerReference r:id="rId9" w:type="default"/>
      <w:pgSz w:w="11906" w:h="16838"/>
      <w:pgMar w:top="1440" w:right="1279" w:bottom="1440" w:left="1387"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62BA4">
    <w:pPr>
      <w:pStyle w:val="14"/>
      <w:tabs>
        <w:tab w:val="center" w:pos="4439"/>
        <w:tab w:val="clear" w:pos="4153"/>
      </w:tabs>
      <w:jc w:val="both"/>
    </w:pPr>
  </w:p>
  <w:p w14:paraId="54C0A988">
    <w:pPr>
      <w:pStyle w:val="14"/>
      <w:tabs>
        <w:tab w:val="left" w:pos="7950"/>
        <w:tab w:val="clear" w:pos="4153"/>
        <w:tab w:val="clear" w:pos="8306"/>
      </w:tabs>
      <w:ind w:right="360"/>
      <w:jc w:val="right"/>
      <w:rPr>
        <w:rFonts w:ascii="仿宋" w:hAnsi="仿宋" w:eastAsia="仿宋" w:cs="仿宋"/>
      </w:rPr>
    </w:pPr>
    <w:r>
      <w:rPr>
        <w:rFonts w:hint="eastAsia" w:ascii="仿宋" w:hAnsi="仿宋" w:eastAsia="仿宋" w:cs="仿宋"/>
      </w:rPr>
      <w:t>广东展诚工程咨询有限公司</w:t>
    </w:r>
  </w:p>
  <w:p w14:paraId="530C7249">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C6F4F">
    <w:pPr>
      <w:pStyle w:val="14"/>
      <w:tabs>
        <w:tab w:val="center" w:pos="4439"/>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AE0D96"/>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zic98dwBAADCAwAADgAAAAAAAAAB&#10;ACAAAAAeAQAAZHJzL2Uyb0RvYy54bWxQSwUGAAAAAAYABgBZAQAAbAUAAAAA&#10;">
              <v:fill on="f" focussize="0,0"/>
              <v:stroke on="f"/>
              <v:imagedata o:title=""/>
              <o:lock v:ext="edit" aspectratio="f"/>
              <v:textbox inset="0mm,0mm,0mm,0mm" style="mso-fit-shape-to-text:t;">
                <w:txbxContent>
                  <w:p w14:paraId="67AE0D9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03D55">
    <w:pPr>
      <w:pStyle w:val="14"/>
      <w:tabs>
        <w:tab w:val="center" w:pos="4439"/>
        <w:tab w:val="clear" w:pos="4153"/>
      </w:tabs>
      <w:jc w:val="both"/>
    </w:pPr>
  </w:p>
  <w:p w14:paraId="20AD67CD">
    <w:pPr>
      <w:pStyle w:val="14"/>
      <w:tabs>
        <w:tab w:val="left" w:pos="7950"/>
        <w:tab w:val="clear" w:pos="4153"/>
        <w:tab w:val="clear" w:pos="8306"/>
      </w:tabs>
      <w:ind w:right="360"/>
      <w:jc w:val="right"/>
      <w:rPr>
        <w:rFonts w:ascii="仿宋" w:hAnsi="仿宋" w:eastAsia="仿宋" w:cs="仿宋"/>
      </w:rPr>
    </w:pPr>
    <w:r>
      <w:rPr>
        <w:rFonts w:hint="eastAsia" w:ascii="仿宋" w:hAnsi="仿宋" w:eastAsia="仿宋" w:cs="仿宋"/>
      </w:rPr>
      <w:t>广东展诚工程咨询有限公司</w:t>
    </w:r>
  </w:p>
  <w:p w14:paraId="3B0492FB">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5FC2F">
    <w:pPr>
      <w:pStyle w:val="14"/>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D2B4240"/>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BZSg8gBAACdAwAADgAAAGRycy9lMm9Eb2MueG1srVPNjtMwEL6vxDtY&#10;vtNkK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m5ss3nDlh6cXPP3+cfz2eH74z&#10;ipFAvceK6u48VcbhPQy0NnMcKZh4D22w6UuMGOVJ3tNFXjVEJtOl1XK1KiklKTc7hF88XfcB4wcF&#10;liWj5oHeL8sqjp8wjqVzSerm4FYbk9/QuL8ChDlGVF6C6XZiMk6crDjshoneDpoTsetpEWruaO85&#10;Mx8d6Zx2ZjbCbOwmI3VE/+4QaYw8XUIdoYhVcujVMr9pw9Ja/Onnqqe/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AWUoPIAQAAnQMAAA4AAAAAAAAAAQAgAAAAHgEAAGRycy9lMm9Eb2Mu&#10;eG1sUEsFBgAAAAAGAAYAWQEAAFgFAAAAAA==&#10;">
              <v:fill on="f" focussize="0,0"/>
              <v:stroke on="f"/>
              <v:imagedata o:title=""/>
              <o:lock v:ext="edit" aspectratio="f"/>
              <v:textbox inset="0mm,0mm,0mm,0mm" style="mso-fit-shape-to-text:t;">
                <w:txbxContent>
                  <w:p w14:paraId="2D2B4240"/>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562F5">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E13B1E">
                          <w:pPr>
                            <w:pStyle w:val="1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73E13B1E">
                    <w:pPr>
                      <w:pStyle w:val="14"/>
                    </w:pPr>
                    <w:r>
                      <w:fldChar w:fldCharType="begin"/>
                    </w:r>
                    <w:r>
                      <w:instrText xml:space="preserve"> PAGE  \* MERGEFORMAT </w:instrText>
                    </w:r>
                    <w:r>
                      <w:fldChar w:fldCharType="separate"/>
                    </w:r>
                    <w:r>
                      <w:t>78</w:t>
                    </w:r>
                    <w:r>
                      <w:fldChar w:fldCharType="end"/>
                    </w:r>
                  </w:p>
                </w:txbxContent>
              </v:textbox>
            </v:shape>
          </w:pict>
        </mc:Fallback>
      </mc:AlternateContent>
    </w:r>
  </w:p>
  <w:p w14:paraId="7663B67D">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831B9">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4B53B5">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584B53B5">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6195B">
    <w:pPr>
      <w:pStyle w:val="16"/>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7F49E">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4B3C31"/>
    <w:multiLevelType w:val="singleLevel"/>
    <w:tmpl w:val="B14B3C31"/>
    <w:lvl w:ilvl="0" w:tentative="0">
      <w:start w:val="1"/>
      <w:numFmt w:val="decimal"/>
      <w:pStyle w:val="6"/>
      <w:lvlText w:val="%1."/>
      <w:lvlJc w:val="left"/>
      <w:pPr>
        <w:tabs>
          <w:tab w:val="left" w:pos="360"/>
        </w:tabs>
        <w:ind w:left="360" w:hanging="360"/>
      </w:pPr>
    </w:lvl>
  </w:abstractNum>
  <w:abstractNum w:abstractNumId="1">
    <w:nsid w:val="3C7339B6"/>
    <w:multiLevelType w:val="multilevel"/>
    <w:tmpl w:val="3C7339B6"/>
    <w:lvl w:ilvl="0" w:tentative="0">
      <w:start w:val="1"/>
      <w:numFmt w:val="japaneseCounting"/>
      <w:lvlText w:val="第%1条"/>
      <w:lvlJc w:val="left"/>
      <w:pPr>
        <w:tabs>
          <w:tab w:val="left" w:pos="1253"/>
        </w:tabs>
        <w:ind w:left="1253" w:hanging="840"/>
      </w:pPr>
      <w:rPr>
        <w:rFonts w:hint="default"/>
      </w:rPr>
    </w:lvl>
    <w:lvl w:ilvl="1" w:tentative="0">
      <w:start w:val="1"/>
      <w:numFmt w:val="lowerLetter"/>
      <w:lvlText w:val="%2)"/>
      <w:lvlJc w:val="left"/>
      <w:pPr>
        <w:tabs>
          <w:tab w:val="left" w:pos="1253"/>
        </w:tabs>
        <w:ind w:left="1253" w:hanging="420"/>
      </w:pPr>
    </w:lvl>
    <w:lvl w:ilvl="2" w:tentative="0">
      <w:start w:val="1"/>
      <w:numFmt w:val="lowerRoman"/>
      <w:lvlText w:val="%3."/>
      <w:lvlJc w:val="right"/>
      <w:pPr>
        <w:tabs>
          <w:tab w:val="left" w:pos="1673"/>
        </w:tabs>
        <w:ind w:left="1673" w:hanging="420"/>
      </w:pPr>
    </w:lvl>
    <w:lvl w:ilvl="3" w:tentative="0">
      <w:start w:val="1"/>
      <w:numFmt w:val="decimal"/>
      <w:lvlText w:val="%4."/>
      <w:lvlJc w:val="left"/>
      <w:pPr>
        <w:tabs>
          <w:tab w:val="left" w:pos="2093"/>
        </w:tabs>
        <w:ind w:left="2093" w:hanging="420"/>
      </w:pPr>
    </w:lvl>
    <w:lvl w:ilvl="4" w:tentative="0">
      <w:start w:val="1"/>
      <w:numFmt w:val="lowerLetter"/>
      <w:lvlText w:val="%5)"/>
      <w:lvlJc w:val="left"/>
      <w:pPr>
        <w:tabs>
          <w:tab w:val="left" w:pos="2513"/>
        </w:tabs>
        <w:ind w:left="2513" w:hanging="420"/>
      </w:pPr>
    </w:lvl>
    <w:lvl w:ilvl="5" w:tentative="0">
      <w:start w:val="1"/>
      <w:numFmt w:val="lowerRoman"/>
      <w:lvlText w:val="%6."/>
      <w:lvlJc w:val="right"/>
      <w:pPr>
        <w:tabs>
          <w:tab w:val="left" w:pos="2933"/>
        </w:tabs>
        <w:ind w:left="2933" w:hanging="420"/>
      </w:pPr>
    </w:lvl>
    <w:lvl w:ilvl="6" w:tentative="0">
      <w:start w:val="1"/>
      <w:numFmt w:val="decimal"/>
      <w:lvlText w:val="%7."/>
      <w:lvlJc w:val="left"/>
      <w:pPr>
        <w:tabs>
          <w:tab w:val="left" w:pos="3353"/>
        </w:tabs>
        <w:ind w:left="3353" w:hanging="420"/>
      </w:pPr>
    </w:lvl>
    <w:lvl w:ilvl="7" w:tentative="0">
      <w:start w:val="1"/>
      <w:numFmt w:val="lowerLetter"/>
      <w:lvlText w:val="%8)"/>
      <w:lvlJc w:val="left"/>
      <w:pPr>
        <w:tabs>
          <w:tab w:val="left" w:pos="3773"/>
        </w:tabs>
        <w:ind w:left="3773" w:hanging="420"/>
      </w:pPr>
    </w:lvl>
    <w:lvl w:ilvl="8" w:tentative="0">
      <w:start w:val="1"/>
      <w:numFmt w:val="lowerRoman"/>
      <w:lvlText w:val="%9."/>
      <w:lvlJc w:val="right"/>
      <w:pPr>
        <w:tabs>
          <w:tab w:val="left" w:pos="4193"/>
        </w:tabs>
        <w:ind w:left="4193" w:hanging="420"/>
      </w:pPr>
    </w:lvl>
  </w:abstractNum>
  <w:abstractNum w:abstractNumId="2">
    <w:nsid w:val="63BDABB6"/>
    <w:multiLevelType w:val="singleLevel"/>
    <w:tmpl w:val="63BDABB6"/>
    <w:lvl w:ilvl="0" w:tentative="0">
      <w:start w:val="1"/>
      <w:numFmt w:val="decimal"/>
      <w:suff w:val="nothing"/>
      <w:lvlText w:val="%1、"/>
      <w:lvlJc w:val="left"/>
    </w:lvl>
  </w:abstractNum>
  <w:abstractNum w:abstractNumId="3">
    <w:nsid w:val="666AE019"/>
    <w:multiLevelType w:val="singleLevel"/>
    <w:tmpl w:val="666AE019"/>
    <w:lvl w:ilvl="0" w:tentative="0">
      <w:start w:val="1"/>
      <w:numFmt w:val="decimal"/>
      <w:suff w:val="nothing"/>
      <w:lvlText w:val="（%1）"/>
      <w:lvlJc w:val="left"/>
    </w:lvl>
  </w:abstractNum>
  <w:abstractNum w:abstractNumId="4">
    <w:nsid w:val="7631422A"/>
    <w:multiLevelType w:val="singleLevel"/>
    <w:tmpl w:val="7631422A"/>
    <w:lvl w:ilvl="0" w:tentative="0">
      <w:start w:val="32"/>
      <w:numFmt w:val="decimal"/>
      <w:suff w:val="nothing"/>
      <w:lvlText w:val="%1、"/>
      <w:lvlJc w:val="left"/>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2B71E2"/>
    <w:rsid w:val="00074D8A"/>
    <w:rsid w:val="009E1A7B"/>
    <w:rsid w:val="00EA258E"/>
    <w:rsid w:val="00EA580F"/>
    <w:rsid w:val="01EE7C08"/>
    <w:rsid w:val="02954528"/>
    <w:rsid w:val="02A227A1"/>
    <w:rsid w:val="02B726F0"/>
    <w:rsid w:val="03157416"/>
    <w:rsid w:val="0385634A"/>
    <w:rsid w:val="043964FE"/>
    <w:rsid w:val="0523406D"/>
    <w:rsid w:val="068C79F0"/>
    <w:rsid w:val="069A6503"/>
    <w:rsid w:val="073A744C"/>
    <w:rsid w:val="07936AE9"/>
    <w:rsid w:val="07F43A9E"/>
    <w:rsid w:val="082D18F6"/>
    <w:rsid w:val="08A059D4"/>
    <w:rsid w:val="08DF02AB"/>
    <w:rsid w:val="0903783F"/>
    <w:rsid w:val="096802A0"/>
    <w:rsid w:val="0A0D731D"/>
    <w:rsid w:val="0AD100C7"/>
    <w:rsid w:val="0BA17A99"/>
    <w:rsid w:val="0BBE064B"/>
    <w:rsid w:val="0BFE6C9A"/>
    <w:rsid w:val="0C3E178C"/>
    <w:rsid w:val="0CD02BA2"/>
    <w:rsid w:val="0D3443CA"/>
    <w:rsid w:val="0D3B0510"/>
    <w:rsid w:val="0D847672"/>
    <w:rsid w:val="0D8D3B66"/>
    <w:rsid w:val="0E944010"/>
    <w:rsid w:val="0EC15F37"/>
    <w:rsid w:val="0EE74F16"/>
    <w:rsid w:val="0F2509E1"/>
    <w:rsid w:val="0F4C2412"/>
    <w:rsid w:val="0F73174D"/>
    <w:rsid w:val="0FF46D31"/>
    <w:rsid w:val="105B1B61"/>
    <w:rsid w:val="108E17E5"/>
    <w:rsid w:val="10E16942"/>
    <w:rsid w:val="10E57E31"/>
    <w:rsid w:val="118B7CD4"/>
    <w:rsid w:val="122D2087"/>
    <w:rsid w:val="1235718D"/>
    <w:rsid w:val="12870728"/>
    <w:rsid w:val="134A6C68"/>
    <w:rsid w:val="145271E3"/>
    <w:rsid w:val="15F31839"/>
    <w:rsid w:val="16016036"/>
    <w:rsid w:val="162B5097"/>
    <w:rsid w:val="16547C2D"/>
    <w:rsid w:val="178321B2"/>
    <w:rsid w:val="17B02605"/>
    <w:rsid w:val="183879D7"/>
    <w:rsid w:val="1A1D2586"/>
    <w:rsid w:val="1AA96ACE"/>
    <w:rsid w:val="1B6A5707"/>
    <w:rsid w:val="1B80591D"/>
    <w:rsid w:val="1BC03F17"/>
    <w:rsid w:val="1C4306F9"/>
    <w:rsid w:val="1C9B0535"/>
    <w:rsid w:val="1CA7394F"/>
    <w:rsid w:val="1CC075FB"/>
    <w:rsid w:val="1CF06FD5"/>
    <w:rsid w:val="1D715E5C"/>
    <w:rsid w:val="1DB7139E"/>
    <w:rsid w:val="1E6C1577"/>
    <w:rsid w:val="1ED1023E"/>
    <w:rsid w:val="1EF5217E"/>
    <w:rsid w:val="1FA37E2C"/>
    <w:rsid w:val="1FD955FC"/>
    <w:rsid w:val="20464723"/>
    <w:rsid w:val="20795DD4"/>
    <w:rsid w:val="20932201"/>
    <w:rsid w:val="21052421"/>
    <w:rsid w:val="21BB572B"/>
    <w:rsid w:val="22C81958"/>
    <w:rsid w:val="22DE0399"/>
    <w:rsid w:val="22E331FF"/>
    <w:rsid w:val="22FF181D"/>
    <w:rsid w:val="23411E36"/>
    <w:rsid w:val="23A14683"/>
    <w:rsid w:val="2580651A"/>
    <w:rsid w:val="25F70700"/>
    <w:rsid w:val="26274E90"/>
    <w:rsid w:val="26E94DE4"/>
    <w:rsid w:val="2775024B"/>
    <w:rsid w:val="284B72B3"/>
    <w:rsid w:val="28B0695C"/>
    <w:rsid w:val="294426ED"/>
    <w:rsid w:val="29C64C71"/>
    <w:rsid w:val="29E71D2C"/>
    <w:rsid w:val="2A24600D"/>
    <w:rsid w:val="2A2A3F16"/>
    <w:rsid w:val="2A4E5C47"/>
    <w:rsid w:val="2A653CF9"/>
    <w:rsid w:val="2A77438F"/>
    <w:rsid w:val="2A924AAB"/>
    <w:rsid w:val="2AA42CAA"/>
    <w:rsid w:val="2B487ADA"/>
    <w:rsid w:val="2B764647"/>
    <w:rsid w:val="2CB43679"/>
    <w:rsid w:val="2D0F4D53"/>
    <w:rsid w:val="2D190E0B"/>
    <w:rsid w:val="2DF66D0E"/>
    <w:rsid w:val="2E1D6FFC"/>
    <w:rsid w:val="2EA9088F"/>
    <w:rsid w:val="2ECB0D48"/>
    <w:rsid w:val="2F3E2D0F"/>
    <w:rsid w:val="2F476BF4"/>
    <w:rsid w:val="302C79CA"/>
    <w:rsid w:val="3125379F"/>
    <w:rsid w:val="322D17D7"/>
    <w:rsid w:val="322D7B5F"/>
    <w:rsid w:val="328B7EF8"/>
    <w:rsid w:val="32AA339D"/>
    <w:rsid w:val="32D3412D"/>
    <w:rsid w:val="32E64D8F"/>
    <w:rsid w:val="33A23C75"/>
    <w:rsid w:val="33A559E7"/>
    <w:rsid w:val="33F22CD8"/>
    <w:rsid w:val="33FB4099"/>
    <w:rsid w:val="344A32C3"/>
    <w:rsid w:val="35A65B28"/>
    <w:rsid w:val="35D703D8"/>
    <w:rsid w:val="368E138D"/>
    <w:rsid w:val="3748158D"/>
    <w:rsid w:val="37C640CA"/>
    <w:rsid w:val="37F95B87"/>
    <w:rsid w:val="38877E93"/>
    <w:rsid w:val="39246DE0"/>
    <w:rsid w:val="39B42EA8"/>
    <w:rsid w:val="3A5C534F"/>
    <w:rsid w:val="3AA217E0"/>
    <w:rsid w:val="3B2C6AD0"/>
    <w:rsid w:val="3B914B85"/>
    <w:rsid w:val="3C1061B8"/>
    <w:rsid w:val="3C2105FF"/>
    <w:rsid w:val="3C310956"/>
    <w:rsid w:val="3C353133"/>
    <w:rsid w:val="3CCA24CC"/>
    <w:rsid w:val="3D301E70"/>
    <w:rsid w:val="3D6D1232"/>
    <w:rsid w:val="3D9F7F26"/>
    <w:rsid w:val="3DD551FD"/>
    <w:rsid w:val="3EDC25BB"/>
    <w:rsid w:val="3F2B71E2"/>
    <w:rsid w:val="3F595361"/>
    <w:rsid w:val="40117577"/>
    <w:rsid w:val="406C796F"/>
    <w:rsid w:val="417B6F7C"/>
    <w:rsid w:val="41962EA3"/>
    <w:rsid w:val="42557F64"/>
    <w:rsid w:val="436865A2"/>
    <w:rsid w:val="43784F48"/>
    <w:rsid w:val="43B06299"/>
    <w:rsid w:val="44103433"/>
    <w:rsid w:val="443F1622"/>
    <w:rsid w:val="44E64DA1"/>
    <w:rsid w:val="45730373"/>
    <w:rsid w:val="45B84BF7"/>
    <w:rsid w:val="45E306D3"/>
    <w:rsid w:val="45E36925"/>
    <w:rsid w:val="45F44265"/>
    <w:rsid w:val="46252A99"/>
    <w:rsid w:val="46625A9C"/>
    <w:rsid w:val="46686E80"/>
    <w:rsid w:val="468C0D6B"/>
    <w:rsid w:val="46920170"/>
    <w:rsid w:val="46AD5289"/>
    <w:rsid w:val="47966882"/>
    <w:rsid w:val="47CF2575"/>
    <w:rsid w:val="48154BD2"/>
    <w:rsid w:val="4A0A0924"/>
    <w:rsid w:val="4A9A5111"/>
    <w:rsid w:val="4AB15834"/>
    <w:rsid w:val="4ABA35F0"/>
    <w:rsid w:val="4ACC3E2B"/>
    <w:rsid w:val="4B7818BD"/>
    <w:rsid w:val="4BD27E3C"/>
    <w:rsid w:val="4BD43CE5"/>
    <w:rsid w:val="4BF6262F"/>
    <w:rsid w:val="4C1E06B7"/>
    <w:rsid w:val="4C327C1E"/>
    <w:rsid w:val="4C3C28EB"/>
    <w:rsid w:val="4C467A82"/>
    <w:rsid w:val="4C7E066F"/>
    <w:rsid w:val="4C8C73CE"/>
    <w:rsid w:val="4CC22C7C"/>
    <w:rsid w:val="4D2334E5"/>
    <w:rsid w:val="4E5C7274"/>
    <w:rsid w:val="4E604FB7"/>
    <w:rsid w:val="4EE71234"/>
    <w:rsid w:val="4F237427"/>
    <w:rsid w:val="4F2A1121"/>
    <w:rsid w:val="4F652159"/>
    <w:rsid w:val="4F8C7A5C"/>
    <w:rsid w:val="4FBB0273"/>
    <w:rsid w:val="4FBD3D43"/>
    <w:rsid w:val="50A373DC"/>
    <w:rsid w:val="50C55AAC"/>
    <w:rsid w:val="50F97A8C"/>
    <w:rsid w:val="518E54EE"/>
    <w:rsid w:val="519311FF"/>
    <w:rsid w:val="51F0037B"/>
    <w:rsid w:val="52923265"/>
    <w:rsid w:val="52C26475"/>
    <w:rsid w:val="52E55A8A"/>
    <w:rsid w:val="53A814FF"/>
    <w:rsid w:val="54757017"/>
    <w:rsid w:val="55853555"/>
    <w:rsid w:val="565C0194"/>
    <w:rsid w:val="57805D82"/>
    <w:rsid w:val="57B12A6A"/>
    <w:rsid w:val="57B2288F"/>
    <w:rsid w:val="596F2BE8"/>
    <w:rsid w:val="5A7A7400"/>
    <w:rsid w:val="5A9A37B2"/>
    <w:rsid w:val="5AAF57F4"/>
    <w:rsid w:val="5AFA22EF"/>
    <w:rsid w:val="5B527A35"/>
    <w:rsid w:val="5B6836FC"/>
    <w:rsid w:val="5B90055D"/>
    <w:rsid w:val="5BA24259"/>
    <w:rsid w:val="5C392AD6"/>
    <w:rsid w:val="5C7F0CFE"/>
    <w:rsid w:val="5D22030C"/>
    <w:rsid w:val="5DB9334F"/>
    <w:rsid w:val="5E486E0E"/>
    <w:rsid w:val="5E546DD1"/>
    <w:rsid w:val="5E735D35"/>
    <w:rsid w:val="5E9F5BCB"/>
    <w:rsid w:val="5ED574D6"/>
    <w:rsid w:val="5EFC18D7"/>
    <w:rsid w:val="5EFF7ED4"/>
    <w:rsid w:val="5F711FAD"/>
    <w:rsid w:val="603358AD"/>
    <w:rsid w:val="60C97884"/>
    <w:rsid w:val="61406582"/>
    <w:rsid w:val="61BF27FF"/>
    <w:rsid w:val="622F4911"/>
    <w:rsid w:val="62664000"/>
    <w:rsid w:val="634379A6"/>
    <w:rsid w:val="634738A3"/>
    <w:rsid w:val="635B58F5"/>
    <w:rsid w:val="63CB6CB5"/>
    <w:rsid w:val="63E8113D"/>
    <w:rsid w:val="64874BF3"/>
    <w:rsid w:val="64D771FD"/>
    <w:rsid w:val="65646CE3"/>
    <w:rsid w:val="65C45983"/>
    <w:rsid w:val="65D8147F"/>
    <w:rsid w:val="66192862"/>
    <w:rsid w:val="669E7FD2"/>
    <w:rsid w:val="66EA76BB"/>
    <w:rsid w:val="677D22DE"/>
    <w:rsid w:val="68203394"/>
    <w:rsid w:val="6888718C"/>
    <w:rsid w:val="68A54D97"/>
    <w:rsid w:val="69205616"/>
    <w:rsid w:val="6975143C"/>
    <w:rsid w:val="69790883"/>
    <w:rsid w:val="698956DA"/>
    <w:rsid w:val="69F908EC"/>
    <w:rsid w:val="6A132A85"/>
    <w:rsid w:val="6A7D0E05"/>
    <w:rsid w:val="6ACD532A"/>
    <w:rsid w:val="6B3E3B32"/>
    <w:rsid w:val="6B5B0B88"/>
    <w:rsid w:val="6B655563"/>
    <w:rsid w:val="6B6C069F"/>
    <w:rsid w:val="6BA918F3"/>
    <w:rsid w:val="6BE73D9E"/>
    <w:rsid w:val="6D114033"/>
    <w:rsid w:val="6DC20695"/>
    <w:rsid w:val="6E396833"/>
    <w:rsid w:val="6EA70CF0"/>
    <w:rsid w:val="6EC93E13"/>
    <w:rsid w:val="6EED7D9E"/>
    <w:rsid w:val="6F186AA8"/>
    <w:rsid w:val="6FC83843"/>
    <w:rsid w:val="700A0487"/>
    <w:rsid w:val="7040659E"/>
    <w:rsid w:val="70C94562"/>
    <w:rsid w:val="70CF0298"/>
    <w:rsid w:val="71324F91"/>
    <w:rsid w:val="716231B5"/>
    <w:rsid w:val="71775AB0"/>
    <w:rsid w:val="720927D3"/>
    <w:rsid w:val="723C5FB7"/>
    <w:rsid w:val="72C5775B"/>
    <w:rsid w:val="72E90827"/>
    <w:rsid w:val="744A3547"/>
    <w:rsid w:val="75B37B9A"/>
    <w:rsid w:val="77376CA5"/>
    <w:rsid w:val="776A2977"/>
    <w:rsid w:val="77A362D1"/>
    <w:rsid w:val="77D52026"/>
    <w:rsid w:val="78B06666"/>
    <w:rsid w:val="78B611AB"/>
    <w:rsid w:val="791529B3"/>
    <w:rsid w:val="7A9B5EC8"/>
    <w:rsid w:val="7BC24B9B"/>
    <w:rsid w:val="7D306F70"/>
    <w:rsid w:val="7D77240C"/>
    <w:rsid w:val="7DBC518B"/>
    <w:rsid w:val="7DD520D4"/>
    <w:rsid w:val="7E1A3F8B"/>
    <w:rsid w:val="7F2C4F44"/>
    <w:rsid w:val="7FA53D28"/>
    <w:rsid w:val="7FC75A41"/>
    <w:rsid w:val="7FCB2137"/>
    <w:rsid w:val="7FEE4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keepLines/>
      <w:spacing w:before="340" w:after="330" w:line="578" w:lineRule="auto"/>
      <w:outlineLvl w:val="0"/>
    </w:pPr>
    <w:rPr>
      <w:kern w:val="44"/>
      <w:sz w:val="44"/>
      <w:szCs w:val="44"/>
    </w:rPr>
  </w:style>
  <w:style w:type="paragraph" w:styleId="3">
    <w:name w:val="heading 2"/>
    <w:basedOn w:val="1"/>
    <w:next w:val="1"/>
    <w:link w:val="31"/>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5">
    <w:name w:val="toc 7"/>
    <w:basedOn w:val="1"/>
    <w:next w:val="1"/>
    <w:qFormat/>
    <w:uiPriority w:val="0"/>
    <w:pPr>
      <w:ind w:left="1260"/>
      <w:jc w:val="left"/>
    </w:pPr>
    <w:rPr>
      <w:sz w:val="18"/>
      <w:szCs w:val="18"/>
    </w:r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next w:val="1"/>
    <w:unhideWhenUsed/>
    <w:qFormat/>
    <w:uiPriority w:val="0"/>
    <w:pPr>
      <w:spacing w:after="120"/>
    </w:p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toc 3"/>
    <w:basedOn w:val="1"/>
    <w:next w:val="1"/>
    <w:qFormat/>
    <w:uiPriority w:val="0"/>
    <w:pPr>
      <w:ind w:left="840" w:leftChars="400"/>
    </w:pPr>
  </w:style>
  <w:style w:type="paragraph" w:styleId="13">
    <w:name w:val="Plain Text"/>
    <w:basedOn w:val="1"/>
    <w:qFormat/>
    <w:uiPriority w:val="0"/>
    <w:rPr>
      <w:rFonts w:ascii="宋体" w:hAnsi="Courier New"/>
      <w:kern w:val="0"/>
      <w:sz w:val="20"/>
      <w:szCs w:val="21"/>
    </w:r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envelope return"/>
    <w:basedOn w:val="1"/>
    <w:next w:val="5"/>
    <w:qFormat/>
    <w:uiPriority w:val="0"/>
    <w:pPr>
      <w:snapToGrid w:val="0"/>
    </w:pPr>
    <w:rPr>
      <w:rFonts w:ascii="Arial" w:hAnsi="Arial"/>
    </w:rPr>
  </w:style>
  <w:style w:type="paragraph" w:styleId="16">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tabs>
        <w:tab w:val="right" w:leader="dot" w:pos="8296"/>
      </w:tabs>
      <w:ind w:left="420" w:leftChars="200"/>
    </w:pPr>
  </w:style>
  <w:style w:type="paragraph" w:styleId="19">
    <w:name w:val="Body Text 2"/>
    <w:basedOn w:val="1"/>
    <w:qFormat/>
    <w:uiPriority w:val="0"/>
    <w:rPr>
      <w:rFonts w:ascii="楷体_GB2312" w:eastAsia="楷体_GB2312"/>
      <w:sz w:val="32"/>
    </w:rPr>
  </w:style>
  <w:style w:type="paragraph" w:styleId="20">
    <w:name w:val="Body Text First Indent"/>
    <w:basedOn w:val="10"/>
    <w:qFormat/>
    <w:uiPriority w:val="99"/>
    <w:pPr>
      <w:spacing w:line="400" w:lineRule="atLeast"/>
      <w:ind w:firstLine="426" w:firstLineChars="200"/>
      <w:jc w:val="left"/>
    </w:pPr>
    <w:rPr>
      <w:rFonts w:ascii="Times New Roman" w:hAnsi="Times New Roman" w:eastAsia="微软雅黑"/>
      <w:spacing w:val="0"/>
      <w:sz w:val="22"/>
    </w:rPr>
  </w:style>
  <w:style w:type="paragraph" w:styleId="21">
    <w:name w:val="Body Text First Indent 2"/>
    <w:basedOn w:val="11"/>
    <w:unhideWhenUsed/>
    <w:qFormat/>
    <w:uiPriority w:val="99"/>
    <w:pPr>
      <w:ind w:firstLine="420" w:firstLineChars="200"/>
    </w:p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Hyperlink"/>
    <w:basedOn w:val="24"/>
    <w:unhideWhenUsed/>
    <w:qFormat/>
    <w:uiPriority w:val="99"/>
    <w:rPr>
      <w:color w:val="0000FF"/>
      <w:u w:val="none"/>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首行缩进"/>
    <w:basedOn w:val="1"/>
    <w:qFormat/>
    <w:uiPriority w:val="0"/>
    <w:pPr>
      <w:spacing w:line="360" w:lineRule="auto"/>
      <w:ind w:firstLine="480" w:firstLineChars="200"/>
      <w:jc w:val="left"/>
    </w:pPr>
    <w:rPr>
      <w:rFonts w:ascii="宋体" w:hAnsi="宋体"/>
      <w:sz w:val="24"/>
    </w:rPr>
  </w:style>
  <w:style w:type="paragraph" w:customStyle="1" w:styleId="28">
    <w:name w:val="正文文本1"/>
    <w:basedOn w:val="1"/>
    <w:next w:val="1"/>
    <w:qFormat/>
    <w:uiPriority w:val="99"/>
    <w:pPr>
      <w:spacing w:after="120"/>
    </w:pPr>
    <w:rPr>
      <w:sz w:val="20"/>
    </w:rPr>
  </w:style>
  <w:style w:type="paragraph" w:customStyle="1" w:styleId="29">
    <w:name w:val="正文1"/>
    <w:qFormat/>
    <w:uiPriority w:val="0"/>
    <w:pPr>
      <w:widowControl w:val="0"/>
      <w:jc w:val="both"/>
    </w:pPr>
    <w:rPr>
      <w:rFonts w:hint="eastAsia" w:ascii="Arial Unicode MS" w:hAnsi="Arial Unicode MS" w:eastAsia="Arial Unicode MS" w:cs="Arial Unicode MS"/>
      <w:color w:val="000000"/>
      <w:kern w:val="2"/>
      <w:sz w:val="21"/>
      <w:szCs w:val="21"/>
      <w:lang w:val="zh-TW" w:eastAsia="zh-TW" w:bidi="ar-SA"/>
    </w:rPr>
  </w:style>
  <w:style w:type="paragraph" w:customStyle="1" w:styleId="30">
    <w:name w:val="Default"/>
    <w:qFormat/>
    <w:uiPriority w:val="0"/>
    <w:pPr>
      <w:autoSpaceDE w:val="0"/>
      <w:autoSpaceDN w:val="0"/>
      <w:adjustRightInd w:val="0"/>
    </w:pPr>
    <w:rPr>
      <w:rFonts w:ascii="Arial" w:hAnsi="Arial" w:eastAsia="宋体" w:cs="Arial"/>
      <w:color w:val="000000"/>
      <w:sz w:val="24"/>
      <w:szCs w:val="24"/>
      <w:lang w:val="en-US" w:eastAsia="zh-CN" w:bidi="ar-SA"/>
    </w:rPr>
  </w:style>
  <w:style w:type="character" w:customStyle="1" w:styleId="31">
    <w:name w:val="标题 2 Char1"/>
    <w:link w:val="3"/>
    <w:qFormat/>
    <w:uiPriority w:val="9"/>
    <w:rPr>
      <w:rFonts w:ascii="Cambria" w:hAnsi="Cambria"/>
      <w:b/>
      <w:bCs/>
      <w:sz w:val="32"/>
      <w:szCs w:val="32"/>
    </w:rPr>
  </w:style>
  <w:style w:type="paragraph" w:customStyle="1" w:styleId="32">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 w:type="table" w:customStyle="1" w:styleId="33">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34">
    <w:name w:val="1"/>
    <w:basedOn w:val="1"/>
    <w:next w:val="13"/>
    <w:qFormat/>
    <w:uiPriority w:val="0"/>
    <w:rPr>
      <w:rFonts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13281</Words>
  <Characters>14057</Characters>
  <Lines>0</Lines>
  <Paragraphs>0</Paragraphs>
  <TotalTime>37</TotalTime>
  <ScaleCrop>false</ScaleCrop>
  <LinksUpToDate>false</LinksUpToDate>
  <CharactersWithSpaces>14492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2025-07-02T02:13:00Z</dcterms:created>
  <dc:creator>WPS_1723537287</dc:creator>
  <cp:lastModifiedBy>WPS_1723537287</cp:lastModifiedBy>
  <dcterms:modified xsi:type="dcterms:W3CDTF">2025-11-21T08:56:03Z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FEDCA5C2D9CD471CAF30E2B9B87162FF_13</vt:lpwstr>
  </property>
  <property fmtid="{D5CDD505-2E9C-101B-9397-08002B2CF9AE}" pid="4" name="KSOTemplateDocerSaveRecord">
    <vt:lpwstr>eyJoZGlkIjoiMzM4NDQxN2NiZDI4NWFjOTVlYjFlNjA2ZTEzMjAxYjIiLCJ1c2VySWQiOiIxNjIyODIzOTEyIn0=</vt:lpwstr>
  </property>
</Properties>
</file>