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96D72">
      <w:pPr>
        <w:pStyle w:val="14"/>
        <w:ind w:left="6525" w:hanging="6262" w:hangingChars="1300"/>
        <w:jc w:val="both"/>
        <w:rPr>
          <w:rFonts w:hint="eastAsia" w:hAnsi="宋体" w:cs="宋体"/>
          <w:b/>
          <w:color w:val="auto"/>
          <w:sz w:val="20"/>
          <w:highlight w:val="none"/>
          <w:lang w:val="en-US" w:eastAsia="zh-CN"/>
        </w:rPr>
      </w:pPr>
      <w:bookmarkStart w:id="1054" w:name="_GoBack"/>
      <w:bookmarkEnd w:id="1054"/>
      <w:r>
        <w:rPr>
          <w:rFonts w:hint="eastAsia" w:eastAsia="宋体"/>
          <w:b/>
          <w:color w:val="auto"/>
          <w:spacing w:val="20"/>
          <w:sz w:val="44"/>
          <w:szCs w:val="44"/>
          <w:highlight w:val="none"/>
          <w:lang w:eastAsia="zh-CN" w:bidi="ar"/>
        </w:rPr>
        <w:drawing>
          <wp:anchor distT="0" distB="0" distL="114300" distR="114300" simplePos="0" relativeHeight="251667456" behindDoc="1" locked="0" layoutInCell="1" allowOverlap="1">
            <wp:simplePos x="0" y="0"/>
            <wp:positionH relativeFrom="column">
              <wp:posOffset>12700</wp:posOffset>
            </wp:positionH>
            <wp:positionV relativeFrom="paragraph">
              <wp:posOffset>-187325</wp:posOffset>
            </wp:positionV>
            <wp:extent cx="968375" cy="968375"/>
            <wp:effectExtent l="0" t="0" r="3175" b="3175"/>
            <wp:wrapNone/>
            <wp:docPr id="6" name="图片 2" descr="广西湘翌工程项目管理有限公司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广西湘翌工程项目管理有限公司_画板 1"/>
                    <pic:cNvPicPr>
                      <a:picLocks noChangeAspect="1"/>
                    </pic:cNvPicPr>
                  </pic:nvPicPr>
                  <pic:blipFill>
                    <a:blip r:embed="rId43"/>
                    <a:stretch>
                      <a:fillRect/>
                    </a:stretch>
                  </pic:blipFill>
                  <pic:spPr>
                    <a:xfrm>
                      <a:off x="0" y="0"/>
                      <a:ext cx="968375" cy="968375"/>
                    </a:xfrm>
                    <a:prstGeom prst="rect">
                      <a:avLst/>
                    </a:prstGeom>
                    <a:noFill/>
                    <a:ln>
                      <a:noFill/>
                    </a:ln>
                  </pic:spPr>
                </pic:pic>
              </a:graphicData>
            </a:graphic>
          </wp:anchor>
        </w:drawing>
      </w:r>
      <w:r>
        <w:rPr>
          <w:rFonts w:hint="eastAsia" w:hAnsi="宋体" w:cs="宋体"/>
          <w:b/>
          <w:color w:val="auto"/>
          <w:sz w:val="40"/>
          <w:szCs w:val="40"/>
          <w:highlight w:val="none"/>
        </w:rPr>
        <w:t xml:space="preserve">              </w:t>
      </w:r>
      <w:r>
        <w:rPr>
          <w:rFonts w:hint="eastAsia" w:hAnsi="宋体" w:cs="宋体"/>
          <w:b/>
          <w:color w:val="auto"/>
          <w:sz w:val="20"/>
          <w:highlight w:val="none"/>
        </w:rPr>
        <w:t xml:space="preserve">                    </w:t>
      </w:r>
      <w:r>
        <w:rPr>
          <w:rFonts w:hint="eastAsia" w:hAnsi="宋体" w:cs="宋体"/>
          <w:b/>
          <w:color w:val="auto"/>
          <w:sz w:val="20"/>
          <w:highlight w:val="none"/>
          <w:lang w:val="en-US" w:eastAsia="zh-CN"/>
        </w:rPr>
        <w:t xml:space="preserve">                       </w:t>
      </w:r>
    </w:p>
    <w:p w14:paraId="2C4B2BDA">
      <w:pPr>
        <w:pStyle w:val="14"/>
        <w:ind w:left="6525" w:hanging="2601" w:hangingChars="1300"/>
        <w:jc w:val="both"/>
        <w:rPr>
          <w:rFonts w:hint="eastAsia" w:hAnsi="宋体" w:cs="宋体"/>
          <w:b/>
          <w:color w:val="auto"/>
          <w:sz w:val="20"/>
          <w:highlight w:val="none"/>
          <w:lang w:val="en-US" w:eastAsia="zh-CN"/>
        </w:rPr>
      </w:pPr>
    </w:p>
    <w:p w14:paraId="0E56B750">
      <w:pPr>
        <w:pStyle w:val="14"/>
        <w:ind w:left="6525" w:hanging="2601" w:hangingChars="1300"/>
        <w:jc w:val="right"/>
        <w:rPr>
          <w:rFonts w:hint="eastAsia" w:ascii="仿宋" w:hAnsi="仿宋" w:eastAsia="宋体" w:cs="宋体"/>
          <w:b/>
          <w:color w:val="auto"/>
          <w:sz w:val="24"/>
          <w:szCs w:val="24"/>
          <w:highlight w:val="none"/>
          <w:lang w:eastAsia="zh-CN"/>
        </w:rPr>
      </w:pPr>
      <w:r>
        <w:rPr>
          <w:rFonts w:hint="eastAsia" w:hAnsi="宋体" w:cs="宋体"/>
          <w:b/>
          <w:color w:val="auto"/>
          <w:sz w:val="20"/>
          <w:highlight w:val="none"/>
          <w:lang w:val="en-US" w:eastAsia="zh-CN"/>
        </w:rPr>
        <w:t xml:space="preserve">                </w:t>
      </w:r>
      <w:r>
        <w:rPr>
          <w:rFonts w:hint="eastAsia" w:ascii="仿宋" w:hAnsi="仿宋" w:eastAsia="仿宋" w:cs="宋体"/>
          <w:b/>
          <w:color w:val="auto"/>
          <w:sz w:val="24"/>
          <w:szCs w:val="24"/>
          <w:highlight w:val="none"/>
          <w:lang w:eastAsia="zh-CN"/>
        </w:rPr>
        <w:t>广西湘翌工程项目管理有限公司</w:t>
      </w:r>
    </w:p>
    <w:p w14:paraId="55005AA4">
      <w:pPr>
        <w:pStyle w:val="8"/>
        <w:spacing w:line="250" w:lineRule="auto"/>
        <w:rPr>
          <w:color w:val="auto"/>
          <w:highlight w:val="none"/>
        </w:rPr>
      </w:pPr>
    </w:p>
    <w:p w14:paraId="6AD9DF4E">
      <w:pPr>
        <w:pStyle w:val="8"/>
        <w:spacing w:line="250" w:lineRule="auto"/>
        <w:rPr>
          <w:color w:val="auto"/>
          <w:highlight w:val="none"/>
        </w:rPr>
      </w:pPr>
    </w:p>
    <w:p w14:paraId="6D56E5C6">
      <w:pPr>
        <w:pStyle w:val="8"/>
        <w:spacing w:line="250" w:lineRule="auto"/>
        <w:rPr>
          <w:color w:val="auto"/>
          <w:highlight w:val="none"/>
        </w:rPr>
      </w:pPr>
    </w:p>
    <w:p w14:paraId="356715D7">
      <w:pPr>
        <w:pStyle w:val="8"/>
        <w:spacing w:line="250" w:lineRule="auto"/>
        <w:rPr>
          <w:color w:val="auto"/>
          <w:highlight w:val="none"/>
        </w:rPr>
      </w:pPr>
    </w:p>
    <w:p w14:paraId="218BDE7D">
      <w:pPr>
        <w:pStyle w:val="8"/>
        <w:spacing w:line="250" w:lineRule="auto"/>
        <w:rPr>
          <w:color w:val="auto"/>
          <w:highlight w:val="none"/>
        </w:rPr>
      </w:pPr>
    </w:p>
    <w:p w14:paraId="0A47E78A">
      <w:pPr>
        <w:pStyle w:val="8"/>
        <w:spacing w:line="250" w:lineRule="auto"/>
        <w:rPr>
          <w:color w:val="auto"/>
          <w:highlight w:val="none"/>
        </w:rPr>
      </w:pPr>
    </w:p>
    <w:p w14:paraId="7269E4A8">
      <w:pPr>
        <w:pStyle w:val="8"/>
        <w:spacing w:line="250" w:lineRule="auto"/>
        <w:rPr>
          <w:color w:val="auto"/>
          <w:highlight w:val="none"/>
        </w:rPr>
      </w:pPr>
    </w:p>
    <w:p w14:paraId="00F99CCE">
      <w:pPr>
        <w:pStyle w:val="8"/>
        <w:spacing w:line="250" w:lineRule="auto"/>
        <w:rPr>
          <w:color w:val="auto"/>
          <w:highlight w:val="none"/>
        </w:rPr>
      </w:pPr>
    </w:p>
    <w:p w14:paraId="7419FCAC">
      <w:pPr>
        <w:spacing w:before="231" w:line="222" w:lineRule="auto"/>
        <w:ind w:left="1757" w:firstLine="718" w:firstLineChars="100"/>
        <w:outlineLvl w:val="0"/>
        <w:rPr>
          <w:rFonts w:ascii="宋体" w:hAnsi="宋体" w:eastAsia="宋体" w:cs="宋体"/>
          <w:color w:val="auto"/>
          <w:sz w:val="71"/>
          <w:szCs w:val="71"/>
          <w:highlight w:val="none"/>
        </w:rPr>
      </w:pPr>
      <w:bookmarkStart w:id="0" w:name="_Toc8403"/>
      <w:r>
        <w:rPr>
          <w:rFonts w:ascii="宋体" w:hAnsi="宋体" w:eastAsia="宋体" w:cs="宋体"/>
          <w:color w:val="auto"/>
          <w:spacing w:val="4"/>
          <w:sz w:val="71"/>
          <w:szCs w:val="71"/>
          <w:highlight w:val="none"/>
        </w:rPr>
        <w:t>竞争性磋商文件</w:t>
      </w:r>
      <w:bookmarkEnd w:id="0"/>
    </w:p>
    <w:p w14:paraId="5588128D">
      <w:pPr>
        <w:pStyle w:val="8"/>
        <w:spacing w:line="241"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（全流程电子化开评标）</w:t>
      </w:r>
    </w:p>
    <w:p w14:paraId="78962BD1">
      <w:pPr>
        <w:pStyle w:val="8"/>
        <w:spacing w:line="241" w:lineRule="auto"/>
        <w:rPr>
          <w:color w:val="auto"/>
          <w:highlight w:val="none"/>
        </w:rPr>
      </w:pPr>
    </w:p>
    <w:p w14:paraId="0EA6C1BE">
      <w:pPr>
        <w:pStyle w:val="8"/>
        <w:spacing w:line="241" w:lineRule="auto"/>
        <w:rPr>
          <w:color w:val="auto"/>
          <w:highlight w:val="none"/>
        </w:rPr>
      </w:pPr>
    </w:p>
    <w:p w14:paraId="68BEE5AE">
      <w:pPr>
        <w:pStyle w:val="8"/>
        <w:spacing w:line="241" w:lineRule="auto"/>
        <w:rPr>
          <w:color w:val="auto"/>
          <w:highlight w:val="none"/>
        </w:rPr>
      </w:pPr>
    </w:p>
    <w:p w14:paraId="06537DD1">
      <w:pPr>
        <w:pStyle w:val="8"/>
        <w:spacing w:line="241" w:lineRule="auto"/>
        <w:rPr>
          <w:color w:val="auto"/>
          <w:highlight w:val="none"/>
        </w:rPr>
      </w:pPr>
    </w:p>
    <w:p w14:paraId="43CE046B">
      <w:pPr>
        <w:pStyle w:val="8"/>
        <w:spacing w:line="241" w:lineRule="auto"/>
        <w:rPr>
          <w:color w:val="auto"/>
          <w:highlight w:val="none"/>
        </w:rPr>
      </w:pPr>
    </w:p>
    <w:p w14:paraId="1A28BC43">
      <w:pPr>
        <w:pStyle w:val="8"/>
        <w:spacing w:line="242" w:lineRule="auto"/>
        <w:rPr>
          <w:color w:val="auto"/>
          <w:highlight w:val="none"/>
        </w:rPr>
      </w:pPr>
    </w:p>
    <w:p w14:paraId="048A3163">
      <w:pPr>
        <w:pStyle w:val="8"/>
        <w:spacing w:line="242" w:lineRule="auto"/>
        <w:rPr>
          <w:color w:val="auto"/>
          <w:highlight w:val="none"/>
        </w:rPr>
      </w:pPr>
    </w:p>
    <w:p w14:paraId="050298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color w:val="auto"/>
          <w:sz w:val="30"/>
          <w:szCs w:val="30"/>
          <w:highlight w:val="none"/>
          <w:lang w:eastAsia="zh-CN"/>
        </w:rPr>
      </w:pPr>
      <w:r>
        <w:rPr>
          <w:rFonts w:ascii="宋体" w:hAnsi="宋体" w:eastAsia="宋体" w:cs="宋体"/>
          <w:color w:val="auto"/>
          <w:sz w:val="30"/>
          <w:szCs w:val="30"/>
          <w:highlight w:val="none"/>
          <w14:textOutline w14:w="5448" w14:cap="sq" w14:cmpd="sng">
            <w14:solidFill>
              <w14:srgbClr w14:val="000000"/>
            </w14:solidFill>
            <w14:prstDash w14:val="solid"/>
            <w14:bevel/>
          </w14:textOutline>
        </w:rPr>
        <w:t>项目名称：</w:t>
      </w:r>
      <w:r>
        <w:rPr>
          <w:rFonts w:hint="eastAsia" w:ascii="宋体" w:hAnsi="宋体" w:eastAsia="宋体" w:cs="宋体"/>
          <w:color w:val="auto"/>
          <w:sz w:val="30"/>
          <w:szCs w:val="30"/>
          <w:highlight w:val="none"/>
          <w:lang w:eastAsia="zh-CN"/>
          <w14:textOutline w14:w="5448" w14:cap="sq" w14:cmpd="sng">
            <w14:solidFill>
              <w14:srgbClr w14:val="000000"/>
            </w14:solidFill>
            <w14:prstDash w14:val="solid"/>
            <w14:bevel/>
          </w14:textOutline>
        </w:rPr>
        <w:t>德保县巴头乡陇位村多闭屯至多作村上作屯道路维修工程</w:t>
      </w:r>
    </w:p>
    <w:p w14:paraId="635E76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ascii="宋体" w:hAnsi="宋体" w:eastAsia="宋体" w:cs="宋体"/>
          <w:color w:val="auto"/>
          <w:sz w:val="30"/>
          <w:szCs w:val="30"/>
          <w:highlight w:val="none"/>
          <w14:textOutline w14:w="5448" w14:cap="sq" w14:cmpd="sng">
            <w14:solidFill>
              <w14:srgbClr w14:val="000000"/>
            </w14:solidFill>
            <w14:prstDash w14:val="solid"/>
            <w14:bevel/>
          </w14:textOutline>
        </w:rPr>
      </w:pPr>
    </w:p>
    <w:p w14:paraId="7E53C0D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color w:val="auto"/>
          <w:sz w:val="30"/>
          <w:szCs w:val="30"/>
          <w:highlight w:val="none"/>
          <w:lang w:eastAsia="zh-CN"/>
        </w:rPr>
      </w:pPr>
      <w:r>
        <w:rPr>
          <w:rFonts w:ascii="宋体" w:hAnsi="宋体" w:eastAsia="宋体" w:cs="宋体"/>
          <w:color w:val="auto"/>
          <w:sz w:val="30"/>
          <w:szCs w:val="30"/>
          <w:highlight w:val="none"/>
          <w14:textOutline w14:w="5448" w14:cap="sq" w14:cmpd="sng">
            <w14:solidFill>
              <w14:srgbClr w14:val="000000"/>
            </w14:solidFill>
            <w14:prstDash w14:val="solid"/>
            <w14:bevel/>
          </w14:textOutline>
        </w:rPr>
        <w:t>项目编号：</w:t>
      </w:r>
      <w:r>
        <w:rPr>
          <w:rFonts w:hint="eastAsia" w:ascii="宋体" w:hAnsi="宋体" w:eastAsia="宋体" w:cs="宋体"/>
          <w:color w:val="auto"/>
          <w:sz w:val="30"/>
          <w:szCs w:val="30"/>
          <w:highlight w:val="none"/>
          <w14:textOutline w14:w="5448" w14:cap="sq" w14:cmpd="sng">
            <w14:solidFill>
              <w14:srgbClr w14:val="000000"/>
            </w14:solidFill>
            <w14:prstDash w14:val="solid"/>
            <w14:bevel/>
          </w14:textOutline>
        </w:rPr>
        <w:t>BSZC2025-C2-240047-GXXY</w:t>
      </w:r>
    </w:p>
    <w:p w14:paraId="125C3D4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5EB3BC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02F353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5A84ED99">
      <w:pPr>
        <w:rPr>
          <w:color w:val="auto"/>
          <w:highlight w:val="none"/>
        </w:rPr>
      </w:pPr>
    </w:p>
    <w:p w14:paraId="0D3279AE">
      <w:pPr>
        <w:rPr>
          <w:color w:val="auto"/>
          <w:highlight w:val="none"/>
        </w:rPr>
      </w:pPr>
    </w:p>
    <w:p w14:paraId="454E0704">
      <w:pPr>
        <w:rPr>
          <w:color w:val="auto"/>
          <w:highlight w:val="none"/>
        </w:rPr>
      </w:pPr>
    </w:p>
    <w:p w14:paraId="617792E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17B12C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10AE83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hint="eastAsia" w:ascii="宋体" w:hAnsi="宋体" w:eastAsia="宋体" w:cs="宋体"/>
          <w:color w:val="auto"/>
          <w:spacing w:val="6"/>
          <w:sz w:val="30"/>
          <w:szCs w:val="30"/>
          <w:highlight w:val="none"/>
          <w:lang w:eastAsia="zh-CN"/>
          <w14:textOutline w14:w="5448" w14:cap="sq" w14:cmpd="sng">
            <w14:solidFill>
              <w14:srgbClr w14:val="000000"/>
            </w14:solidFill>
            <w14:prstDash w14:val="solid"/>
            <w14:bevel/>
          </w14:textOutline>
        </w:rPr>
      </w:pPr>
      <w:r>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t>采   购   人：</w:t>
      </w:r>
      <w:r>
        <w:rPr>
          <w:rFonts w:hint="eastAsia" w:ascii="宋体" w:hAnsi="宋体" w:eastAsia="宋体" w:cs="宋体"/>
          <w:color w:val="auto"/>
          <w:spacing w:val="6"/>
          <w:sz w:val="30"/>
          <w:szCs w:val="30"/>
          <w:highlight w:val="none"/>
          <w:lang w:eastAsia="zh-CN"/>
          <w14:textOutline w14:w="5448" w14:cap="sq" w14:cmpd="sng">
            <w14:solidFill>
              <w14:srgbClr w14:val="000000"/>
            </w14:solidFill>
            <w14:prstDash w14:val="solid"/>
            <w14:bevel/>
          </w14:textOutline>
        </w:rPr>
        <w:t>德保县农村公路建设办公室</w:t>
      </w:r>
    </w:p>
    <w:p w14:paraId="04D6EFA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pPr>
    </w:p>
    <w:p w14:paraId="3F3511B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hint="eastAsia" w:ascii="宋体" w:hAnsi="宋体" w:eastAsia="宋体" w:cs="宋体"/>
          <w:color w:val="auto"/>
          <w:sz w:val="31"/>
          <w:szCs w:val="31"/>
          <w:highlight w:val="none"/>
          <w:lang w:eastAsia="zh-CN"/>
        </w:rPr>
      </w:pPr>
      <w:r>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t>采购代理机构：</w:t>
      </w:r>
      <w:r>
        <w:rPr>
          <w:rFonts w:hint="eastAsia" w:ascii="宋体" w:hAnsi="宋体" w:eastAsia="宋体" w:cs="宋体"/>
          <w:color w:val="auto"/>
          <w:spacing w:val="6"/>
          <w:sz w:val="31"/>
          <w:szCs w:val="31"/>
          <w:highlight w:val="none"/>
          <w:lang w:eastAsia="zh-CN"/>
          <w14:textOutline w14:w="5793" w14:cap="sq" w14:cmpd="sng">
            <w14:solidFill>
              <w14:srgbClr w14:val="000000"/>
            </w14:solidFill>
            <w14:prstDash w14:val="solid"/>
            <w14:bevel/>
          </w14:textOutline>
        </w:rPr>
        <w:t>广西湘翌工程项目管理有限公司</w:t>
      </w:r>
    </w:p>
    <w:p w14:paraId="651042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26F26F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color w:val="auto"/>
          <w:highlight w:val="none"/>
        </w:rPr>
      </w:pPr>
    </w:p>
    <w:p w14:paraId="59AFE1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76" w:firstLineChars="200"/>
        <w:jc w:val="center"/>
        <w:textAlignment w:val="baseline"/>
        <w:rPr>
          <w:rFonts w:ascii="宋体" w:hAnsi="宋体" w:eastAsia="宋体" w:cs="宋体"/>
          <w:color w:val="auto"/>
          <w:sz w:val="30"/>
          <w:szCs w:val="30"/>
          <w:highlight w:val="none"/>
        </w:rPr>
        <w:sectPr>
          <w:pgSz w:w="11905" w:h="16838"/>
          <w:pgMar w:top="1134" w:right="1134" w:bottom="1134" w:left="1134" w:header="0" w:footer="992" w:gutter="0"/>
          <w:pgNumType w:fmt="decimal"/>
          <w:cols w:space="0" w:num="1"/>
          <w:rtlGutter w:val="0"/>
          <w:docGrid w:linePitch="0" w:charSpace="0"/>
        </w:sectPr>
      </w:pPr>
      <w:r>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t>202</w:t>
      </w:r>
      <w:r>
        <w:rPr>
          <w:rFonts w:hint="eastAsia" w:ascii="宋体" w:hAnsi="宋体" w:eastAsia="宋体" w:cs="宋体"/>
          <w:color w:val="auto"/>
          <w:spacing w:val="-6"/>
          <w:sz w:val="30"/>
          <w:szCs w:val="30"/>
          <w:highlight w:val="none"/>
          <w:lang w:val="en-US" w:eastAsia="zh-CN"/>
          <w14:textOutline w14:w="5448" w14:cap="sq" w14:cmpd="sng">
            <w14:solidFill>
              <w14:srgbClr w14:val="000000"/>
            </w14:solidFill>
            <w14:prstDash w14:val="solid"/>
            <w14:bevel/>
          </w14:textOutline>
        </w:rPr>
        <w:t>5</w:t>
      </w:r>
      <w:r>
        <w:rPr>
          <w:rFonts w:ascii="宋体" w:hAnsi="宋体" w:eastAsia="宋体" w:cs="宋体"/>
          <w:color w:val="auto"/>
          <w:spacing w:val="-56"/>
          <w:sz w:val="30"/>
          <w:szCs w:val="30"/>
          <w:highlight w:val="none"/>
        </w:rPr>
        <w:t xml:space="preserve"> </w:t>
      </w:r>
      <w:r>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t>年</w:t>
      </w:r>
      <w:r>
        <w:rPr>
          <w:rFonts w:ascii="宋体" w:hAnsi="宋体" w:eastAsia="宋体" w:cs="宋体"/>
          <w:color w:val="auto"/>
          <w:spacing w:val="-63"/>
          <w:sz w:val="30"/>
          <w:szCs w:val="30"/>
          <w:highlight w:val="none"/>
        </w:rPr>
        <w:t xml:space="preserve"> </w:t>
      </w:r>
      <w:r>
        <w:rPr>
          <w:rFonts w:hint="eastAsia" w:ascii="宋体" w:hAnsi="宋体" w:eastAsia="宋体" w:cs="宋体"/>
          <w:color w:val="auto"/>
          <w:spacing w:val="-6"/>
          <w:sz w:val="30"/>
          <w:szCs w:val="30"/>
          <w:highlight w:val="none"/>
          <w:lang w:val="en-US" w:eastAsia="zh-CN"/>
          <w14:textOutline w14:w="5448" w14:cap="sq" w14:cmpd="sng">
            <w14:solidFill>
              <w14:srgbClr w14:val="000000"/>
            </w14:solidFill>
            <w14:prstDash w14:val="solid"/>
            <w14:bevel/>
          </w14:textOutline>
        </w:rPr>
        <w:t>5</w:t>
      </w:r>
      <w:r>
        <w:rPr>
          <w:rFonts w:ascii="宋体" w:hAnsi="宋体" w:eastAsia="宋体" w:cs="宋体"/>
          <w:color w:val="auto"/>
          <w:spacing w:val="-6"/>
          <w:sz w:val="30"/>
          <w:szCs w:val="30"/>
          <w:highlight w:val="none"/>
          <w14:textOutline w14:w="5448" w14:cap="sq" w14:cmpd="sng">
            <w14:solidFill>
              <w14:srgbClr w14:val="000000"/>
            </w14:solidFill>
            <w14:prstDash w14:val="solid"/>
            <w14:bevel/>
          </w14:textOutline>
        </w:rPr>
        <w:t>月</w:t>
      </w:r>
    </w:p>
    <w:p w14:paraId="2EBE9BE1">
      <w:pPr>
        <w:spacing w:before="101" w:line="360" w:lineRule="auto"/>
        <w:jc w:val="center"/>
        <w:outlineLvl w:val="1"/>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t>目录</w:t>
      </w:r>
    </w:p>
    <w:p w14:paraId="2F7AEE79">
      <w:pPr>
        <w:pStyle w:val="11"/>
        <w:keepNext w:val="0"/>
        <w:keepLines w:val="0"/>
        <w:pageBreakBefore w:val="0"/>
        <w:widowControl/>
        <w:tabs>
          <w:tab w:val="right" w:leader="dot" w:pos="9637"/>
          <w:tab w:val="clear" w:pos="9491"/>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b w:val="0"/>
          <w:snapToGrid w:val="0"/>
          <w:color w:val="auto"/>
          <w:kern w:val="0"/>
          <w:sz w:val="21"/>
          <w:szCs w:val="24"/>
          <w:highlight w:val="none"/>
          <w:lang w:val="en-US" w:eastAsia="en-US" w:bidi="ar-SA"/>
        </w:rPr>
      </w:pP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TOC \o "1-3" \h \u </w:instrText>
      </w:r>
      <w:r>
        <w:rPr>
          <w:rFonts w:ascii="宋体" w:hAnsi="宋体" w:eastAsia="宋体" w:cs="宋体"/>
          <w:color w:val="auto"/>
          <w:sz w:val="24"/>
          <w:szCs w:val="24"/>
          <w:highlight w:val="none"/>
        </w:rPr>
        <w:fldChar w:fldCharType="separate"/>
      </w:r>
      <w:r>
        <w:rPr>
          <w:rFonts w:ascii="宋体" w:hAnsi="宋体" w:eastAsia="宋体" w:cs="宋体"/>
          <w:b w:val="0"/>
          <w:snapToGrid w:val="0"/>
          <w:color w:val="auto"/>
          <w:kern w:val="0"/>
          <w:sz w:val="21"/>
          <w:szCs w:val="24"/>
          <w:highlight w:val="none"/>
          <w:lang w:val="en-US" w:eastAsia="en-US" w:bidi="ar-SA"/>
        </w:rPr>
        <w:fldChar w:fldCharType="begin"/>
      </w:r>
      <w:r>
        <w:rPr>
          <w:rFonts w:ascii="宋体" w:hAnsi="宋体" w:eastAsia="宋体" w:cs="宋体"/>
          <w:b w:val="0"/>
          <w:snapToGrid w:val="0"/>
          <w:color w:val="auto"/>
          <w:kern w:val="0"/>
          <w:sz w:val="21"/>
          <w:szCs w:val="24"/>
          <w:highlight w:val="none"/>
          <w:lang w:val="en-US" w:eastAsia="en-US" w:bidi="ar-SA"/>
        </w:rPr>
        <w:instrText xml:space="preserve"> HYPERLINK \l _Toc8403 </w:instrText>
      </w:r>
      <w:r>
        <w:rPr>
          <w:rFonts w:ascii="宋体" w:hAnsi="宋体" w:eastAsia="宋体" w:cs="宋体"/>
          <w:b w:val="0"/>
          <w:snapToGrid w:val="0"/>
          <w:color w:val="auto"/>
          <w:kern w:val="0"/>
          <w:sz w:val="21"/>
          <w:szCs w:val="24"/>
          <w:highlight w:val="none"/>
          <w:lang w:val="en-US" w:eastAsia="en-US" w:bidi="ar-SA"/>
        </w:rPr>
        <w:fldChar w:fldCharType="separate"/>
      </w:r>
      <w:r>
        <w:rPr>
          <w:rFonts w:ascii="宋体" w:hAnsi="宋体" w:eastAsia="宋体" w:cs="宋体"/>
          <w:b w:val="0"/>
          <w:snapToGrid w:val="0"/>
          <w:color w:val="auto"/>
          <w:kern w:val="0"/>
          <w:sz w:val="21"/>
          <w:szCs w:val="24"/>
          <w:highlight w:val="none"/>
          <w:lang w:val="en-US" w:eastAsia="en-US" w:bidi="ar-SA"/>
        </w:rPr>
        <w:t>竞争性磋商文件</w:t>
      </w:r>
      <w:r>
        <w:rPr>
          <w:rFonts w:ascii="宋体" w:hAnsi="宋体" w:eastAsia="宋体" w:cs="宋体"/>
          <w:b w:val="0"/>
          <w:snapToGrid w:val="0"/>
          <w:color w:val="auto"/>
          <w:kern w:val="0"/>
          <w:sz w:val="21"/>
          <w:szCs w:val="24"/>
          <w:highlight w:val="none"/>
          <w:lang w:val="en-US" w:eastAsia="en-US" w:bidi="ar-SA"/>
        </w:rPr>
        <w:tab/>
      </w:r>
      <w:r>
        <w:rPr>
          <w:rFonts w:ascii="宋体" w:hAnsi="宋体" w:eastAsia="宋体" w:cs="宋体"/>
          <w:b w:val="0"/>
          <w:snapToGrid w:val="0"/>
          <w:color w:val="auto"/>
          <w:kern w:val="0"/>
          <w:sz w:val="21"/>
          <w:szCs w:val="24"/>
          <w:highlight w:val="none"/>
          <w:lang w:val="en-US" w:eastAsia="en-US" w:bidi="ar-SA"/>
        </w:rPr>
        <w:fldChar w:fldCharType="begin"/>
      </w:r>
      <w:r>
        <w:rPr>
          <w:rFonts w:ascii="宋体" w:hAnsi="宋体" w:eastAsia="宋体" w:cs="宋体"/>
          <w:b w:val="0"/>
          <w:snapToGrid w:val="0"/>
          <w:color w:val="auto"/>
          <w:kern w:val="0"/>
          <w:sz w:val="21"/>
          <w:szCs w:val="24"/>
          <w:highlight w:val="none"/>
          <w:lang w:val="en-US" w:eastAsia="en-US" w:bidi="ar-SA"/>
        </w:rPr>
        <w:instrText xml:space="preserve"> PAGEREF _Toc8403 \h </w:instrText>
      </w:r>
      <w:r>
        <w:rPr>
          <w:rFonts w:ascii="宋体" w:hAnsi="宋体" w:eastAsia="宋体" w:cs="宋体"/>
          <w:b w:val="0"/>
          <w:snapToGrid w:val="0"/>
          <w:color w:val="auto"/>
          <w:kern w:val="0"/>
          <w:sz w:val="21"/>
          <w:szCs w:val="24"/>
          <w:highlight w:val="none"/>
          <w:lang w:val="en-US" w:eastAsia="en-US" w:bidi="ar-SA"/>
        </w:rPr>
        <w:fldChar w:fldCharType="separate"/>
      </w:r>
      <w:r>
        <w:rPr>
          <w:rFonts w:ascii="宋体" w:hAnsi="宋体" w:eastAsia="宋体" w:cs="宋体"/>
          <w:b w:val="0"/>
          <w:snapToGrid w:val="0"/>
          <w:color w:val="auto"/>
          <w:kern w:val="0"/>
          <w:sz w:val="21"/>
          <w:szCs w:val="24"/>
          <w:highlight w:val="none"/>
          <w:lang w:val="en-US" w:eastAsia="en-US" w:bidi="ar-SA"/>
        </w:rPr>
        <w:t>1</w:t>
      </w:r>
      <w:r>
        <w:rPr>
          <w:rFonts w:ascii="宋体" w:hAnsi="宋体" w:eastAsia="宋体" w:cs="宋体"/>
          <w:b w:val="0"/>
          <w:snapToGrid w:val="0"/>
          <w:color w:val="auto"/>
          <w:kern w:val="0"/>
          <w:sz w:val="21"/>
          <w:szCs w:val="24"/>
          <w:highlight w:val="none"/>
          <w:lang w:val="en-US" w:eastAsia="en-US" w:bidi="ar-SA"/>
        </w:rPr>
        <w:fldChar w:fldCharType="end"/>
      </w:r>
      <w:r>
        <w:rPr>
          <w:rFonts w:ascii="宋体" w:hAnsi="宋体" w:eastAsia="宋体" w:cs="宋体"/>
          <w:b w:val="0"/>
          <w:snapToGrid w:val="0"/>
          <w:color w:val="auto"/>
          <w:kern w:val="0"/>
          <w:sz w:val="21"/>
          <w:szCs w:val="24"/>
          <w:highlight w:val="none"/>
          <w:lang w:val="en-US" w:eastAsia="en-US" w:bidi="ar-SA"/>
        </w:rPr>
        <w:fldChar w:fldCharType="end"/>
      </w:r>
    </w:p>
    <w:p w14:paraId="6336DD3B">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_Toc31839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第一章</w:t>
      </w:r>
      <w:r>
        <w:rPr>
          <w:rFonts w:ascii="宋体" w:hAnsi="宋体" w:eastAsia="宋体" w:cs="宋体"/>
          <w:color w:val="auto"/>
          <w:spacing w:val="9"/>
          <w:szCs w:val="31"/>
          <w:highlight w:val="none"/>
        </w:rPr>
        <w:t xml:space="preserve"> </w:t>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竞争性磋商公告</w:t>
      </w:r>
      <w:r>
        <w:rPr>
          <w:color w:val="auto"/>
          <w:highlight w:val="none"/>
        </w:rPr>
        <w:tab/>
      </w:r>
      <w:r>
        <w:rPr>
          <w:color w:val="auto"/>
          <w:highlight w:val="none"/>
        </w:rPr>
        <w:fldChar w:fldCharType="begin"/>
      </w:r>
      <w:r>
        <w:rPr>
          <w:color w:val="auto"/>
          <w:highlight w:val="none"/>
        </w:rPr>
        <w:instrText xml:space="preserve"> PAGEREF _Toc31839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s="宋体"/>
          <w:color w:val="auto"/>
          <w:szCs w:val="24"/>
          <w:highlight w:val="none"/>
        </w:rPr>
        <w:fldChar w:fldCharType="end"/>
      </w:r>
    </w:p>
    <w:p w14:paraId="7D53E882">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_Toc26550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第二章 供应商须知</w:t>
      </w:r>
      <w:r>
        <w:rPr>
          <w:color w:val="auto"/>
          <w:highlight w:val="none"/>
        </w:rPr>
        <w:tab/>
      </w:r>
      <w:r>
        <w:rPr>
          <w:color w:val="auto"/>
          <w:highlight w:val="none"/>
        </w:rPr>
        <w:fldChar w:fldCharType="begin"/>
      </w:r>
      <w:r>
        <w:rPr>
          <w:color w:val="auto"/>
          <w:highlight w:val="none"/>
        </w:rPr>
        <w:instrText xml:space="preserve"> PAGEREF _Toc26550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宋体"/>
          <w:color w:val="auto"/>
          <w:szCs w:val="24"/>
          <w:highlight w:val="none"/>
        </w:rPr>
        <w:fldChar w:fldCharType="end"/>
      </w:r>
    </w:p>
    <w:p w14:paraId="37578F15">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_Toc18089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第三章  评审程序、评审方法和评审标准</w:t>
      </w:r>
      <w:r>
        <w:rPr>
          <w:color w:val="auto"/>
          <w:highlight w:val="none"/>
        </w:rPr>
        <w:tab/>
      </w:r>
      <w:r>
        <w:rPr>
          <w:color w:val="auto"/>
          <w:highlight w:val="none"/>
        </w:rPr>
        <w:fldChar w:fldCharType="begin"/>
      </w:r>
      <w:r>
        <w:rPr>
          <w:color w:val="auto"/>
          <w:highlight w:val="none"/>
        </w:rPr>
        <w:instrText xml:space="preserve"> PAGEREF _Toc18089 \h </w:instrText>
      </w:r>
      <w:r>
        <w:rPr>
          <w:color w:val="auto"/>
          <w:highlight w:val="none"/>
        </w:rPr>
        <w:fldChar w:fldCharType="separate"/>
      </w:r>
      <w:r>
        <w:rPr>
          <w:color w:val="auto"/>
          <w:highlight w:val="none"/>
        </w:rPr>
        <w:t>23</w:t>
      </w:r>
      <w:r>
        <w:rPr>
          <w:color w:val="auto"/>
          <w:highlight w:val="none"/>
        </w:rPr>
        <w:fldChar w:fldCharType="end"/>
      </w:r>
      <w:r>
        <w:rPr>
          <w:rFonts w:ascii="宋体" w:hAnsi="宋体" w:eastAsia="宋体" w:cs="宋体"/>
          <w:color w:val="auto"/>
          <w:szCs w:val="24"/>
          <w:highlight w:val="none"/>
        </w:rPr>
        <w:fldChar w:fldCharType="end"/>
      </w:r>
    </w:p>
    <w:p w14:paraId="27FE76CF">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_Toc23031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第四章 合同条款及格式</w:t>
      </w:r>
      <w:r>
        <w:rPr>
          <w:color w:val="auto"/>
          <w:highlight w:val="none"/>
        </w:rPr>
        <w:tab/>
      </w:r>
      <w:r>
        <w:rPr>
          <w:color w:val="auto"/>
          <w:highlight w:val="none"/>
        </w:rPr>
        <w:fldChar w:fldCharType="begin"/>
      </w:r>
      <w:r>
        <w:rPr>
          <w:color w:val="auto"/>
          <w:highlight w:val="none"/>
        </w:rPr>
        <w:instrText xml:space="preserve"> PAGEREF _Toc23031 \h </w:instrText>
      </w:r>
      <w:r>
        <w:rPr>
          <w:color w:val="auto"/>
          <w:highlight w:val="none"/>
        </w:rPr>
        <w:fldChar w:fldCharType="separate"/>
      </w:r>
      <w:r>
        <w:rPr>
          <w:color w:val="auto"/>
          <w:highlight w:val="none"/>
        </w:rPr>
        <w:t>37</w:t>
      </w:r>
      <w:r>
        <w:rPr>
          <w:color w:val="auto"/>
          <w:highlight w:val="none"/>
        </w:rPr>
        <w:fldChar w:fldCharType="end"/>
      </w:r>
      <w:r>
        <w:rPr>
          <w:rFonts w:ascii="宋体" w:hAnsi="宋体" w:eastAsia="宋体" w:cs="宋体"/>
          <w:color w:val="auto"/>
          <w:szCs w:val="24"/>
          <w:highlight w:val="none"/>
        </w:rPr>
        <w:fldChar w:fldCharType="end"/>
      </w:r>
    </w:p>
    <w:p w14:paraId="1D37277F">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_Toc14540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第五章 工程量清单</w:t>
      </w:r>
      <w:r>
        <w:rPr>
          <w:color w:val="auto"/>
          <w:highlight w:val="none"/>
        </w:rPr>
        <w:tab/>
      </w:r>
      <w:r>
        <w:rPr>
          <w:color w:val="auto"/>
          <w:highlight w:val="none"/>
        </w:rPr>
        <w:fldChar w:fldCharType="begin"/>
      </w:r>
      <w:r>
        <w:rPr>
          <w:color w:val="auto"/>
          <w:highlight w:val="none"/>
        </w:rPr>
        <w:instrText xml:space="preserve"> PAGEREF _Toc14540 \h </w:instrText>
      </w:r>
      <w:r>
        <w:rPr>
          <w:color w:val="auto"/>
          <w:highlight w:val="none"/>
        </w:rPr>
        <w:fldChar w:fldCharType="separate"/>
      </w:r>
      <w:r>
        <w:rPr>
          <w:color w:val="auto"/>
          <w:highlight w:val="none"/>
        </w:rPr>
        <w:t>113</w:t>
      </w:r>
      <w:r>
        <w:rPr>
          <w:color w:val="auto"/>
          <w:highlight w:val="none"/>
        </w:rPr>
        <w:fldChar w:fldCharType="end"/>
      </w:r>
      <w:r>
        <w:rPr>
          <w:rFonts w:ascii="宋体" w:hAnsi="宋体" w:eastAsia="宋体" w:cs="宋体"/>
          <w:color w:val="auto"/>
          <w:szCs w:val="24"/>
          <w:highlight w:val="none"/>
        </w:rPr>
        <w:fldChar w:fldCharType="end"/>
      </w:r>
    </w:p>
    <w:p w14:paraId="7FD67E94">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_Toc9709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第六章图纸</w:t>
      </w:r>
      <w:r>
        <w:rPr>
          <w:color w:val="auto"/>
          <w:highlight w:val="none"/>
        </w:rPr>
        <w:tab/>
      </w:r>
      <w:r>
        <w:rPr>
          <w:color w:val="auto"/>
          <w:highlight w:val="none"/>
        </w:rPr>
        <w:fldChar w:fldCharType="begin"/>
      </w:r>
      <w:r>
        <w:rPr>
          <w:color w:val="auto"/>
          <w:highlight w:val="none"/>
        </w:rPr>
        <w:instrText xml:space="preserve"> PAGEREF _Toc9709 \h </w:instrText>
      </w:r>
      <w:r>
        <w:rPr>
          <w:color w:val="auto"/>
          <w:highlight w:val="none"/>
        </w:rPr>
        <w:fldChar w:fldCharType="separate"/>
      </w:r>
      <w:r>
        <w:rPr>
          <w:color w:val="auto"/>
          <w:highlight w:val="none"/>
        </w:rPr>
        <w:t>114</w:t>
      </w:r>
      <w:r>
        <w:rPr>
          <w:color w:val="auto"/>
          <w:highlight w:val="none"/>
        </w:rPr>
        <w:fldChar w:fldCharType="end"/>
      </w:r>
      <w:r>
        <w:rPr>
          <w:rFonts w:ascii="宋体" w:hAnsi="宋体" w:eastAsia="宋体" w:cs="宋体"/>
          <w:color w:val="auto"/>
          <w:szCs w:val="24"/>
          <w:highlight w:val="none"/>
        </w:rPr>
        <w:fldChar w:fldCharType="end"/>
      </w:r>
    </w:p>
    <w:p w14:paraId="0B1377C7">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_Toc23751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第七章技术标准及要求</w:t>
      </w:r>
      <w:r>
        <w:rPr>
          <w:color w:val="auto"/>
          <w:highlight w:val="none"/>
        </w:rPr>
        <w:tab/>
      </w:r>
      <w:r>
        <w:rPr>
          <w:color w:val="auto"/>
          <w:highlight w:val="none"/>
        </w:rPr>
        <w:fldChar w:fldCharType="begin"/>
      </w:r>
      <w:r>
        <w:rPr>
          <w:color w:val="auto"/>
          <w:highlight w:val="none"/>
        </w:rPr>
        <w:instrText xml:space="preserve"> PAGEREF _Toc23751 \h </w:instrText>
      </w:r>
      <w:r>
        <w:rPr>
          <w:color w:val="auto"/>
          <w:highlight w:val="none"/>
        </w:rPr>
        <w:fldChar w:fldCharType="separate"/>
      </w:r>
      <w:r>
        <w:rPr>
          <w:color w:val="auto"/>
          <w:highlight w:val="none"/>
        </w:rPr>
        <w:t>115</w:t>
      </w:r>
      <w:r>
        <w:rPr>
          <w:color w:val="auto"/>
          <w:highlight w:val="none"/>
        </w:rPr>
        <w:fldChar w:fldCharType="end"/>
      </w:r>
      <w:r>
        <w:rPr>
          <w:rFonts w:ascii="宋体" w:hAnsi="宋体" w:eastAsia="宋体" w:cs="宋体"/>
          <w:color w:val="auto"/>
          <w:szCs w:val="24"/>
          <w:highlight w:val="none"/>
        </w:rPr>
        <w:fldChar w:fldCharType="end"/>
      </w:r>
    </w:p>
    <w:p w14:paraId="1A322CDD">
      <w:pPr>
        <w:pStyle w:val="15"/>
        <w:keepNext w:val="0"/>
        <w:keepLines w:val="0"/>
        <w:pageBreakBefore w:val="0"/>
        <w:widowControl/>
        <w:tabs>
          <w:tab w:val="right" w:leader="dot" w:pos="9637"/>
        </w:tabs>
        <w:kinsoku w:val="0"/>
        <w:wordWrap/>
        <w:overflowPunct/>
        <w:topLinePunct w:val="0"/>
        <w:autoSpaceDE w:val="0"/>
        <w:autoSpaceDN w:val="0"/>
        <w:bidi w:val="0"/>
        <w:adjustRightInd w:val="0"/>
        <w:snapToGrid w:val="0"/>
        <w:spacing w:line="500" w:lineRule="exact"/>
        <w:ind w:left="0" w:leftChars="0"/>
        <w:textAlignment w:val="baseline"/>
        <w:rPr>
          <w:color w:val="auto"/>
          <w:highlight w:val="none"/>
        </w:rPr>
      </w:pPr>
      <w:r>
        <w:rPr>
          <w:rFonts w:ascii="宋体" w:hAnsi="宋体" w:eastAsia="宋体" w:cs="宋体"/>
          <w:color w:val="auto"/>
          <w:szCs w:val="24"/>
          <w:highlight w:val="none"/>
        </w:rPr>
        <w:fldChar w:fldCharType="begin"/>
      </w:r>
      <w:r>
        <w:rPr>
          <w:rFonts w:ascii="宋体" w:hAnsi="宋体" w:eastAsia="宋体" w:cs="宋体"/>
          <w:color w:val="auto"/>
          <w:szCs w:val="24"/>
          <w:highlight w:val="none"/>
        </w:rPr>
        <w:instrText xml:space="preserve"> HYPERLINK \l _Toc9653 </w:instrText>
      </w:r>
      <w:r>
        <w:rPr>
          <w:rFonts w:ascii="宋体" w:hAnsi="宋体" w:eastAsia="宋体" w:cs="宋体"/>
          <w:color w:val="auto"/>
          <w:szCs w:val="24"/>
          <w:highlight w:val="none"/>
        </w:rPr>
        <w:fldChar w:fldCharType="separate"/>
      </w:r>
      <w:r>
        <w:rPr>
          <w:rFonts w:ascii="宋体" w:hAnsi="宋体" w:eastAsia="宋体" w:cs="宋体"/>
          <w:color w:val="auto"/>
          <w:spacing w:val="9"/>
          <w:szCs w:val="31"/>
          <w:highlight w:val="none"/>
          <w14:textOutline w14:w="5793" w14:cap="sq" w14:cmpd="sng">
            <w14:solidFill>
              <w14:srgbClr w14:val="000000"/>
            </w14:solidFill>
            <w14:prstDash w14:val="solid"/>
            <w14:bevel/>
          </w14:textOutline>
        </w:rPr>
        <w:t>第八章 响应文件格式</w:t>
      </w:r>
      <w:r>
        <w:rPr>
          <w:color w:val="auto"/>
          <w:highlight w:val="none"/>
        </w:rPr>
        <w:tab/>
      </w:r>
      <w:r>
        <w:rPr>
          <w:color w:val="auto"/>
          <w:highlight w:val="none"/>
        </w:rPr>
        <w:fldChar w:fldCharType="begin"/>
      </w:r>
      <w:r>
        <w:rPr>
          <w:color w:val="auto"/>
          <w:highlight w:val="none"/>
        </w:rPr>
        <w:instrText xml:space="preserve"> PAGEREF _Toc9653 \h </w:instrText>
      </w:r>
      <w:r>
        <w:rPr>
          <w:color w:val="auto"/>
          <w:highlight w:val="none"/>
        </w:rPr>
        <w:fldChar w:fldCharType="separate"/>
      </w:r>
      <w:r>
        <w:rPr>
          <w:color w:val="auto"/>
          <w:highlight w:val="none"/>
        </w:rPr>
        <w:t>116</w:t>
      </w:r>
      <w:r>
        <w:rPr>
          <w:color w:val="auto"/>
          <w:highlight w:val="none"/>
        </w:rPr>
        <w:fldChar w:fldCharType="end"/>
      </w:r>
      <w:r>
        <w:rPr>
          <w:rFonts w:ascii="宋体" w:hAnsi="宋体" w:eastAsia="宋体" w:cs="宋体"/>
          <w:color w:val="auto"/>
          <w:szCs w:val="24"/>
          <w:highlight w:val="none"/>
        </w:rPr>
        <w:fldChar w:fldCharType="end"/>
      </w:r>
    </w:p>
    <w:p w14:paraId="54A543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outlineLvl w:val="1"/>
        <w:rPr>
          <w:rFonts w:ascii="宋体" w:hAnsi="宋体" w:eastAsia="宋体" w:cs="宋体"/>
          <w:color w:val="auto"/>
          <w:sz w:val="24"/>
          <w:szCs w:val="24"/>
          <w:highlight w:val="none"/>
        </w:rPr>
        <w:sectPr>
          <w:footerReference r:id="rId5" w:type="default"/>
          <w:pgSz w:w="11905" w:h="16838"/>
          <w:pgMar w:top="1134" w:right="1134" w:bottom="1134" w:left="1134" w:header="0" w:footer="992" w:gutter="0"/>
          <w:pgNumType w:fmt="decimal" w:start="1"/>
          <w:cols w:space="0" w:num="1"/>
          <w:rtlGutter w:val="0"/>
          <w:docGrid w:linePitch="0" w:charSpace="0"/>
        </w:sectPr>
      </w:pPr>
      <w:r>
        <w:rPr>
          <w:rFonts w:ascii="宋体" w:hAnsi="宋体" w:eastAsia="宋体" w:cs="宋体"/>
          <w:color w:val="auto"/>
          <w:szCs w:val="24"/>
          <w:highlight w:val="none"/>
        </w:rPr>
        <w:fldChar w:fldCharType="end"/>
      </w:r>
    </w:p>
    <w:p w14:paraId="07EC384B">
      <w:pPr>
        <w:pStyle w:val="8"/>
        <w:spacing w:line="319" w:lineRule="auto"/>
        <w:rPr>
          <w:color w:val="auto"/>
          <w:highlight w:val="none"/>
        </w:rPr>
      </w:pPr>
    </w:p>
    <w:p w14:paraId="4CFBFCF0">
      <w:pPr>
        <w:spacing w:before="101" w:line="360" w:lineRule="auto"/>
        <w:ind w:left="2854"/>
        <w:outlineLvl w:val="1"/>
        <w:rPr>
          <w:rFonts w:ascii="宋体" w:hAnsi="宋体" w:eastAsia="宋体" w:cs="宋体"/>
          <w:color w:val="auto"/>
          <w:sz w:val="31"/>
          <w:szCs w:val="31"/>
          <w:highlight w:val="none"/>
        </w:rPr>
      </w:pPr>
      <w:bookmarkStart w:id="1" w:name="bookmark1"/>
      <w:bookmarkEnd w:id="1"/>
      <w:bookmarkStart w:id="2" w:name="_Toc31839"/>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竞争性磋商公告</w:t>
      </w:r>
      <w:bookmarkEnd w:id="2"/>
    </w:p>
    <w:p w14:paraId="2D0D204A">
      <w:pPr>
        <w:spacing w:before="101" w:line="360" w:lineRule="auto"/>
        <w:jc w:val="center"/>
        <w:rPr>
          <w:color w:val="auto"/>
          <w:highlight w:val="none"/>
        </w:rPr>
      </w:pPr>
      <w:r>
        <w:rPr>
          <w:rFonts w:hint="eastAsia" w:ascii="宋体" w:hAnsi="宋体" w:eastAsia="宋体" w:cs="宋体"/>
          <w:color w:val="auto"/>
          <w:spacing w:val="8"/>
          <w:sz w:val="28"/>
          <w:szCs w:val="28"/>
          <w:highlight w:val="none"/>
          <w:lang w:eastAsia="zh-CN"/>
          <w14:textOutline w14:w="5793" w14:cap="sq" w14:cmpd="sng">
            <w14:solidFill>
              <w14:srgbClr w14:val="000000"/>
            </w14:solidFill>
            <w14:prstDash w14:val="solid"/>
            <w14:bevel/>
          </w14:textOutline>
        </w:rPr>
        <w:t>德保县巴头乡陇位村多闭屯至多作村上作屯道路维修工程</w:t>
      </w:r>
      <w:r>
        <w:rPr>
          <w:rFonts w:hint="eastAsia" w:ascii="宋体" w:hAnsi="宋体" w:eastAsia="宋体" w:cs="宋体"/>
          <w:color w:val="auto"/>
          <w:spacing w:val="8"/>
          <w:sz w:val="28"/>
          <w:szCs w:val="28"/>
          <w:highlight w:val="none"/>
          <w:lang w:val="en-US" w:eastAsia="zh-CN"/>
          <w14:textOutline w14:w="5793" w14:cap="sq" w14:cmpd="sng">
            <w14:solidFill>
              <w14:srgbClr w14:val="000000"/>
            </w14:solidFill>
            <w14:prstDash w14:val="solid"/>
            <w14:bevel/>
          </w14:textOutline>
        </w:rPr>
        <w:t>竞争性磋商公告</w:t>
      </w: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(远程异地评标)</w:t>
      </w:r>
    </w:p>
    <w:tbl>
      <w:tblPr>
        <w:tblStyle w:val="22"/>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1BF54D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69" w:hRule="atLeast"/>
        </w:trPr>
        <w:tc>
          <w:tcPr>
            <w:tcW w:w="9052" w:type="dxa"/>
            <w:vAlign w:val="top"/>
          </w:tcPr>
          <w:p w14:paraId="7C16C9A3">
            <w:pPr>
              <w:pStyle w:val="23"/>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color w:val="auto"/>
                <w:sz w:val="24"/>
                <w:szCs w:val="24"/>
                <w:highlight w:val="none"/>
              </w:rPr>
            </w:pPr>
            <w:r>
              <w:rPr>
                <w:color w:val="auto"/>
                <w:spacing w:val="6"/>
                <w:sz w:val="24"/>
                <w:szCs w:val="24"/>
                <w:highlight w:val="none"/>
              </w:rPr>
              <w:t>项目概况</w:t>
            </w:r>
          </w:p>
          <w:p w14:paraId="64BC6967">
            <w:pPr>
              <w:pStyle w:val="23"/>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color w:val="auto"/>
                <w:sz w:val="24"/>
                <w:szCs w:val="24"/>
                <w:highlight w:val="none"/>
              </w:rPr>
            </w:pPr>
            <w:r>
              <w:rPr>
                <w:rFonts w:hint="eastAsia"/>
                <w:color w:val="auto"/>
                <w:spacing w:val="9"/>
                <w:sz w:val="24"/>
                <w:szCs w:val="24"/>
                <w:highlight w:val="none"/>
                <w:u w:val="single" w:color="auto"/>
                <w:lang w:eastAsia="zh-CN"/>
              </w:rPr>
              <w:t>德保县巴头乡陇位村多闭屯至多作村上作屯道路维修工程</w:t>
            </w:r>
            <w:r>
              <w:rPr>
                <w:color w:val="auto"/>
                <w:spacing w:val="9"/>
                <w:sz w:val="24"/>
                <w:szCs w:val="24"/>
                <w:highlight w:val="none"/>
              </w:rPr>
              <w:t>采购项目的潜在供应商应在</w:t>
            </w:r>
            <w:r>
              <w:rPr>
                <w:rFonts w:hint="eastAsia"/>
                <w:color w:val="auto"/>
                <w:spacing w:val="9"/>
                <w:sz w:val="24"/>
                <w:szCs w:val="24"/>
                <w:highlight w:val="none"/>
                <w:u w:val="single" w:color="auto"/>
              </w:rPr>
              <w:t>广西政府采购云平台（https：//www.gcy.zfcg.gxzf.gov.cn）线上</w:t>
            </w:r>
            <w:r>
              <w:rPr>
                <w:color w:val="auto"/>
                <w:spacing w:val="4"/>
                <w:sz w:val="24"/>
                <w:szCs w:val="24"/>
                <w:highlight w:val="none"/>
              </w:rPr>
              <w:t>获取</w:t>
            </w:r>
            <w:r>
              <w:rPr>
                <w:rFonts w:hint="eastAsia"/>
                <w:color w:val="auto"/>
                <w:spacing w:val="4"/>
                <w:sz w:val="24"/>
                <w:szCs w:val="24"/>
                <w:highlight w:val="none"/>
                <w:lang w:eastAsia="zh-CN"/>
              </w:rPr>
              <w:t>采购</w:t>
            </w:r>
            <w:r>
              <w:rPr>
                <w:color w:val="auto"/>
                <w:spacing w:val="4"/>
                <w:sz w:val="24"/>
                <w:szCs w:val="24"/>
                <w:highlight w:val="none"/>
              </w:rPr>
              <w:t>文件，并于</w:t>
            </w:r>
            <w:r>
              <w:rPr>
                <w:color w:val="auto"/>
                <w:spacing w:val="-21"/>
                <w:sz w:val="24"/>
                <w:szCs w:val="24"/>
                <w:highlight w:val="none"/>
              </w:rPr>
              <w:t xml:space="preserve"> </w:t>
            </w:r>
            <w:r>
              <w:rPr>
                <w:rFonts w:hint="eastAsia"/>
                <w:color w:val="auto"/>
                <w:spacing w:val="4"/>
                <w:sz w:val="24"/>
                <w:szCs w:val="24"/>
                <w:highlight w:val="none"/>
                <w:u w:val="single" w:color="auto"/>
                <w:lang w:eastAsia="zh-CN"/>
              </w:rPr>
              <w:t>2025年06月03日09时30分</w:t>
            </w:r>
            <w:r>
              <w:rPr>
                <w:color w:val="auto"/>
                <w:spacing w:val="4"/>
                <w:sz w:val="24"/>
                <w:szCs w:val="24"/>
                <w:highlight w:val="none"/>
              </w:rPr>
              <w:t>（北京时间）前提交响应文件。</w:t>
            </w:r>
          </w:p>
        </w:tc>
      </w:tr>
    </w:tbl>
    <w:p w14:paraId="6E40DE13">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z w:val="24"/>
          <w:szCs w:val="24"/>
          <w:highlight w:val="none"/>
        </w:rPr>
      </w:pPr>
      <w:r>
        <w:rPr>
          <w:rFonts w:ascii="宋体" w:hAnsi="宋体" w:eastAsia="宋体" w:cs="宋体"/>
          <w:b/>
          <w:bCs/>
          <w:color w:val="auto"/>
          <w:spacing w:val="8"/>
          <w:sz w:val="24"/>
          <w:szCs w:val="24"/>
          <w:highlight w:val="none"/>
        </w:rPr>
        <w:t>一、项目基本情况</w:t>
      </w:r>
    </w:p>
    <w:p w14:paraId="7D0AC856">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hint="default" w:ascii="宋体" w:hAnsi="宋体" w:eastAsia="宋体" w:cs="宋体"/>
          <w:color w:val="auto"/>
          <w:spacing w:val="5"/>
          <w:sz w:val="24"/>
          <w:szCs w:val="24"/>
          <w:highlight w:val="none"/>
          <w:lang w:val="en-US" w:eastAsia="zh-CN"/>
        </w:rPr>
      </w:pPr>
      <w:r>
        <w:rPr>
          <w:rFonts w:ascii="宋体" w:hAnsi="宋体" w:eastAsia="宋体" w:cs="宋体"/>
          <w:color w:val="auto"/>
          <w:spacing w:val="5"/>
          <w:sz w:val="24"/>
          <w:szCs w:val="24"/>
          <w:highlight w:val="none"/>
        </w:rPr>
        <w:t>项目编号：</w:t>
      </w:r>
      <w:r>
        <w:rPr>
          <w:rFonts w:hint="eastAsia" w:ascii="宋体" w:hAnsi="宋体" w:eastAsia="宋体" w:cs="宋体"/>
          <w:color w:val="auto"/>
          <w:spacing w:val="5"/>
          <w:sz w:val="24"/>
          <w:szCs w:val="24"/>
          <w:highlight w:val="none"/>
        </w:rPr>
        <w:t>BSZC2025-C2-240047-GXXY</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lang w:val="en-US" w:eastAsia="zh-CN"/>
        </w:rPr>
        <w:t xml:space="preserve">  </w:t>
      </w:r>
    </w:p>
    <w:p w14:paraId="24F07769">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项目名称：德保县巴头乡陇位村多闭屯至多作村上作屯道路维修工程</w:t>
      </w:r>
    </w:p>
    <w:p w14:paraId="46ED31EA">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采购方式：竞争性磋商</w:t>
      </w:r>
    </w:p>
    <w:p w14:paraId="27651F32">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hint="eastAsia" w:ascii="宋体" w:hAnsi="宋体" w:eastAsia="宋体" w:cs="宋体"/>
          <w:color w:val="auto"/>
          <w:spacing w:val="5"/>
          <w:sz w:val="24"/>
          <w:szCs w:val="24"/>
          <w:highlight w:val="none"/>
          <w:lang w:val="en-US" w:eastAsia="zh-CN"/>
        </w:rPr>
      </w:pPr>
      <w:r>
        <w:rPr>
          <w:rFonts w:ascii="宋体" w:hAnsi="宋体" w:eastAsia="宋体" w:cs="宋体"/>
          <w:color w:val="auto"/>
          <w:spacing w:val="5"/>
          <w:sz w:val="24"/>
          <w:szCs w:val="24"/>
          <w:highlight w:val="none"/>
        </w:rPr>
        <w:t>预算金额</w:t>
      </w:r>
      <w:r>
        <w:rPr>
          <w:rFonts w:ascii="宋体" w:hAnsi="宋体" w:eastAsia="宋体" w:cs="宋体"/>
          <w:color w:val="auto"/>
          <w:spacing w:val="19"/>
          <w:sz w:val="24"/>
          <w:szCs w:val="24"/>
          <w:highlight w:val="none"/>
        </w:rPr>
        <w:t>：</w:t>
      </w:r>
      <w:r>
        <w:rPr>
          <w:rFonts w:hint="eastAsia" w:ascii="宋体" w:hAnsi="宋体" w:eastAsia="宋体" w:cs="宋体"/>
          <w:color w:val="auto"/>
          <w:spacing w:val="5"/>
          <w:sz w:val="24"/>
          <w:szCs w:val="24"/>
          <w:highlight w:val="none"/>
          <w:lang w:val="en-US" w:eastAsia="zh-CN"/>
        </w:rPr>
        <w:t>人民币叁佰零贰万伍仟贰佰元整（￥3025200.00元）</w:t>
      </w:r>
    </w:p>
    <w:p w14:paraId="167EBE11">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hint="default" w:ascii="宋体" w:hAnsi="宋体" w:eastAsia="宋体" w:cs="宋体"/>
          <w:b w:val="0"/>
          <w:snapToGrid w:val="0"/>
          <w:color w:val="auto"/>
          <w:spacing w:val="5"/>
          <w:kern w:val="0"/>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最高限价</w:t>
      </w:r>
      <w:r>
        <w:rPr>
          <w:rFonts w:hint="eastAsia" w:ascii="宋体" w:hAnsi="宋体" w:eastAsia="宋体" w:cs="宋体"/>
          <w:b w:val="0"/>
          <w:snapToGrid w:val="0"/>
          <w:color w:val="auto"/>
          <w:spacing w:val="5"/>
          <w:kern w:val="0"/>
          <w:sz w:val="24"/>
          <w:szCs w:val="24"/>
          <w:highlight w:val="none"/>
          <w:lang w:val="en-US" w:eastAsia="zh-CN" w:bidi="ar-SA"/>
        </w:rPr>
        <w:t>：</w:t>
      </w:r>
      <w:r>
        <w:rPr>
          <w:rFonts w:hint="eastAsia" w:ascii="宋体" w:hAnsi="宋体" w:eastAsia="宋体" w:cs="宋体"/>
          <w:color w:val="auto"/>
          <w:spacing w:val="5"/>
          <w:sz w:val="24"/>
          <w:szCs w:val="24"/>
          <w:highlight w:val="none"/>
          <w:lang w:val="en-US" w:eastAsia="zh-CN"/>
        </w:rPr>
        <w:t>人民币叁佰零贰万伍仟贰佰元整（￥3025200.00元）</w:t>
      </w:r>
    </w:p>
    <w:p w14:paraId="1D7FA7A5">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4" w:firstLineChars="200"/>
        <w:jc w:val="both"/>
        <w:textAlignment w:val="baseline"/>
        <w:rPr>
          <w:rFonts w:hint="eastAsia" w:ascii="宋体" w:hAnsi="宋体" w:eastAsia="宋体" w:cs="宋体"/>
          <w:color w:val="auto"/>
          <w:spacing w:val="5"/>
          <w:sz w:val="24"/>
          <w:szCs w:val="24"/>
          <w:highlight w:val="none"/>
          <w:lang w:val="en-US" w:eastAsia="zh-CN"/>
        </w:rPr>
      </w:pPr>
      <w:r>
        <w:rPr>
          <w:rFonts w:ascii="宋体" w:hAnsi="宋体" w:eastAsia="宋体" w:cs="宋体"/>
          <w:color w:val="auto"/>
          <w:spacing w:val="11"/>
          <w:sz w:val="24"/>
          <w:szCs w:val="24"/>
          <w:highlight w:val="none"/>
        </w:rPr>
        <w:t>采购需求：</w:t>
      </w:r>
      <w:r>
        <w:rPr>
          <w:rFonts w:hint="eastAsia" w:ascii="宋体" w:hAnsi="宋体" w:eastAsia="宋体" w:cs="宋体"/>
          <w:color w:val="auto"/>
          <w:spacing w:val="5"/>
          <w:sz w:val="24"/>
          <w:szCs w:val="24"/>
          <w:highlight w:val="none"/>
          <w:lang w:val="en-US" w:eastAsia="zh-CN"/>
        </w:rPr>
        <w:t>德保县巴头乡陇位村多闭屯至多作村上作屯道路维修工程1项（具体内容以施工图纸及工程量清单为准）如需进一步了解详细内容，详见竞争性磋商文件。</w:t>
      </w:r>
    </w:p>
    <w:p w14:paraId="49B1DA5D">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hint="eastAsia" w:ascii="宋体" w:hAnsi="宋体" w:eastAsia="宋体" w:cs="宋体"/>
          <w:color w:val="auto"/>
          <w:spacing w:val="5"/>
          <w:sz w:val="24"/>
          <w:szCs w:val="24"/>
          <w:highlight w:val="none"/>
          <w:lang w:val="en-US" w:eastAsia="zh-CN"/>
        </w:rPr>
      </w:pPr>
      <w:r>
        <w:rPr>
          <w:rFonts w:ascii="宋体" w:hAnsi="宋体" w:eastAsia="宋体" w:cs="宋体"/>
          <w:color w:val="auto"/>
          <w:spacing w:val="5"/>
          <w:sz w:val="24"/>
          <w:szCs w:val="24"/>
          <w:highlight w:val="none"/>
        </w:rPr>
        <w:t>合同履约期限：</w:t>
      </w:r>
      <w:r>
        <w:rPr>
          <w:rFonts w:hint="eastAsia" w:ascii="宋体" w:hAnsi="宋体" w:eastAsia="宋体" w:cs="宋体"/>
          <w:color w:val="auto"/>
          <w:spacing w:val="5"/>
          <w:sz w:val="24"/>
          <w:szCs w:val="24"/>
          <w:highlight w:val="none"/>
          <w:lang w:val="en-US" w:eastAsia="zh-CN"/>
        </w:rPr>
        <w:t>6个月</w:t>
      </w:r>
    </w:p>
    <w:p w14:paraId="44EDC191">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本</w:t>
      </w:r>
      <w:r>
        <w:rPr>
          <w:rFonts w:hint="eastAsia" w:ascii="宋体" w:hAnsi="宋体" w:eastAsia="宋体" w:cs="宋体"/>
          <w:color w:val="auto"/>
          <w:spacing w:val="5"/>
          <w:sz w:val="24"/>
          <w:szCs w:val="24"/>
          <w:highlight w:val="none"/>
          <w:lang w:eastAsia="zh-CN"/>
        </w:rPr>
        <w:t>项目不</w:t>
      </w:r>
      <w:r>
        <w:rPr>
          <w:rFonts w:ascii="宋体" w:hAnsi="宋体" w:eastAsia="宋体" w:cs="宋体"/>
          <w:color w:val="auto"/>
          <w:spacing w:val="5"/>
          <w:sz w:val="24"/>
          <w:szCs w:val="24"/>
          <w:highlight w:val="none"/>
        </w:rPr>
        <w:t>接受联合体投标。</w:t>
      </w:r>
    </w:p>
    <w:p w14:paraId="236F0732">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二、</w:t>
      </w:r>
      <w:r>
        <w:rPr>
          <w:rFonts w:hint="eastAsia" w:ascii="宋体" w:hAnsi="宋体" w:eastAsia="宋体" w:cs="宋体"/>
          <w:b/>
          <w:bCs/>
          <w:color w:val="auto"/>
          <w:spacing w:val="7"/>
          <w:sz w:val="24"/>
          <w:szCs w:val="24"/>
          <w:highlight w:val="none"/>
        </w:rPr>
        <w:t>申请人的资格要求：</w:t>
      </w:r>
    </w:p>
    <w:p w14:paraId="1DFDACBC">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1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1.满足《中华人民共和国政府采购法》第二十二条规定；</w:t>
      </w:r>
    </w:p>
    <w:p w14:paraId="028F7542">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2.落实政府采购政策需满足的资格要求：</w:t>
      </w:r>
      <w:r>
        <w:rPr>
          <w:rFonts w:ascii="宋体" w:hAnsi="宋体" w:eastAsia="宋体" w:cs="宋体"/>
          <w:color w:val="auto"/>
          <w:spacing w:val="-65"/>
          <w:sz w:val="24"/>
          <w:szCs w:val="24"/>
          <w:highlight w:val="none"/>
        </w:rPr>
        <w:t xml:space="preserve"> </w:t>
      </w:r>
      <w:r>
        <w:rPr>
          <w:rFonts w:ascii="MS Gothic" w:hAnsi="MS Gothic" w:eastAsia="MS Gothic" w:cs="MS Gothic"/>
          <w:color w:val="auto"/>
          <w:spacing w:val="10"/>
          <w:sz w:val="24"/>
          <w:szCs w:val="24"/>
          <w:highlight w:val="none"/>
        </w:rPr>
        <w:t>☑</w:t>
      </w:r>
      <w:r>
        <w:rPr>
          <w:rFonts w:ascii="宋体" w:hAnsi="宋体" w:eastAsia="宋体" w:cs="宋体"/>
          <w:color w:val="auto"/>
          <w:spacing w:val="10"/>
          <w:sz w:val="24"/>
          <w:szCs w:val="24"/>
          <w:highlight w:val="none"/>
        </w:rPr>
        <w:t>专门面向中小企业采购的项目（供应商应为中小</w:t>
      </w:r>
      <w:r>
        <w:rPr>
          <w:rFonts w:ascii="宋体" w:hAnsi="宋体" w:eastAsia="宋体" w:cs="宋体"/>
          <w:color w:val="auto"/>
          <w:spacing w:val="7"/>
          <w:sz w:val="24"/>
          <w:szCs w:val="24"/>
          <w:highlight w:val="none"/>
        </w:rPr>
        <w:t>企业/小微企业)</w:t>
      </w:r>
    </w:p>
    <w:p w14:paraId="4809B8D3">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16" w:firstLineChars="200"/>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rPr>
        <w:t>3.本项目的特定资格要求</w:t>
      </w: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rPr>
        <w:t>本次采购要求供应商须具备有效的</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eastAsia="zh-CN"/>
        </w:rPr>
        <w:t>公路工程施工总承包叁级(含)以上资质</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，并具备有效的安全生产许可证书。其中，供应商拟派项目经理须在本单位注册，须具有</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
          <w:bCs/>
          <w:color w:val="auto"/>
          <w:spacing w:val="-8"/>
          <w:sz w:val="24"/>
          <w:szCs w:val="24"/>
          <w:highlight w:val="none"/>
        </w:rPr>
        <w:t>公路工程专业二级(含二级)及以上注册建造师证</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，并持有省级或以上交通运输行政主管部门颁发的安全生产考核合格证(“三类人员”B 类证书)以及中级及以上技术职称，未在其他在建施工建设项目、已中标未开工项目或已列为其他项目中标候选人第一名的项目相任项目经理。</w:t>
      </w:r>
    </w:p>
    <w:p w14:paraId="29F25BEF">
      <w:pPr>
        <w:keepNext w:val="0"/>
        <w:keepLines w:val="0"/>
        <w:pageBreakBefore w:val="0"/>
        <w:widowControl/>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pacing w:val="9"/>
          <w:sz w:val="24"/>
          <w:szCs w:val="24"/>
          <w:highlight w:val="none"/>
        </w:rPr>
      </w:pPr>
      <w:r>
        <w:rPr>
          <w:rFonts w:ascii="宋体" w:hAnsi="宋体" w:eastAsia="宋体" w:cs="宋体"/>
          <w:color w:val="auto"/>
          <w:spacing w:val="9"/>
          <w:sz w:val="24"/>
          <w:szCs w:val="24"/>
          <w:highlight w:val="none"/>
        </w:rPr>
        <w:t>三、</w:t>
      </w:r>
      <w:r>
        <w:rPr>
          <w:rFonts w:ascii="宋体" w:hAnsi="宋体" w:eastAsia="宋体" w:cs="宋体"/>
          <w:b/>
          <w:bCs/>
          <w:color w:val="auto"/>
          <w:spacing w:val="9"/>
          <w:sz w:val="24"/>
          <w:szCs w:val="24"/>
          <w:highlight w:val="none"/>
        </w:rPr>
        <w:t>获取</w:t>
      </w:r>
      <w:r>
        <w:rPr>
          <w:rFonts w:hint="eastAsia" w:ascii="宋体" w:hAnsi="宋体" w:eastAsia="宋体" w:cs="宋体"/>
          <w:b/>
          <w:bCs/>
          <w:color w:val="auto"/>
          <w:spacing w:val="9"/>
          <w:sz w:val="24"/>
          <w:szCs w:val="24"/>
          <w:highlight w:val="none"/>
          <w:lang w:eastAsia="zh-CN"/>
        </w:rPr>
        <w:t>采购</w:t>
      </w:r>
      <w:r>
        <w:rPr>
          <w:rFonts w:ascii="宋体" w:hAnsi="宋体" w:eastAsia="宋体" w:cs="宋体"/>
          <w:b/>
          <w:bCs/>
          <w:color w:val="auto"/>
          <w:spacing w:val="9"/>
          <w:sz w:val="24"/>
          <w:szCs w:val="24"/>
          <w:highlight w:val="none"/>
        </w:rPr>
        <w:t>文件</w:t>
      </w:r>
    </w:p>
    <w:p w14:paraId="216FE1EE">
      <w:pPr>
        <w:keepNext w:val="0"/>
        <w:keepLines w:val="0"/>
        <w:pageBreakBefore w:val="0"/>
        <w:widowControl/>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时间：202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05</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23</w:t>
      </w:r>
      <w:r>
        <w:rPr>
          <w:rFonts w:ascii="宋体" w:hAnsi="宋体" w:eastAsia="宋体" w:cs="宋体"/>
          <w:color w:val="auto"/>
          <w:spacing w:val="10"/>
          <w:sz w:val="24"/>
          <w:szCs w:val="24"/>
          <w:highlight w:val="none"/>
        </w:rPr>
        <w:t>日至202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05</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30</w:t>
      </w:r>
      <w:r>
        <w:rPr>
          <w:rFonts w:ascii="宋体" w:hAnsi="宋体" w:eastAsia="宋体" w:cs="宋体"/>
          <w:color w:val="auto"/>
          <w:spacing w:val="10"/>
          <w:sz w:val="24"/>
          <w:szCs w:val="24"/>
          <w:highlight w:val="none"/>
        </w:rPr>
        <w:t>日，每天</w:t>
      </w:r>
      <w:r>
        <w:rPr>
          <w:rFonts w:hint="eastAsia" w:ascii="宋体" w:hAnsi="宋体" w:eastAsia="宋体" w:cs="宋体"/>
          <w:color w:val="auto"/>
          <w:spacing w:val="10"/>
          <w:sz w:val="24"/>
          <w:szCs w:val="24"/>
          <w:highlight w:val="none"/>
          <w:lang w:eastAsia="zh-CN"/>
        </w:rPr>
        <w:t>上午</w:t>
      </w:r>
      <w:r>
        <w:rPr>
          <w:rFonts w:hint="eastAsia" w:ascii="宋体" w:hAnsi="宋体" w:eastAsia="宋体" w:cs="宋体"/>
          <w:color w:val="auto"/>
          <w:spacing w:val="10"/>
          <w:sz w:val="24"/>
          <w:szCs w:val="24"/>
          <w:highlight w:val="none"/>
          <w:lang w:val="en-US" w:eastAsia="zh-CN"/>
        </w:rPr>
        <w:t>00:00</w:t>
      </w:r>
      <w:r>
        <w:rPr>
          <w:rFonts w:ascii="宋体" w:hAnsi="宋体" w:eastAsia="宋体" w:cs="宋体"/>
          <w:color w:val="auto"/>
          <w:spacing w:val="10"/>
          <w:sz w:val="24"/>
          <w:szCs w:val="24"/>
          <w:highlight w:val="none"/>
        </w:rPr>
        <w:t>至</w:t>
      </w:r>
      <w:r>
        <w:rPr>
          <w:rFonts w:hint="eastAsia" w:ascii="宋体" w:hAnsi="宋体" w:eastAsia="宋体" w:cs="宋体"/>
          <w:color w:val="auto"/>
          <w:spacing w:val="10"/>
          <w:sz w:val="24"/>
          <w:szCs w:val="24"/>
          <w:highlight w:val="none"/>
          <w:lang w:val="en-US" w:eastAsia="zh-CN"/>
        </w:rPr>
        <w:t>12:00</w:t>
      </w:r>
      <w:r>
        <w:rPr>
          <w:rFonts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下午12：00至23:59</w:t>
      </w:r>
      <w:r>
        <w:rPr>
          <w:rFonts w:ascii="宋体" w:hAnsi="宋体" w:eastAsia="宋体" w:cs="宋体"/>
          <w:color w:val="auto"/>
          <w:spacing w:val="10"/>
          <w:sz w:val="24"/>
          <w:szCs w:val="24"/>
          <w:highlight w:val="none"/>
        </w:rPr>
        <w:t>（北京时间，法定节假日除外）。</w:t>
      </w:r>
    </w:p>
    <w:p w14:paraId="29E99B1A">
      <w:pPr>
        <w:keepNext w:val="0"/>
        <w:keepLines w:val="0"/>
        <w:pageBreakBefore w:val="0"/>
        <w:widowControl/>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地点（网址）：广西政府采购云平台（https：//www.gcy.zfcg.gxzf.gov.cn）</w:t>
      </w:r>
    </w:p>
    <w:p w14:paraId="4BA2476D">
      <w:pPr>
        <w:keepNext w:val="0"/>
        <w:keepLines w:val="0"/>
        <w:pageBreakBefore w:val="0"/>
        <w:widowControl/>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 xml:space="preserve">方式：供应商登录广西政府采购云平台 </w:t>
      </w:r>
      <w:r>
        <w:rPr>
          <w:rFonts w:ascii="宋体" w:hAnsi="宋体" w:eastAsia="宋体" w:cs="宋体"/>
          <w:color w:val="auto"/>
          <w:spacing w:val="10"/>
          <w:sz w:val="24"/>
          <w:szCs w:val="24"/>
          <w:highlight w:val="none"/>
        </w:rPr>
        <w:fldChar w:fldCharType="begin"/>
      </w:r>
      <w:r>
        <w:rPr>
          <w:rFonts w:ascii="宋体" w:hAnsi="宋体" w:eastAsia="宋体" w:cs="宋体"/>
          <w:color w:val="auto"/>
          <w:spacing w:val="10"/>
          <w:sz w:val="24"/>
          <w:szCs w:val="24"/>
          <w:highlight w:val="none"/>
        </w:rPr>
        <w:instrText xml:space="preserve"> HYPERLINK "https://www.gcy.zfcg.gxzf.gov.cn/" </w:instrText>
      </w:r>
      <w:r>
        <w:rPr>
          <w:rFonts w:ascii="宋体" w:hAnsi="宋体" w:eastAsia="宋体" w:cs="宋体"/>
          <w:color w:val="auto"/>
          <w:spacing w:val="10"/>
          <w:sz w:val="24"/>
          <w:szCs w:val="24"/>
          <w:highlight w:val="none"/>
        </w:rPr>
        <w:fldChar w:fldCharType="separate"/>
      </w:r>
      <w:r>
        <w:rPr>
          <w:rFonts w:ascii="宋体" w:hAnsi="宋体" w:eastAsia="宋体" w:cs="宋体"/>
          <w:color w:val="auto"/>
          <w:spacing w:val="10"/>
          <w:sz w:val="24"/>
          <w:szCs w:val="24"/>
          <w:highlight w:val="none"/>
        </w:rPr>
        <w:t>https://www.gcy.zfcg.gxzf.gov.cn/</w:t>
      </w:r>
      <w:r>
        <w:rPr>
          <w:rFonts w:ascii="宋体" w:hAnsi="宋体" w:eastAsia="宋体" w:cs="宋体"/>
          <w:color w:val="auto"/>
          <w:spacing w:val="10"/>
          <w:sz w:val="24"/>
          <w:szCs w:val="24"/>
          <w:highlight w:val="none"/>
        </w:rPr>
        <w:fldChar w:fldCharType="end"/>
      </w:r>
      <w:r>
        <w:rPr>
          <w:rFonts w:ascii="宋体" w:hAnsi="宋体" w:eastAsia="宋体" w:cs="宋体"/>
          <w:color w:val="auto"/>
          <w:spacing w:val="10"/>
          <w:sz w:val="24"/>
          <w:szCs w:val="24"/>
          <w:highlight w:val="none"/>
        </w:rPr>
        <w:t>在线申请获取 采购文件（进入“项目采购 ”应用，在获取采购文件菜单中选择项目，申请获取采购文件）。</w:t>
      </w:r>
    </w:p>
    <w:p w14:paraId="7CC05951">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0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position w:val="10"/>
          <w:sz w:val="24"/>
          <w:szCs w:val="24"/>
          <w:highlight w:val="none"/>
        </w:rPr>
        <w:t>售价（元</w:t>
      </w:r>
      <w:r>
        <w:rPr>
          <w:rFonts w:ascii="宋体" w:hAnsi="宋体" w:eastAsia="宋体" w:cs="宋体"/>
          <w:color w:val="auto"/>
          <w:spacing w:val="17"/>
          <w:position w:val="10"/>
          <w:sz w:val="24"/>
          <w:szCs w:val="24"/>
          <w:highlight w:val="none"/>
        </w:rPr>
        <w:t>）：</w:t>
      </w:r>
      <w:r>
        <w:rPr>
          <w:rFonts w:ascii="宋体" w:hAnsi="宋体" w:eastAsia="宋体" w:cs="宋体"/>
          <w:color w:val="auto"/>
          <w:spacing w:val="5"/>
          <w:position w:val="10"/>
          <w:sz w:val="24"/>
          <w:szCs w:val="24"/>
          <w:highlight w:val="none"/>
        </w:rPr>
        <w:t>0</w:t>
      </w:r>
    </w:p>
    <w:p w14:paraId="08D5D4D0">
      <w:pPr>
        <w:keepNext w:val="0"/>
        <w:keepLines w:val="0"/>
        <w:pageBreakBefore w:val="0"/>
        <w:widowControl/>
        <w:numPr>
          <w:ilvl w:val="0"/>
          <w:numId w:val="1"/>
        </w:numPr>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z w:val="24"/>
          <w:szCs w:val="24"/>
          <w:highlight w:val="none"/>
        </w:rPr>
      </w:pPr>
      <w:r>
        <w:rPr>
          <w:rFonts w:ascii="宋体" w:hAnsi="宋体" w:eastAsia="宋体" w:cs="宋体"/>
          <w:b/>
          <w:bCs/>
          <w:color w:val="auto"/>
          <w:spacing w:val="6"/>
          <w:sz w:val="24"/>
          <w:szCs w:val="24"/>
          <w:highlight w:val="none"/>
        </w:rPr>
        <w:t>响应文件提交</w:t>
      </w:r>
    </w:p>
    <w:p w14:paraId="4D37E020">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16" w:firstLineChars="200"/>
        <w:textAlignment w:val="baseline"/>
        <w:rPr>
          <w:rFonts w:ascii="宋体" w:hAnsi="宋体" w:eastAsia="宋体" w:cs="宋体"/>
          <w:b w:val="0"/>
          <w:bCs w:val="0"/>
          <w:color w:val="auto"/>
          <w:spacing w:val="9"/>
          <w:sz w:val="24"/>
          <w:szCs w:val="24"/>
          <w:highlight w:val="none"/>
        </w:rPr>
      </w:pPr>
      <w:r>
        <w:rPr>
          <w:rFonts w:ascii="宋体" w:hAnsi="宋体" w:eastAsia="宋体" w:cs="宋体"/>
          <w:b w:val="0"/>
          <w:bCs w:val="0"/>
          <w:color w:val="auto"/>
          <w:spacing w:val="9"/>
          <w:sz w:val="24"/>
          <w:szCs w:val="24"/>
          <w:highlight w:val="none"/>
        </w:rPr>
        <w:t>截止时间：</w:t>
      </w:r>
      <w:r>
        <w:rPr>
          <w:rFonts w:hint="eastAsia" w:ascii="宋体" w:hAnsi="宋体" w:eastAsia="宋体" w:cs="宋体"/>
          <w:b w:val="0"/>
          <w:bCs w:val="0"/>
          <w:color w:val="auto"/>
          <w:spacing w:val="9"/>
          <w:sz w:val="24"/>
          <w:szCs w:val="24"/>
          <w:highlight w:val="none"/>
          <w:u w:val="single"/>
          <w:lang w:eastAsia="zh-CN"/>
        </w:rPr>
        <w:t>2025年06月03日09时30分</w:t>
      </w:r>
      <w:r>
        <w:rPr>
          <w:rFonts w:ascii="宋体" w:hAnsi="宋体" w:eastAsia="宋体" w:cs="宋体"/>
          <w:b w:val="0"/>
          <w:bCs w:val="0"/>
          <w:color w:val="auto"/>
          <w:spacing w:val="9"/>
          <w:sz w:val="24"/>
          <w:szCs w:val="24"/>
          <w:highlight w:val="none"/>
        </w:rPr>
        <w:t>（北京时间）</w:t>
      </w:r>
    </w:p>
    <w:p w14:paraId="01B5E633">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16" w:firstLineChars="200"/>
        <w:textAlignment w:val="baseline"/>
        <w:rPr>
          <w:rFonts w:ascii="宋体" w:hAnsi="宋体" w:eastAsia="宋体" w:cs="宋体"/>
          <w:color w:val="auto"/>
          <w:sz w:val="24"/>
          <w:szCs w:val="24"/>
          <w:highlight w:val="none"/>
        </w:rPr>
      </w:pPr>
      <w:r>
        <w:rPr>
          <w:rFonts w:ascii="宋体" w:hAnsi="宋体" w:eastAsia="宋体" w:cs="宋体"/>
          <w:b w:val="0"/>
          <w:bCs w:val="0"/>
          <w:color w:val="auto"/>
          <w:spacing w:val="9"/>
          <w:sz w:val="24"/>
          <w:szCs w:val="24"/>
          <w:highlight w:val="none"/>
        </w:rPr>
        <w:t>地点：</w:t>
      </w:r>
      <w:r>
        <w:rPr>
          <w:rFonts w:ascii="宋体" w:hAnsi="宋体" w:eastAsia="宋体" w:cs="宋体"/>
          <w:color w:val="auto"/>
          <w:spacing w:val="9"/>
          <w:sz w:val="24"/>
          <w:szCs w:val="24"/>
          <w:highlight w:val="none"/>
        </w:rPr>
        <w:t>请登录广西政府采购云平台投标客户端投标。</w:t>
      </w:r>
    </w:p>
    <w:p w14:paraId="124E660F">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z w:val="24"/>
          <w:szCs w:val="24"/>
          <w:highlight w:val="none"/>
        </w:rPr>
      </w:pPr>
      <w:r>
        <w:rPr>
          <w:rFonts w:ascii="宋体" w:hAnsi="宋体" w:eastAsia="宋体" w:cs="宋体"/>
          <w:b/>
          <w:bCs/>
          <w:color w:val="auto"/>
          <w:spacing w:val="6"/>
          <w:sz w:val="24"/>
          <w:szCs w:val="24"/>
          <w:highlight w:val="none"/>
        </w:rPr>
        <w:t>五、开启</w:t>
      </w:r>
    </w:p>
    <w:p w14:paraId="0C473990">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484"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开启</w:t>
      </w:r>
      <w:r>
        <w:rPr>
          <w:rFonts w:ascii="宋体" w:hAnsi="宋体" w:eastAsia="宋体" w:cs="宋体"/>
          <w:color w:val="auto"/>
          <w:spacing w:val="1"/>
          <w:sz w:val="24"/>
          <w:szCs w:val="24"/>
          <w:highlight w:val="none"/>
        </w:rPr>
        <w:t>时间：</w:t>
      </w:r>
      <w:r>
        <w:rPr>
          <w:rFonts w:hint="eastAsia" w:ascii="宋体" w:hAnsi="宋体" w:eastAsia="宋体" w:cs="宋体"/>
          <w:color w:val="auto"/>
          <w:spacing w:val="1"/>
          <w:sz w:val="24"/>
          <w:szCs w:val="24"/>
          <w:highlight w:val="none"/>
          <w:u w:val="single" w:color="auto"/>
          <w:lang w:eastAsia="zh-CN"/>
        </w:rPr>
        <w:t>2025年06月03日09时30分</w:t>
      </w:r>
      <w:r>
        <w:rPr>
          <w:rFonts w:ascii="宋体" w:hAnsi="宋体" w:eastAsia="宋体" w:cs="宋体"/>
          <w:color w:val="auto"/>
          <w:sz w:val="24"/>
          <w:szCs w:val="24"/>
          <w:highlight w:val="none"/>
          <w:u w:val="single" w:color="auto"/>
        </w:rPr>
        <w:t>（北京时间）</w:t>
      </w:r>
    </w:p>
    <w:p w14:paraId="2B5ECF77">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1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地点：</w:t>
      </w:r>
      <w:r>
        <w:rPr>
          <w:rFonts w:hint="eastAsia" w:ascii="宋体" w:hAnsi="宋体" w:eastAsia="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通过CA登录广西政府采购云平台（https//www.gcy.zfcg.gxzf.gov.cn）网上招投标系统将电子响应文件加密后上传完成，实行在线竞标响应。（竞标人派法定代表人或委托代理人准时在线出席电子开评标会议，随时关注开评标进度，如在开评标过程中有电子询标，应在规定的时间内对电子询标函进行澄清回复）</w:t>
      </w:r>
      <w:r>
        <w:rPr>
          <w:rFonts w:ascii="宋体" w:hAnsi="宋体" w:eastAsia="宋体" w:cs="宋体"/>
          <w:color w:val="auto"/>
          <w:spacing w:val="8"/>
          <w:sz w:val="24"/>
          <w:szCs w:val="24"/>
          <w:highlight w:val="none"/>
        </w:rPr>
        <w:t>。</w:t>
      </w:r>
    </w:p>
    <w:p w14:paraId="0900DB73">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z w:val="24"/>
          <w:szCs w:val="24"/>
          <w:highlight w:val="none"/>
        </w:rPr>
      </w:pPr>
      <w:r>
        <w:rPr>
          <w:rFonts w:ascii="宋体" w:hAnsi="宋体" w:eastAsia="宋体" w:cs="宋体"/>
          <w:b/>
          <w:bCs/>
          <w:color w:val="auto"/>
          <w:spacing w:val="7"/>
          <w:sz w:val="24"/>
          <w:szCs w:val="24"/>
          <w:highlight w:val="none"/>
        </w:rPr>
        <w:t>六、公告期限</w:t>
      </w:r>
    </w:p>
    <w:p w14:paraId="55EFFCCC">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49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position w:val="10"/>
          <w:sz w:val="24"/>
          <w:szCs w:val="24"/>
          <w:highlight w:val="none"/>
        </w:rPr>
        <w:t>自本公告发布之日起</w:t>
      </w:r>
      <w:r>
        <w:rPr>
          <w:rFonts w:ascii="宋体" w:hAnsi="宋体" w:eastAsia="宋体" w:cs="宋体"/>
          <w:color w:val="auto"/>
          <w:spacing w:val="-28"/>
          <w:position w:val="10"/>
          <w:sz w:val="24"/>
          <w:szCs w:val="24"/>
          <w:highlight w:val="none"/>
        </w:rPr>
        <w:t xml:space="preserve"> </w:t>
      </w:r>
      <w:r>
        <w:rPr>
          <w:rFonts w:ascii="宋体" w:hAnsi="宋体" w:eastAsia="宋体" w:cs="宋体"/>
          <w:color w:val="auto"/>
          <w:spacing w:val="4"/>
          <w:position w:val="10"/>
          <w:sz w:val="24"/>
          <w:szCs w:val="24"/>
          <w:highlight w:val="none"/>
        </w:rPr>
        <w:t>5</w:t>
      </w:r>
      <w:r>
        <w:rPr>
          <w:rFonts w:ascii="宋体" w:hAnsi="宋体" w:eastAsia="宋体" w:cs="宋体"/>
          <w:color w:val="auto"/>
          <w:spacing w:val="-38"/>
          <w:position w:val="10"/>
          <w:sz w:val="24"/>
          <w:szCs w:val="24"/>
          <w:highlight w:val="none"/>
        </w:rPr>
        <w:t xml:space="preserve"> </w:t>
      </w:r>
      <w:r>
        <w:rPr>
          <w:rFonts w:ascii="宋体" w:hAnsi="宋体" w:eastAsia="宋体" w:cs="宋体"/>
          <w:color w:val="auto"/>
          <w:spacing w:val="4"/>
          <w:position w:val="10"/>
          <w:sz w:val="24"/>
          <w:szCs w:val="24"/>
          <w:highlight w:val="none"/>
        </w:rPr>
        <w:t>个工作日。</w:t>
      </w:r>
    </w:p>
    <w:p w14:paraId="6E22A783">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z w:val="24"/>
          <w:szCs w:val="24"/>
          <w:highlight w:val="none"/>
        </w:rPr>
      </w:pPr>
      <w:r>
        <w:rPr>
          <w:rFonts w:ascii="宋体" w:hAnsi="宋体" w:eastAsia="宋体" w:cs="宋体"/>
          <w:b/>
          <w:bCs/>
          <w:color w:val="auto"/>
          <w:spacing w:val="8"/>
          <w:sz w:val="24"/>
          <w:szCs w:val="24"/>
          <w:highlight w:val="none"/>
        </w:rPr>
        <w:t>七、其他补充事宜</w:t>
      </w:r>
    </w:p>
    <w:p w14:paraId="3FB04BD7">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1.磋商保证金：根据百色市人民政府办公室关于印发《百色市2021年持续优化营商环境行动方案》 的通知，本项目免收磋商保证金。</w:t>
      </w:r>
    </w:p>
    <w:p w14:paraId="2068838D">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2.网上查询地址：中国政府采购网（http://www.ccgp.gov.cn）、广西壮族自治区政府采购网（</w:t>
      </w:r>
      <w:r>
        <w:rPr>
          <w:rFonts w:ascii="宋体" w:hAnsi="宋体" w:eastAsia="宋体" w:cs="宋体"/>
          <w:color w:val="auto"/>
          <w:spacing w:val="10"/>
          <w:sz w:val="24"/>
          <w:szCs w:val="24"/>
          <w:highlight w:val="none"/>
        </w:rPr>
        <w:fldChar w:fldCharType="begin"/>
      </w:r>
      <w:r>
        <w:rPr>
          <w:rFonts w:ascii="宋体" w:hAnsi="宋体" w:eastAsia="宋体" w:cs="宋体"/>
          <w:color w:val="auto"/>
          <w:spacing w:val="10"/>
          <w:sz w:val="24"/>
          <w:szCs w:val="24"/>
          <w:highlight w:val="none"/>
        </w:rPr>
        <w:instrText xml:space="preserve"> HYPERLINK "http://zfcg.gxzf.gov.cn" </w:instrText>
      </w:r>
      <w:r>
        <w:rPr>
          <w:rFonts w:ascii="宋体" w:hAnsi="宋体" w:eastAsia="宋体" w:cs="宋体"/>
          <w:color w:val="auto"/>
          <w:spacing w:val="10"/>
          <w:sz w:val="24"/>
          <w:szCs w:val="24"/>
          <w:highlight w:val="none"/>
        </w:rPr>
        <w:fldChar w:fldCharType="separate"/>
      </w:r>
      <w:r>
        <w:rPr>
          <w:rFonts w:ascii="宋体" w:hAnsi="宋体" w:eastAsia="宋体" w:cs="宋体"/>
          <w:color w:val="auto"/>
          <w:spacing w:val="10"/>
          <w:sz w:val="24"/>
          <w:szCs w:val="24"/>
          <w:highlight w:val="none"/>
        </w:rPr>
        <w:t>http://zfcg.gxzf.gov.cn</w:t>
      </w:r>
      <w:r>
        <w:rPr>
          <w:rFonts w:ascii="宋体" w:hAnsi="宋体" w:eastAsia="宋体" w:cs="宋体"/>
          <w:color w:val="auto"/>
          <w:spacing w:val="10"/>
          <w:sz w:val="24"/>
          <w:szCs w:val="24"/>
          <w:highlight w:val="none"/>
        </w:rPr>
        <w:fldChar w:fldCharType="end"/>
      </w:r>
      <w:r>
        <w:rPr>
          <w:rFonts w:ascii="宋体" w:hAnsi="宋体" w:eastAsia="宋体" w:cs="宋体"/>
          <w:color w:val="auto"/>
          <w:spacing w:val="10"/>
          <w:sz w:val="24"/>
          <w:szCs w:val="24"/>
          <w:highlight w:val="none"/>
        </w:rPr>
        <w:t>）。</w:t>
      </w:r>
    </w:p>
    <w:p w14:paraId="6B473C51">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单位负责人为同一人或者存在直接控股、管理关系的不同供应商，不得参加同一合同项 下的政府采购活动。为本项目提供过整体设计、规范编制或者项目管理、监理、检测等服务的供 应商，不得再参加本项目上述服务以外的其他采购活动；</w:t>
      </w:r>
    </w:p>
    <w:p w14:paraId="3E3EEE48">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4.</w:t>
      </w:r>
      <w:r>
        <w:rPr>
          <w:rFonts w:hint="eastAsia" w:ascii="宋体" w:hAnsi="宋体" w:eastAsia="宋体" w:cs="宋体"/>
          <w:color w:val="auto"/>
          <w:spacing w:val="10"/>
          <w:sz w:val="24"/>
          <w:szCs w:val="24"/>
          <w:highlight w:val="none"/>
        </w:rPr>
        <w:t xml:space="preserve">对在“信用中国 ”网站(www.creditchina.gov.cn) 、中国政府采购网(www.ccgp.gov.cn) 被列入失信被执行人、重大税收违法案件当事人名单、政府采购严重违法失信行为记录名单及其 他不符合《中华人民共和国政府采购法》第二十二条规定条件的供应商，不得参与政府采购活动。 </w:t>
      </w:r>
    </w:p>
    <w:p w14:paraId="7775F189">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本项目需要落实的政府采购政策：</w:t>
      </w:r>
    </w:p>
    <w:p w14:paraId="504114F3">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（1）政府采购促进中小企业发展；</w:t>
      </w:r>
    </w:p>
    <w:p w14:paraId="27C03DB3">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（2）政府采购支持采用本国产品的政策；</w:t>
      </w:r>
    </w:p>
    <w:p w14:paraId="42931EC8">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（3）强制采购、优先采购环境标志产品、节能产品；</w:t>
      </w:r>
    </w:p>
    <w:p w14:paraId="2A5D990A">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（4）政府采购促进残疾人就业政策；</w:t>
      </w:r>
    </w:p>
    <w:p w14:paraId="5594211E">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（5）政府采购支持监狱企业发展。</w:t>
      </w:r>
    </w:p>
    <w:p w14:paraId="1C63795F">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6.</w:t>
      </w:r>
      <w:r>
        <w:rPr>
          <w:rFonts w:ascii="宋体" w:hAnsi="宋体" w:eastAsia="宋体" w:cs="宋体"/>
          <w:color w:val="auto"/>
          <w:spacing w:val="10"/>
          <w:sz w:val="24"/>
          <w:szCs w:val="24"/>
          <w:highlight w:val="none"/>
        </w:rPr>
        <w:t>其他注意事项：</w:t>
      </w:r>
    </w:p>
    <w:p w14:paraId="699481C7">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0"/>
          <w:sz w:val="24"/>
          <w:szCs w:val="24"/>
          <w:highlight w:val="none"/>
        </w:rPr>
        <w:t>本项目为全流程电子化采购项目，通过广西政府采购云平台（</w:t>
      </w:r>
      <w:r>
        <w:rPr>
          <w:rFonts w:ascii="宋体" w:hAnsi="宋体" w:eastAsia="宋体" w:cs="宋体"/>
          <w:color w:val="auto"/>
          <w:spacing w:val="10"/>
          <w:sz w:val="24"/>
          <w:szCs w:val="24"/>
          <w:highlight w:val="none"/>
        </w:rPr>
        <w:fldChar w:fldCharType="begin"/>
      </w:r>
      <w:r>
        <w:rPr>
          <w:rFonts w:ascii="宋体" w:hAnsi="宋体" w:eastAsia="宋体" w:cs="宋体"/>
          <w:color w:val="auto"/>
          <w:spacing w:val="10"/>
          <w:sz w:val="24"/>
          <w:szCs w:val="24"/>
          <w:highlight w:val="none"/>
        </w:rPr>
        <w:instrText xml:space="preserve"> HYPERLINK "https://www.gcy.zfcg.gxzf.gov.cn/" </w:instrText>
      </w:r>
      <w:r>
        <w:rPr>
          <w:rFonts w:ascii="宋体" w:hAnsi="宋体" w:eastAsia="宋体" w:cs="宋体"/>
          <w:color w:val="auto"/>
          <w:spacing w:val="10"/>
          <w:sz w:val="24"/>
          <w:szCs w:val="24"/>
          <w:highlight w:val="none"/>
        </w:rPr>
        <w:fldChar w:fldCharType="separate"/>
      </w:r>
      <w:r>
        <w:rPr>
          <w:rFonts w:ascii="宋体" w:hAnsi="宋体" w:eastAsia="宋体" w:cs="宋体"/>
          <w:color w:val="auto"/>
          <w:spacing w:val="10"/>
          <w:sz w:val="24"/>
          <w:szCs w:val="24"/>
          <w:highlight w:val="none"/>
        </w:rPr>
        <w:t>https://www.gcy.zfcg.gxzf.gov.cn/</w:t>
      </w:r>
      <w:r>
        <w:rPr>
          <w:rFonts w:ascii="宋体" w:hAnsi="宋体" w:eastAsia="宋体" w:cs="宋体"/>
          <w:color w:val="auto"/>
          <w:spacing w:val="10"/>
          <w:sz w:val="24"/>
          <w:szCs w:val="24"/>
          <w:highlight w:val="none"/>
        </w:rPr>
        <w:fldChar w:fldCharType="end"/>
      </w:r>
      <w:r>
        <w:rPr>
          <w:rFonts w:ascii="宋体" w:hAnsi="宋体" w:eastAsia="宋体" w:cs="宋体"/>
          <w:color w:val="auto"/>
          <w:spacing w:val="10"/>
          <w:sz w:val="24"/>
          <w:szCs w:val="24"/>
          <w:highlight w:val="none"/>
        </w:rPr>
        <w:t>）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 ”查看电子竞标具体操作流程。</w:t>
      </w:r>
    </w:p>
    <w:p w14:paraId="0394B008">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 ”，依次进入“办事服务-下载专区”或者登录广西政府采购 云平台，依次进入“服务中心-入驻与配置”中查看 CA 数字证书办理操作流程。如在操作过程中遇到问题或者需要技术支持，请致电客服热线：95763）。</w:t>
      </w:r>
    </w:p>
    <w:p w14:paraId="46436E0E">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（3）CA 证书在线解密：首次响应文件开启时，需携带制作响应文件时用来加密的有效数字证 书（CA 认证）登录广西政府采购云平台电子开标大厅现场按规定时间对加密的响应文件进行解密，否则后果自负。</w:t>
      </w:r>
    </w:p>
    <w:p w14:paraId="49821889">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注：1）为确保网上操作合法、有效和安全，请供应商确保在电子竞标过程中能够对相关数据 电文进行加密和使用电子签章，妥善保管 CA 数字证书并使用有效的CA数字证书参与整个采购活动。2）供应商应当在提交响应文件截止时间前完成电子响应文件的提交（上传），提交响应文件 截止时间前可以补充、修改或者撤回响应文件。补充或者修改响应文件的，应当先行撤回原响应 文件，补充、修改后重新提交（上传），提交响应文件截止时间前未完成提交（上传）的，视为 撤回响应文件。提交响应文件截止时间以后提交（上传）的响应文件，广西政府采购云平台将予以拒收。</w:t>
      </w:r>
    </w:p>
    <w:p w14:paraId="0136FA18">
      <w:pPr>
        <w:keepNext w:val="0"/>
        <w:keepLines w:val="0"/>
        <w:pageBreakBefore w:val="0"/>
        <w:widowControl w:val="0"/>
        <w:kinsoku/>
        <w:wordWrap w:val="0"/>
        <w:overflowPunct/>
        <w:topLinePunct/>
        <w:autoSpaceDE/>
        <w:autoSpaceDN/>
        <w:bidi w:val="0"/>
        <w:adjustRightInd w:val="0"/>
        <w:snapToGrid w:val="0"/>
        <w:spacing w:line="400" w:lineRule="exact"/>
        <w:ind w:right="0"/>
        <w:textAlignment w:val="baseline"/>
        <w:rPr>
          <w:rFonts w:ascii="宋体" w:hAnsi="宋体" w:eastAsia="宋体" w:cs="宋体"/>
          <w:b/>
          <w:bCs/>
          <w:color w:val="auto"/>
          <w:spacing w:val="8"/>
          <w:sz w:val="24"/>
          <w:szCs w:val="24"/>
          <w:highlight w:val="none"/>
        </w:rPr>
      </w:pPr>
      <w:r>
        <w:rPr>
          <w:rFonts w:ascii="宋体" w:hAnsi="宋体" w:eastAsia="宋体" w:cs="宋体"/>
          <w:b/>
          <w:bCs/>
          <w:color w:val="auto"/>
          <w:spacing w:val="8"/>
          <w:sz w:val="24"/>
          <w:szCs w:val="24"/>
          <w:highlight w:val="none"/>
        </w:rPr>
        <w:t>八、凡对本次采购提出询问，请按以下方式联系。</w:t>
      </w:r>
    </w:p>
    <w:p w14:paraId="46AAB6DF">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1.采购人信息</w:t>
      </w:r>
    </w:p>
    <w:p w14:paraId="660A1D65">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eastAsia="zh-CN"/>
        </w:rPr>
      </w:pPr>
      <w:r>
        <w:rPr>
          <w:rFonts w:ascii="宋体" w:hAnsi="宋体" w:eastAsia="宋体" w:cs="宋体"/>
          <w:color w:val="auto"/>
          <w:spacing w:val="10"/>
          <w:sz w:val="24"/>
          <w:szCs w:val="24"/>
          <w:highlight w:val="none"/>
        </w:rPr>
        <w:t>名称：</w:t>
      </w:r>
      <w:r>
        <w:rPr>
          <w:rFonts w:hint="eastAsia" w:ascii="宋体" w:hAnsi="宋体" w:eastAsia="宋体" w:cs="宋体"/>
          <w:color w:val="auto"/>
          <w:spacing w:val="10"/>
          <w:sz w:val="24"/>
          <w:szCs w:val="24"/>
          <w:highlight w:val="none"/>
          <w:lang w:eastAsia="zh-CN"/>
        </w:rPr>
        <w:t>德保县农村公路建设办公室</w:t>
      </w:r>
    </w:p>
    <w:p w14:paraId="778CD96D">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eastAsia="zh-CN"/>
        </w:rPr>
      </w:pPr>
      <w:r>
        <w:rPr>
          <w:rFonts w:ascii="宋体" w:hAnsi="宋体" w:eastAsia="宋体" w:cs="宋体"/>
          <w:color w:val="auto"/>
          <w:spacing w:val="10"/>
          <w:sz w:val="24"/>
          <w:szCs w:val="24"/>
          <w:highlight w:val="none"/>
        </w:rPr>
        <w:t>地址：</w:t>
      </w:r>
      <w:r>
        <w:rPr>
          <w:rFonts w:hint="eastAsia" w:ascii="宋体" w:hAnsi="宋体" w:eastAsia="宋体" w:cs="宋体"/>
          <w:color w:val="auto"/>
          <w:spacing w:val="10"/>
          <w:sz w:val="24"/>
          <w:szCs w:val="24"/>
          <w:highlight w:val="none"/>
          <w:lang w:eastAsia="zh-CN"/>
        </w:rPr>
        <w:t xml:space="preserve">德保县城关镇南隆社区1号 </w:t>
      </w:r>
    </w:p>
    <w:p w14:paraId="4D9D25C3">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val="en-US" w:eastAsia="zh-CN"/>
        </w:rPr>
      </w:pPr>
      <w:r>
        <w:rPr>
          <w:rFonts w:ascii="宋体" w:hAnsi="宋体" w:eastAsia="宋体" w:cs="宋体"/>
          <w:color w:val="auto"/>
          <w:spacing w:val="10"/>
          <w:sz w:val="24"/>
          <w:szCs w:val="24"/>
          <w:highlight w:val="none"/>
        </w:rPr>
        <w:t>联系方式：</w:t>
      </w:r>
      <w:r>
        <w:rPr>
          <w:rFonts w:hint="eastAsia" w:ascii="宋体" w:hAnsi="宋体" w:eastAsia="宋体" w:cs="宋体"/>
          <w:color w:val="auto"/>
          <w:spacing w:val="10"/>
          <w:sz w:val="24"/>
          <w:szCs w:val="24"/>
          <w:highlight w:val="none"/>
          <w:lang w:eastAsia="zh-CN"/>
        </w:rPr>
        <w:t>郑工</w:t>
      </w:r>
      <w:r>
        <w:rPr>
          <w:rFonts w:hint="eastAsia" w:ascii="宋体" w:hAnsi="宋体" w:eastAsia="宋体" w:cs="宋体"/>
          <w:color w:val="auto"/>
          <w:spacing w:val="10"/>
          <w:sz w:val="24"/>
          <w:szCs w:val="24"/>
          <w:highlight w:val="none"/>
          <w:lang w:val="en-US" w:eastAsia="zh-CN"/>
        </w:rPr>
        <w:t xml:space="preserve">          联系方式： </w:t>
      </w:r>
      <w:r>
        <w:rPr>
          <w:rFonts w:hint="eastAsia" w:ascii="宋体" w:hAnsi="宋体" w:eastAsia="宋体" w:cs="宋体"/>
          <w:color w:val="auto"/>
          <w:spacing w:val="10"/>
          <w:sz w:val="24"/>
          <w:szCs w:val="24"/>
          <w:highlight w:val="none"/>
          <w:lang w:eastAsia="zh-CN"/>
        </w:rPr>
        <w:t>0776-3826707</w:t>
      </w:r>
    </w:p>
    <w:p w14:paraId="0A6964FB">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2.采购代理机构信息</w:t>
      </w:r>
    </w:p>
    <w:p w14:paraId="28A33A14">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eastAsia="zh-CN"/>
        </w:rPr>
      </w:pPr>
      <w:r>
        <w:rPr>
          <w:rFonts w:ascii="宋体" w:hAnsi="宋体" w:eastAsia="宋体" w:cs="宋体"/>
          <w:color w:val="auto"/>
          <w:spacing w:val="10"/>
          <w:sz w:val="24"/>
          <w:szCs w:val="24"/>
          <w:highlight w:val="none"/>
        </w:rPr>
        <w:t>名称：</w:t>
      </w:r>
      <w:r>
        <w:rPr>
          <w:rFonts w:hint="eastAsia" w:ascii="宋体" w:hAnsi="宋体" w:eastAsia="宋体" w:cs="宋体"/>
          <w:color w:val="auto"/>
          <w:spacing w:val="10"/>
          <w:sz w:val="24"/>
          <w:szCs w:val="24"/>
          <w:highlight w:val="none"/>
          <w:lang w:eastAsia="zh-CN"/>
        </w:rPr>
        <w:t>广西湘翌工程项目管理有限公司</w:t>
      </w:r>
    </w:p>
    <w:p w14:paraId="330D5160">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eastAsia="zh-CN"/>
        </w:rPr>
      </w:pPr>
      <w:r>
        <w:rPr>
          <w:rFonts w:ascii="宋体" w:hAnsi="宋体" w:eastAsia="宋体" w:cs="宋体"/>
          <w:color w:val="auto"/>
          <w:spacing w:val="10"/>
          <w:sz w:val="24"/>
          <w:szCs w:val="24"/>
          <w:highlight w:val="none"/>
        </w:rPr>
        <w:t>地址：</w:t>
      </w:r>
      <w:r>
        <w:rPr>
          <w:rFonts w:hint="eastAsia" w:ascii="宋体" w:hAnsi="宋体" w:eastAsia="宋体" w:cs="宋体"/>
          <w:color w:val="auto"/>
          <w:spacing w:val="10"/>
          <w:sz w:val="24"/>
          <w:szCs w:val="24"/>
          <w:highlight w:val="none"/>
          <w:lang w:eastAsia="zh-CN"/>
        </w:rPr>
        <w:t>广西百色市右江区那毕大道12号百色投资大厦东塔楼1单元10层1006号</w:t>
      </w:r>
    </w:p>
    <w:p w14:paraId="4832DCAA">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项目联系人：</w:t>
      </w:r>
      <w:r>
        <w:rPr>
          <w:rFonts w:hint="eastAsia" w:ascii="宋体" w:hAnsi="宋体" w:eastAsia="宋体" w:cs="宋体"/>
          <w:color w:val="auto"/>
          <w:spacing w:val="10"/>
          <w:sz w:val="24"/>
          <w:szCs w:val="24"/>
          <w:highlight w:val="none"/>
          <w:lang w:eastAsia="zh-CN"/>
        </w:rPr>
        <w:t>韦工</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联系方式：</w:t>
      </w:r>
      <w:r>
        <w:rPr>
          <w:rFonts w:hint="eastAsia" w:ascii="宋体" w:hAnsi="宋体" w:eastAsia="宋体" w:cs="宋体"/>
          <w:color w:val="auto"/>
          <w:spacing w:val="10"/>
          <w:sz w:val="24"/>
          <w:szCs w:val="24"/>
          <w:highlight w:val="none"/>
          <w:lang w:eastAsia="zh-CN"/>
        </w:rPr>
        <w:t>19978796599</w:t>
      </w:r>
    </w:p>
    <w:p w14:paraId="223CF044">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3.监督部门</w:t>
      </w:r>
    </w:p>
    <w:p w14:paraId="496CC685">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名称：</w:t>
      </w:r>
      <w:r>
        <w:rPr>
          <w:rFonts w:hint="eastAsia" w:ascii="宋体" w:hAnsi="宋体" w:eastAsia="宋体" w:cs="宋体"/>
          <w:color w:val="auto"/>
          <w:spacing w:val="10"/>
          <w:sz w:val="24"/>
          <w:szCs w:val="24"/>
          <w:highlight w:val="none"/>
          <w:lang w:eastAsia="zh-CN"/>
        </w:rPr>
        <w:t>德保县政府采购管理办公室</w:t>
      </w:r>
    </w:p>
    <w:p w14:paraId="612A8780">
      <w:pPr>
        <w:keepNext w:val="0"/>
        <w:keepLines w:val="0"/>
        <w:pageBreakBefore w:val="0"/>
        <w:widowControl w:val="0"/>
        <w:kinsoku/>
        <w:wordWrap w:val="0"/>
        <w:overflowPunct/>
        <w:topLinePunct/>
        <w:autoSpaceDE/>
        <w:autoSpaceDN/>
        <w:bidi w:val="0"/>
        <w:adjustRightInd w:val="0"/>
        <w:snapToGrid w:val="0"/>
        <w:spacing w:line="400" w:lineRule="exact"/>
        <w:ind w:left="0" w:leftChars="0" w:right="0" w:firstLine="520" w:firstLineChars="200"/>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联系电话：</w:t>
      </w:r>
      <w:r>
        <w:rPr>
          <w:rFonts w:hint="eastAsia" w:ascii="宋体" w:hAnsi="宋体" w:eastAsia="宋体" w:cs="宋体"/>
          <w:color w:val="auto"/>
          <w:spacing w:val="10"/>
          <w:sz w:val="24"/>
          <w:szCs w:val="24"/>
          <w:highlight w:val="none"/>
          <w:lang w:eastAsia="zh-CN"/>
        </w:rPr>
        <w:t>0776-3821171</w:t>
      </w:r>
    </w:p>
    <w:p w14:paraId="74E5564D">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color w:val="auto"/>
          <w:sz w:val="24"/>
          <w:szCs w:val="24"/>
          <w:highlight w:val="none"/>
        </w:rPr>
      </w:pPr>
    </w:p>
    <w:p w14:paraId="04102D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jc w:val="right"/>
        <w:textAlignment w:val="baseline"/>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广西湘翌工程项目管理有限公司</w:t>
      </w:r>
      <w:r>
        <w:rPr>
          <w:rFonts w:ascii="宋体" w:hAnsi="宋体" w:eastAsia="宋体" w:cs="宋体"/>
          <w:color w:val="auto"/>
          <w:spacing w:val="8"/>
          <w:sz w:val="24"/>
          <w:szCs w:val="24"/>
          <w:highlight w:val="none"/>
        </w:rPr>
        <w:t xml:space="preserve"> </w:t>
      </w:r>
    </w:p>
    <w:p w14:paraId="799BDD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72" w:firstLineChars="200"/>
        <w:jc w:val="center"/>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202</w:t>
      </w: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2"/>
          <w:sz w:val="24"/>
          <w:szCs w:val="24"/>
          <w:highlight w:val="none"/>
        </w:rPr>
        <w:t>年</w:t>
      </w:r>
      <w:r>
        <w:rPr>
          <w:rFonts w:hint="eastAsia" w:ascii="宋体" w:hAnsi="宋体" w:eastAsia="宋体" w:cs="宋体"/>
          <w:color w:val="auto"/>
          <w:spacing w:val="-40"/>
          <w:sz w:val="24"/>
          <w:szCs w:val="24"/>
          <w:highlight w:val="none"/>
          <w:lang w:val="en-US" w:eastAsia="zh-CN"/>
        </w:rPr>
        <w:t>05</w:t>
      </w:r>
      <w:r>
        <w:rPr>
          <w:rFonts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lang w:val="en-US" w:eastAsia="zh-CN"/>
        </w:rPr>
        <w:t>23</w:t>
      </w:r>
      <w:r>
        <w:rPr>
          <w:rFonts w:ascii="宋体" w:hAnsi="宋体" w:eastAsia="宋体" w:cs="宋体"/>
          <w:color w:val="auto"/>
          <w:spacing w:val="-2"/>
          <w:sz w:val="24"/>
          <w:szCs w:val="24"/>
          <w:highlight w:val="none"/>
        </w:rPr>
        <w:t>日</w:t>
      </w:r>
    </w:p>
    <w:p w14:paraId="2CE10C2E">
      <w:pPr>
        <w:spacing w:line="252" w:lineRule="auto"/>
        <w:rPr>
          <w:rFonts w:ascii="宋体" w:hAnsi="宋体" w:eastAsia="宋体" w:cs="宋体"/>
          <w:color w:val="auto"/>
          <w:sz w:val="24"/>
          <w:szCs w:val="24"/>
          <w:highlight w:val="none"/>
        </w:rPr>
        <w:sectPr>
          <w:footerReference r:id="rId6" w:type="default"/>
          <w:pgSz w:w="11905" w:h="16838"/>
          <w:pgMar w:top="1134" w:right="1134" w:bottom="1134" w:left="1134" w:header="57" w:footer="850" w:gutter="0"/>
          <w:pgNumType w:fmt="decimal" w:start="1"/>
          <w:cols w:space="0" w:num="1"/>
          <w:rtlGutter w:val="0"/>
          <w:docGrid w:linePitch="0" w:charSpace="0"/>
        </w:sectPr>
      </w:pPr>
    </w:p>
    <w:p w14:paraId="7BBF158E">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3" w:name="bookmark2"/>
      <w:bookmarkEnd w:id="3"/>
      <w:bookmarkStart w:id="4" w:name="_Toc2655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第二章 供应商须知</w:t>
      </w:r>
      <w:bookmarkEnd w:id="4"/>
    </w:p>
    <w:p w14:paraId="67F2FF4A">
      <w:pPr>
        <w:spacing w:before="1" w:line="223" w:lineRule="auto"/>
        <w:ind w:left="338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供应商须知前附表</w:t>
      </w:r>
    </w:p>
    <w:p w14:paraId="4B608EFB">
      <w:pPr>
        <w:spacing w:before="136"/>
        <w:rPr>
          <w:color w:val="auto"/>
          <w:highlight w:val="none"/>
        </w:rPr>
      </w:pPr>
    </w:p>
    <w:tbl>
      <w:tblPr>
        <w:tblStyle w:val="22"/>
        <w:tblW w:w="9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9001"/>
      </w:tblGrid>
      <w:tr w14:paraId="2226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19" w:type="dxa"/>
            <w:vAlign w:val="top"/>
          </w:tcPr>
          <w:p w14:paraId="0EECE2F6">
            <w:pPr>
              <w:pStyle w:val="23"/>
              <w:spacing w:before="112" w:line="228" w:lineRule="auto"/>
              <w:ind w:left="2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3795" w14:cap="sq" w14:cmpd="sng">
                  <w14:solidFill>
                    <w14:srgbClr w14:val="000000"/>
                  </w14:solidFill>
                  <w14:prstDash w14:val="solid"/>
                  <w14:bevel/>
                </w14:textOutline>
              </w:rPr>
              <w:t>条款</w:t>
            </w:r>
          </w:p>
          <w:p w14:paraId="52BDE9FC">
            <w:pPr>
              <w:pStyle w:val="23"/>
              <w:spacing w:before="113" w:line="227" w:lineRule="auto"/>
              <w:ind w:left="3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795" w14:cap="sq" w14:cmpd="sng">
                  <w14:solidFill>
                    <w14:srgbClr w14:val="000000"/>
                  </w14:solidFill>
                  <w14:prstDash w14:val="solid"/>
                  <w14:bevel/>
                </w14:textOutline>
              </w:rPr>
              <w:t>号</w:t>
            </w:r>
          </w:p>
        </w:tc>
        <w:tc>
          <w:tcPr>
            <w:tcW w:w="9001" w:type="dxa"/>
            <w:vAlign w:val="top"/>
          </w:tcPr>
          <w:p w14:paraId="551434C7">
            <w:pPr>
              <w:pStyle w:val="23"/>
              <w:spacing w:before="112" w:line="228" w:lineRule="auto"/>
              <w:ind w:left="3844"/>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14:textOutline w14:w="3795" w14:cap="sq" w14:cmpd="sng">
                  <w14:solidFill>
                    <w14:srgbClr w14:val="000000"/>
                  </w14:solidFill>
                  <w14:prstDash w14:val="solid"/>
                  <w14:bevel/>
                </w14:textOutline>
              </w:rPr>
              <w:t>内</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3"/>
                <w:sz w:val="24"/>
                <w:szCs w:val="24"/>
                <w:highlight w:val="none"/>
                <w14:textOutline w14:w="3795" w14:cap="sq" w14:cmpd="sng">
                  <w14:solidFill>
                    <w14:srgbClr w14:val="000000"/>
                  </w14:solidFill>
                  <w14:prstDash w14:val="solid"/>
                  <w14:bevel/>
                </w14:textOutline>
              </w:rPr>
              <w:t>容</w:t>
            </w:r>
          </w:p>
        </w:tc>
      </w:tr>
      <w:tr w14:paraId="5201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19" w:type="dxa"/>
            <w:vAlign w:val="top"/>
          </w:tcPr>
          <w:p w14:paraId="5B807C3A">
            <w:pPr>
              <w:spacing w:line="262" w:lineRule="auto"/>
              <w:rPr>
                <w:rFonts w:hint="eastAsia" w:ascii="宋体" w:hAnsi="宋体" w:eastAsia="宋体" w:cs="宋体"/>
                <w:color w:val="auto"/>
                <w:sz w:val="24"/>
                <w:szCs w:val="24"/>
                <w:highlight w:val="none"/>
              </w:rPr>
            </w:pPr>
          </w:p>
          <w:p w14:paraId="22BBCBE5">
            <w:pPr>
              <w:spacing w:line="262" w:lineRule="auto"/>
              <w:rPr>
                <w:rFonts w:hint="eastAsia" w:ascii="宋体" w:hAnsi="宋体" w:eastAsia="宋体" w:cs="宋体"/>
                <w:color w:val="auto"/>
                <w:sz w:val="24"/>
                <w:szCs w:val="24"/>
                <w:highlight w:val="none"/>
              </w:rPr>
            </w:pPr>
          </w:p>
          <w:p w14:paraId="11AAFEE4">
            <w:pPr>
              <w:spacing w:line="262" w:lineRule="auto"/>
              <w:rPr>
                <w:rFonts w:hint="eastAsia" w:ascii="宋体" w:hAnsi="宋体" w:eastAsia="宋体" w:cs="宋体"/>
                <w:color w:val="auto"/>
                <w:sz w:val="24"/>
                <w:szCs w:val="24"/>
                <w:highlight w:val="none"/>
              </w:rPr>
            </w:pPr>
          </w:p>
          <w:p w14:paraId="58422639">
            <w:pPr>
              <w:spacing w:line="262" w:lineRule="auto"/>
              <w:rPr>
                <w:rFonts w:hint="eastAsia" w:ascii="宋体" w:hAnsi="宋体" w:eastAsia="宋体" w:cs="宋体"/>
                <w:color w:val="auto"/>
                <w:sz w:val="24"/>
                <w:szCs w:val="24"/>
                <w:highlight w:val="none"/>
              </w:rPr>
            </w:pPr>
          </w:p>
          <w:p w14:paraId="66453341">
            <w:pPr>
              <w:spacing w:line="262" w:lineRule="auto"/>
              <w:rPr>
                <w:rFonts w:hint="eastAsia" w:ascii="宋体" w:hAnsi="宋体" w:eastAsia="宋体" w:cs="宋体"/>
                <w:color w:val="auto"/>
                <w:sz w:val="24"/>
                <w:szCs w:val="24"/>
                <w:highlight w:val="none"/>
              </w:rPr>
            </w:pPr>
          </w:p>
          <w:p w14:paraId="5140E30E">
            <w:pPr>
              <w:spacing w:line="262" w:lineRule="auto"/>
              <w:rPr>
                <w:rFonts w:hint="eastAsia" w:ascii="宋体" w:hAnsi="宋体" w:eastAsia="宋体" w:cs="宋体"/>
                <w:color w:val="auto"/>
                <w:sz w:val="24"/>
                <w:szCs w:val="24"/>
                <w:highlight w:val="none"/>
              </w:rPr>
            </w:pPr>
          </w:p>
          <w:p w14:paraId="648614C8">
            <w:pPr>
              <w:spacing w:line="263" w:lineRule="auto"/>
              <w:rPr>
                <w:rFonts w:hint="eastAsia" w:ascii="宋体" w:hAnsi="宋体" w:eastAsia="宋体" w:cs="宋体"/>
                <w:color w:val="auto"/>
                <w:sz w:val="24"/>
                <w:szCs w:val="24"/>
                <w:highlight w:val="none"/>
              </w:rPr>
            </w:pPr>
          </w:p>
          <w:p w14:paraId="461D7B97">
            <w:pPr>
              <w:pStyle w:val="23"/>
              <w:spacing w:before="65" w:line="190"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3795" w14:cap="sq" w14:cmpd="sng">
                  <w14:solidFill>
                    <w14:srgbClr w14:val="000000"/>
                  </w14:solidFill>
                  <w14:prstDash w14:val="solid"/>
                  <w14:bevel/>
                </w14:textOutline>
              </w:rPr>
              <w:t>2.14</w:t>
            </w:r>
          </w:p>
        </w:tc>
        <w:tc>
          <w:tcPr>
            <w:tcW w:w="9001" w:type="dxa"/>
            <w:vAlign w:val="top"/>
          </w:tcPr>
          <w:p w14:paraId="1DE432FE">
            <w:pPr>
              <w:pStyle w:val="23"/>
              <w:spacing w:before="108" w:line="228" w:lineRule="auto"/>
              <w:ind w:left="11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pacing w:val="-48"/>
                <w:sz w:val="24"/>
                <w:szCs w:val="24"/>
                <w:highlight w:val="none"/>
              </w:rPr>
              <w:t xml:space="preserve"> </w:t>
            </w:r>
            <w:r>
              <w:rPr>
                <w:rFonts w:hint="eastAsia" w:cs="宋体"/>
                <w:color w:val="auto"/>
                <w:spacing w:val="11"/>
                <w:sz w:val="24"/>
                <w:szCs w:val="24"/>
                <w:highlight w:val="none"/>
                <w:lang w:eastAsia="zh-CN"/>
              </w:rPr>
              <w:t>德保县巴头乡</w:t>
            </w:r>
          </w:p>
          <w:p w14:paraId="7CDD9D43">
            <w:pPr>
              <w:pStyle w:val="23"/>
              <w:spacing w:before="99" w:line="270" w:lineRule="auto"/>
              <w:ind w:left="110" w:right="109"/>
              <w:rPr>
                <w:rFonts w:hint="eastAsia" w:cs="宋体"/>
                <w:color w:val="auto"/>
                <w:spacing w:val="11"/>
                <w:sz w:val="24"/>
                <w:szCs w:val="24"/>
                <w:highlight w:val="none"/>
                <w:lang w:eastAsia="zh-CN"/>
              </w:rPr>
            </w:pPr>
            <w:r>
              <w:rPr>
                <w:rFonts w:hint="eastAsia" w:ascii="宋体" w:hAnsi="宋体" w:eastAsia="宋体" w:cs="宋体"/>
                <w:color w:val="auto"/>
                <w:spacing w:val="12"/>
                <w:sz w:val="24"/>
                <w:szCs w:val="24"/>
                <w:highlight w:val="none"/>
              </w:rPr>
              <w:t>采购范围：</w:t>
            </w:r>
            <w:r>
              <w:rPr>
                <w:rFonts w:hint="eastAsia" w:cs="宋体"/>
                <w:color w:val="auto"/>
                <w:spacing w:val="11"/>
                <w:sz w:val="24"/>
                <w:szCs w:val="24"/>
                <w:highlight w:val="none"/>
                <w:lang w:val="en-US" w:eastAsia="zh-CN"/>
              </w:rPr>
              <w:t>德保县巴头乡陇位村多闭屯至多作村上作屯道路维修工程1项（具体内容以施工图纸及工程量清单为准）如需进一步了解详细内容，详见竞争性磋商文件</w:t>
            </w:r>
            <w:r>
              <w:rPr>
                <w:rFonts w:hint="eastAsia" w:cs="宋体"/>
                <w:color w:val="auto"/>
                <w:spacing w:val="11"/>
                <w:sz w:val="24"/>
                <w:szCs w:val="24"/>
                <w:highlight w:val="none"/>
                <w:lang w:eastAsia="zh-CN"/>
              </w:rPr>
              <w:t>。</w:t>
            </w:r>
          </w:p>
          <w:p w14:paraId="55D3440D">
            <w:pPr>
              <w:pStyle w:val="23"/>
              <w:spacing w:before="94" w:line="228" w:lineRule="auto"/>
              <w:ind w:left="1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rPr>
              <w:t>工期要求：</w:t>
            </w:r>
            <w:r>
              <w:rPr>
                <w:rFonts w:hint="eastAsia" w:cs="宋体"/>
                <w:color w:val="auto"/>
                <w:spacing w:val="3"/>
                <w:sz w:val="24"/>
                <w:szCs w:val="24"/>
                <w:highlight w:val="none"/>
                <w:lang w:val="en-US" w:eastAsia="zh-CN"/>
              </w:rPr>
              <w:t>6个月</w:t>
            </w:r>
          </w:p>
          <w:p w14:paraId="63A80722">
            <w:pPr>
              <w:pStyle w:val="23"/>
              <w:spacing w:before="107" w:line="228" w:lineRule="auto"/>
              <w:ind w:left="11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质量要求：符合国家现行工程施工质量验收规范合格标准</w:t>
            </w:r>
          </w:p>
          <w:p w14:paraId="6C3B500E">
            <w:pPr>
              <w:pStyle w:val="23"/>
              <w:spacing w:before="107" w:line="228" w:lineRule="auto"/>
              <w:ind w:left="111"/>
              <w:rPr>
                <w:rFonts w:hint="eastAsia" w:ascii="宋体" w:hAnsi="宋体" w:eastAsia="宋体" w:cs="宋体"/>
                <w:color w:val="auto"/>
                <w:spacing w:val="8"/>
                <w:sz w:val="24"/>
                <w:szCs w:val="24"/>
                <w:highlight w:val="none"/>
                <w:lang w:eastAsia="zh-CN"/>
              </w:rPr>
            </w:pPr>
            <w:r>
              <w:rPr>
                <w:rFonts w:hint="eastAsia" w:cs="宋体"/>
                <w:color w:val="auto"/>
                <w:spacing w:val="8"/>
                <w:sz w:val="24"/>
                <w:szCs w:val="24"/>
                <w:highlight w:val="none"/>
                <w:lang w:eastAsia="zh-CN"/>
              </w:rPr>
              <w:t>采购计划文号：DBZC[2025]341号</w:t>
            </w:r>
          </w:p>
          <w:p w14:paraId="32052DD2">
            <w:pPr>
              <w:pStyle w:val="23"/>
              <w:spacing w:before="113"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其他要求：无</w:t>
            </w:r>
          </w:p>
          <w:p w14:paraId="34C0FF83">
            <w:pPr>
              <w:pStyle w:val="23"/>
              <w:spacing w:before="112" w:line="227" w:lineRule="auto"/>
              <w:ind w:left="1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本项目所属行业</w:t>
            </w:r>
            <w:r>
              <w:rPr>
                <w:rFonts w:hint="eastAsia" w:cs="宋体"/>
                <w:color w:val="auto"/>
                <w:spacing w:val="8"/>
                <w:sz w:val="24"/>
                <w:szCs w:val="24"/>
                <w:highlight w:val="none"/>
                <w:lang w:eastAsia="zh-CN"/>
              </w:rPr>
              <w:t>：建筑业</w:t>
            </w:r>
          </w:p>
        </w:tc>
      </w:tr>
      <w:tr w14:paraId="7BD1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1C44F196">
            <w:pPr>
              <w:pStyle w:val="23"/>
              <w:spacing w:before="143" w:line="189" w:lineRule="auto"/>
              <w:ind w:left="3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01" w:type="dxa"/>
            <w:vAlign w:val="top"/>
          </w:tcPr>
          <w:p w14:paraId="2F7BC8B0">
            <w:pPr>
              <w:pStyle w:val="23"/>
              <w:spacing w:before="110" w:line="226"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供应商的资格条件：详见竞争性磋商公告</w:t>
            </w:r>
          </w:p>
        </w:tc>
      </w:tr>
      <w:tr w14:paraId="7F95E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4B41EC90">
            <w:pPr>
              <w:pStyle w:val="23"/>
              <w:spacing w:before="144" w:line="190"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5.1</w:t>
            </w:r>
          </w:p>
        </w:tc>
        <w:tc>
          <w:tcPr>
            <w:tcW w:w="9001" w:type="dxa"/>
            <w:vAlign w:val="top"/>
          </w:tcPr>
          <w:p w14:paraId="1636BA87">
            <w:pPr>
              <w:pStyle w:val="23"/>
              <w:spacing w:before="112" w:line="22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是否接受联合体磋商：详见竞争性磋商公告</w:t>
            </w:r>
          </w:p>
        </w:tc>
      </w:tr>
      <w:tr w14:paraId="0E5B1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5EE492F8">
            <w:pPr>
              <w:pStyle w:val="23"/>
              <w:spacing w:before="144" w:line="189"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5.2</w:t>
            </w:r>
          </w:p>
        </w:tc>
        <w:tc>
          <w:tcPr>
            <w:tcW w:w="9001" w:type="dxa"/>
            <w:vAlign w:val="top"/>
          </w:tcPr>
          <w:p w14:paraId="7122778D">
            <w:pPr>
              <w:pStyle w:val="23"/>
              <w:spacing w:before="112" w:line="22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如接受联合体磋商，联合体磋商要求如下：无</w:t>
            </w:r>
          </w:p>
        </w:tc>
      </w:tr>
      <w:tr w14:paraId="63D1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1EDB4065">
            <w:pPr>
              <w:spacing w:line="264" w:lineRule="auto"/>
              <w:rPr>
                <w:rFonts w:hint="eastAsia" w:ascii="宋体" w:hAnsi="宋体" w:eastAsia="宋体" w:cs="宋体"/>
                <w:color w:val="auto"/>
                <w:sz w:val="24"/>
                <w:szCs w:val="24"/>
                <w:highlight w:val="none"/>
              </w:rPr>
            </w:pPr>
          </w:p>
          <w:p w14:paraId="12917621">
            <w:pPr>
              <w:spacing w:line="265" w:lineRule="auto"/>
              <w:rPr>
                <w:rFonts w:hint="eastAsia" w:ascii="宋体" w:hAnsi="宋体" w:eastAsia="宋体" w:cs="宋体"/>
                <w:color w:val="auto"/>
                <w:sz w:val="24"/>
                <w:szCs w:val="24"/>
                <w:highlight w:val="none"/>
              </w:rPr>
            </w:pPr>
          </w:p>
          <w:p w14:paraId="41F857FE">
            <w:pPr>
              <w:spacing w:line="265" w:lineRule="auto"/>
              <w:rPr>
                <w:rFonts w:hint="eastAsia" w:ascii="宋体" w:hAnsi="宋体" w:eastAsia="宋体" w:cs="宋体"/>
                <w:color w:val="auto"/>
                <w:sz w:val="24"/>
                <w:szCs w:val="24"/>
                <w:highlight w:val="none"/>
              </w:rPr>
            </w:pPr>
          </w:p>
          <w:p w14:paraId="5ED46FD1">
            <w:pPr>
              <w:pStyle w:val="23"/>
              <w:spacing w:before="65" w:line="189" w:lineRule="auto"/>
              <w:ind w:left="2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6.3</w:t>
            </w:r>
          </w:p>
        </w:tc>
        <w:tc>
          <w:tcPr>
            <w:tcW w:w="9001" w:type="dxa"/>
            <w:vAlign w:val="top"/>
          </w:tcPr>
          <w:p w14:paraId="594F9978">
            <w:pPr>
              <w:pStyle w:val="23"/>
              <w:spacing w:before="111" w:line="360" w:lineRule="exact"/>
              <w:ind w:left="119"/>
              <w:rPr>
                <w:rFonts w:hint="eastAsia" w:ascii="宋体" w:hAnsi="宋体" w:eastAsia="宋体" w:cs="宋体"/>
                <w:color w:val="auto"/>
                <w:sz w:val="24"/>
                <w:szCs w:val="24"/>
                <w:highlight w:val="none"/>
              </w:rPr>
            </w:pPr>
            <w:r>
              <w:rPr>
                <w:rFonts w:hint="eastAsia" w:ascii="宋体" w:hAnsi="宋体" w:eastAsia="宋体" w:cs="宋体"/>
                <w:color w:val="auto"/>
                <w:spacing w:val="7"/>
                <w:position w:val="11"/>
                <w:sz w:val="24"/>
                <w:szCs w:val="24"/>
                <w:highlight w:val="none"/>
              </w:rPr>
              <w:t>☑不允许分包</w:t>
            </w:r>
          </w:p>
          <w:p w14:paraId="7562CF64">
            <w:pPr>
              <w:pStyle w:val="23"/>
              <w:spacing w:line="227"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□允许分包</w:t>
            </w:r>
          </w:p>
          <w:p w14:paraId="4170C71B">
            <w:pPr>
              <w:pStyle w:val="23"/>
              <w:spacing w:before="113"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分包内容：</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w:t>
            </w:r>
          </w:p>
          <w:p w14:paraId="01D3BAC2">
            <w:pPr>
              <w:pStyle w:val="23"/>
              <w:spacing w:before="113"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分包金额或者比例：</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rPr>
              <w:t>。</w:t>
            </w:r>
          </w:p>
          <w:p w14:paraId="20A78580">
            <w:pPr>
              <w:pStyle w:val="23"/>
              <w:spacing w:before="113" w:line="224"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分包供应商必须具备的资质：</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 xml:space="preserve">             。</w:t>
            </w:r>
          </w:p>
        </w:tc>
      </w:tr>
      <w:tr w14:paraId="71418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46A955E1">
            <w:pPr>
              <w:spacing w:line="265" w:lineRule="auto"/>
              <w:rPr>
                <w:rFonts w:hint="eastAsia" w:ascii="宋体" w:hAnsi="宋体" w:eastAsia="宋体" w:cs="宋体"/>
                <w:color w:val="auto"/>
                <w:sz w:val="24"/>
                <w:szCs w:val="24"/>
                <w:highlight w:val="none"/>
              </w:rPr>
            </w:pPr>
          </w:p>
          <w:p w14:paraId="3B76AA3F">
            <w:pPr>
              <w:spacing w:line="266" w:lineRule="auto"/>
              <w:rPr>
                <w:rFonts w:hint="eastAsia" w:ascii="宋体" w:hAnsi="宋体" w:eastAsia="宋体" w:cs="宋体"/>
                <w:color w:val="auto"/>
                <w:sz w:val="24"/>
                <w:szCs w:val="24"/>
                <w:highlight w:val="none"/>
              </w:rPr>
            </w:pPr>
          </w:p>
          <w:p w14:paraId="388D2ADA">
            <w:pPr>
              <w:spacing w:line="266" w:lineRule="auto"/>
              <w:rPr>
                <w:rFonts w:hint="eastAsia" w:ascii="宋体" w:hAnsi="宋体" w:eastAsia="宋体" w:cs="宋体"/>
                <w:color w:val="auto"/>
                <w:sz w:val="24"/>
                <w:szCs w:val="24"/>
                <w:highlight w:val="none"/>
              </w:rPr>
            </w:pPr>
          </w:p>
          <w:p w14:paraId="42FC4E83">
            <w:pPr>
              <w:pStyle w:val="23"/>
              <w:spacing w:before="65" w:line="187" w:lineRule="auto"/>
              <w:ind w:left="2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w:t>
            </w:r>
          </w:p>
        </w:tc>
        <w:tc>
          <w:tcPr>
            <w:tcW w:w="9001" w:type="dxa"/>
            <w:vAlign w:val="top"/>
          </w:tcPr>
          <w:p w14:paraId="586A8DE8">
            <w:pPr>
              <w:pStyle w:val="23"/>
              <w:spacing w:before="112" w:line="227"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本工程增值税计税方法：</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8"/>
                <w:sz w:val="24"/>
                <w:szCs w:val="24"/>
                <w:highlight w:val="none"/>
              </w:rPr>
              <w:t>☑一般计税法   □简易计</w:t>
            </w:r>
            <w:r>
              <w:rPr>
                <w:rFonts w:hint="eastAsia" w:ascii="宋体" w:hAnsi="宋体" w:eastAsia="宋体" w:cs="宋体"/>
                <w:color w:val="auto"/>
                <w:spacing w:val="7"/>
                <w:sz w:val="24"/>
                <w:szCs w:val="24"/>
                <w:highlight w:val="none"/>
              </w:rPr>
              <w:t>税法</w:t>
            </w:r>
          </w:p>
          <w:p w14:paraId="333F3822">
            <w:pPr>
              <w:pStyle w:val="23"/>
              <w:spacing w:before="114" w:line="305" w:lineRule="auto"/>
              <w:ind w:left="110" w:right="10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注：按照《关于全面推开营业税改征增值税试点的通知》（财税〔</w:t>
            </w:r>
            <w:r>
              <w:rPr>
                <w:rFonts w:hint="eastAsia" w:ascii="宋体" w:hAnsi="宋体" w:eastAsia="宋体" w:cs="宋体"/>
                <w:color w:val="auto"/>
                <w:spacing w:val="8"/>
                <w:sz w:val="24"/>
                <w:szCs w:val="24"/>
                <w:highlight w:val="none"/>
              </w:rPr>
              <w:t>2016〕36</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8"/>
                <w:sz w:val="24"/>
                <w:szCs w:val="24"/>
                <w:highlight w:val="none"/>
              </w:rPr>
              <w:t>号）、《关于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落实政府补助类建设工程项目增值税相关政策的通知》（桂国税发〔</w:t>
            </w:r>
            <w:r>
              <w:rPr>
                <w:rFonts w:hint="eastAsia" w:ascii="宋体" w:hAnsi="宋体" w:eastAsia="宋体" w:cs="宋体"/>
                <w:color w:val="auto"/>
                <w:spacing w:val="6"/>
                <w:sz w:val="24"/>
                <w:szCs w:val="24"/>
                <w:highlight w:val="none"/>
              </w:rPr>
              <w:t>2016〕147</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6"/>
                <w:sz w:val="24"/>
                <w:szCs w:val="24"/>
                <w:highlight w:val="none"/>
              </w:rPr>
              <w:t>号）、《关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于建筑服务等营改增试点政策的通知》（财税〔</w:t>
            </w:r>
            <w:r>
              <w:rPr>
                <w:rFonts w:hint="eastAsia" w:ascii="宋体" w:hAnsi="宋体" w:eastAsia="宋体" w:cs="宋体"/>
                <w:color w:val="auto"/>
                <w:spacing w:val="7"/>
                <w:sz w:val="24"/>
                <w:szCs w:val="24"/>
                <w:highlight w:val="none"/>
              </w:rPr>
              <w:t>2017〕58</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号）等国家、</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7"/>
                <w:sz w:val="24"/>
                <w:szCs w:val="24"/>
                <w:highlight w:val="none"/>
              </w:rPr>
              <w:t>自治区现行有关文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件规定。</w:t>
            </w:r>
          </w:p>
        </w:tc>
      </w:tr>
      <w:tr w14:paraId="1BAA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19" w:type="dxa"/>
            <w:vAlign w:val="top"/>
          </w:tcPr>
          <w:p w14:paraId="2AEDE4DC">
            <w:pPr>
              <w:spacing w:line="288" w:lineRule="auto"/>
              <w:rPr>
                <w:rFonts w:hint="eastAsia" w:ascii="宋体" w:hAnsi="宋体" w:eastAsia="宋体" w:cs="宋体"/>
                <w:color w:val="auto"/>
                <w:sz w:val="24"/>
                <w:szCs w:val="24"/>
                <w:highlight w:val="none"/>
              </w:rPr>
            </w:pPr>
          </w:p>
          <w:p w14:paraId="188E032B">
            <w:pPr>
              <w:spacing w:line="288" w:lineRule="auto"/>
              <w:rPr>
                <w:rFonts w:hint="eastAsia" w:ascii="宋体" w:hAnsi="宋体" w:eastAsia="宋体" w:cs="宋体"/>
                <w:color w:val="auto"/>
                <w:sz w:val="24"/>
                <w:szCs w:val="24"/>
                <w:highlight w:val="none"/>
              </w:rPr>
            </w:pPr>
          </w:p>
          <w:p w14:paraId="4E44A941">
            <w:pPr>
              <w:spacing w:line="288" w:lineRule="auto"/>
              <w:rPr>
                <w:rFonts w:hint="eastAsia" w:ascii="宋体" w:hAnsi="宋体" w:eastAsia="宋体" w:cs="宋体"/>
                <w:color w:val="auto"/>
                <w:sz w:val="24"/>
                <w:szCs w:val="24"/>
                <w:highlight w:val="none"/>
              </w:rPr>
            </w:pPr>
          </w:p>
          <w:p w14:paraId="7C962323">
            <w:pPr>
              <w:spacing w:line="288" w:lineRule="auto"/>
              <w:rPr>
                <w:rFonts w:hint="eastAsia" w:ascii="宋体" w:hAnsi="宋体" w:eastAsia="宋体" w:cs="宋体"/>
                <w:color w:val="auto"/>
                <w:sz w:val="24"/>
                <w:szCs w:val="24"/>
                <w:highlight w:val="none"/>
              </w:rPr>
            </w:pPr>
          </w:p>
          <w:p w14:paraId="69A73AB9">
            <w:pPr>
              <w:spacing w:line="288" w:lineRule="auto"/>
              <w:rPr>
                <w:rFonts w:hint="eastAsia" w:ascii="宋体" w:hAnsi="宋体" w:eastAsia="宋体" w:cs="宋体"/>
                <w:color w:val="auto"/>
                <w:sz w:val="24"/>
                <w:szCs w:val="24"/>
                <w:highlight w:val="none"/>
              </w:rPr>
            </w:pPr>
          </w:p>
          <w:p w14:paraId="3CEDE854">
            <w:pPr>
              <w:spacing w:line="288" w:lineRule="auto"/>
              <w:rPr>
                <w:rFonts w:hint="eastAsia" w:ascii="宋体" w:hAnsi="宋体" w:eastAsia="宋体" w:cs="宋体"/>
                <w:color w:val="auto"/>
                <w:sz w:val="24"/>
                <w:szCs w:val="24"/>
                <w:highlight w:val="none"/>
              </w:rPr>
            </w:pPr>
          </w:p>
          <w:p w14:paraId="2F804A34">
            <w:pPr>
              <w:spacing w:line="288" w:lineRule="auto"/>
              <w:rPr>
                <w:rFonts w:hint="eastAsia" w:ascii="宋体" w:hAnsi="宋体" w:eastAsia="宋体" w:cs="宋体"/>
                <w:color w:val="auto"/>
                <w:sz w:val="24"/>
                <w:szCs w:val="24"/>
                <w:highlight w:val="none"/>
              </w:rPr>
            </w:pPr>
          </w:p>
          <w:p w14:paraId="1BA246B9">
            <w:pPr>
              <w:spacing w:line="288" w:lineRule="auto"/>
              <w:rPr>
                <w:rFonts w:hint="eastAsia" w:ascii="宋体" w:hAnsi="宋体" w:eastAsia="宋体" w:cs="宋体"/>
                <w:color w:val="auto"/>
                <w:sz w:val="24"/>
                <w:szCs w:val="24"/>
                <w:highlight w:val="none"/>
              </w:rPr>
            </w:pPr>
          </w:p>
          <w:p w14:paraId="364040FE">
            <w:pPr>
              <w:spacing w:line="288" w:lineRule="auto"/>
              <w:rPr>
                <w:rFonts w:hint="eastAsia" w:ascii="宋体" w:hAnsi="宋体" w:eastAsia="宋体" w:cs="宋体"/>
                <w:color w:val="auto"/>
                <w:sz w:val="24"/>
                <w:szCs w:val="24"/>
                <w:highlight w:val="none"/>
              </w:rPr>
            </w:pPr>
          </w:p>
          <w:p w14:paraId="243D1547">
            <w:pPr>
              <w:spacing w:line="288" w:lineRule="auto"/>
              <w:rPr>
                <w:rFonts w:hint="eastAsia" w:ascii="宋体" w:hAnsi="宋体" w:eastAsia="宋体" w:cs="宋体"/>
                <w:color w:val="auto"/>
                <w:sz w:val="24"/>
                <w:szCs w:val="24"/>
                <w:highlight w:val="none"/>
              </w:rPr>
            </w:pPr>
          </w:p>
          <w:p w14:paraId="5E8060B3">
            <w:pPr>
              <w:spacing w:line="288" w:lineRule="auto"/>
              <w:rPr>
                <w:rFonts w:hint="eastAsia" w:ascii="宋体" w:hAnsi="宋体" w:eastAsia="宋体" w:cs="宋体"/>
                <w:color w:val="auto"/>
                <w:sz w:val="24"/>
                <w:szCs w:val="24"/>
                <w:highlight w:val="none"/>
              </w:rPr>
            </w:pPr>
          </w:p>
          <w:p w14:paraId="4B78B713">
            <w:pPr>
              <w:spacing w:line="288" w:lineRule="auto"/>
              <w:rPr>
                <w:rFonts w:hint="eastAsia" w:ascii="宋体" w:hAnsi="宋体" w:eastAsia="宋体" w:cs="宋体"/>
                <w:color w:val="auto"/>
                <w:sz w:val="24"/>
                <w:szCs w:val="24"/>
                <w:highlight w:val="none"/>
              </w:rPr>
            </w:pPr>
          </w:p>
          <w:p w14:paraId="2E185D17">
            <w:pPr>
              <w:spacing w:line="288" w:lineRule="auto"/>
              <w:rPr>
                <w:rFonts w:hint="eastAsia" w:ascii="宋体" w:hAnsi="宋体" w:eastAsia="宋体" w:cs="宋体"/>
                <w:color w:val="auto"/>
                <w:sz w:val="24"/>
                <w:szCs w:val="24"/>
                <w:highlight w:val="none"/>
              </w:rPr>
            </w:pPr>
          </w:p>
          <w:p w14:paraId="02692C66">
            <w:pPr>
              <w:spacing w:line="288" w:lineRule="auto"/>
              <w:rPr>
                <w:rFonts w:hint="eastAsia" w:ascii="宋体" w:hAnsi="宋体" w:eastAsia="宋体" w:cs="宋体"/>
                <w:color w:val="auto"/>
                <w:sz w:val="24"/>
                <w:szCs w:val="24"/>
                <w:highlight w:val="none"/>
              </w:rPr>
            </w:pPr>
          </w:p>
          <w:p w14:paraId="292BB35A">
            <w:pPr>
              <w:pStyle w:val="23"/>
              <w:spacing w:before="65"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9001" w:type="dxa"/>
            <w:vAlign w:val="top"/>
          </w:tcPr>
          <w:p w14:paraId="269AD45F">
            <w:pPr>
              <w:pStyle w:val="23"/>
              <w:spacing w:before="112" w:line="228"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第一部分</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资格证明文件</w:t>
            </w:r>
          </w:p>
          <w:p w14:paraId="1DB957FD">
            <w:pPr>
              <w:pStyle w:val="23"/>
              <w:spacing w:before="114" w:line="297" w:lineRule="auto"/>
              <w:ind w:left="112" w:right="55" w:firstLine="13"/>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1.供应商为法人或者其他组织的提供其营业执照等证明文件复印件（如营业执照或者事业</w:t>
            </w:r>
            <w:r>
              <w:rPr>
                <w:rFonts w:hint="eastAsia" w:ascii="宋体" w:hAnsi="宋体" w:eastAsia="宋体" w:cs="宋体"/>
                <w:color w:val="auto"/>
                <w:spacing w:val="9"/>
                <w:sz w:val="24"/>
                <w:szCs w:val="24"/>
                <w:highlight w:val="none"/>
              </w:rPr>
              <w:t>单位法人证书或者执业许可证等</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9"/>
                <w:sz w:val="24"/>
                <w:szCs w:val="24"/>
                <w:highlight w:val="none"/>
              </w:rPr>
              <w:t>供应商为自然人的提供其身份证复印件</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必</w:t>
            </w: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须提供，</w:t>
            </w: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否则响应文件按无效响应处理</w:t>
            </w:r>
            <w:r>
              <w:rPr>
                <w:rFonts w:hint="eastAsia" w:ascii="宋体" w:hAnsi="宋体" w:eastAsia="宋体" w:cs="宋体"/>
                <w:color w:val="auto"/>
                <w:spacing w:val="9"/>
                <w:sz w:val="24"/>
                <w:szCs w:val="24"/>
                <w:highlight w:val="none"/>
              </w:rPr>
              <w:t>）</w:t>
            </w:r>
          </w:p>
          <w:p w14:paraId="7AF73912">
            <w:pPr>
              <w:pStyle w:val="23"/>
              <w:spacing w:before="111" w:line="306" w:lineRule="auto"/>
              <w:ind w:left="110" w:right="108" w:firstLine="2"/>
              <w:jc w:val="both"/>
              <w:rPr>
                <w:color w:val="auto"/>
                <w:sz w:val="24"/>
                <w:szCs w:val="24"/>
                <w:highlight w:val="none"/>
              </w:rPr>
            </w:pPr>
            <w:r>
              <w:rPr>
                <w:rFonts w:hint="eastAsia" w:ascii="宋体" w:hAnsi="宋体" w:eastAsia="宋体" w:cs="宋体"/>
                <w:color w:val="auto"/>
                <w:spacing w:val="8"/>
                <w:sz w:val="24"/>
                <w:szCs w:val="24"/>
                <w:highlight w:val="none"/>
              </w:rPr>
              <w:t>2.供应商</w:t>
            </w:r>
            <w:r>
              <w:rPr>
                <w:rFonts w:hint="eastAsia" w:cs="宋体"/>
                <w:color w:val="auto"/>
                <w:spacing w:val="8"/>
                <w:sz w:val="24"/>
                <w:szCs w:val="24"/>
                <w:highlight w:val="none"/>
                <w:lang w:eastAsia="zh-CN"/>
              </w:rPr>
              <w:t>2024年度</w:t>
            </w:r>
            <w:r>
              <w:rPr>
                <w:rFonts w:hint="eastAsia" w:ascii="宋体" w:hAnsi="宋体" w:eastAsia="宋体" w:cs="宋体"/>
                <w:color w:val="auto"/>
                <w:spacing w:val="8"/>
                <w:sz w:val="24"/>
                <w:szCs w:val="24"/>
                <w:highlight w:val="none"/>
              </w:rPr>
              <w:t>经审计的财务状</w:t>
            </w:r>
            <w:r>
              <w:rPr>
                <w:rFonts w:hint="eastAsia" w:ascii="宋体" w:hAnsi="宋体" w:eastAsia="宋体" w:cs="宋体"/>
                <w:color w:val="auto"/>
                <w:spacing w:val="7"/>
                <w:sz w:val="24"/>
                <w:szCs w:val="24"/>
                <w:highlight w:val="none"/>
              </w:rPr>
              <w:t>况报告（表）复印件[供应商是法人的，应提</w:t>
            </w:r>
            <w:r>
              <w:rPr>
                <w:rFonts w:hint="eastAsia" w:ascii="宋体" w:hAnsi="宋体" w:eastAsia="宋体" w:cs="宋体"/>
                <w:color w:val="auto"/>
                <w:spacing w:val="9"/>
                <w:sz w:val="24"/>
                <w:szCs w:val="24"/>
                <w:highlight w:val="none"/>
              </w:rPr>
              <w:t>供经审计的财务报告；供应商是其他组织或者自然人的，应提供经审计的财务报告或者银</w:t>
            </w:r>
            <w:r>
              <w:rPr>
                <w:rFonts w:hint="eastAsia" w:ascii="宋体" w:hAnsi="宋体" w:eastAsia="宋体" w:cs="宋体"/>
                <w:color w:val="auto"/>
                <w:spacing w:val="7"/>
                <w:sz w:val="24"/>
                <w:szCs w:val="24"/>
                <w:highlight w:val="none"/>
              </w:rPr>
              <w:t>行出具的资信证明复印件；对于从取得营业执照时间起到响应文件递交截止时</w:t>
            </w:r>
            <w:r>
              <w:rPr>
                <w:rFonts w:hint="eastAsia" w:ascii="宋体" w:hAnsi="宋体" w:eastAsia="宋体" w:cs="宋体"/>
                <w:color w:val="auto"/>
                <w:spacing w:val="6"/>
                <w:sz w:val="24"/>
                <w:szCs w:val="24"/>
                <w:highlight w:val="none"/>
              </w:rPr>
              <w:t>间为止不足</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6"/>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年的供应商，只需提交响应文件递交截止时间前一个月的财务状况报告（表）复印件。（</w:t>
            </w: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必</w:t>
            </w:r>
            <w:r>
              <w:rPr>
                <w:color w:val="auto"/>
                <w:spacing w:val="9"/>
                <w:sz w:val="24"/>
                <w:szCs w:val="24"/>
                <w:highlight w:val="none"/>
                <w14:textOutline w14:w="3795" w14:cap="sq" w14:cmpd="sng">
                  <w14:solidFill>
                    <w14:srgbClr w14:val="000000"/>
                  </w14:solidFill>
                  <w14:prstDash w14:val="solid"/>
                  <w14:bevel/>
                </w14:textOutline>
              </w:rPr>
              <w:t>须提供，否则响应文件按无效响应处理</w:t>
            </w:r>
            <w:r>
              <w:rPr>
                <w:color w:val="auto"/>
                <w:spacing w:val="9"/>
                <w:sz w:val="24"/>
                <w:szCs w:val="24"/>
                <w:highlight w:val="none"/>
              </w:rPr>
              <w:t>）</w:t>
            </w:r>
          </w:p>
          <w:p w14:paraId="6281CF77">
            <w:pPr>
              <w:pStyle w:val="23"/>
              <w:spacing w:before="115" w:line="315" w:lineRule="auto"/>
              <w:ind w:left="109" w:right="167" w:firstLine="5"/>
              <w:rPr>
                <w:color w:val="auto"/>
                <w:sz w:val="24"/>
                <w:szCs w:val="24"/>
                <w:highlight w:val="none"/>
              </w:rPr>
            </w:pPr>
            <w:r>
              <w:rPr>
                <w:color w:val="auto"/>
                <w:spacing w:val="8"/>
                <w:sz w:val="24"/>
                <w:szCs w:val="24"/>
                <w:highlight w:val="none"/>
              </w:rPr>
              <w:t>3.供应商依法缴纳税收的相关材料（</w:t>
            </w:r>
            <w:r>
              <w:rPr>
                <w:color w:val="auto"/>
                <w:spacing w:val="8"/>
                <w:sz w:val="24"/>
                <w:szCs w:val="24"/>
                <w:highlight w:val="none"/>
                <w:u w:val="single" w:color="auto"/>
              </w:rPr>
              <w:t>响应文件提交截止时间前</w:t>
            </w:r>
            <w:r>
              <w:rPr>
                <w:color w:val="auto"/>
                <w:spacing w:val="-32"/>
                <w:sz w:val="24"/>
                <w:szCs w:val="24"/>
                <w:highlight w:val="none"/>
                <w:u w:val="single" w:color="auto"/>
              </w:rPr>
              <w:t xml:space="preserve"> </w:t>
            </w:r>
            <w:r>
              <w:rPr>
                <w:color w:val="auto"/>
                <w:spacing w:val="8"/>
                <w:sz w:val="24"/>
                <w:szCs w:val="24"/>
                <w:highlight w:val="none"/>
                <w:u w:val="single" w:color="auto"/>
              </w:rPr>
              <w:t>6</w:t>
            </w:r>
            <w:r>
              <w:rPr>
                <w:color w:val="auto"/>
                <w:spacing w:val="-40"/>
                <w:sz w:val="24"/>
                <w:szCs w:val="24"/>
                <w:highlight w:val="none"/>
                <w:u w:val="single" w:color="auto"/>
              </w:rPr>
              <w:t xml:space="preserve"> </w:t>
            </w:r>
            <w:r>
              <w:rPr>
                <w:color w:val="auto"/>
                <w:spacing w:val="8"/>
                <w:sz w:val="24"/>
                <w:szCs w:val="24"/>
                <w:highlight w:val="none"/>
                <w:u w:val="single" w:color="auto"/>
              </w:rPr>
              <w:t>个月内任意</w:t>
            </w:r>
            <w:r>
              <w:rPr>
                <w:color w:val="auto"/>
                <w:spacing w:val="-33"/>
                <w:sz w:val="24"/>
                <w:szCs w:val="24"/>
                <w:highlight w:val="none"/>
                <w:u w:val="single" w:color="auto"/>
              </w:rPr>
              <w:t xml:space="preserve"> </w:t>
            </w:r>
            <w:r>
              <w:rPr>
                <w:color w:val="auto"/>
                <w:spacing w:val="8"/>
                <w:sz w:val="24"/>
                <w:szCs w:val="24"/>
                <w:highlight w:val="none"/>
                <w:u w:val="single" w:color="auto"/>
              </w:rPr>
              <w:t>3</w:t>
            </w:r>
            <w:r>
              <w:rPr>
                <w:color w:val="auto"/>
                <w:spacing w:val="-40"/>
                <w:sz w:val="24"/>
                <w:szCs w:val="24"/>
                <w:highlight w:val="none"/>
                <w:u w:val="single" w:color="auto"/>
              </w:rPr>
              <w:t xml:space="preserve"> </w:t>
            </w:r>
            <w:r>
              <w:rPr>
                <w:color w:val="auto"/>
                <w:spacing w:val="8"/>
                <w:sz w:val="24"/>
                <w:szCs w:val="24"/>
                <w:highlight w:val="none"/>
                <w:u w:val="single" w:color="auto"/>
              </w:rPr>
              <w:t>个月的依法</w:t>
            </w:r>
            <w:r>
              <w:rPr>
                <w:color w:val="auto"/>
                <w:spacing w:val="10"/>
                <w:sz w:val="24"/>
                <w:szCs w:val="24"/>
                <w:highlight w:val="none"/>
                <w:u w:val="single" w:color="auto"/>
              </w:rPr>
              <w:t>缴纳税收的凭据复印件</w:t>
            </w:r>
            <w:r>
              <w:rPr>
                <w:color w:val="auto"/>
                <w:spacing w:val="10"/>
                <w:sz w:val="24"/>
                <w:szCs w:val="24"/>
                <w:highlight w:val="none"/>
              </w:rPr>
              <w:t>；依法免税的，必须提供相应文件证明其依法</w:t>
            </w:r>
            <w:r>
              <w:rPr>
                <w:color w:val="auto"/>
                <w:spacing w:val="9"/>
                <w:sz w:val="24"/>
                <w:szCs w:val="24"/>
                <w:highlight w:val="none"/>
              </w:rPr>
              <w:t>免税。从取得营业执</w:t>
            </w:r>
            <w:r>
              <w:rPr>
                <w:color w:val="auto"/>
                <w:sz w:val="24"/>
                <w:szCs w:val="24"/>
                <w:highlight w:val="none"/>
              </w:rPr>
              <w:t xml:space="preserve"> </w:t>
            </w:r>
            <w:r>
              <w:rPr>
                <w:color w:val="auto"/>
                <w:spacing w:val="10"/>
                <w:sz w:val="24"/>
                <w:szCs w:val="24"/>
                <w:highlight w:val="none"/>
              </w:rPr>
              <w:t>照时间起到首次响应文件提交截止时间为止不足要求月数的，只需提</w:t>
            </w:r>
            <w:r>
              <w:rPr>
                <w:color w:val="auto"/>
                <w:spacing w:val="9"/>
                <w:sz w:val="24"/>
                <w:szCs w:val="24"/>
                <w:highlight w:val="none"/>
              </w:rPr>
              <w:t>供从取得营业执照起的依法缴纳税收相应证明文件）。供应商成立不足</w:t>
            </w:r>
            <w:r>
              <w:rPr>
                <w:color w:val="auto"/>
                <w:spacing w:val="-24"/>
                <w:sz w:val="24"/>
                <w:szCs w:val="24"/>
                <w:highlight w:val="none"/>
              </w:rPr>
              <w:t xml:space="preserve"> </w:t>
            </w:r>
            <w:r>
              <w:rPr>
                <w:color w:val="auto"/>
                <w:spacing w:val="9"/>
                <w:sz w:val="24"/>
                <w:szCs w:val="24"/>
                <w:highlight w:val="none"/>
              </w:rPr>
              <w:t>1</w:t>
            </w:r>
            <w:r>
              <w:rPr>
                <w:color w:val="auto"/>
                <w:spacing w:val="-38"/>
                <w:sz w:val="24"/>
                <w:szCs w:val="24"/>
                <w:highlight w:val="none"/>
              </w:rPr>
              <w:t xml:space="preserve"> </w:t>
            </w:r>
            <w:r>
              <w:rPr>
                <w:color w:val="auto"/>
                <w:spacing w:val="9"/>
                <w:sz w:val="24"/>
                <w:szCs w:val="24"/>
                <w:highlight w:val="none"/>
              </w:rPr>
              <w:t>个月的，无须提供</w:t>
            </w:r>
            <w:r>
              <w:rPr>
                <w:color w:val="auto"/>
                <w:spacing w:val="8"/>
                <w:sz w:val="24"/>
                <w:szCs w:val="24"/>
                <w:highlight w:val="none"/>
              </w:rPr>
              <w:t>缴纳税费证明。依</w:t>
            </w:r>
            <w:r>
              <w:rPr>
                <w:color w:val="auto"/>
                <w:sz w:val="24"/>
                <w:szCs w:val="24"/>
                <w:highlight w:val="none"/>
              </w:rPr>
              <w:t xml:space="preserve"> </w:t>
            </w:r>
            <w:r>
              <w:rPr>
                <w:color w:val="auto"/>
                <w:spacing w:val="10"/>
                <w:sz w:val="24"/>
                <w:szCs w:val="24"/>
                <w:highlight w:val="none"/>
              </w:rPr>
              <w:t>法免税的供应商，须提供相应文件证明其依法免税。（</w:t>
            </w:r>
            <w:r>
              <w:rPr>
                <w:color w:val="auto"/>
                <w:spacing w:val="10"/>
                <w:sz w:val="24"/>
                <w:szCs w:val="24"/>
                <w:highlight w:val="none"/>
                <w14:textOutline w14:w="3795" w14:cap="sq" w14:cmpd="sng">
                  <w14:solidFill>
                    <w14:srgbClr w14:val="000000"/>
                  </w14:solidFill>
                  <w14:prstDash w14:val="solid"/>
                  <w14:bevel/>
                </w14:textOutline>
              </w:rPr>
              <w:t>必须提供，否则响应文件按无效响</w:t>
            </w:r>
            <w:r>
              <w:rPr>
                <w:color w:val="auto"/>
                <w:spacing w:val="6"/>
                <w:sz w:val="24"/>
                <w:szCs w:val="24"/>
                <w:highlight w:val="none"/>
                <w14:textOutline w14:w="3795" w14:cap="sq" w14:cmpd="sng">
                  <w14:solidFill>
                    <w14:srgbClr w14:val="000000"/>
                  </w14:solidFill>
                  <w14:prstDash w14:val="solid"/>
                  <w14:bevel/>
                </w14:textOutline>
              </w:rPr>
              <w:t>应处理</w:t>
            </w:r>
            <w:r>
              <w:rPr>
                <w:color w:val="auto"/>
                <w:spacing w:val="6"/>
                <w:sz w:val="24"/>
                <w:szCs w:val="24"/>
                <w:highlight w:val="none"/>
              </w:rPr>
              <w:t>）</w:t>
            </w:r>
          </w:p>
          <w:p w14:paraId="25235ACC">
            <w:pPr>
              <w:pStyle w:val="23"/>
              <w:spacing w:before="112" w:line="317" w:lineRule="auto"/>
              <w:ind w:left="110" w:right="109"/>
              <w:jc w:val="both"/>
              <w:rPr>
                <w:color w:val="auto"/>
                <w:sz w:val="24"/>
                <w:szCs w:val="24"/>
                <w:highlight w:val="none"/>
              </w:rPr>
            </w:pPr>
            <w:r>
              <w:rPr>
                <w:color w:val="auto"/>
                <w:spacing w:val="8"/>
                <w:sz w:val="24"/>
                <w:szCs w:val="24"/>
                <w:highlight w:val="none"/>
              </w:rPr>
              <w:t>4.供应商依法缴纳社会保障资金的相关材料[</w:t>
            </w:r>
            <w:r>
              <w:rPr>
                <w:color w:val="auto"/>
                <w:spacing w:val="8"/>
                <w:sz w:val="24"/>
                <w:szCs w:val="24"/>
                <w:highlight w:val="none"/>
                <w:u w:val="single" w:color="auto"/>
              </w:rPr>
              <w:t>响应文件提交截止时间前</w:t>
            </w:r>
            <w:r>
              <w:rPr>
                <w:color w:val="auto"/>
                <w:spacing w:val="-41"/>
                <w:sz w:val="24"/>
                <w:szCs w:val="24"/>
                <w:highlight w:val="none"/>
                <w:u w:val="single" w:color="auto"/>
              </w:rPr>
              <w:t xml:space="preserve"> </w:t>
            </w:r>
            <w:r>
              <w:rPr>
                <w:color w:val="auto"/>
                <w:spacing w:val="8"/>
                <w:sz w:val="24"/>
                <w:szCs w:val="24"/>
                <w:highlight w:val="none"/>
                <w:u w:val="single" w:color="auto"/>
              </w:rPr>
              <w:t>6</w:t>
            </w:r>
            <w:r>
              <w:rPr>
                <w:color w:val="auto"/>
                <w:spacing w:val="-47"/>
                <w:sz w:val="24"/>
                <w:szCs w:val="24"/>
                <w:highlight w:val="none"/>
                <w:u w:val="single" w:color="auto"/>
              </w:rPr>
              <w:t xml:space="preserve"> </w:t>
            </w:r>
            <w:r>
              <w:rPr>
                <w:color w:val="auto"/>
                <w:spacing w:val="8"/>
                <w:sz w:val="24"/>
                <w:szCs w:val="24"/>
                <w:highlight w:val="none"/>
                <w:u w:val="single" w:color="auto"/>
              </w:rPr>
              <w:t>个月内任意</w:t>
            </w:r>
            <w:r>
              <w:rPr>
                <w:color w:val="auto"/>
                <w:spacing w:val="-43"/>
                <w:sz w:val="24"/>
                <w:szCs w:val="24"/>
                <w:highlight w:val="none"/>
                <w:u w:val="single" w:color="auto"/>
              </w:rPr>
              <w:t xml:space="preserve"> </w:t>
            </w:r>
            <w:r>
              <w:rPr>
                <w:color w:val="auto"/>
                <w:spacing w:val="8"/>
                <w:sz w:val="24"/>
                <w:szCs w:val="24"/>
                <w:highlight w:val="none"/>
                <w:u w:val="single" w:color="auto"/>
              </w:rPr>
              <w:t>3</w:t>
            </w:r>
            <w:r>
              <w:rPr>
                <w:color w:val="auto"/>
                <w:spacing w:val="-47"/>
                <w:sz w:val="24"/>
                <w:szCs w:val="24"/>
                <w:highlight w:val="none"/>
                <w:u w:val="single" w:color="auto"/>
              </w:rPr>
              <w:t xml:space="preserve"> </w:t>
            </w:r>
            <w:r>
              <w:rPr>
                <w:color w:val="auto"/>
                <w:spacing w:val="8"/>
                <w:sz w:val="24"/>
                <w:szCs w:val="24"/>
                <w:highlight w:val="none"/>
                <w:u w:val="single" w:color="auto"/>
              </w:rPr>
              <w:t>个月</w:t>
            </w:r>
            <w:r>
              <w:rPr>
                <w:color w:val="auto"/>
                <w:spacing w:val="9"/>
                <w:sz w:val="24"/>
                <w:szCs w:val="24"/>
                <w:highlight w:val="none"/>
                <w:u w:val="single" w:color="auto"/>
              </w:rPr>
              <w:t>的依法缴纳社会保障资金的缴费凭证（专用收据或者社会保险缴纳清单）复印件</w:t>
            </w:r>
            <w:r>
              <w:rPr>
                <w:color w:val="auto"/>
                <w:spacing w:val="9"/>
                <w:sz w:val="24"/>
                <w:szCs w:val="24"/>
                <w:highlight w:val="none"/>
              </w:rPr>
              <w:t>；依法不需要缴纳社会保障资金的，必须提供相应文件证明不需要缴纳社会保障资金。从取得营业 执照时间起到首次响应文件提交截止时间为止不足要求月数的只需提供从取得营业执照起</w:t>
            </w:r>
            <w:r>
              <w:rPr>
                <w:color w:val="auto"/>
                <w:spacing w:val="8"/>
                <w:sz w:val="24"/>
                <w:szCs w:val="24"/>
                <w:highlight w:val="none"/>
              </w:rPr>
              <w:t>的依法缴纳社会保障资金的相应证明文件]。供应商成立不足</w:t>
            </w:r>
            <w:r>
              <w:rPr>
                <w:color w:val="auto"/>
                <w:spacing w:val="-22"/>
                <w:sz w:val="24"/>
                <w:szCs w:val="24"/>
                <w:highlight w:val="none"/>
              </w:rPr>
              <w:t xml:space="preserve"> </w:t>
            </w:r>
            <w:r>
              <w:rPr>
                <w:color w:val="auto"/>
                <w:spacing w:val="8"/>
                <w:sz w:val="24"/>
                <w:szCs w:val="24"/>
                <w:highlight w:val="none"/>
              </w:rPr>
              <w:t>1</w:t>
            </w:r>
            <w:r>
              <w:rPr>
                <w:color w:val="auto"/>
                <w:spacing w:val="-40"/>
                <w:sz w:val="24"/>
                <w:szCs w:val="24"/>
                <w:highlight w:val="none"/>
              </w:rPr>
              <w:t xml:space="preserve"> </w:t>
            </w:r>
            <w:r>
              <w:rPr>
                <w:color w:val="auto"/>
                <w:spacing w:val="8"/>
                <w:sz w:val="24"/>
                <w:szCs w:val="24"/>
                <w:highlight w:val="none"/>
              </w:rPr>
              <w:t>个月的</w:t>
            </w:r>
            <w:r>
              <w:rPr>
                <w:color w:val="auto"/>
                <w:spacing w:val="7"/>
                <w:sz w:val="24"/>
                <w:szCs w:val="24"/>
                <w:highlight w:val="none"/>
              </w:rPr>
              <w:t>，无须提供社保缴费</w:t>
            </w:r>
            <w:r>
              <w:rPr>
                <w:color w:val="auto"/>
                <w:spacing w:val="9"/>
                <w:sz w:val="24"/>
                <w:szCs w:val="24"/>
                <w:highlight w:val="none"/>
              </w:rPr>
              <w:t>证明。不需要缴纳社会保障资金的供应商，须提供相应文件证明其不需要缴纳社会保障资金。（</w:t>
            </w:r>
            <w:r>
              <w:rPr>
                <w:color w:val="auto"/>
                <w:spacing w:val="9"/>
                <w:sz w:val="24"/>
                <w:szCs w:val="24"/>
                <w:highlight w:val="none"/>
                <w14:textOutline w14:w="3795" w14:cap="sq" w14:cmpd="sng">
                  <w14:solidFill>
                    <w14:srgbClr w14:val="000000"/>
                  </w14:solidFill>
                  <w14:prstDash w14:val="solid"/>
                  <w14:bevel/>
                </w14:textOutline>
              </w:rPr>
              <w:t>必须提供，否则响应文件按无效响应处理</w:t>
            </w:r>
            <w:r>
              <w:rPr>
                <w:color w:val="auto"/>
                <w:spacing w:val="9"/>
                <w:sz w:val="24"/>
                <w:szCs w:val="24"/>
                <w:highlight w:val="none"/>
              </w:rPr>
              <w:t>）</w:t>
            </w:r>
          </w:p>
          <w:p w14:paraId="1AC6D3D6">
            <w:pPr>
              <w:pStyle w:val="23"/>
              <w:spacing w:before="114" w:line="227" w:lineRule="auto"/>
              <w:ind w:left="115"/>
              <w:rPr>
                <w:color w:val="auto"/>
                <w:sz w:val="24"/>
                <w:szCs w:val="24"/>
                <w:highlight w:val="none"/>
              </w:rPr>
            </w:pPr>
            <w:r>
              <w:rPr>
                <w:color w:val="auto"/>
                <w:spacing w:val="10"/>
                <w:sz w:val="24"/>
                <w:szCs w:val="24"/>
                <w:highlight w:val="none"/>
              </w:rPr>
              <w:t>5.供应商直接控股、管理关系信息表（格式后附</w:t>
            </w:r>
            <w:r>
              <w:rPr>
                <w:color w:val="auto"/>
                <w:spacing w:val="-8"/>
                <w:sz w:val="24"/>
                <w:szCs w:val="24"/>
                <w:highlight w:val="none"/>
              </w:rPr>
              <w:t>）；（</w:t>
            </w:r>
            <w:r>
              <w:rPr>
                <w:color w:val="auto"/>
                <w:spacing w:val="10"/>
                <w:sz w:val="24"/>
                <w:szCs w:val="24"/>
                <w:highlight w:val="none"/>
                <w14:textOutline w14:w="3795" w14:cap="sq" w14:cmpd="sng">
                  <w14:solidFill>
                    <w14:srgbClr w14:val="000000"/>
                  </w14:solidFill>
                  <w14:prstDash w14:val="solid"/>
                  <w14:bevel/>
                </w14:textOutline>
              </w:rPr>
              <w:t>必须提</w:t>
            </w:r>
            <w:r>
              <w:rPr>
                <w:color w:val="auto"/>
                <w:spacing w:val="9"/>
                <w:sz w:val="24"/>
                <w:szCs w:val="24"/>
                <w:highlight w:val="none"/>
                <w14:textOutline w14:w="3795" w14:cap="sq" w14:cmpd="sng">
                  <w14:solidFill>
                    <w14:srgbClr w14:val="000000"/>
                  </w14:solidFill>
                  <w14:prstDash w14:val="solid"/>
                  <w14:bevel/>
                </w14:textOutline>
              </w:rPr>
              <w:t>供，否则响应文件作无效处</w:t>
            </w:r>
            <w:r>
              <w:rPr>
                <w:color w:val="auto"/>
                <w:spacing w:val="-1"/>
                <w:sz w:val="24"/>
                <w:szCs w:val="24"/>
                <w:highlight w:val="none"/>
                <w14:textOutline w14:w="3795" w14:cap="sq" w14:cmpd="sng">
                  <w14:solidFill>
                    <w14:srgbClr w14:val="000000"/>
                  </w14:solidFill>
                  <w14:prstDash w14:val="solid"/>
                  <w14:bevel/>
                </w14:textOutline>
              </w:rPr>
              <w:t>理</w:t>
            </w:r>
            <w:r>
              <w:rPr>
                <w:color w:val="auto"/>
                <w:spacing w:val="-1"/>
                <w:sz w:val="24"/>
                <w:szCs w:val="24"/>
                <w:highlight w:val="none"/>
              </w:rPr>
              <w:t>）</w:t>
            </w:r>
          </w:p>
          <w:p w14:paraId="7E3070AF">
            <w:pPr>
              <w:pStyle w:val="23"/>
              <w:spacing w:before="102" w:line="227" w:lineRule="auto"/>
              <w:ind w:left="112"/>
              <w:rPr>
                <w:color w:val="auto"/>
                <w:sz w:val="24"/>
                <w:szCs w:val="24"/>
                <w:highlight w:val="none"/>
              </w:rPr>
            </w:pPr>
            <w:r>
              <w:rPr>
                <w:color w:val="auto"/>
                <w:spacing w:val="10"/>
                <w:sz w:val="24"/>
                <w:szCs w:val="24"/>
                <w:highlight w:val="none"/>
              </w:rPr>
              <w:t>6.响应声明（格式后附</w:t>
            </w:r>
            <w:r>
              <w:rPr>
                <w:color w:val="auto"/>
                <w:spacing w:val="2"/>
                <w:sz w:val="24"/>
                <w:szCs w:val="24"/>
                <w:highlight w:val="none"/>
              </w:rPr>
              <w:t>）；（</w:t>
            </w:r>
            <w:r>
              <w:rPr>
                <w:color w:val="auto"/>
                <w:spacing w:val="10"/>
                <w:sz w:val="24"/>
                <w:szCs w:val="24"/>
                <w:highlight w:val="none"/>
                <w14:textOutline w14:w="3795" w14:cap="sq" w14:cmpd="sng">
                  <w14:solidFill>
                    <w14:srgbClr w14:val="000000"/>
                  </w14:solidFill>
                  <w14:prstDash w14:val="solid"/>
                  <w14:bevel/>
                </w14:textOutline>
              </w:rPr>
              <w:t>必须提供，否则响应文件作无效处理</w:t>
            </w:r>
            <w:r>
              <w:rPr>
                <w:color w:val="auto"/>
                <w:spacing w:val="10"/>
                <w:sz w:val="24"/>
                <w:szCs w:val="24"/>
                <w:highlight w:val="none"/>
              </w:rPr>
              <w:t>）</w:t>
            </w:r>
          </w:p>
          <w:p w14:paraId="2C44B75B">
            <w:pPr>
              <w:pStyle w:val="23"/>
              <w:spacing w:before="113" w:line="298" w:lineRule="auto"/>
              <w:ind w:left="114" w:right="109" w:firstLine="1"/>
              <w:jc w:val="both"/>
              <w:rPr>
                <w:color w:val="auto"/>
                <w:sz w:val="24"/>
                <w:szCs w:val="24"/>
                <w:highlight w:val="none"/>
              </w:rPr>
            </w:pPr>
            <w:r>
              <w:rPr>
                <w:color w:val="auto"/>
                <w:spacing w:val="10"/>
                <w:sz w:val="24"/>
                <w:szCs w:val="24"/>
                <w:highlight w:val="none"/>
              </w:rPr>
              <w:t>7.中小企业声明函或者残疾人福利性单位声明函或者供应商属于监狱企业的证明材料</w:t>
            </w:r>
            <w:r>
              <w:rPr>
                <w:color w:val="auto"/>
                <w:spacing w:val="-46"/>
                <w:w w:val="86"/>
                <w:sz w:val="24"/>
                <w:szCs w:val="24"/>
                <w:highlight w:val="none"/>
              </w:rPr>
              <w:t>；</w:t>
            </w:r>
            <w:r>
              <w:rPr>
                <w:b/>
                <w:bCs/>
                <w:color w:val="auto"/>
                <w:spacing w:val="-46"/>
                <w:w w:val="86"/>
                <w:sz w:val="24"/>
                <w:szCs w:val="24"/>
                <w:highlight w:val="none"/>
              </w:rPr>
              <w:t>（</w:t>
            </w:r>
            <w:r>
              <w:rPr>
                <w:color w:val="auto"/>
                <w:spacing w:val="10"/>
                <w:sz w:val="24"/>
                <w:szCs w:val="24"/>
                <w:highlight w:val="none"/>
                <w14:textOutline w14:w="3795" w14:cap="sq" w14:cmpd="sng">
                  <w14:solidFill>
                    <w14:srgbClr w14:val="000000"/>
                  </w14:solidFill>
                  <w14:prstDash w14:val="solid"/>
                  <w14:bevel/>
                </w14:textOutline>
              </w:rPr>
              <w:t>本项目如为专门面向中小企业（或者小型、微型企业）采购时必须提供，否则响应文件作无</w:t>
            </w:r>
            <w:r>
              <w:rPr>
                <w:color w:val="auto"/>
                <w:spacing w:val="17"/>
                <w:sz w:val="24"/>
                <w:szCs w:val="24"/>
                <w:highlight w:val="none"/>
              </w:rPr>
              <w:t xml:space="preserve"> </w:t>
            </w:r>
            <w:r>
              <w:rPr>
                <w:color w:val="auto"/>
                <w:spacing w:val="4"/>
                <w:sz w:val="24"/>
                <w:szCs w:val="24"/>
                <w:highlight w:val="none"/>
                <w14:textOutline w14:w="3795" w14:cap="sq" w14:cmpd="sng">
                  <w14:solidFill>
                    <w14:srgbClr w14:val="000000"/>
                  </w14:solidFill>
                  <w14:prstDash w14:val="solid"/>
                  <w14:bevel/>
                </w14:textOutline>
              </w:rPr>
              <w:t>效处理</w:t>
            </w:r>
            <w:r>
              <w:rPr>
                <w:color w:val="auto"/>
                <w:spacing w:val="4"/>
                <w:sz w:val="24"/>
                <w:szCs w:val="24"/>
                <w:highlight w:val="none"/>
              </w:rPr>
              <w:t>）</w:t>
            </w:r>
          </w:p>
          <w:p w14:paraId="55DADC5B">
            <w:pPr>
              <w:pStyle w:val="23"/>
              <w:spacing w:before="112" w:line="280" w:lineRule="auto"/>
              <w:ind w:left="111" w:right="497"/>
              <w:rPr>
                <w:rFonts w:hint="eastAsia" w:eastAsia="宋体"/>
                <w:color w:val="auto"/>
                <w:spacing w:val="9"/>
                <w:sz w:val="24"/>
                <w:szCs w:val="24"/>
                <w:highlight w:val="none"/>
                <w:lang w:eastAsia="zh-CN"/>
              </w:rPr>
            </w:pPr>
            <w:r>
              <w:rPr>
                <w:color w:val="auto"/>
                <w:spacing w:val="9"/>
                <w:sz w:val="24"/>
                <w:szCs w:val="24"/>
                <w:highlight w:val="none"/>
              </w:rPr>
              <w:t>8. 满足供应商特定资格条件的其他证明材料（</w:t>
            </w:r>
            <w:r>
              <w:rPr>
                <w:color w:val="auto"/>
                <w:spacing w:val="9"/>
                <w:sz w:val="24"/>
                <w:szCs w:val="24"/>
                <w:highlight w:val="none"/>
                <w14:textOutline w14:w="3795" w14:cap="sq" w14:cmpd="sng">
                  <w14:solidFill>
                    <w14:srgbClr w14:val="000000"/>
                  </w14:solidFill>
                  <w14:prstDash w14:val="solid"/>
                  <w14:bevel/>
                </w14:textOutline>
              </w:rPr>
              <w:t>必须提供，否则响应文件作无效处理</w:t>
            </w:r>
            <w:r>
              <w:rPr>
                <w:color w:val="auto"/>
                <w:spacing w:val="9"/>
                <w:sz w:val="24"/>
                <w:szCs w:val="24"/>
                <w:highlight w:val="none"/>
              </w:rPr>
              <w:t xml:space="preserve">） </w:t>
            </w:r>
          </w:p>
          <w:p w14:paraId="2AAB5CF4">
            <w:pPr>
              <w:pStyle w:val="23"/>
              <w:spacing w:before="112" w:line="280" w:lineRule="auto"/>
              <w:ind w:left="111" w:right="497"/>
              <w:rPr>
                <w:color w:val="auto"/>
                <w:sz w:val="24"/>
                <w:szCs w:val="24"/>
                <w:highlight w:val="none"/>
              </w:rPr>
            </w:pPr>
            <w:r>
              <w:rPr>
                <w:color w:val="auto"/>
                <w:spacing w:val="9"/>
                <w:sz w:val="24"/>
                <w:szCs w:val="24"/>
                <w:highlight w:val="none"/>
              </w:rPr>
              <w:t>9.除磋商文件规定必须提供以外，供应商认为需要提供的其他证明材料；</w:t>
            </w:r>
          </w:p>
          <w:p w14:paraId="3D0A3DA5">
            <w:pPr>
              <w:pStyle w:val="23"/>
              <w:spacing w:before="80" w:line="228" w:lineRule="auto"/>
              <w:ind w:left="110"/>
              <w:rPr>
                <w:color w:val="auto"/>
                <w:sz w:val="24"/>
                <w:szCs w:val="24"/>
                <w:highlight w:val="none"/>
              </w:rPr>
            </w:pPr>
            <w:r>
              <w:rPr>
                <w:color w:val="auto"/>
                <w:spacing w:val="6"/>
                <w:sz w:val="24"/>
                <w:szCs w:val="24"/>
                <w:highlight w:val="none"/>
                <w14:textOutline w14:w="3795" w14:cap="sq" w14:cmpd="sng">
                  <w14:solidFill>
                    <w14:srgbClr w14:val="000000"/>
                  </w14:solidFill>
                  <w14:prstDash w14:val="solid"/>
                  <w14:bevel/>
                </w14:textOutline>
              </w:rPr>
              <w:t>特别说明：</w:t>
            </w:r>
          </w:p>
          <w:p w14:paraId="2D36F5E7">
            <w:pPr>
              <w:pStyle w:val="23"/>
              <w:spacing w:before="76" w:line="272" w:lineRule="auto"/>
              <w:ind w:left="110" w:right="55" w:firstLine="10"/>
              <w:rPr>
                <w:color w:val="auto"/>
                <w:sz w:val="24"/>
                <w:szCs w:val="24"/>
                <w:highlight w:val="none"/>
              </w:rPr>
            </w:pPr>
            <w:r>
              <w:rPr>
                <w:color w:val="auto"/>
                <w:spacing w:val="7"/>
                <w:sz w:val="24"/>
                <w:szCs w:val="24"/>
                <w:highlight w:val="none"/>
                <w14:textOutline w14:w="3795" w14:cap="sq" w14:cmpd="sng">
                  <w14:solidFill>
                    <w14:srgbClr w14:val="000000"/>
                  </w14:solidFill>
                  <w14:prstDash w14:val="solid"/>
                  <w14:bevel/>
                </w14:textOutline>
              </w:rPr>
              <w:t>（1）响应文件中所须加盖公章部分均采用</w:t>
            </w:r>
            <w:r>
              <w:rPr>
                <w:color w:val="auto"/>
                <w:spacing w:val="-39"/>
                <w:sz w:val="24"/>
                <w:szCs w:val="24"/>
                <w:highlight w:val="none"/>
              </w:rPr>
              <w:t xml:space="preserve"> </w:t>
            </w:r>
            <w:r>
              <w:rPr>
                <w:color w:val="auto"/>
                <w:sz w:val="24"/>
                <w:szCs w:val="24"/>
                <w:highlight w:val="none"/>
                <w14:textOutline w14:w="3795" w14:cap="sq" w14:cmpd="sng">
                  <w14:solidFill>
                    <w14:srgbClr w14:val="000000"/>
                  </w14:solidFill>
                  <w14:prstDash w14:val="solid"/>
                  <w14:bevel/>
                </w14:textOutline>
              </w:rPr>
              <w:t>CA</w:t>
            </w:r>
            <w:r>
              <w:rPr>
                <w:color w:val="auto"/>
                <w:spacing w:val="-41"/>
                <w:sz w:val="24"/>
                <w:szCs w:val="24"/>
                <w:highlight w:val="none"/>
              </w:rPr>
              <w:t xml:space="preserve"> </w:t>
            </w:r>
            <w:r>
              <w:rPr>
                <w:color w:val="auto"/>
                <w:spacing w:val="7"/>
                <w:sz w:val="24"/>
                <w:szCs w:val="24"/>
                <w:highlight w:val="none"/>
                <w14:textOutline w14:w="3795" w14:cap="sq" w14:cmpd="sng">
                  <w14:solidFill>
                    <w14:srgbClr w14:val="000000"/>
                  </w14:solidFill>
                  <w14:prstDash w14:val="solid"/>
                  <w14:bevel/>
                </w14:textOutline>
              </w:rPr>
              <w:t>签章。若磋商文件中有专门标注的某关联点，</w:t>
            </w:r>
            <w:r>
              <w:rPr>
                <w:color w:val="auto"/>
                <w:spacing w:val="11"/>
                <w:sz w:val="24"/>
                <w:szCs w:val="24"/>
                <w:highlight w:val="none"/>
                <w14:textOutline w14:w="3795" w14:cap="sq" w14:cmpd="sng">
                  <w14:solidFill>
                    <w14:srgbClr w14:val="000000"/>
                  </w14:solidFill>
                  <w14:prstDash w14:val="solid"/>
                  <w14:bevel/>
                </w14:textOutline>
              </w:rPr>
              <w:t>并要求供应商在电子投标系统中作出磋商响应</w:t>
            </w:r>
            <w:r>
              <w:rPr>
                <w:color w:val="auto"/>
                <w:spacing w:val="10"/>
                <w:sz w:val="24"/>
                <w:szCs w:val="24"/>
                <w:highlight w:val="none"/>
                <w14:textOutline w14:w="3795" w14:cap="sq" w14:cmpd="sng">
                  <w14:solidFill>
                    <w14:srgbClr w14:val="000000"/>
                  </w14:solidFill>
                  <w14:prstDash w14:val="solid"/>
                  <w14:bevel/>
                </w14:textOutline>
              </w:rPr>
              <w:t>的，如供应商未对关联点进行响应或者在响</w:t>
            </w:r>
            <w:r>
              <w:rPr>
                <w:color w:val="auto"/>
                <w:sz w:val="24"/>
                <w:szCs w:val="24"/>
                <w:highlight w:val="none"/>
              </w:rPr>
              <w:t xml:space="preserve">  </w:t>
            </w:r>
            <w:r>
              <w:rPr>
                <w:color w:val="auto"/>
                <w:spacing w:val="10"/>
                <w:sz w:val="24"/>
                <w:szCs w:val="24"/>
                <w:highlight w:val="none"/>
                <w14:textOutline w14:w="3795" w14:cap="sq" w14:cmpd="sng">
                  <w14:solidFill>
                    <w14:srgbClr w14:val="000000"/>
                  </w14:solidFill>
                  <w14:prstDash w14:val="solid"/>
                  <w14:bevel/>
                </w14:textOutline>
              </w:rPr>
              <w:t>应文件其它内容进行描述，造成电子评审不能查询的责任由供应商自行承担。</w:t>
            </w:r>
          </w:p>
          <w:p w14:paraId="2D6AB786">
            <w:pPr>
              <w:pStyle w:val="23"/>
              <w:spacing w:before="76" w:line="274" w:lineRule="auto"/>
              <w:ind w:left="121" w:right="38"/>
              <w:rPr>
                <w:rFonts w:hint="eastAsia" w:eastAsia="宋体"/>
                <w:color w:val="auto"/>
                <w:sz w:val="24"/>
                <w:szCs w:val="24"/>
                <w:highlight w:val="none"/>
                <w:lang w:eastAsia="zh-CN"/>
              </w:rPr>
            </w:pPr>
            <w:r>
              <w:rPr>
                <w:color w:val="auto"/>
                <w:spacing w:val="7"/>
                <w:sz w:val="24"/>
                <w:szCs w:val="24"/>
                <w:highlight w:val="none"/>
                <w14:textOutline w14:w="3795" w14:cap="sq" w14:cmpd="sng">
                  <w14:solidFill>
                    <w14:srgbClr w14:val="000000"/>
                  </w14:solidFill>
                  <w14:prstDash w14:val="solid"/>
                  <w14:bevel/>
                </w14:textOutline>
              </w:rPr>
              <w:t>（2）磋商文件要求提供的各种复印件，须加盖供应商</w:t>
            </w:r>
            <w:r>
              <w:rPr>
                <w:color w:val="auto"/>
                <w:spacing w:val="-23"/>
                <w:sz w:val="24"/>
                <w:szCs w:val="24"/>
                <w:highlight w:val="none"/>
              </w:rPr>
              <w:t xml:space="preserve"> </w:t>
            </w:r>
            <w:r>
              <w:rPr>
                <w:color w:val="auto"/>
                <w:sz w:val="24"/>
                <w:szCs w:val="24"/>
                <w:highlight w:val="none"/>
                <w14:textOutline w14:w="3795" w14:cap="sq" w14:cmpd="sng">
                  <w14:solidFill>
                    <w14:srgbClr w14:val="000000"/>
                  </w14:solidFill>
                  <w14:prstDash w14:val="solid"/>
                  <w14:bevel/>
                </w14:textOutline>
              </w:rPr>
              <w:t>CA</w:t>
            </w:r>
            <w:r>
              <w:rPr>
                <w:color w:val="auto"/>
                <w:spacing w:val="-40"/>
                <w:sz w:val="24"/>
                <w:szCs w:val="24"/>
                <w:highlight w:val="none"/>
              </w:rPr>
              <w:t xml:space="preserve"> </w:t>
            </w:r>
            <w:r>
              <w:rPr>
                <w:color w:val="auto"/>
                <w:spacing w:val="7"/>
                <w:sz w:val="24"/>
                <w:szCs w:val="24"/>
                <w:highlight w:val="none"/>
                <w14:textOutline w14:w="3795" w14:cap="sq" w14:cmpd="sng">
                  <w14:solidFill>
                    <w14:srgbClr w14:val="000000"/>
                  </w14:solidFill>
                  <w14:prstDash w14:val="solid"/>
                  <w14:bevel/>
                </w14:textOutline>
              </w:rPr>
              <w:t>签章，否则响应文件作无效处理。</w:t>
            </w:r>
            <w:r>
              <w:rPr>
                <w:color w:val="auto"/>
                <w:sz w:val="24"/>
                <w:szCs w:val="24"/>
                <w:highlight w:val="none"/>
              </w:rPr>
              <w:t xml:space="preserve"> </w:t>
            </w:r>
          </w:p>
          <w:p w14:paraId="3A280B66">
            <w:pPr>
              <w:pStyle w:val="23"/>
              <w:spacing w:before="76" w:line="274" w:lineRule="auto"/>
              <w:ind w:left="121" w:right="38"/>
              <w:rPr>
                <w:color w:val="auto"/>
                <w:sz w:val="24"/>
                <w:szCs w:val="24"/>
                <w:highlight w:val="none"/>
              </w:rPr>
            </w:pPr>
            <w:r>
              <w:rPr>
                <w:color w:val="auto"/>
                <w:spacing w:val="4"/>
                <w:sz w:val="24"/>
                <w:szCs w:val="24"/>
                <w:highlight w:val="none"/>
                <w14:textOutline w14:w="3795" w14:cap="sq" w14:cmpd="sng">
                  <w14:solidFill>
                    <w14:srgbClr w14:val="000000"/>
                  </w14:solidFill>
                  <w14:prstDash w14:val="solid"/>
                  <w14:bevel/>
                </w14:textOutline>
              </w:rPr>
              <w:t>（3）磋商文件标注“▲</w:t>
            </w:r>
            <w:r>
              <w:rPr>
                <w:color w:val="auto"/>
                <w:spacing w:val="-54"/>
                <w:sz w:val="24"/>
                <w:szCs w:val="24"/>
                <w:highlight w:val="none"/>
              </w:rPr>
              <w:t xml:space="preserve"> </w:t>
            </w:r>
            <w:r>
              <w:rPr>
                <w:color w:val="auto"/>
                <w:spacing w:val="4"/>
                <w:sz w:val="24"/>
                <w:szCs w:val="24"/>
                <w:highlight w:val="none"/>
                <w14:textOutline w14:w="3795" w14:cap="sq" w14:cmpd="sng">
                  <w14:solidFill>
                    <w14:srgbClr w14:val="000000"/>
                  </w14:solidFill>
                  <w14:prstDash w14:val="solid"/>
                  <w14:bevel/>
                </w14:textOutline>
              </w:rPr>
              <w:t>”的证明等材料，供应商必须全部提供，缺一不可，否则磋商无效。</w:t>
            </w:r>
          </w:p>
        </w:tc>
      </w:tr>
    </w:tbl>
    <w:p w14:paraId="416A0466">
      <w:pPr>
        <w:spacing w:line="91" w:lineRule="auto"/>
        <w:rPr>
          <w:rFonts w:ascii="Arial"/>
          <w:color w:val="auto"/>
          <w:sz w:val="2"/>
          <w:highlight w:val="none"/>
        </w:rPr>
      </w:pPr>
    </w:p>
    <w:tbl>
      <w:tblPr>
        <w:tblStyle w:val="22"/>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8940"/>
      </w:tblGrid>
      <w:tr w14:paraId="3BCC6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849" w:type="dxa"/>
            <w:vAlign w:val="top"/>
          </w:tcPr>
          <w:p w14:paraId="3F9F4D19">
            <w:pPr>
              <w:spacing w:line="241" w:lineRule="auto"/>
              <w:rPr>
                <w:rFonts w:ascii="Arial"/>
                <w:color w:val="auto"/>
                <w:sz w:val="24"/>
                <w:szCs w:val="24"/>
                <w:highlight w:val="none"/>
              </w:rPr>
            </w:pPr>
          </w:p>
          <w:p w14:paraId="1048FE94">
            <w:pPr>
              <w:spacing w:line="241" w:lineRule="auto"/>
              <w:rPr>
                <w:rFonts w:ascii="Arial"/>
                <w:color w:val="auto"/>
                <w:sz w:val="24"/>
                <w:szCs w:val="24"/>
                <w:highlight w:val="none"/>
              </w:rPr>
            </w:pPr>
          </w:p>
          <w:p w14:paraId="27C371E5">
            <w:pPr>
              <w:spacing w:line="241" w:lineRule="auto"/>
              <w:rPr>
                <w:rFonts w:ascii="Arial"/>
                <w:color w:val="auto"/>
                <w:sz w:val="24"/>
                <w:szCs w:val="24"/>
                <w:highlight w:val="none"/>
              </w:rPr>
            </w:pPr>
          </w:p>
          <w:p w14:paraId="6878DC28">
            <w:pPr>
              <w:spacing w:line="241" w:lineRule="auto"/>
              <w:rPr>
                <w:rFonts w:ascii="Arial"/>
                <w:color w:val="auto"/>
                <w:sz w:val="24"/>
                <w:szCs w:val="24"/>
                <w:highlight w:val="none"/>
              </w:rPr>
            </w:pPr>
          </w:p>
          <w:p w14:paraId="021CE335">
            <w:pPr>
              <w:spacing w:line="242" w:lineRule="auto"/>
              <w:rPr>
                <w:rFonts w:ascii="Arial"/>
                <w:color w:val="auto"/>
                <w:sz w:val="24"/>
                <w:szCs w:val="24"/>
                <w:highlight w:val="none"/>
              </w:rPr>
            </w:pPr>
          </w:p>
          <w:p w14:paraId="10C8F48A">
            <w:pPr>
              <w:spacing w:line="242" w:lineRule="auto"/>
              <w:rPr>
                <w:rFonts w:ascii="Arial"/>
                <w:color w:val="auto"/>
                <w:sz w:val="24"/>
                <w:szCs w:val="24"/>
                <w:highlight w:val="none"/>
              </w:rPr>
            </w:pPr>
          </w:p>
          <w:p w14:paraId="24EE1E8A">
            <w:pPr>
              <w:spacing w:line="242" w:lineRule="auto"/>
              <w:rPr>
                <w:rFonts w:ascii="Arial"/>
                <w:color w:val="auto"/>
                <w:sz w:val="24"/>
                <w:szCs w:val="24"/>
                <w:highlight w:val="none"/>
              </w:rPr>
            </w:pPr>
          </w:p>
          <w:p w14:paraId="58725593">
            <w:pPr>
              <w:rPr>
                <w:color w:val="auto"/>
                <w:sz w:val="24"/>
                <w:szCs w:val="24"/>
                <w:highlight w:val="none"/>
              </w:rPr>
            </w:pPr>
            <w:r>
              <w:rPr>
                <w:rFonts w:hint="eastAsia" w:asciiTheme="majorEastAsia" w:hAnsiTheme="majorEastAsia" w:eastAsiaTheme="majorEastAsia" w:cstheme="majorEastAsia"/>
                <w:color w:val="auto"/>
                <w:sz w:val="24"/>
                <w:szCs w:val="24"/>
                <w:highlight w:val="none"/>
              </w:rPr>
              <w:t>12.1.2</w:t>
            </w:r>
          </w:p>
        </w:tc>
        <w:tc>
          <w:tcPr>
            <w:tcW w:w="8940" w:type="dxa"/>
            <w:vAlign w:val="top"/>
          </w:tcPr>
          <w:p w14:paraId="4FCBC8C5">
            <w:pPr>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商务文件</w:t>
            </w:r>
          </w:p>
          <w:p w14:paraId="608E1BD3">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napToGrid w:val="0"/>
                <w:color w:val="auto"/>
                <w:spacing w:val="10"/>
                <w:kern w:val="0"/>
                <w:sz w:val="24"/>
                <w:szCs w:val="24"/>
                <w:highlight w:val="none"/>
                <w:lang w:val="en-US" w:eastAsia="en-US" w:bidi="ar-SA"/>
                <w14:textOutline w14:w="3795" w14:cap="sq" w14:cmpd="sng">
                  <w14:solidFill>
                    <w14:srgbClr w14:val="000000"/>
                  </w14:solidFill>
                  <w14:prstDash w14:val="solid"/>
                  <w14:bevel/>
                </w14:textOutline>
              </w:rPr>
            </w:pPr>
            <w:r>
              <w:rPr>
                <w:rFonts w:hint="eastAsia" w:ascii="宋体" w:hAnsi="宋体" w:eastAsia="宋体" w:cs="宋体"/>
                <w:snapToGrid w:val="0"/>
                <w:color w:val="auto"/>
                <w:spacing w:val="10"/>
                <w:kern w:val="0"/>
                <w:sz w:val="24"/>
                <w:szCs w:val="24"/>
                <w:highlight w:val="none"/>
                <w:lang w:val="en-US" w:eastAsia="en-US" w:bidi="ar-SA"/>
              </w:rPr>
              <w:t>1.无串通磋商行为的承诺函（格式后附）</w:t>
            </w:r>
            <w:r>
              <w:rPr>
                <w:rFonts w:hint="eastAsia" w:ascii="宋体" w:hAnsi="宋体" w:eastAsia="宋体" w:cs="宋体"/>
                <w:snapToGrid w:val="0"/>
                <w:color w:val="auto"/>
                <w:spacing w:val="10"/>
                <w:kern w:val="0"/>
                <w:sz w:val="24"/>
                <w:szCs w:val="24"/>
                <w:highlight w:val="none"/>
                <w:lang w:val="en-US" w:eastAsia="zh-CN" w:bidi="ar-SA"/>
              </w:rPr>
              <w:t>；</w:t>
            </w:r>
            <w:r>
              <w:rPr>
                <w:rFonts w:hint="eastAsia" w:ascii="宋体" w:hAnsi="宋体" w:eastAsia="宋体" w:cs="宋体"/>
                <w:snapToGrid w:val="0"/>
                <w:color w:val="auto"/>
                <w:spacing w:val="10"/>
                <w:kern w:val="0"/>
                <w:sz w:val="24"/>
                <w:szCs w:val="24"/>
                <w:highlight w:val="none"/>
                <w:lang w:val="en-US" w:eastAsia="en-US" w:bidi="ar-SA"/>
                <w14:textOutline w14:w="3795" w14:cap="sq" w14:cmpd="sng">
                  <w14:solidFill>
                    <w14:srgbClr w14:val="000000"/>
                  </w14:solidFill>
                  <w14:prstDash w14:val="solid"/>
                  <w14:bevel/>
                </w14:textOutline>
              </w:rPr>
              <w:t>（必须提供，否则响应文件作无效处理）</w:t>
            </w:r>
          </w:p>
          <w:p w14:paraId="0D2F53CD">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0"/>
                <w:kern w:val="0"/>
                <w:sz w:val="24"/>
                <w:szCs w:val="24"/>
                <w:highlight w:val="none"/>
                <w:lang w:val="en-US" w:eastAsia="zh-CN" w:bidi="ar-SA"/>
              </w:rPr>
              <w:t>2</w:t>
            </w:r>
            <w:r>
              <w:rPr>
                <w:rFonts w:hint="eastAsia" w:ascii="宋体" w:hAnsi="宋体" w:eastAsia="宋体" w:cs="宋体"/>
                <w:snapToGrid w:val="0"/>
                <w:color w:val="auto"/>
                <w:spacing w:val="10"/>
                <w:kern w:val="0"/>
                <w:sz w:val="24"/>
                <w:szCs w:val="24"/>
                <w:highlight w:val="none"/>
                <w:lang w:val="en-US" w:eastAsia="en-US" w:bidi="ar-SA"/>
              </w:rPr>
              <w:t>.法定代表人身份证明（格式后附）；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必须提供，否则响应文件作无效处理</w:t>
            </w:r>
            <w:r>
              <w:rPr>
                <w:rFonts w:hint="eastAsia" w:ascii="宋体" w:hAnsi="宋体" w:eastAsia="宋体" w:cs="宋体"/>
                <w:color w:val="auto"/>
                <w:sz w:val="24"/>
                <w:szCs w:val="24"/>
                <w:highlight w:val="none"/>
              </w:rPr>
              <w:t>）</w:t>
            </w:r>
          </w:p>
          <w:p w14:paraId="2FD6E6DF">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spacing w:val="10"/>
                <w:kern w:val="0"/>
                <w:sz w:val="24"/>
                <w:szCs w:val="24"/>
                <w:highlight w:val="none"/>
                <w:lang w:val="en-US" w:eastAsia="zh-CN" w:bidi="ar-SA"/>
              </w:rPr>
              <w:t>3</w:t>
            </w:r>
            <w:r>
              <w:rPr>
                <w:rFonts w:hint="eastAsia" w:ascii="宋体" w:hAnsi="宋体" w:eastAsia="宋体" w:cs="宋体"/>
                <w:snapToGrid w:val="0"/>
                <w:color w:val="auto"/>
                <w:spacing w:val="10"/>
                <w:kern w:val="0"/>
                <w:sz w:val="24"/>
                <w:szCs w:val="24"/>
                <w:highlight w:val="none"/>
                <w:lang w:val="en-US" w:eastAsia="en-US" w:bidi="ar-SA"/>
              </w:rPr>
              <w:t>.法定代表人授权委托书（格式后附）；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委托时必须提供，否则响应文件作无效处理</w:t>
            </w:r>
            <w:r>
              <w:rPr>
                <w:rFonts w:hint="eastAsia" w:ascii="宋体" w:hAnsi="宋体" w:eastAsia="宋体" w:cs="宋体"/>
                <w:color w:val="auto"/>
                <w:sz w:val="24"/>
                <w:szCs w:val="24"/>
                <w:highlight w:val="none"/>
              </w:rPr>
              <w:t xml:space="preserve">） </w:t>
            </w:r>
          </w:p>
          <w:p w14:paraId="14BD1959">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.联合体协议（格式后附）；（</w:t>
            </w:r>
            <w:r>
              <w:rPr>
                <w:rFonts w:hint="eastAsia" w:ascii="宋体" w:hAnsi="宋体" w:eastAsia="宋体" w:cs="宋体"/>
                <w:b/>
                <w:bCs/>
                <w:color w:val="auto"/>
                <w:sz w:val="24"/>
                <w:szCs w:val="24"/>
                <w:highlight w:val="none"/>
              </w:rPr>
              <w:t>联合体磋商时必须提供，否则响应文件作无效处理</w:t>
            </w:r>
            <w:r>
              <w:rPr>
                <w:rFonts w:hint="eastAsia" w:ascii="宋体" w:hAnsi="宋体" w:eastAsia="宋体" w:cs="宋体"/>
                <w:color w:val="auto"/>
                <w:sz w:val="24"/>
                <w:szCs w:val="24"/>
                <w:highlight w:val="none"/>
              </w:rPr>
              <w:t>）</w:t>
            </w:r>
          </w:p>
          <w:p w14:paraId="49867AA5">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.磋商保证金提交凭证；</w:t>
            </w:r>
            <w:r>
              <w:rPr>
                <w:rFonts w:hint="eastAsia" w:ascii="宋体" w:hAnsi="宋体" w:eastAsia="宋体" w:cs="宋体"/>
                <w:b/>
                <w:bCs/>
                <w:color w:val="auto"/>
                <w:sz w:val="24"/>
                <w:szCs w:val="24"/>
                <w:highlight w:val="none"/>
              </w:rPr>
              <w:t>（如有）</w:t>
            </w:r>
          </w:p>
          <w:p w14:paraId="3A5BA72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w:t>
            </w:r>
          </w:p>
          <w:p w14:paraId="038E2C1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以上标明“必须提供 ”材料复印件的，须加盖供应商 CA 签章，否则响应文件作无 效处理。</w:t>
            </w:r>
          </w:p>
          <w:p w14:paraId="38B14C9A">
            <w:pPr>
              <w:rPr>
                <w:color w:val="auto"/>
                <w:sz w:val="24"/>
                <w:szCs w:val="24"/>
                <w:highlight w:val="none"/>
              </w:rPr>
            </w:pPr>
            <w:r>
              <w:rPr>
                <w:rFonts w:hint="eastAsia" w:ascii="宋体" w:hAnsi="宋体" w:eastAsia="宋体" w:cs="宋体"/>
                <w:b/>
                <w:bCs/>
                <w:color w:val="auto"/>
                <w:sz w:val="24"/>
                <w:szCs w:val="24"/>
                <w:highlight w:val="none"/>
              </w:rPr>
              <w:t>2.以上材料未附格式的，由供应商自行拟定。</w:t>
            </w:r>
          </w:p>
        </w:tc>
      </w:tr>
      <w:tr w14:paraId="6455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49" w:type="dxa"/>
            <w:vAlign w:val="top"/>
          </w:tcPr>
          <w:p w14:paraId="7EDB657B">
            <w:pPr>
              <w:rPr>
                <w:rFonts w:hint="eastAsia" w:asciiTheme="majorEastAsia" w:hAnsiTheme="majorEastAsia" w:eastAsiaTheme="majorEastAsia" w:cstheme="majorEastAsia"/>
                <w:color w:val="auto"/>
                <w:sz w:val="24"/>
                <w:szCs w:val="24"/>
                <w:highlight w:val="none"/>
              </w:rPr>
            </w:pPr>
          </w:p>
          <w:p w14:paraId="1FB73F0A">
            <w:pPr>
              <w:rPr>
                <w:rFonts w:hint="eastAsia" w:asciiTheme="majorEastAsia" w:hAnsiTheme="majorEastAsia" w:eastAsiaTheme="majorEastAsia" w:cstheme="majorEastAsia"/>
                <w:color w:val="auto"/>
                <w:sz w:val="24"/>
                <w:szCs w:val="24"/>
                <w:highlight w:val="none"/>
              </w:rPr>
            </w:pPr>
          </w:p>
          <w:p w14:paraId="71391A83">
            <w:pPr>
              <w:rPr>
                <w:rFonts w:hint="eastAsia" w:asciiTheme="majorEastAsia" w:hAnsiTheme="majorEastAsia" w:eastAsiaTheme="majorEastAsia" w:cstheme="majorEastAsia"/>
                <w:color w:val="auto"/>
                <w:sz w:val="24"/>
                <w:szCs w:val="24"/>
                <w:highlight w:val="none"/>
              </w:rPr>
            </w:pPr>
          </w:p>
          <w:p w14:paraId="40452CB3">
            <w:pPr>
              <w:rPr>
                <w:rFonts w:hint="eastAsia" w:asciiTheme="majorEastAsia" w:hAnsiTheme="majorEastAsia" w:eastAsiaTheme="majorEastAsia" w:cstheme="majorEastAsia"/>
                <w:color w:val="auto"/>
                <w:sz w:val="24"/>
                <w:szCs w:val="24"/>
                <w:highlight w:val="none"/>
              </w:rPr>
            </w:pPr>
          </w:p>
          <w:p w14:paraId="57F8D81D">
            <w:pPr>
              <w:rPr>
                <w:rFonts w:hint="eastAsia" w:asciiTheme="majorEastAsia" w:hAnsiTheme="majorEastAsia" w:eastAsiaTheme="majorEastAsia" w:cstheme="majorEastAsia"/>
                <w:color w:val="auto"/>
                <w:sz w:val="24"/>
                <w:szCs w:val="24"/>
                <w:highlight w:val="none"/>
              </w:rPr>
            </w:pPr>
          </w:p>
          <w:p w14:paraId="52475E64">
            <w:pP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12.1.</w:t>
            </w:r>
            <w:r>
              <w:rPr>
                <w:rFonts w:hint="eastAsia" w:asciiTheme="majorEastAsia" w:hAnsiTheme="majorEastAsia" w:eastAsiaTheme="majorEastAsia" w:cstheme="majorEastAsia"/>
                <w:color w:val="auto"/>
                <w:sz w:val="24"/>
                <w:szCs w:val="24"/>
                <w:highlight w:val="none"/>
                <w:lang w:val="en-US" w:eastAsia="zh-CN"/>
              </w:rPr>
              <w:t>3</w:t>
            </w:r>
          </w:p>
        </w:tc>
        <w:tc>
          <w:tcPr>
            <w:tcW w:w="8940" w:type="dxa"/>
            <w:vAlign w:val="top"/>
          </w:tcPr>
          <w:p w14:paraId="6CEEBDE2">
            <w:pPr>
              <w:pStyle w:val="23"/>
              <w:spacing w:before="114" w:line="227" w:lineRule="auto"/>
              <w:ind w:left="113"/>
              <w:rPr>
                <w:color w:val="auto"/>
                <w:spacing w:val="10"/>
                <w:sz w:val="24"/>
                <w:szCs w:val="24"/>
                <w:highlight w:val="none"/>
              </w:rPr>
            </w:pPr>
            <w:r>
              <w:rPr>
                <w:rFonts w:hint="eastAsia"/>
                <w:color w:val="auto"/>
                <w:spacing w:val="9"/>
                <w:sz w:val="24"/>
                <w:szCs w:val="24"/>
                <w:highlight w:val="none"/>
                <w:lang w:eastAsia="zh-CN"/>
                <w14:textOutline w14:w="3795" w14:cap="sq" w14:cmpd="sng">
                  <w14:solidFill>
                    <w14:srgbClr w14:val="000000"/>
                  </w14:solidFill>
                  <w14:prstDash w14:val="solid"/>
                  <w14:bevel/>
                </w14:textOutline>
              </w:rPr>
              <w:t>第三部分</w:t>
            </w:r>
            <w:r>
              <w:rPr>
                <w:rFonts w:hint="eastAsia"/>
                <w:color w:val="auto"/>
                <w:spacing w:val="9"/>
                <w:sz w:val="24"/>
                <w:szCs w:val="24"/>
                <w:highlight w:val="none"/>
                <w:lang w:val="en-US" w:eastAsia="zh-CN"/>
                <w14:textOutline w14:w="3795" w14:cap="sq" w14:cmpd="sng">
                  <w14:solidFill>
                    <w14:srgbClr w14:val="000000"/>
                  </w14:solidFill>
                  <w14:prstDash w14:val="solid"/>
                  <w14:bevel/>
                </w14:textOutline>
              </w:rPr>
              <w:t xml:space="preserve"> </w:t>
            </w:r>
            <w:r>
              <w:rPr>
                <w:color w:val="auto"/>
                <w:spacing w:val="9"/>
                <w:sz w:val="24"/>
                <w:szCs w:val="24"/>
                <w:highlight w:val="none"/>
                <w14:textOutline w14:w="3795" w14:cap="sq" w14:cmpd="sng">
                  <w14:solidFill>
                    <w14:srgbClr w14:val="000000"/>
                  </w14:solidFill>
                  <w14:prstDash w14:val="solid"/>
                  <w14:bevel/>
                </w14:textOutline>
              </w:rPr>
              <w:t>报价文件</w:t>
            </w:r>
          </w:p>
          <w:p w14:paraId="01C2D966">
            <w:pPr>
              <w:pStyle w:val="23"/>
              <w:spacing w:before="114" w:line="227" w:lineRule="auto"/>
              <w:ind w:left="113"/>
              <w:rPr>
                <w:color w:val="auto"/>
                <w:sz w:val="24"/>
                <w:szCs w:val="24"/>
                <w:highlight w:val="none"/>
              </w:rPr>
            </w:pPr>
            <w:r>
              <w:rPr>
                <w:rFonts w:hint="eastAsia"/>
                <w:color w:val="auto"/>
                <w:spacing w:val="10"/>
                <w:sz w:val="24"/>
                <w:szCs w:val="24"/>
                <w:highlight w:val="none"/>
                <w:lang w:val="en-US" w:eastAsia="zh-CN"/>
              </w:rPr>
              <w:t>1</w:t>
            </w:r>
            <w:r>
              <w:rPr>
                <w:color w:val="auto"/>
                <w:spacing w:val="10"/>
                <w:sz w:val="24"/>
                <w:szCs w:val="24"/>
                <w:highlight w:val="none"/>
              </w:rPr>
              <w:t>.响应函（格式后附</w:t>
            </w:r>
            <w:r>
              <w:rPr>
                <w:color w:val="auto"/>
                <w:spacing w:val="3"/>
                <w:sz w:val="24"/>
                <w:szCs w:val="24"/>
                <w:highlight w:val="none"/>
              </w:rPr>
              <w:t>）；（</w:t>
            </w:r>
            <w:r>
              <w:rPr>
                <w:color w:val="auto"/>
                <w:spacing w:val="10"/>
                <w:sz w:val="24"/>
                <w:szCs w:val="24"/>
                <w:highlight w:val="none"/>
                <w14:textOutline w14:w="3795" w14:cap="sq" w14:cmpd="sng">
                  <w14:solidFill>
                    <w14:srgbClr w14:val="000000"/>
                  </w14:solidFill>
                  <w14:prstDash w14:val="solid"/>
                  <w14:bevel/>
                </w14:textOutline>
              </w:rPr>
              <w:t>必须提供，否则响应文件作无效处理</w:t>
            </w:r>
            <w:r>
              <w:rPr>
                <w:color w:val="auto"/>
                <w:spacing w:val="10"/>
                <w:sz w:val="24"/>
                <w:szCs w:val="24"/>
                <w:highlight w:val="none"/>
              </w:rPr>
              <w:t>）</w:t>
            </w:r>
          </w:p>
          <w:p w14:paraId="2B1F16C5">
            <w:pPr>
              <w:pStyle w:val="23"/>
              <w:spacing w:before="114" w:line="360" w:lineRule="exact"/>
              <w:ind w:left="115"/>
              <w:rPr>
                <w:color w:val="auto"/>
                <w:sz w:val="24"/>
                <w:szCs w:val="24"/>
                <w:highlight w:val="none"/>
              </w:rPr>
            </w:pPr>
            <w:r>
              <w:rPr>
                <w:rFonts w:hint="eastAsia"/>
                <w:color w:val="auto"/>
                <w:spacing w:val="10"/>
                <w:position w:val="11"/>
                <w:sz w:val="24"/>
                <w:szCs w:val="24"/>
                <w:highlight w:val="none"/>
                <w:lang w:val="en-US" w:eastAsia="zh-CN"/>
              </w:rPr>
              <w:t>2</w:t>
            </w:r>
            <w:r>
              <w:rPr>
                <w:color w:val="auto"/>
                <w:spacing w:val="10"/>
                <w:position w:val="11"/>
                <w:sz w:val="24"/>
                <w:szCs w:val="24"/>
                <w:highlight w:val="none"/>
              </w:rPr>
              <w:t>.响应函附录（格式后附</w:t>
            </w:r>
            <w:r>
              <w:rPr>
                <w:color w:val="auto"/>
                <w:spacing w:val="1"/>
                <w:position w:val="11"/>
                <w:sz w:val="24"/>
                <w:szCs w:val="24"/>
                <w:highlight w:val="none"/>
              </w:rPr>
              <w:t>）；（</w:t>
            </w:r>
            <w:r>
              <w:rPr>
                <w:color w:val="auto"/>
                <w:spacing w:val="10"/>
                <w:position w:val="11"/>
                <w:sz w:val="24"/>
                <w:szCs w:val="24"/>
                <w:highlight w:val="none"/>
                <w14:textOutline w14:w="3795" w14:cap="sq" w14:cmpd="sng">
                  <w14:solidFill>
                    <w14:srgbClr w14:val="000000"/>
                  </w14:solidFill>
                  <w14:prstDash w14:val="solid"/>
                  <w14:bevel/>
                </w14:textOutline>
              </w:rPr>
              <w:t>必须提供，否则响应文件作无效处理</w:t>
            </w:r>
            <w:r>
              <w:rPr>
                <w:color w:val="auto"/>
                <w:spacing w:val="10"/>
                <w:position w:val="11"/>
                <w:sz w:val="24"/>
                <w:szCs w:val="24"/>
                <w:highlight w:val="none"/>
              </w:rPr>
              <w:t>）</w:t>
            </w:r>
          </w:p>
          <w:p w14:paraId="6D4D9766">
            <w:pPr>
              <w:pStyle w:val="23"/>
              <w:spacing w:line="226" w:lineRule="auto"/>
              <w:ind w:left="110"/>
              <w:rPr>
                <w:color w:val="auto"/>
                <w:sz w:val="24"/>
                <w:szCs w:val="24"/>
                <w:highlight w:val="none"/>
              </w:rPr>
            </w:pPr>
            <w:r>
              <w:rPr>
                <w:rFonts w:hint="eastAsia"/>
                <w:color w:val="auto"/>
                <w:spacing w:val="10"/>
                <w:sz w:val="24"/>
                <w:szCs w:val="24"/>
                <w:highlight w:val="none"/>
                <w:lang w:val="en-US" w:eastAsia="zh-CN"/>
              </w:rPr>
              <w:t>3</w:t>
            </w:r>
            <w:r>
              <w:rPr>
                <w:color w:val="auto"/>
                <w:spacing w:val="10"/>
                <w:sz w:val="24"/>
                <w:szCs w:val="24"/>
                <w:highlight w:val="none"/>
              </w:rPr>
              <w:t>.磋商报价表（格式后附</w:t>
            </w:r>
            <w:r>
              <w:rPr>
                <w:color w:val="auto"/>
                <w:spacing w:val="3"/>
                <w:sz w:val="24"/>
                <w:szCs w:val="24"/>
                <w:highlight w:val="none"/>
              </w:rPr>
              <w:t>）；（</w:t>
            </w:r>
            <w:r>
              <w:rPr>
                <w:color w:val="auto"/>
                <w:spacing w:val="10"/>
                <w:sz w:val="24"/>
                <w:szCs w:val="24"/>
                <w:highlight w:val="none"/>
                <w14:textOutline w14:w="3795" w14:cap="sq" w14:cmpd="sng">
                  <w14:solidFill>
                    <w14:srgbClr w14:val="000000"/>
                  </w14:solidFill>
                  <w14:prstDash w14:val="solid"/>
                  <w14:bevel/>
                </w14:textOutline>
              </w:rPr>
              <w:t>必须提供，否则响应文件作无效处理</w:t>
            </w:r>
            <w:r>
              <w:rPr>
                <w:color w:val="auto"/>
                <w:spacing w:val="10"/>
                <w:sz w:val="24"/>
                <w:szCs w:val="24"/>
                <w:highlight w:val="none"/>
              </w:rPr>
              <w:t>）</w:t>
            </w:r>
          </w:p>
          <w:p w14:paraId="43FF4BBB">
            <w:pPr>
              <w:pStyle w:val="23"/>
              <w:spacing w:before="80" w:line="228" w:lineRule="auto"/>
              <w:ind w:left="110"/>
              <w:rPr>
                <w:color w:val="auto"/>
                <w:sz w:val="24"/>
                <w:szCs w:val="24"/>
                <w:highlight w:val="none"/>
              </w:rPr>
            </w:pPr>
            <w:r>
              <w:rPr>
                <w:rFonts w:hint="eastAsia"/>
                <w:color w:val="auto"/>
                <w:spacing w:val="10"/>
                <w:sz w:val="24"/>
                <w:szCs w:val="24"/>
                <w:highlight w:val="none"/>
                <w:lang w:val="en-US" w:eastAsia="zh-CN"/>
              </w:rPr>
              <w:t>4</w:t>
            </w:r>
            <w:r>
              <w:rPr>
                <w:color w:val="auto"/>
                <w:spacing w:val="10"/>
                <w:sz w:val="24"/>
                <w:szCs w:val="24"/>
                <w:highlight w:val="none"/>
              </w:rPr>
              <w:t>.已标工程量清单(根据磋商文件给出的工程量清单编制) （</w:t>
            </w:r>
            <w:r>
              <w:rPr>
                <w:color w:val="auto"/>
                <w:spacing w:val="10"/>
                <w:sz w:val="24"/>
                <w:szCs w:val="24"/>
                <w:highlight w:val="none"/>
                <w14:textOutline w14:w="3795" w14:cap="sq" w14:cmpd="sng">
                  <w14:solidFill>
                    <w14:srgbClr w14:val="000000"/>
                  </w14:solidFill>
                  <w14:prstDash w14:val="solid"/>
                  <w14:bevel/>
                </w14:textOutline>
              </w:rPr>
              <w:t>必须提供，否则</w:t>
            </w:r>
            <w:r>
              <w:rPr>
                <w:color w:val="auto"/>
                <w:spacing w:val="9"/>
                <w:sz w:val="24"/>
                <w:szCs w:val="24"/>
                <w:highlight w:val="none"/>
                <w14:textOutline w14:w="3795" w14:cap="sq" w14:cmpd="sng">
                  <w14:solidFill>
                    <w14:srgbClr w14:val="000000"/>
                  </w14:solidFill>
                  <w14:prstDash w14:val="solid"/>
                  <w14:bevel/>
                </w14:textOutline>
              </w:rPr>
              <w:t>响应文件作</w:t>
            </w:r>
            <w:r>
              <w:rPr>
                <w:color w:val="auto"/>
                <w:spacing w:val="6"/>
                <w:sz w:val="24"/>
                <w:szCs w:val="24"/>
                <w:highlight w:val="none"/>
                <w14:textOutline w14:w="3795" w14:cap="sq" w14:cmpd="sng">
                  <w14:solidFill>
                    <w14:srgbClr w14:val="000000"/>
                  </w14:solidFill>
                  <w14:prstDash w14:val="solid"/>
                  <w14:bevel/>
                </w14:textOutline>
              </w:rPr>
              <w:t>无效处理</w:t>
            </w:r>
            <w:r>
              <w:rPr>
                <w:color w:val="auto"/>
                <w:spacing w:val="6"/>
                <w:sz w:val="24"/>
                <w:szCs w:val="24"/>
                <w:highlight w:val="none"/>
              </w:rPr>
              <w:t>）</w:t>
            </w:r>
            <w:r>
              <w:rPr>
                <w:color w:val="auto"/>
                <w:spacing w:val="6"/>
                <w:sz w:val="24"/>
                <w:szCs w:val="24"/>
                <w:highlight w:val="none"/>
              </w:rPr>
              <w:br w:type="textWrapping"/>
            </w:r>
            <w:r>
              <w:rPr>
                <w:color w:val="auto"/>
                <w:spacing w:val="6"/>
                <w:sz w:val="24"/>
                <w:szCs w:val="24"/>
                <w:highlight w:val="none"/>
                <w14:textOutline w14:w="3795" w14:cap="sq" w14:cmpd="sng">
                  <w14:solidFill>
                    <w14:srgbClr w14:val="000000"/>
                  </w14:solidFill>
                  <w14:prstDash w14:val="solid"/>
                  <w14:bevel/>
                </w14:textOutline>
              </w:rPr>
              <w:t>特别说明：</w:t>
            </w:r>
          </w:p>
          <w:p w14:paraId="74DF12D6">
            <w:pPr>
              <w:pStyle w:val="23"/>
              <w:spacing w:before="65" w:line="262" w:lineRule="auto"/>
              <w:ind w:right="109"/>
              <w:rPr>
                <w:color w:val="auto"/>
                <w:sz w:val="24"/>
                <w:szCs w:val="24"/>
                <w:highlight w:val="none"/>
              </w:rPr>
            </w:pPr>
            <w:r>
              <w:rPr>
                <w:color w:val="auto"/>
                <w:spacing w:val="9"/>
                <w:sz w:val="24"/>
                <w:szCs w:val="24"/>
                <w:highlight w:val="none"/>
                <w14:textOutline w14:w="3795" w14:cap="sq" w14:cmpd="sng">
                  <w14:solidFill>
                    <w14:srgbClr w14:val="000000"/>
                  </w14:solidFill>
                  <w14:prstDash w14:val="solid"/>
                  <w14:bevel/>
                </w14:textOutline>
              </w:rPr>
              <w:t>1.以上标明“必须提供</w:t>
            </w:r>
            <w:r>
              <w:rPr>
                <w:color w:val="auto"/>
                <w:spacing w:val="-70"/>
                <w:sz w:val="24"/>
                <w:szCs w:val="24"/>
                <w:highlight w:val="none"/>
              </w:rPr>
              <w:t xml:space="preserve"> </w:t>
            </w:r>
            <w:r>
              <w:rPr>
                <w:color w:val="auto"/>
                <w:spacing w:val="9"/>
                <w:sz w:val="24"/>
                <w:szCs w:val="24"/>
                <w:highlight w:val="none"/>
                <w14:textOutline w14:w="3795" w14:cap="sq" w14:cmpd="sng">
                  <w14:solidFill>
                    <w14:srgbClr w14:val="000000"/>
                  </w14:solidFill>
                  <w14:prstDash w14:val="solid"/>
                  <w14:bevel/>
                </w14:textOutline>
              </w:rPr>
              <w:t>”材料复印件的，须加盖供应商</w:t>
            </w:r>
            <w:r>
              <w:rPr>
                <w:color w:val="auto"/>
                <w:spacing w:val="-38"/>
                <w:sz w:val="24"/>
                <w:szCs w:val="24"/>
                <w:highlight w:val="none"/>
              </w:rPr>
              <w:t xml:space="preserve"> </w:t>
            </w:r>
            <w:r>
              <w:rPr>
                <w:color w:val="auto"/>
                <w:sz w:val="24"/>
                <w:szCs w:val="24"/>
                <w:highlight w:val="none"/>
                <w14:textOutline w14:w="3795" w14:cap="sq" w14:cmpd="sng">
                  <w14:solidFill>
                    <w14:srgbClr w14:val="000000"/>
                  </w14:solidFill>
                  <w14:prstDash w14:val="solid"/>
                  <w14:bevel/>
                </w14:textOutline>
              </w:rPr>
              <w:t>CA</w:t>
            </w:r>
            <w:r>
              <w:rPr>
                <w:color w:val="auto"/>
                <w:spacing w:val="-38"/>
                <w:sz w:val="24"/>
                <w:szCs w:val="24"/>
                <w:highlight w:val="none"/>
              </w:rPr>
              <w:t xml:space="preserve"> </w:t>
            </w:r>
            <w:r>
              <w:rPr>
                <w:color w:val="auto"/>
                <w:spacing w:val="9"/>
                <w:sz w:val="24"/>
                <w:szCs w:val="24"/>
                <w:highlight w:val="none"/>
                <w14:textOutline w14:w="3795" w14:cap="sq" w14:cmpd="sng">
                  <w14:solidFill>
                    <w14:srgbClr w14:val="000000"/>
                  </w14:solidFill>
                  <w14:prstDash w14:val="solid"/>
                  <w14:bevel/>
                </w14:textOutline>
              </w:rPr>
              <w:t>签章，否则响应文件作无</w:t>
            </w:r>
            <w:r>
              <w:rPr>
                <w:color w:val="auto"/>
                <w:sz w:val="24"/>
                <w:szCs w:val="24"/>
                <w:highlight w:val="none"/>
              </w:rPr>
              <w:t xml:space="preserve"> </w:t>
            </w:r>
            <w:r>
              <w:rPr>
                <w:color w:val="auto"/>
                <w:spacing w:val="4"/>
                <w:sz w:val="24"/>
                <w:szCs w:val="24"/>
                <w:highlight w:val="none"/>
                <w14:textOutline w14:w="3795" w14:cap="sq" w14:cmpd="sng">
                  <w14:solidFill>
                    <w14:srgbClr w14:val="000000"/>
                  </w14:solidFill>
                  <w14:prstDash w14:val="solid"/>
                  <w14:bevel/>
                </w14:textOutline>
              </w:rPr>
              <w:t>效处理。</w:t>
            </w:r>
          </w:p>
          <w:p w14:paraId="096E35A2">
            <w:pPr>
              <w:pStyle w:val="23"/>
              <w:spacing w:before="114" w:line="224" w:lineRule="auto"/>
              <w:ind w:left="111"/>
              <w:rPr>
                <w:color w:val="auto"/>
                <w:spacing w:val="9"/>
                <w:sz w:val="24"/>
                <w:szCs w:val="24"/>
                <w:highlight w:val="none"/>
                <w14:textOutline w14:w="3795" w14:cap="sq" w14:cmpd="sng">
                  <w14:solidFill>
                    <w14:srgbClr w14:val="000000"/>
                  </w14:solidFill>
                  <w14:prstDash w14:val="solid"/>
                  <w14:bevel/>
                </w14:textOutline>
              </w:rPr>
            </w:pPr>
            <w:r>
              <w:rPr>
                <w:color w:val="auto"/>
                <w:spacing w:val="9"/>
                <w:sz w:val="24"/>
                <w:szCs w:val="24"/>
                <w:highlight w:val="none"/>
                <w14:textOutline w14:w="3795" w14:cap="sq" w14:cmpd="sng">
                  <w14:solidFill>
                    <w14:srgbClr w14:val="000000"/>
                  </w14:solidFill>
                  <w14:prstDash w14:val="solid"/>
                  <w14:bevel/>
                </w14:textOutline>
              </w:rPr>
              <w:t>2.以上材料未附格式的，由供应商自行拟定。</w:t>
            </w:r>
          </w:p>
        </w:tc>
      </w:tr>
    </w:tbl>
    <w:p w14:paraId="22E066D9">
      <w:pPr>
        <w:spacing w:line="91" w:lineRule="auto"/>
        <w:rPr>
          <w:rFonts w:ascii="Arial"/>
          <w:color w:val="auto"/>
          <w:sz w:val="2"/>
          <w:highlight w:val="none"/>
        </w:rPr>
      </w:pPr>
    </w:p>
    <w:tbl>
      <w:tblPr>
        <w:tblStyle w:val="22"/>
        <w:tblpPr w:leftFromText="180" w:rightFromText="180" w:vertAnchor="text" w:horzAnchor="page" w:tblpX="1150" w:tblpY="54"/>
        <w:tblOverlap w:val="never"/>
        <w:tblW w:w="97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947"/>
      </w:tblGrid>
      <w:tr w14:paraId="030C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45" w:type="dxa"/>
            <w:vAlign w:val="top"/>
          </w:tcPr>
          <w:p w14:paraId="4F58BA2E">
            <w:pPr>
              <w:spacing w:line="303" w:lineRule="auto"/>
              <w:rPr>
                <w:rFonts w:hint="eastAsia" w:ascii="宋体" w:hAnsi="宋体" w:eastAsia="宋体" w:cs="宋体"/>
                <w:color w:val="auto"/>
                <w:sz w:val="24"/>
                <w:szCs w:val="24"/>
                <w:highlight w:val="none"/>
              </w:rPr>
            </w:pPr>
          </w:p>
          <w:p w14:paraId="63857B40">
            <w:pPr>
              <w:spacing w:line="303" w:lineRule="auto"/>
              <w:rPr>
                <w:rFonts w:hint="eastAsia" w:ascii="宋体" w:hAnsi="宋体" w:eastAsia="宋体" w:cs="宋体"/>
                <w:color w:val="auto"/>
                <w:sz w:val="24"/>
                <w:szCs w:val="24"/>
                <w:highlight w:val="none"/>
              </w:rPr>
            </w:pPr>
          </w:p>
          <w:p w14:paraId="33936B91">
            <w:pPr>
              <w:spacing w:line="304" w:lineRule="auto"/>
              <w:rPr>
                <w:rFonts w:hint="eastAsia" w:ascii="宋体" w:hAnsi="宋体" w:eastAsia="宋体" w:cs="宋体"/>
                <w:color w:val="auto"/>
                <w:sz w:val="24"/>
                <w:szCs w:val="24"/>
                <w:highlight w:val="none"/>
              </w:rPr>
            </w:pPr>
          </w:p>
          <w:p w14:paraId="0FF7D273">
            <w:pPr>
              <w:pStyle w:val="23"/>
              <w:spacing w:before="65" w:line="361" w:lineRule="exact"/>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12.1.4</w:t>
            </w:r>
          </w:p>
          <w:p w14:paraId="6D76E3BD">
            <w:pPr>
              <w:pStyle w:val="23"/>
              <w:spacing w:line="188" w:lineRule="auto"/>
              <w:ind w:left="379"/>
              <w:rPr>
                <w:rFonts w:hint="eastAsia" w:ascii="宋体" w:hAnsi="宋体" w:eastAsia="宋体" w:cs="宋体"/>
                <w:color w:val="auto"/>
                <w:sz w:val="24"/>
                <w:szCs w:val="24"/>
                <w:highlight w:val="none"/>
                <w:lang w:eastAsia="zh-CN"/>
              </w:rPr>
            </w:pPr>
          </w:p>
        </w:tc>
        <w:tc>
          <w:tcPr>
            <w:tcW w:w="8947" w:type="dxa"/>
            <w:vAlign w:val="top"/>
          </w:tcPr>
          <w:p w14:paraId="6C9E6AE5">
            <w:pPr>
              <w:pStyle w:val="23"/>
              <w:spacing w:before="108" w:line="228" w:lineRule="auto"/>
              <w:ind w:left="110"/>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rPr>
              <w:t>第</w:t>
            </w:r>
            <w:r>
              <w:rPr>
                <w:rFonts w:hint="eastAsia" w:cs="宋体"/>
                <w:b/>
                <w:bCs/>
                <w:color w:val="auto"/>
                <w:spacing w:val="8"/>
                <w:sz w:val="24"/>
                <w:szCs w:val="24"/>
                <w:highlight w:val="none"/>
                <w:lang w:eastAsia="zh-CN"/>
              </w:rPr>
              <w:t>四</w:t>
            </w:r>
            <w:r>
              <w:rPr>
                <w:rFonts w:hint="eastAsia" w:ascii="宋体" w:hAnsi="宋体" w:eastAsia="宋体" w:cs="宋体"/>
                <w:b/>
                <w:bCs/>
                <w:color w:val="auto"/>
                <w:spacing w:val="8"/>
                <w:sz w:val="24"/>
                <w:szCs w:val="24"/>
                <w:highlight w:val="none"/>
              </w:rPr>
              <w:t>部分 技术文件</w:t>
            </w:r>
          </w:p>
          <w:p w14:paraId="134F4DCD">
            <w:pPr>
              <w:pStyle w:val="23"/>
              <w:spacing w:before="113" w:line="227" w:lineRule="auto"/>
              <w:ind w:left="12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1.施工组织设计</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color w:val="auto"/>
                <w:spacing w:val="9"/>
                <w:sz w:val="24"/>
                <w:szCs w:val="24"/>
                <w:highlight w:val="none"/>
              </w:rPr>
              <w:t>）</w:t>
            </w:r>
          </w:p>
          <w:p w14:paraId="6B18BC2F">
            <w:pPr>
              <w:pStyle w:val="23"/>
              <w:spacing w:before="114" w:line="227"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2.建设工程项目管理承诺书</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10"/>
                <w:sz w:val="24"/>
                <w:szCs w:val="24"/>
                <w:highlight w:val="none"/>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color w:val="auto"/>
                <w:spacing w:val="10"/>
                <w:sz w:val="24"/>
                <w:szCs w:val="24"/>
                <w:highlight w:val="none"/>
              </w:rPr>
              <w:t>）</w:t>
            </w:r>
          </w:p>
          <w:p w14:paraId="23B54862">
            <w:pPr>
              <w:pStyle w:val="23"/>
              <w:spacing w:before="82" w:line="228"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特别说明：</w:t>
            </w:r>
          </w:p>
          <w:p w14:paraId="60EAA526">
            <w:pPr>
              <w:pStyle w:val="23"/>
              <w:spacing w:before="73" w:line="267" w:lineRule="auto"/>
              <w:ind w:left="473" w:right="109" w:hanging="3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以上标明“必须提供</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”材料复印件的，须加盖供应商</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z w:val="24"/>
                <w:szCs w:val="24"/>
                <w:highlight w:val="none"/>
                <w14:textOutline w14:w="3795" w14:cap="sq" w14:cmpd="sng">
                  <w14:solidFill>
                    <w14:srgbClr w14:val="000000"/>
                  </w14:solidFill>
                  <w14:prstDash w14:val="solid"/>
                  <w14:bevel/>
                </w14:textOutline>
              </w:rPr>
              <w:t>CA</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签章，否则响应文件作无效处</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理。</w:t>
            </w:r>
          </w:p>
          <w:p w14:paraId="3DB1A6B0">
            <w:pPr>
              <w:pStyle w:val="23"/>
              <w:spacing w:before="93" w:line="226"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7"/>
                <w:sz w:val="24"/>
                <w:szCs w:val="24"/>
                <w:highlight w:val="none"/>
                <w14:textOutline w14:w="3795" w14:cap="sq" w14:cmpd="sng">
                  <w14:solidFill>
                    <w14:srgbClr w14:val="000000"/>
                  </w14:solidFill>
                  <w14:prstDash w14:val="solid"/>
                  <w14:bevel/>
                </w14:textOutline>
              </w:rPr>
              <w:t>以上材料未附格式的，由供应商自行拟定。</w:t>
            </w:r>
          </w:p>
        </w:tc>
      </w:tr>
      <w:tr w14:paraId="4272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845" w:type="dxa"/>
            <w:vAlign w:val="top"/>
          </w:tcPr>
          <w:p w14:paraId="00579541">
            <w:pPr>
              <w:spacing w:line="247" w:lineRule="auto"/>
              <w:rPr>
                <w:rFonts w:hint="eastAsia" w:ascii="宋体" w:hAnsi="宋体" w:eastAsia="宋体" w:cs="宋体"/>
                <w:color w:val="auto"/>
                <w:sz w:val="24"/>
                <w:szCs w:val="24"/>
                <w:highlight w:val="none"/>
              </w:rPr>
            </w:pPr>
          </w:p>
          <w:p w14:paraId="698FB670">
            <w:pPr>
              <w:spacing w:line="247" w:lineRule="auto"/>
              <w:rPr>
                <w:rFonts w:hint="eastAsia" w:ascii="宋体" w:hAnsi="宋体" w:eastAsia="宋体" w:cs="宋体"/>
                <w:color w:val="auto"/>
                <w:sz w:val="24"/>
                <w:szCs w:val="24"/>
                <w:highlight w:val="none"/>
              </w:rPr>
            </w:pPr>
          </w:p>
          <w:p w14:paraId="16E290FD">
            <w:pPr>
              <w:spacing w:line="247" w:lineRule="auto"/>
              <w:rPr>
                <w:rFonts w:hint="eastAsia" w:ascii="宋体" w:hAnsi="宋体" w:eastAsia="宋体" w:cs="宋体"/>
                <w:color w:val="auto"/>
                <w:sz w:val="24"/>
                <w:szCs w:val="24"/>
                <w:highlight w:val="none"/>
              </w:rPr>
            </w:pPr>
          </w:p>
          <w:p w14:paraId="1B0869CD">
            <w:pPr>
              <w:spacing w:line="248" w:lineRule="auto"/>
              <w:rPr>
                <w:rFonts w:hint="eastAsia" w:ascii="宋体" w:hAnsi="宋体" w:eastAsia="宋体" w:cs="宋体"/>
                <w:color w:val="auto"/>
                <w:sz w:val="24"/>
                <w:szCs w:val="24"/>
                <w:highlight w:val="none"/>
              </w:rPr>
            </w:pPr>
          </w:p>
          <w:p w14:paraId="38EB8A01">
            <w:pPr>
              <w:spacing w:line="248" w:lineRule="auto"/>
              <w:rPr>
                <w:rFonts w:hint="eastAsia" w:ascii="宋体" w:hAnsi="宋体" w:eastAsia="宋体" w:cs="宋体"/>
                <w:color w:val="auto"/>
                <w:sz w:val="24"/>
                <w:szCs w:val="24"/>
                <w:highlight w:val="none"/>
              </w:rPr>
            </w:pPr>
          </w:p>
          <w:p w14:paraId="1C4F94E9">
            <w:pPr>
              <w:spacing w:line="248" w:lineRule="auto"/>
              <w:rPr>
                <w:rFonts w:hint="eastAsia" w:ascii="宋体" w:hAnsi="宋体" w:eastAsia="宋体" w:cs="宋体"/>
                <w:color w:val="auto"/>
                <w:sz w:val="24"/>
                <w:szCs w:val="24"/>
                <w:highlight w:val="none"/>
              </w:rPr>
            </w:pPr>
          </w:p>
          <w:p w14:paraId="461B44EF">
            <w:pPr>
              <w:spacing w:line="248" w:lineRule="auto"/>
              <w:rPr>
                <w:rFonts w:hint="eastAsia" w:ascii="宋体" w:hAnsi="宋体" w:eastAsia="宋体" w:cs="宋体"/>
                <w:color w:val="auto"/>
                <w:sz w:val="24"/>
                <w:szCs w:val="24"/>
                <w:highlight w:val="none"/>
              </w:rPr>
            </w:pPr>
          </w:p>
          <w:p w14:paraId="552C4C6C">
            <w:pPr>
              <w:spacing w:line="248" w:lineRule="auto"/>
              <w:rPr>
                <w:rFonts w:hint="eastAsia" w:ascii="宋体" w:hAnsi="宋体" w:eastAsia="宋体" w:cs="宋体"/>
                <w:color w:val="auto"/>
                <w:sz w:val="24"/>
                <w:szCs w:val="24"/>
                <w:highlight w:val="none"/>
              </w:rPr>
            </w:pPr>
          </w:p>
          <w:p w14:paraId="63F23528">
            <w:pPr>
              <w:pStyle w:val="23"/>
              <w:spacing w:before="65"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12.2</w:t>
            </w:r>
          </w:p>
        </w:tc>
        <w:tc>
          <w:tcPr>
            <w:tcW w:w="8947" w:type="dxa"/>
            <w:vAlign w:val="top"/>
          </w:tcPr>
          <w:p w14:paraId="4B0E0EA7">
            <w:pPr>
              <w:pStyle w:val="23"/>
              <w:spacing w:before="219" w:line="227"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供应商应准备电子响应文件、以介质存储的数据电文形式的电子备份响应文件两类：</w:t>
            </w:r>
          </w:p>
          <w:p w14:paraId="732E8B51">
            <w:pPr>
              <w:pStyle w:val="23"/>
              <w:spacing w:before="231" w:line="399" w:lineRule="exact"/>
              <w:ind w:left="191"/>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1.电子响应文件，电子响应文件按广西政府采购云平台要求及本竞争性磋商文</w:t>
            </w:r>
            <w:r>
              <w:rPr>
                <w:rFonts w:hint="eastAsia" w:ascii="宋体" w:hAnsi="宋体" w:eastAsia="宋体" w:cs="宋体"/>
                <w:color w:val="auto"/>
                <w:spacing w:val="7"/>
                <w:sz w:val="24"/>
                <w:szCs w:val="24"/>
                <w:highlight w:val="none"/>
              </w:rPr>
              <w:t>件要求制作、加密并递交。</w:t>
            </w:r>
          </w:p>
          <w:p w14:paraId="362FB6CD">
            <w:pPr>
              <w:pStyle w:val="23"/>
              <w:spacing w:before="154" w:line="401" w:lineRule="exact"/>
              <w:ind w:left="178"/>
              <w:rPr>
                <w:rFonts w:hint="eastAsia" w:ascii="宋体" w:hAnsi="宋体" w:eastAsia="宋体" w:cs="宋体"/>
                <w:color w:val="auto"/>
                <w:sz w:val="24"/>
                <w:szCs w:val="24"/>
                <w:highlight w:val="none"/>
              </w:rPr>
            </w:pPr>
            <w:r>
              <w:rPr>
                <w:rFonts w:hint="eastAsia" w:ascii="宋体" w:hAnsi="宋体" w:eastAsia="宋体" w:cs="宋体"/>
                <w:color w:val="auto"/>
                <w:spacing w:val="7"/>
                <w:position w:val="14"/>
                <w:sz w:val="24"/>
                <w:szCs w:val="24"/>
                <w:highlight w:val="none"/>
              </w:rPr>
              <w:t>2.以介质存储的数据电文形式的电子备份响应文件，</w:t>
            </w:r>
            <w:r>
              <w:rPr>
                <w:rFonts w:hint="eastAsia" w:ascii="宋体" w:hAnsi="宋体" w:eastAsia="宋体" w:cs="宋体"/>
                <w:color w:val="auto"/>
                <w:spacing w:val="11"/>
                <w:position w:val="14"/>
                <w:sz w:val="24"/>
                <w:szCs w:val="24"/>
                <w:highlight w:val="none"/>
              </w:rPr>
              <w:t>按广西政府采购云平台项目</w:t>
            </w:r>
            <w:r>
              <w:rPr>
                <w:rFonts w:hint="eastAsia" w:ascii="宋体" w:hAnsi="宋体" w:eastAsia="宋体" w:cs="宋体"/>
                <w:color w:val="auto"/>
                <w:spacing w:val="8"/>
                <w:sz w:val="24"/>
                <w:szCs w:val="24"/>
                <w:highlight w:val="none"/>
              </w:rPr>
              <w:t>采购-电子招投标操作指南中上传的电子响应文件格式。</w:t>
            </w:r>
          </w:p>
          <w:p w14:paraId="33E9F1FC">
            <w:pPr>
              <w:pStyle w:val="23"/>
              <w:spacing w:before="232" w:line="369" w:lineRule="auto"/>
              <w:ind w:left="174" w:right="93" w:firstLine="5"/>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3.响应文件启用顺序和效力：响应文件的启用，按先后顺位分别为电子响应</w:t>
            </w:r>
            <w:r>
              <w:rPr>
                <w:rFonts w:hint="eastAsia" w:ascii="宋体" w:hAnsi="宋体" w:eastAsia="宋体" w:cs="宋体"/>
                <w:color w:val="auto"/>
                <w:spacing w:val="9"/>
                <w:sz w:val="24"/>
                <w:szCs w:val="24"/>
                <w:highlight w:val="none"/>
              </w:rPr>
              <w:t>文件、以介质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存储的数据电文形式的电子备份响应文件。顺位在先的响应文件已按时解密的，下一顺位</w:t>
            </w:r>
            <w:r>
              <w:rPr>
                <w:rFonts w:hint="eastAsia" w:ascii="宋体" w:hAnsi="宋体" w:eastAsia="宋体" w:cs="宋体"/>
                <w:color w:val="auto"/>
                <w:spacing w:val="9"/>
                <w:sz w:val="24"/>
                <w:szCs w:val="24"/>
                <w:highlight w:val="none"/>
              </w:rPr>
              <w:t>响应文件自动失效。在下一顺位的响应文件启用时，前一顺位的响应文件自动失效。</w:t>
            </w:r>
          </w:p>
          <w:p w14:paraId="6DEAA8DE">
            <w:pPr>
              <w:pStyle w:val="23"/>
              <w:spacing w:before="154" w:line="227"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▲未传输递交电子响应文件的，竞标无效。</w:t>
            </w:r>
          </w:p>
          <w:p w14:paraId="2B2747B2">
            <w:pPr>
              <w:pStyle w:val="23"/>
              <w:spacing w:before="122" w:line="224"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▲未按规定提供相应的备份响应文件，造成项目开评标活动无法进行下去的，</w:t>
            </w:r>
            <w:r>
              <w:rPr>
                <w:rFonts w:hint="eastAsia" w:cs="宋体"/>
                <w:color w:val="auto"/>
                <w:spacing w:val="9"/>
                <w:sz w:val="24"/>
                <w:szCs w:val="24"/>
                <w:highlight w:val="none"/>
                <w:lang w:val="en-US" w:eastAsia="zh-CN"/>
              </w:rPr>
              <w:t xml:space="preserve"> </w:t>
            </w:r>
            <w:r>
              <w:rPr>
                <w:rFonts w:hint="eastAsia" w:ascii="宋体" w:hAnsi="宋体" w:eastAsia="宋体" w:cs="宋体"/>
                <w:color w:val="auto"/>
                <w:spacing w:val="9"/>
                <w:sz w:val="24"/>
                <w:szCs w:val="24"/>
                <w:highlight w:val="none"/>
              </w:rPr>
              <w:t>竞标无效。</w:t>
            </w:r>
          </w:p>
        </w:tc>
      </w:tr>
      <w:tr w14:paraId="173E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EA0770E">
            <w:pPr>
              <w:pStyle w:val="23"/>
              <w:spacing w:before="143"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15.1</w:t>
            </w:r>
          </w:p>
        </w:tc>
        <w:tc>
          <w:tcPr>
            <w:tcW w:w="8947" w:type="dxa"/>
            <w:vAlign w:val="top"/>
          </w:tcPr>
          <w:p w14:paraId="03A5C7D2">
            <w:pPr>
              <w:pStyle w:val="23"/>
              <w:spacing w:before="112" w:line="224"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本工程磋商报价采用工程量清单报价。</w:t>
            </w:r>
          </w:p>
        </w:tc>
      </w:tr>
      <w:tr w14:paraId="7F18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21D1FE88">
            <w:pPr>
              <w:pStyle w:val="23"/>
              <w:spacing w:before="143"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15.2</w:t>
            </w:r>
          </w:p>
        </w:tc>
        <w:tc>
          <w:tcPr>
            <w:tcW w:w="8947" w:type="dxa"/>
            <w:vAlign w:val="top"/>
          </w:tcPr>
          <w:p w14:paraId="3674E8B2">
            <w:pPr>
              <w:pStyle w:val="23"/>
              <w:spacing w:before="111" w:line="22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详见工程量清单。供应商应按工程量清单填报价</w:t>
            </w:r>
            <w:r>
              <w:rPr>
                <w:rFonts w:hint="eastAsia" w:ascii="宋体" w:hAnsi="宋体" w:eastAsia="宋体" w:cs="宋体"/>
                <w:color w:val="auto"/>
                <w:spacing w:val="8"/>
                <w:sz w:val="24"/>
                <w:szCs w:val="24"/>
                <w:highlight w:val="none"/>
              </w:rPr>
              <w:t>格。</w:t>
            </w:r>
          </w:p>
        </w:tc>
      </w:tr>
      <w:tr w14:paraId="3C66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5" w:type="dxa"/>
            <w:vAlign w:val="top"/>
          </w:tcPr>
          <w:p w14:paraId="0A8AC125">
            <w:pPr>
              <w:pStyle w:val="23"/>
              <w:spacing w:before="169"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16.2</w:t>
            </w:r>
          </w:p>
        </w:tc>
        <w:tc>
          <w:tcPr>
            <w:tcW w:w="8947" w:type="dxa"/>
            <w:vAlign w:val="top"/>
          </w:tcPr>
          <w:p w14:paraId="1B73E572">
            <w:pPr>
              <w:pStyle w:val="23"/>
              <w:spacing w:before="113" w:line="228"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磋商有效期：</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自首次响应文件提交截止之日起</w:t>
            </w:r>
            <w:r>
              <w:rPr>
                <w:rFonts w:hint="eastAsia" w:ascii="宋体" w:hAnsi="宋体" w:eastAsia="宋体" w:cs="宋体"/>
                <w:color w:val="auto"/>
                <w:spacing w:val="-36"/>
                <w:sz w:val="24"/>
                <w:szCs w:val="24"/>
                <w:highlight w:val="none"/>
              </w:rPr>
              <w:t xml:space="preserve"> </w:t>
            </w:r>
            <w:r>
              <w:rPr>
                <w:rFonts w:hint="eastAsia" w:cs="宋体"/>
                <w:color w:val="auto"/>
                <w:spacing w:val="5"/>
                <w:sz w:val="24"/>
                <w:szCs w:val="24"/>
                <w:highlight w:val="none"/>
                <w:u w:val="single" w:color="auto"/>
                <w:lang w:eastAsia="zh-CN"/>
              </w:rPr>
              <w:t>60</w:t>
            </w:r>
            <w:r>
              <w:rPr>
                <w:rFonts w:hint="eastAsia" w:ascii="宋体" w:hAnsi="宋体" w:eastAsia="宋体" w:cs="宋体"/>
                <w:color w:val="auto"/>
                <w:spacing w:val="5"/>
                <w:sz w:val="24"/>
                <w:szCs w:val="24"/>
                <w:highlight w:val="none"/>
                <w:u w:val="single" w:color="auto"/>
              </w:rPr>
              <w:t xml:space="preserve"> 日</w:t>
            </w:r>
          </w:p>
        </w:tc>
      </w:tr>
      <w:tr w14:paraId="4BBFE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D7B8738">
            <w:pPr>
              <w:pStyle w:val="23"/>
              <w:spacing w:before="145"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17.1</w:t>
            </w:r>
          </w:p>
        </w:tc>
        <w:tc>
          <w:tcPr>
            <w:tcW w:w="8947" w:type="dxa"/>
            <w:vAlign w:val="top"/>
          </w:tcPr>
          <w:p w14:paraId="23A3ABBD">
            <w:pPr>
              <w:pStyle w:val="23"/>
              <w:spacing w:before="113" w:line="223"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磋商保证金：</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☑不需要提交</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□需要提交</w:t>
            </w:r>
          </w:p>
        </w:tc>
      </w:tr>
      <w:tr w14:paraId="7F58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B086185">
            <w:pPr>
              <w:pStyle w:val="23"/>
              <w:spacing w:before="144" w:line="190"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18.2</w:t>
            </w:r>
          </w:p>
        </w:tc>
        <w:tc>
          <w:tcPr>
            <w:tcW w:w="8947" w:type="dxa"/>
            <w:vAlign w:val="top"/>
          </w:tcPr>
          <w:p w14:paraId="0D79C3B9">
            <w:pPr>
              <w:pStyle w:val="23"/>
              <w:spacing w:before="113" w:line="223"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响应文件份数：</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5"/>
                <w:sz w:val="24"/>
                <w:szCs w:val="24"/>
                <w:highlight w:val="none"/>
              </w:rPr>
              <w:t>电子响应文件</w:t>
            </w:r>
          </w:p>
        </w:tc>
      </w:tr>
      <w:tr w14:paraId="738A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845" w:type="dxa"/>
            <w:vAlign w:val="top"/>
          </w:tcPr>
          <w:p w14:paraId="5C75481D">
            <w:pPr>
              <w:spacing w:line="274" w:lineRule="auto"/>
              <w:rPr>
                <w:rFonts w:hint="eastAsia" w:ascii="宋体" w:hAnsi="宋体" w:eastAsia="宋体" w:cs="宋体"/>
                <w:color w:val="auto"/>
                <w:sz w:val="24"/>
                <w:szCs w:val="24"/>
                <w:highlight w:val="none"/>
              </w:rPr>
            </w:pPr>
          </w:p>
          <w:p w14:paraId="0DAAA1A1">
            <w:pPr>
              <w:spacing w:line="274" w:lineRule="auto"/>
              <w:rPr>
                <w:rFonts w:hint="eastAsia" w:ascii="宋体" w:hAnsi="宋体" w:eastAsia="宋体" w:cs="宋体"/>
                <w:color w:val="auto"/>
                <w:sz w:val="24"/>
                <w:szCs w:val="24"/>
                <w:highlight w:val="none"/>
              </w:rPr>
            </w:pPr>
          </w:p>
          <w:p w14:paraId="2FB51987">
            <w:pPr>
              <w:spacing w:line="275" w:lineRule="auto"/>
              <w:rPr>
                <w:rFonts w:hint="eastAsia" w:ascii="宋体" w:hAnsi="宋体" w:eastAsia="宋体" w:cs="宋体"/>
                <w:color w:val="auto"/>
                <w:sz w:val="24"/>
                <w:szCs w:val="24"/>
                <w:highlight w:val="none"/>
              </w:rPr>
            </w:pPr>
          </w:p>
          <w:p w14:paraId="2D8F2774">
            <w:pPr>
              <w:spacing w:line="275" w:lineRule="auto"/>
              <w:rPr>
                <w:rFonts w:hint="eastAsia" w:ascii="宋体" w:hAnsi="宋体" w:eastAsia="宋体" w:cs="宋体"/>
                <w:color w:val="auto"/>
                <w:sz w:val="24"/>
                <w:szCs w:val="24"/>
                <w:highlight w:val="none"/>
              </w:rPr>
            </w:pPr>
          </w:p>
          <w:p w14:paraId="41117C4A">
            <w:pPr>
              <w:spacing w:line="275" w:lineRule="auto"/>
              <w:rPr>
                <w:rFonts w:hint="eastAsia" w:ascii="宋体" w:hAnsi="宋体" w:eastAsia="宋体" w:cs="宋体"/>
                <w:color w:val="auto"/>
                <w:sz w:val="24"/>
                <w:szCs w:val="24"/>
                <w:highlight w:val="none"/>
              </w:rPr>
            </w:pPr>
          </w:p>
          <w:p w14:paraId="6F1C33BC">
            <w:pPr>
              <w:spacing w:line="275" w:lineRule="auto"/>
              <w:rPr>
                <w:rFonts w:hint="eastAsia" w:ascii="宋体" w:hAnsi="宋体" w:eastAsia="宋体" w:cs="宋体"/>
                <w:color w:val="auto"/>
                <w:sz w:val="24"/>
                <w:szCs w:val="24"/>
                <w:highlight w:val="none"/>
              </w:rPr>
            </w:pPr>
          </w:p>
          <w:p w14:paraId="5DA7BFFF">
            <w:pPr>
              <w:pStyle w:val="23"/>
              <w:spacing w:before="65" w:line="190"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20.1</w:t>
            </w:r>
          </w:p>
        </w:tc>
        <w:tc>
          <w:tcPr>
            <w:tcW w:w="8947" w:type="dxa"/>
            <w:vAlign w:val="top"/>
          </w:tcPr>
          <w:p w14:paraId="2B446315">
            <w:pPr>
              <w:pStyle w:val="23"/>
              <w:spacing w:before="81" w:line="319" w:lineRule="exact"/>
              <w:ind w:left="147"/>
              <w:rPr>
                <w:rFonts w:hint="eastAsia" w:ascii="宋体" w:hAnsi="宋体" w:eastAsia="宋体" w:cs="宋体"/>
                <w:color w:val="auto"/>
                <w:sz w:val="24"/>
                <w:szCs w:val="24"/>
                <w:highlight w:val="none"/>
              </w:rPr>
            </w:pPr>
            <w:r>
              <w:rPr>
                <w:rFonts w:hint="eastAsia" w:ascii="宋体" w:hAnsi="宋体" w:eastAsia="宋体" w:cs="宋体"/>
                <w:color w:val="auto"/>
                <w:spacing w:val="7"/>
                <w:position w:val="8"/>
                <w:sz w:val="24"/>
                <w:szCs w:val="24"/>
                <w:highlight w:val="none"/>
              </w:rPr>
              <w:t>(1)首次响应文件提交起止时间：详见竞争性磋商公告。</w:t>
            </w:r>
          </w:p>
          <w:p w14:paraId="52B4BA81">
            <w:pPr>
              <w:pStyle w:val="23"/>
              <w:spacing w:line="226"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首次响应文件提交截止时间：详见竞争性磋商公</w:t>
            </w:r>
            <w:r>
              <w:rPr>
                <w:rFonts w:hint="eastAsia" w:ascii="宋体" w:hAnsi="宋体" w:eastAsia="宋体" w:cs="宋体"/>
                <w:color w:val="auto"/>
                <w:spacing w:val="8"/>
                <w:sz w:val="24"/>
                <w:szCs w:val="24"/>
                <w:highlight w:val="none"/>
              </w:rPr>
              <w:t>告。</w:t>
            </w:r>
          </w:p>
          <w:p w14:paraId="240F9130">
            <w:pPr>
              <w:pStyle w:val="23"/>
              <w:spacing w:before="74" w:line="226"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首次响应文件提交地点：详见竞争性磋商公告。</w:t>
            </w:r>
          </w:p>
          <w:p w14:paraId="5E3FF4BE">
            <w:pPr>
              <w:pStyle w:val="23"/>
              <w:spacing w:before="76" w:line="272" w:lineRule="auto"/>
              <w:ind w:right="107" w:firstLine="264" w:firstLineChars="100"/>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供应商必须在首次响应文件提交截止时间前，必须在首</w:t>
            </w:r>
            <w:r>
              <w:rPr>
                <w:rFonts w:hint="eastAsia" w:ascii="宋体" w:hAnsi="宋体" w:eastAsia="宋体" w:cs="宋体"/>
                <w:color w:val="auto"/>
                <w:spacing w:val="11"/>
                <w:sz w:val="24"/>
                <w:szCs w:val="24"/>
                <w:highlight w:val="none"/>
              </w:rPr>
              <w:t>次响应文件提交截止时间前，在广西政府采购云平台（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gcy</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zfcg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gxzf</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）上传加密的响应文件。在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首次响应文件提交截止时间后上传的响应文件为无效文件，</w:t>
            </w:r>
            <w:r>
              <w:rPr>
                <w:rFonts w:hint="eastAsia" w:ascii="宋体" w:hAnsi="宋体" w:eastAsia="宋体" w:cs="宋体"/>
                <w:color w:val="auto"/>
                <w:spacing w:val="12"/>
                <w:sz w:val="24"/>
                <w:szCs w:val="24"/>
                <w:highlight w:val="none"/>
              </w:rPr>
              <w:t>采购代理机构应当拒收。</w:t>
            </w:r>
          </w:p>
          <w:p w14:paraId="48965EE0">
            <w:pPr>
              <w:pStyle w:val="23"/>
              <w:spacing w:before="75" w:line="228"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（2）电子响应文件提交要求：</w:t>
            </w:r>
          </w:p>
          <w:p w14:paraId="0983F42F">
            <w:pPr>
              <w:pStyle w:val="23"/>
              <w:spacing w:before="72" w:line="273" w:lineRule="auto"/>
              <w:ind w:left="115" w:right="179" w:hanging="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①提交方式：供应商在响应文件提交截止时间前登陆广西政府采购</w:t>
            </w:r>
            <w:r>
              <w:rPr>
                <w:rFonts w:hint="eastAsia" w:ascii="宋体" w:hAnsi="宋体" w:eastAsia="宋体" w:cs="宋体"/>
                <w:color w:val="auto"/>
                <w:spacing w:val="9"/>
                <w:sz w:val="24"/>
                <w:szCs w:val="24"/>
                <w:highlight w:val="none"/>
              </w:rPr>
              <w:t>云平台，在已参与项目</w:t>
            </w:r>
            <w:r>
              <w:rPr>
                <w:rFonts w:hint="eastAsia" w:ascii="宋体" w:hAnsi="宋体" w:eastAsia="宋体" w:cs="宋体"/>
                <w:color w:val="auto"/>
                <w:spacing w:val="10"/>
                <w:sz w:val="24"/>
                <w:szCs w:val="24"/>
                <w:highlight w:val="none"/>
              </w:rPr>
              <w:t>中选择本项目，上传电子响应文件并加密。文件上传</w:t>
            </w:r>
            <w:r>
              <w:rPr>
                <w:rFonts w:hint="eastAsia" w:ascii="宋体" w:hAnsi="宋体" w:eastAsia="宋体" w:cs="宋体"/>
                <w:color w:val="auto"/>
                <w:spacing w:val="9"/>
                <w:sz w:val="24"/>
                <w:szCs w:val="24"/>
                <w:highlight w:val="none"/>
              </w:rPr>
              <w:t>后供应商必须进行模拟解密，如提示失败应重新上传，直至模拟解密提示成功即为已正式提交电子响应文件。</w:t>
            </w:r>
          </w:p>
          <w:p w14:paraId="458A5AA8">
            <w:pPr>
              <w:pStyle w:val="23"/>
              <w:spacing w:before="74" w:line="217" w:lineRule="auto"/>
              <w:ind w:left="109"/>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②</w:t>
            </w:r>
            <w:r>
              <w:rPr>
                <w:rFonts w:hint="eastAsia" w:ascii="宋体" w:hAnsi="宋体" w:eastAsia="宋体" w:cs="宋体"/>
                <w:color w:val="auto"/>
                <w:sz w:val="24"/>
                <w:szCs w:val="24"/>
                <w:highlight w:val="none"/>
              </w:rPr>
              <w:t>CA</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数字证书使用：供应商不到开标现场的，远程使用生成电子响应文件的</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z w:val="24"/>
                <w:szCs w:val="24"/>
                <w:highlight w:val="none"/>
              </w:rPr>
              <w:t>CA</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数字证书对电子响应文件进行解密。</w:t>
            </w:r>
          </w:p>
          <w:p w14:paraId="18D106A0">
            <w:pPr>
              <w:pStyle w:val="23"/>
              <w:spacing w:before="74" w:line="217" w:lineRule="auto"/>
              <w:ind w:firstLine="254"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供应商到现场的，现场使用生成电子响应文件时所使用的 CA 数字证书对电子响应文件 进行解密。</w:t>
            </w:r>
          </w:p>
        </w:tc>
      </w:tr>
    </w:tbl>
    <w:p w14:paraId="539EF7B6">
      <w:pPr>
        <w:pStyle w:val="8"/>
        <w:rPr>
          <w:color w:val="auto"/>
          <w:highlight w:val="none"/>
        </w:rPr>
      </w:pPr>
    </w:p>
    <w:p w14:paraId="048F9CFF">
      <w:pPr>
        <w:rPr>
          <w:color w:val="auto"/>
          <w:highlight w:val="none"/>
        </w:rPr>
        <w:sectPr>
          <w:footerReference r:id="rId7" w:type="default"/>
          <w:pgSz w:w="11905" w:h="16838"/>
          <w:pgMar w:top="1134" w:right="1134" w:bottom="1134" w:left="1134" w:header="0" w:footer="992" w:gutter="0"/>
          <w:pgNumType w:fmt="decimal"/>
          <w:cols w:space="0" w:num="1"/>
          <w:rtlGutter w:val="0"/>
          <w:docGrid w:linePitch="0" w:charSpace="0"/>
        </w:sectPr>
      </w:pPr>
    </w:p>
    <w:p w14:paraId="3B550674">
      <w:pPr>
        <w:spacing w:line="91" w:lineRule="auto"/>
        <w:rPr>
          <w:rFonts w:ascii="Arial"/>
          <w:color w:val="auto"/>
          <w:sz w:val="2"/>
          <w:highlight w:val="none"/>
        </w:rPr>
      </w:pPr>
    </w:p>
    <w:tbl>
      <w:tblPr>
        <w:tblStyle w:val="22"/>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2B66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52D4DC9">
            <w:pPr>
              <w:pStyle w:val="23"/>
              <w:spacing w:before="140" w:line="190"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24.1</w:t>
            </w:r>
          </w:p>
        </w:tc>
        <w:tc>
          <w:tcPr>
            <w:tcW w:w="8809" w:type="dxa"/>
            <w:vAlign w:val="top"/>
          </w:tcPr>
          <w:p w14:paraId="510305EF">
            <w:pPr>
              <w:pStyle w:val="23"/>
              <w:spacing w:before="109" w:line="227"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磋商小组的人数：</w:t>
            </w:r>
            <w:r>
              <w:rPr>
                <w:rFonts w:hint="eastAsia" w:ascii="宋体" w:hAnsi="宋体" w:eastAsia="宋体" w:cs="宋体"/>
                <w:color w:val="auto"/>
                <w:spacing w:val="6"/>
                <w:sz w:val="24"/>
                <w:szCs w:val="24"/>
                <w:highlight w:val="none"/>
                <w:u w:val="single" w:color="auto"/>
              </w:rPr>
              <w:t>3</w:t>
            </w:r>
            <w:r>
              <w:rPr>
                <w:rFonts w:hint="eastAsia" w:ascii="宋体" w:hAnsi="宋体" w:eastAsia="宋体" w:cs="宋体"/>
                <w:color w:val="auto"/>
                <w:spacing w:val="-27"/>
                <w:sz w:val="24"/>
                <w:szCs w:val="24"/>
                <w:highlight w:val="none"/>
                <w:u w:val="single" w:color="auto"/>
              </w:rPr>
              <w:t xml:space="preserve"> </w:t>
            </w:r>
            <w:r>
              <w:rPr>
                <w:rFonts w:hint="eastAsia" w:ascii="宋体" w:hAnsi="宋体" w:eastAsia="宋体" w:cs="宋体"/>
                <w:color w:val="auto"/>
                <w:spacing w:val="6"/>
                <w:sz w:val="24"/>
                <w:szCs w:val="24"/>
                <w:highlight w:val="none"/>
              </w:rPr>
              <w:t>人。</w:t>
            </w:r>
          </w:p>
        </w:tc>
      </w:tr>
      <w:tr w14:paraId="2781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45" w:type="dxa"/>
            <w:vAlign w:val="top"/>
          </w:tcPr>
          <w:p w14:paraId="18918A7A">
            <w:pPr>
              <w:spacing w:line="306" w:lineRule="auto"/>
              <w:rPr>
                <w:rFonts w:hint="eastAsia" w:ascii="宋体" w:hAnsi="宋体" w:eastAsia="宋体" w:cs="宋体"/>
                <w:color w:val="auto"/>
                <w:sz w:val="24"/>
                <w:szCs w:val="24"/>
                <w:highlight w:val="none"/>
              </w:rPr>
            </w:pPr>
          </w:p>
          <w:p w14:paraId="1ED46AC0">
            <w:pPr>
              <w:spacing w:line="306" w:lineRule="auto"/>
              <w:rPr>
                <w:rFonts w:hint="eastAsia" w:ascii="宋体" w:hAnsi="宋体" w:eastAsia="宋体" w:cs="宋体"/>
                <w:color w:val="auto"/>
                <w:sz w:val="24"/>
                <w:szCs w:val="24"/>
                <w:highlight w:val="none"/>
              </w:rPr>
            </w:pPr>
          </w:p>
          <w:p w14:paraId="76FBD78E">
            <w:pPr>
              <w:pStyle w:val="23"/>
              <w:spacing w:before="65" w:line="189" w:lineRule="auto"/>
              <w:ind w:left="3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w:t>
            </w:r>
          </w:p>
        </w:tc>
        <w:tc>
          <w:tcPr>
            <w:tcW w:w="8809" w:type="dxa"/>
            <w:vAlign w:val="top"/>
          </w:tcPr>
          <w:p w14:paraId="3FB68155">
            <w:pPr>
              <w:pStyle w:val="23"/>
              <w:spacing w:before="108" w:line="226"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首次响应文件的开启时间：详见磋商公告</w:t>
            </w:r>
          </w:p>
          <w:p w14:paraId="11E8F8C9">
            <w:pPr>
              <w:pStyle w:val="23"/>
              <w:spacing w:before="116" w:line="297" w:lineRule="auto"/>
              <w:ind w:left="120" w:right="107" w:firstLine="1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电子响应文件解密时间：截标时间后、开启程序开始后</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7"/>
                <w:sz w:val="24"/>
                <w:szCs w:val="24"/>
                <w:highlight w:val="none"/>
              </w:rPr>
              <w:t>30</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分钟内，供应商必须在此时间段</w:t>
            </w:r>
            <w:r>
              <w:rPr>
                <w:rFonts w:hint="eastAsia" w:ascii="宋体" w:hAnsi="宋体" w:eastAsia="宋体" w:cs="宋体"/>
                <w:color w:val="auto"/>
                <w:spacing w:val="9"/>
                <w:sz w:val="24"/>
                <w:szCs w:val="24"/>
                <w:highlight w:val="none"/>
              </w:rPr>
              <w:t>内登录广西政府采购云平台网上招投标系统，</w:t>
            </w:r>
            <w:r>
              <w:rPr>
                <w:rFonts w:hint="eastAsia" w:ascii="宋体" w:hAnsi="宋体" w:eastAsia="宋体" w:cs="宋体"/>
                <w:color w:val="auto"/>
                <w:spacing w:val="8"/>
                <w:sz w:val="24"/>
                <w:szCs w:val="24"/>
                <w:highlight w:val="none"/>
              </w:rPr>
              <w:t>完成电子响应文件的解密。若供应商在规定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时间内未按时解密的，视为响应文件撤回。</w:t>
            </w:r>
          </w:p>
        </w:tc>
      </w:tr>
      <w:tr w14:paraId="5EE46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585C7A60">
            <w:pPr>
              <w:spacing w:line="287" w:lineRule="auto"/>
              <w:rPr>
                <w:rFonts w:hint="eastAsia" w:ascii="宋体" w:hAnsi="宋体" w:eastAsia="宋体" w:cs="宋体"/>
                <w:color w:val="auto"/>
                <w:sz w:val="24"/>
                <w:szCs w:val="24"/>
                <w:highlight w:val="none"/>
              </w:rPr>
            </w:pPr>
          </w:p>
          <w:p w14:paraId="42261A21">
            <w:pPr>
              <w:spacing w:line="288" w:lineRule="auto"/>
              <w:rPr>
                <w:rFonts w:hint="eastAsia" w:ascii="宋体" w:hAnsi="宋体" w:eastAsia="宋体" w:cs="宋体"/>
                <w:color w:val="auto"/>
                <w:sz w:val="24"/>
                <w:szCs w:val="24"/>
                <w:highlight w:val="none"/>
              </w:rPr>
            </w:pPr>
          </w:p>
          <w:p w14:paraId="60C95BCA">
            <w:pPr>
              <w:spacing w:line="288" w:lineRule="auto"/>
              <w:rPr>
                <w:rFonts w:hint="eastAsia" w:ascii="宋体" w:hAnsi="宋体" w:eastAsia="宋体" w:cs="宋体"/>
                <w:color w:val="auto"/>
                <w:sz w:val="24"/>
                <w:szCs w:val="24"/>
                <w:highlight w:val="none"/>
              </w:rPr>
            </w:pPr>
          </w:p>
          <w:p w14:paraId="6C02750A">
            <w:pPr>
              <w:spacing w:line="288" w:lineRule="auto"/>
              <w:rPr>
                <w:rFonts w:hint="eastAsia" w:ascii="宋体" w:hAnsi="宋体" w:eastAsia="宋体" w:cs="宋体"/>
                <w:color w:val="auto"/>
                <w:sz w:val="24"/>
                <w:szCs w:val="24"/>
                <w:highlight w:val="none"/>
              </w:rPr>
            </w:pPr>
          </w:p>
          <w:p w14:paraId="571DE946">
            <w:pPr>
              <w:pStyle w:val="23"/>
              <w:spacing w:before="65" w:line="189"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26.2</w:t>
            </w:r>
          </w:p>
        </w:tc>
        <w:tc>
          <w:tcPr>
            <w:tcW w:w="8809" w:type="dxa"/>
            <w:vAlign w:val="top"/>
          </w:tcPr>
          <w:p w14:paraId="57D73FF1">
            <w:pPr>
              <w:pStyle w:val="23"/>
              <w:spacing w:before="110" w:line="228"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磋商的顺序：</w:t>
            </w:r>
          </w:p>
          <w:p w14:paraId="438468C8">
            <w:pPr>
              <w:pStyle w:val="23"/>
              <w:spacing w:before="112" w:line="227" w:lineRule="auto"/>
              <w:ind w:left="132"/>
              <w:rPr>
                <w:rFonts w:hint="eastAsia" w:cs="宋体"/>
                <w:color w:val="auto"/>
                <w:spacing w:val="9"/>
                <w:sz w:val="24"/>
                <w:szCs w:val="24"/>
                <w:highlight w:val="none"/>
                <w:lang w:val="en-US" w:eastAsia="zh-CN"/>
              </w:rPr>
            </w:pPr>
            <w:r>
              <w:rPr>
                <w:rFonts w:hint="eastAsia" w:ascii="宋体" w:hAnsi="宋体" w:eastAsia="宋体" w:cs="宋体"/>
                <w:color w:val="auto"/>
                <w:spacing w:val="9"/>
                <w:sz w:val="24"/>
                <w:szCs w:val="24"/>
                <w:highlight w:val="none"/>
              </w:rPr>
              <w:t>□按照提交首次响应文件的顺序，通知磋商时，若某供应商不在通知现场时</w:t>
            </w:r>
            <w:r>
              <w:rPr>
                <w:rFonts w:hint="eastAsia" w:cs="宋体"/>
                <w:color w:val="auto"/>
                <w:spacing w:val="9"/>
                <w:sz w:val="24"/>
                <w:szCs w:val="24"/>
                <w:highlight w:val="none"/>
                <w:lang w:val="en-US" w:eastAsia="zh-CN"/>
              </w:rPr>
              <w:t xml:space="preserve"> </w:t>
            </w:r>
          </w:p>
          <w:p w14:paraId="344D27FC">
            <w:pPr>
              <w:pStyle w:val="23"/>
              <w:spacing w:before="112" w:line="227"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（该供应商排序到最后磋商），按照签到的顺序由其下一位供应商先参与磋</w:t>
            </w:r>
            <w:r>
              <w:rPr>
                <w:rFonts w:hint="eastAsia" w:cs="宋体"/>
                <w:color w:val="auto"/>
                <w:spacing w:val="9"/>
                <w:sz w:val="24"/>
                <w:szCs w:val="24"/>
                <w:highlight w:val="none"/>
                <w:lang w:eastAsia="zh-CN"/>
              </w:rPr>
              <w:t>商</w:t>
            </w:r>
          </w:p>
          <w:p w14:paraId="588303AC">
            <w:pPr>
              <w:pStyle w:val="23"/>
              <w:spacing w:line="226"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☑随机排序。</w:t>
            </w:r>
          </w:p>
          <w:p w14:paraId="70C0B9B9">
            <w:pPr>
              <w:pStyle w:val="23"/>
              <w:spacing w:before="116" w:line="296" w:lineRule="auto"/>
              <w:ind w:left="113" w:right="109" w:hanging="3"/>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供应商无需派授权代表或法定代表人到评审现</w:t>
            </w:r>
            <w:r>
              <w:rPr>
                <w:rFonts w:hint="eastAsia" w:ascii="宋体" w:hAnsi="宋体" w:eastAsia="宋体" w:cs="宋体"/>
                <w:color w:val="auto"/>
                <w:spacing w:val="11"/>
                <w:sz w:val="24"/>
                <w:szCs w:val="24"/>
                <w:highlight w:val="none"/>
              </w:rPr>
              <w:t>场参加磋商，磋商过程均通过广西政府采购云平台（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gcy</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zfcg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gxzf</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）网上开标大厅在线实施。磋</w:t>
            </w:r>
            <w:r>
              <w:rPr>
                <w:rFonts w:hint="eastAsia" w:ascii="宋体" w:hAnsi="宋体" w:eastAsia="宋体" w:cs="宋体"/>
                <w:color w:val="auto"/>
                <w:spacing w:val="10"/>
                <w:sz w:val="24"/>
                <w:szCs w:val="24"/>
                <w:highlight w:val="none"/>
              </w:rPr>
              <w:t>商具体程序详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见第三章“评审程序、评审方法和评审标准</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8"/>
                <w:sz w:val="24"/>
                <w:szCs w:val="24"/>
                <w:highlight w:val="none"/>
              </w:rPr>
              <w:t>”。</w:t>
            </w:r>
          </w:p>
        </w:tc>
      </w:tr>
      <w:tr w14:paraId="7F58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5" w:type="dxa"/>
            <w:vAlign w:val="top"/>
          </w:tcPr>
          <w:p w14:paraId="1F24026C">
            <w:pPr>
              <w:spacing w:line="340" w:lineRule="auto"/>
              <w:rPr>
                <w:rFonts w:hint="eastAsia" w:ascii="宋体" w:hAnsi="宋体" w:eastAsia="宋体" w:cs="宋体"/>
                <w:color w:val="auto"/>
                <w:sz w:val="24"/>
                <w:szCs w:val="24"/>
                <w:highlight w:val="none"/>
              </w:rPr>
            </w:pPr>
          </w:p>
          <w:p w14:paraId="76E8A08F">
            <w:pPr>
              <w:spacing w:line="341" w:lineRule="auto"/>
              <w:rPr>
                <w:rFonts w:hint="eastAsia" w:ascii="宋体" w:hAnsi="宋体" w:eastAsia="宋体" w:cs="宋体"/>
                <w:color w:val="auto"/>
                <w:sz w:val="24"/>
                <w:szCs w:val="24"/>
                <w:highlight w:val="none"/>
              </w:rPr>
            </w:pPr>
          </w:p>
          <w:p w14:paraId="7EDD77DB">
            <w:pPr>
              <w:pStyle w:val="23"/>
              <w:spacing w:before="65" w:line="189" w:lineRule="auto"/>
              <w:ind w:left="3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w:t>
            </w:r>
          </w:p>
        </w:tc>
        <w:tc>
          <w:tcPr>
            <w:tcW w:w="8809" w:type="dxa"/>
            <w:vAlign w:val="top"/>
          </w:tcPr>
          <w:p w14:paraId="2F8C50FB">
            <w:pPr>
              <w:pStyle w:val="23"/>
              <w:spacing w:before="77" w:line="227"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□成交供应商前往采购代理机构领取成交通知书</w:t>
            </w:r>
          </w:p>
          <w:p w14:paraId="25B0834F">
            <w:pPr>
              <w:pStyle w:val="23"/>
              <w:spacing w:before="75" w:line="261" w:lineRule="auto"/>
              <w:ind w:left="115" w:right="107" w:firstLine="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rPr>
              <w:t>☑采购代理机构通过广西政府采购云平台</w:t>
            </w:r>
          </w:p>
          <w:p w14:paraId="75211429">
            <w:pPr>
              <w:pStyle w:val="23"/>
              <w:spacing w:before="75" w:line="261" w:lineRule="auto"/>
              <w:ind w:left="115" w:right="107" w:firstLine="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gcy</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zfcg</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gxzf</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rPr>
              <w:fldChar w:fldCharType="end"/>
            </w:r>
            <w:r>
              <w:rPr>
                <w:rFonts w:hint="eastAsia" w:ascii="宋体" w:hAnsi="宋体" w:eastAsia="宋体" w:cs="宋体"/>
                <w:color w:val="auto"/>
                <w:spacing w:val="10"/>
                <w:sz w:val="24"/>
                <w:szCs w:val="24"/>
                <w:highlight w:val="none"/>
              </w:rPr>
              <w:t>）发出成</w:t>
            </w:r>
            <w:r>
              <w:rPr>
                <w:rFonts w:hint="eastAsia" w:ascii="宋体" w:hAnsi="宋体" w:eastAsia="宋体" w:cs="宋体"/>
                <w:color w:val="auto"/>
                <w:spacing w:val="5"/>
                <w:sz w:val="24"/>
                <w:szCs w:val="24"/>
                <w:highlight w:val="none"/>
              </w:rPr>
              <w:t>交通知书。</w:t>
            </w:r>
          </w:p>
          <w:p w14:paraId="4D91EB15">
            <w:pPr>
              <w:pStyle w:val="23"/>
              <w:spacing w:before="73" w:line="257" w:lineRule="auto"/>
              <w:ind w:left="110" w:right="179" w:firstLine="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成交通知书在广西政府采购云平台推送之日起，视为成交供</w:t>
            </w:r>
            <w:r>
              <w:rPr>
                <w:rFonts w:hint="eastAsia" w:ascii="宋体" w:hAnsi="宋体" w:eastAsia="宋体" w:cs="宋体"/>
                <w:color w:val="auto"/>
                <w:spacing w:val="9"/>
                <w:sz w:val="24"/>
                <w:szCs w:val="24"/>
                <w:highlight w:val="none"/>
              </w:rPr>
              <w:t>应商已收到，成交供应商自行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承担未及时查收的后果。</w:t>
            </w:r>
          </w:p>
        </w:tc>
      </w:tr>
      <w:tr w14:paraId="3EE82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70D64F3D">
            <w:pPr>
              <w:pStyle w:val="23"/>
              <w:spacing w:before="144" w:line="190"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28.1</w:t>
            </w:r>
          </w:p>
        </w:tc>
        <w:tc>
          <w:tcPr>
            <w:tcW w:w="8809" w:type="dxa"/>
            <w:vAlign w:val="top"/>
          </w:tcPr>
          <w:p w14:paraId="367292A2">
            <w:pPr>
              <w:pStyle w:val="23"/>
              <w:spacing w:before="112" w:line="22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履约保证金金额：不需要提交。</w:t>
            </w:r>
          </w:p>
        </w:tc>
      </w:tr>
      <w:tr w14:paraId="1701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45" w:type="dxa"/>
            <w:vAlign w:val="top"/>
          </w:tcPr>
          <w:p w14:paraId="125D4E97">
            <w:pPr>
              <w:spacing w:line="437" w:lineRule="auto"/>
              <w:rPr>
                <w:rFonts w:hint="eastAsia" w:ascii="宋体" w:hAnsi="宋体" w:eastAsia="宋体" w:cs="宋体"/>
                <w:color w:val="auto"/>
                <w:sz w:val="24"/>
                <w:szCs w:val="24"/>
                <w:highlight w:val="none"/>
              </w:rPr>
            </w:pPr>
          </w:p>
          <w:p w14:paraId="59D2EC52">
            <w:pPr>
              <w:pStyle w:val="23"/>
              <w:spacing w:before="65" w:line="189"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28.2</w:t>
            </w:r>
          </w:p>
        </w:tc>
        <w:tc>
          <w:tcPr>
            <w:tcW w:w="8809" w:type="dxa"/>
            <w:vAlign w:val="top"/>
          </w:tcPr>
          <w:p w14:paraId="22AB4F69">
            <w:pPr>
              <w:pStyle w:val="23"/>
              <w:spacing w:before="112" w:line="296" w:lineRule="auto"/>
              <w:ind w:left="110" w:right="109"/>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根据《保障农民工工资支付条例》</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0"/>
                <w:sz w:val="24"/>
                <w:szCs w:val="24"/>
                <w:highlight w:val="none"/>
              </w:rPr>
              <w:t>，供应商在响应时必须在响应文件《建设工程项目管理承诺书》</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0"/>
                <w:sz w:val="24"/>
                <w:szCs w:val="24"/>
                <w:highlight w:val="none"/>
              </w:rPr>
              <w:t>中承诺，在项目开工前开设农民工工资专用帐户。如供应商的响应文件没有提交</w:t>
            </w:r>
            <w:r>
              <w:rPr>
                <w:rFonts w:hint="eastAsia" w:ascii="宋体" w:hAnsi="宋体" w:eastAsia="宋体" w:cs="宋体"/>
                <w:color w:val="auto"/>
                <w:spacing w:val="9"/>
                <w:sz w:val="24"/>
                <w:szCs w:val="24"/>
                <w:highlight w:val="none"/>
              </w:rPr>
              <w:t>上述承诺的，视为无效响应文件，取消其磋商资格。</w:t>
            </w:r>
          </w:p>
        </w:tc>
      </w:tr>
      <w:tr w14:paraId="6486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45" w:type="dxa"/>
            <w:vAlign w:val="top"/>
          </w:tcPr>
          <w:p w14:paraId="3CF40BCD">
            <w:pPr>
              <w:spacing w:line="307" w:lineRule="auto"/>
              <w:rPr>
                <w:rFonts w:hint="eastAsia" w:ascii="宋体" w:hAnsi="宋体" w:eastAsia="宋体" w:cs="宋体"/>
                <w:color w:val="auto"/>
                <w:sz w:val="24"/>
                <w:szCs w:val="24"/>
                <w:highlight w:val="none"/>
              </w:rPr>
            </w:pPr>
          </w:p>
          <w:p w14:paraId="0F9062BA">
            <w:pPr>
              <w:spacing w:line="307" w:lineRule="auto"/>
              <w:rPr>
                <w:rFonts w:hint="eastAsia" w:ascii="宋体" w:hAnsi="宋体" w:eastAsia="宋体" w:cs="宋体"/>
                <w:color w:val="auto"/>
                <w:sz w:val="24"/>
                <w:szCs w:val="24"/>
                <w:highlight w:val="none"/>
              </w:rPr>
            </w:pPr>
          </w:p>
          <w:p w14:paraId="41DD94C2">
            <w:pPr>
              <w:pStyle w:val="23"/>
              <w:spacing w:before="65" w:line="190" w:lineRule="auto"/>
              <w:ind w:left="2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29.1</w:t>
            </w:r>
          </w:p>
        </w:tc>
        <w:tc>
          <w:tcPr>
            <w:tcW w:w="8809" w:type="dxa"/>
            <w:vAlign w:val="top"/>
          </w:tcPr>
          <w:p w14:paraId="4F903C67">
            <w:pPr>
              <w:pStyle w:val="23"/>
              <w:spacing w:before="89" w:line="227"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签订合同携带的证明材料：</w:t>
            </w:r>
          </w:p>
          <w:p w14:paraId="7D4BB77B">
            <w:pPr>
              <w:pStyle w:val="23"/>
              <w:spacing w:before="113" w:line="303" w:lineRule="auto"/>
              <w:ind w:left="110" w:right="38"/>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委托代理人负责签订合同的，须携带授权委托书及委托代理人身份证原件等其他资格证件。</w:t>
            </w:r>
            <w:r>
              <w:rPr>
                <w:rFonts w:hint="eastAsia" w:ascii="宋体" w:hAnsi="宋体" w:eastAsia="宋体" w:cs="宋体"/>
                <w:color w:val="auto"/>
                <w:spacing w:val="11"/>
                <w:sz w:val="24"/>
                <w:szCs w:val="24"/>
                <w:highlight w:val="none"/>
              </w:rPr>
              <w:t xml:space="preserve">法定代表人负责签订合同的，须携带法定代表人身份证明原件及身份证原件等其他证明材 </w:t>
            </w:r>
            <w:r>
              <w:rPr>
                <w:rFonts w:hint="eastAsia" w:ascii="宋体" w:hAnsi="宋体" w:eastAsia="宋体" w:cs="宋体"/>
                <w:color w:val="auto"/>
                <w:sz w:val="24"/>
                <w:szCs w:val="24"/>
                <w:highlight w:val="none"/>
              </w:rPr>
              <w:t>料。</w:t>
            </w:r>
          </w:p>
        </w:tc>
      </w:tr>
      <w:tr w14:paraId="6D10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5" w:type="dxa"/>
            <w:vAlign w:val="top"/>
          </w:tcPr>
          <w:p w14:paraId="600DC896">
            <w:pPr>
              <w:spacing w:line="264" w:lineRule="auto"/>
              <w:rPr>
                <w:rFonts w:hint="eastAsia" w:ascii="宋体" w:hAnsi="宋体" w:eastAsia="宋体" w:cs="宋体"/>
                <w:color w:val="auto"/>
                <w:sz w:val="24"/>
                <w:szCs w:val="24"/>
                <w:highlight w:val="none"/>
              </w:rPr>
            </w:pPr>
          </w:p>
          <w:p w14:paraId="67B73B2D">
            <w:pPr>
              <w:spacing w:line="265" w:lineRule="auto"/>
              <w:rPr>
                <w:rFonts w:hint="eastAsia" w:ascii="宋体" w:hAnsi="宋体" w:eastAsia="宋体" w:cs="宋体"/>
                <w:color w:val="auto"/>
                <w:sz w:val="24"/>
                <w:szCs w:val="24"/>
                <w:highlight w:val="none"/>
              </w:rPr>
            </w:pPr>
          </w:p>
          <w:p w14:paraId="7AADA2D0">
            <w:pPr>
              <w:spacing w:line="265" w:lineRule="auto"/>
              <w:rPr>
                <w:rFonts w:hint="eastAsia" w:ascii="宋体" w:hAnsi="宋体" w:eastAsia="宋体" w:cs="宋体"/>
                <w:color w:val="auto"/>
                <w:sz w:val="24"/>
                <w:szCs w:val="24"/>
                <w:highlight w:val="none"/>
              </w:rPr>
            </w:pPr>
          </w:p>
          <w:p w14:paraId="77A8B103">
            <w:pPr>
              <w:pStyle w:val="23"/>
              <w:spacing w:before="65" w:line="190" w:lineRule="auto"/>
              <w:ind w:left="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31.2</w:t>
            </w:r>
          </w:p>
        </w:tc>
        <w:tc>
          <w:tcPr>
            <w:tcW w:w="8809" w:type="dxa"/>
            <w:vAlign w:val="top"/>
          </w:tcPr>
          <w:p w14:paraId="01F12409">
            <w:pPr>
              <w:pStyle w:val="23"/>
              <w:spacing w:before="112" w:line="227"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接收质疑函方式：</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5"/>
                <w:sz w:val="24"/>
                <w:szCs w:val="24"/>
                <w:highlight w:val="none"/>
              </w:rPr>
              <w:t>以书面形式。</w:t>
            </w:r>
          </w:p>
          <w:p w14:paraId="75813BD6">
            <w:pPr>
              <w:pStyle w:val="23"/>
              <w:spacing w:before="114" w:line="280" w:lineRule="auto"/>
              <w:ind w:left="117" w:right="56" w:hanging="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质疑联系部门及联系方式：</w:t>
            </w:r>
            <w:r>
              <w:rPr>
                <w:rFonts w:hint="eastAsia" w:cs="宋体"/>
                <w:color w:val="auto"/>
                <w:spacing w:val="7"/>
                <w:sz w:val="24"/>
                <w:szCs w:val="24"/>
                <w:highlight w:val="none"/>
                <w:u w:val="single" w:color="auto"/>
                <w:lang w:eastAsia="zh-CN"/>
              </w:rPr>
              <w:t>广西湘翌工程项目管理有限公司</w:t>
            </w:r>
            <w:r>
              <w:rPr>
                <w:rFonts w:hint="eastAsia" w:ascii="宋体" w:hAnsi="宋体" w:eastAsia="宋体" w:cs="宋体"/>
                <w:color w:val="auto"/>
                <w:spacing w:val="7"/>
                <w:sz w:val="24"/>
                <w:szCs w:val="24"/>
                <w:highlight w:val="none"/>
              </w:rPr>
              <w:t>，联系</w:t>
            </w:r>
            <w:r>
              <w:rPr>
                <w:rFonts w:hint="eastAsia" w:ascii="宋体" w:hAnsi="宋体" w:eastAsia="宋体" w:cs="宋体"/>
                <w:color w:val="auto"/>
                <w:spacing w:val="6"/>
                <w:sz w:val="24"/>
                <w:szCs w:val="24"/>
                <w:highlight w:val="none"/>
              </w:rPr>
              <w:t>电话：</w:t>
            </w:r>
            <w:r>
              <w:rPr>
                <w:rFonts w:hint="eastAsia" w:cs="宋体"/>
                <w:color w:val="auto"/>
                <w:spacing w:val="6"/>
                <w:sz w:val="24"/>
                <w:szCs w:val="24"/>
                <w:highlight w:val="none"/>
                <w:u w:val="single" w:color="auto"/>
                <w:lang w:eastAsia="zh-CN"/>
              </w:rPr>
              <w:t>19978796599</w:t>
            </w:r>
            <w:r>
              <w:rPr>
                <w:rFonts w:hint="eastAsia" w:ascii="宋体" w:hAnsi="宋体" w:eastAsia="宋体" w:cs="宋体"/>
                <w:color w:val="auto"/>
                <w:spacing w:val="6"/>
                <w:sz w:val="24"/>
                <w:szCs w:val="24"/>
                <w:highlight w:val="none"/>
              </w:rPr>
              <w:t>，通讯地址：</w:t>
            </w:r>
            <w:r>
              <w:rPr>
                <w:rFonts w:hint="eastAsia" w:ascii="宋体" w:hAnsi="宋体" w:eastAsia="宋体" w:cs="宋体"/>
                <w:color w:val="auto"/>
                <w:sz w:val="24"/>
                <w:szCs w:val="24"/>
                <w:highlight w:val="none"/>
              </w:rPr>
              <w:t xml:space="preserve"> </w:t>
            </w:r>
            <w:r>
              <w:rPr>
                <w:rFonts w:hint="eastAsia" w:cs="宋体"/>
                <w:color w:val="auto"/>
                <w:spacing w:val="7"/>
                <w:sz w:val="24"/>
                <w:szCs w:val="24"/>
                <w:highlight w:val="none"/>
                <w:u w:val="single" w:color="auto"/>
                <w:lang w:eastAsia="zh-CN"/>
              </w:rPr>
              <w:t>广西百色市右江区那毕大道12号百色投资大厦东塔楼1单元10层1006号</w:t>
            </w:r>
            <w:r>
              <w:rPr>
                <w:rFonts w:hint="eastAsia" w:ascii="宋体" w:hAnsi="宋体" w:eastAsia="宋体" w:cs="宋体"/>
                <w:color w:val="auto"/>
                <w:spacing w:val="7"/>
                <w:sz w:val="24"/>
                <w:szCs w:val="24"/>
                <w:highlight w:val="none"/>
                <w:u w:val="single" w:color="auto"/>
              </w:rPr>
              <w:t>。</w:t>
            </w:r>
          </w:p>
          <w:p w14:paraId="6ED8B191">
            <w:pPr>
              <w:pStyle w:val="23"/>
              <w:spacing w:before="91" w:line="280" w:lineRule="auto"/>
              <w:ind w:left="113" w:right="107" w:hanging="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业务时间：工作日上午8：30到12：00分，下</w:t>
            </w:r>
            <w:r>
              <w:rPr>
                <w:rFonts w:hint="eastAsia" w:ascii="宋体" w:hAnsi="宋体" w:eastAsia="宋体" w:cs="宋体"/>
                <w:color w:val="auto"/>
                <w:spacing w:val="7"/>
                <w:sz w:val="24"/>
                <w:szCs w:val="24"/>
                <w:highlight w:val="none"/>
              </w:rPr>
              <w:t>午15：00到18：00，双休日和法定节假日不办</w:t>
            </w:r>
            <w:r>
              <w:rPr>
                <w:rFonts w:hint="eastAsia" w:ascii="宋体" w:hAnsi="宋体" w:eastAsia="宋体" w:cs="宋体"/>
                <w:color w:val="auto"/>
                <w:spacing w:val="4"/>
                <w:sz w:val="24"/>
                <w:szCs w:val="24"/>
                <w:highlight w:val="none"/>
              </w:rPr>
              <w:t>理业务。</w:t>
            </w:r>
          </w:p>
        </w:tc>
      </w:tr>
      <w:tr w14:paraId="1DC8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845" w:type="dxa"/>
            <w:vAlign w:val="top"/>
          </w:tcPr>
          <w:p w14:paraId="2C82CDE2">
            <w:pPr>
              <w:spacing w:line="243" w:lineRule="auto"/>
              <w:rPr>
                <w:rFonts w:hint="eastAsia" w:ascii="宋体" w:hAnsi="宋体" w:eastAsia="宋体" w:cs="宋体"/>
                <w:color w:val="auto"/>
                <w:sz w:val="24"/>
                <w:szCs w:val="24"/>
                <w:highlight w:val="none"/>
              </w:rPr>
            </w:pPr>
          </w:p>
          <w:p w14:paraId="61F6ADDB">
            <w:pPr>
              <w:spacing w:line="243" w:lineRule="auto"/>
              <w:rPr>
                <w:rFonts w:hint="eastAsia" w:ascii="宋体" w:hAnsi="宋体" w:eastAsia="宋体" w:cs="宋体"/>
                <w:color w:val="auto"/>
                <w:sz w:val="24"/>
                <w:szCs w:val="24"/>
                <w:highlight w:val="none"/>
              </w:rPr>
            </w:pPr>
          </w:p>
          <w:p w14:paraId="303B1D4F">
            <w:pPr>
              <w:spacing w:line="243" w:lineRule="auto"/>
              <w:rPr>
                <w:rFonts w:hint="eastAsia" w:ascii="宋体" w:hAnsi="宋体" w:eastAsia="宋体" w:cs="宋体"/>
                <w:color w:val="auto"/>
                <w:sz w:val="24"/>
                <w:szCs w:val="24"/>
                <w:highlight w:val="none"/>
              </w:rPr>
            </w:pPr>
          </w:p>
          <w:p w14:paraId="22F4EEBA">
            <w:pPr>
              <w:spacing w:line="244" w:lineRule="auto"/>
              <w:rPr>
                <w:rFonts w:hint="eastAsia" w:ascii="宋体" w:hAnsi="宋体" w:eastAsia="宋体" w:cs="宋体"/>
                <w:color w:val="auto"/>
                <w:sz w:val="24"/>
                <w:szCs w:val="24"/>
                <w:highlight w:val="none"/>
              </w:rPr>
            </w:pPr>
          </w:p>
          <w:p w14:paraId="5C6BAC52">
            <w:pPr>
              <w:pStyle w:val="23"/>
              <w:spacing w:before="65" w:line="190" w:lineRule="auto"/>
              <w:ind w:left="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32.1</w:t>
            </w:r>
          </w:p>
        </w:tc>
        <w:tc>
          <w:tcPr>
            <w:tcW w:w="8809" w:type="dxa"/>
            <w:vAlign w:val="top"/>
          </w:tcPr>
          <w:p w14:paraId="0FC48021">
            <w:pPr>
              <w:pStyle w:val="23"/>
              <w:spacing w:before="112" w:line="227" w:lineRule="auto"/>
              <w:ind w:left="12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1.采购代理费支付方式：</w:t>
            </w:r>
          </w:p>
          <w:p w14:paraId="23ABFE64">
            <w:pPr>
              <w:pStyle w:val="23"/>
              <w:spacing w:before="114" w:line="227"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☑本项目代理服务费由</w:t>
            </w:r>
            <w:r>
              <w:rPr>
                <w:rFonts w:hint="eastAsia" w:ascii="宋体" w:hAnsi="宋体" w:eastAsia="宋体" w:cs="宋体"/>
                <w:color w:val="auto"/>
                <w:spacing w:val="9"/>
                <w:sz w:val="24"/>
                <w:szCs w:val="24"/>
                <w:highlight w:val="none"/>
                <w:u w:val="single" w:color="auto"/>
              </w:rPr>
              <w:t>成交供应商</w:t>
            </w:r>
            <w:r>
              <w:rPr>
                <w:rFonts w:hint="eastAsia" w:ascii="宋体" w:hAnsi="宋体" w:eastAsia="宋体" w:cs="宋体"/>
                <w:color w:val="auto"/>
                <w:spacing w:val="9"/>
                <w:sz w:val="24"/>
                <w:szCs w:val="24"/>
                <w:highlight w:val="none"/>
              </w:rPr>
              <w:t>领取成交通知书前，一次性向采购代理机构支付。</w:t>
            </w:r>
          </w:p>
          <w:p w14:paraId="2D519B97">
            <w:pPr>
              <w:pStyle w:val="23"/>
              <w:spacing w:before="113" w:line="227"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□采购人支付。</w:t>
            </w:r>
          </w:p>
          <w:p w14:paraId="464FC2A1">
            <w:pPr>
              <w:pStyle w:val="23"/>
              <w:spacing w:before="114" w:line="227"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2.采购代理费收取标准：</w:t>
            </w:r>
          </w:p>
          <w:p w14:paraId="74DD349E">
            <w:pPr>
              <w:pStyle w:val="23"/>
              <w:spacing w:before="113" w:line="279" w:lineRule="auto"/>
              <w:ind w:left="112" w:right="109" w:firstLine="5"/>
              <w:rPr>
                <w:rFonts w:hint="eastAsia" w:ascii="宋体" w:hAnsi="宋体" w:eastAsia="宋体" w:cs="宋体"/>
                <w:color w:val="auto"/>
                <w:spacing w:val="10"/>
                <w:sz w:val="24"/>
                <w:szCs w:val="24"/>
                <w:highlight w:val="none"/>
              </w:rPr>
            </w:pPr>
            <w:r>
              <w:rPr>
                <w:rFonts w:hint="eastAsia" w:ascii="宋体" w:hAnsi="宋体" w:eastAsia="宋体" w:cs="宋体"/>
                <w:color w:val="auto"/>
                <w:spacing w:val="13"/>
                <w:sz w:val="24"/>
                <w:szCs w:val="24"/>
                <w:highlight w:val="none"/>
              </w:rPr>
              <w:t>☑以分标(☑成交金额/□采购预算/□暂定成交金额/□其他</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3"/>
                <w:sz w:val="24"/>
                <w:szCs w:val="24"/>
                <w:highlight w:val="none"/>
              </w:rPr>
              <w:t>）为计费额，按本须知正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文第</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10"/>
                <w:sz w:val="24"/>
                <w:szCs w:val="24"/>
                <w:highlight w:val="none"/>
              </w:rPr>
              <w:t>31.2</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0"/>
                <w:sz w:val="24"/>
                <w:szCs w:val="24"/>
                <w:highlight w:val="none"/>
              </w:rPr>
              <w:t>条规定的收费计算标准(□货物类/□服务类/☑工程类）采用差额定率累进法计算出收费基准价格，采购代理收费以(☑收费基准价格/□收费基准价格下浮  %/□收费基 准价格上浮   %）收取。</w:t>
            </w:r>
          </w:p>
          <w:p w14:paraId="7CB5B9B2">
            <w:pPr>
              <w:pStyle w:val="23"/>
              <w:spacing w:before="113" w:line="279" w:lineRule="auto"/>
              <w:ind w:left="112" w:right="109" w:firstLine="5"/>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□固定采购代理收费。</w:t>
            </w:r>
          </w:p>
          <w:p w14:paraId="3870DDC6">
            <w:pPr>
              <w:pStyle w:val="23"/>
              <w:spacing w:before="113" w:line="279" w:lineRule="auto"/>
              <w:ind w:left="112" w:right="109" w:firstLine="5"/>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 采购代理费收取银行账户</w:t>
            </w:r>
          </w:p>
          <w:p w14:paraId="4888273F">
            <w:pPr>
              <w:pStyle w:val="23"/>
              <w:spacing w:before="113" w:line="279" w:lineRule="auto"/>
              <w:ind w:left="112" w:right="109" w:firstLine="5"/>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开户名称：</w:t>
            </w:r>
            <w:r>
              <w:rPr>
                <w:rFonts w:hint="eastAsia" w:cs="宋体"/>
                <w:color w:val="auto"/>
                <w:spacing w:val="10"/>
                <w:sz w:val="24"/>
                <w:szCs w:val="24"/>
                <w:highlight w:val="none"/>
                <w:lang w:eastAsia="zh-CN"/>
              </w:rPr>
              <w:t>广西湘翌工程项目管理有限公司</w:t>
            </w:r>
          </w:p>
          <w:p w14:paraId="53DB8360">
            <w:pPr>
              <w:pStyle w:val="23"/>
              <w:spacing w:before="113" w:line="279" w:lineRule="auto"/>
              <w:ind w:left="112" w:right="109" w:firstLine="5"/>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开户银行：</w:t>
            </w:r>
            <w:r>
              <w:rPr>
                <w:rFonts w:hint="eastAsia" w:cs="宋体"/>
                <w:color w:val="auto"/>
                <w:spacing w:val="10"/>
                <w:sz w:val="24"/>
                <w:szCs w:val="24"/>
                <w:highlight w:val="none"/>
                <w:lang w:eastAsia="zh-CN"/>
              </w:rPr>
              <w:t>桂林银行股份有限公司百色分行</w:t>
            </w:r>
          </w:p>
          <w:p w14:paraId="43F779FA">
            <w:pPr>
              <w:pStyle w:val="23"/>
              <w:spacing w:before="113" w:line="279" w:lineRule="auto"/>
              <w:ind w:left="112" w:right="109" w:firstLine="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银行账号：</w:t>
            </w:r>
            <w:r>
              <w:rPr>
                <w:rFonts w:hint="eastAsia" w:cs="宋体"/>
                <w:color w:val="auto"/>
                <w:spacing w:val="10"/>
                <w:sz w:val="24"/>
                <w:szCs w:val="24"/>
                <w:highlight w:val="none"/>
                <w:lang w:eastAsia="zh-CN"/>
              </w:rPr>
              <w:t>6600 0001 9960 0000 17</w:t>
            </w:r>
          </w:p>
        </w:tc>
      </w:tr>
    </w:tbl>
    <w:p w14:paraId="3E69F65B">
      <w:pPr>
        <w:spacing w:line="91" w:lineRule="auto"/>
        <w:rPr>
          <w:rFonts w:ascii="Arial"/>
          <w:color w:val="auto"/>
          <w:sz w:val="2"/>
          <w:highlight w:val="none"/>
        </w:rPr>
      </w:pPr>
    </w:p>
    <w:tbl>
      <w:tblPr>
        <w:tblStyle w:val="22"/>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57360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09B63712">
            <w:pPr>
              <w:spacing w:line="287" w:lineRule="auto"/>
              <w:rPr>
                <w:rFonts w:hint="eastAsia" w:ascii="宋体" w:hAnsi="宋体" w:eastAsia="宋体" w:cs="宋体"/>
                <w:color w:val="auto"/>
                <w:sz w:val="24"/>
                <w:szCs w:val="24"/>
                <w:highlight w:val="none"/>
              </w:rPr>
            </w:pPr>
          </w:p>
          <w:p w14:paraId="2B43B584">
            <w:pPr>
              <w:spacing w:line="287" w:lineRule="auto"/>
              <w:rPr>
                <w:rFonts w:hint="eastAsia" w:ascii="宋体" w:hAnsi="宋体" w:eastAsia="宋体" w:cs="宋体"/>
                <w:color w:val="auto"/>
                <w:sz w:val="24"/>
                <w:szCs w:val="24"/>
                <w:highlight w:val="none"/>
              </w:rPr>
            </w:pPr>
          </w:p>
          <w:p w14:paraId="5DA386C9">
            <w:pPr>
              <w:spacing w:line="288" w:lineRule="auto"/>
              <w:rPr>
                <w:rFonts w:hint="eastAsia" w:ascii="宋体" w:hAnsi="宋体" w:eastAsia="宋体" w:cs="宋体"/>
                <w:color w:val="auto"/>
                <w:sz w:val="24"/>
                <w:szCs w:val="24"/>
                <w:highlight w:val="none"/>
              </w:rPr>
            </w:pPr>
          </w:p>
          <w:p w14:paraId="571C0600">
            <w:pPr>
              <w:spacing w:line="288" w:lineRule="auto"/>
              <w:rPr>
                <w:rFonts w:hint="eastAsia" w:ascii="宋体" w:hAnsi="宋体" w:eastAsia="宋体" w:cs="宋体"/>
                <w:color w:val="auto"/>
                <w:sz w:val="24"/>
                <w:szCs w:val="24"/>
                <w:highlight w:val="none"/>
              </w:rPr>
            </w:pPr>
          </w:p>
          <w:p w14:paraId="64919D18">
            <w:pPr>
              <w:pStyle w:val="23"/>
              <w:spacing w:before="65" w:line="190" w:lineRule="auto"/>
              <w:ind w:left="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33.1</w:t>
            </w:r>
          </w:p>
        </w:tc>
        <w:tc>
          <w:tcPr>
            <w:tcW w:w="8809" w:type="dxa"/>
            <w:vAlign w:val="top"/>
          </w:tcPr>
          <w:p w14:paraId="20FB25CD">
            <w:pPr>
              <w:pStyle w:val="23"/>
              <w:spacing w:before="110" w:line="317" w:lineRule="auto"/>
              <w:ind w:left="110" w:right="38"/>
              <w:jc w:val="both"/>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解释：构成本磋商文件的各个组成文件应互为解释，互为说明；除磋商文件中有特别规定</w:t>
            </w:r>
            <w:r>
              <w:rPr>
                <w:rFonts w:hint="eastAsia" w:ascii="宋体" w:hAnsi="宋体" w:eastAsia="宋体" w:cs="宋体"/>
                <w:color w:val="auto"/>
                <w:spacing w:val="8"/>
                <w:sz w:val="24"/>
                <w:szCs w:val="24"/>
                <w:highlight w:val="none"/>
              </w:rPr>
              <w:t>外，仅适用于磋商阶段的规定，按更正公告（澄清公告）、竞争性磋商公告、供应商须知、</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1"/>
                <w:sz w:val="24"/>
                <w:szCs w:val="24"/>
                <w:highlight w:val="none"/>
              </w:rPr>
              <w:t xml:space="preserve">采购需求、评审程序、评审方法和评审标准、响应文件格式、合同条款及格式的先后顺序 </w:t>
            </w:r>
            <w:r>
              <w:rPr>
                <w:rFonts w:hint="eastAsia" w:ascii="宋体" w:hAnsi="宋体" w:eastAsia="宋体" w:cs="宋体"/>
                <w:color w:val="auto"/>
                <w:spacing w:val="8"/>
                <w:sz w:val="24"/>
                <w:szCs w:val="24"/>
                <w:highlight w:val="none"/>
              </w:rPr>
              <w:t>解释；</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同一组成文件中就同一事项的规定或者约定不一致的，以编排顺序在后</w:t>
            </w:r>
            <w:r>
              <w:rPr>
                <w:rFonts w:hint="eastAsia" w:ascii="宋体" w:hAnsi="宋体" w:eastAsia="宋体" w:cs="宋体"/>
                <w:color w:val="auto"/>
                <w:spacing w:val="7"/>
                <w:sz w:val="24"/>
                <w:szCs w:val="24"/>
                <w:highlight w:val="none"/>
              </w:rPr>
              <w:t xml:space="preserve">者为准；同 </w:t>
            </w:r>
            <w:r>
              <w:rPr>
                <w:rFonts w:hint="eastAsia" w:ascii="宋体" w:hAnsi="宋体" w:eastAsia="宋体" w:cs="宋体"/>
                <w:color w:val="auto"/>
                <w:spacing w:val="10"/>
                <w:sz w:val="24"/>
                <w:szCs w:val="24"/>
                <w:highlight w:val="none"/>
              </w:rPr>
              <w:t>一组成文件不同版本之间有不一致的，</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10"/>
                <w:sz w:val="24"/>
                <w:szCs w:val="24"/>
                <w:highlight w:val="none"/>
              </w:rPr>
              <w:t>以形成时间在后者为准；更正公告（澄清公告）</w:t>
            </w:r>
            <w:r>
              <w:rPr>
                <w:rFonts w:hint="eastAsia" w:ascii="宋体" w:hAnsi="宋体" w:eastAsia="宋体" w:cs="宋体"/>
                <w:color w:val="auto"/>
                <w:spacing w:val="9"/>
                <w:sz w:val="24"/>
                <w:szCs w:val="24"/>
                <w:highlight w:val="none"/>
              </w:rPr>
              <w:t xml:space="preserve">与 </w:t>
            </w:r>
            <w:r>
              <w:rPr>
                <w:rFonts w:hint="eastAsia" w:ascii="宋体" w:hAnsi="宋体" w:eastAsia="宋体" w:cs="宋体"/>
                <w:color w:val="auto"/>
                <w:spacing w:val="11"/>
                <w:sz w:val="24"/>
                <w:szCs w:val="24"/>
                <w:highlight w:val="none"/>
              </w:rPr>
              <w:t xml:space="preserve">同步更新的磋商文件不一致时以更正公告（澄清公告）为准。按本款前述规定仍不能形成 </w:t>
            </w:r>
            <w:r>
              <w:rPr>
                <w:rFonts w:hint="eastAsia" w:ascii="宋体" w:hAnsi="宋体" w:eastAsia="宋体" w:cs="宋体"/>
                <w:color w:val="auto"/>
                <w:spacing w:val="7"/>
                <w:sz w:val="24"/>
                <w:szCs w:val="24"/>
                <w:highlight w:val="none"/>
              </w:rPr>
              <w:t>结论的，由采购人或者采购代理机构负责解释。</w:t>
            </w:r>
          </w:p>
        </w:tc>
      </w:tr>
      <w:tr w14:paraId="124B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845" w:type="dxa"/>
            <w:vAlign w:val="top"/>
          </w:tcPr>
          <w:p w14:paraId="10E2FC3F">
            <w:pPr>
              <w:spacing w:line="272" w:lineRule="auto"/>
              <w:rPr>
                <w:rFonts w:hint="eastAsia" w:ascii="宋体" w:hAnsi="宋体" w:eastAsia="宋体" w:cs="宋体"/>
                <w:color w:val="auto"/>
                <w:sz w:val="24"/>
                <w:szCs w:val="24"/>
                <w:highlight w:val="none"/>
              </w:rPr>
            </w:pPr>
          </w:p>
          <w:p w14:paraId="759385EA">
            <w:pPr>
              <w:spacing w:line="272" w:lineRule="auto"/>
              <w:rPr>
                <w:rFonts w:hint="eastAsia" w:ascii="宋体" w:hAnsi="宋体" w:eastAsia="宋体" w:cs="宋体"/>
                <w:color w:val="auto"/>
                <w:sz w:val="24"/>
                <w:szCs w:val="24"/>
                <w:highlight w:val="none"/>
              </w:rPr>
            </w:pPr>
          </w:p>
          <w:p w14:paraId="25C5FC9D">
            <w:pPr>
              <w:spacing w:line="272" w:lineRule="auto"/>
              <w:rPr>
                <w:rFonts w:hint="eastAsia" w:ascii="宋体" w:hAnsi="宋体" w:eastAsia="宋体" w:cs="宋体"/>
                <w:color w:val="auto"/>
                <w:sz w:val="24"/>
                <w:szCs w:val="24"/>
                <w:highlight w:val="none"/>
              </w:rPr>
            </w:pPr>
          </w:p>
          <w:p w14:paraId="65D31769">
            <w:pPr>
              <w:spacing w:line="273" w:lineRule="auto"/>
              <w:rPr>
                <w:rFonts w:hint="eastAsia" w:ascii="宋体" w:hAnsi="宋体" w:eastAsia="宋体" w:cs="宋体"/>
                <w:color w:val="auto"/>
                <w:sz w:val="24"/>
                <w:szCs w:val="24"/>
                <w:highlight w:val="none"/>
              </w:rPr>
            </w:pPr>
          </w:p>
          <w:p w14:paraId="270A969F">
            <w:pPr>
              <w:spacing w:line="273" w:lineRule="auto"/>
              <w:rPr>
                <w:rFonts w:hint="eastAsia" w:ascii="宋体" w:hAnsi="宋体" w:eastAsia="宋体" w:cs="宋体"/>
                <w:color w:val="auto"/>
                <w:sz w:val="24"/>
                <w:szCs w:val="24"/>
                <w:highlight w:val="none"/>
              </w:rPr>
            </w:pPr>
          </w:p>
          <w:p w14:paraId="362A6B03">
            <w:pPr>
              <w:spacing w:line="273" w:lineRule="auto"/>
              <w:rPr>
                <w:rFonts w:hint="eastAsia" w:ascii="宋体" w:hAnsi="宋体" w:eastAsia="宋体" w:cs="宋体"/>
                <w:color w:val="auto"/>
                <w:sz w:val="24"/>
                <w:szCs w:val="24"/>
                <w:highlight w:val="none"/>
              </w:rPr>
            </w:pPr>
          </w:p>
          <w:p w14:paraId="42E6BBBE">
            <w:pPr>
              <w:spacing w:line="273" w:lineRule="auto"/>
              <w:rPr>
                <w:rFonts w:hint="eastAsia" w:ascii="宋体" w:hAnsi="宋体" w:eastAsia="宋体" w:cs="宋体"/>
                <w:color w:val="auto"/>
                <w:sz w:val="24"/>
                <w:szCs w:val="24"/>
                <w:highlight w:val="none"/>
              </w:rPr>
            </w:pPr>
          </w:p>
          <w:p w14:paraId="3B54CC8B">
            <w:pPr>
              <w:pStyle w:val="23"/>
              <w:spacing w:before="65" w:line="189" w:lineRule="auto"/>
              <w:ind w:left="2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33.2</w:t>
            </w:r>
          </w:p>
        </w:tc>
        <w:tc>
          <w:tcPr>
            <w:tcW w:w="8809" w:type="dxa"/>
            <w:vAlign w:val="top"/>
          </w:tcPr>
          <w:p w14:paraId="4122D8EB">
            <w:pPr>
              <w:pStyle w:val="23"/>
              <w:spacing w:before="142" w:line="401" w:lineRule="exact"/>
              <w:ind w:left="126"/>
              <w:rPr>
                <w:rFonts w:hint="eastAsia" w:ascii="宋体" w:hAnsi="宋体" w:eastAsia="宋体" w:cs="宋体"/>
                <w:color w:val="auto"/>
                <w:sz w:val="24"/>
                <w:szCs w:val="24"/>
                <w:highlight w:val="none"/>
              </w:rPr>
            </w:pPr>
            <w:r>
              <w:rPr>
                <w:rFonts w:hint="eastAsia" w:ascii="宋体" w:hAnsi="宋体" w:eastAsia="宋体" w:cs="宋体"/>
                <w:color w:val="auto"/>
                <w:spacing w:val="10"/>
                <w:position w:val="14"/>
                <w:sz w:val="24"/>
                <w:szCs w:val="24"/>
                <w:highlight w:val="none"/>
              </w:rPr>
              <w:t>1.本磋商文件中描述供应商的“公章</w:t>
            </w:r>
            <w:r>
              <w:rPr>
                <w:rFonts w:hint="eastAsia" w:ascii="宋体" w:hAnsi="宋体" w:eastAsia="宋体" w:cs="宋体"/>
                <w:color w:val="auto"/>
                <w:spacing w:val="-67"/>
                <w:position w:val="14"/>
                <w:sz w:val="24"/>
                <w:szCs w:val="24"/>
                <w:highlight w:val="none"/>
              </w:rPr>
              <w:t xml:space="preserve"> </w:t>
            </w:r>
            <w:r>
              <w:rPr>
                <w:rFonts w:hint="eastAsia" w:ascii="宋体" w:hAnsi="宋体" w:eastAsia="宋体" w:cs="宋体"/>
                <w:color w:val="auto"/>
                <w:spacing w:val="10"/>
                <w:position w:val="14"/>
                <w:sz w:val="24"/>
                <w:szCs w:val="24"/>
                <w:highlight w:val="none"/>
              </w:rPr>
              <w:t>”是指供应商通过指定电子化政府采购平</w:t>
            </w:r>
            <w:r>
              <w:rPr>
                <w:rFonts w:hint="eastAsia" w:ascii="宋体" w:hAnsi="宋体" w:eastAsia="宋体" w:cs="宋体"/>
                <w:color w:val="auto"/>
                <w:spacing w:val="9"/>
                <w:sz w:val="24"/>
                <w:szCs w:val="24"/>
                <w:highlight w:val="none"/>
              </w:rPr>
              <w:t>台办理数字证书（</w:t>
            </w:r>
            <w:r>
              <w:rPr>
                <w:rFonts w:hint="eastAsia" w:ascii="宋体" w:hAnsi="宋体" w:eastAsia="宋体" w:cs="宋体"/>
                <w:color w:val="auto"/>
                <w:sz w:val="24"/>
                <w:szCs w:val="24"/>
                <w:highlight w:val="none"/>
              </w:rPr>
              <w:t>CA</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9"/>
                <w:sz w:val="24"/>
                <w:szCs w:val="24"/>
                <w:highlight w:val="none"/>
              </w:rPr>
              <w:t>认证）获得的以法定主体行为名称制作的电子印章。</w:t>
            </w:r>
          </w:p>
          <w:p w14:paraId="600527DF">
            <w:pPr>
              <w:pStyle w:val="23"/>
              <w:spacing w:before="121" w:line="297" w:lineRule="auto"/>
              <w:ind w:left="111" w:right="109" w:firstLine="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2.供应商为其他组织或者自然人时，本磋商文件规定的法定代表人指负责人或者自然人。</w:t>
            </w:r>
            <w:r>
              <w:rPr>
                <w:rFonts w:hint="eastAsia" w:ascii="宋体" w:hAnsi="宋体" w:eastAsia="宋体" w:cs="宋体"/>
                <w:color w:val="auto"/>
                <w:spacing w:val="12"/>
                <w:sz w:val="24"/>
                <w:szCs w:val="24"/>
                <w:highlight w:val="none"/>
              </w:rPr>
              <w:t>本磋商文件所称负责人是指参加磋商的其他</w:t>
            </w:r>
            <w:r>
              <w:rPr>
                <w:rFonts w:hint="eastAsia" w:ascii="宋体" w:hAnsi="宋体" w:eastAsia="宋体" w:cs="宋体"/>
                <w:color w:val="auto"/>
                <w:spacing w:val="11"/>
                <w:sz w:val="24"/>
                <w:szCs w:val="24"/>
                <w:highlight w:val="none"/>
              </w:rPr>
              <w:t>组织营业执照上的负责人，本磋商文件所称自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然人指参与磋商的自然人本人。</w:t>
            </w:r>
          </w:p>
          <w:p w14:paraId="560E13CE">
            <w:pPr>
              <w:pStyle w:val="23"/>
              <w:spacing w:before="115" w:line="297" w:lineRule="auto"/>
              <w:ind w:left="110" w:right="109"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3.本磋商文件中描述供应商的“签字</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10"/>
                <w:sz w:val="24"/>
                <w:szCs w:val="24"/>
                <w:highlight w:val="none"/>
              </w:rPr>
              <w:t>”是指供应商通过指定电子化政府采购平台办理数字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证书（</w:t>
            </w:r>
            <w:r>
              <w:rPr>
                <w:rFonts w:hint="eastAsia" w:ascii="宋体" w:hAnsi="宋体" w:eastAsia="宋体" w:cs="宋体"/>
                <w:color w:val="auto"/>
                <w:sz w:val="24"/>
                <w:szCs w:val="24"/>
                <w:highlight w:val="none"/>
              </w:rPr>
              <w:t>CA</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10"/>
                <w:sz w:val="24"/>
                <w:szCs w:val="24"/>
                <w:highlight w:val="none"/>
              </w:rPr>
              <w:t>认证）获得的以供应商法定代表人或者委托代理人姓名制作的电子印章或手写签</w:t>
            </w:r>
            <w:r>
              <w:rPr>
                <w:rFonts w:hint="eastAsia" w:ascii="宋体" w:hAnsi="宋体" w:eastAsia="宋体" w:cs="宋体"/>
                <w:color w:val="auto"/>
                <w:sz w:val="24"/>
                <w:szCs w:val="24"/>
                <w:highlight w:val="none"/>
              </w:rPr>
              <w:t xml:space="preserve"> 字。</w:t>
            </w:r>
          </w:p>
          <w:p w14:paraId="543941ED">
            <w:pPr>
              <w:pStyle w:val="23"/>
              <w:spacing w:before="114" w:line="227"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7"/>
                <w:sz w:val="24"/>
                <w:szCs w:val="24"/>
                <w:highlight w:val="none"/>
              </w:rPr>
              <w:t>自然人磋商的，磋商文件规定盖公章处由自然人摁手指指印。</w:t>
            </w:r>
          </w:p>
          <w:p w14:paraId="453F9BE7">
            <w:pPr>
              <w:pStyle w:val="23"/>
              <w:spacing w:before="113" w:line="280" w:lineRule="auto"/>
              <w:ind w:left="111" w:right="107" w:firstLine="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5.本磋商文件所称的“</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1"/>
                <w:sz w:val="24"/>
                <w:szCs w:val="24"/>
                <w:highlight w:val="none"/>
              </w:rPr>
              <w:t>以上</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
                <w:sz w:val="24"/>
                <w:szCs w:val="24"/>
                <w:highlight w:val="none"/>
              </w:rPr>
              <w:t>以下</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”“以内</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”“届满</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”，包括本数；所称</w:t>
            </w:r>
            <w:r>
              <w:rPr>
                <w:rFonts w:hint="eastAsia" w:ascii="宋体" w:hAnsi="宋体" w:eastAsia="宋体" w:cs="宋体"/>
                <w:color w:val="auto"/>
                <w:sz w:val="24"/>
                <w:szCs w:val="24"/>
                <w:highlight w:val="none"/>
              </w:rPr>
              <w:t>的“不满</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 xml:space="preserve">”“超 </w:t>
            </w:r>
            <w:r>
              <w:rPr>
                <w:rFonts w:hint="eastAsia" w:ascii="宋体" w:hAnsi="宋体" w:eastAsia="宋体" w:cs="宋体"/>
                <w:color w:val="auto"/>
                <w:spacing w:val="1"/>
                <w:sz w:val="24"/>
                <w:szCs w:val="24"/>
                <w:highlight w:val="none"/>
              </w:rPr>
              <w:t>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1"/>
                <w:sz w:val="24"/>
                <w:szCs w:val="24"/>
                <w:highlight w:val="none"/>
              </w:rPr>
              <w:t>以外</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
                <w:sz w:val="24"/>
                <w:szCs w:val="24"/>
                <w:highlight w:val="none"/>
              </w:rPr>
              <w:t>”，不包括本数。</w:t>
            </w:r>
          </w:p>
        </w:tc>
      </w:tr>
    </w:tbl>
    <w:p w14:paraId="7510FCF5">
      <w:pPr>
        <w:pStyle w:val="8"/>
        <w:rPr>
          <w:color w:val="auto"/>
          <w:highlight w:val="none"/>
        </w:rPr>
      </w:pPr>
    </w:p>
    <w:p w14:paraId="2EE40BD0">
      <w:pPr>
        <w:rPr>
          <w:color w:val="auto"/>
          <w:highlight w:val="none"/>
        </w:rPr>
        <w:sectPr>
          <w:footerReference r:id="rId8" w:type="default"/>
          <w:pgSz w:w="11905" w:h="16838"/>
          <w:pgMar w:top="1134" w:right="1134" w:bottom="1134" w:left="1134" w:header="0" w:footer="992" w:gutter="0"/>
          <w:pgNumType w:fmt="decimal"/>
          <w:cols w:space="0" w:num="1"/>
          <w:rtlGutter w:val="0"/>
          <w:docGrid w:linePitch="0" w:charSpace="0"/>
        </w:sectPr>
      </w:pPr>
    </w:p>
    <w:p w14:paraId="7A9F662F">
      <w:pPr>
        <w:spacing w:before="63" w:line="802" w:lineRule="exact"/>
        <w:ind w:left="3319"/>
        <w:rPr>
          <w:rFonts w:ascii="宋体" w:hAnsi="宋体" w:eastAsia="宋体" w:cs="宋体"/>
          <w:color w:val="auto"/>
          <w:sz w:val="31"/>
          <w:szCs w:val="31"/>
          <w:highlight w:val="none"/>
        </w:rPr>
      </w:pPr>
      <w:r>
        <w:rPr>
          <w:rFonts w:ascii="宋体" w:hAnsi="宋体" w:eastAsia="宋体" w:cs="宋体"/>
          <w:color w:val="auto"/>
          <w:spacing w:val="9"/>
          <w:position w:val="37"/>
          <w:sz w:val="31"/>
          <w:szCs w:val="31"/>
          <w:highlight w:val="none"/>
          <w14:textOutline w14:w="5793" w14:cap="sq" w14:cmpd="sng">
            <w14:solidFill>
              <w14:srgbClr w14:val="000000"/>
            </w14:solidFill>
            <w14:prstDash w14:val="solid"/>
            <w14:bevel/>
          </w14:textOutline>
        </w:rPr>
        <w:t>供应商须知正文</w:t>
      </w:r>
    </w:p>
    <w:p w14:paraId="052E36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一、总则</w:t>
      </w:r>
    </w:p>
    <w:p w14:paraId="15D8B81A">
      <w:pPr>
        <w:bidi w:val="0"/>
        <w:rPr>
          <w:rFonts w:hint="eastAsia"/>
          <w:color w:val="auto"/>
          <w:highlight w:val="none"/>
        </w:rPr>
      </w:pPr>
    </w:p>
    <w:p w14:paraId="721C5405">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1"/>
        <w:rPr>
          <w:rFonts w:hint="eastAsia" w:ascii="宋体" w:hAnsi="宋体" w:eastAsia="宋体" w:cs="宋体"/>
          <w:color w:val="auto"/>
          <w:sz w:val="24"/>
          <w:szCs w:val="24"/>
          <w:highlight w:val="none"/>
        </w:rPr>
      </w:pPr>
      <w:bookmarkStart w:id="5" w:name="_Toc27821"/>
      <w:r>
        <w:rPr>
          <w:rFonts w:hint="eastAsia" w:ascii="宋体" w:hAnsi="宋体" w:eastAsia="宋体" w:cs="宋体"/>
          <w:color w:val="auto"/>
          <w:spacing w:val="-4"/>
          <w:sz w:val="24"/>
          <w:szCs w:val="24"/>
          <w:highlight w:val="none"/>
          <w14:textOutline w14:w="4358" w14:cap="sq" w14:cmpd="sng">
            <w14:solidFill>
              <w14:srgbClr w14:val="000000"/>
            </w14:solidFill>
            <w14:prstDash w14:val="solid"/>
            <w14:bevel/>
          </w14:textOutline>
        </w:rPr>
        <w:t>1.适用范围</w:t>
      </w:r>
      <w:bookmarkEnd w:id="5"/>
    </w:p>
    <w:p w14:paraId="67F1CE5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6" w:name="_Toc1537"/>
      <w:r>
        <w:rPr>
          <w:rFonts w:hint="eastAsia" w:ascii="宋体" w:hAnsi="宋体" w:eastAsia="宋体" w:cs="宋体"/>
          <w:color w:val="auto"/>
          <w:spacing w:val="6"/>
          <w:sz w:val="24"/>
          <w:szCs w:val="24"/>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bookmarkEnd w:id="6"/>
    </w:p>
    <w:p w14:paraId="5C955BFA">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7" w:name="_Toc2511"/>
      <w:r>
        <w:rPr>
          <w:rFonts w:hint="eastAsia" w:ascii="宋体" w:hAnsi="宋体" w:eastAsia="宋体" w:cs="宋体"/>
          <w:color w:val="auto"/>
          <w:spacing w:val="6"/>
          <w:sz w:val="24"/>
          <w:szCs w:val="24"/>
          <w:highlight w:val="none"/>
        </w:rPr>
        <w:t>1.2 本竞争性磋商文件（以下简称磋商文件）适用于本项目的所有采购程序和环节（法律、法规另有规定的，从其规定）。</w:t>
      </w:r>
      <w:bookmarkEnd w:id="7"/>
    </w:p>
    <w:p w14:paraId="71A3EF08">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1"/>
        <w:rPr>
          <w:rFonts w:hint="eastAsia" w:ascii="宋体" w:hAnsi="宋体" w:eastAsia="宋体" w:cs="宋体"/>
          <w:color w:val="auto"/>
          <w:sz w:val="24"/>
          <w:szCs w:val="24"/>
          <w:highlight w:val="none"/>
        </w:rPr>
      </w:pPr>
      <w:bookmarkStart w:id="8" w:name="_Toc30133"/>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2.定义</w:t>
      </w:r>
      <w:bookmarkEnd w:id="8"/>
    </w:p>
    <w:p w14:paraId="78EFC86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9" w:name="_Toc22525"/>
      <w:r>
        <w:rPr>
          <w:rFonts w:hint="eastAsia" w:ascii="宋体" w:hAnsi="宋体" w:eastAsia="宋体" w:cs="宋体"/>
          <w:color w:val="auto"/>
          <w:spacing w:val="6"/>
          <w:sz w:val="24"/>
          <w:szCs w:val="24"/>
          <w:highlight w:val="none"/>
        </w:rPr>
        <w:t>2.1“采购人 ”是指依法进行政府采购的国家机关、事业单位、团体组织。</w:t>
      </w:r>
      <w:bookmarkEnd w:id="9"/>
    </w:p>
    <w:p w14:paraId="22710DA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0" w:name="_Toc23401"/>
      <w:r>
        <w:rPr>
          <w:rFonts w:hint="eastAsia" w:ascii="宋体" w:hAnsi="宋体" w:eastAsia="宋体" w:cs="宋体"/>
          <w:color w:val="auto"/>
          <w:spacing w:val="6"/>
          <w:sz w:val="24"/>
          <w:szCs w:val="24"/>
          <w:highlight w:val="none"/>
        </w:rPr>
        <w:t>2.2“采购代理机构 ”是指政府采购代理机构（以下简称采购代理机构）是指集中采购机构以外、受采购人委托从事政府采购代理业务的社会中介机构。</w:t>
      </w:r>
      <w:bookmarkEnd w:id="10"/>
    </w:p>
    <w:p w14:paraId="0893977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1" w:name="_Toc15818"/>
      <w:r>
        <w:rPr>
          <w:rFonts w:hint="eastAsia" w:ascii="宋体" w:hAnsi="宋体" w:eastAsia="宋体" w:cs="宋体"/>
          <w:color w:val="auto"/>
          <w:spacing w:val="6"/>
          <w:sz w:val="24"/>
          <w:szCs w:val="24"/>
          <w:highlight w:val="none"/>
        </w:rPr>
        <w:t>2.3“供应商 ”是指向采购人提供货物、工程或者服务的法人、其他组织或者自然人。</w:t>
      </w:r>
      <w:bookmarkEnd w:id="11"/>
    </w:p>
    <w:p w14:paraId="63B6E9E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2" w:name="_Toc20076"/>
      <w:r>
        <w:rPr>
          <w:rFonts w:hint="eastAsia" w:ascii="宋体" w:hAnsi="宋体" w:eastAsia="宋体" w:cs="宋体"/>
          <w:color w:val="auto"/>
          <w:spacing w:val="6"/>
          <w:sz w:val="24"/>
          <w:szCs w:val="24"/>
          <w:highlight w:val="none"/>
        </w:rPr>
        <w:t>2.4“工程 ”是指建设工程，包括建筑物和构筑物的新建、改建、扩建、装修、拆除、修缮等。</w:t>
      </w:r>
      <w:bookmarkEnd w:id="12"/>
    </w:p>
    <w:p w14:paraId="187CC6A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3" w:name="_Toc15398"/>
      <w:r>
        <w:rPr>
          <w:rFonts w:hint="eastAsia" w:ascii="宋体" w:hAnsi="宋体" w:eastAsia="宋体" w:cs="宋体"/>
          <w:color w:val="auto"/>
          <w:spacing w:val="6"/>
          <w:sz w:val="24"/>
          <w:szCs w:val="24"/>
          <w:highlight w:val="none"/>
        </w:rPr>
        <w:t>2.5“磋商 ”是指供应商按照本项目竞争性磋商公告规定的方式获取磋商文件、提交响应文件并希望获得标的的行为。</w:t>
      </w:r>
      <w:bookmarkEnd w:id="13"/>
    </w:p>
    <w:p w14:paraId="5CBDC9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4" w:name="_Toc32582"/>
      <w:r>
        <w:rPr>
          <w:rFonts w:hint="eastAsia" w:ascii="宋体" w:hAnsi="宋体" w:eastAsia="宋体" w:cs="宋体"/>
          <w:color w:val="auto"/>
          <w:spacing w:val="6"/>
          <w:sz w:val="24"/>
          <w:szCs w:val="24"/>
          <w:highlight w:val="none"/>
        </w:rPr>
        <w:t>2.6“响应文件 ”是指：供应商根据本磋商文件要求，编制包含资格证明、商务</w:t>
      </w:r>
      <w:r>
        <w:rPr>
          <w:rFonts w:hint="eastAsia" w:ascii="宋体" w:hAnsi="宋体" w:eastAsia="宋体" w:cs="宋体"/>
          <w:color w:val="auto"/>
          <w:spacing w:val="6"/>
          <w:sz w:val="24"/>
          <w:szCs w:val="24"/>
          <w:highlight w:val="none"/>
          <w:lang w:val="en-US" w:eastAsia="zh-CN"/>
        </w:rPr>
        <w:t>文件、报价文件</w:t>
      </w:r>
      <w:r>
        <w:rPr>
          <w:rFonts w:hint="eastAsia" w:ascii="宋体" w:hAnsi="宋体" w:eastAsia="宋体" w:cs="宋体"/>
          <w:color w:val="auto"/>
          <w:spacing w:val="6"/>
          <w:sz w:val="24"/>
          <w:szCs w:val="24"/>
          <w:highlight w:val="none"/>
        </w:rPr>
        <w:t>、技术文件等所有内容的文件。</w:t>
      </w:r>
      <w:bookmarkEnd w:id="14"/>
    </w:p>
    <w:p w14:paraId="77E75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5" w:name="_Toc3951"/>
      <w:r>
        <w:rPr>
          <w:rFonts w:hint="eastAsia" w:ascii="宋体" w:hAnsi="宋体" w:eastAsia="宋体" w:cs="宋体"/>
          <w:color w:val="auto"/>
          <w:spacing w:val="6"/>
          <w:sz w:val="24"/>
          <w:szCs w:val="24"/>
          <w:highlight w:val="none"/>
        </w:rPr>
        <w:t>2.7“实质性要求 ”是指磋商文件中已经指明不满足则响应文件按无效响应处理的条款，或者不能负偏离的条款，或者采购需求中带“▲ ”的条款。</w:t>
      </w:r>
      <w:bookmarkEnd w:id="15"/>
    </w:p>
    <w:p w14:paraId="636510F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6" w:name="_Toc5895"/>
      <w:r>
        <w:rPr>
          <w:rFonts w:hint="eastAsia" w:ascii="宋体" w:hAnsi="宋体" w:eastAsia="宋体" w:cs="宋体"/>
          <w:color w:val="auto"/>
          <w:spacing w:val="6"/>
          <w:sz w:val="24"/>
          <w:szCs w:val="24"/>
          <w:highlight w:val="none"/>
        </w:rPr>
        <w:t>2.8“正偏离 ”，是指响应文件对磋商文件“采购需求 ”中有关条款作出的响应优于条款要求并有利于采购人的情形。</w:t>
      </w:r>
      <w:bookmarkEnd w:id="16"/>
    </w:p>
    <w:p w14:paraId="2A7BE15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7" w:name="_Toc18931"/>
      <w:r>
        <w:rPr>
          <w:rFonts w:hint="eastAsia" w:ascii="宋体" w:hAnsi="宋体" w:eastAsia="宋体" w:cs="宋体"/>
          <w:color w:val="auto"/>
          <w:spacing w:val="6"/>
          <w:sz w:val="24"/>
          <w:szCs w:val="24"/>
          <w:highlight w:val="none"/>
        </w:rPr>
        <w:t>2.9“负偏离 ”，是指响应文件对磋商文件“采购需求 ”中有关条款作出的响应不满足条款要求，导致采购人要求不能得到满足的情形。</w:t>
      </w:r>
      <w:bookmarkEnd w:id="17"/>
    </w:p>
    <w:p w14:paraId="720E3E0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18" w:name="_Toc15938"/>
      <w:r>
        <w:rPr>
          <w:rFonts w:hint="eastAsia" w:ascii="宋体" w:hAnsi="宋体" w:eastAsia="宋体" w:cs="宋体"/>
          <w:color w:val="auto"/>
          <w:spacing w:val="6"/>
          <w:sz w:val="24"/>
          <w:szCs w:val="24"/>
          <w:highlight w:val="none"/>
        </w:rPr>
        <w:t>2.10“允许负偏离的条款 ”是指采购需求中的不属于“实质性要求 ”的条款。</w:t>
      </w:r>
      <w:bookmarkEnd w:id="18"/>
    </w:p>
    <w:p w14:paraId="4DD1F55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lang w:eastAsia="zh-CN"/>
        </w:rPr>
      </w:pPr>
      <w:bookmarkStart w:id="19" w:name="_Toc15248"/>
      <w:r>
        <w:rPr>
          <w:rFonts w:hint="eastAsia" w:ascii="宋体" w:hAnsi="宋体" w:eastAsia="宋体" w:cs="宋体"/>
          <w:color w:val="auto"/>
          <w:spacing w:val="6"/>
          <w:sz w:val="24"/>
          <w:szCs w:val="24"/>
          <w:highlight w:val="none"/>
        </w:rPr>
        <w:t>2.11“书面形式 ”是指合同书、信件和数据电文（包括电报、 电传、传真、 电子数据交换和电子邮件）等可以有形地表现所载内容的形式。</w:t>
      </w:r>
      <w:bookmarkEnd w:id="19"/>
    </w:p>
    <w:p w14:paraId="291FB8F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lang w:eastAsia="zh-CN"/>
        </w:rPr>
      </w:pPr>
      <w:bookmarkStart w:id="20" w:name="_Toc28837"/>
      <w:r>
        <w:rPr>
          <w:rFonts w:hint="eastAsia" w:ascii="宋体" w:hAnsi="宋体" w:eastAsia="宋体" w:cs="宋体"/>
          <w:color w:val="auto"/>
          <w:spacing w:val="6"/>
          <w:sz w:val="24"/>
          <w:szCs w:val="24"/>
          <w:highlight w:val="none"/>
        </w:rPr>
        <w:t>2.12“首次报价 ”是指供应商提交的首次响应文件中的报价。</w:t>
      </w:r>
      <w:bookmarkEnd w:id="20"/>
    </w:p>
    <w:p w14:paraId="4CAFBB6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1" w:name="_Toc22363"/>
      <w:r>
        <w:rPr>
          <w:rFonts w:hint="eastAsia" w:ascii="宋体" w:hAnsi="宋体" w:eastAsia="宋体" w:cs="宋体"/>
          <w:color w:val="auto"/>
          <w:spacing w:val="6"/>
          <w:sz w:val="24"/>
          <w:szCs w:val="24"/>
          <w:highlight w:val="none"/>
        </w:rPr>
        <w:t>2.13“评审价 ”是指供应商提交的最后报价并经修正（如有）和政策功能价格扣除（如有）后的价格。</w:t>
      </w:r>
      <w:bookmarkEnd w:id="21"/>
    </w:p>
    <w:p w14:paraId="3C80FDF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2" w:name="_Toc10892"/>
      <w:r>
        <w:rPr>
          <w:rFonts w:hint="eastAsia" w:ascii="宋体" w:hAnsi="宋体" w:eastAsia="宋体" w:cs="宋体"/>
          <w:color w:val="auto"/>
          <w:spacing w:val="6"/>
          <w:sz w:val="24"/>
          <w:szCs w:val="24"/>
          <w:highlight w:val="none"/>
        </w:rPr>
        <w:t>2.14 建设地点、建设范围、工期及质量要求、所属行业</w:t>
      </w:r>
      <w:bookmarkEnd w:id="22"/>
    </w:p>
    <w:p w14:paraId="0CD7D81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3" w:name="_Toc3952"/>
      <w:r>
        <w:rPr>
          <w:rFonts w:hint="eastAsia" w:ascii="宋体" w:hAnsi="宋体" w:eastAsia="宋体" w:cs="宋体"/>
          <w:color w:val="auto"/>
          <w:spacing w:val="6"/>
          <w:sz w:val="24"/>
          <w:szCs w:val="24"/>
          <w:highlight w:val="none"/>
        </w:rPr>
        <w:t>（1）本项目或本分标的建设地点：见“供应商须知前附表 ”。</w:t>
      </w:r>
      <w:bookmarkEnd w:id="23"/>
    </w:p>
    <w:p w14:paraId="5DB0376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4" w:name="_Toc10249"/>
      <w:r>
        <w:rPr>
          <w:rFonts w:hint="eastAsia" w:ascii="宋体" w:hAnsi="宋体" w:eastAsia="宋体" w:cs="宋体"/>
          <w:color w:val="auto"/>
          <w:spacing w:val="6"/>
          <w:sz w:val="24"/>
          <w:szCs w:val="24"/>
          <w:highlight w:val="none"/>
        </w:rPr>
        <w:t>（2）本项目或本分标的建设范围：见“供应商须知前附表 ”。</w:t>
      </w:r>
      <w:bookmarkEnd w:id="24"/>
    </w:p>
    <w:p w14:paraId="65EB149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5" w:name="_Toc8287"/>
      <w:r>
        <w:rPr>
          <w:rFonts w:hint="eastAsia" w:ascii="宋体" w:hAnsi="宋体" w:eastAsia="宋体" w:cs="宋体"/>
          <w:color w:val="auto"/>
          <w:spacing w:val="6"/>
          <w:sz w:val="24"/>
          <w:szCs w:val="24"/>
          <w:highlight w:val="none"/>
        </w:rPr>
        <w:t>（3）本项目或本分标的工期要求：见“供应商须知前附表 ”。</w:t>
      </w:r>
      <w:bookmarkEnd w:id="25"/>
    </w:p>
    <w:p w14:paraId="48E4232F">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6" w:name="_Toc26923"/>
      <w:r>
        <w:rPr>
          <w:rFonts w:hint="eastAsia" w:ascii="宋体" w:hAnsi="宋体" w:eastAsia="宋体" w:cs="宋体"/>
          <w:color w:val="auto"/>
          <w:spacing w:val="6"/>
          <w:sz w:val="24"/>
          <w:szCs w:val="24"/>
          <w:highlight w:val="none"/>
        </w:rPr>
        <w:t>（4）本项目或本分标的质量要求：见“供应商须知前附表 ”。</w:t>
      </w:r>
      <w:bookmarkEnd w:id="26"/>
    </w:p>
    <w:p w14:paraId="6E496FB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7" w:name="_Toc20683"/>
      <w:r>
        <w:rPr>
          <w:rFonts w:hint="eastAsia" w:ascii="宋体" w:hAnsi="宋体" w:eastAsia="宋体" w:cs="宋体"/>
          <w:color w:val="auto"/>
          <w:spacing w:val="6"/>
          <w:sz w:val="24"/>
          <w:szCs w:val="24"/>
          <w:highlight w:val="none"/>
        </w:rPr>
        <w:t>（5）本项目或本分标的其他要求：见“供应商须知前附表 ”。</w:t>
      </w:r>
      <w:bookmarkEnd w:id="27"/>
    </w:p>
    <w:p w14:paraId="2325FCA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color w:val="auto"/>
          <w:spacing w:val="6"/>
          <w:sz w:val="24"/>
          <w:szCs w:val="24"/>
          <w:highlight w:val="none"/>
        </w:rPr>
      </w:pPr>
      <w:bookmarkStart w:id="28" w:name="_Toc3474"/>
      <w:r>
        <w:rPr>
          <w:rFonts w:hint="eastAsia" w:ascii="宋体" w:hAnsi="宋体" w:eastAsia="宋体" w:cs="宋体"/>
          <w:color w:val="auto"/>
          <w:spacing w:val="6"/>
          <w:sz w:val="24"/>
          <w:szCs w:val="24"/>
          <w:highlight w:val="none"/>
        </w:rPr>
        <w:t>（6）本项目或本分标的所属行业：见“供应商须知前附表 ”。</w:t>
      </w:r>
      <w:bookmarkEnd w:id="28"/>
    </w:p>
    <w:p w14:paraId="1A5F842C">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29" w:name="_Toc3894"/>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3.供应商的资格条件</w:t>
      </w:r>
      <w:bookmarkEnd w:id="29"/>
    </w:p>
    <w:p w14:paraId="4E00916D">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30" w:name="_Toc27026"/>
      <w:r>
        <w:rPr>
          <w:rFonts w:hint="eastAsia" w:ascii="宋体" w:hAnsi="宋体" w:eastAsia="宋体" w:cs="宋体"/>
          <w:color w:val="auto"/>
          <w:spacing w:val="9"/>
          <w:sz w:val="24"/>
          <w:szCs w:val="24"/>
          <w:highlight w:val="none"/>
        </w:rPr>
        <w:t>供应商的资格条件详见“供应商须知前附表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9"/>
          <w:sz w:val="24"/>
          <w:szCs w:val="24"/>
          <w:highlight w:val="none"/>
        </w:rPr>
        <w:t>”。</w:t>
      </w:r>
      <w:bookmarkEnd w:id="30"/>
    </w:p>
    <w:p w14:paraId="6874E353">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31" w:name="_Toc26391"/>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4.磋商费用</w:t>
      </w:r>
      <w:bookmarkEnd w:id="31"/>
    </w:p>
    <w:p w14:paraId="7A0C085A">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20"/>
          <w:sz w:val="24"/>
          <w:szCs w:val="24"/>
          <w:highlight w:val="none"/>
        </w:rPr>
        <w:t>供应商应承担参与本次采购活动有关的所有费用，包括但不限于获取磋商文件、勘查</w:t>
      </w:r>
      <w:r>
        <w:rPr>
          <w:rFonts w:hint="eastAsia" w:ascii="宋体" w:hAnsi="宋体" w:eastAsia="宋体" w:cs="宋体"/>
          <w:color w:val="auto"/>
          <w:spacing w:val="10"/>
          <w:position w:val="20"/>
          <w:sz w:val="24"/>
          <w:szCs w:val="24"/>
          <w:highlight w:val="none"/>
        </w:rPr>
        <w:t>现场、编制和提交响应文件、参加磋商与应答、签订合同等，不论磋商结果如何，均应自行承担。</w:t>
      </w:r>
    </w:p>
    <w:p w14:paraId="41C62DE2">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32" w:name="_Toc241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5.联合体磋商</w:t>
      </w:r>
      <w:bookmarkEnd w:id="32"/>
    </w:p>
    <w:p w14:paraId="35A208F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33" w:name="_Toc20392"/>
      <w:r>
        <w:rPr>
          <w:rFonts w:hint="eastAsia" w:ascii="宋体" w:hAnsi="宋体" w:eastAsia="宋体" w:cs="宋体"/>
          <w:color w:val="auto"/>
          <w:spacing w:val="8"/>
          <w:sz w:val="24"/>
          <w:szCs w:val="24"/>
          <w:highlight w:val="none"/>
        </w:rPr>
        <w:t>5.1</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8"/>
          <w:sz w:val="24"/>
          <w:szCs w:val="24"/>
          <w:highlight w:val="none"/>
        </w:rPr>
        <w:t>本项目是否接受联合体磋商，详见“供应商须知前附表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w:t>
      </w:r>
      <w:bookmarkEnd w:id="33"/>
    </w:p>
    <w:p w14:paraId="3F6097F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34" w:name="_Toc15220"/>
      <w:r>
        <w:rPr>
          <w:rFonts w:hint="eastAsia" w:ascii="宋体" w:hAnsi="宋体" w:eastAsia="宋体" w:cs="宋体"/>
          <w:color w:val="auto"/>
          <w:spacing w:val="8"/>
          <w:sz w:val="24"/>
          <w:szCs w:val="24"/>
          <w:highlight w:val="none"/>
        </w:rPr>
        <w:t>5.2</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如接受联合体磋商，联合体磋商要求详见“供应商须知前附表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w:t>
      </w:r>
      <w:bookmarkEnd w:id="34"/>
    </w:p>
    <w:p w14:paraId="3639EB9B">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35" w:name="_Toc10762"/>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6.转包与分包</w:t>
      </w:r>
      <w:bookmarkEnd w:id="35"/>
    </w:p>
    <w:p w14:paraId="25BD1F3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1"/>
        <w:rPr>
          <w:rFonts w:hint="eastAsia" w:ascii="宋体" w:hAnsi="宋体" w:eastAsia="宋体" w:cs="宋体"/>
          <w:color w:val="auto"/>
          <w:sz w:val="24"/>
          <w:szCs w:val="24"/>
          <w:highlight w:val="none"/>
        </w:rPr>
      </w:pPr>
      <w:bookmarkStart w:id="36" w:name="_Toc16393"/>
      <w:r>
        <w:rPr>
          <w:rFonts w:hint="eastAsia" w:ascii="宋体" w:hAnsi="宋体" w:eastAsia="宋体" w:cs="宋体"/>
          <w:color w:val="auto"/>
          <w:spacing w:val="6"/>
          <w:sz w:val="24"/>
          <w:szCs w:val="24"/>
          <w:highlight w:val="none"/>
        </w:rPr>
        <w:t>6.1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6"/>
          <w:sz w:val="24"/>
          <w:szCs w:val="24"/>
          <w:highlight w:val="none"/>
        </w:rPr>
        <w:t>本项目不允许转包。</w:t>
      </w:r>
      <w:bookmarkEnd w:id="36"/>
    </w:p>
    <w:p w14:paraId="501D048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both"/>
        <w:textAlignment w:val="baseline"/>
        <w:outlineLvl w:val="1"/>
        <w:rPr>
          <w:rFonts w:hint="eastAsia" w:ascii="宋体" w:hAnsi="宋体" w:eastAsia="宋体" w:cs="宋体"/>
          <w:color w:val="auto"/>
          <w:sz w:val="24"/>
          <w:szCs w:val="24"/>
          <w:highlight w:val="none"/>
        </w:rPr>
      </w:pPr>
      <w:bookmarkStart w:id="37" w:name="_Toc12728"/>
      <w:r>
        <w:rPr>
          <w:rFonts w:hint="eastAsia" w:ascii="宋体" w:hAnsi="宋体" w:eastAsia="宋体" w:cs="宋体"/>
          <w:color w:val="auto"/>
          <w:spacing w:val="7"/>
          <w:sz w:val="24"/>
          <w:szCs w:val="24"/>
          <w:highlight w:val="none"/>
        </w:rPr>
        <w:t>6.2</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允许分包的非主体、非关键性工作，根据法律法规规定</w:t>
      </w:r>
      <w:r>
        <w:rPr>
          <w:rFonts w:hint="eastAsia" w:ascii="宋体" w:hAnsi="宋体" w:eastAsia="宋体" w:cs="宋体"/>
          <w:color w:val="auto"/>
          <w:spacing w:val="6"/>
          <w:sz w:val="24"/>
          <w:szCs w:val="24"/>
          <w:highlight w:val="none"/>
        </w:rPr>
        <w:t>承担该工作需要行政许可的，如该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工作由供应商自行承担，供应商应具备相应的行政许可，如供应商不具备相应的行政许可必须采</w:t>
      </w:r>
      <w:r>
        <w:rPr>
          <w:rFonts w:hint="eastAsia" w:ascii="宋体" w:hAnsi="宋体" w:eastAsia="宋体" w:cs="宋体"/>
          <w:color w:val="auto"/>
          <w:spacing w:val="9"/>
          <w:sz w:val="24"/>
          <w:szCs w:val="24"/>
          <w:highlight w:val="none"/>
        </w:rPr>
        <w:t>用分包的方式，但分包供应商应具备相应行政许可。</w:t>
      </w:r>
      <w:bookmarkEnd w:id="37"/>
    </w:p>
    <w:p w14:paraId="62A471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pacing w:val="8"/>
          <w:sz w:val="24"/>
          <w:szCs w:val="24"/>
          <w:highlight w:val="none"/>
          <w:lang w:eastAsia="zh-CN"/>
        </w:rPr>
      </w:pPr>
      <w:bookmarkStart w:id="38" w:name="_Toc30425"/>
      <w:r>
        <w:rPr>
          <w:rFonts w:hint="eastAsia" w:ascii="宋体" w:hAnsi="宋体" w:eastAsia="宋体" w:cs="宋体"/>
          <w:color w:val="auto"/>
          <w:spacing w:val="8"/>
          <w:sz w:val="24"/>
          <w:szCs w:val="24"/>
          <w:highlight w:val="none"/>
        </w:rPr>
        <w:t>6.3 本项目是否允许分包及分包要求详见“供应商须知前附表</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8"/>
          <w:sz w:val="24"/>
          <w:szCs w:val="24"/>
          <w:highlight w:val="none"/>
        </w:rPr>
        <w:t>”，本项目不允许违法分包。</w:t>
      </w:r>
      <w:bookmarkEnd w:id="38"/>
    </w:p>
    <w:p w14:paraId="15AA6F9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color w:val="auto"/>
          <w:sz w:val="24"/>
          <w:szCs w:val="24"/>
          <w:highlight w:val="none"/>
        </w:rPr>
      </w:pPr>
      <w:bookmarkStart w:id="39" w:name="_Toc31068"/>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7.特别说明</w:t>
      </w:r>
      <w:bookmarkEnd w:id="39"/>
    </w:p>
    <w:p w14:paraId="2EE8A67F">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position w:val="20"/>
          <w:sz w:val="24"/>
          <w:szCs w:val="24"/>
          <w:highlight w:val="none"/>
        </w:rPr>
        <w:t>7.1</w:t>
      </w:r>
      <w:r>
        <w:rPr>
          <w:rFonts w:hint="eastAsia" w:ascii="宋体" w:hAnsi="宋体" w:eastAsia="宋体" w:cs="宋体"/>
          <w:color w:val="auto"/>
          <w:spacing w:val="-37"/>
          <w:position w:val="20"/>
          <w:sz w:val="24"/>
          <w:szCs w:val="24"/>
          <w:highlight w:val="none"/>
        </w:rPr>
        <w:t xml:space="preserve"> </w:t>
      </w:r>
      <w:r>
        <w:rPr>
          <w:rFonts w:hint="eastAsia" w:ascii="宋体" w:hAnsi="宋体" w:eastAsia="宋体" w:cs="宋体"/>
          <w:color w:val="auto"/>
          <w:spacing w:val="7"/>
          <w:position w:val="20"/>
          <w:sz w:val="24"/>
          <w:szCs w:val="24"/>
          <w:highlight w:val="none"/>
        </w:rPr>
        <w:t>如果本磋商文件要求供应商提供资格、信誉、荣誉、业绩</w:t>
      </w:r>
      <w:r>
        <w:rPr>
          <w:rFonts w:hint="eastAsia" w:ascii="宋体" w:hAnsi="宋体" w:eastAsia="宋体" w:cs="宋体"/>
          <w:color w:val="auto"/>
          <w:spacing w:val="6"/>
          <w:position w:val="20"/>
          <w:sz w:val="24"/>
          <w:szCs w:val="24"/>
          <w:highlight w:val="none"/>
        </w:rPr>
        <w:t>与企业认证等材料的，则供应商所提供的以上材料必须为供应商所拥有。</w:t>
      </w:r>
    </w:p>
    <w:p w14:paraId="59DA35D6">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color w:val="auto"/>
          <w:spacing w:val="6"/>
          <w:position w:val="20"/>
          <w:sz w:val="24"/>
          <w:szCs w:val="24"/>
          <w:highlight w:val="none"/>
        </w:rPr>
      </w:pPr>
      <w:r>
        <w:rPr>
          <w:rFonts w:hint="eastAsia" w:ascii="宋体" w:hAnsi="宋体" w:eastAsia="宋体" w:cs="宋体"/>
          <w:color w:val="auto"/>
          <w:spacing w:val="7"/>
          <w:position w:val="20"/>
          <w:sz w:val="24"/>
          <w:szCs w:val="24"/>
          <w:highlight w:val="none"/>
        </w:rPr>
        <w:t>7.2</w:t>
      </w:r>
      <w:r>
        <w:rPr>
          <w:rFonts w:hint="eastAsia" w:ascii="宋体" w:hAnsi="宋体" w:eastAsia="宋体" w:cs="宋体"/>
          <w:color w:val="auto"/>
          <w:spacing w:val="-40"/>
          <w:position w:val="20"/>
          <w:sz w:val="24"/>
          <w:szCs w:val="24"/>
          <w:highlight w:val="none"/>
        </w:rPr>
        <w:t xml:space="preserve"> </w:t>
      </w:r>
      <w:r>
        <w:rPr>
          <w:rFonts w:hint="eastAsia" w:ascii="宋体" w:hAnsi="宋体" w:eastAsia="宋体" w:cs="宋体"/>
          <w:color w:val="auto"/>
          <w:spacing w:val="7"/>
          <w:position w:val="20"/>
          <w:sz w:val="24"/>
          <w:szCs w:val="24"/>
          <w:highlight w:val="none"/>
        </w:rPr>
        <w:t>供应商应仔细阅读磋商文件的所有内容，按照磋商文件的要求提</w:t>
      </w:r>
      <w:r>
        <w:rPr>
          <w:rFonts w:hint="eastAsia" w:ascii="宋体" w:hAnsi="宋体" w:eastAsia="宋体" w:cs="宋体"/>
          <w:color w:val="auto"/>
          <w:spacing w:val="6"/>
          <w:position w:val="20"/>
          <w:sz w:val="24"/>
          <w:szCs w:val="24"/>
          <w:highlight w:val="none"/>
        </w:rPr>
        <w:t>交响应文件，并对所提供的全部资料的真实性承担法律责任。</w:t>
      </w:r>
    </w:p>
    <w:p w14:paraId="65E86403">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color w:val="auto"/>
          <w:sz w:val="24"/>
          <w:szCs w:val="24"/>
          <w:highlight w:val="none"/>
        </w:rPr>
      </w:pPr>
      <w:bookmarkStart w:id="40" w:name="_Toc23243"/>
      <w:r>
        <w:rPr>
          <w:rFonts w:hint="eastAsia" w:ascii="宋体" w:hAnsi="宋体" w:eastAsia="宋体" w:cs="宋体"/>
          <w:color w:val="auto"/>
          <w:spacing w:val="7"/>
          <w:sz w:val="24"/>
          <w:szCs w:val="24"/>
          <w:highlight w:val="none"/>
        </w:rPr>
        <w:t>7.3</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7"/>
          <w:sz w:val="24"/>
          <w:szCs w:val="24"/>
          <w:highlight w:val="none"/>
        </w:rPr>
        <w:t>供应商在磋商活动中提供任何疑似虚假材料，将报监管部门查处</w:t>
      </w:r>
      <w:r>
        <w:rPr>
          <w:rFonts w:hint="eastAsia" w:ascii="宋体" w:hAnsi="宋体" w:eastAsia="宋体" w:cs="宋体"/>
          <w:color w:val="auto"/>
          <w:spacing w:val="6"/>
          <w:sz w:val="24"/>
          <w:szCs w:val="24"/>
          <w:highlight w:val="none"/>
        </w:rPr>
        <w:t>；签订合同后发现的，成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交供应商须依照《中华人民共和国消费者权益保护法》规定赔偿采购人，且民事赔偿并不免除违</w:t>
      </w:r>
      <w:r>
        <w:rPr>
          <w:rFonts w:hint="eastAsia" w:ascii="宋体" w:hAnsi="宋体" w:eastAsia="宋体" w:cs="宋体"/>
          <w:color w:val="auto"/>
          <w:spacing w:val="8"/>
          <w:sz w:val="24"/>
          <w:szCs w:val="24"/>
          <w:highlight w:val="none"/>
        </w:rPr>
        <w:t>法供应商的行政与刑事责任。</w:t>
      </w:r>
      <w:bookmarkEnd w:id="40"/>
    </w:p>
    <w:p w14:paraId="2485127E">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41" w:name="_Toc8069"/>
      <w:r>
        <w:rPr>
          <w:rFonts w:hint="eastAsia" w:ascii="宋体" w:hAnsi="宋体" w:eastAsia="宋体" w:cs="宋体"/>
          <w:color w:val="auto"/>
          <w:spacing w:val="9"/>
          <w:sz w:val="24"/>
          <w:szCs w:val="24"/>
          <w:highlight w:val="none"/>
        </w:rPr>
        <w:t>7.4</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9"/>
          <w:sz w:val="24"/>
          <w:szCs w:val="24"/>
          <w:highlight w:val="none"/>
        </w:rPr>
        <w:t>在政府采购活动中，采购人员及相关人员与供应商有下列利害关系之一</w:t>
      </w:r>
      <w:r>
        <w:rPr>
          <w:rFonts w:hint="eastAsia" w:ascii="宋体" w:hAnsi="宋体" w:eastAsia="宋体" w:cs="宋体"/>
          <w:color w:val="auto"/>
          <w:spacing w:val="8"/>
          <w:sz w:val="24"/>
          <w:szCs w:val="24"/>
          <w:highlight w:val="none"/>
        </w:rPr>
        <w:t>的，应当回避：</w:t>
      </w:r>
      <w:bookmarkEnd w:id="41"/>
    </w:p>
    <w:p w14:paraId="2E37C6D4">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color w:val="auto"/>
          <w:sz w:val="24"/>
          <w:szCs w:val="24"/>
          <w:highlight w:val="none"/>
        </w:rPr>
      </w:pPr>
      <w:bookmarkStart w:id="42" w:name="_Toc27250"/>
      <w:r>
        <w:rPr>
          <w:rFonts w:hint="eastAsia" w:ascii="宋体" w:hAnsi="宋体" w:eastAsia="宋体" w:cs="宋体"/>
          <w:color w:val="auto"/>
          <w:spacing w:val="7"/>
          <w:sz w:val="24"/>
          <w:szCs w:val="24"/>
          <w:highlight w:val="none"/>
        </w:rPr>
        <w:t>（1）参加采购活动前</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7"/>
          <w:sz w:val="24"/>
          <w:szCs w:val="24"/>
          <w:highlight w:val="none"/>
        </w:rPr>
        <w:t>年内与供应商存在劳动关系；</w:t>
      </w:r>
      <w:bookmarkEnd w:id="42"/>
    </w:p>
    <w:p w14:paraId="0759FC8B">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color w:val="auto"/>
          <w:sz w:val="24"/>
          <w:szCs w:val="24"/>
          <w:highlight w:val="none"/>
        </w:rPr>
      </w:pPr>
      <w:bookmarkStart w:id="43" w:name="_Toc462"/>
      <w:r>
        <w:rPr>
          <w:rFonts w:hint="eastAsia" w:ascii="宋体" w:hAnsi="宋体" w:eastAsia="宋体" w:cs="宋体"/>
          <w:color w:val="auto"/>
          <w:spacing w:val="7"/>
          <w:sz w:val="24"/>
          <w:szCs w:val="24"/>
          <w:highlight w:val="none"/>
        </w:rPr>
        <w:t>（2）参加采购活动前</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7"/>
          <w:sz w:val="24"/>
          <w:szCs w:val="24"/>
          <w:highlight w:val="none"/>
        </w:rPr>
        <w:t>年内担任供应商的董事、监事；</w:t>
      </w:r>
      <w:bookmarkEnd w:id="43"/>
    </w:p>
    <w:p w14:paraId="0DC64AF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44" w:name="_Toc18692"/>
      <w:r>
        <w:rPr>
          <w:rFonts w:hint="eastAsia" w:ascii="宋体" w:hAnsi="宋体" w:eastAsia="宋体" w:cs="宋体"/>
          <w:color w:val="auto"/>
          <w:spacing w:val="8"/>
          <w:sz w:val="24"/>
          <w:szCs w:val="24"/>
          <w:highlight w:val="none"/>
        </w:rPr>
        <w:t>（3）参加采购活动前</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8"/>
          <w:sz w:val="24"/>
          <w:szCs w:val="24"/>
          <w:highlight w:val="none"/>
        </w:rPr>
        <w:t>年内是供应商的控股股东或</w:t>
      </w:r>
      <w:r>
        <w:rPr>
          <w:rFonts w:hint="eastAsia" w:ascii="宋体" w:hAnsi="宋体" w:eastAsia="宋体" w:cs="宋体"/>
          <w:color w:val="auto"/>
          <w:spacing w:val="7"/>
          <w:sz w:val="24"/>
          <w:szCs w:val="24"/>
          <w:highlight w:val="none"/>
        </w:rPr>
        <w:t>者实际控制人；</w:t>
      </w:r>
      <w:bookmarkEnd w:id="44"/>
    </w:p>
    <w:p w14:paraId="1A4FB8C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（4）与供应商的法定代表人或者负责人有夫妻、直系血亲、三代以内旁系血亲或者近姻亲关</w:t>
      </w:r>
      <w:r>
        <w:rPr>
          <w:rFonts w:hint="eastAsia" w:ascii="宋体" w:hAnsi="宋体" w:eastAsia="宋体" w:cs="宋体"/>
          <w:color w:val="auto"/>
          <w:spacing w:val="-2"/>
          <w:sz w:val="24"/>
          <w:szCs w:val="24"/>
          <w:highlight w:val="none"/>
        </w:rPr>
        <w:t>系；</w:t>
      </w:r>
    </w:p>
    <w:p w14:paraId="2158D524">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45" w:name="_Toc10866"/>
      <w:r>
        <w:rPr>
          <w:rFonts w:hint="eastAsia" w:ascii="宋体" w:hAnsi="宋体" w:eastAsia="宋体" w:cs="宋体"/>
          <w:color w:val="auto"/>
          <w:spacing w:val="9"/>
          <w:sz w:val="24"/>
          <w:szCs w:val="24"/>
          <w:highlight w:val="none"/>
        </w:rPr>
        <w:t>（5）与供应商有其他可能影响政府采购活动公平、公</w:t>
      </w:r>
      <w:r>
        <w:rPr>
          <w:rFonts w:hint="eastAsia" w:ascii="宋体" w:hAnsi="宋体" w:eastAsia="宋体" w:cs="宋体"/>
          <w:color w:val="auto"/>
          <w:spacing w:val="8"/>
          <w:sz w:val="24"/>
          <w:szCs w:val="24"/>
          <w:highlight w:val="none"/>
        </w:rPr>
        <w:t>正进行的关系。</w:t>
      </w:r>
      <w:bookmarkEnd w:id="45"/>
    </w:p>
    <w:p w14:paraId="67322A13">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textAlignment w:val="baseline"/>
        <w:outlineLvl w:val="1"/>
        <w:rPr>
          <w:rFonts w:hint="eastAsia" w:ascii="宋体" w:hAnsi="宋体" w:eastAsia="宋体" w:cs="宋体"/>
          <w:color w:val="auto"/>
          <w:sz w:val="24"/>
          <w:szCs w:val="24"/>
          <w:highlight w:val="none"/>
        </w:rPr>
      </w:pPr>
      <w:bookmarkStart w:id="46" w:name="_Toc1065"/>
      <w:r>
        <w:rPr>
          <w:rFonts w:hint="eastAsia" w:ascii="宋体" w:hAnsi="宋体" w:eastAsia="宋体" w:cs="宋体"/>
          <w:color w:val="auto"/>
          <w:spacing w:val="11"/>
          <w:sz w:val="24"/>
          <w:szCs w:val="24"/>
          <w:highlight w:val="none"/>
        </w:rPr>
        <w:t>供应商认为采购人员及相关人员与其他供应商有利害关系的，可以向采购人或者采购代理机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1"/>
          <w:sz w:val="24"/>
          <w:szCs w:val="24"/>
          <w:highlight w:val="none"/>
        </w:rPr>
        <w:t>构书面提出回避申请，并说明理由。采购人或者采购代理机构应当及时询问被申请回避人员，有</w:t>
      </w:r>
      <w:r>
        <w:rPr>
          <w:rFonts w:hint="eastAsia" w:ascii="宋体" w:hAnsi="宋体" w:eastAsia="宋体" w:cs="宋体"/>
          <w:color w:val="auto"/>
          <w:spacing w:val="8"/>
          <w:sz w:val="24"/>
          <w:szCs w:val="24"/>
          <w:highlight w:val="none"/>
        </w:rPr>
        <w:t>利害关系的被申请回避人员应当回避。</w:t>
      </w:r>
      <w:bookmarkEnd w:id="46"/>
    </w:p>
    <w:p w14:paraId="4CB0D48B">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47" w:name="_Toc21355"/>
      <w:r>
        <w:rPr>
          <w:rFonts w:hint="eastAsia" w:ascii="宋体" w:hAnsi="宋体" w:eastAsia="宋体" w:cs="宋体"/>
          <w:color w:val="auto"/>
          <w:spacing w:val="8"/>
          <w:sz w:val="24"/>
          <w:szCs w:val="24"/>
          <w:highlight w:val="none"/>
        </w:rPr>
        <w:t>7.5</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有下列情形之一的视为供应商相互串通磋商，响应文件将被视为无效：</w:t>
      </w:r>
      <w:bookmarkEnd w:id="47"/>
    </w:p>
    <w:p w14:paraId="75FE7824">
      <w:pPr>
        <w:keepNext w:val="0"/>
        <w:keepLines w:val="0"/>
        <w:pageBreakBefore w:val="0"/>
        <w:widowControl w:val="0"/>
        <w:kinsoku/>
        <w:wordWrap w:val="0"/>
        <w:overflowPunct/>
        <w:topLinePunct/>
        <w:autoSpaceDE/>
        <w:autoSpaceDN/>
        <w:bidi w:val="0"/>
        <w:adjustRightInd w:val="0"/>
        <w:snapToGrid w:val="0"/>
        <w:spacing w:line="360" w:lineRule="auto"/>
        <w:ind w:left="0" w:firstLine="5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20"/>
          <w:sz w:val="24"/>
          <w:szCs w:val="24"/>
          <w:highlight w:val="none"/>
        </w:rPr>
        <w:t>（1）不同供应商的响应文件由同一单位或者个人编制；或者不同供应商报名的</w:t>
      </w:r>
      <w:r>
        <w:rPr>
          <w:rFonts w:hint="eastAsia" w:ascii="宋体" w:hAnsi="宋体" w:eastAsia="宋体" w:cs="宋体"/>
          <w:color w:val="auto"/>
          <w:spacing w:val="-14"/>
          <w:position w:val="20"/>
          <w:sz w:val="24"/>
          <w:szCs w:val="24"/>
          <w:highlight w:val="none"/>
        </w:rPr>
        <w:t xml:space="preserve"> </w:t>
      </w:r>
      <w:r>
        <w:rPr>
          <w:rFonts w:hint="eastAsia" w:ascii="宋体" w:hAnsi="宋体" w:eastAsia="宋体" w:cs="宋体"/>
          <w:color w:val="auto"/>
          <w:position w:val="20"/>
          <w:sz w:val="24"/>
          <w:szCs w:val="24"/>
          <w:highlight w:val="none"/>
        </w:rPr>
        <w:t>IP</w:t>
      </w:r>
      <w:r>
        <w:rPr>
          <w:rFonts w:hint="eastAsia" w:ascii="宋体" w:hAnsi="宋体" w:eastAsia="宋体" w:cs="宋体"/>
          <w:color w:val="auto"/>
          <w:spacing w:val="-38"/>
          <w:position w:val="20"/>
          <w:sz w:val="24"/>
          <w:szCs w:val="24"/>
          <w:highlight w:val="none"/>
        </w:rPr>
        <w:t xml:space="preserve"> </w:t>
      </w:r>
      <w:r>
        <w:rPr>
          <w:rFonts w:hint="eastAsia" w:ascii="宋体" w:hAnsi="宋体" w:eastAsia="宋体" w:cs="宋体"/>
          <w:color w:val="auto"/>
          <w:spacing w:val="10"/>
          <w:position w:val="20"/>
          <w:sz w:val="24"/>
          <w:szCs w:val="24"/>
          <w:highlight w:val="none"/>
        </w:rPr>
        <w:t>地址一致的；</w:t>
      </w:r>
    </w:p>
    <w:p w14:paraId="16F74FA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48" w:name="_Toc3360"/>
      <w:r>
        <w:rPr>
          <w:rFonts w:hint="eastAsia" w:ascii="宋体" w:hAnsi="宋体" w:eastAsia="宋体" w:cs="宋体"/>
          <w:color w:val="auto"/>
          <w:spacing w:val="8"/>
          <w:sz w:val="24"/>
          <w:szCs w:val="24"/>
          <w:highlight w:val="none"/>
        </w:rPr>
        <w:t>（2）不同供应商委托同一单位或者个人办理磋商事宜；</w:t>
      </w:r>
      <w:bookmarkEnd w:id="48"/>
    </w:p>
    <w:p w14:paraId="75993DD6">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49" w:name="_Toc29573"/>
      <w:r>
        <w:rPr>
          <w:rFonts w:hint="eastAsia" w:ascii="宋体" w:hAnsi="宋体" w:eastAsia="宋体" w:cs="宋体"/>
          <w:color w:val="auto"/>
          <w:spacing w:val="9"/>
          <w:sz w:val="24"/>
          <w:szCs w:val="24"/>
          <w:highlight w:val="none"/>
        </w:rPr>
        <w:t>（3）不同的供应商的响应文件载明的项目</w:t>
      </w:r>
      <w:r>
        <w:rPr>
          <w:rFonts w:hint="eastAsia" w:ascii="宋体" w:hAnsi="宋体" w:eastAsia="宋体" w:cs="宋体"/>
          <w:color w:val="auto"/>
          <w:spacing w:val="8"/>
          <w:sz w:val="24"/>
          <w:szCs w:val="24"/>
          <w:highlight w:val="none"/>
        </w:rPr>
        <w:t>管理员为同一个人；</w:t>
      </w:r>
      <w:bookmarkEnd w:id="49"/>
    </w:p>
    <w:p w14:paraId="03CED09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50" w:name="_Toc10237"/>
      <w:r>
        <w:rPr>
          <w:rFonts w:hint="eastAsia" w:ascii="宋体" w:hAnsi="宋体" w:eastAsia="宋体" w:cs="宋体"/>
          <w:color w:val="auto"/>
          <w:spacing w:val="9"/>
          <w:sz w:val="24"/>
          <w:szCs w:val="24"/>
          <w:highlight w:val="none"/>
        </w:rPr>
        <w:t>（4）不同供应商的响应文件异常一致或者</w:t>
      </w:r>
      <w:r>
        <w:rPr>
          <w:rFonts w:hint="eastAsia" w:ascii="宋体" w:hAnsi="宋体" w:eastAsia="宋体" w:cs="宋体"/>
          <w:color w:val="auto"/>
          <w:spacing w:val="8"/>
          <w:sz w:val="24"/>
          <w:szCs w:val="24"/>
          <w:highlight w:val="none"/>
        </w:rPr>
        <w:t>报价呈规律性差异；</w:t>
      </w:r>
      <w:bookmarkEnd w:id="50"/>
    </w:p>
    <w:p w14:paraId="31185A5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51" w:name="_Toc11534"/>
      <w:r>
        <w:rPr>
          <w:rFonts w:hint="eastAsia" w:ascii="宋体" w:hAnsi="宋体" w:eastAsia="宋体" w:cs="宋体"/>
          <w:color w:val="auto"/>
          <w:spacing w:val="8"/>
          <w:sz w:val="24"/>
          <w:szCs w:val="24"/>
          <w:highlight w:val="none"/>
        </w:rPr>
        <w:t>（5）不同供应商的响应文件相互混装；</w:t>
      </w:r>
      <w:bookmarkEnd w:id="51"/>
    </w:p>
    <w:p w14:paraId="57873A01">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52" w:name="_Toc27168"/>
      <w:r>
        <w:rPr>
          <w:rFonts w:hint="eastAsia" w:ascii="宋体" w:hAnsi="宋体" w:eastAsia="宋体" w:cs="宋体"/>
          <w:color w:val="auto"/>
          <w:spacing w:val="9"/>
          <w:sz w:val="24"/>
          <w:szCs w:val="24"/>
          <w:highlight w:val="none"/>
        </w:rPr>
        <w:t>（6）不同供应商的磋商保证金从同一单位</w:t>
      </w:r>
      <w:r>
        <w:rPr>
          <w:rFonts w:hint="eastAsia" w:ascii="宋体" w:hAnsi="宋体" w:eastAsia="宋体" w:cs="宋体"/>
          <w:color w:val="auto"/>
          <w:spacing w:val="8"/>
          <w:sz w:val="24"/>
          <w:szCs w:val="24"/>
          <w:highlight w:val="none"/>
        </w:rPr>
        <w:t>或者个人账户转出。</w:t>
      </w:r>
      <w:bookmarkEnd w:id="52"/>
    </w:p>
    <w:p w14:paraId="0D7C03EF">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53" w:name="_Toc29453"/>
      <w:r>
        <w:rPr>
          <w:rFonts w:hint="eastAsia" w:ascii="宋体" w:hAnsi="宋体" w:eastAsia="宋体" w:cs="宋体"/>
          <w:color w:val="auto"/>
          <w:spacing w:val="9"/>
          <w:sz w:val="24"/>
          <w:szCs w:val="24"/>
          <w:highlight w:val="none"/>
        </w:rPr>
        <w:t>7.6</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9"/>
          <w:sz w:val="24"/>
          <w:szCs w:val="24"/>
          <w:highlight w:val="none"/>
        </w:rPr>
        <w:t>供应商有下列情形之一的，属于恶意串通行</w:t>
      </w:r>
      <w:r>
        <w:rPr>
          <w:rFonts w:hint="eastAsia" w:ascii="宋体" w:hAnsi="宋体" w:eastAsia="宋体" w:cs="宋体"/>
          <w:color w:val="auto"/>
          <w:spacing w:val="8"/>
          <w:sz w:val="24"/>
          <w:szCs w:val="24"/>
          <w:highlight w:val="none"/>
        </w:rPr>
        <w:t>为，将报同级监督管理部门：</w:t>
      </w:r>
      <w:bookmarkEnd w:id="53"/>
    </w:p>
    <w:p w14:paraId="43F5E53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（1）供应商直接或者间接从采购人或者采购代理机构处获得其他供应商的相关信息并修改其</w:t>
      </w:r>
      <w:r>
        <w:rPr>
          <w:rFonts w:hint="eastAsia" w:ascii="宋体" w:hAnsi="宋体" w:eastAsia="宋体" w:cs="宋体"/>
          <w:color w:val="auto"/>
          <w:spacing w:val="3"/>
          <w:sz w:val="24"/>
          <w:szCs w:val="24"/>
          <w:highlight w:val="none"/>
        </w:rPr>
        <w:t>响应文件；</w:t>
      </w:r>
    </w:p>
    <w:p w14:paraId="2D809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pacing w:val="8"/>
          <w:sz w:val="24"/>
          <w:szCs w:val="24"/>
          <w:highlight w:val="none"/>
          <w:lang w:eastAsia="zh-CN"/>
        </w:rPr>
      </w:pPr>
      <w:bookmarkStart w:id="54" w:name="_Toc26893"/>
      <w:r>
        <w:rPr>
          <w:rFonts w:hint="eastAsia" w:ascii="宋体" w:hAnsi="宋体" w:eastAsia="宋体" w:cs="宋体"/>
          <w:color w:val="auto"/>
          <w:spacing w:val="9"/>
          <w:sz w:val="24"/>
          <w:szCs w:val="24"/>
          <w:highlight w:val="none"/>
        </w:rPr>
        <w:t>（2）供应商按照采购人或者采购代理机构的授意撤换、修改</w:t>
      </w:r>
      <w:r>
        <w:rPr>
          <w:rFonts w:hint="eastAsia" w:ascii="宋体" w:hAnsi="宋体" w:eastAsia="宋体" w:cs="宋体"/>
          <w:color w:val="auto"/>
          <w:spacing w:val="8"/>
          <w:sz w:val="24"/>
          <w:szCs w:val="24"/>
          <w:highlight w:val="none"/>
        </w:rPr>
        <w:t>响应文件；</w:t>
      </w:r>
      <w:bookmarkEnd w:id="54"/>
    </w:p>
    <w:p w14:paraId="3B828B7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55" w:name="_Toc8484"/>
      <w:r>
        <w:rPr>
          <w:rFonts w:hint="eastAsia" w:ascii="宋体" w:hAnsi="宋体" w:eastAsia="宋体" w:cs="宋体"/>
          <w:color w:val="auto"/>
          <w:spacing w:val="9"/>
          <w:sz w:val="24"/>
          <w:szCs w:val="24"/>
          <w:highlight w:val="none"/>
        </w:rPr>
        <w:t>（3）供应商之间协商报价、技术方案等响应文件或者响应文件的实质性</w:t>
      </w:r>
      <w:r>
        <w:rPr>
          <w:rFonts w:hint="eastAsia" w:ascii="宋体" w:hAnsi="宋体" w:eastAsia="宋体" w:cs="宋体"/>
          <w:color w:val="auto"/>
          <w:spacing w:val="8"/>
          <w:sz w:val="24"/>
          <w:szCs w:val="24"/>
          <w:highlight w:val="none"/>
        </w:rPr>
        <w:t>内容；</w:t>
      </w:r>
      <w:bookmarkEnd w:id="55"/>
    </w:p>
    <w:p w14:paraId="30C1FE4E">
      <w:pPr>
        <w:keepNext w:val="0"/>
        <w:keepLines w:val="0"/>
        <w:pageBreakBefore w:val="0"/>
        <w:widowControl w:val="0"/>
        <w:kinsoku/>
        <w:wordWrap w:val="0"/>
        <w:overflowPunct/>
        <w:topLinePunct/>
        <w:autoSpaceDE/>
        <w:autoSpaceDN/>
        <w:bidi w:val="0"/>
        <w:adjustRightInd w:val="0"/>
        <w:snapToGrid w:val="0"/>
        <w:spacing w:line="360" w:lineRule="auto"/>
        <w:ind w:left="0" w:right="0" w:firstLine="500" w:firstLineChars="200"/>
        <w:jc w:val="both"/>
        <w:textAlignment w:val="baseline"/>
        <w:outlineLvl w:val="1"/>
        <w:rPr>
          <w:rFonts w:hint="eastAsia" w:ascii="宋体" w:hAnsi="宋体" w:eastAsia="宋体" w:cs="宋体"/>
          <w:color w:val="auto"/>
          <w:sz w:val="24"/>
          <w:szCs w:val="24"/>
          <w:highlight w:val="none"/>
        </w:rPr>
      </w:pPr>
      <w:bookmarkStart w:id="56" w:name="_Toc1354"/>
      <w:r>
        <w:rPr>
          <w:rFonts w:hint="eastAsia" w:ascii="宋体" w:hAnsi="宋体" w:eastAsia="宋体" w:cs="宋体"/>
          <w:color w:val="auto"/>
          <w:spacing w:val="5"/>
          <w:position w:val="20"/>
          <w:sz w:val="24"/>
          <w:szCs w:val="24"/>
          <w:highlight w:val="none"/>
        </w:rPr>
        <w:t>（4）属于同一集团、协会、商会等组织成员的供</w:t>
      </w:r>
      <w:r>
        <w:rPr>
          <w:rFonts w:hint="eastAsia" w:ascii="宋体" w:hAnsi="宋体" w:eastAsia="宋体" w:cs="宋体"/>
          <w:color w:val="auto"/>
          <w:spacing w:val="4"/>
          <w:position w:val="20"/>
          <w:sz w:val="24"/>
          <w:szCs w:val="24"/>
          <w:highlight w:val="none"/>
        </w:rPr>
        <w:t>应商按照该组织要求协同参加政府采购活动；</w:t>
      </w:r>
      <w:bookmarkEnd w:id="56"/>
    </w:p>
    <w:p w14:paraId="650DF0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color w:val="auto"/>
          <w:sz w:val="24"/>
          <w:szCs w:val="24"/>
          <w:highlight w:val="none"/>
        </w:rPr>
      </w:pPr>
      <w:bookmarkStart w:id="57" w:name="_Toc25480"/>
      <w:r>
        <w:rPr>
          <w:rFonts w:hint="eastAsia" w:ascii="宋体" w:hAnsi="宋体" w:eastAsia="宋体" w:cs="宋体"/>
          <w:color w:val="auto"/>
          <w:spacing w:val="8"/>
          <w:sz w:val="24"/>
          <w:szCs w:val="24"/>
          <w:highlight w:val="none"/>
        </w:rPr>
        <w:t>（5）供应商之间事先约定一致抬高或者压低报价，或者在政府采购活动中事先约定轮流以高</w:t>
      </w:r>
      <w:r>
        <w:rPr>
          <w:rFonts w:hint="eastAsia" w:ascii="宋体" w:hAnsi="宋体" w:eastAsia="宋体" w:cs="宋体"/>
          <w:color w:val="auto"/>
          <w:spacing w:val="9"/>
          <w:sz w:val="24"/>
          <w:szCs w:val="24"/>
          <w:highlight w:val="none"/>
        </w:rPr>
        <w:t>价位或者低价位成交，或者事先约定由某一特定供应商成交，然后再参加磋商；</w:t>
      </w:r>
      <w:bookmarkEnd w:id="57"/>
    </w:p>
    <w:p w14:paraId="4EDEA99A">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color w:val="auto"/>
          <w:sz w:val="24"/>
          <w:szCs w:val="24"/>
          <w:highlight w:val="none"/>
        </w:rPr>
      </w:pPr>
      <w:bookmarkStart w:id="58" w:name="_Toc22770"/>
      <w:r>
        <w:rPr>
          <w:rFonts w:hint="eastAsia" w:ascii="宋体" w:hAnsi="宋体" w:eastAsia="宋体" w:cs="宋体"/>
          <w:color w:val="auto"/>
          <w:spacing w:val="9"/>
          <w:sz w:val="24"/>
          <w:szCs w:val="24"/>
          <w:highlight w:val="none"/>
        </w:rPr>
        <w:t>（6）供应商之间商定部分供应商放弃参加政府采购活动或者</w:t>
      </w:r>
      <w:r>
        <w:rPr>
          <w:rFonts w:hint="eastAsia" w:ascii="宋体" w:hAnsi="宋体" w:eastAsia="宋体" w:cs="宋体"/>
          <w:color w:val="auto"/>
          <w:spacing w:val="8"/>
          <w:sz w:val="24"/>
          <w:szCs w:val="24"/>
          <w:highlight w:val="none"/>
        </w:rPr>
        <w:t>放弃成交；</w:t>
      </w:r>
      <w:bookmarkEnd w:id="58"/>
    </w:p>
    <w:p w14:paraId="3F272B9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（7）供应商与采购人或者采购代理机构之间、供应商相互之间，为谋求特定供应商成交或者</w:t>
      </w:r>
      <w:r>
        <w:rPr>
          <w:rFonts w:hint="eastAsia" w:ascii="宋体" w:hAnsi="宋体" w:eastAsia="宋体" w:cs="宋体"/>
          <w:color w:val="auto"/>
          <w:spacing w:val="8"/>
          <w:sz w:val="24"/>
          <w:szCs w:val="24"/>
          <w:highlight w:val="none"/>
        </w:rPr>
        <w:t>排斥其他供应商的其他串通行为。</w:t>
      </w:r>
    </w:p>
    <w:p w14:paraId="2419E48D">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color w:val="auto"/>
          <w:sz w:val="24"/>
          <w:szCs w:val="24"/>
          <w:highlight w:val="none"/>
        </w:rPr>
      </w:pPr>
      <w:bookmarkStart w:id="59" w:name="_Toc30643"/>
      <w:r>
        <w:rPr>
          <w:rFonts w:hint="eastAsia" w:ascii="宋体" w:hAnsi="宋体" w:eastAsia="宋体" w:cs="宋体"/>
          <w:color w:val="auto"/>
          <w:spacing w:val="7"/>
          <w:sz w:val="24"/>
          <w:szCs w:val="24"/>
          <w:highlight w:val="none"/>
        </w:rPr>
        <w:t>7.7</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本工程增值税计税方法：见“供应商须知前附表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7"/>
          <w:sz w:val="24"/>
          <w:szCs w:val="24"/>
          <w:highlight w:val="none"/>
        </w:rPr>
        <w:t>”规定。</w:t>
      </w:r>
      <w:bookmarkEnd w:id="59"/>
    </w:p>
    <w:p w14:paraId="16CCA3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center"/>
        <w:textAlignment w:val="baseline"/>
        <w:outlineLvl w:val="1"/>
        <w:rPr>
          <w:rFonts w:hint="eastAsia" w:ascii="宋体" w:hAnsi="宋体" w:eastAsia="宋体" w:cs="宋体"/>
          <w:color w:val="auto"/>
          <w:sz w:val="24"/>
          <w:szCs w:val="24"/>
          <w:highlight w:val="none"/>
        </w:rPr>
      </w:pPr>
      <w:bookmarkStart w:id="60" w:name="_Toc20510"/>
      <w:r>
        <w:rPr>
          <w:rFonts w:hint="eastAsia" w:ascii="宋体" w:hAnsi="宋体" w:eastAsia="宋体" w:cs="宋体"/>
          <w:color w:val="auto"/>
          <w:spacing w:val="7"/>
          <w:sz w:val="24"/>
          <w:szCs w:val="24"/>
          <w:highlight w:val="none"/>
          <w14:textOutline w14:w="5793" w14:cap="sq" w14:cmpd="sng">
            <w14:solidFill>
              <w14:srgbClr w14:val="000000"/>
            </w14:solidFill>
            <w14:prstDash w14:val="solid"/>
            <w14:bevel/>
          </w14:textOutline>
        </w:rPr>
        <w:t>二、磋商文件</w:t>
      </w:r>
      <w:bookmarkEnd w:id="60"/>
    </w:p>
    <w:p w14:paraId="145FFED7">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61" w:name="_Toc2144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8.磋商文件的构成</w:t>
      </w:r>
      <w:bookmarkEnd w:id="61"/>
    </w:p>
    <w:p w14:paraId="0B6BC86E">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（1）竞争性磋商公告；</w:t>
      </w:r>
    </w:p>
    <w:p w14:paraId="41A13A45">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（2）供应商须知；</w:t>
      </w:r>
    </w:p>
    <w:p w14:paraId="41878E92">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（3）评审程序、评审方法和评审标准；</w:t>
      </w:r>
    </w:p>
    <w:p w14:paraId="08C99BA4">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（4）合同条款及格式；</w:t>
      </w:r>
    </w:p>
    <w:p w14:paraId="5BCD1A51">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（5）工程量清单；</w:t>
      </w:r>
    </w:p>
    <w:p w14:paraId="26E1F1CA">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（6）图纸；</w:t>
      </w:r>
    </w:p>
    <w:p w14:paraId="564BC0D0">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（7）技术标准及要求</w:t>
      </w:r>
    </w:p>
    <w:p w14:paraId="5CC8482C">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（8）响应文件格式；</w:t>
      </w:r>
    </w:p>
    <w:p w14:paraId="26A2E041">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color w:val="auto"/>
          <w:sz w:val="24"/>
          <w:szCs w:val="24"/>
          <w:highlight w:val="none"/>
        </w:rPr>
      </w:pPr>
      <w:bookmarkStart w:id="62" w:name="_Toc24914"/>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9.供应商的询问</w:t>
      </w:r>
      <w:bookmarkEnd w:id="62"/>
    </w:p>
    <w:p w14:paraId="50EE904A">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jc w:val="both"/>
        <w:textAlignment w:val="baseline"/>
        <w:outlineLvl w:val="1"/>
        <w:rPr>
          <w:rFonts w:hint="eastAsia" w:ascii="宋体" w:hAnsi="宋体" w:eastAsia="宋体" w:cs="宋体"/>
          <w:color w:val="auto"/>
          <w:sz w:val="24"/>
          <w:szCs w:val="24"/>
          <w:highlight w:val="none"/>
        </w:rPr>
      </w:pPr>
      <w:bookmarkStart w:id="63" w:name="_Toc29084"/>
      <w:r>
        <w:rPr>
          <w:rFonts w:hint="eastAsia" w:ascii="宋体" w:hAnsi="宋体" w:eastAsia="宋体" w:cs="宋体"/>
          <w:color w:val="auto"/>
          <w:spacing w:val="11"/>
          <w:sz w:val="24"/>
          <w:szCs w:val="24"/>
          <w:highlight w:val="none"/>
        </w:rPr>
        <w:t>供应商应认真阅读磋商文件的采购需求，如供应商对磋商文件有疑问的，如要求采购人作出</w:t>
      </w:r>
      <w:r>
        <w:rPr>
          <w:rFonts w:hint="eastAsia" w:ascii="宋体" w:hAnsi="宋体" w:eastAsia="宋体" w:cs="宋体"/>
          <w:color w:val="auto"/>
          <w:spacing w:val="10"/>
          <w:sz w:val="24"/>
          <w:szCs w:val="24"/>
          <w:highlight w:val="none"/>
        </w:rPr>
        <w:t>澄清或者修改的，供应商尽可能在提交首次响应文件截止之日前，</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0"/>
          <w:sz w:val="24"/>
          <w:szCs w:val="24"/>
          <w:highlight w:val="none"/>
        </w:rPr>
        <w:t>以书面形式向采购人、采购代</w:t>
      </w:r>
      <w:r>
        <w:rPr>
          <w:rFonts w:hint="eastAsia" w:ascii="宋体" w:hAnsi="宋体" w:eastAsia="宋体" w:cs="宋体"/>
          <w:color w:val="auto"/>
          <w:spacing w:val="6"/>
          <w:sz w:val="24"/>
          <w:szCs w:val="24"/>
          <w:highlight w:val="none"/>
        </w:rPr>
        <w:t>理机构提出。</w:t>
      </w:r>
      <w:bookmarkEnd w:id="63"/>
    </w:p>
    <w:p w14:paraId="3CF3300E">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color w:val="auto"/>
          <w:sz w:val="24"/>
          <w:szCs w:val="24"/>
          <w:highlight w:val="none"/>
        </w:rPr>
      </w:pPr>
      <w:bookmarkStart w:id="64" w:name="_Toc20109"/>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10.磋商文件的澄清和修改</w:t>
      </w:r>
      <w:bookmarkEnd w:id="64"/>
    </w:p>
    <w:p w14:paraId="76EA8DBF">
      <w:pPr>
        <w:keepNext w:val="0"/>
        <w:keepLines w:val="0"/>
        <w:pageBreakBefore w:val="0"/>
        <w:widowControl w:val="0"/>
        <w:kinsoku/>
        <w:wordWrap w:val="0"/>
        <w:overflowPunct/>
        <w:topLinePunct/>
        <w:autoSpaceDE/>
        <w:autoSpaceDN/>
        <w:bidi w:val="0"/>
        <w:adjustRightInd w:val="0"/>
        <w:snapToGrid w:val="0"/>
        <w:spacing w:line="360" w:lineRule="auto"/>
        <w:ind w:left="0" w:right="0" w:firstLine="520" w:firstLineChars="200"/>
        <w:jc w:val="both"/>
        <w:textAlignment w:val="baseline"/>
        <w:outlineLvl w:val="1"/>
        <w:rPr>
          <w:rFonts w:hint="eastAsia" w:ascii="宋体" w:hAnsi="宋体" w:eastAsia="宋体" w:cs="宋体"/>
          <w:color w:val="auto"/>
          <w:spacing w:val="10"/>
          <w:sz w:val="24"/>
          <w:szCs w:val="24"/>
          <w:highlight w:val="none"/>
        </w:rPr>
      </w:pPr>
      <w:bookmarkStart w:id="65" w:name="_Toc9283"/>
      <w:r>
        <w:rPr>
          <w:rFonts w:hint="eastAsia" w:ascii="宋体" w:hAnsi="宋体" w:eastAsia="宋体" w:cs="宋体"/>
          <w:color w:val="auto"/>
          <w:spacing w:val="10"/>
          <w:sz w:val="24"/>
          <w:szCs w:val="24"/>
          <w:highlight w:val="none"/>
        </w:rPr>
        <w:t>提交首次响应文件截止之日前，采购人、采购代理机构或者磋商小组可以对已发出的磋商文 件进行必要的澄清或者修改，澄清或者修改的内容作为磋商文件的组成部分。澄清或者修改的内 容可能影响响应文件编制的，采购人、采购代理机构或者磋商小组应当在提交首次响应文件截止 之日 5 日前，在采购公告发布媒介发布更正公告，不再另行通知。所有潜在的供应商应密切关注采购公告发布媒介信息，因未能及时获知， 由此产生的如后果均应自行承担。不足 5 日的，应当顺延提交首次响应文件截止之日。</w:t>
      </w:r>
      <w:bookmarkEnd w:id="65"/>
    </w:p>
    <w:p w14:paraId="363D8E82">
      <w:pPr>
        <w:keepNext w:val="0"/>
        <w:keepLines w:val="0"/>
        <w:pageBreakBefore w:val="0"/>
        <w:widowControl w:val="0"/>
        <w:kinsoku/>
        <w:wordWrap w:val="0"/>
        <w:overflowPunct/>
        <w:topLinePunct/>
        <w:autoSpaceDE/>
        <w:autoSpaceDN/>
        <w:bidi w:val="0"/>
        <w:adjustRightInd w:val="0"/>
        <w:snapToGrid w:val="0"/>
        <w:spacing w:line="360" w:lineRule="auto"/>
        <w:ind w:left="0" w:firstLine="656" w:firstLineChars="200"/>
        <w:jc w:val="center"/>
        <w:textAlignment w:val="baseline"/>
        <w:rPr>
          <w:color w:val="auto"/>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三、响应文件的编制</w:t>
      </w:r>
    </w:p>
    <w:p w14:paraId="3526B5D3">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color w:val="auto"/>
          <w:sz w:val="24"/>
          <w:szCs w:val="24"/>
          <w:highlight w:val="none"/>
        </w:rPr>
      </w:pPr>
      <w:bookmarkStart w:id="66" w:name="_Toc23474"/>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11.响应文件的编制原则</w:t>
      </w:r>
      <w:bookmarkEnd w:id="66"/>
    </w:p>
    <w:p w14:paraId="133270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供应商必须按照磋商文件的要求编制响应文件，并对其提交的响应文件的真实性、合法性承</w:t>
      </w:r>
      <w:r>
        <w:rPr>
          <w:rFonts w:hint="eastAsia" w:ascii="宋体" w:hAnsi="宋体" w:eastAsia="宋体" w:cs="宋体"/>
          <w:color w:val="auto"/>
          <w:spacing w:val="9"/>
          <w:sz w:val="24"/>
          <w:szCs w:val="24"/>
          <w:highlight w:val="none"/>
        </w:rPr>
        <w:t>担法律责任。响应文件必须对磋商文件作出实质性响应。</w:t>
      </w:r>
    </w:p>
    <w:p w14:paraId="7BB59C12">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color w:val="auto"/>
          <w:sz w:val="24"/>
          <w:szCs w:val="24"/>
          <w:highlight w:val="none"/>
        </w:rPr>
      </w:pPr>
      <w:bookmarkStart w:id="67" w:name="_Toc20765"/>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12.响应文件的组成</w:t>
      </w:r>
      <w:bookmarkEnd w:id="67"/>
    </w:p>
    <w:p w14:paraId="65292F04">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color w:val="auto"/>
          <w:sz w:val="24"/>
          <w:szCs w:val="24"/>
          <w:highlight w:val="none"/>
        </w:rPr>
      </w:pPr>
      <w:bookmarkStart w:id="68" w:name="_Toc3430"/>
      <w:r>
        <w:rPr>
          <w:rFonts w:hint="eastAsia" w:ascii="宋体" w:hAnsi="宋体" w:eastAsia="宋体" w:cs="宋体"/>
          <w:color w:val="auto"/>
          <w:spacing w:val="8"/>
          <w:sz w:val="24"/>
          <w:szCs w:val="24"/>
          <w:highlight w:val="none"/>
        </w:rPr>
        <w:t>12.1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8"/>
          <w:sz w:val="24"/>
          <w:szCs w:val="24"/>
          <w:highlight w:val="none"/>
        </w:rPr>
        <w:t>响应文件由资格证明文件、</w:t>
      </w:r>
      <w:r>
        <w:rPr>
          <w:rFonts w:hint="eastAsia" w:ascii="宋体" w:hAnsi="宋体" w:eastAsia="宋体" w:cs="宋体"/>
          <w:color w:val="auto"/>
          <w:spacing w:val="8"/>
          <w:sz w:val="24"/>
          <w:szCs w:val="24"/>
          <w:highlight w:val="none"/>
        </w:rPr>
        <w:t>商务文件、报价文件、</w:t>
      </w:r>
      <w:r>
        <w:rPr>
          <w:rFonts w:hint="eastAsia" w:ascii="宋体" w:hAnsi="宋体" w:eastAsia="宋体" w:cs="宋体"/>
          <w:color w:val="auto"/>
          <w:spacing w:val="8"/>
          <w:sz w:val="24"/>
          <w:szCs w:val="24"/>
          <w:highlight w:val="none"/>
        </w:rPr>
        <w:t>技</w:t>
      </w:r>
      <w:r>
        <w:rPr>
          <w:rFonts w:hint="eastAsia" w:ascii="宋体" w:hAnsi="宋体" w:eastAsia="宋体" w:cs="宋体"/>
          <w:color w:val="auto"/>
          <w:spacing w:val="7"/>
          <w:sz w:val="24"/>
          <w:szCs w:val="24"/>
          <w:highlight w:val="none"/>
        </w:rPr>
        <w:t>术文件三部分组成。</w:t>
      </w:r>
      <w:bookmarkEnd w:id="68"/>
    </w:p>
    <w:p w14:paraId="047DF74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color w:val="auto"/>
          <w:sz w:val="24"/>
          <w:szCs w:val="24"/>
          <w:highlight w:val="none"/>
        </w:rPr>
      </w:pPr>
      <w:bookmarkStart w:id="69" w:name="_Toc29668"/>
      <w:r>
        <w:rPr>
          <w:rFonts w:hint="eastAsia" w:ascii="宋体" w:hAnsi="宋体" w:eastAsia="宋体" w:cs="宋体"/>
          <w:color w:val="auto"/>
          <w:spacing w:val="6"/>
          <w:sz w:val="24"/>
          <w:szCs w:val="24"/>
          <w:highlight w:val="none"/>
        </w:rPr>
        <w:t>12.1.1</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6"/>
          <w:sz w:val="24"/>
          <w:szCs w:val="24"/>
          <w:highlight w:val="none"/>
        </w:rPr>
        <w:t>资格证明文件：详见须知前附表</w:t>
      </w:r>
      <w:bookmarkEnd w:id="69"/>
    </w:p>
    <w:p w14:paraId="49B09A6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color w:val="auto"/>
          <w:spacing w:val="6"/>
          <w:sz w:val="24"/>
          <w:szCs w:val="24"/>
          <w:highlight w:val="none"/>
        </w:rPr>
      </w:pPr>
      <w:bookmarkStart w:id="70" w:name="_Toc23436"/>
      <w:r>
        <w:rPr>
          <w:rFonts w:hint="eastAsia" w:ascii="宋体" w:hAnsi="宋体" w:eastAsia="宋体" w:cs="宋体"/>
          <w:color w:val="auto"/>
          <w:spacing w:val="6"/>
          <w:sz w:val="24"/>
          <w:szCs w:val="24"/>
          <w:highlight w:val="none"/>
        </w:rPr>
        <w:t>12.1.2</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6"/>
          <w:sz w:val="24"/>
          <w:szCs w:val="24"/>
          <w:highlight w:val="none"/>
        </w:rPr>
        <w:t>商务文件：详见须知前附表</w:t>
      </w:r>
      <w:bookmarkEnd w:id="70"/>
    </w:p>
    <w:p w14:paraId="1F4AEF1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12.1.3</w:t>
      </w:r>
      <w:r>
        <w:rPr>
          <w:rFonts w:hint="eastAsia" w:ascii="宋体" w:hAnsi="宋体" w:eastAsia="宋体" w:cs="宋体"/>
          <w:color w:val="auto"/>
          <w:spacing w:val="6"/>
          <w:sz w:val="24"/>
          <w:szCs w:val="24"/>
          <w:highlight w:val="none"/>
        </w:rPr>
        <w:t>报价</w:t>
      </w:r>
      <w:r>
        <w:rPr>
          <w:rFonts w:hint="eastAsia" w:ascii="宋体" w:hAnsi="宋体" w:eastAsia="宋体" w:cs="宋体"/>
          <w:color w:val="auto"/>
          <w:spacing w:val="6"/>
          <w:sz w:val="24"/>
          <w:szCs w:val="24"/>
          <w:highlight w:val="none"/>
          <w:lang w:val="en-US" w:eastAsia="zh-CN"/>
        </w:rPr>
        <w:t>文件：</w:t>
      </w:r>
      <w:r>
        <w:rPr>
          <w:rFonts w:hint="eastAsia" w:ascii="宋体" w:hAnsi="宋体" w:eastAsia="宋体" w:cs="宋体"/>
          <w:color w:val="auto"/>
          <w:spacing w:val="6"/>
          <w:sz w:val="24"/>
          <w:szCs w:val="24"/>
          <w:highlight w:val="none"/>
        </w:rPr>
        <w:t>详见须知前附表</w:t>
      </w:r>
    </w:p>
    <w:p w14:paraId="6B1D0B3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color w:val="auto"/>
          <w:sz w:val="24"/>
          <w:szCs w:val="24"/>
          <w:highlight w:val="none"/>
        </w:rPr>
      </w:pPr>
      <w:bookmarkStart w:id="71" w:name="_Toc19353"/>
      <w:r>
        <w:rPr>
          <w:rFonts w:hint="eastAsia" w:ascii="宋体" w:hAnsi="宋体" w:eastAsia="宋体" w:cs="宋体"/>
          <w:color w:val="auto"/>
          <w:spacing w:val="6"/>
          <w:sz w:val="24"/>
          <w:szCs w:val="24"/>
          <w:highlight w:val="none"/>
        </w:rPr>
        <w:t>12.1.</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6"/>
          <w:sz w:val="24"/>
          <w:szCs w:val="24"/>
          <w:highlight w:val="none"/>
        </w:rPr>
        <w:t>技术文件：详见须知前附表</w:t>
      </w:r>
      <w:bookmarkEnd w:id="71"/>
    </w:p>
    <w:p w14:paraId="75BC98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color w:val="auto"/>
          <w:sz w:val="24"/>
          <w:szCs w:val="24"/>
          <w:highlight w:val="none"/>
        </w:rPr>
      </w:pPr>
      <w:bookmarkStart w:id="72" w:name="_Toc23825"/>
      <w:r>
        <w:rPr>
          <w:rFonts w:hint="eastAsia" w:ascii="宋体" w:hAnsi="宋体" w:eastAsia="宋体" w:cs="宋体"/>
          <w:color w:val="auto"/>
          <w:spacing w:val="6"/>
          <w:sz w:val="24"/>
          <w:szCs w:val="24"/>
          <w:highlight w:val="none"/>
        </w:rPr>
        <w:t>12.2</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rPr>
        <w:t>响应文件的递交：详见须知前附表</w:t>
      </w:r>
      <w:bookmarkEnd w:id="72"/>
    </w:p>
    <w:p w14:paraId="0AAD74CD">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0"/>
        <w:rPr>
          <w:rFonts w:hint="eastAsia" w:ascii="宋体" w:hAnsi="宋体" w:eastAsia="宋体" w:cs="宋体"/>
          <w:color w:val="auto"/>
          <w:sz w:val="24"/>
          <w:szCs w:val="24"/>
          <w:highlight w:val="none"/>
        </w:rPr>
      </w:pPr>
      <w:bookmarkStart w:id="73" w:name="_Toc16320"/>
      <w:r>
        <w:rPr>
          <w:rFonts w:hint="eastAsia" w:ascii="宋体" w:hAnsi="宋体" w:eastAsia="宋体" w:cs="宋体"/>
          <w:color w:val="auto"/>
          <w:spacing w:val="-4"/>
          <w:sz w:val="24"/>
          <w:szCs w:val="24"/>
          <w:highlight w:val="none"/>
          <w14:textOutline w14:w="4358" w14:cap="sq" w14:cmpd="sng">
            <w14:solidFill>
              <w14:srgbClr w14:val="000000"/>
            </w14:solidFill>
            <w14:prstDash w14:val="solid"/>
            <w14:bevel/>
          </w14:textOutline>
        </w:rPr>
        <w:t>13.计量单位</w:t>
      </w:r>
      <w:bookmarkEnd w:id="73"/>
    </w:p>
    <w:p w14:paraId="1B286A5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磋商文件已有明确规定的，使用磋商文件规定的计量单位；磋商文件没有规定的，应采用中华人民共和国法定计量单位，货币种类为人民币，否则视同未响应。</w:t>
      </w:r>
    </w:p>
    <w:p w14:paraId="00B664A2">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0"/>
        <w:rPr>
          <w:rFonts w:hint="eastAsia" w:ascii="宋体" w:hAnsi="宋体" w:eastAsia="宋体" w:cs="宋体"/>
          <w:color w:val="auto"/>
          <w:sz w:val="24"/>
          <w:szCs w:val="24"/>
          <w:highlight w:val="none"/>
        </w:rPr>
      </w:pPr>
      <w:bookmarkStart w:id="74" w:name="_Toc24226"/>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14.磋商的风险</w:t>
      </w:r>
      <w:bookmarkEnd w:id="74"/>
    </w:p>
    <w:p w14:paraId="73DE7D4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供应商没有按照磋商文件要求提供全部资料，或者供应商没有对磋商文件在各方面作出实质性响应可能导致其响应无效，是供应商应当考虑的风险。</w:t>
      </w:r>
    </w:p>
    <w:p w14:paraId="2D5C6A0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color w:val="auto"/>
          <w:sz w:val="24"/>
          <w:szCs w:val="24"/>
          <w:highlight w:val="none"/>
        </w:rPr>
      </w:pPr>
      <w:bookmarkStart w:id="75" w:name="_Toc18588"/>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15.磋商报价要求和构成</w:t>
      </w:r>
      <w:bookmarkEnd w:id="75"/>
    </w:p>
    <w:p w14:paraId="4E132131">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color w:val="auto"/>
          <w:sz w:val="24"/>
          <w:szCs w:val="24"/>
          <w:highlight w:val="none"/>
        </w:rPr>
      </w:pPr>
      <w:bookmarkStart w:id="76" w:name="_Toc9343"/>
      <w:r>
        <w:rPr>
          <w:rFonts w:hint="eastAsia" w:ascii="宋体" w:hAnsi="宋体" w:eastAsia="宋体" w:cs="宋体"/>
          <w:color w:val="auto"/>
          <w:spacing w:val="7"/>
          <w:sz w:val="24"/>
          <w:szCs w:val="24"/>
          <w:highlight w:val="none"/>
        </w:rPr>
        <w:t>15.1</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7"/>
          <w:sz w:val="24"/>
          <w:szCs w:val="24"/>
          <w:highlight w:val="none"/>
        </w:rPr>
        <w:t>磋商报价方式见“供应商须知前附表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7"/>
          <w:sz w:val="24"/>
          <w:szCs w:val="24"/>
          <w:highlight w:val="none"/>
        </w:rPr>
        <w:t>”。</w:t>
      </w:r>
      <w:bookmarkEnd w:id="76"/>
    </w:p>
    <w:p w14:paraId="475FC2C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color w:val="auto"/>
          <w:sz w:val="24"/>
          <w:szCs w:val="24"/>
          <w:highlight w:val="none"/>
        </w:rPr>
      </w:pPr>
      <w:bookmarkStart w:id="77" w:name="_Toc14930"/>
      <w:r>
        <w:rPr>
          <w:rFonts w:hint="eastAsia" w:ascii="宋体" w:hAnsi="宋体" w:eastAsia="宋体" w:cs="宋体"/>
          <w:color w:val="auto"/>
          <w:spacing w:val="7"/>
          <w:sz w:val="24"/>
          <w:szCs w:val="24"/>
          <w:highlight w:val="none"/>
        </w:rPr>
        <w:t>15.2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磋商报价的价格构成见“供应商须知前附表</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7"/>
          <w:sz w:val="24"/>
          <w:szCs w:val="24"/>
          <w:highlight w:val="none"/>
        </w:rPr>
        <w:t>”。</w:t>
      </w:r>
      <w:bookmarkEnd w:id="77"/>
    </w:p>
    <w:p w14:paraId="27E5F4C6">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color w:val="auto"/>
          <w:sz w:val="24"/>
          <w:szCs w:val="24"/>
          <w:highlight w:val="none"/>
        </w:rPr>
      </w:pPr>
      <w:bookmarkStart w:id="78" w:name="_Toc22417"/>
      <w:r>
        <w:rPr>
          <w:rFonts w:hint="eastAsia" w:ascii="宋体" w:hAnsi="宋体" w:eastAsia="宋体" w:cs="宋体"/>
          <w:color w:val="auto"/>
          <w:spacing w:val="4"/>
          <w:sz w:val="24"/>
          <w:szCs w:val="24"/>
          <w:highlight w:val="none"/>
        </w:rPr>
        <w:t>15.3</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4"/>
          <w:sz w:val="24"/>
          <w:szCs w:val="24"/>
          <w:highlight w:val="none"/>
        </w:rPr>
        <w:t>磋商报价要求</w:t>
      </w:r>
      <w:bookmarkEnd w:id="78"/>
    </w:p>
    <w:p w14:paraId="2A7F8D72">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color w:val="auto"/>
          <w:sz w:val="24"/>
          <w:szCs w:val="24"/>
          <w:highlight w:val="none"/>
        </w:rPr>
      </w:pPr>
      <w:bookmarkStart w:id="79" w:name="_Toc4634"/>
      <w:r>
        <w:rPr>
          <w:rFonts w:hint="eastAsia" w:ascii="宋体" w:hAnsi="宋体" w:eastAsia="宋体" w:cs="宋体"/>
          <w:color w:val="auto"/>
          <w:spacing w:val="8"/>
          <w:sz w:val="24"/>
          <w:szCs w:val="24"/>
          <w:highlight w:val="none"/>
        </w:rPr>
        <w:t>15.3.1</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8"/>
          <w:sz w:val="24"/>
          <w:szCs w:val="24"/>
          <w:highlight w:val="none"/>
        </w:rPr>
        <w:t>供应商的磋商报价应符合以下要求，否则响应文件按无效响应处</w:t>
      </w:r>
      <w:r>
        <w:rPr>
          <w:rFonts w:hint="eastAsia" w:ascii="宋体" w:hAnsi="宋体" w:eastAsia="宋体" w:cs="宋体"/>
          <w:color w:val="auto"/>
          <w:spacing w:val="7"/>
          <w:sz w:val="24"/>
          <w:szCs w:val="24"/>
          <w:highlight w:val="none"/>
        </w:rPr>
        <w:t>理：</w:t>
      </w:r>
      <w:bookmarkEnd w:id="79"/>
    </w:p>
    <w:p w14:paraId="5671EDAC">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color w:val="auto"/>
          <w:spacing w:val="4"/>
          <w:sz w:val="24"/>
          <w:szCs w:val="24"/>
          <w:highlight w:val="none"/>
        </w:rPr>
      </w:pPr>
      <w:bookmarkStart w:id="80" w:name="_Toc24673"/>
      <w:r>
        <w:rPr>
          <w:rFonts w:hint="eastAsia" w:ascii="宋体" w:hAnsi="宋体" w:eastAsia="宋体" w:cs="宋体"/>
          <w:color w:val="auto"/>
          <w:spacing w:val="4"/>
          <w:sz w:val="24"/>
          <w:szCs w:val="24"/>
          <w:highlight w:val="none"/>
        </w:rPr>
        <w:t>（1）供应商必须就所磋商的每个分标的全部内容分别作完整唯一总价报价，不得存在漏项报价；</w:t>
      </w:r>
      <w:bookmarkEnd w:id="80"/>
    </w:p>
    <w:p w14:paraId="09378518">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color w:val="auto"/>
          <w:spacing w:val="4"/>
          <w:sz w:val="24"/>
          <w:szCs w:val="24"/>
          <w:highlight w:val="none"/>
        </w:rPr>
      </w:pPr>
      <w:bookmarkStart w:id="81" w:name="_Toc7644"/>
      <w:r>
        <w:rPr>
          <w:rFonts w:hint="eastAsia" w:ascii="宋体" w:hAnsi="宋体" w:eastAsia="宋体" w:cs="宋体"/>
          <w:color w:val="auto"/>
          <w:spacing w:val="4"/>
          <w:sz w:val="24"/>
          <w:szCs w:val="24"/>
          <w:highlight w:val="none"/>
        </w:rPr>
        <w:t>（2）供应商必须就所磋商的分标的单项内容作唯一报价。</w:t>
      </w:r>
      <w:bookmarkEnd w:id="81"/>
    </w:p>
    <w:p w14:paraId="45F3A5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磋商报价（包含首次报价、最后报价）超过所磋商分标规定的采购预算金额或者最高限价的，其响应文件将作无效处理。</w:t>
      </w:r>
    </w:p>
    <w:p w14:paraId="0A8FAF5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 磋商报价（包含首次报价、最后报价）超过分项采购预算金额或者最高限价的，其响应文件将作无效处理。</w:t>
      </w:r>
    </w:p>
    <w:p w14:paraId="3A903AA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磋商有效期</w:t>
      </w:r>
    </w:p>
    <w:p w14:paraId="2A5263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磋商有效期是指为保证采购人有足够的时间在提交响应文件后完成评审、确定成交供应商、合同签订等工作而要求供应商提交的响应文件在一定时间内保持有效的期限。</w:t>
      </w:r>
    </w:p>
    <w:p w14:paraId="7B5DBA5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磋商有效期应由供应商按“供应商须知前附表 ”规定的期限作出响应。</w:t>
      </w:r>
    </w:p>
    <w:p w14:paraId="587CCD8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供应商的响应文件在磋商有效期内均保持有效。</w:t>
      </w:r>
    </w:p>
    <w:p w14:paraId="36C11B55">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17.磋商保证金</w:t>
      </w:r>
    </w:p>
    <w:p w14:paraId="61680A4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 ”。</w:t>
      </w:r>
    </w:p>
    <w:p w14:paraId="0BEF262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18.响应文件编制的要求</w:t>
      </w:r>
    </w:p>
    <w:p w14:paraId="75D2C10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电子响应文件是供应商使用“政采云投标文件制作工具 ” 且根据竞争性磋商文件要求编 制完成并使用 CA 证书签章的响应文件。供应商应按本磋商文件规定的格式和顺序编制响应文件并 标注页码，响应文件内容不完整、编排混乱导致响应文件被误读、漏读或者查找不到相关内容的，由此引发的后果由供应商承担。</w:t>
      </w:r>
    </w:p>
    <w:p w14:paraId="49B84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响应文件应按资格证明文件、</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、技术文件编制成一册。响应文件份数详见“供应商须知前附表 ”。</w:t>
      </w:r>
    </w:p>
    <w:p w14:paraId="0CF85AB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为确保网上操作合法、有效和安全，供应商应当在响应截止时间前完成在广西政府采购云平台平台的身份认证，确保在电子投标过程中能够对相关数据电文进行加密和使用电子签名。</w:t>
      </w:r>
    </w:p>
    <w:p w14:paraId="42CC2E1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响应文件须由供应商在规定位置 CA 签章、签署，否则其响应文件作无效处理。骑缝盖公章不视为在规定位置盖章。</w:t>
      </w:r>
    </w:p>
    <w:p w14:paraId="350BDF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响应文件中标注的供应商名称应与营业执照（事业单位法人证书、执业许可证、 自然人身份证）及公章一致，否则其响应文件按无效响应处理。</w:t>
      </w:r>
    </w:p>
    <w:p w14:paraId="567D4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 响应文件应尽量避免涂改、行间插字或者删除。如果出现上述情况，改动之处应由供应 商的法定代表人或者其委托代理人签字或者 CA 签章。响应文件因涂改、行间插字或者删除导致字迹潦草或者表达不清所引起的后果由供应商承担。</w:t>
      </w:r>
    </w:p>
    <w:p w14:paraId="48F7DB7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19.响应文件的密封和标记</w:t>
      </w:r>
    </w:p>
    <w:p w14:paraId="5718C0D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供应商必须在“供应商须知前附表 ”规定的响应文件提交截止时间和提交地点提交电子 响应文件。 电子响应文件应在制作完成后，在响应文件提交截止时间前通过有效数字证书（CA 认 证锁）进行电子签章、加密，然后通过网络将加密的电子响应文件递交至广西政府采购云平台（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347624B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未在规定时间内提交或者未按照磋商文件要求密封或者标记的电子响应文件，“广西政府采购云平台 ”将拒收。</w:t>
      </w:r>
    </w:p>
    <w:p w14:paraId="3653F99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20.响应文件的提交</w:t>
      </w:r>
    </w:p>
    <w:p w14:paraId="4B7591F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供应商必须在“供应商须知前附表 ”规定的时间和地点提交响应文件。响应文件的提交要求详见“供应商须知前附表 ”。</w:t>
      </w:r>
    </w:p>
    <w:p w14:paraId="5903B02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采购代理机构工作人员收到响应文件后，应当如实记载响应文件的密封情况。</w:t>
      </w:r>
    </w:p>
    <w:p w14:paraId="0154508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在首次响应文件提交截止时间后送达的或者不符合本须知正文第 19.2 条的响应文件为无效文件，采购人或者采购代理机构应当拒收。</w:t>
      </w:r>
    </w:p>
    <w:p w14:paraId="7117E840">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21.首次响应文件的补充、修改与撤回</w:t>
      </w:r>
    </w:p>
    <w:p w14:paraId="7CEE575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供应商在首次响应文件提交截止时间前，可以对所提交的响应文件进行补充、修改或者撤回， 并书面通知采购人、采购代理机构。补充、修改的内容作为响应文件的组成部分。补充、修改的内容与响应文件不一致的， 以补充、修改的内容为准。</w:t>
      </w:r>
    </w:p>
    <w:p w14:paraId="6F6D01A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首次响应文件的退回</w:t>
      </w:r>
    </w:p>
    <w:p w14:paraId="32D5E02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在首次响应文件提交截止时间止提交响应文件的供应商不足 3 家时，应当由供应商签字领回响应文件，除此之外采购人和采购代理机构对已提交的响应文件概不退回。</w:t>
      </w:r>
    </w:p>
    <w:p w14:paraId="79056E56">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截止时间后的撤回</w:t>
      </w:r>
    </w:p>
    <w:p w14:paraId="405026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供应商在首次响应文件提交截止时间后向采购人、采购代理机构书面申请撤回响应文件的，将根据本须知正文 17.4 的规定不予退还其磋商保证金。</w:t>
      </w:r>
    </w:p>
    <w:p w14:paraId="7B73CEB3">
      <w:pPr>
        <w:keepNext w:val="0"/>
        <w:keepLines w:val="0"/>
        <w:pageBreakBefore w:val="0"/>
        <w:widowControl w:val="0"/>
        <w:kinsoku/>
        <w:wordWrap w:val="0"/>
        <w:overflowPunct/>
        <w:topLinePunct/>
        <w:autoSpaceDE/>
        <w:autoSpaceDN/>
        <w:bidi w:val="0"/>
        <w:adjustRightInd w:val="0"/>
        <w:snapToGrid w:val="0"/>
        <w:spacing w:line="360" w:lineRule="auto"/>
        <w:ind w:left="0" w:firstLine="636" w:firstLineChars="200"/>
        <w:jc w:val="center"/>
        <w:textAlignment w:val="baseline"/>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四、评审及磋商</w:t>
      </w:r>
    </w:p>
    <w:p w14:paraId="1696402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24.磋商小组成立</w:t>
      </w:r>
    </w:p>
    <w:p w14:paraId="6D12F1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磋商小组由采购人代表和评审专家共 3 人以上单数组成，具体人数见“供应商须知前附 表 ”，其中评审专家人数不得少于磋商小组成员总数的 2/3。采购人代表不得以评审专家身份参加 本部门或者本单位采购项目的评审。采购代理机构人员不得参加本机构代理的采购项目的评审。 达到公开招标数额标准的货物或者服务采购项目，或者达到公开招标规模标准的政府采购工程，经批准采用竞争性磋商方式采购的，磋商小组由 5 人以上单数组成。</w:t>
      </w:r>
    </w:p>
    <w:p w14:paraId="34ABC7B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评审专家应当从政府采购评审专家库内相关专业的专家名单中随机抽取。市场竞争不充分的科研项目，以及需要扶持的科技成果转化项目， 以及情况特殊、通过随机方式难以确定合适的评审专家的项目，经主管预算单位同意，可以自行选定评审专家。技术复杂、专业性强的采购项目，评审专家中应当包含 1 名法律专家。</w:t>
      </w:r>
    </w:p>
    <w:p w14:paraId="0C48AA2E">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25.首次响应文件的开启（解密）</w:t>
      </w:r>
    </w:p>
    <w:p w14:paraId="53A344A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首次响应文件由磋商小组或者采购代理机构在“供应商须知前附表 ”规定的时间开启（解密）。</w:t>
      </w:r>
    </w:p>
    <w:p w14:paraId="00A2117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26.评审程序、评审方法和评审标准</w:t>
      </w:r>
    </w:p>
    <w:p w14:paraId="49AAC5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本项目的评审方法为综合评分法。</w:t>
      </w:r>
    </w:p>
    <w:p w14:paraId="7ECC8A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磋商小组按照“第三章 评审程序、评审方法和评审标准 ”规定的方法、评审因素、标准和程序对响应文件进行评审。</w:t>
      </w:r>
    </w:p>
    <w:p w14:paraId="122BBF2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27.确定成交供应商及结果公告</w:t>
      </w:r>
    </w:p>
    <w:p w14:paraId="5CF173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成交供应商由磋商小组按照排序由高到低的原则确定。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27.2 采购代理机构应当在成交供应商确定后2个工作日内将评审报告送采购人，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交供应商享受《政府采购促进中小企业发展管理办法》（财库〔2020〕46号）规定的中小企业扶持政策的，采购人、采购代理机构应当随成交结果公开成交供应商的《中小企业声明函》。</w:t>
      </w:r>
    </w:p>
    <w:p w14:paraId="604E641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27.3 采购人、采购代理机构认为供应商对采购过程、成交结果提出的质疑成立且影响或者可 能影响成交结果的，合格供应商符合法定数量时，可以从合格的成交候选人中另行确定成交供应商的，应当依法另行确定成交供应商；否则应当重新开展采购活动。</w:t>
      </w:r>
    </w:p>
    <w:p w14:paraId="221506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 排名第一的成交候选人放弃成交、因不可抗力提出不能履行合同，采购人可以确定排名 第二的成交候选人为成交供应商。排名第二的成交候选人因前款规定的同样原因不能签订合同的，采购人可以确定排名第三的成交候选人为成交供应商， 以此类推。</w:t>
      </w:r>
    </w:p>
    <w:p w14:paraId="18FB78E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28.履约保证金</w:t>
      </w:r>
    </w:p>
    <w:p w14:paraId="165754E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详见 “供应商须知前附表 ”。</w:t>
      </w:r>
    </w:p>
    <w:p w14:paraId="3407D9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28.2 农民工工资保障金要求：见“供应商须知前附表 ”。</w:t>
      </w:r>
    </w:p>
    <w:p w14:paraId="5F7A9AC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29.签订合同</w:t>
      </w:r>
    </w:p>
    <w:p w14:paraId="2D61EA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成交供应商在收到成交通知书后，应当在签订合同时向采购人出示相关证明材料，具体内容详见 “供应商须知前附表 ”，经采购人核验合格后方可签订合同。</w:t>
      </w:r>
    </w:p>
    <w:p w14:paraId="4E89431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签订合同时间：采购人应当自成交通知书发出之日起 25 日内，按照磋商文件和成交供 应商响应文件的规定，与成交供应商签订书面合同。所签订的合同不得对磋商文件确定的事项和成交供应商响应文件作实质性修改。</w:t>
      </w:r>
    </w:p>
    <w:p w14:paraId="7C19A8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成交供应商拒绝与采购人签订合同的，采购人可以按照评审报告推荐的成交候选人名单 排序，确定下一候选人为成交供应商，也可以重新开展政府采购活动。拒绝签订政府采购合同的成交供应商不得参加对该合同项重新开展的采购活动。</w:t>
      </w:r>
    </w:p>
    <w:p w14:paraId="6F1B6E1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30.政府采购合同公告</w:t>
      </w:r>
    </w:p>
    <w:p w14:paraId="6461AD9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见“供应商须知前附表 ”。</w:t>
      </w:r>
    </w:p>
    <w:p w14:paraId="619BA11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 询问、质疑和投诉</w:t>
      </w:r>
    </w:p>
    <w:p w14:paraId="792EF5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供应商对政府采购活动事项有疑问的，可以向采购人、采购代理机构提出询问，采购人或者采购代理机构应当在 3 个工作日内对供应商依法提出的询问作出答复。</w:t>
      </w:r>
    </w:p>
    <w:p w14:paraId="2A91D6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供应商认为磋商文件、采购过程或者成交结果使自己的合法权益受到损害的，应当在知 道或者应知其权益受到损害之日起 7 个工作日内，以书面形式向采购人、采购代理机构提出质疑，接收质疑函的方式、联系部门、联系电话和通讯地址等信息详见“供应商须知前附表 ”。具体质疑起算时间如下：</w:t>
      </w:r>
    </w:p>
    <w:p w14:paraId="79EF67C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（1）对可以质疑的磋商文件提出质疑的，为收到磋商文件之日或者竞争性磋商公告期限届满之日；</w:t>
      </w:r>
    </w:p>
    <w:p w14:paraId="73CDAD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14:paraId="3582C25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（3）对成交结果提出质疑的，为成交结果公告期限届满之日。</w:t>
      </w:r>
    </w:p>
    <w:p w14:paraId="5C8CA80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供应商提出的询问或者质疑超出采购人对采购代理机构委托授权范围的，采购代理机构 应当告知供应商向采购人提出。政府采购评审专家应当配合采购人或者采购代理机构答复供应商的询问和质疑。</w:t>
      </w:r>
    </w:p>
    <w:p w14:paraId="4598BA3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供应商提出质疑应当提交质疑函和必要的证明材料，针对同一采购程序环节的质疑必须在法定质疑期内一次性提出。质疑函应当包括下列内容（质疑函格式后附）：</w:t>
      </w:r>
    </w:p>
    <w:p w14:paraId="5528F6C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5D548F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734BE07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（3）具体、明确的质疑事项和与质疑事项相关的请求；</w:t>
      </w:r>
    </w:p>
    <w:p w14:paraId="5F0FBD1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318034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50B850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55A5B64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供应商为自然人的，应当由本人签字；供应商为法人或者其他组织的，应当由法定代表人、主要负责人，或者其委托代理人签字或者盖章，并加盖公章。</w:t>
      </w:r>
    </w:p>
    <w:p w14:paraId="246290B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采购人、采购代理机构认为供应商质疑不成立，或者成立但未对成交结果构成影响的，继续开展采购活动；认为供应商质疑成立且影响或者可能影响成交结果的，按照下列情况处理：</w:t>
      </w:r>
    </w:p>
    <w:p w14:paraId="2929EC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3EC29EC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08FF164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 投诉的权利。质疑供应商对采购人、采购代理机构的答复不满意，或者采购人、采购代 理机构未在规定时间内作出答复的，可以在答复期满后 15 个工作日内向《政府采购质疑和投诉办法》（财政部令第 94 号）第六条规定的财政部门提起投诉（投诉书格式后附）。</w:t>
      </w:r>
    </w:p>
    <w:p w14:paraId="575F7B84">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32.其他内容</w:t>
      </w:r>
    </w:p>
    <w:p w14:paraId="403EE63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代理服务收费标准及缴费账户详见“供应商须知前附表 ”，供应商为联合体的，可以由联合体中的一方或者多方共同交纳代理服务费。</w:t>
      </w:r>
    </w:p>
    <w:p w14:paraId="7C8F2AC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代理服务费收费计算标准：</w:t>
      </w:r>
    </w:p>
    <w:p w14:paraId="38118F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p>
    <w:tbl>
      <w:tblPr>
        <w:tblStyle w:val="22"/>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786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474" w:type="dxa"/>
            <w:tcBorders>
              <w:tl2br w:val="single" w:color="000000" w:sz="4" w:space="0"/>
            </w:tcBorders>
            <w:vAlign w:val="top"/>
          </w:tcPr>
          <w:p w14:paraId="72FD754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p w14:paraId="337906B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658" w:type="dxa"/>
            <w:vAlign w:val="top"/>
          </w:tcPr>
          <w:p w14:paraId="5449E85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p>
          <w:p w14:paraId="4BBC54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w:t>
            </w:r>
          </w:p>
        </w:tc>
        <w:tc>
          <w:tcPr>
            <w:tcW w:w="1531" w:type="dxa"/>
            <w:vAlign w:val="top"/>
          </w:tcPr>
          <w:p w14:paraId="1A3E96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p>
          <w:p w14:paraId="577D8E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c>
          <w:tcPr>
            <w:tcW w:w="1550" w:type="dxa"/>
            <w:vAlign w:val="top"/>
          </w:tcPr>
          <w:p w14:paraId="0162C7C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p>
          <w:p w14:paraId="068DD6A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工程类</w:t>
            </w:r>
          </w:p>
        </w:tc>
      </w:tr>
      <w:tr w14:paraId="2C5C7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079103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万元以下</w:t>
            </w:r>
          </w:p>
        </w:tc>
        <w:tc>
          <w:tcPr>
            <w:tcW w:w="1658" w:type="dxa"/>
            <w:vAlign w:val="top"/>
          </w:tcPr>
          <w:p w14:paraId="531A0D6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531" w:type="dxa"/>
            <w:vAlign w:val="top"/>
          </w:tcPr>
          <w:p w14:paraId="1F318A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550" w:type="dxa"/>
            <w:vAlign w:val="top"/>
          </w:tcPr>
          <w:p w14:paraId="4DE4AB4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5476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335A6C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 万元</w:t>
            </w:r>
          </w:p>
        </w:tc>
        <w:tc>
          <w:tcPr>
            <w:tcW w:w="1658" w:type="dxa"/>
            <w:vAlign w:val="top"/>
          </w:tcPr>
          <w:p w14:paraId="35B1691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31" w:type="dxa"/>
            <w:vAlign w:val="top"/>
          </w:tcPr>
          <w:p w14:paraId="6FFE8F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550" w:type="dxa"/>
            <w:vAlign w:val="top"/>
          </w:tcPr>
          <w:p w14:paraId="007F31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3761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0BD939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 万元</w:t>
            </w:r>
          </w:p>
        </w:tc>
        <w:tc>
          <w:tcPr>
            <w:tcW w:w="1658" w:type="dxa"/>
            <w:vAlign w:val="top"/>
          </w:tcPr>
          <w:p w14:paraId="6831D71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531" w:type="dxa"/>
            <w:vAlign w:val="top"/>
          </w:tcPr>
          <w:p w14:paraId="691508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550" w:type="dxa"/>
            <w:vAlign w:val="top"/>
          </w:tcPr>
          <w:p w14:paraId="7E5A6CB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666E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4CE7BCA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 万元</w:t>
            </w:r>
          </w:p>
        </w:tc>
        <w:tc>
          <w:tcPr>
            <w:tcW w:w="1658" w:type="dxa"/>
            <w:vAlign w:val="top"/>
          </w:tcPr>
          <w:p w14:paraId="5775461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531" w:type="dxa"/>
            <w:vAlign w:val="top"/>
          </w:tcPr>
          <w:p w14:paraId="77FF4E4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550" w:type="dxa"/>
            <w:vAlign w:val="top"/>
          </w:tcPr>
          <w:p w14:paraId="43A2432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29C4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6311BD9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 万元～1 亿元</w:t>
            </w:r>
          </w:p>
        </w:tc>
        <w:tc>
          <w:tcPr>
            <w:tcW w:w="1658" w:type="dxa"/>
            <w:vAlign w:val="top"/>
          </w:tcPr>
          <w:p w14:paraId="3EEB52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531" w:type="dxa"/>
            <w:vAlign w:val="top"/>
          </w:tcPr>
          <w:p w14:paraId="4CF6A12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550" w:type="dxa"/>
            <w:vAlign w:val="top"/>
          </w:tcPr>
          <w:p w14:paraId="50A793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04A7A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406FF4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亿元</w:t>
            </w:r>
          </w:p>
        </w:tc>
        <w:tc>
          <w:tcPr>
            <w:tcW w:w="1658" w:type="dxa"/>
            <w:vAlign w:val="top"/>
          </w:tcPr>
          <w:p w14:paraId="1BCBD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531" w:type="dxa"/>
            <w:vAlign w:val="top"/>
          </w:tcPr>
          <w:p w14:paraId="304F3FC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550" w:type="dxa"/>
            <w:vAlign w:val="top"/>
          </w:tcPr>
          <w:p w14:paraId="48DE39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7382D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74" w:type="dxa"/>
            <w:vAlign w:val="top"/>
          </w:tcPr>
          <w:p w14:paraId="52C63D2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 亿元</w:t>
            </w:r>
          </w:p>
        </w:tc>
        <w:tc>
          <w:tcPr>
            <w:tcW w:w="1658" w:type="dxa"/>
            <w:vAlign w:val="top"/>
          </w:tcPr>
          <w:p w14:paraId="61618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c>
          <w:tcPr>
            <w:tcW w:w="1531" w:type="dxa"/>
            <w:vAlign w:val="top"/>
          </w:tcPr>
          <w:p w14:paraId="54AABC7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c>
          <w:tcPr>
            <w:tcW w:w="1550" w:type="dxa"/>
            <w:vAlign w:val="top"/>
          </w:tcPr>
          <w:p w14:paraId="5CC32CC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r>
      <w:tr w14:paraId="11E6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35953FF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10～50 亿元</w:t>
            </w:r>
          </w:p>
        </w:tc>
        <w:tc>
          <w:tcPr>
            <w:tcW w:w="1658" w:type="dxa"/>
            <w:vAlign w:val="top"/>
          </w:tcPr>
          <w:p w14:paraId="691BD2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c>
          <w:tcPr>
            <w:tcW w:w="1531" w:type="dxa"/>
            <w:vAlign w:val="top"/>
          </w:tcPr>
          <w:p w14:paraId="6049303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c>
          <w:tcPr>
            <w:tcW w:w="1550" w:type="dxa"/>
            <w:vAlign w:val="top"/>
          </w:tcPr>
          <w:p w14:paraId="57B561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0.008%</w:t>
            </w:r>
          </w:p>
        </w:tc>
      </w:tr>
      <w:tr w14:paraId="690D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5DACDDD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50～100 亿元</w:t>
            </w:r>
          </w:p>
        </w:tc>
        <w:tc>
          <w:tcPr>
            <w:tcW w:w="1658" w:type="dxa"/>
            <w:vAlign w:val="top"/>
          </w:tcPr>
          <w:p w14:paraId="45EFD2B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0.006%</w:t>
            </w:r>
          </w:p>
        </w:tc>
        <w:tc>
          <w:tcPr>
            <w:tcW w:w="1531" w:type="dxa"/>
            <w:vAlign w:val="top"/>
          </w:tcPr>
          <w:p w14:paraId="27D1FE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0.006%</w:t>
            </w:r>
          </w:p>
        </w:tc>
        <w:tc>
          <w:tcPr>
            <w:tcW w:w="1550" w:type="dxa"/>
            <w:vAlign w:val="top"/>
          </w:tcPr>
          <w:p w14:paraId="69CEF0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0.006%</w:t>
            </w:r>
          </w:p>
        </w:tc>
      </w:tr>
      <w:tr w14:paraId="1C9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278D3A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亿以上</w:t>
            </w:r>
          </w:p>
        </w:tc>
        <w:tc>
          <w:tcPr>
            <w:tcW w:w="1658" w:type="dxa"/>
            <w:vAlign w:val="top"/>
          </w:tcPr>
          <w:p w14:paraId="60050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0.004%</w:t>
            </w:r>
          </w:p>
        </w:tc>
        <w:tc>
          <w:tcPr>
            <w:tcW w:w="1531" w:type="dxa"/>
            <w:vAlign w:val="top"/>
          </w:tcPr>
          <w:p w14:paraId="220E640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0.004%</w:t>
            </w:r>
          </w:p>
        </w:tc>
        <w:tc>
          <w:tcPr>
            <w:tcW w:w="1550" w:type="dxa"/>
            <w:vAlign w:val="top"/>
          </w:tcPr>
          <w:p w14:paraId="58AC61B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0.004%</w:t>
            </w:r>
          </w:p>
        </w:tc>
      </w:tr>
    </w:tbl>
    <w:p w14:paraId="55123F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采购代理服务费：成交供应商领取成交通知书前，按国家发展改革委发改价格〔2015〕299号文件规定由成交人按标准（工程类）向采购代理机构一次性付清代理服务费。</w:t>
      </w:r>
    </w:p>
    <w:p w14:paraId="66456FD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p>
    <w:p w14:paraId="7DD017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（1）按本表费率计算的收费为采购代理的收费基准价格；</w:t>
      </w:r>
    </w:p>
    <w:p w14:paraId="3E2A75B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（2）采购代理收费按差额定率累进法计算。</w:t>
      </w:r>
    </w:p>
    <w:p w14:paraId="05456CF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例如：某工程采购代理业务成交金额或者暂定价为 150 万元，计算采购代理收费额如下：</w:t>
      </w:r>
    </w:p>
    <w:p w14:paraId="43C8442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万元 ×l ％＝ 1 万元</w:t>
      </w:r>
    </w:p>
    <w:p w14:paraId="685B04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150 － 100 ）万元 ×0.7％ ＝ 0.35 万元</w:t>
      </w:r>
    </w:p>
    <w:p w14:paraId="1EE4E4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 1 ＋ 0.35＝ 1.35 （万元）</w:t>
      </w:r>
    </w:p>
    <w:p w14:paraId="28D6438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采购代理机构的银行账户：</w:t>
      </w:r>
    </w:p>
    <w:p w14:paraId="50F1D8F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公司名称：</w:t>
      </w:r>
      <w:r>
        <w:rPr>
          <w:rFonts w:hint="eastAsia" w:ascii="宋体" w:hAnsi="宋体" w:eastAsia="宋体" w:cs="宋体"/>
          <w:color w:val="auto"/>
          <w:sz w:val="24"/>
          <w:szCs w:val="24"/>
          <w:highlight w:val="none"/>
          <w:lang w:eastAsia="zh-CN"/>
        </w:rPr>
        <w:t>广西湘翌工程项目管理有限公司</w:t>
      </w:r>
    </w:p>
    <w:p w14:paraId="4E280E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桂林银行股份有限公司百色分行</w:t>
      </w:r>
    </w:p>
    <w:p w14:paraId="637B2F8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账  号： </w:t>
      </w:r>
      <w:r>
        <w:rPr>
          <w:rFonts w:hint="eastAsia" w:ascii="宋体" w:hAnsi="宋体" w:eastAsia="宋体" w:cs="宋体"/>
          <w:color w:val="auto"/>
          <w:sz w:val="24"/>
          <w:szCs w:val="24"/>
          <w:highlight w:val="none"/>
          <w:lang w:eastAsia="zh-CN"/>
        </w:rPr>
        <w:t>6600 0001 9960 0000 17</w:t>
      </w:r>
    </w:p>
    <w:p w14:paraId="33CF8F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33.需要补充的其他内容</w:t>
      </w:r>
    </w:p>
    <w:p w14:paraId="283AC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本磋商文件解释规则详见“供应商须知前附表 ”。</w:t>
      </w:r>
    </w:p>
    <w:p w14:paraId="5A4508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其他事项详见“供应商须知前附表 ”。</w:t>
      </w:r>
    </w:p>
    <w:p w14:paraId="4CD5A7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z w:val="24"/>
          <w:szCs w:val="24"/>
          <w:highlight w:val="none"/>
        </w:rPr>
        <w:sectPr>
          <w:footerReference r:id="rId9" w:type="default"/>
          <w:pgSz w:w="11905" w:h="16838"/>
          <w:pgMar w:top="1134" w:right="1134" w:bottom="1134" w:left="1134" w:header="0" w:footer="794" w:gutter="0"/>
          <w:pgNumType w:fmt="decimal"/>
          <w:cols w:space="0" w:num="1"/>
          <w:rtlGutter w:val="0"/>
          <w:docGrid w:linePitch="0" w:charSpace="0"/>
        </w:sectPr>
      </w:pPr>
    </w:p>
    <w:p w14:paraId="33E52F6D">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0" distR="0" simplePos="0" relativeHeight="251659264" behindDoc="1" locked="0" layoutInCell="0" allowOverlap="1">
                <wp:simplePos x="0" y="0"/>
                <wp:positionH relativeFrom="page">
                  <wp:posOffset>1139190</wp:posOffset>
                </wp:positionH>
                <wp:positionV relativeFrom="page">
                  <wp:posOffset>2190115</wp:posOffset>
                </wp:positionV>
                <wp:extent cx="5375275" cy="12700"/>
                <wp:effectExtent l="0" t="0" r="0" b="0"/>
                <wp:wrapNone/>
                <wp:docPr id="4" name="Rect 4"/>
                <wp:cNvGraphicFramePr/>
                <a:graphic xmlns:a="http://schemas.openxmlformats.org/drawingml/2006/main">
                  <a:graphicData uri="http://schemas.microsoft.com/office/word/2010/wordprocessingShape">
                    <wps:wsp>
                      <wps:cNvSpPr/>
                      <wps:spPr>
                        <a:xfrm>
                          <a:off x="1139443" y="2190115"/>
                          <a:ext cx="5375275" cy="12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89.7pt;margin-top:172.45pt;height:1pt;width:423.25pt;mso-position-horizontal-relative:page;mso-position-vertical-relative:page;z-index:-251657216;mso-width-relative:page;mso-height-relative:page;" fillcolor="#000000" filled="t" stroked="f" coordsize="21600,21600" o:allowincell="f" o:gfxdata="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K63s2QAAAAwBAAAPAAAAAAAAAAEAIAAAACIAAABkcnMvZG93bnJldi54&#10;bWxQSwECFAAUAAAACACHTuJA+IFX/zICAABtBAAADgAAAAAAAAABACAAAAAoAQAAZHJzL2Uyb0Rv&#10;Yy54bWxQSwUGAAAAAAYABgBZAQAAzAUAAAAA&#10;">
                <v:fill on="t" focussize="0,0"/>
                <v:stroke on="f" weight="0pt"/>
                <v:imagedata o:title=""/>
                <o:lock v:ext="edit" aspectratio="f"/>
                <v:textbox inset="0mm,0mm,0mm,0mm"/>
              </v:rect>
            </w:pict>
          </mc:Fallback>
        </mc:AlternateContent>
      </w:r>
      <w:r>
        <w:rPr>
          <w:rFonts w:hint="eastAsia" w:ascii="宋体" w:hAnsi="宋体" w:eastAsia="宋体" w:cs="宋体"/>
          <w:b/>
          <w:bCs/>
          <w:color w:val="auto"/>
          <w:sz w:val="24"/>
          <w:szCs w:val="24"/>
          <w:highlight w:val="none"/>
        </w:rPr>
        <w:t>附件 1：</w:t>
      </w:r>
    </w:p>
    <w:p w14:paraId="0C06A066">
      <w:pPr>
        <w:spacing w:line="360" w:lineRule="auto"/>
        <w:ind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广西壮族自治区政府采购项目合同验收书（格式）</w:t>
      </w:r>
    </w:p>
    <w:p w14:paraId="1A1F0EB5">
      <w:pPr>
        <w:spacing w:line="360" w:lineRule="auto"/>
        <w:ind w:firstLine="480" w:firstLineChars="200"/>
        <w:rPr>
          <w:rFonts w:hint="eastAsia" w:ascii="宋体" w:hAnsi="宋体" w:eastAsia="宋体" w:cs="宋体"/>
          <w:color w:val="auto"/>
          <w:sz w:val="24"/>
          <w:szCs w:val="24"/>
          <w:highlight w:val="none"/>
        </w:rPr>
      </w:pPr>
    </w:p>
    <w:p w14:paraId="067E1B3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根据政府采购项目（采购合同编号：  ）的约定，我单位对（ 项目名称 ） 政府采购项目成</w:t>
      </w:r>
      <w:r>
        <w:rPr>
          <w:rFonts w:hint="eastAsia" w:ascii="宋体" w:hAnsi="宋体" w:eastAsia="宋体" w:cs="宋体"/>
          <w:color w:val="auto"/>
          <w:sz w:val="24"/>
          <w:szCs w:val="24"/>
          <w:highlight w:val="none"/>
          <w:lang w:eastAsia="zh-CN"/>
        </w:rPr>
        <w:t>交供应商（公司名称）提供的货物（或者工程、服务）进行了验收，验收情况如下</w:t>
      </w:r>
    </w:p>
    <w:p w14:paraId="0DA97EBA">
      <w:pPr>
        <w:spacing w:line="360" w:lineRule="auto"/>
        <w:rPr>
          <w:rFonts w:hint="eastAsia" w:ascii="宋体" w:hAnsi="宋体" w:eastAsia="宋体" w:cs="宋体"/>
          <w:color w:val="auto"/>
          <w:sz w:val="24"/>
          <w:szCs w:val="24"/>
          <w:highlight w:val="none"/>
        </w:rPr>
      </w:pPr>
    </w:p>
    <w:p w14:paraId="4FC15CF3">
      <w:pPr>
        <w:spacing w:line="360" w:lineRule="auto"/>
        <w:rPr>
          <w:rFonts w:hint="eastAsia" w:ascii="宋体" w:hAnsi="宋体" w:eastAsia="宋体" w:cs="宋体"/>
          <w:color w:val="auto"/>
          <w:sz w:val="24"/>
          <w:szCs w:val="24"/>
          <w:highlight w:val="none"/>
        </w:rPr>
      </w:pPr>
    </w:p>
    <w:tbl>
      <w:tblPr>
        <w:tblStyle w:val="22"/>
        <w:tblW w:w="8449"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6ABE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3255" w:type="dxa"/>
            <w:gridSpan w:val="3"/>
            <w:tcBorders>
              <w:top w:val="nil"/>
            </w:tcBorders>
            <w:vAlign w:val="top"/>
          </w:tcPr>
          <w:p w14:paraId="6AF20C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验收方式：</w:t>
            </w:r>
          </w:p>
        </w:tc>
        <w:tc>
          <w:tcPr>
            <w:tcW w:w="5194" w:type="dxa"/>
            <w:gridSpan w:val="5"/>
            <w:tcBorders>
              <w:top w:val="nil"/>
            </w:tcBorders>
            <w:vAlign w:val="top"/>
          </w:tcPr>
          <w:p w14:paraId="75BD6F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6159B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□自行验收 □委托验收</w:t>
            </w:r>
          </w:p>
        </w:tc>
      </w:tr>
      <w:tr w14:paraId="522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011249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43" w:type="dxa"/>
            <w:gridSpan w:val="2"/>
            <w:vAlign w:val="top"/>
          </w:tcPr>
          <w:p w14:paraId="0FCAEF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897" w:type="dxa"/>
            <w:gridSpan w:val="2"/>
            <w:vAlign w:val="top"/>
          </w:tcPr>
          <w:p w14:paraId="18EA4D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货物型号规格、标准及配置等</w:t>
            </w:r>
          </w:p>
          <w:p w14:paraId="075E4E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（或者服务内容、标准）</w:t>
            </w:r>
          </w:p>
        </w:tc>
        <w:tc>
          <w:tcPr>
            <w:tcW w:w="862" w:type="dxa"/>
            <w:gridSpan w:val="2"/>
            <w:vAlign w:val="top"/>
          </w:tcPr>
          <w:p w14:paraId="6E88B3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35" w:type="dxa"/>
            <w:vAlign w:val="top"/>
          </w:tcPr>
          <w:p w14:paraId="2E8B6E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r>
      <w:tr w14:paraId="724C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A00AEC0">
            <w:pPr>
              <w:spacing w:line="360" w:lineRule="auto"/>
              <w:rPr>
                <w:rFonts w:hint="eastAsia" w:ascii="宋体" w:hAnsi="宋体" w:eastAsia="宋体" w:cs="宋体"/>
                <w:color w:val="auto"/>
                <w:sz w:val="24"/>
                <w:szCs w:val="24"/>
                <w:highlight w:val="none"/>
              </w:rPr>
            </w:pPr>
          </w:p>
        </w:tc>
        <w:tc>
          <w:tcPr>
            <w:tcW w:w="2443" w:type="dxa"/>
            <w:gridSpan w:val="2"/>
            <w:vAlign w:val="top"/>
          </w:tcPr>
          <w:p w14:paraId="1E9678D2">
            <w:pPr>
              <w:spacing w:line="360" w:lineRule="auto"/>
              <w:rPr>
                <w:rFonts w:hint="eastAsia" w:ascii="宋体" w:hAnsi="宋体" w:eastAsia="宋体" w:cs="宋体"/>
                <w:color w:val="auto"/>
                <w:sz w:val="24"/>
                <w:szCs w:val="24"/>
                <w:highlight w:val="none"/>
              </w:rPr>
            </w:pPr>
          </w:p>
        </w:tc>
        <w:tc>
          <w:tcPr>
            <w:tcW w:w="2897" w:type="dxa"/>
            <w:gridSpan w:val="2"/>
            <w:vAlign w:val="top"/>
          </w:tcPr>
          <w:p w14:paraId="3F6C71D9">
            <w:pPr>
              <w:spacing w:line="360" w:lineRule="auto"/>
              <w:rPr>
                <w:rFonts w:hint="eastAsia" w:ascii="宋体" w:hAnsi="宋体" w:eastAsia="宋体" w:cs="宋体"/>
                <w:color w:val="auto"/>
                <w:sz w:val="24"/>
                <w:szCs w:val="24"/>
                <w:highlight w:val="none"/>
              </w:rPr>
            </w:pPr>
          </w:p>
        </w:tc>
        <w:tc>
          <w:tcPr>
            <w:tcW w:w="862" w:type="dxa"/>
            <w:gridSpan w:val="2"/>
            <w:vAlign w:val="top"/>
          </w:tcPr>
          <w:p w14:paraId="514F7882">
            <w:pPr>
              <w:spacing w:line="360" w:lineRule="auto"/>
              <w:rPr>
                <w:rFonts w:hint="eastAsia" w:ascii="宋体" w:hAnsi="宋体" w:eastAsia="宋体" w:cs="宋体"/>
                <w:color w:val="auto"/>
                <w:sz w:val="24"/>
                <w:szCs w:val="24"/>
                <w:highlight w:val="none"/>
              </w:rPr>
            </w:pPr>
          </w:p>
        </w:tc>
        <w:tc>
          <w:tcPr>
            <w:tcW w:w="1435" w:type="dxa"/>
            <w:vAlign w:val="top"/>
          </w:tcPr>
          <w:p w14:paraId="1B99DA07">
            <w:pPr>
              <w:spacing w:line="360" w:lineRule="auto"/>
              <w:rPr>
                <w:rFonts w:hint="eastAsia" w:ascii="宋体" w:hAnsi="宋体" w:eastAsia="宋体" w:cs="宋体"/>
                <w:color w:val="auto"/>
                <w:sz w:val="24"/>
                <w:szCs w:val="24"/>
                <w:highlight w:val="none"/>
              </w:rPr>
            </w:pPr>
          </w:p>
        </w:tc>
      </w:tr>
      <w:tr w14:paraId="119C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4FC8360B">
            <w:pPr>
              <w:spacing w:line="360" w:lineRule="auto"/>
              <w:rPr>
                <w:rFonts w:hint="eastAsia" w:ascii="宋体" w:hAnsi="宋体" w:eastAsia="宋体" w:cs="宋体"/>
                <w:color w:val="auto"/>
                <w:sz w:val="24"/>
                <w:szCs w:val="24"/>
                <w:highlight w:val="none"/>
              </w:rPr>
            </w:pPr>
          </w:p>
        </w:tc>
        <w:tc>
          <w:tcPr>
            <w:tcW w:w="2443" w:type="dxa"/>
            <w:gridSpan w:val="2"/>
            <w:vAlign w:val="top"/>
          </w:tcPr>
          <w:p w14:paraId="48E1505E">
            <w:pPr>
              <w:spacing w:line="360" w:lineRule="auto"/>
              <w:rPr>
                <w:rFonts w:hint="eastAsia" w:ascii="宋体" w:hAnsi="宋体" w:eastAsia="宋体" w:cs="宋体"/>
                <w:color w:val="auto"/>
                <w:sz w:val="24"/>
                <w:szCs w:val="24"/>
                <w:highlight w:val="none"/>
              </w:rPr>
            </w:pPr>
          </w:p>
        </w:tc>
        <w:tc>
          <w:tcPr>
            <w:tcW w:w="2897" w:type="dxa"/>
            <w:gridSpan w:val="2"/>
            <w:vAlign w:val="top"/>
          </w:tcPr>
          <w:p w14:paraId="3026144D">
            <w:pPr>
              <w:spacing w:line="360" w:lineRule="auto"/>
              <w:rPr>
                <w:rFonts w:hint="eastAsia" w:ascii="宋体" w:hAnsi="宋体" w:eastAsia="宋体" w:cs="宋体"/>
                <w:color w:val="auto"/>
                <w:sz w:val="24"/>
                <w:szCs w:val="24"/>
                <w:highlight w:val="none"/>
              </w:rPr>
            </w:pPr>
          </w:p>
        </w:tc>
        <w:tc>
          <w:tcPr>
            <w:tcW w:w="862" w:type="dxa"/>
            <w:gridSpan w:val="2"/>
            <w:vAlign w:val="top"/>
          </w:tcPr>
          <w:p w14:paraId="54B833F8">
            <w:pPr>
              <w:spacing w:line="360" w:lineRule="auto"/>
              <w:rPr>
                <w:rFonts w:hint="eastAsia" w:ascii="宋体" w:hAnsi="宋体" w:eastAsia="宋体" w:cs="宋体"/>
                <w:color w:val="auto"/>
                <w:sz w:val="24"/>
                <w:szCs w:val="24"/>
                <w:highlight w:val="none"/>
              </w:rPr>
            </w:pPr>
          </w:p>
        </w:tc>
        <w:tc>
          <w:tcPr>
            <w:tcW w:w="1435" w:type="dxa"/>
            <w:vAlign w:val="top"/>
          </w:tcPr>
          <w:p w14:paraId="7B560704">
            <w:pPr>
              <w:spacing w:line="360" w:lineRule="auto"/>
              <w:rPr>
                <w:rFonts w:hint="eastAsia" w:ascii="宋体" w:hAnsi="宋体" w:eastAsia="宋体" w:cs="宋体"/>
                <w:color w:val="auto"/>
                <w:sz w:val="24"/>
                <w:szCs w:val="24"/>
                <w:highlight w:val="none"/>
              </w:rPr>
            </w:pPr>
          </w:p>
        </w:tc>
      </w:tr>
      <w:tr w14:paraId="1CF0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74F015D9">
            <w:pPr>
              <w:spacing w:line="360" w:lineRule="auto"/>
              <w:rPr>
                <w:rFonts w:hint="eastAsia" w:ascii="宋体" w:hAnsi="宋体" w:eastAsia="宋体" w:cs="宋体"/>
                <w:color w:val="auto"/>
                <w:sz w:val="24"/>
                <w:szCs w:val="24"/>
                <w:highlight w:val="none"/>
              </w:rPr>
            </w:pPr>
          </w:p>
        </w:tc>
        <w:tc>
          <w:tcPr>
            <w:tcW w:w="2443" w:type="dxa"/>
            <w:gridSpan w:val="2"/>
            <w:vAlign w:val="top"/>
          </w:tcPr>
          <w:p w14:paraId="584E398D">
            <w:pPr>
              <w:spacing w:line="360" w:lineRule="auto"/>
              <w:rPr>
                <w:rFonts w:hint="eastAsia" w:ascii="宋体" w:hAnsi="宋体" w:eastAsia="宋体" w:cs="宋体"/>
                <w:color w:val="auto"/>
                <w:sz w:val="24"/>
                <w:szCs w:val="24"/>
                <w:highlight w:val="none"/>
              </w:rPr>
            </w:pPr>
          </w:p>
        </w:tc>
        <w:tc>
          <w:tcPr>
            <w:tcW w:w="2897" w:type="dxa"/>
            <w:gridSpan w:val="2"/>
            <w:vAlign w:val="top"/>
          </w:tcPr>
          <w:p w14:paraId="4A8FB16C">
            <w:pPr>
              <w:spacing w:line="360" w:lineRule="auto"/>
              <w:rPr>
                <w:rFonts w:hint="eastAsia" w:ascii="宋体" w:hAnsi="宋体" w:eastAsia="宋体" w:cs="宋体"/>
                <w:color w:val="auto"/>
                <w:sz w:val="24"/>
                <w:szCs w:val="24"/>
                <w:highlight w:val="none"/>
              </w:rPr>
            </w:pPr>
          </w:p>
        </w:tc>
        <w:tc>
          <w:tcPr>
            <w:tcW w:w="862" w:type="dxa"/>
            <w:gridSpan w:val="2"/>
            <w:vAlign w:val="top"/>
          </w:tcPr>
          <w:p w14:paraId="3F0CD691">
            <w:pPr>
              <w:spacing w:line="360" w:lineRule="auto"/>
              <w:rPr>
                <w:rFonts w:hint="eastAsia" w:ascii="宋体" w:hAnsi="宋体" w:eastAsia="宋体" w:cs="宋体"/>
                <w:color w:val="auto"/>
                <w:sz w:val="24"/>
                <w:szCs w:val="24"/>
                <w:highlight w:val="none"/>
              </w:rPr>
            </w:pPr>
          </w:p>
        </w:tc>
        <w:tc>
          <w:tcPr>
            <w:tcW w:w="1435" w:type="dxa"/>
            <w:vAlign w:val="top"/>
          </w:tcPr>
          <w:p w14:paraId="66C91B56">
            <w:pPr>
              <w:spacing w:line="360" w:lineRule="auto"/>
              <w:rPr>
                <w:rFonts w:hint="eastAsia" w:ascii="宋体" w:hAnsi="宋体" w:eastAsia="宋体" w:cs="宋体"/>
                <w:color w:val="auto"/>
                <w:sz w:val="24"/>
                <w:szCs w:val="24"/>
                <w:highlight w:val="none"/>
              </w:rPr>
            </w:pPr>
          </w:p>
        </w:tc>
      </w:tr>
      <w:tr w14:paraId="27ED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67CD98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62" w:type="dxa"/>
            <w:gridSpan w:val="2"/>
            <w:vAlign w:val="top"/>
          </w:tcPr>
          <w:p w14:paraId="6FA6B33F">
            <w:pPr>
              <w:spacing w:line="360" w:lineRule="auto"/>
              <w:rPr>
                <w:rFonts w:hint="eastAsia" w:ascii="宋体" w:hAnsi="宋体" w:eastAsia="宋体" w:cs="宋体"/>
                <w:color w:val="auto"/>
                <w:sz w:val="24"/>
                <w:szCs w:val="24"/>
                <w:highlight w:val="none"/>
              </w:rPr>
            </w:pPr>
          </w:p>
        </w:tc>
        <w:tc>
          <w:tcPr>
            <w:tcW w:w="1435" w:type="dxa"/>
            <w:vAlign w:val="top"/>
          </w:tcPr>
          <w:p w14:paraId="68289A86">
            <w:pPr>
              <w:spacing w:line="360" w:lineRule="auto"/>
              <w:rPr>
                <w:rFonts w:hint="eastAsia" w:ascii="宋体" w:hAnsi="宋体" w:eastAsia="宋体" w:cs="宋体"/>
                <w:color w:val="auto"/>
                <w:sz w:val="24"/>
                <w:szCs w:val="24"/>
                <w:highlight w:val="none"/>
              </w:rPr>
            </w:pPr>
          </w:p>
        </w:tc>
      </w:tr>
      <w:tr w14:paraId="500D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54793A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合计大写金额：  仟  佰  拾  万  仟  佰  拾  元</w:t>
            </w:r>
          </w:p>
        </w:tc>
      </w:tr>
      <w:tr w14:paraId="6EC4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60D591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实际供货日期</w:t>
            </w:r>
          </w:p>
        </w:tc>
        <w:tc>
          <w:tcPr>
            <w:tcW w:w="2417" w:type="dxa"/>
            <w:gridSpan w:val="2"/>
            <w:vAlign w:val="top"/>
          </w:tcPr>
          <w:p w14:paraId="1BDC0157">
            <w:pPr>
              <w:spacing w:line="360" w:lineRule="auto"/>
              <w:rPr>
                <w:rFonts w:hint="eastAsia" w:ascii="宋体" w:hAnsi="宋体" w:eastAsia="宋体" w:cs="宋体"/>
                <w:color w:val="auto"/>
                <w:sz w:val="24"/>
                <w:szCs w:val="24"/>
                <w:highlight w:val="none"/>
              </w:rPr>
            </w:pPr>
          </w:p>
        </w:tc>
        <w:tc>
          <w:tcPr>
            <w:tcW w:w="2278" w:type="dxa"/>
            <w:gridSpan w:val="2"/>
            <w:vAlign w:val="top"/>
          </w:tcPr>
          <w:p w14:paraId="49C9AF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合同交货验收日期</w:t>
            </w:r>
          </w:p>
        </w:tc>
        <w:tc>
          <w:tcPr>
            <w:tcW w:w="2119" w:type="dxa"/>
            <w:gridSpan w:val="2"/>
            <w:vAlign w:val="top"/>
          </w:tcPr>
          <w:p w14:paraId="7BDC5B8B">
            <w:pPr>
              <w:spacing w:line="360" w:lineRule="auto"/>
              <w:rPr>
                <w:rFonts w:hint="eastAsia" w:ascii="宋体" w:hAnsi="宋体" w:eastAsia="宋体" w:cs="宋体"/>
                <w:color w:val="auto"/>
                <w:sz w:val="24"/>
                <w:szCs w:val="24"/>
                <w:highlight w:val="none"/>
              </w:rPr>
            </w:pPr>
          </w:p>
        </w:tc>
      </w:tr>
      <w:tr w14:paraId="6B0B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35" w:type="dxa"/>
            <w:gridSpan w:val="2"/>
            <w:vAlign w:val="top"/>
          </w:tcPr>
          <w:p w14:paraId="1BA148F4">
            <w:pPr>
              <w:spacing w:line="360" w:lineRule="auto"/>
              <w:rPr>
                <w:rFonts w:hint="eastAsia" w:ascii="宋体" w:hAnsi="宋体" w:eastAsia="宋体" w:cs="宋体"/>
                <w:color w:val="auto"/>
                <w:sz w:val="24"/>
                <w:szCs w:val="24"/>
                <w:highlight w:val="none"/>
              </w:rPr>
            </w:pPr>
          </w:p>
        </w:tc>
        <w:tc>
          <w:tcPr>
            <w:tcW w:w="2417" w:type="dxa"/>
            <w:gridSpan w:val="2"/>
            <w:vAlign w:val="top"/>
          </w:tcPr>
          <w:p w14:paraId="7AEBCFC6">
            <w:pPr>
              <w:spacing w:line="360" w:lineRule="auto"/>
              <w:rPr>
                <w:rFonts w:hint="eastAsia" w:ascii="宋体" w:hAnsi="宋体" w:eastAsia="宋体" w:cs="宋体"/>
                <w:color w:val="auto"/>
                <w:sz w:val="24"/>
                <w:szCs w:val="24"/>
                <w:highlight w:val="none"/>
              </w:rPr>
            </w:pPr>
          </w:p>
        </w:tc>
        <w:tc>
          <w:tcPr>
            <w:tcW w:w="2278" w:type="dxa"/>
            <w:gridSpan w:val="2"/>
            <w:vAlign w:val="top"/>
          </w:tcPr>
          <w:p w14:paraId="38AC6747">
            <w:pPr>
              <w:spacing w:line="360" w:lineRule="auto"/>
              <w:rPr>
                <w:rFonts w:hint="eastAsia" w:ascii="宋体" w:hAnsi="宋体" w:eastAsia="宋体" w:cs="宋体"/>
                <w:color w:val="auto"/>
                <w:sz w:val="24"/>
                <w:szCs w:val="24"/>
                <w:highlight w:val="none"/>
              </w:rPr>
            </w:pPr>
          </w:p>
        </w:tc>
        <w:tc>
          <w:tcPr>
            <w:tcW w:w="2119" w:type="dxa"/>
            <w:gridSpan w:val="2"/>
            <w:vAlign w:val="top"/>
          </w:tcPr>
          <w:p w14:paraId="18D286CE">
            <w:pPr>
              <w:spacing w:line="360" w:lineRule="auto"/>
              <w:rPr>
                <w:rFonts w:hint="eastAsia" w:ascii="宋体" w:hAnsi="宋体" w:eastAsia="宋体" w:cs="宋体"/>
                <w:color w:val="auto"/>
                <w:sz w:val="24"/>
                <w:szCs w:val="24"/>
                <w:highlight w:val="none"/>
              </w:rPr>
            </w:pPr>
          </w:p>
        </w:tc>
      </w:tr>
      <w:tr w14:paraId="742B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0749A14D">
            <w:pPr>
              <w:spacing w:line="360" w:lineRule="auto"/>
              <w:rPr>
                <w:rFonts w:hint="eastAsia" w:ascii="宋体" w:hAnsi="宋体" w:eastAsia="宋体" w:cs="宋体"/>
                <w:color w:val="auto"/>
                <w:sz w:val="24"/>
                <w:szCs w:val="24"/>
                <w:highlight w:val="none"/>
              </w:rPr>
            </w:pPr>
          </w:p>
          <w:p w14:paraId="76F14A59">
            <w:pPr>
              <w:spacing w:line="360" w:lineRule="auto"/>
              <w:rPr>
                <w:rFonts w:hint="eastAsia" w:ascii="宋体" w:hAnsi="宋体" w:eastAsia="宋体" w:cs="宋体"/>
                <w:color w:val="auto"/>
                <w:sz w:val="24"/>
                <w:szCs w:val="24"/>
                <w:highlight w:val="none"/>
              </w:rPr>
            </w:pPr>
          </w:p>
          <w:p w14:paraId="20AD3B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验收具体内容</w:t>
            </w:r>
          </w:p>
        </w:tc>
        <w:tc>
          <w:tcPr>
            <w:tcW w:w="6814" w:type="dxa"/>
            <w:gridSpan w:val="6"/>
            <w:vAlign w:val="top"/>
          </w:tcPr>
          <w:p w14:paraId="630D90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（应按采购合同、竞争性磋商文件、响应文件及验收方案等进行验收； 并核对成交供应商在安装调试等方面是否违反合同约定或者服务规范要 求、提供的质量保证证明材料是否齐全、应有的配件及附件是否达到合 同约定等。可附件)</w:t>
            </w:r>
          </w:p>
        </w:tc>
      </w:tr>
      <w:tr w14:paraId="2832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atLeast"/>
        </w:trPr>
        <w:tc>
          <w:tcPr>
            <w:tcW w:w="1635" w:type="dxa"/>
            <w:gridSpan w:val="2"/>
            <w:vMerge w:val="restart"/>
            <w:tcBorders>
              <w:bottom w:val="nil"/>
            </w:tcBorders>
            <w:vAlign w:val="top"/>
          </w:tcPr>
          <w:p w14:paraId="0EBBBC67">
            <w:pPr>
              <w:spacing w:line="360" w:lineRule="auto"/>
              <w:rPr>
                <w:rFonts w:hint="eastAsia" w:ascii="宋体" w:hAnsi="宋体" w:eastAsia="宋体" w:cs="宋体"/>
                <w:color w:val="auto"/>
                <w:sz w:val="24"/>
                <w:szCs w:val="24"/>
                <w:highlight w:val="none"/>
              </w:rPr>
            </w:pPr>
          </w:p>
          <w:p w14:paraId="331B1298">
            <w:pPr>
              <w:spacing w:line="360" w:lineRule="auto"/>
              <w:rPr>
                <w:rFonts w:hint="eastAsia" w:ascii="宋体" w:hAnsi="宋体" w:eastAsia="宋体" w:cs="宋体"/>
                <w:color w:val="auto"/>
                <w:sz w:val="24"/>
                <w:szCs w:val="24"/>
                <w:highlight w:val="none"/>
              </w:rPr>
            </w:pPr>
          </w:p>
          <w:p w14:paraId="31EF96CA">
            <w:pPr>
              <w:spacing w:line="360" w:lineRule="auto"/>
              <w:rPr>
                <w:rFonts w:hint="eastAsia" w:ascii="宋体" w:hAnsi="宋体" w:eastAsia="宋体" w:cs="宋体"/>
                <w:color w:val="auto"/>
                <w:sz w:val="24"/>
                <w:szCs w:val="24"/>
                <w:highlight w:val="none"/>
              </w:rPr>
            </w:pPr>
          </w:p>
          <w:p w14:paraId="7FEED2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验收小组意见</w:t>
            </w:r>
          </w:p>
        </w:tc>
        <w:tc>
          <w:tcPr>
            <w:tcW w:w="6814" w:type="dxa"/>
            <w:gridSpan w:val="6"/>
            <w:vAlign w:val="top"/>
          </w:tcPr>
          <w:p w14:paraId="553DB51F">
            <w:pPr>
              <w:spacing w:line="360" w:lineRule="auto"/>
              <w:rPr>
                <w:rFonts w:hint="eastAsia" w:ascii="宋体" w:hAnsi="宋体" w:eastAsia="宋体" w:cs="宋体"/>
                <w:color w:val="auto"/>
                <w:sz w:val="24"/>
                <w:szCs w:val="24"/>
                <w:highlight w:val="none"/>
              </w:rPr>
            </w:pPr>
          </w:p>
          <w:p w14:paraId="46651E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验收结论性意见：</w:t>
            </w:r>
          </w:p>
        </w:tc>
      </w:tr>
      <w:tr w14:paraId="1852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10C27B8D">
            <w:pPr>
              <w:spacing w:line="360" w:lineRule="auto"/>
              <w:rPr>
                <w:rFonts w:hint="eastAsia" w:ascii="宋体" w:hAnsi="宋体" w:eastAsia="宋体" w:cs="宋体"/>
                <w:color w:val="auto"/>
                <w:sz w:val="24"/>
                <w:szCs w:val="24"/>
                <w:highlight w:val="none"/>
              </w:rPr>
            </w:pPr>
          </w:p>
        </w:tc>
        <w:tc>
          <w:tcPr>
            <w:tcW w:w="6814" w:type="dxa"/>
            <w:gridSpan w:val="6"/>
            <w:vAlign w:val="top"/>
          </w:tcPr>
          <w:p w14:paraId="0320E7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有异议的意见和说明理由：</w:t>
            </w:r>
          </w:p>
          <w:p w14:paraId="128918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14:paraId="419E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5830E8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验收小组成员签字：</w:t>
            </w:r>
          </w:p>
        </w:tc>
      </w:tr>
      <w:tr w14:paraId="5F29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160F3D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监督人员或者其他相关人员签字：</w:t>
            </w:r>
          </w:p>
          <w:p w14:paraId="484D47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或者受邀机构的意见（盖章）：</w:t>
            </w:r>
          </w:p>
        </w:tc>
      </w:tr>
      <w:tr w14:paraId="121B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8449" w:type="dxa"/>
            <w:gridSpan w:val="8"/>
            <w:vAlign w:val="top"/>
          </w:tcPr>
          <w:p w14:paraId="4C2E29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成交供应商负责人签字或者盖章：           采购人或者受托机构的意见（盖章）：</w:t>
            </w:r>
          </w:p>
          <w:p w14:paraId="425BFAED">
            <w:pPr>
              <w:spacing w:line="360" w:lineRule="auto"/>
              <w:rPr>
                <w:rFonts w:hint="eastAsia" w:ascii="宋体" w:hAnsi="宋体" w:eastAsia="宋体" w:cs="宋体"/>
                <w:color w:val="auto"/>
                <w:sz w:val="24"/>
                <w:szCs w:val="24"/>
                <w:highlight w:val="none"/>
              </w:rPr>
            </w:pPr>
          </w:p>
          <w:p w14:paraId="2AF67163">
            <w:pPr>
              <w:spacing w:line="360" w:lineRule="auto"/>
              <w:rPr>
                <w:rFonts w:hint="eastAsia" w:ascii="宋体" w:hAnsi="宋体" w:eastAsia="宋体" w:cs="宋体"/>
                <w:color w:val="auto"/>
                <w:sz w:val="24"/>
                <w:szCs w:val="24"/>
                <w:highlight w:val="none"/>
              </w:rPr>
            </w:pPr>
          </w:p>
          <w:p w14:paraId="719E5B31">
            <w:pPr>
              <w:spacing w:line="360" w:lineRule="auto"/>
              <w:rPr>
                <w:rFonts w:hint="eastAsia" w:ascii="宋体" w:hAnsi="宋体" w:eastAsia="宋体" w:cs="宋体"/>
                <w:color w:val="auto"/>
                <w:sz w:val="24"/>
                <w:szCs w:val="24"/>
                <w:highlight w:val="none"/>
              </w:rPr>
            </w:pPr>
          </w:p>
          <w:p w14:paraId="798A98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年  月  日     联系电话：                   年  月  日</w:t>
            </w:r>
          </w:p>
        </w:tc>
      </w:tr>
    </w:tbl>
    <w:p w14:paraId="1E20F589">
      <w:pPr>
        <w:rPr>
          <w:rFonts w:hint="eastAsia" w:ascii="宋体" w:hAnsi="宋体" w:eastAsia="宋体" w:cs="宋体"/>
          <w:color w:val="auto"/>
          <w:sz w:val="24"/>
          <w:szCs w:val="24"/>
          <w:highlight w:val="none"/>
        </w:rPr>
      </w:pPr>
    </w:p>
    <w:p w14:paraId="2F710975">
      <w:pPr>
        <w:rPr>
          <w:rFonts w:hint="eastAsia" w:ascii="宋体" w:hAnsi="宋体" w:eastAsia="宋体" w:cs="宋体"/>
          <w:color w:val="auto"/>
          <w:sz w:val="24"/>
          <w:szCs w:val="24"/>
          <w:highlight w:val="none"/>
        </w:rPr>
        <w:sectPr>
          <w:footerReference r:id="rId10" w:type="default"/>
          <w:pgSz w:w="11905" w:h="16838"/>
          <w:pgMar w:top="1134" w:right="1134" w:bottom="1134" w:left="1134" w:header="0" w:footer="992" w:gutter="0"/>
          <w:pgNumType w:fmt="decimal"/>
          <w:cols w:space="0" w:num="1"/>
          <w:rtlGutter w:val="0"/>
          <w:docGrid w:linePitch="0" w:charSpace="0"/>
        </w:sectPr>
      </w:pPr>
    </w:p>
    <w:p w14:paraId="10F3D2A5">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82" w:name="bookmark3"/>
      <w:bookmarkEnd w:id="82"/>
      <w:bookmarkStart w:id="83" w:name="_Toc18089"/>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第三章  评审程序、评审方法和评审标准</w:t>
      </w:r>
      <w:bookmarkEnd w:id="83"/>
    </w:p>
    <w:p w14:paraId="4A1E69E2">
      <w:pPr>
        <w:pStyle w:val="8"/>
        <w:spacing w:line="266" w:lineRule="auto"/>
        <w:rPr>
          <w:color w:val="auto"/>
          <w:highlight w:val="none"/>
        </w:rPr>
      </w:pPr>
    </w:p>
    <w:p w14:paraId="0F54E460">
      <w:pPr>
        <w:spacing w:before="100" w:line="225" w:lineRule="auto"/>
        <w:ind w:left="2803"/>
        <w:rPr>
          <w:rFonts w:ascii="宋体" w:hAnsi="宋体" w:eastAsia="宋体" w:cs="宋体"/>
          <w:color w:val="auto"/>
          <w:sz w:val="31"/>
          <w:szCs w:val="31"/>
          <w:highlight w:val="none"/>
        </w:rPr>
      </w:pPr>
      <w:bookmarkStart w:id="84" w:name="bookmark4"/>
      <w:bookmarkEnd w:id="84"/>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一、评审程序和评审方法</w:t>
      </w:r>
    </w:p>
    <w:p w14:paraId="72615D42">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（一）、评审程序</w:t>
      </w:r>
    </w:p>
    <w:p w14:paraId="6F6F3BD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1．磋商小组成员构成：本采购项目的磋商小组成员分别由依法组成的专家、采购单位代表共三人及以上单数构成，其中专家人数不少于成员总数的三分之二。</w:t>
      </w:r>
    </w:p>
    <w:p w14:paraId="16E8D5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2．评审依据：本项目的评审依据为磋商文件、补充文件、响应文件、澄清及答复、磋商结果文件。</w:t>
      </w:r>
    </w:p>
    <w:p w14:paraId="4311BC7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3．评审方法：综合评分法。综合评分法，是指响应文件满足磋商文件全部实质性要求且按照评标因素的量化指标评标得分最高的供应商为成交候选供应商的评审方法。</w:t>
      </w:r>
    </w:p>
    <w:p w14:paraId="077397C3">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4．评审程序</w:t>
      </w:r>
    </w:p>
    <w:p w14:paraId="0E223F1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w:t>
      </w:r>
    </w:p>
    <w:p w14:paraId="0AB69C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14:paraId="5F0038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w:t>
      </w:r>
    </w:p>
    <w:p w14:paraId="534C5B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（4）重新提交响应文件（如磋商文件有实质性变动或磋商后确定最终设计解决方案）。</w:t>
      </w:r>
    </w:p>
    <w:p w14:paraId="285059E6">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（5）最后报价。</w:t>
      </w:r>
    </w:p>
    <w:p w14:paraId="7713BFBC">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（6）详细评审。</w:t>
      </w:r>
    </w:p>
    <w:p w14:paraId="47D18EA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（7）推荐成交候选供应商名单。</w:t>
      </w:r>
    </w:p>
    <w:p w14:paraId="3514031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（二）、评审方法</w:t>
      </w:r>
    </w:p>
    <w:p w14:paraId="2ED53D38">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初步评审：初步评审包括资格性检查及符合性检查。</w:t>
      </w:r>
    </w:p>
    <w:p w14:paraId="573F59FF">
      <w:pPr>
        <w:keepNext w:val="0"/>
        <w:keepLines w:val="0"/>
        <w:pageBreakBefore w:val="0"/>
        <w:widowControl/>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1.资格性检查</w:t>
      </w:r>
    </w:p>
    <w:p w14:paraId="054139C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依据法律法规和磋商文件的规定，对响应文件中的资格证明进行审查，以确定供应商是否具备响应资格。资格性检查表如下，缺少任何一项或有任何一项不合格者，响应被否决，将不再进入符合性检查及详细评审：</w:t>
      </w:r>
    </w:p>
    <w:tbl>
      <w:tblPr>
        <w:tblStyle w:val="22"/>
        <w:tblW w:w="9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50"/>
        <w:gridCol w:w="2415"/>
        <w:gridCol w:w="5666"/>
        <w:gridCol w:w="123"/>
      </w:tblGrid>
      <w:tr w14:paraId="759F7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679" w:type="dxa"/>
            <w:vAlign w:val="center"/>
          </w:tcPr>
          <w:p w14:paraId="2E92D2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65" w:type="dxa"/>
            <w:gridSpan w:val="2"/>
            <w:vAlign w:val="center"/>
          </w:tcPr>
          <w:p w14:paraId="74A3B8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789" w:type="dxa"/>
            <w:gridSpan w:val="2"/>
            <w:vAlign w:val="center"/>
          </w:tcPr>
          <w:p w14:paraId="280762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评审内容及评审标准</w:t>
            </w:r>
          </w:p>
        </w:tc>
      </w:tr>
      <w:tr w14:paraId="09B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679" w:type="dxa"/>
            <w:vAlign w:val="center"/>
          </w:tcPr>
          <w:p w14:paraId="07B633DD">
            <w:pPr>
              <w:spacing w:line="360" w:lineRule="auto"/>
              <w:jc w:val="center"/>
              <w:rPr>
                <w:rFonts w:hint="eastAsia" w:ascii="宋体" w:hAnsi="宋体" w:eastAsia="宋体" w:cs="宋体"/>
                <w:color w:val="auto"/>
                <w:sz w:val="24"/>
                <w:szCs w:val="24"/>
                <w:highlight w:val="none"/>
              </w:rPr>
            </w:pPr>
          </w:p>
          <w:p w14:paraId="5B596B45">
            <w:pPr>
              <w:spacing w:line="360" w:lineRule="auto"/>
              <w:jc w:val="center"/>
              <w:rPr>
                <w:rFonts w:hint="eastAsia" w:ascii="宋体" w:hAnsi="宋体" w:eastAsia="宋体" w:cs="宋体"/>
                <w:color w:val="auto"/>
                <w:sz w:val="24"/>
                <w:szCs w:val="24"/>
                <w:highlight w:val="none"/>
              </w:rPr>
            </w:pPr>
          </w:p>
          <w:p w14:paraId="648CAA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0" w:type="dxa"/>
            <w:vAlign w:val="center"/>
          </w:tcPr>
          <w:p w14:paraId="4248146E">
            <w:pPr>
              <w:spacing w:line="360" w:lineRule="auto"/>
              <w:jc w:val="center"/>
              <w:rPr>
                <w:rFonts w:hint="eastAsia" w:ascii="宋体" w:hAnsi="宋体" w:eastAsia="宋体" w:cs="宋体"/>
                <w:color w:val="auto"/>
                <w:sz w:val="24"/>
                <w:szCs w:val="24"/>
                <w:highlight w:val="none"/>
              </w:rPr>
            </w:pPr>
          </w:p>
          <w:p w14:paraId="5C412894">
            <w:pPr>
              <w:spacing w:line="360" w:lineRule="auto"/>
              <w:jc w:val="center"/>
              <w:rPr>
                <w:rFonts w:hint="eastAsia" w:ascii="宋体" w:hAnsi="宋体" w:eastAsia="宋体" w:cs="宋体"/>
                <w:color w:val="auto"/>
                <w:sz w:val="24"/>
                <w:szCs w:val="24"/>
                <w:highlight w:val="none"/>
              </w:rPr>
            </w:pPr>
          </w:p>
          <w:p w14:paraId="335F2C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 质</w:t>
            </w:r>
          </w:p>
        </w:tc>
        <w:tc>
          <w:tcPr>
            <w:tcW w:w="2415" w:type="dxa"/>
            <w:vAlign w:val="center"/>
          </w:tcPr>
          <w:p w14:paraId="7C63F3D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789" w:type="dxa"/>
            <w:gridSpan w:val="2"/>
            <w:vAlign w:val="center"/>
          </w:tcPr>
          <w:p w14:paraId="41EE45A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审查法人或者其他组织的营业执照等证明文件或者自然人的身份证明。须按以下要求提供，材料须有效。</w:t>
            </w:r>
          </w:p>
          <w:p w14:paraId="48DCC6D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供应商是企业则审查营业执照（副本）复印件；供应商是事 业单位，则审查事业单位法人证书（副本）复印件；供应商是非企业专业服务机构的，则审查执业许可证等证明文件复印件；如供应商不是以上所列情况的，则提供国家规定的相关证明材料。</w:t>
            </w:r>
          </w:p>
        </w:tc>
      </w:tr>
      <w:tr w14:paraId="42EDB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929" w:hRule="atLeast"/>
          <w:jc w:val="center"/>
        </w:trPr>
        <w:tc>
          <w:tcPr>
            <w:tcW w:w="679" w:type="dxa"/>
            <w:vMerge w:val="restart"/>
            <w:tcBorders>
              <w:bottom w:val="nil"/>
            </w:tcBorders>
            <w:vAlign w:val="center"/>
          </w:tcPr>
          <w:p w14:paraId="22BC12F6">
            <w:pPr>
              <w:spacing w:line="360" w:lineRule="auto"/>
              <w:jc w:val="center"/>
              <w:rPr>
                <w:rFonts w:hint="eastAsia" w:ascii="宋体" w:hAnsi="宋体" w:eastAsia="宋体" w:cs="宋体"/>
                <w:color w:val="auto"/>
                <w:sz w:val="24"/>
                <w:szCs w:val="24"/>
                <w:highlight w:val="none"/>
              </w:rPr>
            </w:pPr>
          </w:p>
        </w:tc>
        <w:tc>
          <w:tcPr>
            <w:tcW w:w="850" w:type="dxa"/>
            <w:vMerge w:val="restart"/>
            <w:tcBorders>
              <w:bottom w:val="nil"/>
            </w:tcBorders>
            <w:vAlign w:val="center"/>
          </w:tcPr>
          <w:p w14:paraId="46E91F99">
            <w:pPr>
              <w:spacing w:line="360" w:lineRule="auto"/>
              <w:jc w:val="center"/>
              <w:rPr>
                <w:rFonts w:hint="eastAsia" w:ascii="宋体" w:hAnsi="宋体" w:eastAsia="宋体" w:cs="宋体"/>
                <w:color w:val="auto"/>
                <w:sz w:val="24"/>
                <w:szCs w:val="24"/>
                <w:highlight w:val="none"/>
              </w:rPr>
            </w:pPr>
          </w:p>
        </w:tc>
        <w:tc>
          <w:tcPr>
            <w:tcW w:w="2415" w:type="dxa"/>
            <w:vAlign w:val="center"/>
          </w:tcPr>
          <w:p w14:paraId="333352E4">
            <w:pPr>
              <w:spacing w:line="360" w:lineRule="auto"/>
              <w:jc w:val="center"/>
              <w:rPr>
                <w:rFonts w:hint="eastAsia" w:ascii="宋体" w:hAnsi="宋体" w:eastAsia="宋体" w:cs="宋体"/>
                <w:color w:val="auto"/>
                <w:sz w:val="24"/>
                <w:szCs w:val="24"/>
                <w:highlight w:val="none"/>
              </w:rPr>
            </w:pPr>
          </w:p>
          <w:p w14:paraId="25A065EA">
            <w:pPr>
              <w:spacing w:line="360" w:lineRule="auto"/>
              <w:jc w:val="center"/>
              <w:rPr>
                <w:rFonts w:hint="eastAsia" w:ascii="宋体" w:hAnsi="宋体" w:eastAsia="宋体" w:cs="宋体"/>
                <w:color w:val="auto"/>
                <w:sz w:val="24"/>
                <w:szCs w:val="24"/>
                <w:highlight w:val="none"/>
              </w:rPr>
            </w:pPr>
          </w:p>
          <w:p w14:paraId="4F92646C">
            <w:pPr>
              <w:spacing w:line="360" w:lineRule="auto"/>
              <w:jc w:val="center"/>
              <w:rPr>
                <w:rFonts w:hint="eastAsia" w:ascii="宋体" w:hAnsi="宋体" w:eastAsia="宋体" w:cs="宋体"/>
                <w:color w:val="auto"/>
                <w:sz w:val="24"/>
                <w:szCs w:val="24"/>
                <w:highlight w:val="none"/>
              </w:rPr>
            </w:pPr>
          </w:p>
          <w:p w14:paraId="2D833331">
            <w:pPr>
              <w:spacing w:line="360" w:lineRule="auto"/>
              <w:jc w:val="center"/>
              <w:rPr>
                <w:rFonts w:hint="eastAsia" w:ascii="宋体" w:hAnsi="宋体" w:eastAsia="宋体" w:cs="宋体"/>
                <w:color w:val="auto"/>
                <w:sz w:val="24"/>
                <w:szCs w:val="24"/>
                <w:highlight w:val="none"/>
              </w:rPr>
            </w:pPr>
          </w:p>
          <w:p w14:paraId="0CEEE2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 度</w:t>
            </w:r>
          </w:p>
        </w:tc>
        <w:tc>
          <w:tcPr>
            <w:tcW w:w="5666" w:type="dxa"/>
            <w:vAlign w:val="top"/>
          </w:tcPr>
          <w:p w14:paraId="601192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①审查商业信誉声明。格式见第八章响应文件格式“响应声明 ”。</w:t>
            </w:r>
          </w:p>
          <w:p w14:paraId="27BBE3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②审查供应商</w:t>
            </w:r>
            <w:r>
              <w:rPr>
                <w:rFonts w:hint="eastAsia" w:ascii="宋体" w:hAnsi="宋体" w:eastAsia="宋体" w:cs="宋体"/>
                <w:color w:val="auto"/>
                <w:sz w:val="24"/>
                <w:szCs w:val="24"/>
                <w:highlight w:val="none"/>
                <w:lang w:eastAsia="zh-CN"/>
              </w:rPr>
              <w:t>2024年度</w:t>
            </w:r>
            <w:r>
              <w:rPr>
                <w:rFonts w:hint="eastAsia" w:ascii="宋体" w:hAnsi="宋体" w:eastAsia="宋体" w:cs="宋体"/>
                <w:color w:val="auto"/>
                <w:sz w:val="24"/>
                <w:szCs w:val="24"/>
                <w:highlight w:val="none"/>
              </w:rPr>
              <w:t>经审计的财务状况报告（表）复印件[供应商是法人的，应提供经审计的财务报告；供应商是其他组织或者自然人的，应提供经审计的财务报告或者银行出具的资信证明复印件；对于从取得营业执照时间起到响应文件递交截止时间为止不足 1 年的供应商，只需提交响应文件递交截止时间前一个月的财务状况报告（表）复印件。</w:t>
            </w:r>
          </w:p>
        </w:tc>
      </w:tr>
      <w:tr w14:paraId="1F6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624" w:hRule="atLeast"/>
          <w:jc w:val="center"/>
        </w:trPr>
        <w:tc>
          <w:tcPr>
            <w:tcW w:w="679" w:type="dxa"/>
            <w:vMerge w:val="continue"/>
            <w:tcBorders>
              <w:top w:val="nil"/>
              <w:bottom w:val="nil"/>
            </w:tcBorders>
            <w:vAlign w:val="center"/>
          </w:tcPr>
          <w:p w14:paraId="257F7B69">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bottom w:val="nil"/>
            </w:tcBorders>
            <w:vAlign w:val="center"/>
          </w:tcPr>
          <w:p w14:paraId="2F8202DD">
            <w:pPr>
              <w:spacing w:line="360" w:lineRule="auto"/>
              <w:jc w:val="center"/>
              <w:rPr>
                <w:rFonts w:hint="eastAsia" w:ascii="宋体" w:hAnsi="宋体" w:eastAsia="宋体" w:cs="宋体"/>
                <w:color w:val="auto"/>
                <w:sz w:val="24"/>
                <w:szCs w:val="24"/>
                <w:highlight w:val="none"/>
              </w:rPr>
            </w:pPr>
          </w:p>
        </w:tc>
        <w:tc>
          <w:tcPr>
            <w:tcW w:w="2415" w:type="dxa"/>
            <w:vAlign w:val="center"/>
          </w:tcPr>
          <w:p w14:paraId="3D6C33A7">
            <w:pPr>
              <w:spacing w:line="360" w:lineRule="auto"/>
              <w:jc w:val="center"/>
              <w:rPr>
                <w:rFonts w:hint="eastAsia" w:ascii="宋体" w:hAnsi="宋体" w:eastAsia="宋体" w:cs="宋体"/>
                <w:color w:val="auto"/>
                <w:sz w:val="24"/>
                <w:szCs w:val="24"/>
                <w:highlight w:val="none"/>
              </w:rPr>
            </w:pPr>
          </w:p>
          <w:p w14:paraId="4F3D038E">
            <w:pPr>
              <w:spacing w:line="360" w:lineRule="auto"/>
              <w:jc w:val="center"/>
              <w:rPr>
                <w:rFonts w:hint="eastAsia" w:ascii="宋体" w:hAnsi="宋体" w:eastAsia="宋体" w:cs="宋体"/>
                <w:color w:val="auto"/>
                <w:sz w:val="24"/>
                <w:szCs w:val="24"/>
                <w:highlight w:val="none"/>
              </w:rPr>
            </w:pPr>
          </w:p>
          <w:p w14:paraId="3A9D7F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 需的设备和专业技术能力</w:t>
            </w:r>
          </w:p>
        </w:tc>
        <w:tc>
          <w:tcPr>
            <w:tcW w:w="5666" w:type="dxa"/>
            <w:vAlign w:val="top"/>
          </w:tcPr>
          <w:p w14:paraId="057A3F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①提供拟投入施工机械设备证明材料、项目管理机构人员资 格证件及在供应商单位依法缴纳社会保险的凭证等相关证明材料的复印件。</w:t>
            </w:r>
          </w:p>
          <w:p w14:paraId="253953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②审查书面声明。须提供，格式见第八章响应文件格式“响 应声明 ”。</w:t>
            </w:r>
          </w:p>
          <w:p w14:paraId="733811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审查①或② , 满足其一，即为符合要求。</w:t>
            </w:r>
          </w:p>
        </w:tc>
      </w:tr>
      <w:tr w14:paraId="7531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bottom w:val="nil"/>
            </w:tcBorders>
            <w:vAlign w:val="center"/>
          </w:tcPr>
          <w:p w14:paraId="46F7D27E">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bottom w:val="nil"/>
            </w:tcBorders>
            <w:vAlign w:val="center"/>
          </w:tcPr>
          <w:p w14:paraId="42C5E8DE">
            <w:pPr>
              <w:spacing w:line="360" w:lineRule="auto"/>
              <w:jc w:val="center"/>
              <w:rPr>
                <w:rFonts w:hint="eastAsia" w:ascii="宋体" w:hAnsi="宋体" w:eastAsia="宋体" w:cs="宋体"/>
                <w:color w:val="auto"/>
                <w:sz w:val="24"/>
                <w:szCs w:val="24"/>
                <w:highlight w:val="none"/>
              </w:rPr>
            </w:pPr>
          </w:p>
        </w:tc>
        <w:tc>
          <w:tcPr>
            <w:tcW w:w="2415" w:type="dxa"/>
            <w:vAlign w:val="center"/>
          </w:tcPr>
          <w:p w14:paraId="643ED605">
            <w:pPr>
              <w:spacing w:line="360" w:lineRule="auto"/>
              <w:jc w:val="center"/>
              <w:rPr>
                <w:rFonts w:hint="eastAsia" w:ascii="宋体" w:hAnsi="宋体" w:eastAsia="宋体" w:cs="宋体"/>
                <w:color w:val="auto"/>
                <w:sz w:val="24"/>
                <w:szCs w:val="24"/>
                <w:highlight w:val="none"/>
              </w:rPr>
            </w:pPr>
          </w:p>
          <w:p w14:paraId="55EC60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（4）有依法缴纳税收和社会保障金的良好记录</w:t>
            </w:r>
          </w:p>
        </w:tc>
        <w:tc>
          <w:tcPr>
            <w:tcW w:w="5666" w:type="dxa"/>
            <w:vAlign w:val="top"/>
          </w:tcPr>
          <w:p w14:paraId="300D5C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①审查响应文件提交截止时间前 6 个月内任意 3 个月的依法缴纳税收的凭据复印件。</w:t>
            </w:r>
          </w:p>
          <w:p w14:paraId="4C5391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②审查响应文件提交截止时间前 6 个月内任意 3 个月的依法缴纳社会保障资金的缴费凭证（专用收据或者社会保险缴纳清单）复印件。</w:t>
            </w:r>
          </w:p>
        </w:tc>
      </w:tr>
      <w:tr w14:paraId="69F1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062" w:hRule="atLeast"/>
          <w:jc w:val="center"/>
        </w:trPr>
        <w:tc>
          <w:tcPr>
            <w:tcW w:w="679" w:type="dxa"/>
            <w:vMerge w:val="continue"/>
            <w:tcBorders>
              <w:top w:val="nil"/>
              <w:bottom w:val="nil"/>
            </w:tcBorders>
            <w:vAlign w:val="center"/>
          </w:tcPr>
          <w:p w14:paraId="3BFFA4CA">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bottom w:val="nil"/>
            </w:tcBorders>
            <w:vAlign w:val="center"/>
          </w:tcPr>
          <w:p w14:paraId="5E9762DA">
            <w:pPr>
              <w:spacing w:line="360" w:lineRule="auto"/>
              <w:jc w:val="center"/>
              <w:rPr>
                <w:rFonts w:hint="eastAsia" w:ascii="宋体" w:hAnsi="宋体" w:eastAsia="宋体" w:cs="宋体"/>
                <w:color w:val="auto"/>
                <w:sz w:val="24"/>
                <w:szCs w:val="24"/>
                <w:highlight w:val="none"/>
              </w:rPr>
            </w:pPr>
          </w:p>
        </w:tc>
        <w:tc>
          <w:tcPr>
            <w:tcW w:w="2415" w:type="dxa"/>
            <w:vAlign w:val="center"/>
          </w:tcPr>
          <w:p w14:paraId="5834A5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 前三年内，在经营活动 中没有重大违法记录及不良信用记录</w:t>
            </w:r>
          </w:p>
        </w:tc>
        <w:tc>
          <w:tcPr>
            <w:tcW w:w="5666" w:type="dxa"/>
            <w:vAlign w:val="top"/>
          </w:tcPr>
          <w:p w14:paraId="0BC2C2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审查无重大违法记录声明。须提供，格式见“第八章响应文件格式 ”响应声明一旦发现供应商提供的响应声明书不实</w:t>
            </w:r>
          </w:p>
          <w:p w14:paraId="54399F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时，则按照《政府采购法》有关提供虚假材料的规定给予处罚。</w:t>
            </w:r>
          </w:p>
        </w:tc>
      </w:tr>
      <w:tr w14:paraId="2262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2404" w:hRule="atLeast"/>
          <w:jc w:val="center"/>
        </w:trPr>
        <w:tc>
          <w:tcPr>
            <w:tcW w:w="679" w:type="dxa"/>
            <w:vMerge w:val="continue"/>
            <w:tcBorders>
              <w:top w:val="nil"/>
              <w:bottom w:val="nil"/>
            </w:tcBorders>
            <w:vAlign w:val="center"/>
          </w:tcPr>
          <w:p w14:paraId="30D97FB3">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bottom w:val="nil"/>
            </w:tcBorders>
            <w:vAlign w:val="center"/>
          </w:tcPr>
          <w:p w14:paraId="286ACECF">
            <w:pPr>
              <w:spacing w:line="360" w:lineRule="auto"/>
              <w:jc w:val="center"/>
              <w:rPr>
                <w:rFonts w:hint="eastAsia" w:ascii="宋体" w:hAnsi="宋体" w:eastAsia="宋体" w:cs="宋体"/>
                <w:color w:val="auto"/>
                <w:sz w:val="24"/>
                <w:szCs w:val="24"/>
                <w:highlight w:val="none"/>
              </w:rPr>
            </w:pPr>
          </w:p>
        </w:tc>
        <w:tc>
          <w:tcPr>
            <w:tcW w:w="2415" w:type="dxa"/>
            <w:vAlign w:val="center"/>
          </w:tcPr>
          <w:p w14:paraId="5BDE645A">
            <w:pPr>
              <w:spacing w:line="360" w:lineRule="auto"/>
              <w:jc w:val="center"/>
              <w:rPr>
                <w:rFonts w:hint="eastAsia" w:ascii="宋体" w:hAnsi="宋体" w:eastAsia="宋体" w:cs="宋体"/>
                <w:color w:val="auto"/>
                <w:sz w:val="24"/>
                <w:szCs w:val="24"/>
                <w:highlight w:val="none"/>
              </w:rPr>
            </w:pPr>
          </w:p>
          <w:p w14:paraId="3F50432B">
            <w:pPr>
              <w:spacing w:line="360" w:lineRule="auto"/>
              <w:jc w:val="center"/>
              <w:rPr>
                <w:rFonts w:hint="eastAsia" w:ascii="宋体" w:hAnsi="宋体" w:eastAsia="宋体" w:cs="宋体"/>
                <w:color w:val="auto"/>
                <w:sz w:val="24"/>
                <w:szCs w:val="24"/>
                <w:highlight w:val="none"/>
              </w:rPr>
            </w:pPr>
          </w:p>
          <w:p w14:paraId="5344DF32">
            <w:pPr>
              <w:spacing w:line="360" w:lineRule="auto"/>
              <w:jc w:val="center"/>
              <w:rPr>
                <w:rFonts w:hint="eastAsia" w:ascii="宋体" w:hAnsi="宋体" w:eastAsia="宋体" w:cs="宋体"/>
                <w:color w:val="auto"/>
                <w:sz w:val="24"/>
                <w:szCs w:val="24"/>
                <w:highlight w:val="none"/>
              </w:rPr>
            </w:pPr>
          </w:p>
          <w:p w14:paraId="10ED2BD4">
            <w:pPr>
              <w:spacing w:line="360" w:lineRule="auto"/>
              <w:jc w:val="center"/>
              <w:rPr>
                <w:rFonts w:hint="eastAsia" w:ascii="宋体" w:hAnsi="宋体" w:eastAsia="宋体" w:cs="宋体"/>
                <w:color w:val="auto"/>
                <w:sz w:val="24"/>
                <w:szCs w:val="24"/>
                <w:highlight w:val="none"/>
              </w:rPr>
            </w:pPr>
          </w:p>
          <w:p w14:paraId="67914C3A">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（6）诚信要求</w:t>
            </w:r>
          </w:p>
        </w:tc>
        <w:tc>
          <w:tcPr>
            <w:tcW w:w="5666" w:type="dxa"/>
            <w:vAlign w:val="top"/>
          </w:tcPr>
          <w:p w14:paraId="39E9AF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①审核标准：供应商如被列入失信被执行人、重大税收违法案件当事人名单、政府采购严重违法失信行为记录名单，则资格审查不予通过，按无效响应处理。</w:t>
            </w:r>
          </w:p>
          <w:p w14:paraId="759B9F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②信用信息查询渠道：中国政府采购网 “政府采购严重违法失信行为记录名单 ”、信用中国网：“失信被执行人 ”（由信用中国网链接至中国执行信息公开网获取）、“重大税收违法案件当事人名单 ”</w:t>
            </w:r>
          </w:p>
          <w:p w14:paraId="4B09FE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③信用信息查询记录和证据留存的具体方式：通过上述查询 渠道查询的供应商信用记录查询结果，将作为政府采购活动档案留存</w:t>
            </w:r>
          </w:p>
        </w:tc>
      </w:tr>
      <w:tr w14:paraId="3D4D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76" w:hRule="atLeast"/>
          <w:jc w:val="center"/>
        </w:trPr>
        <w:tc>
          <w:tcPr>
            <w:tcW w:w="679" w:type="dxa"/>
            <w:vMerge w:val="continue"/>
            <w:tcBorders>
              <w:top w:val="nil"/>
              <w:bottom w:val="nil"/>
            </w:tcBorders>
            <w:vAlign w:val="center"/>
          </w:tcPr>
          <w:p w14:paraId="43D89EB2">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bottom w:val="nil"/>
            </w:tcBorders>
            <w:vAlign w:val="center"/>
          </w:tcPr>
          <w:p w14:paraId="50A250A7">
            <w:pPr>
              <w:spacing w:line="360" w:lineRule="auto"/>
              <w:jc w:val="center"/>
              <w:rPr>
                <w:rFonts w:hint="eastAsia" w:ascii="宋体" w:hAnsi="宋体" w:eastAsia="宋体" w:cs="宋体"/>
                <w:color w:val="auto"/>
                <w:sz w:val="24"/>
                <w:szCs w:val="24"/>
                <w:highlight w:val="none"/>
              </w:rPr>
            </w:pPr>
          </w:p>
        </w:tc>
        <w:tc>
          <w:tcPr>
            <w:tcW w:w="2415" w:type="dxa"/>
            <w:vAlign w:val="center"/>
          </w:tcPr>
          <w:p w14:paraId="0A5AAA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（7）具备法律、行政法 规规定的其他要求</w:t>
            </w:r>
          </w:p>
        </w:tc>
        <w:tc>
          <w:tcPr>
            <w:tcW w:w="5666" w:type="dxa"/>
            <w:vAlign w:val="top"/>
          </w:tcPr>
          <w:p w14:paraId="18410E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0685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tcBorders>
            <w:vAlign w:val="center"/>
          </w:tcPr>
          <w:p w14:paraId="18458BBC">
            <w:pPr>
              <w:spacing w:line="360" w:lineRule="auto"/>
              <w:jc w:val="center"/>
              <w:rPr>
                <w:rFonts w:hint="eastAsia" w:ascii="宋体" w:hAnsi="宋体" w:eastAsia="宋体" w:cs="宋体"/>
                <w:color w:val="auto"/>
                <w:sz w:val="24"/>
                <w:szCs w:val="24"/>
                <w:highlight w:val="none"/>
              </w:rPr>
            </w:pPr>
          </w:p>
        </w:tc>
        <w:tc>
          <w:tcPr>
            <w:tcW w:w="850" w:type="dxa"/>
            <w:vMerge w:val="continue"/>
            <w:tcBorders>
              <w:top w:val="nil"/>
            </w:tcBorders>
            <w:vAlign w:val="center"/>
          </w:tcPr>
          <w:p w14:paraId="7B084275">
            <w:pPr>
              <w:spacing w:line="360" w:lineRule="auto"/>
              <w:jc w:val="center"/>
              <w:rPr>
                <w:rFonts w:hint="eastAsia" w:ascii="宋体" w:hAnsi="宋体" w:eastAsia="宋体" w:cs="宋体"/>
                <w:color w:val="auto"/>
                <w:sz w:val="24"/>
                <w:szCs w:val="24"/>
                <w:highlight w:val="none"/>
              </w:rPr>
            </w:pPr>
          </w:p>
        </w:tc>
        <w:tc>
          <w:tcPr>
            <w:tcW w:w="2415" w:type="dxa"/>
            <w:vAlign w:val="center"/>
          </w:tcPr>
          <w:p w14:paraId="2E2F7698">
            <w:pPr>
              <w:spacing w:line="360" w:lineRule="auto"/>
              <w:jc w:val="center"/>
              <w:rPr>
                <w:rFonts w:hint="eastAsia" w:ascii="宋体" w:hAnsi="宋体" w:eastAsia="宋体" w:cs="宋体"/>
                <w:color w:val="auto"/>
                <w:sz w:val="24"/>
                <w:szCs w:val="24"/>
                <w:highlight w:val="none"/>
              </w:rPr>
            </w:pPr>
          </w:p>
          <w:p w14:paraId="0D51BA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（8）供应商不得参加资格审查的情形</w:t>
            </w:r>
          </w:p>
        </w:tc>
        <w:tc>
          <w:tcPr>
            <w:tcW w:w="5666" w:type="dxa"/>
            <w:vAlign w:val="top"/>
          </w:tcPr>
          <w:p w14:paraId="6FE7C2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审查直接控股、管理关系信息表；单位负责人为同一人或者存在直接控股、管理关系的不同供应商，不得参加本项目同 一合同项下的政府采购活动。为本项目提供整体设计、规范编制或者项目管理、监理、检测等服务的供应商，不得再参加本项目的采购活动。</w:t>
            </w:r>
          </w:p>
        </w:tc>
      </w:tr>
      <w:tr w14:paraId="6215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43" w:hRule="atLeast"/>
          <w:jc w:val="center"/>
        </w:trPr>
        <w:tc>
          <w:tcPr>
            <w:tcW w:w="679" w:type="dxa"/>
            <w:vAlign w:val="center"/>
          </w:tcPr>
          <w:p w14:paraId="737430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65" w:type="dxa"/>
            <w:gridSpan w:val="2"/>
            <w:vAlign w:val="center"/>
          </w:tcPr>
          <w:p w14:paraId="0E1EA2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特定资质</w:t>
            </w:r>
          </w:p>
        </w:tc>
        <w:tc>
          <w:tcPr>
            <w:tcW w:w="5666" w:type="dxa"/>
            <w:vAlign w:val="top"/>
          </w:tcPr>
          <w:p w14:paraId="41B02D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须符合“磋商公告 ”要求。</w:t>
            </w:r>
          </w:p>
        </w:tc>
      </w:tr>
      <w:tr w14:paraId="0B366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740" w:hRule="atLeast"/>
          <w:jc w:val="center"/>
        </w:trPr>
        <w:tc>
          <w:tcPr>
            <w:tcW w:w="679" w:type="dxa"/>
            <w:vAlign w:val="center"/>
          </w:tcPr>
          <w:p w14:paraId="4AF5CD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65" w:type="dxa"/>
            <w:gridSpan w:val="2"/>
            <w:vAlign w:val="center"/>
          </w:tcPr>
          <w:p w14:paraId="05E3D8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p>
        </w:tc>
        <w:tc>
          <w:tcPr>
            <w:tcW w:w="5666" w:type="dxa"/>
            <w:vAlign w:val="top"/>
          </w:tcPr>
          <w:p w14:paraId="6A662C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本项目如接受联合体，供应商以联合体形式参加的应提交联合体协议书，并明确联合体牵头人，并符合磋商文件规定。</w:t>
            </w:r>
          </w:p>
        </w:tc>
      </w:tr>
      <w:tr w14:paraId="189A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640" w:hRule="atLeast"/>
          <w:jc w:val="center"/>
        </w:trPr>
        <w:tc>
          <w:tcPr>
            <w:tcW w:w="679" w:type="dxa"/>
            <w:vAlign w:val="center"/>
          </w:tcPr>
          <w:p w14:paraId="1C0C11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65" w:type="dxa"/>
            <w:gridSpan w:val="2"/>
            <w:vAlign w:val="center"/>
          </w:tcPr>
          <w:p w14:paraId="657946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采购政策</w:t>
            </w:r>
          </w:p>
        </w:tc>
        <w:tc>
          <w:tcPr>
            <w:tcW w:w="5666" w:type="dxa"/>
            <w:vAlign w:val="top"/>
          </w:tcPr>
          <w:p w14:paraId="098B9D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须符合“磋商公告 ”要求。</w:t>
            </w:r>
          </w:p>
        </w:tc>
      </w:tr>
    </w:tbl>
    <w:p w14:paraId="71DE95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资格审查标准为本磋商文件中载明对供应商资格要求的条件。资格审查采用合格制，凡符合磋商文件规定的供应商资格要求的响应文件均通过资格审查。</w:t>
      </w:r>
    </w:p>
    <w:p w14:paraId="7209EA0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供应商有下列情形之一的，资格审查不通过，其响应文件按无效响应处理：</w:t>
      </w:r>
    </w:p>
    <w:p w14:paraId="6F0B3EB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（1）不具备磋商文件中规定的资格要求的；</w:t>
      </w:r>
    </w:p>
    <w:p w14:paraId="6F0E8747">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（2）响应文件未提供任一项“供应商须知前附表 ”资格证明文件规定的“必须提供 ”的文件资料的；</w:t>
      </w:r>
    </w:p>
    <w:p w14:paraId="505F44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（3）响应文件提供的资格证明文件出现任一项不符合“供应商须知前附表 ”资格证明文件规定的“必须提供 ”的文件资料要求或者无效的。</w:t>
      </w:r>
    </w:p>
    <w:p w14:paraId="0F7071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通过资格审查的合格供应商不足 3 家的，不得进入符合性审查环节，采购人或者采购代理机构应当重新开展采购活动。</w:t>
      </w:r>
    </w:p>
    <w:p w14:paraId="5A171C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2.符合性检查</w:t>
      </w:r>
    </w:p>
    <w:p w14:paraId="734A2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资格审查结束后， 由磋商小组对通过资格审查的供应商的响应文件进行符合性审查， 以确定 其是否满足磋商文件的实质性要求。符合性检查表如下，缺少任何一项或有任何一项不合格者，其符合性检查视为不合格。</w:t>
      </w:r>
    </w:p>
    <w:tbl>
      <w:tblPr>
        <w:tblStyle w:val="22"/>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188"/>
        <w:gridCol w:w="1984"/>
        <w:gridCol w:w="5656"/>
      </w:tblGrid>
      <w:tr w14:paraId="3C1D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66" w:type="dxa"/>
            <w:vAlign w:val="center"/>
          </w:tcPr>
          <w:p w14:paraId="65D71A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2" w:type="dxa"/>
            <w:gridSpan w:val="2"/>
            <w:vAlign w:val="center"/>
          </w:tcPr>
          <w:p w14:paraId="6FFDDA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656" w:type="dxa"/>
            <w:vAlign w:val="top"/>
          </w:tcPr>
          <w:p w14:paraId="54FBF4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评审内容及评审标准</w:t>
            </w:r>
          </w:p>
        </w:tc>
      </w:tr>
      <w:tr w14:paraId="5E67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restart"/>
            <w:tcBorders>
              <w:bottom w:val="nil"/>
            </w:tcBorders>
            <w:vAlign w:val="center"/>
          </w:tcPr>
          <w:p w14:paraId="5342CB9F">
            <w:pPr>
              <w:spacing w:line="360" w:lineRule="auto"/>
              <w:jc w:val="center"/>
              <w:rPr>
                <w:rFonts w:hint="eastAsia" w:ascii="宋体" w:hAnsi="宋体" w:eastAsia="宋体" w:cs="宋体"/>
                <w:color w:val="auto"/>
                <w:sz w:val="24"/>
                <w:szCs w:val="24"/>
                <w:highlight w:val="none"/>
              </w:rPr>
            </w:pPr>
          </w:p>
          <w:p w14:paraId="282814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8" w:type="dxa"/>
            <w:vMerge w:val="restart"/>
            <w:tcBorders>
              <w:bottom w:val="nil"/>
            </w:tcBorders>
            <w:vAlign w:val="center"/>
          </w:tcPr>
          <w:p w14:paraId="177759C0">
            <w:pPr>
              <w:spacing w:line="360" w:lineRule="auto"/>
              <w:jc w:val="center"/>
              <w:rPr>
                <w:rFonts w:hint="eastAsia" w:ascii="宋体" w:hAnsi="宋体" w:eastAsia="宋体" w:cs="宋体"/>
                <w:color w:val="auto"/>
                <w:sz w:val="24"/>
                <w:szCs w:val="24"/>
                <w:highlight w:val="none"/>
              </w:rPr>
            </w:pPr>
          </w:p>
          <w:p w14:paraId="4066CC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p>
        </w:tc>
        <w:tc>
          <w:tcPr>
            <w:tcW w:w="1984" w:type="dxa"/>
            <w:vAlign w:val="center"/>
          </w:tcPr>
          <w:p w14:paraId="54E625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5656" w:type="dxa"/>
            <w:vAlign w:val="top"/>
          </w:tcPr>
          <w:p w14:paraId="4172C4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与营业执照、资质证书、安全生产许可证一致</w:t>
            </w:r>
          </w:p>
        </w:tc>
      </w:tr>
      <w:tr w14:paraId="4FD85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Merge w:val="continue"/>
            <w:tcBorders>
              <w:top w:val="nil"/>
              <w:bottom w:val="nil"/>
            </w:tcBorders>
            <w:vAlign w:val="center"/>
          </w:tcPr>
          <w:p w14:paraId="335C5C29">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756B54BC">
            <w:pPr>
              <w:spacing w:line="360" w:lineRule="auto"/>
              <w:jc w:val="center"/>
              <w:rPr>
                <w:rFonts w:hint="eastAsia" w:ascii="宋体" w:hAnsi="宋体" w:eastAsia="宋体" w:cs="宋体"/>
                <w:color w:val="auto"/>
                <w:sz w:val="24"/>
                <w:szCs w:val="24"/>
                <w:highlight w:val="none"/>
              </w:rPr>
            </w:pPr>
          </w:p>
        </w:tc>
        <w:tc>
          <w:tcPr>
            <w:tcW w:w="1984" w:type="dxa"/>
            <w:vAlign w:val="center"/>
          </w:tcPr>
          <w:p w14:paraId="689E82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5656" w:type="dxa"/>
            <w:vAlign w:val="top"/>
          </w:tcPr>
          <w:p w14:paraId="1C1C09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响应文件上法定代表人或其授权代表人已按要求签字 盖章</w:t>
            </w:r>
          </w:p>
        </w:tc>
      </w:tr>
      <w:tr w14:paraId="5C56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66" w:type="dxa"/>
            <w:vMerge w:val="continue"/>
            <w:tcBorders>
              <w:top w:val="nil"/>
              <w:bottom w:val="nil"/>
            </w:tcBorders>
            <w:vAlign w:val="center"/>
          </w:tcPr>
          <w:p w14:paraId="72236CFD">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74FC28E4">
            <w:pPr>
              <w:spacing w:line="360" w:lineRule="auto"/>
              <w:jc w:val="center"/>
              <w:rPr>
                <w:rFonts w:hint="eastAsia" w:ascii="宋体" w:hAnsi="宋体" w:eastAsia="宋体" w:cs="宋体"/>
                <w:color w:val="auto"/>
                <w:sz w:val="24"/>
                <w:szCs w:val="24"/>
                <w:highlight w:val="none"/>
              </w:rPr>
            </w:pPr>
          </w:p>
        </w:tc>
        <w:tc>
          <w:tcPr>
            <w:tcW w:w="1984" w:type="dxa"/>
            <w:vAlign w:val="center"/>
          </w:tcPr>
          <w:p w14:paraId="0056E72C">
            <w:pPr>
              <w:spacing w:line="360" w:lineRule="auto"/>
              <w:jc w:val="center"/>
              <w:rPr>
                <w:rFonts w:hint="eastAsia" w:ascii="宋体" w:hAnsi="宋体" w:eastAsia="宋体" w:cs="宋体"/>
                <w:color w:val="auto"/>
                <w:sz w:val="24"/>
                <w:szCs w:val="24"/>
                <w:highlight w:val="none"/>
              </w:rPr>
            </w:pPr>
          </w:p>
          <w:p w14:paraId="174514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 明及授权委托书</w:t>
            </w:r>
          </w:p>
        </w:tc>
        <w:tc>
          <w:tcPr>
            <w:tcW w:w="5656" w:type="dxa"/>
            <w:vAlign w:val="top"/>
          </w:tcPr>
          <w:p w14:paraId="7540F6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授权代表参加磋商时审查：法定代表人授权委托书及附 件，格式及附件见第八章响应文件格式要求；</w:t>
            </w:r>
          </w:p>
          <w:p w14:paraId="5C8C44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法定代表人直接参加磋商时审查：法定代表人身份证明 及附件，格式及附件见“第八章响应文件格式 ”要求</w:t>
            </w:r>
          </w:p>
        </w:tc>
      </w:tr>
      <w:tr w14:paraId="0CD1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continue"/>
            <w:tcBorders>
              <w:top w:val="nil"/>
            </w:tcBorders>
            <w:vAlign w:val="center"/>
          </w:tcPr>
          <w:p w14:paraId="12BB6283">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tcBorders>
            <w:vAlign w:val="center"/>
          </w:tcPr>
          <w:p w14:paraId="749DD9FB">
            <w:pPr>
              <w:spacing w:line="360" w:lineRule="auto"/>
              <w:jc w:val="center"/>
              <w:rPr>
                <w:rFonts w:hint="eastAsia" w:ascii="宋体" w:hAnsi="宋体" w:eastAsia="宋体" w:cs="宋体"/>
                <w:color w:val="auto"/>
                <w:sz w:val="24"/>
                <w:szCs w:val="24"/>
                <w:highlight w:val="none"/>
              </w:rPr>
            </w:pPr>
          </w:p>
        </w:tc>
        <w:tc>
          <w:tcPr>
            <w:tcW w:w="1984" w:type="dxa"/>
            <w:vAlign w:val="center"/>
          </w:tcPr>
          <w:p w14:paraId="7D3A95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656" w:type="dxa"/>
            <w:vAlign w:val="top"/>
          </w:tcPr>
          <w:p w14:paraId="177835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足额、及时缴纳磋商保证金（如有）</w:t>
            </w:r>
          </w:p>
        </w:tc>
      </w:tr>
      <w:tr w14:paraId="249B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Align w:val="center"/>
          </w:tcPr>
          <w:p w14:paraId="4C7635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8" w:type="dxa"/>
            <w:vAlign w:val="center"/>
          </w:tcPr>
          <w:p w14:paraId="0EFCCE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1984" w:type="dxa"/>
            <w:vAlign w:val="center"/>
          </w:tcPr>
          <w:p w14:paraId="1290B1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tc>
        <w:tc>
          <w:tcPr>
            <w:tcW w:w="5656" w:type="dxa"/>
            <w:vAlign w:val="top"/>
          </w:tcPr>
          <w:p w14:paraId="27B7D3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符合第五章“工程量清单 ”及第六章“ 图纸 ”给出的范 围、数量及编制要求</w:t>
            </w:r>
          </w:p>
        </w:tc>
      </w:tr>
      <w:tr w14:paraId="2EEA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restart"/>
            <w:tcBorders>
              <w:bottom w:val="nil"/>
            </w:tcBorders>
            <w:vAlign w:val="center"/>
          </w:tcPr>
          <w:p w14:paraId="2A6B4638">
            <w:pPr>
              <w:spacing w:line="360" w:lineRule="auto"/>
              <w:jc w:val="center"/>
              <w:rPr>
                <w:rFonts w:hint="eastAsia" w:ascii="宋体" w:hAnsi="宋体" w:eastAsia="宋体" w:cs="宋体"/>
                <w:color w:val="auto"/>
                <w:sz w:val="24"/>
                <w:szCs w:val="24"/>
                <w:highlight w:val="none"/>
              </w:rPr>
            </w:pPr>
          </w:p>
          <w:p w14:paraId="524AF0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88" w:type="dxa"/>
            <w:vMerge w:val="restart"/>
            <w:tcBorders>
              <w:bottom w:val="nil"/>
            </w:tcBorders>
            <w:vAlign w:val="center"/>
          </w:tcPr>
          <w:p w14:paraId="79C80E2D">
            <w:pPr>
              <w:spacing w:line="360" w:lineRule="auto"/>
              <w:jc w:val="center"/>
              <w:rPr>
                <w:rFonts w:hint="eastAsia" w:ascii="宋体" w:hAnsi="宋体" w:eastAsia="宋体" w:cs="宋体"/>
                <w:color w:val="auto"/>
                <w:sz w:val="24"/>
                <w:szCs w:val="24"/>
                <w:highlight w:val="none"/>
              </w:rPr>
            </w:pPr>
          </w:p>
          <w:p w14:paraId="064FEC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1984" w:type="dxa"/>
            <w:vAlign w:val="center"/>
          </w:tcPr>
          <w:p w14:paraId="627CBB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分包（如有）</w:t>
            </w:r>
          </w:p>
        </w:tc>
        <w:tc>
          <w:tcPr>
            <w:tcW w:w="5656" w:type="dxa"/>
            <w:vAlign w:val="top"/>
          </w:tcPr>
          <w:p w14:paraId="4F8811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r w14:paraId="11E1B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continue"/>
            <w:tcBorders>
              <w:top w:val="nil"/>
              <w:bottom w:val="nil"/>
            </w:tcBorders>
            <w:vAlign w:val="center"/>
          </w:tcPr>
          <w:p w14:paraId="4745F34D">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00D9E7D3">
            <w:pPr>
              <w:spacing w:line="360" w:lineRule="auto"/>
              <w:jc w:val="center"/>
              <w:rPr>
                <w:rFonts w:hint="eastAsia" w:ascii="宋体" w:hAnsi="宋体" w:eastAsia="宋体" w:cs="宋体"/>
                <w:color w:val="auto"/>
                <w:sz w:val="24"/>
                <w:szCs w:val="24"/>
                <w:highlight w:val="none"/>
              </w:rPr>
            </w:pPr>
          </w:p>
        </w:tc>
        <w:tc>
          <w:tcPr>
            <w:tcW w:w="1984" w:type="dxa"/>
            <w:vAlign w:val="center"/>
          </w:tcPr>
          <w:p w14:paraId="2B6398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5656" w:type="dxa"/>
            <w:vAlign w:val="top"/>
          </w:tcPr>
          <w:p w14:paraId="04FEF9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r w14:paraId="0BD1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744F8F2B">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545F6751">
            <w:pPr>
              <w:spacing w:line="360" w:lineRule="auto"/>
              <w:jc w:val="center"/>
              <w:rPr>
                <w:rFonts w:hint="eastAsia" w:ascii="宋体" w:hAnsi="宋体" w:eastAsia="宋体" w:cs="宋体"/>
                <w:color w:val="auto"/>
                <w:sz w:val="24"/>
                <w:szCs w:val="24"/>
                <w:highlight w:val="none"/>
              </w:rPr>
            </w:pPr>
          </w:p>
        </w:tc>
        <w:tc>
          <w:tcPr>
            <w:tcW w:w="1984" w:type="dxa"/>
            <w:vAlign w:val="center"/>
          </w:tcPr>
          <w:p w14:paraId="3E6FDE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5656" w:type="dxa"/>
            <w:vAlign w:val="top"/>
          </w:tcPr>
          <w:p w14:paraId="0CDD9E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r w14:paraId="46D5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0F1E9285">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7B65826E">
            <w:pPr>
              <w:spacing w:line="360" w:lineRule="auto"/>
              <w:jc w:val="center"/>
              <w:rPr>
                <w:rFonts w:hint="eastAsia" w:ascii="宋体" w:hAnsi="宋体" w:eastAsia="宋体" w:cs="宋体"/>
                <w:color w:val="auto"/>
                <w:sz w:val="24"/>
                <w:szCs w:val="24"/>
                <w:highlight w:val="none"/>
              </w:rPr>
            </w:pPr>
          </w:p>
        </w:tc>
        <w:tc>
          <w:tcPr>
            <w:tcW w:w="1984" w:type="dxa"/>
            <w:vAlign w:val="center"/>
          </w:tcPr>
          <w:p w14:paraId="6B6A93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5656" w:type="dxa"/>
            <w:vAlign w:val="top"/>
          </w:tcPr>
          <w:p w14:paraId="55B456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r w14:paraId="4B26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61F2E762">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bottom w:val="nil"/>
            </w:tcBorders>
            <w:vAlign w:val="center"/>
          </w:tcPr>
          <w:p w14:paraId="20334FB9">
            <w:pPr>
              <w:spacing w:line="360" w:lineRule="auto"/>
              <w:jc w:val="center"/>
              <w:rPr>
                <w:rFonts w:hint="eastAsia" w:ascii="宋体" w:hAnsi="宋体" w:eastAsia="宋体" w:cs="宋体"/>
                <w:color w:val="auto"/>
                <w:sz w:val="24"/>
                <w:szCs w:val="24"/>
                <w:highlight w:val="none"/>
              </w:rPr>
            </w:pPr>
          </w:p>
        </w:tc>
        <w:tc>
          <w:tcPr>
            <w:tcW w:w="1984" w:type="dxa"/>
            <w:vAlign w:val="center"/>
          </w:tcPr>
          <w:p w14:paraId="4EFD56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w:t>
            </w:r>
          </w:p>
        </w:tc>
        <w:tc>
          <w:tcPr>
            <w:tcW w:w="5656" w:type="dxa"/>
            <w:vAlign w:val="top"/>
          </w:tcPr>
          <w:p w14:paraId="488E0F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满足磋商文件规定</w:t>
            </w:r>
          </w:p>
        </w:tc>
      </w:tr>
      <w:tr w14:paraId="145E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66" w:type="dxa"/>
            <w:vMerge w:val="continue"/>
            <w:tcBorders>
              <w:top w:val="nil"/>
            </w:tcBorders>
            <w:vAlign w:val="center"/>
          </w:tcPr>
          <w:p w14:paraId="2AF38E14">
            <w:pPr>
              <w:spacing w:line="360" w:lineRule="auto"/>
              <w:jc w:val="center"/>
              <w:rPr>
                <w:rFonts w:hint="eastAsia" w:ascii="宋体" w:hAnsi="宋体" w:eastAsia="宋体" w:cs="宋体"/>
                <w:color w:val="auto"/>
                <w:sz w:val="24"/>
                <w:szCs w:val="24"/>
                <w:highlight w:val="none"/>
              </w:rPr>
            </w:pPr>
          </w:p>
        </w:tc>
        <w:tc>
          <w:tcPr>
            <w:tcW w:w="1188" w:type="dxa"/>
            <w:vMerge w:val="continue"/>
            <w:tcBorders>
              <w:top w:val="nil"/>
            </w:tcBorders>
            <w:vAlign w:val="center"/>
          </w:tcPr>
          <w:p w14:paraId="74D37E24">
            <w:pPr>
              <w:spacing w:line="360" w:lineRule="auto"/>
              <w:jc w:val="center"/>
              <w:rPr>
                <w:rFonts w:hint="eastAsia" w:ascii="宋体" w:hAnsi="宋体" w:eastAsia="宋体" w:cs="宋体"/>
                <w:color w:val="auto"/>
                <w:sz w:val="24"/>
                <w:szCs w:val="24"/>
                <w:highlight w:val="none"/>
              </w:rPr>
            </w:pPr>
          </w:p>
        </w:tc>
        <w:tc>
          <w:tcPr>
            <w:tcW w:w="1984" w:type="dxa"/>
            <w:vAlign w:val="center"/>
          </w:tcPr>
          <w:p w14:paraId="31C7AE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tc>
        <w:tc>
          <w:tcPr>
            <w:tcW w:w="5656" w:type="dxa"/>
            <w:vAlign w:val="top"/>
          </w:tcPr>
          <w:p w14:paraId="40B311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磋商技术方案明确，未出现备选（替代）磋商方案</w:t>
            </w:r>
          </w:p>
        </w:tc>
      </w:tr>
    </w:tbl>
    <w:p w14:paraId="03A1C2B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由磋商小组对通过资格审查的合格供应商的响应文件的磋商报价、商务、技术等实质性要求进行符合性审查，以确定其是否满足磋商文件的实质性要求。</w:t>
      </w:r>
    </w:p>
    <w:p w14:paraId="15363C7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77490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磋商小组要求供应商澄清、说明或者更正响应文件应当要求供应商在合理时间内通过广西政府采购云平台（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）的方式形式作出。供应商的澄清、说明或者更正必须以书面形式按照磋商小组的要求作出明确的澄清、说明或者更正，未按磋商小组的 要求作出明确澄清、说明或者更正的供应商的响应文件将按照有利于采购人的原则由磋商小组进 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14:paraId="44966F3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首次响应文件报价出现前后不一致的，按照下列规定修正：</w:t>
      </w:r>
    </w:p>
    <w:p w14:paraId="0333D5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（1）响应文件中报价表内容与响应文件中相应内容不一致的， 以报价表为准；</w:t>
      </w:r>
    </w:p>
    <w:p w14:paraId="7070B3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08BC2B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 以报价表的总价为准，并修改单价；</w:t>
      </w:r>
    </w:p>
    <w:p w14:paraId="4E08EE0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 以单价金额计算结果为准。</w:t>
      </w:r>
    </w:p>
    <w:p w14:paraId="6BA39A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5E5235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商务报价评审在评审时，如发现下列情形之一的，将被视为响应文件无效处理：</w:t>
      </w:r>
    </w:p>
    <w:p w14:paraId="3738FD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（1）商务技术评审</w:t>
      </w:r>
    </w:p>
    <w:p w14:paraId="11DD69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1）提供响应文件正、副本数量不足；</w:t>
      </w:r>
    </w:p>
    <w:p w14:paraId="5C3BCAF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2）响应文件未按磋商文件要求签署、盖章；</w:t>
      </w:r>
    </w:p>
    <w:p w14:paraId="603273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3）委托代理人未能出具有效身份证明或者出具的身份证明与授权委托书中的信息不符；</w:t>
      </w:r>
    </w:p>
    <w:p w14:paraId="3E758B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4）提交的磋商保证金无效的或者未按照磋商文件的规定提交磋商保证金；</w:t>
      </w:r>
    </w:p>
    <w:p w14:paraId="64E43C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5）响应文件未提供任一项“供应商须知前附表 ” </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、技术文件中 “必须提供 ” 或者“委托时必须提供 ”的文件资料；响应文件提供的商</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 xml:space="preserve">、技术文件出现任一项不符  合“供应商须知前附表 ” </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、技术文件中 “必须提供 ”或者“委托时必须提供 ”文件资料要求的规定或者提供的</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、技术文件无效。</w:t>
      </w:r>
    </w:p>
    <w:p w14:paraId="04DEB6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6）商务条款中标“▲ ”的条款发生负偏离的或者允许负偏离的条款数超过“供应商须知前附表 ”规定项数的或者标明实质性的要求发生负偏离；</w:t>
      </w:r>
    </w:p>
    <w:p w14:paraId="6491D28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7）未对磋商有效期作出响应或者响应文件承诺的磋商有效期不满足磋商文件要求；</w:t>
      </w:r>
    </w:p>
    <w:p w14:paraId="57AAAB8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8）响应文件的实质性内容未使用中文表述、使用计量单位不符合磋商文件要求；</w:t>
      </w:r>
    </w:p>
    <w:p w14:paraId="4462CD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9）响应文件中的文件资料因填写不齐全或者内容虚假或者出现其他情形而导致被磋商小组认定无效；</w:t>
      </w:r>
    </w:p>
    <w:p w14:paraId="09B5D6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10）响应文件含有采购人不能接受的附加条件；</w:t>
      </w:r>
    </w:p>
    <w:p w14:paraId="36C2B80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11）属于“供应商须知正文 ”第 7.5 条情形；</w:t>
      </w:r>
    </w:p>
    <w:p w14:paraId="249FDB4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明显不满足磋商文件要求的技术规格、安全、质量标准，或者与磋商文件中标“▲ ”的技术需求或者标明实质性的要求发生负偏离；</w:t>
      </w:r>
    </w:p>
    <w:p w14:paraId="212A6E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13）技术需求允许负偏离的条款数超过“供应商须知前附表 ”规定项数；</w:t>
      </w:r>
    </w:p>
    <w:p w14:paraId="1213669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14）虚假磋商，或者出现其他情形而导致被磋商小组认定无效；</w:t>
      </w:r>
    </w:p>
    <w:p w14:paraId="7F7128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15）磋商技术方案不明确，磋商文件未允许但响应文件中存在一个或者一个以上备选（替代）磋商方案；</w:t>
      </w:r>
    </w:p>
    <w:p w14:paraId="2F1DF3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16）未响应磋商文件实质性要求；</w:t>
      </w:r>
    </w:p>
    <w:p w14:paraId="71135D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17）法律、法规和磋商文件规定的其他无效情形。</w:t>
      </w:r>
    </w:p>
    <w:p w14:paraId="6BBEA9F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（2）报价评审</w:t>
      </w:r>
    </w:p>
    <w:p w14:paraId="67B9E7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响应文件未提供“供应商须知前附表 ” </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rPr>
        <w:t>中规定的“磋商报价表 ”；</w:t>
      </w:r>
    </w:p>
    <w:p w14:paraId="2A2E62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2）未采用人民币报价或者未按照磋商文件标明的币种报价；</w:t>
      </w:r>
    </w:p>
    <w:p w14:paraId="5629D99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3）供应商未就所磋商分标进行报价或者存在漏项报价；供应商未就所磋商分标的单项内容作 唯一报价；供应商未就所磋商分标的全部内容作唯一总价报价；供应商响应文件中存在有选择、有条件报价的（磋商文件允许有备选方案或者其他约定的除外）；</w:t>
      </w:r>
    </w:p>
    <w:p w14:paraId="20279D7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4）磋商报价（包含首次报价、最后报价）超过所磋商分标规定的采购预算金额或者最高限价 的（如本项目公布了最高限价）；磋商报价（包含首次报价、最后报价）超过磋商文件分项采购预算金额或者最高限价的（如本项目公布了最高限价）；</w:t>
      </w:r>
    </w:p>
    <w:p w14:paraId="65ED70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5）修正后的报价，供应商不确认的；或者经供应商确认修正后的磋商报价（包含首次报价、 最后报价）超过所磋商分标规定的采购预算金额或者最高限价（如本项目公布了最高限价）；或 者经供应商确认修正后磋商报价（包含首次报价、最后报价）超过磋商文件分项采购预算金额或者最高限价的（如本项目公布了最高限价）。</w:t>
      </w:r>
    </w:p>
    <w:p w14:paraId="6C41F27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磋商小组对响应文件进行评审，未实质性响应磋商文件的响应文件按无效处理，由磋商小 组告知有关供应商。磋商小组从符合磋商文件规定的相应资格条件的供应商名单中确定不少于 3家的供应商参加磋商。</w:t>
      </w:r>
    </w:p>
    <w:p w14:paraId="678D8F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通过符合性审查的合格供应商不足 3 家的，不得进入磋商环节，采购人或者采购代理机构应当重新开展采购活动。</w:t>
      </w:r>
    </w:p>
    <w:p w14:paraId="5BEE48F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w:t>
      </w:r>
    </w:p>
    <w:p w14:paraId="14EF55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3.磋商的程序</w:t>
      </w:r>
    </w:p>
    <w:p w14:paraId="178C43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磋商小组按照“供应商须知前附表 ” 确定的顺序，集中与单一供应商分别进行磋商，并给予所有参加磋商的供应商平等的磋商机会。符合磋商资格的供应商必须实时关注广西政府采购 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）开标信息，在接到磋商通知后规定时间内参加磋商，未在规定时间内参加磋商的视同放弃参加磋商权利，其响应文件按无效响应处理。</w:t>
      </w:r>
    </w:p>
    <w:p w14:paraId="022E8C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在磋商过程中，磋商小组可以根据磋商文件和磋商情况实质性变动采购需求中的技术、服 务要求以及合同草案条款，但不得变动磋商文件中的其他内容。实质性变动的内容，须经采购人代表确认。可能实质性变动的内容为采购需求中的技术、服务要求以及合同草案条款。</w:t>
      </w:r>
    </w:p>
    <w:p w14:paraId="31A950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对磋商文件作出的实质性变动是磋商文件的有效组成部分，由磋商小组及时以书面形式同时通知所有参加磋商的供应商。</w:t>
      </w:r>
    </w:p>
    <w:p w14:paraId="3BADFF1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供应商必须按照磋商文件的变动情况和磋商小组的要求重新提交响应文件，并由其法定代 表 人 或 者 授 权 代 表 签 字 或 者 加 盖 CA 签 章 在 广 西 政 府 采 购 云 平 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）提交。由委托代理人签字的，若委托代理人不是响应文 件中授权的委托代理人时，必须同时出示有效的法定代表人授权委托书原件。供应商为自然人的， 必须由本人签字并附身份证明。参加磋商的供应商未在规定时间内重新提交响应文件的，视同退出磋商。</w:t>
      </w:r>
    </w:p>
    <w:p w14:paraId="78416C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磋商中，磋商的任何一方不得透露与磋商有关的其他供应商的技术资料、价格和其他信息。</w:t>
      </w:r>
    </w:p>
    <w:p w14:paraId="5A5152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采购代理机构对磋商过程和重要磋商内容进行记录，磋商双方在记录上签字确认。</w:t>
      </w:r>
    </w:p>
    <w:p w14:paraId="76EDAE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磋商过程中重新提交的响应文件，供应商可以在开启前补充、修改。</w:t>
      </w:r>
    </w:p>
    <w:p w14:paraId="3CFA942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对磋商过程提交的响应文件进行有效性、完整性和响应程度审查，通过审查的合格供应商不足 3 家的，采购人或者采购代理机构应当重新开展采购活动。</w:t>
      </w:r>
    </w:p>
    <w:p w14:paraId="3D68C3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本项目所有响应文件的首次报价及所有磋商报价均不公布。最后磋商结束后，磋商小组不得再与供应商进行任何形式的商谈。</w:t>
      </w:r>
    </w:p>
    <w:p w14:paraId="6E88A81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最后报价</w:t>
      </w:r>
    </w:p>
    <w:p w14:paraId="6AEBE1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磋商文件能够详细列明采购标的的技术、服务要求的，磋商结束后，由磋商小组要求所有继续参加磋商的供应商在规定时间内在广西政府采购云平台（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）提交最后报价，提交最后报价的供应商不得少于 3 家，除本章第 4.3 条外，否则必须重新采购。</w:t>
      </w:r>
    </w:p>
    <w:p w14:paraId="402BFB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 磋商文件不能详细列明采购标的的技术、服务要求，需经磋商由供应商提供最后设计方案 或者解决方案的，磋商结束后，由磋商小组按照少数服从多数的原则投票推荐 3 家以上供应商的设计方案或者解决方案，并要求其在规定时间内在广西政府采购云平台（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）提交最后报价。</w:t>
      </w:r>
    </w:p>
    <w:p w14:paraId="33D7D1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①最后报价与首次报价相比无调整的：供应商提交的最后报价只须注明与首次报价相同。</w:t>
      </w:r>
    </w:p>
    <w:p w14:paraId="76FCC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②最后报价与首次报价相比有调整的：供应商提交的最后报价必须包含已标价的工程量清单， 即最后报价是工程量清单全部工作内容的价格体现，具体包括供应商部分（分部分项工程量清单 费用、措施项目清单费用、规费、税金、其它项目）和采购人部分（暂列金、材料购置费）（如有）等完成本工程并经验收合格至达到质量保修期限所需的费用、合理利润及风险。如磋商文件 或磋商程中明确供应商应提供技术服务及其它服务的（如检测费、验收发生的费用） ，相应费用 也应包括在最后报价中。最后报价不允许采用汇总后优惠、打折的形式，否则其报价无效并作无 效响应处理。供应商在电话报价时可只报总价，但必须将包含已标价工程量清单的最后报价在规 定时间内在广西政府采购云平台（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）提交，逾期则最后报价无效，以首次报价为准。</w:t>
      </w:r>
    </w:p>
    <w:p w14:paraId="0E88AC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最后报价是供应商响应文件的有效组成部分。符合《政府采购竞争性磋商采购方式管理 暂行办法》（财库〔2014〕214 号）第三条第四项“市场竞争不充分的科研项目，以及需要扶持的科技成果转化项目 ”的，提交最后报价的供应商可以为 2 家。</w:t>
      </w:r>
    </w:p>
    <w:p w14:paraId="7FEA42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已经提交响应文件的供应商，在提交最后报价之前，可以根据磋商情况退出磋商，退出磋 商的供应商的响应文件按无效响应处理。采购人、采购代理机构将退还退出磋商的供应商的保证金。</w:t>
      </w:r>
    </w:p>
    <w:p w14:paraId="1CA2AA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供应商未在规定时间内提交最后报价的，视同退出磋商。</w:t>
      </w:r>
    </w:p>
    <w:p w14:paraId="02BB67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磋商小组收齐某一分标最后报价后统一开启，磋商小组对最后报价进行有效性、完整性和响应程度的审查。</w:t>
      </w:r>
    </w:p>
    <w:p w14:paraId="31E12D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 响应文件最后报价出现前后不一致的，按照本章第 2.4 条的规定修正。</w:t>
      </w:r>
    </w:p>
    <w:p w14:paraId="67D60BA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 修正后的报价出现下列情形的，按无效响应处理：</w:t>
      </w:r>
    </w:p>
    <w:p w14:paraId="6A3D6F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（1）供应商不确认的；</w:t>
      </w:r>
    </w:p>
    <w:p w14:paraId="6873E4A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（2）经供应商确认修正后的磋商报价（包含首次报价、最后报价）超过所磋商分标规定的采购预算金额或者最高限价的（如本项目公布了最高限价）；</w:t>
      </w:r>
    </w:p>
    <w:p w14:paraId="1E8A3A5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（3）经供应商确认修正后的磋商报价（包含首次报价、最后报价）超过分项采购预算金额或者最高限价的（如本项目公布了最高限价）。</w:t>
      </w:r>
    </w:p>
    <w:p w14:paraId="7BD8FFC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 经供应商确认修正后的最后报价作为评审及签订合同的依据。</w:t>
      </w:r>
    </w:p>
    <w:p w14:paraId="525FDE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 最后报价结束后，磋商小组不得再与供应商进行任何形式的商谈。</w:t>
      </w:r>
    </w:p>
    <w:p w14:paraId="1B9ABE1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5.比较与评价</w:t>
      </w:r>
    </w:p>
    <w:p w14:paraId="532AFA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评审方法：综合评分法。</w:t>
      </w:r>
    </w:p>
    <w:p w14:paraId="19E5B2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经磋商确定最终采购需求和提交最后报价的供应商后，由磋商小组采用综合评分法对提交最后报价的供应商的响应文件和最后报价进行综合评分。</w:t>
      </w:r>
    </w:p>
    <w:p w14:paraId="6C92133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评审时，磋商小组各成员应当独立对每个有效响应的文件进行评价、打分，然后汇总每个供应商每项评分因素的得分。</w:t>
      </w:r>
    </w:p>
    <w:p w14:paraId="68B739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（1）磋商小组按照磋商文件中规定的评审标准计算各供应商的报价得分。项目评审过程中，不得去掉最后报价中的最高报价和最低报价。</w:t>
      </w:r>
    </w:p>
    <w:p w14:paraId="1C52AE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（2）各供应商的得分为磋商小组所有成员的有效评分的算术平均数。</w:t>
      </w:r>
    </w:p>
    <w:p w14:paraId="0EB72B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评审价为供应商的最后报价进行政策性扣除后的价格，评审价只是作为评审时使用。最终成交供应商的成交金额等于最后报价（如有修正， 以确认修正后的最后报价为准）。</w:t>
      </w:r>
    </w:p>
    <w:p w14:paraId="28721F3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由磋商小组根据综合评分情况，按照评审得分由高到低顺序推荐 3 名以上成交候选供应 商，并编写评审报告。符合本章第 4.3 条情形的，可以推荐 2 家成交候选供应商。评审得分相同 的，按照最后报价由低到高的顺序推荐。评审得分且最后报价相同的，按照技术指标优劣顺序推荐。</w:t>
      </w:r>
    </w:p>
    <w:p w14:paraId="036BB9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评审报告应当由磋商小组全体人员签字认可。磋商小组成员对评审报告有异议的，磋商小 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5744E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sectPr>
          <w:footerReference r:id="rId11" w:type="default"/>
          <w:pgSz w:w="11905" w:h="16838"/>
          <w:pgMar w:top="1134" w:right="1134" w:bottom="1134" w:left="1134" w:header="0" w:footer="992" w:gutter="0"/>
          <w:pgNumType w:fmt="decimal"/>
          <w:cols w:space="0" w:num="1"/>
          <w:rtlGutter w:val="0"/>
          <w:docGrid w:linePitch="0" w:charSpace="0"/>
        </w:sectPr>
      </w:pPr>
    </w:p>
    <w:p w14:paraId="0567CE5A">
      <w:pPr>
        <w:spacing w:before="163" w:line="225" w:lineRule="auto"/>
        <w:ind w:left="3602"/>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二、评审标准</w:t>
      </w:r>
    </w:p>
    <w:p w14:paraId="005DE93F">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20"/>
          <w:sz w:val="24"/>
          <w:szCs w:val="24"/>
          <w:highlight w:val="none"/>
        </w:rPr>
        <w:t>6.评审依据：磋商小组将以磋商响应文件为评审依据，对供应商的报价、技术、商务等方面内容按百分制打分。（计分方法按四舍五入取至百分位）</w:t>
      </w:r>
    </w:p>
    <w:p w14:paraId="1CD24EE8">
      <w:pPr>
        <w:spacing w:line="93" w:lineRule="exact"/>
        <w:rPr>
          <w:rFonts w:hint="eastAsia" w:ascii="宋体" w:hAnsi="宋体" w:eastAsia="宋体" w:cs="宋体"/>
          <w:color w:val="auto"/>
          <w:sz w:val="24"/>
          <w:szCs w:val="24"/>
          <w:highlight w:val="none"/>
        </w:rPr>
      </w:pPr>
    </w:p>
    <w:tbl>
      <w:tblPr>
        <w:tblStyle w:val="22"/>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1117"/>
        <w:gridCol w:w="4308"/>
      </w:tblGrid>
      <w:tr w14:paraId="408A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19" w:type="dxa"/>
            <w:vAlign w:val="top"/>
          </w:tcPr>
          <w:p w14:paraId="5ADB8E35">
            <w:pPr>
              <w:pStyle w:val="23"/>
              <w:spacing w:before="114" w:line="226" w:lineRule="auto"/>
              <w:ind w:left="20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序号</w:t>
            </w:r>
          </w:p>
        </w:tc>
        <w:tc>
          <w:tcPr>
            <w:tcW w:w="1161" w:type="dxa"/>
            <w:vAlign w:val="top"/>
          </w:tcPr>
          <w:p w14:paraId="0BF4EF99">
            <w:pPr>
              <w:pStyle w:val="23"/>
              <w:spacing w:before="114" w:line="226" w:lineRule="auto"/>
              <w:ind w:left="16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评审因素</w:t>
            </w:r>
          </w:p>
        </w:tc>
        <w:tc>
          <w:tcPr>
            <w:tcW w:w="7114" w:type="dxa"/>
            <w:gridSpan w:val="3"/>
            <w:vAlign w:val="top"/>
          </w:tcPr>
          <w:p w14:paraId="20059F38">
            <w:pPr>
              <w:pStyle w:val="23"/>
              <w:spacing w:before="114" w:line="226" w:lineRule="auto"/>
              <w:ind w:left="27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评审因素具体内容</w:t>
            </w:r>
          </w:p>
        </w:tc>
      </w:tr>
      <w:tr w14:paraId="4991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980" w:type="dxa"/>
            <w:gridSpan w:val="2"/>
            <w:vAlign w:val="top"/>
          </w:tcPr>
          <w:p w14:paraId="4C68FDF2">
            <w:pPr>
              <w:spacing w:line="377" w:lineRule="auto"/>
              <w:rPr>
                <w:rFonts w:hint="eastAsia" w:ascii="宋体" w:hAnsi="宋体" w:eastAsia="宋体" w:cs="宋体"/>
                <w:color w:val="auto"/>
                <w:sz w:val="24"/>
                <w:szCs w:val="24"/>
                <w:highlight w:val="none"/>
              </w:rPr>
            </w:pPr>
          </w:p>
          <w:p w14:paraId="5855A150">
            <w:pPr>
              <w:pStyle w:val="23"/>
              <w:spacing w:before="65" w:line="228"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详细评审内容</w:t>
            </w:r>
          </w:p>
        </w:tc>
        <w:tc>
          <w:tcPr>
            <w:tcW w:w="2806" w:type="dxa"/>
            <w:gridSpan w:val="2"/>
            <w:vAlign w:val="top"/>
          </w:tcPr>
          <w:p w14:paraId="7B65002E">
            <w:pPr>
              <w:spacing w:line="377" w:lineRule="auto"/>
              <w:rPr>
                <w:rFonts w:hint="eastAsia" w:ascii="宋体" w:hAnsi="宋体" w:eastAsia="宋体" w:cs="宋体"/>
                <w:color w:val="auto"/>
                <w:sz w:val="24"/>
                <w:szCs w:val="24"/>
                <w:highlight w:val="none"/>
              </w:rPr>
            </w:pPr>
          </w:p>
          <w:p w14:paraId="24201066">
            <w:pPr>
              <w:pStyle w:val="23"/>
              <w:spacing w:before="65" w:line="228" w:lineRule="auto"/>
              <w:ind w:left="38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分值构成（100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分</w:t>
            </w: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w:t>
            </w:r>
          </w:p>
        </w:tc>
        <w:tc>
          <w:tcPr>
            <w:tcW w:w="4308" w:type="dxa"/>
            <w:vAlign w:val="top"/>
          </w:tcPr>
          <w:p w14:paraId="13B02ED4">
            <w:pPr>
              <w:pStyle w:val="23"/>
              <w:spacing w:before="265" w:line="360" w:lineRule="exact"/>
              <w:ind w:left="128"/>
              <w:rPr>
                <w:rFonts w:hint="eastAsia" w:ascii="宋体" w:hAnsi="宋体" w:eastAsia="宋体" w:cs="宋体"/>
                <w:color w:val="auto"/>
                <w:sz w:val="24"/>
                <w:szCs w:val="24"/>
                <w:highlight w:val="none"/>
              </w:rPr>
            </w:pP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1.价格分</w:t>
            </w:r>
            <w:r>
              <w:rPr>
                <w:rFonts w:hint="eastAsia" w:ascii="宋体" w:hAnsi="宋体" w:eastAsia="宋体" w:cs="宋体"/>
                <w:color w:val="auto"/>
                <w:spacing w:val="-33"/>
                <w:position w:val="11"/>
                <w:sz w:val="24"/>
                <w:szCs w:val="24"/>
                <w:highlight w:val="none"/>
              </w:rPr>
              <w:t xml:space="preserve"> </w:t>
            </w: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30</w:t>
            </w:r>
            <w:r>
              <w:rPr>
                <w:rFonts w:hint="eastAsia" w:ascii="宋体" w:hAnsi="宋体" w:eastAsia="宋体" w:cs="宋体"/>
                <w:color w:val="auto"/>
                <w:spacing w:val="-36"/>
                <w:position w:val="11"/>
                <w:sz w:val="24"/>
                <w:szCs w:val="24"/>
                <w:highlight w:val="none"/>
              </w:rPr>
              <w:t xml:space="preserve"> </w:t>
            </w: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分</w:t>
            </w:r>
          </w:p>
          <w:p w14:paraId="6FE5D3CE">
            <w:pPr>
              <w:pStyle w:val="23"/>
              <w:spacing w:before="265" w:line="360" w:lineRule="exact"/>
              <w:ind w:left="128"/>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2.</w:t>
            </w: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技术分</w:t>
            </w:r>
            <w:r>
              <w:rPr>
                <w:rFonts w:hint="eastAsia" w:ascii="宋体" w:hAnsi="宋体" w:eastAsia="宋体" w:cs="宋体"/>
                <w:color w:val="auto"/>
                <w:spacing w:val="2"/>
                <w:position w:val="11"/>
                <w:sz w:val="24"/>
                <w:szCs w:val="24"/>
                <w:highlight w:val="none"/>
                <w:lang w:val="en-US" w:eastAsia="zh-CN"/>
                <w14:textOutline w14:w="3795" w14:cap="sq" w14:cmpd="sng">
                  <w14:solidFill>
                    <w14:srgbClr w14:val="000000"/>
                  </w14:solidFill>
                  <w14:prstDash w14:val="solid"/>
                  <w14:bevel/>
                </w14:textOutline>
              </w:rPr>
              <w:t xml:space="preserve"> 60 </w:t>
            </w: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分</w:t>
            </w:r>
          </w:p>
          <w:p w14:paraId="1ED32656">
            <w:pPr>
              <w:pStyle w:val="23"/>
              <w:spacing w:before="265" w:line="360" w:lineRule="exact"/>
              <w:ind w:left="128"/>
              <w:rPr>
                <w:rFonts w:hint="eastAsia" w:ascii="宋体" w:hAnsi="宋体" w:eastAsia="宋体" w:cs="宋体"/>
                <w:color w:val="auto"/>
                <w:spacing w:val="3"/>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color w:val="auto"/>
                <w:spacing w:val="2"/>
                <w:position w:val="11"/>
                <w:sz w:val="24"/>
                <w:szCs w:val="24"/>
                <w:highlight w:val="none"/>
                <w:lang w:val="en-US" w:eastAsia="zh-CN"/>
                <w14:textOutline w14:w="3795" w14:cap="sq" w14:cmpd="sng">
                  <w14:solidFill>
                    <w14:srgbClr w14:val="000000"/>
                  </w14:solidFill>
                  <w14:prstDash w14:val="solid"/>
                  <w14:bevel/>
                </w14:textOutline>
              </w:rPr>
              <w:t>3.</w:t>
            </w:r>
            <w:r>
              <w:rPr>
                <w:rFonts w:hint="eastAsia" w:ascii="宋体" w:hAnsi="宋体" w:eastAsia="宋体" w:cs="宋体"/>
                <w:color w:val="auto"/>
                <w:spacing w:val="2"/>
                <w:position w:val="11"/>
                <w:sz w:val="24"/>
                <w:szCs w:val="24"/>
                <w:highlight w:val="none"/>
                <w14:textOutline w14:w="3795" w14:cap="sq" w14:cmpd="sng">
                  <w14:solidFill>
                    <w14:srgbClr w14:val="000000"/>
                  </w14:solidFill>
                  <w14:prstDash w14:val="solid"/>
                  <w14:bevel/>
                </w14:textOutline>
              </w:rPr>
              <w:t>业绩分10分</w:t>
            </w:r>
          </w:p>
        </w:tc>
      </w:tr>
      <w:tr w14:paraId="2088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19" w:type="dxa"/>
            <w:vAlign w:val="top"/>
          </w:tcPr>
          <w:p w14:paraId="5487D2EA">
            <w:pPr>
              <w:spacing w:line="265" w:lineRule="auto"/>
              <w:rPr>
                <w:rFonts w:hint="eastAsia" w:ascii="宋体" w:hAnsi="宋体" w:eastAsia="宋体" w:cs="宋体"/>
                <w:color w:val="auto"/>
                <w:sz w:val="24"/>
                <w:szCs w:val="24"/>
                <w:highlight w:val="none"/>
              </w:rPr>
            </w:pPr>
          </w:p>
          <w:p w14:paraId="60E8A2F8">
            <w:pPr>
              <w:spacing w:line="266" w:lineRule="auto"/>
              <w:rPr>
                <w:rFonts w:hint="eastAsia" w:ascii="宋体" w:hAnsi="宋体" w:eastAsia="宋体" w:cs="宋体"/>
                <w:color w:val="auto"/>
                <w:sz w:val="24"/>
                <w:szCs w:val="24"/>
                <w:highlight w:val="none"/>
              </w:rPr>
            </w:pPr>
          </w:p>
          <w:p w14:paraId="239C2D22">
            <w:pPr>
              <w:spacing w:line="266" w:lineRule="auto"/>
              <w:rPr>
                <w:rFonts w:hint="eastAsia" w:ascii="宋体" w:hAnsi="宋体" w:eastAsia="宋体" w:cs="宋体"/>
                <w:color w:val="auto"/>
                <w:sz w:val="24"/>
                <w:szCs w:val="24"/>
                <w:highlight w:val="none"/>
              </w:rPr>
            </w:pPr>
          </w:p>
          <w:p w14:paraId="675F39DC">
            <w:pPr>
              <w:spacing w:line="266" w:lineRule="auto"/>
              <w:rPr>
                <w:rFonts w:hint="eastAsia" w:ascii="宋体" w:hAnsi="宋体" w:eastAsia="宋体" w:cs="宋体"/>
                <w:color w:val="auto"/>
                <w:sz w:val="24"/>
                <w:szCs w:val="24"/>
                <w:highlight w:val="none"/>
              </w:rPr>
            </w:pPr>
          </w:p>
          <w:p w14:paraId="3F484B55">
            <w:pPr>
              <w:spacing w:line="266" w:lineRule="auto"/>
              <w:rPr>
                <w:rFonts w:hint="eastAsia" w:ascii="宋体" w:hAnsi="宋体" w:eastAsia="宋体" w:cs="宋体"/>
                <w:color w:val="auto"/>
                <w:sz w:val="24"/>
                <w:szCs w:val="24"/>
                <w:highlight w:val="none"/>
              </w:rPr>
            </w:pPr>
          </w:p>
          <w:p w14:paraId="13536DD3">
            <w:pPr>
              <w:pStyle w:val="23"/>
              <w:spacing w:before="65" w:line="189" w:lineRule="auto"/>
              <w:ind w:left="1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1" w:type="dxa"/>
            <w:vAlign w:val="top"/>
          </w:tcPr>
          <w:p w14:paraId="1DE45A6D">
            <w:pPr>
              <w:spacing w:line="279" w:lineRule="auto"/>
              <w:rPr>
                <w:rFonts w:hint="eastAsia" w:ascii="宋体" w:hAnsi="宋体" w:eastAsia="宋体" w:cs="宋体"/>
                <w:color w:val="auto"/>
                <w:sz w:val="24"/>
                <w:szCs w:val="24"/>
                <w:highlight w:val="none"/>
              </w:rPr>
            </w:pPr>
          </w:p>
          <w:p w14:paraId="7562B005">
            <w:pPr>
              <w:spacing w:line="279" w:lineRule="auto"/>
              <w:rPr>
                <w:rFonts w:hint="eastAsia" w:ascii="宋体" w:hAnsi="宋体" w:eastAsia="宋体" w:cs="宋体"/>
                <w:color w:val="auto"/>
                <w:sz w:val="24"/>
                <w:szCs w:val="24"/>
                <w:highlight w:val="none"/>
              </w:rPr>
            </w:pPr>
          </w:p>
          <w:p w14:paraId="504B1CA0">
            <w:pPr>
              <w:spacing w:line="280" w:lineRule="auto"/>
              <w:rPr>
                <w:rFonts w:hint="eastAsia" w:ascii="宋体" w:hAnsi="宋体" w:eastAsia="宋体" w:cs="宋体"/>
                <w:color w:val="auto"/>
                <w:sz w:val="24"/>
                <w:szCs w:val="24"/>
                <w:highlight w:val="none"/>
              </w:rPr>
            </w:pPr>
          </w:p>
          <w:p w14:paraId="25566633">
            <w:pPr>
              <w:spacing w:line="280" w:lineRule="auto"/>
              <w:rPr>
                <w:rFonts w:hint="eastAsia" w:ascii="宋体" w:hAnsi="宋体" w:eastAsia="宋体" w:cs="宋体"/>
                <w:color w:val="auto"/>
                <w:sz w:val="24"/>
                <w:szCs w:val="24"/>
                <w:highlight w:val="none"/>
              </w:rPr>
            </w:pPr>
          </w:p>
          <w:p w14:paraId="2F306A4B">
            <w:pPr>
              <w:pStyle w:val="23"/>
              <w:spacing w:before="65" w:line="360" w:lineRule="exact"/>
              <w:ind w:left="269"/>
              <w:rPr>
                <w:rFonts w:hint="eastAsia" w:ascii="宋体" w:hAnsi="宋体" w:eastAsia="宋体" w:cs="宋体"/>
                <w:color w:val="auto"/>
                <w:sz w:val="24"/>
                <w:szCs w:val="24"/>
                <w:highlight w:val="none"/>
              </w:rPr>
            </w:pPr>
            <w:r>
              <w:rPr>
                <w:rFonts w:hint="eastAsia" w:ascii="宋体" w:hAnsi="宋体" w:eastAsia="宋体" w:cs="宋体"/>
                <w:color w:val="auto"/>
                <w:spacing w:val="6"/>
                <w:position w:val="11"/>
                <w:sz w:val="24"/>
                <w:szCs w:val="24"/>
                <w:highlight w:val="none"/>
              </w:rPr>
              <w:t>价格分</w:t>
            </w:r>
          </w:p>
          <w:p w14:paraId="35B8AA6F">
            <w:pPr>
              <w:pStyle w:val="23"/>
              <w:spacing w:line="228" w:lineRule="auto"/>
              <w:ind w:left="27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5"/>
                <w:sz w:val="24"/>
                <w:szCs w:val="24"/>
                <w:highlight w:val="none"/>
              </w:rPr>
              <w:t>分)</w:t>
            </w:r>
          </w:p>
        </w:tc>
        <w:tc>
          <w:tcPr>
            <w:tcW w:w="7114" w:type="dxa"/>
            <w:gridSpan w:val="3"/>
            <w:vAlign w:val="top"/>
          </w:tcPr>
          <w:p w14:paraId="54DE5F5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0"/>
                <w:sz w:val="24"/>
                <w:szCs w:val="24"/>
                <w:highlight w:val="none"/>
              </w:rPr>
              <w:t>以进入比较与评价环节的最低的评审价为基准价，基准价得分为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分。</w:t>
            </w:r>
          </w:p>
          <w:p w14:paraId="02DBFDB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（2）价格分计算公式：</w:t>
            </w:r>
          </w:p>
          <w:p w14:paraId="16C4CA4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报价得分=（基准价/最后报价）</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×30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5"/>
                <w:sz w:val="24"/>
                <w:szCs w:val="24"/>
                <w:highlight w:val="none"/>
              </w:rPr>
              <w:t>分</w:t>
            </w:r>
          </w:p>
          <w:p w14:paraId="009FB61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（3）最后报价结束后，磋商小组不得再与供应商进行任何</w:t>
            </w:r>
            <w:r>
              <w:rPr>
                <w:rFonts w:hint="eastAsia" w:ascii="宋体" w:hAnsi="宋体" w:eastAsia="宋体" w:cs="宋体"/>
                <w:color w:val="auto"/>
                <w:spacing w:val="7"/>
                <w:sz w:val="24"/>
                <w:szCs w:val="24"/>
                <w:highlight w:val="none"/>
              </w:rPr>
              <w:t>形式的商谈。</w:t>
            </w:r>
          </w:p>
          <w:p w14:paraId="65C5857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（4）依据财政部国库司发布的《政府采购促进中小企业发展政策问答》，</w:t>
            </w:r>
            <w:r>
              <w:rPr>
                <w:rFonts w:hint="eastAsia" w:ascii="宋体" w:hAnsi="宋体" w:eastAsia="宋体" w:cs="宋体"/>
                <w:color w:val="auto"/>
                <w:spacing w:val="15"/>
                <w:sz w:val="24"/>
                <w:szCs w:val="24"/>
                <w:highlight w:val="none"/>
              </w:rPr>
              <w:t>专门面向中小企业采购的项目或者采购包，不再执行价格审优惠的扶持政</w:t>
            </w:r>
            <w:r>
              <w:rPr>
                <w:rFonts w:hint="eastAsia" w:ascii="宋体" w:hAnsi="宋体" w:eastAsia="宋体" w:cs="宋体"/>
                <w:color w:val="auto"/>
                <w:spacing w:val="9"/>
                <w:sz w:val="24"/>
                <w:szCs w:val="24"/>
                <w:highlight w:val="none"/>
              </w:rPr>
              <w:t>策，本项目专门面向中小企业采购的项目，</w:t>
            </w:r>
            <w:r>
              <w:rPr>
                <w:rFonts w:hint="eastAsia" w:cs="宋体"/>
                <w:color w:val="auto"/>
                <w:spacing w:val="9"/>
                <w:sz w:val="24"/>
                <w:szCs w:val="24"/>
                <w:highlight w:val="none"/>
                <w:lang w:val="en-US" w:eastAsia="zh-CN"/>
              </w:rPr>
              <w:t xml:space="preserve"> </w:t>
            </w:r>
            <w:r>
              <w:rPr>
                <w:rFonts w:hint="eastAsia" w:ascii="宋体" w:hAnsi="宋体" w:eastAsia="宋体" w:cs="宋体"/>
                <w:color w:val="auto"/>
                <w:spacing w:val="9"/>
                <w:sz w:val="24"/>
                <w:szCs w:val="24"/>
                <w:highlight w:val="none"/>
              </w:rPr>
              <w:t>评审价=最后报价。</w:t>
            </w:r>
          </w:p>
        </w:tc>
      </w:tr>
      <w:tr w14:paraId="475D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9" w:type="dxa"/>
            <w:vAlign w:val="top"/>
          </w:tcPr>
          <w:p w14:paraId="07BB8C5F">
            <w:pPr>
              <w:pStyle w:val="23"/>
              <w:spacing w:before="275" w:line="189" w:lineRule="auto"/>
              <w:ind w:left="3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1" w:type="dxa"/>
            <w:vAlign w:val="top"/>
          </w:tcPr>
          <w:p w14:paraId="67EA3066">
            <w:pPr>
              <w:pStyle w:val="23"/>
              <w:spacing w:before="242" w:line="228" w:lineRule="auto"/>
              <w:ind w:left="26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技术分</w:t>
            </w:r>
          </w:p>
        </w:tc>
        <w:tc>
          <w:tcPr>
            <w:tcW w:w="7114" w:type="dxa"/>
            <w:gridSpan w:val="3"/>
            <w:vAlign w:val="top"/>
          </w:tcPr>
          <w:p w14:paraId="391C51F3">
            <w:pPr>
              <w:pStyle w:val="23"/>
              <w:spacing w:before="242" w:line="228" w:lineRule="auto"/>
              <w:ind w:left="313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评审因素</w:t>
            </w:r>
          </w:p>
        </w:tc>
      </w:tr>
      <w:tr w14:paraId="19BF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9" w:type="dxa"/>
            <w:vAlign w:val="top"/>
          </w:tcPr>
          <w:p w14:paraId="75E1BA79">
            <w:pPr>
              <w:pStyle w:val="23"/>
              <w:spacing w:before="290" w:line="229" w:lineRule="auto"/>
              <w:ind w:left="20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3795" w14:cap="sq" w14:cmpd="sng">
                  <w14:solidFill>
                    <w14:srgbClr w14:val="000000"/>
                  </w14:solidFill>
                  <w14:prstDash w14:val="solid"/>
                  <w14:bevel/>
                </w14:textOutline>
              </w:rPr>
              <w:t>序号</w:t>
            </w:r>
          </w:p>
        </w:tc>
        <w:tc>
          <w:tcPr>
            <w:tcW w:w="1161" w:type="dxa"/>
            <w:vAlign w:val="top"/>
          </w:tcPr>
          <w:p w14:paraId="306C69CE">
            <w:pPr>
              <w:pStyle w:val="23"/>
              <w:spacing w:before="110" w:line="228" w:lineRule="auto"/>
              <w:ind w:left="16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评审因素</w:t>
            </w:r>
          </w:p>
          <w:p w14:paraId="0FA482CB">
            <w:pPr>
              <w:pStyle w:val="23"/>
              <w:spacing w:before="113" w:line="226" w:lineRule="auto"/>
              <w:ind w:left="26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及分值</w:t>
            </w:r>
          </w:p>
        </w:tc>
        <w:tc>
          <w:tcPr>
            <w:tcW w:w="1689" w:type="dxa"/>
            <w:vAlign w:val="top"/>
          </w:tcPr>
          <w:p w14:paraId="13569FC0">
            <w:pPr>
              <w:pStyle w:val="23"/>
              <w:spacing w:before="290" w:line="228" w:lineRule="auto"/>
              <w:ind w:left="45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3795" w14:cap="sq" w14:cmpd="sng">
                  <w14:solidFill>
                    <w14:srgbClr w14:val="000000"/>
                  </w14:solidFill>
                  <w14:prstDash w14:val="solid"/>
                  <w14:bevel/>
                </w14:textOutline>
              </w:rPr>
              <w:t>评分因素及分值</w:t>
            </w:r>
          </w:p>
        </w:tc>
        <w:tc>
          <w:tcPr>
            <w:tcW w:w="5425" w:type="dxa"/>
            <w:gridSpan w:val="2"/>
            <w:vAlign w:val="top"/>
          </w:tcPr>
          <w:p w14:paraId="74690097">
            <w:pPr>
              <w:pStyle w:val="23"/>
              <w:spacing w:before="290" w:line="228" w:lineRule="auto"/>
              <w:ind w:left="194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3795" w14:cap="sq" w14:cmpd="sng">
                  <w14:solidFill>
                    <w14:srgbClr w14:val="000000"/>
                  </w14:solidFill>
                  <w14:prstDash w14:val="solid"/>
                  <w14:bevel/>
                </w14:textOutline>
              </w:rPr>
              <w:t>评审标准</w:t>
            </w:r>
          </w:p>
        </w:tc>
      </w:tr>
      <w:tr w14:paraId="3063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819" w:type="dxa"/>
            <w:vAlign w:val="top"/>
          </w:tcPr>
          <w:p w14:paraId="316253CB">
            <w:pPr>
              <w:spacing w:line="246" w:lineRule="auto"/>
              <w:rPr>
                <w:rFonts w:hint="eastAsia" w:ascii="宋体" w:hAnsi="宋体" w:eastAsia="宋体" w:cs="宋体"/>
                <w:color w:val="auto"/>
                <w:sz w:val="24"/>
                <w:szCs w:val="24"/>
                <w:highlight w:val="none"/>
              </w:rPr>
            </w:pPr>
          </w:p>
          <w:p w14:paraId="30A39B5C">
            <w:pPr>
              <w:spacing w:line="246" w:lineRule="auto"/>
              <w:rPr>
                <w:rFonts w:hint="eastAsia" w:ascii="宋体" w:hAnsi="宋体" w:eastAsia="宋体" w:cs="宋体"/>
                <w:color w:val="auto"/>
                <w:sz w:val="24"/>
                <w:szCs w:val="24"/>
                <w:highlight w:val="none"/>
              </w:rPr>
            </w:pPr>
          </w:p>
          <w:p w14:paraId="12E8F628">
            <w:pPr>
              <w:spacing w:line="246" w:lineRule="auto"/>
              <w:rPr>
                <w:rFonts w:hint="eastAsia" w:ascii="宋体" w:hAnsi="宋体" w:eastAsia="宋体" w:cs="宋体"/>
                <w:color w:val="auto"/>
                <w:sz w:val="24"/>
                <w:szCs w:val="24"/>
                <w:highlight w:val="none"/>
              </w:rPr>
            </w:pPr>
          </w:p>
          <w:p w14:paraId="3E3C8ADA">
            <w:pPr>
              <w:spacing w:line="246" w:lineRule="auto"/>
              <w:rPr>
                <w:rFonts w:hint="eastAsia" w:ascii="宋体" w:hAnsi="宋体" w:eastAsia="宋体" w:cs="宋体"/>
                <w:color w:val="auto"/>
                <w:sz w:val="24"/>
                <w:szCs w:val="24"/>
                <w:highlight w:val="none"/>
              </w:rPr>
            </w:pPr>
          </w:p>
          <w:p w14:paraId="177F1B0B">
            <w:pPr>
              <w:spacing w:line="247" w:lineRule="auto"/>
              <w:rPr>
                <w:rFonts w:hint="eastAsia" w:ascii="宋体" w:hAnsi="宋体" w:eastAsia="宋体" w:cs="宋体"/>
                <w:color w:val="auto"/>
                <w:sz w:val="24"/>
                <w:szCs w:val="24"/>
                <w:highlight w:val="none"/>
              </w:rPr>
            </w:pPr>
          </w:p>
          <w:p w14:paraId="1645FE88">
            <w:pPr>
              <w:spacing w:line="247" w:lineRule="auto"/>
              <w:rPr>
                <w:rFonts w:hint="eastAsia" w:ascii="宋体" w:hAnsi="宋体" w:eastAsia="宋体" w:cs="宋体"/>
                <w:color w:val="auto"/>
                <w:sz w:val="24"/>
                <w:szCs w:val="24"/>
                <w:highlight w:val="none"/>
              </w:rPr>
            </w:pPr>
          </w:p>
          <w:p w14:paraId="2C67F0C1">
            <w:pPr>
              <w:pStyle w:val="23"/>
              <w:spacing w:before="65"/>
              <w:ind w:left="16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p>
        </w:tc>
        <w:tc>
          <w:tcPr>
            <w:tcW w:w="1161" w:type="dxa"/>
            <w:vMerge w:val="restart"/>
            <w:tcBorders>
              <w:bottom w:val="nil"/>
            </w:tcBorders>
            <w:vAlign w:val="top"/>
          </w:tcPr>
          <w:p w14:paraId="53DA6E51">
            <w:pPr>
              <w:spacing w:line="251" w:lineRule="auto"/>
              <w:rPr>
                <w:rFonts w:hint="eastAsia" w:ascii="宋体" w:hAnsi="宋体" w:eastAsia="宋体" w:cs="宋体"/>
                <w:color w:val="auto"/>
                <w:sz w:val="24"/>
                <w:szCs w:val="24"/>
                <w:highlight w:val="none"/>
              </w:rPr>
            </w:pPr>
          </w:p>
          <w:p w14:paraId="7C630C0C">
            <w:pPr>
              <w:spacing w:line="251" w:lineRule="auto"/>
              <w:rPr>
                <w:rFonts w:hint="eastAsia" w:ascii="宋体" w:hAnsi="宋体" w:eastAsia="宋体" w:cs="宋体"/>
                <w:color w:val="auto"/>
                <w:sz w:val="24"/>
                <w:szCs w:val="24"/>
                <w:highlight w:val="none"/>
              </w:rPr>
            </w:pPr>
          </w:p>
          <w:p w14:paraId="5219A386">
            <w:pPr>
              <w:spacing w:line="252" w:lineRule="auto"/>
              <w:rPr>
                <w:rFonts w:hint="eastAsia" w:ascii="宋体" w:hAnsi="宋体" w:eastAsia="宋体" w:cs="宋体"/>
                <w:color w:val="auto"/>
                <w:sz w:val="24"/>
                <w:szCs w:val="24"/>
                <w:highlight w:val="none"/>
              </w:rPr>
            </w:pPr>
          </w:p>
          <w:p w14:paraId="2E055482">
            <w:pPr>
              <w:spacing w:line="252" w:lineRule="auto"/>
              <w:rPr>
                <w:rFonts w:hint="eastAsia" w:ascii="宋体" w:hAnsi="宋体" w:eastAsia="宋体" w:cs="宋体"/>
                <w:color w:val="auto"/>
                <w:sz w:val="24"/>
                <w:szCs w:val="24"/>
                <w:highlight w:val="none"/>
              </w:rPr>
            </w:pPr>
          </w:p>
          <w:p w14:paraId="231A9460">
            <w:pPr>
              <w:spacing w:line="252" w:lineRule="auto"/>
              <w:rPr>
                <w:rFonts w:hint="eastAsia" w:ascii="宋体" w:hAnsi="宋体" w:eastAsia="宋体" w:cs="宋体"/>
                <w:color w:val="auto"/>
                <w:sz w:val="24"/>
                <w:szCs w:val="24"/>
                <w:highlight w:val="none"/>
              </w:rPr>
            </w:pPr>
          </w:p>
          <w:p w14:paraId="77B84CA1">
            <w:pPr>
              <w:pStyle w:val="23"/>
              <w:spacing w:before="65" w:line="280" w:lineRule="auto"/>
              <w:ind w:left="376" w:right="106" w:hanging="26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技术分（</w:t>
            </w:r>
            <w:r>
              <w:rPr>
                <w:rFonts w:hint="eastAsia" w:cs="宋体"/>
                <w:color w:val="auto"/>
                <w:spacing w:val="-11"/>
                <w:sz w:val="24"/>
                <w:szCs w:val="24"/>
                <w:highlight w:val="none"/>
                <w:lang w:val="en-US" w:eastAsia="zh-CN"/>
              </w:rPr>
              <w:t>60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分）</w:t>
            </w:r>
          </w:p>
        </w:tc>
        <w:tc>
          <w:tcPr>
            <w:tcW w:w="1689" w:type="dxa"/>
            <w:vAlign w:val="top"/>
          </w:tcPr>
          <w:p w14:paraId="5BB0514C">
            <w:pPr>
              <w:spacing w:line="246" w:lineRule="auto"/>
              <w:rPr>
                <w:rFonts w:hint="eastAsia" w:ascii="宋体" w:hAnsi="宋体" w:eastAsia="宋体" w:cs="宋体"/>
                <w:color w:val="auto"/>
                <w:sz w:val="24"/>
                <w:szCs w:val="24"/>
                <w:highlight w:val="none"/>
              </w:rPr>
            </w:pPr>
          </w:p>
          <w:p w14:paraId="7BA15D04">
            <w:pPr>
              <w:spacing w:line="246" w:lineRule="auto"/>
              <w:rPr>
                <w:rFonts w:hint="eastAsia" w:ascii="宋体" w:hAnsi="宋体" w:eastAsia="宋体" w:cs="宋体"/>
                <w:color w:val="auto"/>
                <w:sz w:val="24"/>
                <w:szCs w:val="24"/>
                <w:highlight w:val="none"/>
              </w:rPr>
            </w:pPr>
          </w:p>
          <w:p w14:paraId="059B6A79">
            <w:pPr>
              <w:spacing w:line="246" w:lineRule="auto"/>
              <w:rPr>
                <w:rFonts w:hint="eastAsia" w:ascii="宋体" w:hAnsi="宋体" w:eastAsia="宋体" w:cs="宋体"/>
                <w:color w:val="auto"/>
                <w:sz w:val="24"/>
                <w:szCs w:val="24"/>
                <w:highlight w:val="none"/>
              </w:rPr>
            </w:pPr>
          </w:p>
          <w:p w14:paraId="2D92C9D8">
            <w:pPr>
              <w:spacing w:line="246" w:lineRule="auto"/>
              <w:rPr>
                <w:rFonts w:hint="eastAsia" w:ascii="宋体" w:hAnsi="宋体" w:eastAsia="宋体" w:cs="宋体"/>
                <w:color w:val="auto"/>
                <w:sz w:val="24"/>
                <w:szCs w:val="24"/>
                <w:highlight w:val="none"/>
              </w:rPr>
            </w:pPr>
          </w:p>
          <w:p w14:paraId="21283A9B">
            <w:pPr>
              <w:spacing w:line="247" w:lineRule="auto"/>
              <w:rPr>
                <w:rFonts w:hint="eastAsia" w:ascii="宋体" w:hAnsi="宋体" w:eastAsia="宋体" w:cs="宋体"/>
                <w:color w:val="auto"/>
                <w:sz w:val="24"/>
                <w:szCs w:val="24"/>
                <w:highlight w:val="none"/>
              </w:rPr>
            </w:pPr>
          </w:p>
          <w:p w14:paraId="3F163035">
            <w:pPr>
              <w:spacing w:line="247" w:lineRule="auto"/>
              <w:rPr>
                <w:rFonts w:hint="eastAsia" w:ascii="宋体" w:hAnsi="宋体" w:eastAsia="宋体" w:cs="宋体"/>
                <w:color w:val="auto"/>
                <w:sz w:val="24"/>
                <w:szCs w:val="24"/>
                <w:highlight w:val="none"/>
              </w:rPr>
            </w:pPr>
          </w:p>
          <w:p w14:paraId="75648EB1">
            <w:pPr>
              <w:pStyle w:val="23"/>
              <w:spacing w:before="65" w:line="22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主要施工方法</w:t>
            </w:r>
            <w:r>
              <w:rPr>
                <w:rFonts w:hint="eastAsia" w:ascii="宋体" w:hAnsi="宋体" w:eastAsia="宋体" w:cs="宋体"/>
                <w:color w:val="auto"/>
                <w:spacing w:val="6"/>
                <w:sz w:val="24"/>
                <w:szCs w:val="24"/>
                <w:highlight w:val="none"/>
              </w:rPr>
              <w:t>（</w:t>
            </w:r>
            <w:r>
              <w:rPr>
                <w:rFonts w:hint="eastAsia"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分）</w:t>
            </w:r>
          </w:p>
        </w:tc>
        <w:tc>
          <w:tcPr>
            <w:tcW w:w="5425" w:type="dxa"/>
            <w:gridSpan w:val="2"/>
            <w:vAlign w:val="top"/>
          </w:tcPr>
          <w:p w14:paraId="7610649C">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一档</w:t>
            </w:r>
            <w:r>
              <w:rPr>
                <w:rFonts w:hint="eastAsia" w:ascii="宋体" w:hAnsi="宋体" w:eastAsia="宋体" w:cs="宋体"/>
                <w:color w:val="auto"/>
                <w:spacing w:val="3"/>
                <w:sz w:val="24"/>
                <w:szCs w:val="24"/>
                <w:highlight w:val="none"/>
              </w:rPr>
              <w:t>（</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3"/>
                <w:sz w:val="24"/>
                <w:szCs w:val="24"/>
                <w:highlight w:val="none"/>
              </w:rPr>
              <w:t>各主要分部施工方法符合项目实际，</w:t>
            </w:r>
            <w:r>
              <w:rPr>
                <w:rFonts w:hint="eastAsia" w:ascii="宋体" w:hAnsi="宋体" w:eastAsia="宋体" w:cs="宋体"/>
                <w:color w:val="auto"/>
                <w:spacing w:val="4"/>
                <w:sz w:val="24"/>
                <w:szCs w:val="24"/>
                <w:highlight w:val="none"/>
              </w:rPr>
              <w:t>须有详尽的施工技术方案，工艺先进、方法科学合</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8"/>
                <w:sz w:val="24"/>
                <w:szCs w:val="24"/>
                <w:highlight w:val="none"/>
              </w:rPr>
              <w:t>理、可行，能指导具体施工并确保安全。</w:t>
            </w:r>
          </w:p>
          <w:p w14:paraId="7AFAB7A5">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二档</w:t>
            </w:r>
            <w:r>
              <w:rPr>
                <w:rFonts w:hint="eastAsia" w:ascii="宋体" w:hAnsi="宋体" w:eastAsia="宋体" w:cs="宋体"/>
                <w:color w:val="auto"/>
                <w:spacing w:val="3"/>
                <w:sz w:val="24"/>
                <w:szCs w:val="24"/>
                <w:highlight w:val="none"/>
              </w:rPr>
              <w:t>（</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3"/>
                <w:sz w:val="24"/>
                <w:szCs w:val="24"/>
                <w:highlight w:val="none"/>
              </w:rPr>
              <w:t>各主要分部施工方法符合项目实际，</w:t>
            </w:r>
            <w:r>
              <w:rPr>
                <w:rFonts w:hint="eastAsia" w:ascii="宋体" w:hAnsi="宋体" w:eastAsia="宋体" w:cs="宋体"/>
                <w:color w:val="auto"/>
                <w:spacing w:val="7"/>
                <w:sz w:val="24"/>
                <w:szCs w:val="24"/>
                <w:highlight w:val="none"/>
              </w:rPr>
              <w:t>须有详尽的施工技术方案，工艺一般、方法可行，</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8"/>
                <w:sz w:val="24"/>
                <w:szCs w:val="24"/>
                <w:highlight w:val="none"/>
              </w:rPr>
              <w:t>能指导具体施工并确保安全。</w:t>
            </w:r>
          </w:p>
          <w:p w14:paraId="72B8A51D">
            <w:pPr>
              <w:pStyle w:val="23"/>
              <w:keepNext w:val="0"/>
              <w:keepLines w:val="0"/>
              <w:pageBreakBefore w:val="0"/>
              <w:widowControl w:val="0"/>
              <w:kinsoku/>
              <w:wordWrap w:val="0"/>
              <w:overflowPunct/>
              <w:topLinePunct/>
              <w:autoSpaceDE/>
              <w:autoSpaceDN/>
              <w:bidi w:val="0"/>
              <w:adjustRightInd w:val="0"/>
              <w:snapToGrid w:val="0"/>
              <w:spacing w:line="296"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三档</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3"/>
                <w:sz w:val="24"/>
                <w:szCs w:val="24"/>
                <w:highlight w:val="none"/>
              </w:rPr>
              <w:t>各主要分部施工方法符合项目实际，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施工技术方案不详细，工艺一般、方法可行，能指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8"/>
                <w:sz w:val="24"/>
                <w:szCs w:val="24"/>
                <w:highlight w:val="none"/>
              </w:rPr>
              <w:t>导具体施工并确保安全。</w:t>
            </w:r>
          </w:p>
        </w:tc>
      </w:tr>
      <w:tr w14:paraId="7893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trPr>
        <w:tc>
          <w:tcPr>
            <w:tcW w:w="819" w:type="dxa"/>
            <w:vAlign w:val="top"/>
          </w:tcPr>
          <w:p w14:paraId="51CDDD6E">
            <w:pPr>
              <w:spacing w:line="246" w:lineRule="auto"/>
              <w:rPr>
                <w:rFonts w:hint="eastAsia" w:ascii="宋体" w:hAnsi="宋体" w:eastAsia="宋体" w:cs="宋体"/>
                <w:color w:val="auto"/>
                <w:sz w:val="24"/>
                <w:szCs w:val="24"/>
                <w:highlight w:val="none"/>
              </w:rPr>
            </w:pPr>
          </w:p>
          <w:p w14:paraId="11D4A119">
            <w:pPr>
              <w:spacing w:line="246" w:lineRule="auto"/>
              <w:rPr>
                <w:rFonts w:hint="eastAsia" w:ascii="宋体" w:hAnsi="宋体" w:eastAsia="宋体" w:cs="宋体"/>
                <w:color w:val="auto"/>
                <w:sz w:val="24"/>
                <w:szCs w:val="24"/>
                <w:highlight w:val="none"/>
              </w:rPr>
            </w:pPr>
          </w:p>
          <w:p w14:paraId="340BDB53">
            <w:pPr>
              <w:spacing w:line="246" w:lineRule="auto"/>
              <w:rPr>
                <w:rFonts w:hint="eastAsia" w:ascii="宋体" w:hAnsi="宋体" w:eastAsia="宋体" w:cs="宋体"/>
                <w:color w:val="auto"/>
                <w:sz w:val="24"/>
                <w:szCs w:val="24"/>
                <w:highlight w:val="none"/>
              </w:rPr>
            </w:pPr>
          </w:p>
          <w:p w14:paraId="3AA54C06">
            <w:pPr>
              <w:spacing w:line="246" w:lineRule="auto"/>
              <w:rPr>
                <w:rFonts w:hint="eastAsia" w:ascii="宋体" w:hAnsi="宋体" w:eastAsia="宋体" w:cs="宋体"/>
                <w:color w:val="auto"/>
                <w:sz w:val="24"/>
                <w:szCs w:val="24"/>
                <w:highlight w:val="none"/>
              </w:rPr>
            </w:pPr>
          </w:p>
          <w:p w14:paraId="6FBA7920">
            <w:pPr>
              <w:spacing w:line="246" w:lineRule="auto"/>
              <w:rPr>
                <w:rFonts w:hint="eastAsia" w:ascii="宋体" w:hAnsi="宋体" w:eastAsia="宋体" w:cs="宋体"/>
                <w:color w:val="auto"/>
                <w:sz w:val="24"/>
                <w:szCs w:val="24"/>
                <w:highlight w:val="none"/>
              </w:rPr>
            </w:pPr>
          </w:p>
          <w:p w14:paraId="3417C5BA">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161" w:type="dxa"/>
            <w:vMerge w:val="continue"/>
            <w:tcBorders>
              <w:top w:val="nil"/>
              <w:bottom w:val="nil"/>
            </w:tcBorders>
            <w:vAlign w:val="top"/>
          </w:tcPr>
          <w:p w14:paraId="7CBD678A">
            <w:pPr>
              <w:rPr>
                <w:rFonts w:hint="eastAsia" w:ascii="宋体" w:hAnsi="宋体" w:eastAsia="宋体" w:cs="宋体"/>
                <w:color w:val="auto"/>
                <w:sz w:val="24"/>
                <w:szCs w:val="24"/>
                <w:highlight w:val="none"/>
              </w:rPr>
            </w:pPr>
          </w:p>
        </w:tc>
        <w:tc>
          <w:tcPr>
            <w:tcW w:w="1689" w:type="dxa"/>
            <w:vAlign w:val="top"/>
          </w:tcPr>
          <w:p w14:paraId="101B933A">
            <w:pPr>
              <w:spacing w:line="271" w:lineRule="auto"/>
              <w:rPr>
                <w:rFonts w:hint="eastAsia" w:ascii="宋体" w:hAnsi="宋体" w:eastAsia="宋体" w:cs="宋体"/>
                <w:color w:val="auto"/>
                <w:sz w:val="24"/>
                <w:szCs w:val="24"/>
                <w:highlight w:val="none"/>
              </w:rPr>
            </w:pPr>
          </w:p>
          <w:p w14:paraId="737800DB">
            <w:pPr>
              <w:spacing w:line="271" w:lineRule="auto"/>
              <w:rPr>
                <w:rFonts w:hint="eastAsia" w:ascii="宋体" w:hAnsi="宋体" w:eastAsia="宋体" w:cs="宋体"/>
                <w:color w:val="auto"/>
                <w:sz w:val="24"/>
                <w:szCs w:val="24"/>
                <w:highlight w:val="none"/>
              </w:rPr>
            </w:pPr>
          </w:p>
          <w:p w14:paraId="3845D230">
            <w:pPr>
              <w:spacing w:line="272" w:lineRule="auto"/>
              <w:rPr>
                <w:rFonts w:hint="eastAsia" w:ascii="宋体" w:hAnsi="宋体" w:eastAsia="宋体" w:cs="宋体"/>
                <w:color w:val="auto"/>
                <w:sz w:val="24"/>
                <w:szCs w:val="24"/>
                <w:highlight w:val="none"/>
              </w:rPr>
            </w:pPr>
          </w:p>
          <w:p w14:paraId="2A12437F">
            <w:pPr>
              <w:spacing w:line="272" w:lineRule="auto"/>
              <w:rPr>
                <w:rFonts w:hint="eastAsia" w:ascii="宋体" w:hAnsi="宋体" w:eastAsia="宋体" w:cs="宋体"/>
                <w:color w:val="auto"/>
                <w:sz w:val="24"/>
                <w:szCs w:val="24"/>
                <w:highlight w:val="none"/>
              </w:rPr>
            </w:pPr>
          </w:p>
          <w:p w14:paraId="6D95FBA2">
            <w:pPr>
              <w:pStyle w:val="23"/>
              <w:spacing w:before="65" w:line="280" w:lineRule="auto"/>
              <w:ind w:left="123" w:right="173" w:hanging="1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拟投入的主要物资计划 </w:t>
            </w: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分</w:t>
            </w:r>
            <w:r>
              <w:rPr>
                <w:rFonts w:hint="eastAsia" w:ascii="宋体" w:hAnsi="宋体" w:eastAsia="宋体" w:cs="宋体"/>
                <w:color w:val="auto"/>
                <w:spacing w:val="-2"/>
                <w:sz w:val="24"/>
                <w:szCs w:val="24"/>
                <w:highlight w:val="none"/>
              </w:rPr>
              <w:t>）</w:t>
            </w:r>
          </w:p>
        </w:tc>
        <w:tc>
          <w:tcPr>
            <w:tcW w:w="5425" w:type="dxa"/>
            <w:gridSpan w:val="2"/>
            <w:vAlign w:val="top"/>
          </w:tcPr>
          <w:p w14:paraId="68EE2EE7">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）：投入的施工材料有详细的组织计划 且计划周密，投入计划与进度计划相呼应，满足施 工需要，调配投入计划合理、准确。</w:t>
            </w:r>
          </w:p>
          <w:p w14:paraId="3882752B">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）：投入的施工材料有详细的组织计划， 投入计划与进度计划呼应，较好满足施工需要，调 配投入计划合理、准确。</w:t>
            </w:r>
          </w:p>
          <w:p w14:paraId="65D0937A">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三档（2 分）： 投入的施工材料有组织计划，投 入计划与进度计划有呼应，基本满足施工需要，调 配投入计划基本合理。</w:t>
            </w:r>
          </w:p>
        </w:tc>
      </w:tr>
    </w:tbl>
    <w:p w14:paraId="57EFD41F">
      <w:pPr>
        <w:spacing w:line="91" w:lineRule="auto"/>
        <w:rPr>
          <w:rFonts w:hint="eastAsia" w:ascii="宋体" w:hAnsi="宋体" w:eastAsia="宋体" w:cs="宋体"/>
          <w:color w:val="auto"/>
          <w:sz w:val="24"/>
          <w:szCs w:val="24"/>
          <w:highlight w:val="none"/>
        </w:rPr>
      </w:pPr>
    </w:p>
    <w:tbl>
      <w:tblPr>
        <w:tblStyle w:val="22"/>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692"/>
        <w:gridCol w:w="4733"/>
      </w:tblGrid>
      <w:tr w14:paraId="40E1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6" w:hRule="atLeast"/>
        </w:trPr>
        <w:tc>
          <w:tcPr>
            <w:tcW w:w="819" w:type="dxa"/>
            <w:vAlign w:val="top"/>
          </w:tcPr>
          <w:p w14:paraId="474FB4C4">
            <w:pP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p>
        </w:tc>
        <w:tc>
          <w:tcPr>
            <w:tcW w:w="1161" w:type="dxa"/>
            <w:vMerge w:val="restart"/>
            <w:tcBorders>
              <w:bottom w:val="nil"/>
            </w:tcBorders>
            <w:vAlign w:val="top"/>
          </w:tcPr>
          <w:p w14:paraId="7D910105">
            <w:pPr>
              <w:rPr>
                <w:rFonts w:hint="eastAsia" w:ascii="宋体" w:hAnsi="宋体" w:eastAsia="宋体" w:cs="宋体"/>
                <w:color w:val="auto"/>
                <w:sz w:val="24"/>
                <w:szCs w:val="24"/>
                <w:highlight w:val="none"/>
              </w:rPr>
            </w:pPr>
          </w:p>
        </w:tc>
        <w:tc>
          <w:tcPr>
            <w:tcW w:w="1689" w:type="dxa"/>
            <w:vAlign w:val="top"/>
          </w:tcPr>
          <w:p w14:paraId="03A8CE18">
            <w:pPr>
              <w:pStyle w:val="23"/>
              <w:spacing w:before="113"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拟投入的主要施工机</w:t>
            </w:r>
            <w:r>
              <w:rPr>
                <w:rFonts w:hint="eastAsia" w:ascii="宋体" w:hAnsi="宋体" w:eastAsia="宋体" w:cs="宋体"/>
                <w:color w:val="auto"/>
                <w:spacing w:val="6"/>
                <w:sz w:val="24"/>
                <w:szCs w:val="24"/>
                <w:highlight w:val="none"/>
              </w:rPr>
              <w:t>械、设备计划（</w:t>
            </w:r>
            <w:r>
              <w:rPr>
                <w:rFonts w:hint="eastAsia" w:cs="宋体"/>
                <w:color w:val="auto"/>
                <w:spacing w:val="6"/>
                <w:sz w:val="24"/>
                <w:szCs w:val="24"/>
                <w:highlight w:val="none"/>
                <w:lang w:val="en-US" w:eastAsia="zh-CN"/>
              </w:rPr>
              <w:t>6</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6"/>
                <w:sz w:val="24"/>
                <w:szCs w:val="24"/>
                <w:highlight w:val="none"/>
              </w:rPr>
              <w:t>分</w:t>
            </w:r>
            <w:r>
              <w:rPr>
                <w:rFonts w:hint="eastAsia" w:ascii="宋体" w:hAnsi="宋体" w:eastAsia="宋体" w:cs="宋体"/>
                <w:color w:val="auto"/>
                <w:spacing w:val="6"/>
                <w:sz w:val="24"/>
                <w:szCs w:val="24"/>
                <w:highlight w:val="none"/>
              </w:rPr>
              <w:t>）</w:t>
            </w:r>
          </w:p>
        </w:tc>
        <w:tc>
          <w:tcPr>
            <w:tcW w:w="5425" w:type="dxa"/>
            <w:gridSpan w:val="2"/>
            <w:vAlign w:val="top"/>
          </w:tcPr>
          <w:p w14:paraId="71F6D629">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ascii="宋体" w:hAnsi="宋体" w:eastAsia="宋体" w:cs="宋体"/>
                <w:color w:val="auto"/>
                <w:spacing w:val="3"/>
                <w:sz w:val="24"/>
                <w:szCs w:val="24"/>
                <w:highlight w:val="none"/>
              </w:rPr>
              <w:t>（</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 xml:space="preserve"> 分）</w:t>
            </w:r>
            <w:r>
              <w:rPr>
                <w:rFonts w:hint="eastAsia" w:ascii="宋体" w:hAnsi="宋体" w:eastAsia="宋体" w:cs="宋体"/>
                <w:color w:val="auto"/>
                <w:spacing w:val="3"/>
                <w:sz w:val="24"/>
                <w:szCs w:val="24"/>
                <w:highlight w:val="none"/>
              </w:rPr>
              <w:t>：投入的施工机械、设备、机具有详 细的组织计划且计划周密，设备数量、选型配置、进场时间安排合理，满足施工需要。</w:t>
            </w:r>
          </w:p>
          <w:p w14:paraId="48A89C35">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二档（4 分）：投入的施工机械、设备、机具有较 详细的组织计划，设备数量、选型配置、进场投入 计划与进度计划呼应，满足施工需要。</w:t>
            </w:r>
          </w:p>
          <w:p w14:paraId="2CCDF914">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三档（2 分）：投入的施工机械、设备、机具有组 织计划，设备数量、选型配置、进场投入计划与进 度计划呼应，基本满足施工需要。</w:t>
            </w:r>
          </w:p>
        </w:tc>
      </w:tr>
      <w:tr w14:paraId="6642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6" w:hRule="atLeast"/>
        </w:trPr>
        <w:tc>
          <w:tcPr>
            <w:tcW w:w="819" w:type="dxa"/>
            <w:vAlign w:val="top"/>
          </w:tcPr>
          <w:p w14:paraId="6B7F1993">
            <w:pPr>
              <w:spacing w:line="259" w:lineRule="auto"/>
              <w:rPr>
                <w:rFonts w:hint="eastAsia" w:ascii="宋体" w:hAnsi="宋体" w:eastAsia="宋体" w:cs="宋体"/>
                <w:color w:val="auto"/>
                <w:sz w:val="24"/>
                <w:szCs w:val="24"/>
                <w:highlight w:val="none"/>
              </w:rPr>
            </w:pPr>
          </w:p>
          <w:p w14:paraId="7F06C3F3">
            <w:pPr>
              <w:spacing w:line="259" w:lineRule="auto"/>
              <w:rPr>
                <w:rFonts w:hint="eastAsia" w:ascii="宋体" w:hAnsi="宋体" w:eastAsia="宋体" w:cs="宋体"/>
                <w:color w:val="auto"/>
                <w:sz w:val="24"/>
                <w:szCs w:val="24"/>
                <w:highlight w:val="none"/>
              </w:rPr>
            </w:pPr>
          </w:p>
          <w:p w14:paraId="61DC9113">
            <w:pPr>
              <w:spacing w:line="260" w:lineRule="auto"/>
              <w:rPr>
                <w:rFonts w:hint="eastAsia" w:ascii="宋体" w:hAnsi="宋体" w:eastAsia="宋体" w:cs="宋体"/>
                <w:color w:val="auto"/>
                <w:sz w:val="24"/>
                <w:szCs w:val="24"/>
                <w:highlight w:val="none"/>
              </w:rPr>
            </w:pPr>
          </w:p>
          <w:p w14:paraId="092AD730">
            <w:pPr>
              <w:spacing w:line="260" w:lineRule="auto"/>
              <w:rPr>
                <w:rFonts w:hint="eastAsia" w:ascii="宋体" w:hAnsi="宋体" w:eastAsia="宋体" w:cs="宋体"/>
                <w:color w:val="auto"/>
                <w:sz w:val="24"/>
                <w:szCs w:val="24"/>
                <w:highlight w:val="none"/>
              </w:rPr>
            </w:pPr>
          </w:p>
          <w:p w14:paraId="7CB4BE7F">
            <w:pPr>
              <w:spacing w:line="260" w:lineRule="auto"/>
              <w:rPr>
                <w:rFonts w:hint="eastAsia" w:ascii="宋体" w:hAnsi="宋体" w:eastAsia="宋体" w:cs="宋体"/>
                <w:color w:val="auto"/>
                <w:sz w:val="24"/>
                <w:szCs w:val="24"/>
                <w:highlight w:val="none"/>
              </w:rPr>
            </w:pPr>
          </w:p>
          <w:p w14:paraId="6B94CCCE">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161" w:type="dxa"/>
            <w:vMerge w:val="continue"/>
            <w:tcBorders>
              <w:top w:val="nil"/>
              <w:bottom w:val="nil"/>
            </w:tcBorders>
            <w:vAlign w:val="top"/>
          </w:tcPr>
          <w:p w14:paraId="05F1A7B5">
            <w:pPr>
              <w:rPr>
                <w:rFonts w:hint="eastAsia" w:ascii="宋体" w:hAnsi="宋体" w:eastAsia="宋体" w:cs="宋体"/>
                <w:color w:val="auto"/>
                <w:sz w:val="24"/>
                <w:szCs w:val="24"/>
                <w:highlight w:val="none"/>
              </w:rPr>
            </w:pPr>
          </w:p>
        </w:tc>
        <w:tc>
          <w:tcPr>
            <w:tcW w:w="1689" w:type="dxa"/>
            <w:vAlign w:val="top"/>
          </w:tcPr>
          <w:p w14:paraId="78D12FDC">
            <w:pPr>
              <w:spacing w:line="266" w:lineRule="auto"/>
              <w:rPr>
                <w:rFonts w:hint="eastAsia" w:ascii="宋体" w:hAnsi="宋体" w:eastAsia="宋体" w:cs="宋体"/>
                <w:color w:val="auto"/>
                <w:sz w:val="24"/>
                <w:szCs w:val="24"/>
                <w:highlight w:val="none"/>
              </w:rPr>
            </w:pPr>
          </w:p>
          <w:p w14:paraId="5471A185">
            <w:pPr>
              <w:spacing w:line="266" w:lineRule="auto"/>
              <w:rPr>
                <w:rFonts w:hint="eastAsia" w:ascii="宋体" w:hAnsi="宋体" w:eastAsia="宋体" w:cs="宋体"/>
                <w:color w:val="auto"/>
                <w:sz w:val="24"/>
                <w:szCs w:val="24"/>
                <w:highlight w:val="none"/>
              </w:rPr>
            </w:pPr>
          </w:p>
          <w:p w14:paraId="25CA5D35">
            <w:pPr>
              <w:spacing w:line="266" w:lineRule="auto"/>
              <w:rPr>
                <w:rFonts w:hint="eastAsia" w:ascii="宋体" w:hAnsi="宋体" w:eastAsia="宋体" w:cs="宋体"/>
                <w:color w:val="auto"/>
                <w:sz w:val="24"/>
                <w:szCs w:val="24"/>
                <w:highlight w:val="none"/>
              </w:rPr>
            </w:pPr>
          </w:p>
          <w:p w14:paraId="4053EE51">
            <w:pPr>
              <w:spacing w:line="267" w:lineRule="auto"/>
              <w:rPr>
                <w:rFonts w:hint="eastAsia" w:ascii="宋体" w:hAnsi="宋体" w:eastAsia="宋体" w:cs="宋体"/>
                <w:color w:val="auto"/>
                <w:sz w:val="24"/>
                <w:szCs w:val="24"/>
                <w:highlight w:val="none"/>
              </w:rPr>
            </w:pPr>
          </w:p>
          <w:p w14:paraId="53CDD3FF">
            <w:pPr>
              <w:spacing w:line="267" w:lineRule="auto"/>
              <w:rPr>
                <w:rFonts w:hint="eastAsia" w:ascii="宋体" w:hAnsi="宋体" w:eastAsia="宋体" w:cs="宋体"/>
                <w:color w:val="auto"/>
                <w:sz w:val="24"/>
                <w:szCs w:val="24"/>
                <w:highlight w:val="none"/>
              </w:rPr>
            </w:pPr>
          </w:p>
          <w:p w14:paraId="42AB91CF">
            <w:pPr>
              <w:pStyle w:val="23"/>
              <w:spacing w:before="65" w:line="228"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劳动力安排计划（</w:t>
            </w:r>
            <w:r>
              <w:rPr>
                <w:rFonts w:hint="eastAsia" w:cs="宋体"/>
                <w:color w:val="auto"/>
                <w:spacing w:val="6"/>
                <w:sz w:val="24"/>
                <w:szCs w:val="24"/>
                <w:highlight w:val="none"/>
                <w:lang w:val="en-US" w:eastAsia="zh-CN"/>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6"/>
                <w:sz w:val="24"/>
                <w:szCs w:val="24"/>
                <w:highlight w:val="none"/>
              </w:rPr>
              <w:t>分</w:t>
            </w:r>
            <w:r>
              <w:rPr>
                <w:rFonts w:hint="eastAsia" w:ascii="宋体" w:hAnsi="宋体" w:eastAsia="宋体" w:cs="宋体"/>
                <w:color w:val="auto"/>
                <w:spacing w:val="6"/>
                <w:sz w:val="24"/>
                <w:szCs w:val="24"/>
                <w:highlight w:val="none"/>
              </w:rPr>
              <w:t>）</w:t>
            </w:r>
          </w:p>
        </w:tc>
        <w:tc>
          <w:tcPr>
            <w:tcW w:w="5425" w:type="dxa"/>
            <w:gridSpan w:val="2"/>
            <w:vAlign w:val="top"/>
          </w:tcPr>
          <w:p w14:paraId="1E857621">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6"/>
                <w:sz w:val="24"/>
                <w:szCs w:val="24"/>
                <w:highlight w:val="none"/>
                <w:lang w:val="en-US" w:eastAsia="zh-CN"/>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6"/>
                <w:sz w:val="24"/>
                <w:szCs w:val="24"/>
                <w:highlight w:val="none"/>
              </w:rPr>
              <w:t>分</w:t>
            </w:r>
            <w:r>
              <w:rPr>
                <w:rFonts w:hint="eastAsia" w:ascii="宋体" w:hAnsi="宋体" w:eastAsia="宋体" w:cs="宋体"/>
                <w:color w:val="auto"/>
                <w:spacing w:val="3"/>
                <w:sz w:val="24"/>
                <w:szCs w:val="24"/>
                <w:highlight w:val="none"/>
              </w:rPr>
              <w:t>）：各主要施工工序有详细周密的劳动 力安排计划，各工种劳动力安排计划齐全，劳动力 投入与进度计划呼应合理，满足施工需要。</w:t>
            </w:r>
          </w:p>
          <w:p w14:paraId="6E3E49C4">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二档（4 分）：各主要施工工序有详细的劳动力安 排计划，有各工种劳动力安排计划，劳动力投入合 理，满足施工需要。</w:t>
            </w:r>
          </w:p>
          <w:p w14:paraId="3B69E3DD">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三档（2 分）：各主要施工工序应有劳动力安排计 划，有各工种劳动力安排计划， 劳动力投入基本 合理，基本满足施工需要。</w:t>
            </w:r>
          </w:p>
        </w:tc>
      </w:tr>
      <w:tr w14:paraId="58C06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19" w:type="dxa"/>
            <w:vAlign w:val="top"/>
          </w:tcPr>
          <w:p w14:paraId="4BFA7883">
            <w:pPr>
              <w:spacing w:line="264" w:lineRule="auto"/>
              <w:rPr>
                <w:rFonts w:hint="eastAsia" w:ascii="宋体" w:hAnsi="宋体" w:eastAsia="宋体" w:cs="宋体"/>
                <w:color w:val="auto"/>
                <w:sz w:val="24"/>
                <w:szCs w:val="24"/>
                <w:highlight w:val="none"/>
              </w:rPr>
            </w:pPr>
          </w:p>
          <w:p w14:paraId="29DB50A5">
            <w:pPr>
              <w:spacing w:line="264" w:lineRule="auto"/>
              <w:rPr>
                <w:rFonts w:hint="eastAsia" w:ascii="宋体" w:hAnsi="宋体" w:eastAsia="宋体" w:cs="宋体"/>
                <w:color w:val="auto"/>
                <w:sz w:val="24"/>
                <w:szCs w:val="24"/>
                <w:highlight w:val="none"/>
              </w:rPr>
            </w:pPr>
          </w:p>
          <w:p w14:paraId="796B9797">
            <w:pPr>
              <w:spacing w:line="264" w:lineRule="auto"/>
              <w:rPr>
                <w:rFonts w:hint="eastAsia" w:ascii="宋体" w:hAnsi="宋体" w:eastAsia="宋体" w:cs="宋体"/>
                <w:color w:val="auto"/>
                <w:sz w:val="24"/>
                <w:szCs w:val="24"/>
                <w:highlight w:val="none"/>
              </w:rPr>
            </w:pPr>
          </w:p>
          <w:p w14:paraId="4671CCB5">
            <w:pPr>
              <w:spacing w:line="264" w:lineRule="auto"/>
              <w:rPr>
                <w:rFonts w:hint="eastAsia" w:ascii="宋体" w:hAnsi="宋体" w:eastAsia="宋体" w:cs="宋体"/>
                <w:color w:val="auto"/>
                <w:sz w:val="24"/>
                <w:szCs w:val="24"/>
                <w:highlight w:val="none"/>
              </w:rPr>
            </w:pPr>
          </w:p>
          <w:p w14:paraId="5C7C2C40">
            <w:pPr>
              <w:spacing w:line="264" w:lineRule="auto"/>
              <w:rPr>
                <w:rFonts w:hint="eastAsia" w:ascii="宋体" w:hAnsi="宋体" w:eastAsia="宋体" w:cs="宋体"/>
                <w:color w:val="auto"/>
                <w:sz w:val="24"/>
                <w:szCs w:val="24"/>
                <w:highlight w:val="none"/>
              </w:rPr>
            </w:pPr>
          </w:p>
          <w:p w14:paraId="4C962853">
            <w:pPr>
              <w:spacing w:line="264" w:lineRule="auto"/>
              <w:rPr>
                <w:rFonts w:hint="eastAsia" w:ascii="宋体" w:hAnsi="宋体" w:eastAsia="宋体" w:cs="宋体"/>
                <w:color w:val="auto"/>
                <w:sz w:val="24"/>
                <w:szCs w:val="24"/>
                <w:highlight w:val="none"/>
              </w:rPr>
            </w:pPr>
          </w:p>
          <w:p w14:paraId="33ACDCFE">
            <w:pPr>
              <w:spacing w:line="264" w:lineRule="auto"/>
              <w:rPr>
                <w:rFonts w:hint="eastAsia" w:ascii="宋体" w:hAnsi="宋体" w:eastAsia="宋体" w:cs="宋体"/>
                <w:color w:val="auto"/>
                <w:sz w:val="24"/>
                <w:szCs w:val="24"/>
                <w:highlight w:val="none"/>
              </w:rPr>
            </w:pPr>
          </w:p>
          <w:p w14:paraId="070D0F3E">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p>
        </w:tc>
        <w:tc>
          <w:tcPr>
            <w:tcW w:w="1161" w:type="dxa"/>
            <w:vMerge w:val="continue"/>
            <w:tcBorders>
              <w:top w:val="nil"/>
              <w:bottom w:val="nil"/>
            </w:tcBorders>
            <w:vAlign w:val="top"/>
          </w:tcPr>
          <w:p w14:paraId="0B0B03D3">
            <w:pPr>
              <w:rPr>
                <w:rFonts w:hint="eastAsia" w:ascii="宋体" w:hAnsi="宋体" w:eastAsia="宋体" w:cs="宋体"/>
                <w:color w:val="auto"/>
                <w:sz w:val="24"/>
                <w:szCs w:val="24"/>
                <w:highlight w:val="none"/>
              </w:rPr>
            </w:pPr>
          </w:p>
        </w:tc>
        <w:tc>
          <w:tcPr>
            <w:tcW w:w="1689" w:type="dxa"/>
            <w:vAlign w:val="top"/>
          </w:tcPr>
          <w:p w14:paraId="7D58A117">
            <w:pPr>
              <w:spacing w:line="243" w:lineRule="auto"/>
              <w:rPr>
                <w:rFonts w:hint="eastAsia" w:ascii="宋体" w:hAnsi="宋体" w:eastAsia="宋体" w:cs="宋体"/>
                <w:color w:val="auto"/>
                <w:sz w:val="24"/>
                <w:szCs w:val="24"/>
                <w:highlight w:val="none"/>
              </w:rPr>
            </w:pPr>
          </w:p>
          <w:p w14:paraId="56D15BEA">
            <w:pPr>
              <w:spacing w:line="243" w:lineRule="auto"/>
              <w:rPr>
                <w:rFonts w:hint="eastAsia" w:ascii="宋体" w:hAnsi="宋体" w:eastAsia="宋体" w:cs="宋体"/>
                <w:color w:val="auto"/>
                <w:sz w:val="24"/>
                <w:szCs w:val="24"/>
                <w:highlight w:val="none"/>
              </w:rPr>
            </w:pPr>
          </w:p>
          <w:p w14:paraId="03B32F68">
            <w:pPr>
              <w:spacing w:line="243" w:lineRule="auto"/>
              <w:rPr>
                <w:rFonts w:hint="eastAsia" w:ascii="宋体" w:hAnsi="宋体" w:eastAsia="宋体" w:cs="宋体"/>
                <w:color w:val="auto"/>
                <w:sz w:val="24"/>
                <w:szCs w:val="24"/>
                <w:highlight w:val="none"/>
              </w:rPr>
            </w:pPr>
          </w:p>
          <w:p w14:paraId="488A648D">
            <w:pPr>
              <w:spacing w:line="243" w:lineRule="auto"/>
              <w:rPr>
                <w:rFonts w:hint="eastAsia" w:ascii="宋体" w:hAnsi="宋体" w:eastAsia="宋体" w:cs="宋体"/>
                <w:color w:val="auto"/>
                <w:sz w:val="24"/>
                <w:szCs w:val="24"/>
                <w:highlight w:val="none"/>
              </w:rPr>
            </w:pPr>
          </w:p>
          <w:p w14:paraId="393578C9">
            <w:pPr>
              <w:spacing w:line="243" w:lineRule="auto"/>
              <w:rPr>
                <w:rFonts w:hint="eastAsia" w:ascii="宋体" w:hAnsi="宋体" w:eastAsia="宋体" w:cs="宋体"/>
                <w:color w:val="auto"/>
                <w:sz w:val="24"/>
                <w:szCs w:val="24"/>
                <w:highlight w:val="none"/>
              </w:rPr>
            </w:pPr>
          </w:p>
          <w:p w14:paraId="2D904792">
            <w:pPr>
              <w:spacing w:line="244" w:lineRule="auto"/>
              <w:rPr>
                <w:rFonts w:hint="eastAsia" w:ascii="宋体" w:hAnsi="宋体" w:eastAsia="宋体" w:cs="宋体"/>
                <w:color w:val="auto"/>
                <w:sz w:val="24"/>
                <w:szCs w:val="24"/>
                <w:highlight w:val="none"/>
              </w:rPr>
            </w:pPr>
          </w:p>
          <w:p w14:paraId="44F8251C">
            <w:pPr>
              <w:spacing w:line="244" w:lineRule="auto"/>
              <w:rPr>
                <w:rFonts w:hint="eastAsia" w:ascii="宋体" w:hAnsi="宋体" w:eastAsia="宋体" w:cs="宋体"/>
                <w:color w:val="auto"/>
                <w:sz w:val="24"/>
                <w:szCs w:val="24"/>
                <w:highlight w:val="none"/>
              </w:rPr>
            </w:pPr>
          </w:p>
          <w:p w14:paraId="52D17329">
            <w:pPr>
              <w:pStyle w:val="23"/>
              <w:spacing w:before="65" w:line="280" w:lineRule="auto"/>
              <w:ind w:left="116" w:right="105" w:hanging="3"/>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确保工程质量的技术组</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织措施（</w:t>
            </w:r>
            <w:r>
              <w:rPr>
                <w:rFonts w:hint="eastAsia"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4"/>
                <w:sz w:val="24"/>
                <w:szCs w:val="24"/>
                <w:highlight w:val="none"/>
              </w:rPr>
              <w:t>）</w:t>
            </w:r>
          </w:p>
        </w:tc>
        <w:tc>
          <w:tcPr>
            <w:tcW w:w="5425" w:type="dxa"/>
            <w:gridSpan w:val="2"/>
            <w:vAlign w:val="top"/>
          </w:tcPr>
          <w:p w14:paraId="7C6970A2">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）：有专门的质量技术管理人员和制度，且人员配备合理，制度健全。主要工序有质量技术保证措施和手段，且先进、可行、具体，高于招标文件的质量要求及施工验收规范要求，达到承诺的质量标准。</w:t>
            </w:r>
          </w:p>
          <w:p w14:paraId="207069C5">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）：有专门的质量技术管理人员和制度， 且人员配备合理，制度健全。主要工序有质量技术 保证措施和手段，自控体系完整，能有效保证技术 质量，达到承诺的质量标准。</w:t>
            </w:r>
          </w:p>
          <w:p w14:paraId="42E63E12">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）：质量技术管理人员配备基本合理</w:t>
            </w:r>
            <w:r>
              <w:rPr>
                <w:rFonts w:hint="eastAsia"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制度基本健全。主要工序有质量技术保证措施和手 段，能有效保证技术质量，满足采购文件的质量要求。</w:t>
            </w:r>
          </w:p>
        </w:tc>
      </w:tr>
      <w:tr w14:paraId="335C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19" w:type="dxa"/>
            <w:vAlign w:val="top"/>
          </w:tcPr>
          <w:p w14:paraId="5D63EF1B">
            <w:pPr>
              <w:spacing w:line="242" w:lineRule="auto"/>
              <w:rPr>
                <w:rFonts w:hint="eastAsia" w:ascii="宋体" w:hAnsi="宋体" w:eastAsia="宋体" w:cs="宋体"/>
                <w:color w:val="auto"/>
                <w:sz w:val="24"/>
                <w:szCs w:val="24"/>
                <w:highlight w:val="none"/>
              </w:rPr>
            </w:pPr>
          </w:p>
          <w:p w14:paraId="49E76657">
            <w:pPr>
              <w:spacing w:line="242" w:lineRule="auto"/>
              <w:rPr>
                <w:rFonts w:hint="eastAsia" w:ascii="宋体" w:hAnsi="宋体" w:eastAsia="宋体" w:cs="宋体"/>
                <w:color w:val="auto"/>
                <w:sz w:val="24"/>
                <w:szCs w:val="24"/>
                <w:highlight w:val="none"/>
              </w:rPr>
            </w:pPr>
          </w:p>
          <w:p w14:paraId="5F3E301E">
            <w:pPr>
              <w:spacing w:line="242" w:lineRule="auto"/>
              <w:rPr>
                <w:rFonts w:hint="eastAsia" w:ascii="宋体" w:hAnsi="宋体" w:eastAsia="宋体" w:cs="宋体"/>
                <w:color w:val="auto"/>
                <w:sz w:val="24"/>
                <w:szCs w:val="24"/>
                <w:highlight w:val="none"/>
              </w:rPr>
            </w:pPr>
          </w:p>
          <w:p w14:paraId="7B3C4081">
            <w:pPr>
              <w:spacing w:line="242" w:lineRule="auto"/>
              <w:rPr>
                <w:rFonts w:hint="eastAsia" w:ascii="宋体" w:hAnsi="宋体" w:eastAsia="宋体" w:cs="宋体"/>
                <w:color w:val="auto"/>
                <w:sz w:val="24"/>
                <w:szCs w:val="24"/>
                <w:highlight w:val="none"/>
              </w:rPr>
            </w:pPr>
          </w:p>
          <w:p w14:paraId="0E0B0B7C">
            <w:pPr>
              <w:spacing w:line="242" w:lineRule="auto"/>
              <w:rPr>
                <w:rFonts w:hint="eastAsia" w:ascii="宋体" w:hAnsi="宋体" w:eastAsia="宋体" w:cs="宋体"/>
                <w:color w:val="auto"/>
                <w:sz w:val="24"/>
                <w:szCs w:val="24"/>
                <w:highlight w:val="none"/>
              </w:rPr>
            </w:pPr>
          </w:p>
          <w:p w14:paraId="5BEBE7FD">
            <w:pPr>
              <w:spacing w:line="242" w:lineRule="auto"/>
              <w:rPr>
                <w:rFonts w:hint="eastAsia" w:ascii="宋体" w:hAnsi="宋体" w:eastAsia="宋体" w:cs="宋体"/>
                <w:color w:val="auto"/>
                <w:sz w:val="24"/>
                <w:szCs w:val="24"/>
                <w:highlight w:val="none"/>
              </w:rPr>
            </w:pPr>
          </w:p>
          <w:p w14:paraId="16FC2969">
            <w:pPr>
              <w:spacing w:line="242" w:lineRule="auto"/>
              <w:rPr>
                <w:rFonts w:hint="eastAsia" w:ascii="宋体" w:hAnsi="宋体" w:eastAsia="宋体" w:cs="宋体"/>
                <w:color w:val="auto"/>
                <w:sz w:val="24"/>
                <w:szCs w:val="24"/>
                <w:highlight w:val="none"/>
              </w:rPr>
            </w:pPr>
          </w:p>
          <w:p w14:paraId="275595F0">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p>
        </w:tc>
        <w:tc>
          <w:tcPr>
            <w:tcW w:w="1161" w:type="dxa"/>
            <w:vMerge w:val="continue"/>
            <w:tcBorders>
              <w:top w:val="nil"/>
              <w:bottom w:val="nil"/>
            </w:tcBorders>
            <w:vAlign w:val="top"/>
          </w:tcPr>
          <w:p w14:paraId="182CFCAD">
            <w:pPr>
              <w:rPr>
                <w:rFonts w:hint="eastAsia" w:ascii="宋体" w:hAnsi="宋体" w:eastAsia="宋体" w:cs="宋体"/>
                <w:color w:val="auto"/>
                <w:sz w:val="24"/>
                <w:szCs w:val="24"/>
                <w:highlight w:val="none"/>
              </w:rPr>
            </w:pPr>
          </w:p>
        </w:tc>
        <w:tc>
          <w:tcPr>
            <w:tcW w:w="1689" w:type="dxa"/>
            <w:vAlign w:val="top"/>
          </w:tcPr>
          <w:p w14:paraId="1863283A">
            <w:pPr>
              <w:spacing w:line="258" w:lineRule="auto"/>
              <w:rPr>
                <w:rFonts w:hint="eastAsia" w:ascii="宋体" w:hAnsi="宋体" w:eastAsia="宋体" w:cs="宋体"/>
                <w:color w:val="auto"/>
                <w:sz w:val="24"/>
                <w:szCs w:val="24"/>
                <w:highlight w:val="none"/>
              </w:rPr>
            </w:pPr>
          </w:p>
          <w:p w14:paraId="54105C98">
            <w:pPr>
              <w:spacing w:line="258" w:lineRule="auto"/>
              <w:rPr>
                <w:rFonts w:hint="eastAsia" w:ascii="宋体" w:hAnsi="宋体" w:eastAsia="宋体" w:cs="宋体"/>
                <w:color w:val="auto"/>
                <w:sz w:val="24"/>
                <w:szCs w:val="24"/>
                <w:highlight w:val="none"/>
              </w:rPr>
            </w:pPr>
          </w:p>
          <w:p w14:paraId="73987D45">
            <w:pPr>
              <w:spacing w:line="258" w:lineRule="auto"/>
              <w:rPr>
                <w:rFonts w:hint="eastAsia" w:ascii="宋体" w:hAnsi="宋体" w:eastAsia="宋体" w:cs="宋体"/>
                <w:color w:val="auto"/>
                <w:sz w:val="24"/>
                <w:szCs w:val="24"/>
                <w:highlight w:val="none"/>
              </w:rPr>
            </w:pPr>
          </w:p>
          <w:p w14:paraId="0601917E">
            <w:pPr>
              <w:spacing w:line="258" w:lineRule="auto"/>
              <w:rPr>
                <w:rFonts w:hint="eastAsia" w:ascii="宋体" w:hAnsi="宋体" w:eastAsia="宋体" w:cs="宋体"/>
                <w:color w:val="auto"/>
                <w:sz w:val="24"/>
                <w:szCs w:val="24"/>
                <w:highlight w:val="none"/>
              </w:rPr>
            </w:pPr>
          </w:p>
          <w:p w14:paraId="3393017F">
            <w:pPr>
              <w:spacing w:line="259" w:lineRule="auto"/>
              <w:rPr>
                <w:rFonts w:hint="eastAsia" w:ascii="宋体" w:hAnsi="宋体" w:eastAsia="宋体" w:cs="宋体"/>
                <w:color w:val="auto"/>
                <w:sz w:val="24"/>
                <w:szCs w:val="24"/>
                <w:highlight w:val="none"/>
              </w:rPr>
            </w:pPr>
          </w:p>
          <w:p w14:paraId="2BFC8B70">
            <w:pPr>
              <w:spacing w:line="259" w:lineRule="auto"/>
              <w:rPr>
                <w:rFonts w:hint="eastAsia" w:ascii="宋体" w:hAnsi="宋体" w:eastAsia="宋体" w:cs="宋体"/>
                <w:color w:val="auto"/>
                <w:sz w:val="24"/>
                <w:szCs w:val="24"/>
                <w:highlight w:val="none"/>
              </w:rPr>
            </w:pPr>
          </w:p>
          <w:p w14:paraId="64F3ABDF">
            <w:pPr>
              <w:pStyle w:val="23"/>
              <w:spacing w:before="65" w:line="280" w:lineRule="auto"/>
              <w:ind w:left="116" w:right="105" w:hanging="3"/>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确保安全生产的技术组</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织措施（</w:t>
            </w:r>
            <w:r>
              <w:rPr>
                <w:rFonts w:hint="eastAsia" w:cs="宋体"/>
                <w:color w:val="auto"/>
                <w:spacing w:val="4"/>
                <w:sz w:val="24"/>
                <w:szCs w:val="24"/>
                <w:highlight w:val="none"/>
                <w:lang w:val="en-US" w:eastAsia="zh-CN"/>
              </w:rPr>
              <w:t>6</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4"/>
                <w:sz w:val="24"/>
                <w:szCs w:val="24"/>
                <w:highlight w:val="none"/>
              </w:rPr>
              <w:t>）</w:t>
            </w:r>
          </w:p>
        </w:tc>
        <w:tc>
          <w:tcPr>
            <w:tcW w:w="5425" w:type="dxa"/>
            <w:gridSpan w:val="2"/>
            <w:vAlign w:val="top"/>
          </w:tcPr>
          <w:p w14:paraId="1D0E82E9">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 xml:space="preserve"> 分</w:t>
            </w:r>
            <w:r>
              <w:rPr>
                <w:rFonts w:hint="eastAsia" w:ascii="宋体" w:hAnsi="宋体" w:eastAsia="宋体" w:cs="宋体"/>
                <w:color w:val="auto"/>
                <w:spacing w:val="3"/>
                <w:sz w:val="24"/>
                <w:szCs w:val="24"/>
                <w:highlight w:val="none"/>
              </w:rPr>
              <w:t>）：安全人员配备合理；有健全的安全 管理制度，各道工序安全技术措施针对性强，符合实际且高于国家有关安全技术标准要求。现场防火、 应急救援、社会治安安全措施得力。</w:t>
            </w:r>
          </w:p>
          <w:p w14:paraId="13081B9E">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）：安全人员配备合理；有较健全的  安全管理制度，各道工序安全技术措施符合实际且 满足有关安全技术标准要求。现场防火、应急救援、社会治安安全措施合理。</w:t>
            </w:r>
          </w:p>
          <w:p w14:paraId="1DA55D07">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）：安全人员配备基本合理，安全管理 制度基本健全，各道工序安全技术措施基本符合 实际，基本满足有关安全技术标准要求。现场防火、应急救援、社会治安安全措施基本合理。</w:t>
            </w:r>
          </w:p>
        </w:tc>
      </w:tr>
      <w:tr w14:paraId="0668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19" w:type="dxa"/>
            <w:vAlign w:val="top"/>
          </w:tcPr>
          <w:p w14:paraId="63A92199">
            <w:pPr>
              <w:pStyle w:val="23"/>
              <w:spacing w:before="261"/>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p>
        </w:tc>
        <w:tc>
          <w:tcPr>
            <w:tcW w:w="1161" w:type="dxa"/>
            <w:vMerge w:val="continue"/>
            <w:tcBorders>
              <w:top w:val="nil"/>
            </w:tcBorders>
            <w:vAlign w:val="top"/>
          </w:tcPr>
          <w:p w14:paraId="50F295EC">
            <w:pPr>
              <w:rPr>
                <w:rFonts w:hint="eastAsia" w:ascii="宋体" w:hAnsi="宋体" w:eastAsia="宋体" w:cs="宋体"/>
                <w:color w:val="auto"/>
                <w:sz w:val="24"/>
                <w:szCs w:val="24"/>
                <w:highlight w:val="none"/>
              </w:rPr>
            </w:pPr>
          </w:p>
        </w:tc>
        <w:tc>
          <w:tcPr>
            <w:tcW w:w="1689" w:type="dxa"/>
            <w:vAlign w:val="top"/>
          </w:tcPr>
          <w:p w14:paraId="62407852">
            <w:pPr>
              <w:pStyle w:val="23"/>
              <w:spacing w:before="112" w:line="279" w:lineRule="auto"/>
              <w:ind w:left="112" w:right="17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确保工期的技术组织措 </w:t>
            </w:r>
            <w:r>
              <w:rPr>
                <w:rFonts w:hint="eastAsia" w:ascii="宋体" w:hAnsi="宋体" w:eastAsia="宋体" w:cs="宋体"/>
                <w:color w:val="auto"/>
                <w:spacing w:val="3"/>
                <w:sz w:val="24"/>
                <w:szCs w:val="24"/>
                <w:highlight w:val="none"/>
              </w:rPr>
              <w:t>施（</w:t>
            </w:r>
            <w:r>
              <w:rPr>
                <w:rFonts w:hint="eastAsia" w:cs="宋体"/>
                <w:color w:val="auto"/>
                <w:spacing w:val="3"/>
                <w:sz w:val="24"/>
                <w:szCs w:val="24"/>
                <w:highlight w:val="none"/>
                <w:lang w:val="en-US" w:eastAsia="zh-CN"/>
              </w:rPr>
              <w:t>6</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w:t>
            </w:r>
          </w:p>
        </w:tc>
        <w:tc>
          <w:tcPr>
            <w:tcW w:w="5425" w:type="dxa"/>
            <w:gridSpan w:val="2"/>
            <w:vAlign w:val="top"/>
          </w:tcPr>
          <w:p w14:paraId="02AC569D">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）：在施工工艺、施工方法、材料选用、劳动力安排、技术等方面有保证工期的具体措施且</w:t>
            </w:r>
          </w:p>
        </w:tc>
      </w:tr>
      <w:tr w14:paraId="2A9D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19" w:type="dxa"/>
            <w:vAlign w:val="top"/>
          </w:tcPr>
          <w:p w14:paraId="48E90455">
            <w:pPr>
              <w:rPr>
                <w:rFonts w:hint="eastAsia" w:ascii="宋体" w:hAnsi="宋体" w:eastAsia="宋体" w:cs="宋体"/>
                <w:color w:val="auto"/>
                <w:sz w:val="24"/>
                <w:szCs w:val="24"/>
                <w:highlight w:val="none"/>
              </w:rPr>
            </w:pPr>
          </w:p>
        </w:tc>
        <w:tc>
          <w:tcPr>
            <w:tcW w:w="1161" w:type="dxa"/>
            <w:vMerge w:val="restart"/>
            <w:tcBorders>
              <w:bottom w:val="nil"/>
            </w:tcBorders>
            <w:vAlign w:val="top"/>
          </w:tcPr>
          <w:p w14:paraId="33FAABEB">
            <w:pPr>
              <w:rPr>
                <w:rFonts w:hint="eastAsia" w:ascii="宋体" w:hAnsi="宋体" w:eastAsia="宋体" w:cs="宋体"/>
                <w:color w:val="auto"/>
                <w:sz w:val="24"/>
                <w:szCs w:val="24"/>
                <w:highlight w:val="none"/>
              </w:rPr>
            </w:pPr>
          </w:p>
        </w:tc>
        <w:tc>
          <w:tcPr>
            <w:tcW w:w="2381" w:type="dxa"/>
            <w:gridSpan w:val="2"/>
            <w:vAlign w:val="top"/>
          </w:tcPr>
          <w:p w14:paraId="40B7CA4B">
            <w:pPr>
              <w:rPr>
                <w:rFonts w:hint="eastAsia" w:ascii="宋体" w:hAnsi="宋体" w:eastAsia="宋体" w:cs="宋体"/>
                <w:color w:val="auto"/>
                <w:sz w:val="24"/>
                <w:szCs w:val="24"/>
                <w:highlight w:val="none"/>
              </w:rPr>
            </w:pPr>
          </w:p>
        </w:tc>
        <w:tc>
          <w:tcPr>
            <w:tcW w:w="4733" w:type="dxa"/>
            <w:vAlign w:val="top"/>
          </w:tcPr>
          <w:p w14:paraId="2E28CC0C">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措施得当。有控制工期的施工进度计划。有施工总 进度表或施工网络图，各项计划图表编制完善，安 排科学合理，符合本项目施工实际要求。</w:t>
            </w:r>
          </w:p>
          <w:p w14:paraId="3BE10643">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）：在施工工艺、施工方法、材料选用、劳动力安排、技术等方面有保证工期的具体措施。有控制工期的施工进度计划。有施工总进度表或施 工网络图，各项计划图表编制较好，安排合理，符合本项目施工实际要求。</w:t>
            </w:r>
          </w:p>
          <w:p w14:paraId="09E90299">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）：在施工工艺、施工方法、材料选用、 劳动力安排、技术等方面没有保证工期的具体措施。有控制工期的施工进度计划。有施工总进度表 或施工网络图，各项计划图表编制及安排一般，基本符合本项目施工实际要求。</w:t>
            </w:r>
          </w:p>
        </w:tc>
      </w:tr>
      <w:tr w14:paraId="69DE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819" w:type="dxa"/>
            <w:vAlign w:val="top"/>
          </w:tcPr>
          <w:p w14:paraId="1C6E6317">
            <w:pPr>
              <w:spacing w:line="261" w:lineRule="auto"/>
              <w:rPr>
                <w:rFonts w:hint="eastAsia" w:ascii="宋体" w:hAnsi="宋体" w:eastAsia="宋体" w:cs="宋体"/>
                <w:color w:val="auto"/>
                <w:sz w:val="24"/>
                <w:szCs w:val="24"/>
                <w:highlight w:val="none"/>
              </w:rPr>
            </w:pPr>
          </w:p>
          <w:p w14:paraId="4001B8A8">
            <w:pPr>
              <w:spacing w:line="261" w:lineRule="auto"/>
              <w:rPr>
                <w:rFonts w:hint="eastAsia" w:ascii="宋体" w:hAnsi="宋体" w:eastAsia="宋体" w:cs="宋体"/>
                <w:color w:val="auto"/>
                <w:sz w:val="24"/>
                <w:szCs w:val="24"/>
                <w:highlight w:val="none"/>
              </w:rPr>
            </w:pPr>
          </w:p>
          <w:p w14:paraId="713DDEEE">
            <w:pPr>
              <w:spacing w:line="261" w:lineRule="auto"/>
              <w:rPr>
                <w:rFonts w:hint="eastAsia" w:ascii="宋体" w:hAnsi="宋体" w:eastAsia="宋体" w:cs="宋体"/>
                <w:color w:val="auto"/>
                <w:sz w:val="24"/>
                <w:szCs w:val="24"/>
                <w:highlight w:val="none"/>
              </w:rPr>
            </w:pPr>
          </w:p>
          <w:p w14:paraId="32466015">
            <w:pPr>
              <w:spacing w:line="261" w:lineRule="auto"/>
              <w:rPr>
                <w:rFonts w:hint="eastAsia" w:ascii="宋体" w:hAnsi="宋体" w:eastAsia="宋体" w:cs="宋体"/>
                <w:color w:val="auto"/>
                <w:sz w:val="24"/>
                <w:szCs w:val="24"/>
                <w:highlight w:val="none"/>
              </w:rPr>
            </w:pPr>
          </w:p>
          <w:p w14:paraId="7BC7BFC8">
            <w:pPr>
              <w:spacing w:line="261" w:lineRule="auto"/>
              <w:rPr>
                <w:rFonts w:hint="eastAsia" w:ascii="宋体" w:hAnsi="宋体" w:eastAsia="宋体" w:cs="宋体"/>
                <w:color w:val="auto"/>
                <w:sz w:val="24"/>
                <w:szCs w:val="24"/>
                <w:highlight w:val="none"/>
              </w:rPr>
            </w:pPr>
          </w:p>
          <w:p w14:paraId="56529BBE">
            <w:pPr>
              <w:spacing w:line="261" w:lineRule="auto"/>
              <w:rPr>
                <w:rFonts w:hint="eastAsia" w:ascii="宋体" w:hAnsi="宋体" w:eastAsia="宋体" w:cs="宋体"/>
                <w:color w:val="auto"/>
                <w:sz w:val="24"/>
                <w:szCs w:val="24"/>
                <w:highlight w:val="none"/>
              </w:rPr>
            </w:pPr>
          </w:p>
          <w:p w14:paraId="289AA533">
            <w:pPr>
              <w:spacing w:line="261" w:lineRule="auto"/>
              <w:rPr>
                <w:rFonts w:hint="eastAsia" w:ascii="宋体" w:hAnsi="宋体" w:eastAsia="宋体" w:cs="宋体"/>
                <w:color w:val="auto"/>
                <w:sz w:val="24"/>
                <w:szCs w:val="24"/>
                <w:highlight w:val="none"/>
              </w:rPr>
            </w:pPr>
          </w:p>
          <w:p w14:paraId="3F240DDA">
            <w:pPr>
              <w:spacing w:line="261" w:lineRule="auto"/>
              <w:rPr>
                <w:rFonts w:hint="eastAsia" w:ascii="宋体" w:hAnsi="宋体" w:eastAsia="宋体" w:cs="宋体"/>
                <w:color w:val="auto"/>
                <w:sz w:val="24"/>
                <w:szCs w:val="24"/>
                <w:highlight w:val="none"/>
              </w:rPr>
            </w:pPr>
          </w:p>
          <w:p w14:paraId="3D7C50D7">
            <w:pPr>
              <w:spacing w:line="262" w:lineRule="auto"/>
              <w:rPr>
                <w:rFonts w:hint="eastAsia" w:ascii="宋体" w:hAnsi="宋体" w:eastAsia="宋体" w:cs="宋体"/>
                <w:color w:val="auto"/>
                <w:sz w:val="24"/>
                <w:szCs w:val="24"/>
                <w:highlight w:val="none"/>
              </w:rPr>
            </w:pPr>
          </w:p>
          <w:p w14:paraId="692F5014">
            <w:pPr>
              <w:spacing w:line="262" w:lineRule="auto"/>
              <w:rPr>
                <w:rFonts w:hint="eastAsia" w:ascii="宋体" w:hAnsi="宋体" w:eastAsia="宋体" w:cs="宋体"/>
                <w:color w:val="auto"/>
                <w:sz w:val="24"/>
                <w:szCs w:val="24"/>
                <w:highlight w:val="none"/>
              </w:rPr>
            </w:pPr>
          </w:p>
          <w:p w14:paraId="3188A5A5">
            <w:pPr>
              <w:spacing w:line="262" w:lineRule="auto"/>
              <w:rPr>
                <w:rFonts w:hint="eastAsia" w:ascii="宋体" w:hAnsi="宋体" w:eastAsia="宋体" w:cs="宋体"/>
                <w:color w:val="auto"/>
                <w:sz w:val="24"/>
                <w:szCs w:val="24"/>
                <w:highlight w:val="none"/>
              </w:rPr>
            </w:pPr>
          </w:p>
          <w:p w14:paraId="41B9B11F">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w:t>
            </w:r>
          </w:p>
        </w:tc>
        <w:tc>
          <w:tcPr>
            <w:tcW w:w="1161" w:type="dxa"/>
            <w:vMerge w:val="continue"/>
            <w:tcBorders>
              <w:top w:val="nil"/>
              <w:bottom w:val="nil"/>
            </w:tcBorders>
            <w:vAlign w:val="top"/>
          </w:tcPr>
          <w:p w14:paraId="6470AD04">
            <w:pPr>
              <w:rPr>
                <w:rFonts w:hint="eastAsia" w:ascii="宋体" w:hAnsi="宋体" w:eastAsia="宋体" w:cs="宋体"/>
                <w:color w:val="auto"/>
                <w:sz w:val="24"/>
                <w:szCs w:val="24"/>
                <w:highlight w:val="none"/>
              </w:rPr>
            </w:pPr>
          </w:p>
        </w:tc>
        <w:tc>
          <w:tcPr>
            <w:tcW w:w="2381" w:type="dxa"/>
            <w:gridSpan w:val="2"/>
            <w:vAlign w:val="top"/>
          </w:tcPr>
          <w:p w14:paraId="6A909DEA">
            <w:pPr>
              <w:spacing w:line="248" w:lineRule="auto"/>
              <w:rPr>
                <w:rFonts w:hint="eastAsia" w:ascii="宋体" w:hAnsi="宋体" w:eastAsia="宋体" w:cs="宋体"/>
                <w:color w:val="auto"/>
                <w:sz w:val="24"/>
                <w:szCs w:val="24"/>
                <w:highlight w:val="none"/>
              </w:rPr>
            </w:pPr>
          </w:p>
          <w:p w14:paraId="04A4CA8D">
            <w:pPr>
              <w:spacing w:line="248" w:lineRule="auto"/>
              <w:rPr>
                <w:rFonts w:hint="eastAsia" w:ascii="宋体" w:hAnsi="宋体" w:eastAsia="宋体" w:cs="宋体"/>
                <w:color w:val="auto"/>
                <w:sz w:val="24"/>
                <w:szCs w:val="24"/>
                <w:highlight w:val="none"/>
              </w:rPr>
            </w:pPr>
          </w:p>
          <w:p w14:paraId="163122E9">
            <w:pPr>
              <w:spacing w:line="248" w:lineRule="auto"/>
              <w:rPr>
                <w:rFonts w:hint="eastAsia" w:ascii="宋体" w:hAnsi="宋体" w:eastAsia="宋体" w:cs="宋体"/>
                <w:color w:val="auto"/>
                <w:sz w:val="24"/>
                <w:szCs w:val="24"/>
                <w:highlight w:val="none"/>
              </w:rPr>
            </w:pPr>
          </w:p>
          <w:p w14:paraId="62D2D0C9">
            <w:pPr>
              <w:spacing w:line="248" w:lineRule="auto"/>
              <w:rPr>
                <w:rFonts w:hint="eastAsia" w:ascii="宋体" w:hAnsi="宋体" w:eastAsia="宋体" w:cs="宋体"/>
                <w:color w:val="auto"/>
                <w:sz w:val="24"/>
                <w:szCs w:val="24"/>
                <w:highlight w:val="none"/>
              </w:rPr>
            </w:pPr>
          </w:p>
          <w:p w14:paraId="14664143">
            <w:pPr>
              <w:spacing w:line="248" w:lineRule="auto"/>
              <w:rPr>
                <w:rFonts w:hint="eastAsia" w:ascii="宋体" w:hAnsi="宋体" w:eastAsia="宋体" w:cs="宋体"/>
                <w:color w:val="auto"/>
                <w:sz w:val="24"/>
                <w:szCs w:val="24"/>
                <w:highlight w:val="none"/>
              </w:rPr>
            </w:pPr>
          </w:p>
          <w:p w14:paraId="6ED76491">
            <w:pPr>
              <w:spacing w:line="248" w:lineRule="auto"/>
              <w:rPr>
                <w:rFonts w:hint="eastAsia" w:ascii="宋体" w:hAnsi="宋体" w:eastAsia="宋体" w:cs="宋体"/>
                <w:color w:val="auto"/>
                <w:sz w:val="24"/>
                <w:szCs w:val="24"/>
                <w:highlight w:val="none"/>
              </w:rPr>
            </w:pPr>
          </w:p>
          <w:p w14:paraId="503E4799">
            <w:pPr>
              <w:spacing w:line="248" w:lineRule="auto"/>
              <w:rPr>
                <w:rFonts w:hint="eastAsia" w:ascii="宋体" w:hAnsi="宋体" w:eastAsia="宋体" w:cs="宋体"/>
                <w:color w:val="auto"/>
                <w:sz w:val="24"/>
                <w:szCs w:val="24"/>
                <w:highlight w:val="none"/>
              </w:rPr>
            </w:pPr>
          </w:p>
          <w:p w14:paraId="25546B92">
            <w:pPr>
              <w:spacing w:line="248" w:lineRule="auto"/>
              <w:rPr>
                <w:rFonts w:hint="eastAsia" w:ascii="宋体" w:hAnsi="宋体" w:eastAsia="宋体" w:cs="宋体"/>
                <w:color w:val="auto"/>
                <w:sz w:val="24"/>
                <w:szCs w:val="24"/>
                <w:highlight w:val="none"/>
              </w:rPr>
            </w:pPr>
          </w:p>
          <w:p w14:paraId="1E8B707E">
            <w:pPr>
              <w:spacing w:line="248" w:lineRule="auto"/>
              <w:rPr>
                <w:rFonts w:hint="eastAsia" w:ascii="宋体" w:hAnsi="宋体" w:eastAsia="宋体" w:cs="宋体"/>
                <w:color w:val="auto"/>
                <w:sz w:val="24"/>
                <w:szCs w:val="24"/>
                <w:highlight w:val="none"/>
              </w:rPr>
            </w:pPr>
          </w:p>
          <w:p w14:paraId="229FDCA5">
            <w:pPr>
              <w:spacing w:line="248" w:lineRule="auto"/>
              <w:rPr>
                <w:rFonts w:hint="eastAsia" w:ascii="宋体" w:hAnsi="宋体" w:eastAsia="宋体" w:cs="宋体"/>
                <w:color w:val="auto"/>
                <w:sz w:val="24"/>
                <w:szCs w:val="24"/>
                <w:highlight w:val="none"/>
              </w:rPr>
            </w:pPr>
          </w:p>
          <w:p w14:paraId="18D63C0C">
            <w:pPr>
              <w:spacing w:line="249" w:lineRule="auto"/>
              <w:rPr>
                <w:rFonts w:hint="eastAsia" w:ascii="宋体" w:hAnsi="宋体" w:eastAsia="宋体" w:cs="宋体"/>
                <w:color w:val="auto"/>
                <w:sz w:val="24"/>
                <w:szCs w:val="24"/>
                <w:highlight w:val="none"/>
              </w:rPr>
            </w:pPr>
          </w:p>
          <w:p w14:paraId="783DBE98">
            <w:pPr>
              <w:pStyle w:val="23"/>
              <w:spacing w:before="65" w:line="280" w:lineRule="auto"/>
              <w:ind w:left="116" w:right="173" w:hanging="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确保文明施工的技术组 </w:t>
            </w:r>
            <w:r>
              <w:rPr>
                <w:rFonts w:hint="eastAsia" w:ascii="宋体" w:hAnsi="宋体" w:eastAsia="宋体" w:cs="宋体"/>
                <w:color w:val="auto"/>
                <w:spacing w:val="4"/>
                <w:sz w:val="24"/>
                <w:szCs w:val="24"/>
                <w:highlight w:val="none"/>
              </w:rPr>
              <w:t>织措施（</w:t>
            </w:r>
            <w:r>
              <w:rPr>
                <w:rFonts w:hint="eastAsia"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4"/>
                <w:sz w:val="24"/>
                <w:szCs w:val="24"/>
                <w:highlight w:val="none"/>
              </w:rPr>
              <w:t>）</w:t>
            </w:r>
          </w:p>
        </w:tc>
        <w:tc>
          <w:tcPr>
            <w:tcW w:w="4733" w:type="dxa"/>
            <w:vAlign w:val="top"/>
          </w:tcPr>
          <w:p w14:paraId="13EA3B9F">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针对本工程项目特点有现场文明施工、环境保护措施，措施内容达到《建筑施工安全生产检查标准》（JGJ59-2011）合格标准并符合《广西壮族自治区建筑工程文明施工导则》要求。各项措施周全、具体、有效。有具体实现现场文明施工目标的承诺。</w:t>
            </w:r>
          </w:p>
          <w:p w14:paraId="5ED46B4D">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 xml:space="preserve">）：针对本工程项目特点有现场文明施 工、环境保护措施，措施内容达到《建筑施工安全生产检查标准》（JGJ59-2011）合格标准并符合《广西壮族自治区建筑工程文明施工导则》要求。各项措施一般，有具体实现现场文明施工目标的承诺。 </w:t>
            </w:r>
          </w:p>
          <w:p w14:paraId="091B2F45">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未针对本工程项目特点有现场文明施工、环境保护措施，措施内容部分达不到《建筑施工安全生产检查标准》（JGJ59-2011）合格标准或部分不符合《广西壮族自治区建筑工程文明施工导则》要求。各项措施较差，有实现现场文明施工目标的承诺。</w:t>
            </w:r>
          </w:p>
        </w:tc>
      </w:tr>
      <w:tr w14:paraId="752C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19" w:type="dxa"/>
            <w:vAlign w:val="top"/>
          </w:tcPr>
          <w:p w14:paraId="5EC9DD78">
            <w:pPr>
              <w:spacing w:line="246" w:lineRule="auto"/>
              <w:rPr>
                <w:rFonts w:hint="eastAsia" w:ascii="宋体" w:hAnsi="宋体" w:eastAsia="宋体" w:cs="宋体"/>
                <w:color w:val="auto"/>
                <w:sz w:val="24"/>
                <w:szCs w:val="24"/>
                <w:highlight w:val="none"/>
              </w:rPr>
            </w:pPr>
          </w:p>
          <w:p w14:paraId="57AFDB5D">
            <w:pPr>
              <w:spacing w:line="246" w:lineRule="auto"/>
              <w:rPr>
                <w:rFonts w:hint="eastAsia" w:ascii="宋体" w:hAnsi="宋体" w:eastAsia="宋体" w:cs="宋体"/>
                <w:color w:val="auto"/>
                <w:sz w:val="24"/>
                <w:szCs w:val="24"/>
                <w:highlight w:val="none"/>
              </w:rPr>
            </w:pPr>
          </w:p>
          <w:p w14:paraId="2DE4D255">
            <w:pPr>
              <w:spacing w:line="246" w:lineRule="auto"/>
              <w:rPr>
                <w:rFonts w:hint="eastAsia" w:ascii="宋体" w:hAnsi="宋体" w:eastAsia="宋体" w:cs="宋体"/>
                <w:color w:val="auto"/>
                <w:sz w:val="24"/>
                <w:szCs w:val="24"/>
                <w:highlight w:val="none"/>
              </w:rPr>
            </w:pPr>
          </w:p>
          <w:p w14:paraId="6E4FFD78">
            <w:pPr>
              <w:spacing w:line="246" w:lineRule="auto"/>
              <w:rPr>
                <w:rFonts w:hint="eastAsia" w:ascii="宋体" w:hAnsi="宋体" w:eastAsia="宋体" w:cs="宋体"/>
                <w:color w:val="auto"/>
                <w:sz w:val="24"/>
                <w:szCs w:val="24"/>
                <w:highlight w:val="none"/>
              </w:rPr>
            </w:pPr>
          </w:p>
          <w:p w14:paraId="09A1B0C5">
            <w:pPr>
              <w:spacing w:line="246" w:lineRule="auto"/>
              <w:rPr>
                <w:rFonts w:hint="eastAsia" w:ascii="宋体" w:hAnsi="宋体" w:eastAsia="宋体" w:cs="宋体"/>
                <w:color w:val="auto"/>
                <w:sz w:val="24"/>
                <w:szCs w:val="24"/>
                <w:highlight w:val="none"/>
              </w:rPr>
            </w:pPr>
          </w:p>
          <w:p w14:paraId="348CAAD3">
            <w:pPr>
              <w:pStyle w:val="23"/>
              <w:spacing w:before="65"/>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w:t>
            </w:r>
          </w:p>
        </w:tc>
        <w:tc>
          <w:tcPr>
            <w:tcW w:w="1161" w:type="dxa"/>
            <w:vMerge w:val="continue"/>
            <w:tcBorders>
              <w:top w:val="nil"/>
            </w:tcBorders>
            <w:vAlign w:val="top"/>
          </w:tcPr>
          <w:p w14:paraId="3818152F">
            <w:pPr>
              <w:rPr>
                <w:rFonts w:hint="eastAsia" w:ascii="宋体" w:hAnsi="宋体" w:eastAsia="宋体" w:cs="宋体"/>
                <w:color w:val="auto"/>
                <w:sz w:val="24"/>
                <w:szCs w:val="24"/>
                <w:highlight w:val="none"/>
              </w:rPr>
            </w:pPr>
          </w:p>
        </w:tc>
        <w:tc>
          <w:tcPr>
            <w:tcW w:w="2381" w:type="dxa"/>
            <w:gridSpan w:val="2"/>
            <w:vAlign w:val="top"/>
          </w:tcPr>
          <w:p w14:paraId="77D6674D">
            <w:pPr>
              <w:spacing w:line="271" w:lineRule="auto"/>
              <w:rPr>
                <w:rFonts w:hint="eastAsia" w:ascii="宋体" w:hAnsi="宋体" w:eastAsia="宋体" w:cs="宋体"/>
                <w:color w:val="auto"/>
                <w:sz w:val="24"/>
                <w:szCs w:val="24"/>
                <w:highlight w:val="none"/>
              </w:rPr>
            </w:pPr>
          </w:p>
          <w:p w14:paraId="0DA88942">
            <w:pPr>
              <w:spacing w:line="271" w:lineRule="auto"/>
              <w:rPr>
                <w:rFonts w:hint="eastAsia" w:ascii="宋体" w:hAnsi="宋体" w:eastAsia="宋体" w:cs="宋体"/>
                <w:color w:val="auto"/>
                <w:sz w:val="24"/>
                <w:szCs w:val="24"/>
                <w:highlight w:val="none"/>
              </w:rPr>
            </w:pPr>
          </w:p>
          <w:p w14:paraId="5726744E">
            <w:pPr>
              <w:spacing w:line="272" w:lineRule="auto"/>
              <w:rPr>
                <w:rFonts w:hint="eastAsia" w:ascii="宋体" w:hAnsi="宋体" w:eastAsia="宋体" w:cs="宋体"/>
                <w:color w:val="auto"/>
                <w:sz w:val="24"/>
                <w:szCs w:val="24"/>
                <w:highlight w:val="none"/>
              </w:rPr>
            </w:pPr>
          </w:p>
          <w:p w14:paraId="316AC7DA">
            <w:pPr>
              <w:spacing w:line="272" w:lineRule="auto"/>
              <w:rPr>
                <w:rFonts w:hint="eastAsia" w:ascii="宋体" w:hAnsi="宋体" w:eastAsia="宋体" w:cs="宋体"/>
                <w:color w:val="auto"/>
                <w:sz w:val="24"/>
                <w:szCs w:val="24"/>
                <w:highlight w:val="none"/>
              </w:rPr>
            </w:pPr>
          </w:p>
          <w:p w14:paraId="6A27A011">
            <w:pPr>
              <w:pStyle w:val="23"/>
              <w:spacing w:before="65" w:line="280" w:lineRule="auto"/>
              <w:ind w:left="112" w:right="173" w:firstLine="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工程施工的重点和难点</w:t>
            </w:r>
            <w:r>
              <w:rPr>
                <w:rFonts w:hint="eastAsia" w:ascii="宋体" w:hAnsi="宋体" w:eastAsia="宋体" w:cs="宋体"/>
                <w:color w:val="auto"/>
                <w:spacing w:val="6"/>
                <w:sz w:val="24"/>
                <w:szCs w:val="24"/>
                <w:highlight w:val="none"/>
              </w:rPr>
              <w:t xml:space="preserve"> 及保证措施（</w:t>
            </w:r>
            <w:r>
              <w:rPr>
                <w:rFonts w:hint="eastAsia"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分</w:t>
            </w:r>
            <w:r>
              <w:rPr>
                <w:rFonts w:hint="eastAsia" w:ascii="宋体" w:hAnsi="宋体" w:eastAsia="宋体" w:cs="宋体"/>
                <w:color w:val="auto"/>
                <w:spacing w:val="6"/>
                <w:sz w:val="24"/>
                <w:szCs w:val="24"/>
                <w:highlight w:val="none"/>
              </w:rPr>
              <w:t>）</w:t>
            </w:r>
          </w:p>
        </w:tc>
        <w:tc>
          <w:tcPr>
            <w:tcW w:w="4733" w:type="dxa"/>
            <w:vAlign w:val="top"/>
          </w:tcPr>
          <w:p w14:paraId="6AF8B96C">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）：对项目关键技术、工艺有深入的表述。对重点、难点有先进合理的施工措施并有可行的安全措施，解决方案完整、经济、安全、切实可行，措施得力。</w:t>
            </w:r>
          </w:p>
          <w:p w14:paraId="5560F8B2">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）：对项目关键技术、工艺有深入的表述，对重点、难点有合理的建议， 解决方案经济、安全、基本可行。</w:t>
            </w:r>
          </w:p>
          <w:p w14:paraId="4C598444">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）：对项目关键技术有一定了解，对重点、难点有建议，解决方案基本可行。</w:t>
            </w:r>
          </w:p>
        </w:tc>
      </w:tr>
      <w:tr w14:paraId="3A7B1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819" w:type="dxa"/>
            <w:vAlign w:val="top"/>
          </w:tcPr>
          <w:p w14:paraId="48C82085">
            <w:pPr>
              <w:spacing w:line="271" w:lineRule="auto"/>
              <w:rPr>
                <w:rFonts w:hint="eastAsia" w:ascii="宋体" w:hAnsi="宋体" w:eastAsia="宋体" w:cs="宋体"/>
                <w:color w:val="auto"/>
                <w:sz w:val="24"/>
                <w:szCs w:val="24"/>
                <w:highlight w:val="none"/>
              </w:rPr>
            </w:pPr>
          </w:p>
          <w:p w14:paraId="2E7A92A2">
            <w:pPr>
              <w:spacing w:line="271" w:lineRule="auto"/>
              <w:rPr>
                <w:rFonts w:hint="eastAsia" w:ascii="宋体" w:hAnsi="宋体" w:eastAsia="宋体" w:cs="宋体"/>
                <w:color w:val="auto"/>
                <w:sz w:val="24"/>
                <w:szCs w:val="24"/>
                <w:highlight w:val="none"/>
              </w:rPr>
            </w:pPr>
          </w:p>
          <w:p w14:paraId="69CF7070">
            <w:pPr>
              <w:spacing w:line="272" w:lineRule="auto"/>
              <w:rPr>
                <w:rFonts w:hint="eastAsia" w:ascii="宋体" w:hAnsi="宋体" w:eastAsia="宋体" w:cs="宋体"/>
                <w:color w:val="auto"/>
                <w:sz w:val="24"/>
                <w:szCs w:val="24"/>
                <w:highlight w:val="none"/>
              </w:rPr>
            </w:pPr>
          </w:p>
          <w:p w14:paraId="0EC576A1">
            <w:pPr>
              <w:pStyle w:val="23"/>
              <w:spacing w:before="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61" w:type="dxa"/>
            <w:vAlign w:val="top"/>
          </w:tcPr>
          <w:p w14:paraId="7E3BF69E">
            <w:pPr>
              <w:rPr>
                <w:rFonts w:hint="eastAsia" w:ascii="宋体" w:hAnsi="宋体" w:eastAsia="宋体" w:cs="宋体"/>
                <w:color w:val="auto"/>
                <w:sz w:val="24"/>
                <w:szCs w:val="24"/>
                <w:highlight w:val="none"/>
              </w:rPr>
            </w:pPr>
          </w:p>
        </w:tc>
        <w:tc>
          <w:tcPr>
            <w:tcW w:w="2381" w:type="dxa"/>
            <w:gridSpan w:val="2"/>
            <w:vAlign w:val="top"/>
          </w:tcPr>
          <w:p w14:paraId="745D4B7C">
            <w:pPr>
              <w:spacing w:line="334" w:lineRule="auto"/>
              <w:rPr>
                <w:rFonts w:hint="eastAsia" w:ascii="宋体" w:hAnsi="宋体" w:eastAsia="宋体" w:cs="宋体"/>
                <w:color w:val="auto"/>
                <w:sz w:val="24"/>
                <w:szCs w:val="24"/>
                <w:highlight w:val="none"/>
              </w:rPr>
            </w:pPr>
          </w:p>
          <w:p w14:paraId="47C6E994">
            <w:pPr>
              <w:spacing w:line="335" w:lineRule="auto"/>
              <w:rPr>
                <w:rFonts w:hint="eastAsia" w:ascii="宋体" w:hAnsi="宋体" w:eastAsia="宋体" w:cs="宋体"/>
                <w:color w:val="auto"/>
                <w:sz w:val="24"/>
                <w:szCs w:val="24"/>
                <w:highlight w:val="none"/>
              </w:rPr>
            </w:pPr>
          </w:p>
          <w:p w14:paraId="6FD02B19">
            <w:pPr>
              <w:pStyle w:val="23"/>
              <w:spacing w:before="65" w:line="280" w:lineRule="auto"/>
              <w:ind w:left="115" w:right="277" w:hanging="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施工总平面布置图（</w:t>
            </w:r>
            <w:r>
              <w:rPr>
                <w:rFonts w:hint="eastAsia" w:cs="宋体"/>
                <w:color w:val="auto"/>
                <w:spacing w:val="8"/>
                <w:sz w:val="24"/>
                <w:szCs w:val="24"/>
                <w:highlight w:val="none"/>
                <w:lang w:val="en-US" w:eastAsia="zh-CN"/>
              </w:rPr>
              <w:t>6</w:t>
            </w:r>
            <w:r>
              <w:rPr>
                <w:rFonts w:hint="eastAsia" w:ascii="宋体" w:hAnsi="宋体" w:eastAsia="宋体" w:cs="宋体"/>
                <w:color w:val="auto"/>
                <w:spacing w:val="-1"/>
                <w:sz w:val="24"/>
                <w:szCs w:val="24"/>
                <w:highlight w:val="none"/>
              </w:rPr>
              <w:t>分</w:t>
            </w:r>
            <w:r>
              <w:rPr>
                <w:rFonts w:hint="eastAsia" w:ascii="宋体" w:hAnsi="宋体" w:eastAsia="宋体" w:cs="宋体"/>
                <w:color w:val="auto"/>
                <w:spacing w:val="-1"/>
                <w:sz w:val="24"/>
                <w:szCs w:val="24"/>
                <w:highlight w:val="none"/>
              </w:rPr>
              <w:t>）</w:t>
            </w:r>
          </w:p>
        </w:tc>
        <w:tc>
          <w:tcPr>
            <w:tcW w:w="4733" w:type="dxa"/>
            <w:vAlign w:val="top"/>
          </w:tcPr>
          <w:p w14:paraId="7C35780F">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一档（</w:t>
            </w:r>
            <w:r>
              <w:rPr>
                <w:rFonts w:hint="eastAsia" w:cs="宋体"/>
                <w:color w:val="auto"/>
                <w:spacing w:val="3"/>
                <w:sz w:val="24"/>
                <w:szCs w:val="24"/>
                <w:highlight w:val="none"/>
                <w:lang w:val="en-US" w:eastAsia="zh-CN"/>
              </w:rPr>
              <w:t>6</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）：总体布置有针对性、合理，较好满足施工需要，符合安全、文明生产要求。</w:t>
            </w:r>
          </w:p>
          <w:p w14:paraId="11DD731B">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二档（</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）：总体布置合理，能满足施工需要，基本符合安全、文明生产要求。</w:t>
            </w:r>
          </w:p>
          <w:p w14:paraId="2A165736">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三档（</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分</w:t>
            </w:r>
            <w:r>
              <w:rPr>
                <w:rFonts w:hint="eastAsia" w:ascii="宋体" w:hAnsi="宋体" w:eastAsia="宋体" w:cs="宋体"/>
                <w:color w:val="auto"/>
                <w:spacing w:val="3"/>
                <w:sz w:val="24"/>
                <w:szCs w:val="24"/>
                <w:highlight w:val="none"/>
              </w:rPr>
              <w:t>）：总体布置基本合理，基本满足施工需要。</w:t>
            </w:r>
          </w:p>
        </w:tc>
      </w:tr>
      <w:tr w14:paraId="7530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819" w:type="dxa"/>
            <w:vAlign w:val="center"/>
          </w:tcPr>
          <w:p w14:paraId="56972349">
            <w:pPr>
              <w:pStyle w:val="23"/>
              <w:spacing w:before="65"/>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p>
        </w:tc>
        <w:tc>
          <w:tcPr>
            <w:tcW w:w="1161" w:type="dxa"/>
            <w:vAlign w:val="center"/>
          </w:tcPr>
          <w:p w14:paraId="4630317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业绩分（10分）</w:t>
            </w:r>
          </w:p>
        </w:tc>
        <w:tc>
          <w:tcPr>
            <w:tcW w:w="7114" w:type="dxa"/>
            <w:gridSpan w:val="3"/>
            <w:vAlign w:val="center"/>
          </w:tcPr>
          <w:p w14:paraId="2FC2DF10">
            <w:pPr>
              <w:pStyle w:val="23"/>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供应商2021年1月1日（含1日）以来提供1个类似项目业绩的得5分，本项最多得10分。（类似项目业绩证明材料：提供项目的中标（成交）通知书或施工合同，未提供不得分。）</w:t>
            </w:r>
          </w:p>
        </w:tc>
      </w:tr>
      <w:tr w14:paraId="1995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94" w:type="dxa"/>
            <w:gridSpan w:val="5"/>
            <w:vAlign w:val="top"/>
          </w:tcPr>
          <w:p w14:paraId="4361FBF8">
            <w:pPr>
              <w:pStyle w:val="23"/>
              <w:spacing w:before="113" w:line="228"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总得分＝1＋2</w:t>
            </w:r>
          </w:p>
        </w:tc>
      </w:tr>
    </w:tbl>
    <w:p w14:paraId="0D80DF79">
      <w:pPr>
        <w:spacing w:before="130" w:line="432" w:lineRule="auto"/>
        <w:ind w:left="118" w:right="24" w:firstLine="4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7.由磋商小组根据综合评分情况，按照评审得分由高到低顺序推荐</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7"/>
          <w:sz w:val="24"/>
          <w:szCs w:val="24"/>
          <w:highlight w:val="none"/>
        </w:rPr>
        <w:t>名以上成交候选供应商，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并编写评审报告。符合本章第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0"/>
          <w:sz w:val="24"/>
          <w:szCs w:val="24"/>
          <w:highlight w:val="none"/>
        </w:rPr>
        <w:t>4.3</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0"/>
          <w:sz w:val="24"/>
          <w:szCs w:val="24"/>
          <w:highlight w:val="none"/>
        </w:rPr>
        <w:t>条情形的，可以推</w:t>
      </w:r>
      <w:r>
        <w:rPr>
          <w:rFonts w:hint="eastAsia" w:ascii="宋体" w:hAnsi="宋体" w:eastAsia="宋体" w:cs="宋体"/>
          <w:color w:val="auto"/>
          <w:spacing w:val="9"/>
          <w:sz w:val="24"/>
          <w:szCs w:val="24"/>
          <w:highlight w:val="none"/>
        </w:rPr>
        <w:t>荐</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9"/>
          <w:sz w:val="24"/>
          <w:szCs w:val="24"/>
          <w:highlight w:val="none"/>
        </w:rPr>
        <w:t>2</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9"/>
          <w:sz w:val="24"/>
          <w:szCs w:val="24"/>
          <w:highlight w:val="none"/>
        </w:rPr>
        <w:t xml:space="preserve">家成交候选供应商。评审得分相同的， </w:t>
      </w:r>
      <w:r>
        <w:rPr>
          <w:rFonts w:hint="eastAsia" w:ascii="宋体" w:hAnsi="宋体" w:eastAsia="宋体" w:cs="宋体"/>
          <w:color w:val="auto"/>
          <w:spacing w:val="8"/>
          <w:sz w:val="24"/>
          <w:szCs w:val="24"/>
          <w:highlight w:val="none"/>
        </w:rPr>
        <w:t>按照最后报价（不计算价格折扣）由低到高的顺序推荐。评审得分且最后报价（不计算价格折扣）</w:t>
      </w:r>
      <w:r>
        <w:rPr>
          <w:rFonts w:hint="eastAsia" w:ascii="宋体" w:hAnsi="宋体" w:eastAsia="宋体" w:cs="宋体"/>
          <w:color w:val="auto"/>
          <w:spacing w:val="11"/>
          <w:sz w:val="24"/>
          <w:szCs w:val="24"/>
          <w:highlight w:val="none"/>
        </w:rPr>
        <w:t>相同的，按照技术指标优劣顺序推荐（按技术得分由高到低排序，技术得分相同的按照技术需求</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偏离分由高到低排序）</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0"/>
          <w:sz w:val="24"/>
          <w:szCs w:val="24"/>
          <w:highlight w:val="none"/>
        </w:rPr>
        <w:t>。评审得分、最后报价（不计算价格折扣）、技术得分、技术需求偏离分</w:t>
      </w:r>
      <w:r>
        <w:rPr>
          <w:rFonts w:hint="eastAsia" w:ascii="宋体" w:hAnsi="宋体" w:eastAsia="宋体" w:cs="宋体"/>
          <w:color w:val="auto"/>
          <w:spacing w:val="8"/>
          <w:sz w:val="24"/>
          <w:szCs w:val="24"/>
          <w:highlight w:val="none"/>
        </w:rPr>
        <w:t>均相同的，由磋商小组随机抽取推荐。</w:t>
      </w:r>
    </w:p>
    <w:p w14:paraId="2EEF8602">
      <w:pPr>
        <w:spacing w:line="226" w:lineRule="auto"/>
        <w:rPr>
          <w:rFonts w:hint="eastAsia" w:ascii="宋体" w:hAnsi="宋体" w:eastAsia="宋体" w:cs="宋体"/>
          <w:color w:val="auto"/>
          <w:sz w:val="24"/>
          <w:szCs w:val="24"/>
          <w:highlight w:val="none"/>
        </w:rPr>
        <w:sectPr>
          <w:footerReference r:id="rId12" w:type="default"/>
          <w:pgSz w:w="11905" w:h="16838"/>
          <w:pgMar w:top="1134" w:right="1134" w:bottom="1134" w:left="1134" w:header="0" w:footer="992" w:gutter="0"/>
          <w:pgNumType w:fmt="decimal"/>
          <w:cols w:space="0" w:num="1"/>
          <w:rtlGutter w:val="0"/>
          <w:docGrid w:linePitch="0" w:charSpace="0"/>
        </w:sectPr>
      </w:pPr>
    </w:p>
    <w:p w14:paraId="4144B915">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85" w:name="_Toc23031"/>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 合同条款及格式</w:t>
      </w:r>
      <w:bookmarkEnd w:id="85"/>
    </w:p>
    <w:p w14:paraId="20660F0A">
      <w:pPr>
        <w:bidi w:val="0"/>
        <w:rPr>
          <w:rFonts w:hint="eastAsia"/>
          <w:color w:val="auto"/>
          <w:highlight w:val="none"/>
        </w:rPr>
      </w:pPr>
    </w:p>
    <w:p w14:paraId="1CB82B01">
      <w:pPr>
        <w:spacing w:line="400" w:lineRule="exact"/>
        <w:rPr>
          <w:rFonts w:hint="eastAsia" w:ascii="宋体" w:hAnsi="宋体" w:cs="宋体"/>
          <w:color w:val="auto"/>
          <w:highlight w:val="none"/>
        </w:rPr>
      </w:pPr>
    </w:p>
    <w:p w14:paraId="56436D45">
      <w:pPr>
        <w:keepNext/>
        <w:keepLines/>
        <w:spacing w:after="120"/>
        <w:jc w:val="center"/>
        <w:outlineLvl w:val="0"/>
        <w:rPr>
          <w:rFonts w:ascii="宋体" w:hAnsi="Calibri"/>
          <w:b/>
          <w:bCs/>
          <w:color w:val="auto"/>
          <w:kern w:val="44"/>
          <w:sz w:val="44"/>
          <w:szCs w:val="44"/>
          <w:highlight w:val="none"/>
        </w:rPr>
      </w:pPr>
      <w:bookmarkStart w:id="86" w:name="_Toc445202861"/>
      <w:bookmarkStart w:id="87" w:name="_Toc25933"/>
      <w:r>
        <w:rPr>
          <w:rFonts w:hint="eastAsia" w:ascii="宋体" w:hAnsi="宋体"/>
          <w:b/>
          <w:bCs/>
          <w:color w:val="auto"/>
          <w:kern w:val="44"/>
          <w:sz w:val="44"/>
          <w:szCs w:val="44"/>
          <w:highlight w:val="none"/>
        </w:rPr>
        <w:t>第一节通用合同条款</w:t>
      </w:r>
      <w:bookmarkEnd w:id="86"/>
      <w:bookmarkEnd w:id="87"/>
    </w:p>
    <w:p w14:paraId="6AF514EA">
      <w:pPr>
        <w:spacing w:before="240" w:line="400" w:lineRule="exact"/>
        <w:jc w:val="center"/>
        <w:rPr>
          <w:rFonts w:ascii="黑体" w:hAnsi="Calibri" w:eastAsia="黑体"/>
          <w:color w:val="auto"/>
          <w:sz w:val="36"/>
          <w:szCs w:val="36"/>
          <w:highlight w:val="none"/>
        </w:rPr>
      </w:pPr>
      <w:r>
        <w:rPr>
          <w:rFonts w:hint="eastAsia" w:ascii="黑体" w:hAnsi="Calibri" w:eastAsia="黑体"/>
          <w:color w:val="auto"/>
          <w:sz w:val="36"/>
          <w:szCs w:val="36"/>
          <w:highlight w:val="none"/>
        </w:rPr>
        <w:t>通用合同条款</w:t>
      </w:r>
    </w:p>
    <w:p w14:paraId="1935D344">
      <w:pPr>
        <w:spacing w:line="400" w:lineRule="exact"/>
        <w:rPr>
          <w:rFonts w:ascii="Calibri" w:hAnsi="Calibri"/>
          <w:color w:val="auto"/>
          <w:highlight w:val="none"/>
        </w:rPr>
      </w:pPr>
    </w:p>
    <w:p w14:paraId="64AACE6A">
      <w:pPr>
        <w:keepNext/>
        <w:keepLines/>
        <w:spacing w:line="400" w:lineRule="exact"/>
        <w:outlineLvl w:val="1"/>
        <w:rPr>
          <w:rFonts w:eastAsia="黑体" w:cs="宋体"/>
          <w:color w:val="auto"/>
          <w:sz w:val="24"/>
          <w:highlight w:val="none"/>
        </w:rPr>
      </w:pPr>
      <w:bookmarkStart w:id="88" w:name="_Toc275242222"/>
      <w:bookmarkStart w:id="89" w:name="_Toc179632629"/>
      <w:bookmarkStart w:id="90" w:name="_Toc152042389"/>
      <w:bookmarkStart w:id="91" w:name="_Toc30393"/>
      <w:bookmarkStart w:id="92" w:name="_Toc152045611"/>
      <w:bookmarkStart w:id="93" w:name="_Toc144974579"/>
      <w:r>
        <w:rPr>
          <w:rFonts w:eastAsia="黑体" w:cs="宋体"/>
          <w:color w:val="auto"/>
          <w:sz w:val="24"/>
          <w:highlight w:val="none"/>
        </w:rPr>
        <w:t xml:space="preserve">1. </w:t>
      </w:r>
      <w:r>
        <w:rPr>
          <w:rFonts w:hint="eastAsia" w:eastAsia="黑体" w:cs="宋体"/>
          <w:color w:val="auto"/>
          <w:sz w:val="24"/>
          <w:highlight w:val="none"/>
        </w:rPr>
        <w:t>一般约定</w:t>
      </w:r>
      <w:bookmarkEnd w:id="88"/>
      <w:bookmarkEnd w:id="89"/>
      <w:bookmarkEnd w:id="90"/>
      <w:bookmarkEnd w:id="91"/>
      <w:bookmarkEnd w:id="92"/>
      <w:bookmarkEnd w:id="93"/>
    </w:p>
    <w:p w14:paraId="1BDF93AC">
      <w:pPr>
        <w:keepNext/>
        <w:keepLines/>
        <w:spacing w:line="400" w:lineRule="exact"/>
        <w:outlineLvl w:val="2"/>
        <w:rPr>
          <w:rFonts w:ascii="Calibri" w:hAnsi="Calibri" w:eastAsia="黑体" w:cs="宋体"/>
          <w:color w:val="auto"/>
          <w:sz w:val="24"/>
          <w:highlight w:val="none"/>
        </w:rPr>
      </w:pPr>
      <w:bookmarkStart w:id="94" w:name="_Toc152045612"/>
      <w:bookmarkStart w:id="95" w:name="_Toc179632630"/>
      <w:bookmarkStart w:id="96" w:name="_Toc28752"/>
      <w:bookmarkStart w:id="97" w:name="_Toc144974580"/>
      <w:bookmarkStart w:id="98" w:name="_Toc152042390"/>
      <w:bookmarkStart w:id="99" w:name="_Toc275242223"/>
      <w:r>
        <w:rPr>
          <w:rFonts w:ascii="Calibri" w:hAnsi="Calibri" w:eastAsia="黑体" w:cs="宋体"/>
          <w:color w:val="auto"/>
          <w:sz w:val="24"/>
          <w:highlight w:val="none"/>
        </w:rPr>
        <w:t xml:space="preserve">1.1 </w:t>
      </w:r>
      <w:r>
        <w:rPr>
          <w:rFonts w:hint="eastAsia" w:ascii="Calibri" w:hAnsi="Calibri" w:eastAsia="黑体" w:cs="宋体"/>
          <w:color w:val="auto"/>
          <w:sz w:val="24"/>
          <w:highlight w:val="none"/>
        </w:rPr>
        <w:t>词语定义</w:t>
      </w:r>
      <w:bookmarkEnd w:id="94"/>
      <w:bookmarkEnd w:id="95"/>
      <w:bookmarkEnd w:id="96"/>
      <w:bookmarkEnd w:id="97"/>
      <w:bookmarkEnd w:id="98"/>
      <w:bookmarkEnd w:id="99"/>
    </w:p>
    <w:p w14:paraId="3079981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通用合同条款、专用合同条款中的下列词语应具有本款所赋予的含义。</w:t>
      </w:r>
    </w:p>
    <w:p w14:paraId="602104B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1.1.1 </w:t>
      </w:r>
      <w:r>
        <w:rPr>
          <w:rFonts w:hint="eastAsia" w:ascii="黑体" w:hAnsi="Calibri" w:eastAsia="黑体"/>
          <w:color w:val="auto"/>
          <w:sz w:val="24"/>
          <w:highlight w:val="none"/>
        </w:rPr>
        <w:t>合同</w:t>
      </w:r>
    </w:p>
    <w:p w14:paraId="664C591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1.1.1.1 </w:t>
      </w:r>
      <w:r>
        <w:rPr>
          <w:rFonts w:hint="eastAsia" w:ascii="Calibri" w:hAnsi="Calibri"/>
          <w:color w:val="auto"/>
          <w:sz w:val="24"/>
          <w:highlight w:val="none"/>
        </w:rPr>
        <w:t>合同文件（或称合同）：指合同协议书、中标通知书、投标函及投标函附录、专用合同条款、通用合同条款、技术标准和要求、图纸、已标价工程量清单，以及其他合同文件。</w:t>
      </w:r>
    </w:p>
    <w:p w14:paraId="297BF733">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1.1.1.2 </w:t>
      </w:r>
      <w:r>
        <w:rPr>
          <w:rFonts w:hint="eastAsia" w:ascii="Calibri" w:hAnsi="Calibri"/>
          <w:color w:val="auto"/>
          <w:sz w:val="24"/>
          <w:highlight w:val="none"/>
        </w:rPr>
        <w:t>合同协议书：指第</w:t>
      </w:r>
      <w:r>
        <w:rPr>
          <w:rFonts w:ascii="Calibri" w:hAnsi="Calibri"/>
          <w:color w:val="auto"/>
          <w:sz w:val="24"/>
          <w:highlight w:val="none"/>
        </w:rPr>
        <w:t>1.5</w:t>
      </w:r>
      <w:r>
        <w:rPr>
          <w:rFonts w:hint="eastAsia" w:ascii="Calibri" w:hAnsi="Calibri"/>
          <w:color w:val="auto"/>
          <w:sz w:val="24"/>
          <w:highlight w:val="none"/>
        </w:rPr>
        <w:t>款所指的合同协议书。</w:t>
      </w:r>
    </w:p>
    <w:p w14:paraId="78C6A905">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1.1.1.3 </w:t>
      </w:r>
      <w:r>
        <w:rPr>
          <w:rFonts w:hint="eastAsia" w:ascii="Calibri" w:hAnsi="Calibri"/>
          <w:color w:val="auto"/>
          <w:sz w:val="24"/>
          <w:highlight w:val="none"/>
        </w:rPr>
        <w:t>中标通知书：指发包人通知承包人中标的函件。</w:t>
      </w:r>
    </w:p>
    <w:p w14:paraId="21BA60C9">
      <w:pPr>
        <w:spacing w:line="400" w:lineRule="exact"/>
        <w:ind w:firstLine="820" w:firstLineChars="342"/>
        <w:rPr>
          <w:rFonts w:ascii="Calibri" w:hAnsi="Calibri"/>
          <w:dstrike/>
          <w:color w:val="auto"/>
          <w:sz w:val="24"/>
          <w:highlight w:val="none"/>
        </w:rPr>
      </w:pPr>
      <w:r>
        <w:rPr>
          <w:rFonts w:ascii="Calibri" w:hAnsi="Calibri"/>
          <w:color w:val="auto"/>
          <w:sz w:val="24"/>
          <w:highlight w:val="none"/>
        </w:rPr>
        <w:t xml:space="preserve">1.1.1.4 </w:t>
      </w:r>
      <w:r>
        <w:rPr>
          <w:rFonts w:hint="eastAsia" w:ascii="Calibri" w:hAnsi="Calibri"/>
          <w:color w:val="auto"/>
          <w:sz w:val="24"/>
          <w:highlight w:val="none"/>
        </w:rPr>
        <w:t>投标函：指构成合同文件组成部分的由承包人填写并签署的投标函。</w:t>
      </w:r>
    </w:p>
    <w:p w14:paraId="15AA8744">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1.1.1.5 </w:t>
      </w:r>
      <w:r>
        <w:rPr>
          <w:rFonts w:hint="eastAsia" w:ascii="Calibri" w:hAnsi="Calibri"/>
          <w:color w:val="auto"/>
          <w:sz w:val="24"/>
          <w:highlight w:val="none"/>
        </w:rPr>
        <w:t>投标函附录：指附在投标函后构成合同文件的投标函附录。</w:t>
      </w:r>
    </w:p>
    <w:p w14:paraId="4B44E03A">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1.1.1.6 </w:t>
      </w:r>
      <w:r>
        <w:rPr>
          <w:rFonts w:hint="eastAsia" w:ascii="Calibri" w:hAnsi="Calibri"/>
          <w:color w:val="auto"/>
          <w:sz w:val="24"/>
          <w:highlight w:val="none"/>
        </w:rPr>
        <w:t>技术标准和要求：指构成合同文件组成部分的名为技术标准和要求的文件，包括合同双方当事人约定对其所作的修改或补充。</w:t>
      </w:r>
    </w:p>
    <w:p w14:paraId="0E9C0038">
      <w:pPr>
        <w:spacing w:line="400" w:lineRule="exact"/>
        <w:ind w:firstLine="820" w:firstLineChars="342"/>
        <w:rPr>
          <w:rFonts w:ascii="Calibri" w:hAnsi="Calibri"/>
          <w:color w:val="auto"/>
          <w:sz w:val="24"/>
          <w:highlight w:val="none"/>
        </w:rPr>
      </w:pPr>
      <w:r>
        <w:rPr>
          <w:rFonts w:ascii="Calibri" w:hAnsi="Calibri"/>
          <w:color w:val="auto"/>
          <w:sz w:val="24"/>
          <w:highlight w:val="none"/>
        </w:rPr>
        <w:t>1.1.1.7</w:t>
      </w:r>
      <w:r>
        <w:rPr>
          <w:rFonts w:hint="eastAsia" w:ascii="Calibri" w:hAnsi="Calibri"/>
          <w:color w:val="auto"/>
          <w:sz w:val="24"/>
          <w:highlight w:val="none"/>
        </w:rPr>
        <w:t>图纸：指包含在合同中的工程图纸，以及由发包人按合同约定提供的任何补充和修改的图纸，包括配套的说明。</w:t>
      </w:r>
    </w:p>
    <w:p w14:paraId="685009F7">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1.1.1.8 </w:t>
      </w:r>
      <w:r>
        <w:rPr>
          <w:rFonts w:hint="eastAsia" w:ascii="Calibri" w:hAnsi="Calibri"/>
          <w:color w:val="auto"/>
          <w:sz w:val="24"/>
          <w:highlight w:val="none"/>
        </w:rPr>
        <w:t>已标价工程量清单：指构成合同文件组成部分的由承包人按照规定的格式和要求填写并标明价格的工程量清单。</w:t>
      </w:r>
    </w:p>
    <w:p w14:paraId="55C2A2D3">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1.1.1.9 </w:t>
      </w:r>
      <w:r>
        <w:rPr>
          <w:rFonts w:hint="eastAsia" w:ascii="Calibri" w:hAnsi="Calibri"/>
          <w:color w:val="auto"/>
          <w:sz w:val="24"/>
          <w:highlight w:val="none"/>
        </w:rPr>
        <w:t>其他合同文件：指经合同双方当事人确认构成合同文件的其他文件。</w:t>
      </w:r>
    </w:p>
    <w:p w14:paraId="12BB460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1.1.2 </w:t>
      </w:r>
      <w:r>
        <w:rPr>
          <w:rFonts w:hint="eastAsia" w:ascii="黑体" w:hAnsi="Calibri" w:eastAsia="黑体"/>
          <w:color w:val="auto"/>
          <w:sz w:val="24"/>
          <w:highlight w:val="none"/>
        </w:rPr>
        <w:t>合同当事人和人员</w:t>
      </w:r>
    </w:p>
    <w:p w14:paraId="0773F982">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1.1.2.1 </w:t>
      </w:r>
      <w:r>
        <w:rPr>
          <w:rFonts w:hint="eastAsia" w:ascii="Calibri" w:hAnsi="Calibri"/>
          <w:color w:val="auto"/>
          <w:sz w:val="24"/>
          <w:highlight w:val="none"/>
        </w:rPr>
        <w:t>合同当事人：指发包人和（或）承包人。</w:t>
      </w:r>
    </w:p>
    <w:p w14:paraId="050DCB57">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1.1.2.2 </w:t>
      </w:r>
      <w:r>
        <w:rPr>
          <w:rFonts w:hint="eastAsia" w:ascii="Calibri" w:hAnsi="Calibri"/>
          <w:color w:val="auto"/>
          <w:sz w:val="24"/>
          <w:highlight w:val="none"/>
        </w:rPr>
        <w:t>发包人：指专用合同条款中指明并与承包人在合同协议书中签字的当事人。</w:t>
      </w:r>
    </w:p>
    <w:p w14:paraId="173EC3C9">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1.1.2.3 </w:t>
      </w:r>
      <w:r>
        <w:rPr>
          <w:rFonts w:hint="eastAsia" w:ascii="Calibri" w:hAnsi="Calibri"/>
          <w:color w:val="auto"/>
          <w:sz w:val="24"/>
          <w:highlight w:val="none"/>
        </w:rPr>
        <w:t>承包人：指与发包人签订合同协议书的当事人。</w:t>
      </w:r>
    </w:p>
    <w:p w14:paraId="68571A15">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1.1.2.4 </w:t>
      </w:r>
      <w:r>
        <w:rPr>
          <w:rFonts w:hint="eastAsia" w:ascii="Calibri" w:hAnsi="Calibri"/>
          <w:color w:val="auto"/>
          <w:sz w:val="24"/>
          <w:highlight w:val="none"/>
        </w:rPr>
        <w:t>承包人项目经理：指承包人派驻施工场地的全权负责人。</w:t>
      </w:r>
    </w:p>
    <w:p w14:paraId="739D16E2">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1.1.2.5 </w:t>
      </w:r>
      <w:r>
        <w:rPr>
          <w:rFonts w:hint="eastAsia" w:ascii="Calibri" w:hAnsi="Calibri"/>
          <w:color w:val="auto"/>
          <w:sz w:val="24"/>
          <w:highlight w:val="none"/>
        </w:rPr>
        <w:t>分包人：指从承包人处分包合同中某一部分工程，并与其签订分包合同的分包人。</w:t>
      </w:r>
    </w:p>
    <w:p w14:paraId="052D2A2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1.1.2.6 </w:t>
      </w:r>
      <w:r>
        <w:rPr>
          <w:rFonts w:hint="eastAsia" w:ascii="Calibri" w:hAnsi="Calibri"/>
          <w:color w:val="auto"/>
          <w:sz w:val="24"/>
          <w:highlight w:val="none"/>
        </w:rPr>
        <w:t>监理人：指在专用合同条款中指明的，受发包人委托对合同履行实施管理的法人或其他组织。</w:t>
      </w:r>
    </w:p>
    <w:p w14:paraId="15274EC9">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1.1.2.7 </w:t>
      </w:r>
      <w:r>
        <w:rPr>
          <w:rFonts w:hint="eastAsia" w:ascii="Calibri" w:hAnsi="Calibri"/>
          <w:color w:val="auto"/>
          <w:sz w:val="24"/>
          <w:highlight w:val="none"/>
        </w:rPr>
        <w:t>总监理工程师（总监）：指由监理人委派常驻施工场地对合同履行实施管理的全权负责人。</w:t>
      </w:r>
    </w:p>
    <w:p w14:paraId="3C8788F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1.1.3 </w:t>
      </w:r>
      <w:r>
        <w:rPr>
          <w:rFonts w:hint="eastAsia" w:ascii="黑体" w:hAnsi="Calibri" w:eastAsia="黑体"/>
          <w:color w:val="auto"/>
          <w:sz w:val="24"/>
          <w:highlight w:val="none"/>
        </w:rPr>
        <w:t>工程和设备</w:t>
      </w:r>
    </w:p>
    <w:p w14:paraId="6C2D143A">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1.1.3.1 </w:t>
      </w:r>
      <w:r>
        <w:rPr>
          <w:rFonts w:hint="eastAsia" w:ascii="Calibri" w:hAnsi="Calibri"/>
          <w:color w:val="auto"/>
          <w:sz w:val="24"/>
          <w:highlight w:val="none"/>
        </w:rPr>
        <w:t>工程：指永久工程和（或）临时工程。</w:t>
      </w:r>
    </w:p>
    <w:p w14:paraId="35C77D5D">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1.1.3.2 </w:t>
      </w:r>
      <w:r>
        <w:rPr>
          <w:rFonts w:hint="eastAsia" w:ascii="Calibri" w:hAnsi="Calibri"/>
          <w:color w:val="auto"/>
          <w:sz w:val="24"/>
          <w:highlight w:val="none"/>
        </w:rPr>
        <w:t>永久工程：指按合同约定建造并移交给发包人的工程，包括工程设备。</w:t>
      </w:r>
    </w:p>
    <w:p w14:paraId="26A5E32D">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1.1.3.3 </w:t>
      </w:r>
      <w:r>
        <w:rPr>
          <w:rFonts w:hint="eastAsia" w:ascii="Calibri" w:hAnsi="Calibri"/>
          <w:color w:val="auto"/>
          <w:sz w:val="24"/>
          <w:highlight w:val="none"/>
        </w:rPr>
        <w:t>临时工程：指为完成合同约定的永久工程所修建的各类临时性工程，不包括施工设备。</w:t>
      </w:r>
    </w:p>
    <w:p w14:paraId="02E49366">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1.1.3.4 </w:t>
      </w:r>
      <w:r>
        <w:rPr>
          <w:rFonts w:hint="eastAsia" w:ascii="Calibri" w:hAnsi="Calibri"/>
          <w:color w:val="auto"/>
          <w:sz w:val="24"/>
          <w:highlight w:val="none"/>
        </w:rPr>
        <w:t>单位工程：指专用合同条款中指明特定范围的永久工程。</w:t>
      </w:r>
    </w:p>
    <w:p w14:paraId="6A3687B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1.1.3.5 </w:t>
      </w:r>
      <w:r>
        <w:rPr>
          <w:rFonts w:hint="eastAsia" w:ascii="Calibri" w:hAnsi="Calibri"/>
          <w:color w:val="auto"/>
          <w:sz w:val="24"/>
          <w:highlight w:val="none"/>
        </w:rPr>
        <w:t>工程设备：指构成或计划构成永久工程一部分的机电设备、金属结构设备、仪器装置及其他类似的设备和装置。</w:t>
      </w:r>
    </w:p>
    <w:p w14:paraId="2EEF2E18">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1.1.3.6 </w:t>
      </w:r>
      <w:r>
        <w:rPr>
          <w:rFonts w:hint="eastAsia" w:ascii="Calibri" w:hAnsi="Calibri"/>
          <w:color w:val="auto"/>
          <w:sz w:val="24"/>
          <w:highlight w:val="none"/>
        </w:rPr>
        <w:t>施工设备：指为完成合同约定的各项工作所需的设备、器具和其他物品，不包括临时工程和材料。</w:t>
      </w:r>
    </w:p>
    <w:p w14:paraId="1AAB3D85">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1.1.3.7 </w:t>
      </w:r>
      <w:r>
        <w:rPr>
          <w:rFonts w:hint="eastAsia" w:ascii="Calibri" w:hAnsi="Calibri"/>
          <w:color w:val="auto"/>
          <w:sz w:val="24"/>
          <w:highlight w:val="none"/>
        </w:rPr>
        <w:t>临时设施：指为完成合同约定的各项工作所服务的临时性生产和生活设施。</w:t>
      </w:r>
    </w:p>
    <w:p w14:paraId="4BB1409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1.1.3.8 </w:t>
      </w:r>
      <w:r>
        <w:rPr>
          <w:rFonts w:hint="eastAsia" w:ascii="Calibri" w:hAnsi="Calibri"/>
          <w:color w:val="auto"/>
          <w:sz w:val="24"/>
          <w:highlight w:val="none"/>
        </w:rPr>
        <w:t>承包人设备：指承包人自带的施工设备。</w:t>
      </w:r>
    </w:p>
    <w:p w14:paraId="076C4FDB">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1.1.3.9 </w:t>
      </w:r>
      <w:r>
        <w:rPr>
          <w:rFonts w:hint="eastAsia" w:ascii="Calibri" w:hAnsi="Calibri"/>
          <w:color w:val="auto"/>
          <w:sz w:val="24"/>
          <w:highlight w:val="none"/>
        </w:rPr>
        <w:t>施工场地（或称工地、现场）：指用于合同工程施工的场所，以及在合同中指定作为施工场地组成部分的其他场所，包括永久占地和临时占地。</w:t>
      </w:r>
    </w:p>
    <w:p w14:paraId="55A46A34">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1.1.3.10 </w:t>
      </w:r>
      <w:r>
        <w:rPr>
          <w:rFonts w:hint="eastAsia" w:ascii="Calibri" w:hAnsi="Calibri"/>
          <w:color w:val="auto"/>
          <w:sz w:val="24"/>
          <w:highlight w:val="none"/>
        </w:rPr>
        <w:t>永久占地：指专用合同条款中指明为实施合同工程需永久占用的土地。</w:t>
      </w:r>
    </w:p>
    <w:p w14:paraId="29CAEDBD">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1.1.3.11 </w:t>
      </w:r>
      <w:r>
        <w:rPr>
          <w:rFonts w:hint="eastAsia" w:ascii="Calibri" w:hAnsi="Calibri"/>
          <w:color w:val="auto"/>
          <w:sz w:val="24"/>
          <w:highlight w:val="none"/>
        </w:rPr>
        <w:t>临时占地：指专用合同条款中指明为实施合同工程需临时占用的土地。</w:t>
      </w:r>
    </w:p>
    <w:p w14:paraId="4B383B5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1.1.4 </w:t>
      </w:r>
      <w:r>
        <w:rPr>
          <w:rFonts w:hint="eastAsia" w:ascii="黑体" w:hAnsi="Calibri" w:eastAsia="黑体"/>
          <w:color w:val="auto"/>
          <w:sz w:val="24"/>
          <w:highlight w:val="none"/>
        </w:rPr>
        <w:t>日期</w:t>
      </w:r>
    </w:p>
    <w:p w14:paraId="226C006D">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1.1.4.1 </w:t>
      </w:r>
      <w:r>
        <w:rPr>
          <w:rFonts w:hint="eastAsia" w:ascii="Calibri" w:hAnsi="Calibri"/>
          <w:color w:val="auto"/>
          <w:sz w:val="24"/>
          <w:highlight w:val="none"/>
        </w:rPr>
        <w:t>开工通知：指监理人按第</w:t>
      </w:r>
      <w:r>
        <w:rPr>
          <w:rFonts w:ascii="Calibri" w:hAnsi="Calibri"/>
          <w:color w:val="auto"/>
          <w:sz w:val="24"/>
          <w:highlight w:val="none"/>
        </w:rPr>
        <w:t>11.1</w:t>
      </w:r>
      <w:r>
        <w:rPr>
          <w:rFonts w:hint="eastAsia" w:ascii="Calibri" w:hAnsi="Calibri"/>
          <w:color w:val="auto"/>
          <w:sz w:val="24"/>
          <w:highlight w:val="none"/>
        </w:rPr>
        <w:t>款通知承包人开工的函件。</w:t>
      </w:r>
    </w:p>
    <w:p w14:paraId="5537F040">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1.1.4.2 </w:t>
      </w:r>
      <w:r>
        <w:rPr>
          <w:rFonts w:hint="eastAsia" w:ascii="Calibri" w:hAnsi="Calibri"/>
          <w:color w:val="auto"/>
          <w:sz w:val="24"/>
          <w:highlight w:val="none"/>
        </w:rPr>
        <w:t>开工日期：指监理人按第</w:t>
      </w:r>
      <w:r>
        <w:rPr>
          <w:rFonts w:ascii="Calibri" w:hAnsi="Calibri"/>
          <w:color w:val="auto"/>
          <w:sz w:val="24"/>
          <w:highlight w:val="none"/>
        </w:rPr>
        <w:t>11.1</w:t>
      </w:r>
      <w:r>
        <w:rPr>
          <w:rFonts w:hint="eastAsia" w:ascii="Calibri" w:hAnsi="Calibri"/>
          <w:color w:val="auto"/>
          <w:sz w:val="24"/>
          <w:highlight w:val="none"/>
        </w:rPr>
        <w:t>款发出的开工通知中写明的开工日期。</w:t>
      </w:r>
    </w:p>
    <w:p w14:paraId="6DD9369E">
      <w:pPr>
        <w:spacing w:line="400" w:lineRule="exact"/>
        <w:ind w:firstLine="820" w:firstLineChars="342"/>
        <w:rPr>
          <w:rFonts w:ascii="Calibri" w:hAnsi="Calibri"/>
          <w:color w:val="auto"/>
          <w:sz w:val="24"/>
          <w:highlight w:val="none"/>
        </w:rPr>
      </w:pPr>
      <w:r>
        <w:rPr>
          <w:rFonts w:ascii="Calibri" w:hAnsi="Calibri"/>
          <w:color w:val="auto"/>
          <w:sz w:val="24"/>
          <w:highlight w:val="none"/>
        </w:rPr>
        <w:t>1.1.4.3</w:t>
      </w:r>
      <w:r>
        <w:rPr>
          <w:rFonts w:hint="eastAsia" w:ascii="Calibri" w:hAnsi="Calibri"/>
          <w:color w:val="auto"/>
          <w:sz w:val="24"/>
          <w:highlight w:val="none"/>
        </w:rPr>
        <w:t>工期：指承包人在投标函中承诺的完成合同工程所需的期限，包括按第</w:t>
      </w:r>
      <w:r>
        <w:rPr>
          <w:rFonts w:ascii="Calibri" w:hAnsi="Calibri"/>
          <w:color w:val="auto"/>
          <w:sz w:val="24"/>
          <w:highlight w:val="none"/>
        </w:rPr>
        <w:t>11.3</w:t>
      </w:r>
      <w:r>
        <w:rPr>
          <w:rFonts w:hint="eastAsia" w:ascii="Calibri" w:hAnsi="Calibri"/>
          <w:color w:val="auto"/>
          <w:sz w:val="24"/>
          <w:highlight w:val="none"/>
        </w:rPr>
        <w:t>款、第</w:t>
      </w:r>
      <w:r>
        <w:rPr>
          <w:rFonts w:ascii="Calibri" w:hAnsi="Calibri"/>
          <w:color w:val="auto"/>
          <w:sz w:val="24"/>
          <w:highlight w:val="none"/>
        </w:rPr>
        <w:t>11.4</w:t>
      </w:r>
      <w:r>
        <w:rPr>
          <w:rFonts w:hint="eastAsia" w:ascii="Calibri" w:hAnsi="Calibri"/>
          <w:color w:val="auto"/>
          <w:sz w:val="24"/>
          <w:highlight w:val="none"/>
        </w:rPr>
        <w:t>款和第</w:t>
      </w:r>
      <w:r>
        <w:rPr>
          <w:rFonts w:ascii="Calibri" w:hAnsi="Calibri"/>
          <w:color w:val="auto"/>
          <w:sz w:val="24"/>
          <w:highlight w:val="none"/>
        </w:rPr>
        <w:t>11.6</w:t>
      </w:r>
      <w:r>
        <w:rPr>
          <w:rFonts w:hint="eastAsia" w:ascii="Calibri" w:hAnsi="Calibri"/>
          <w:color w:val="auto"/>
          <w:sz w:val="24"/>
          <w:highlight w:val="none"/>
        </w:rPr>
        <w:t>款约定所作的变更。</w:t>
      </w:r>
    </w:p>
    <w:p w14:paraId="03D85FC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1.1.4.4 </w:t>
      </w:r>
      <w:r>
        <w:rPr>
          <w:rFonts w:hint="eastAsia" w:ascii="Calibri" w:hAnsi="Calibri"/>
          <w:color w:val="auto"/>
          <w:sz w:val="24"/>
          <w:highlight w:val="none"/>
        </w:rPr>
        <w:t>竣工日期：指第</w:t>
      </w:r>
      <w:r>
        <w:rPr>
          <w:rFonts w:ascii="Calibri" w:hAnsi="Calibri"/>
          <w:color w:val="auto"/>
          <w:sz w:val="24"/>
          <w:highlight w:val="none"/>
        </w:rPr>
        <w:t>1.1.4.3</w:t>
      </w:r>
      <w:r>
        <w:rPr>
          <w:rFonts w:hint="eastAsia" w:ascii="Calibri" w:hAnsi="Calibri"/>
          <w:color w:val="auto"/>
          <w:sz w:val="24"/>
          <w:highlight w:val="none"/>
        </w:rPr>
        <w:t>目约定工期届满时的日期。实际竣工日期以工程接收证书中写明的日期为准。</w:t>
      </w:r>
    </w:p>
    <w:p w14:paraId="4998BB08">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1.1.4.5 </w:t>
      </w:r>
      <w:r>
        <w:rPr>
          <w:rFonts w:hint="eastAsia" w:ascii="Calibri" w:hAnsi="Calibri"/>
          <w:color w:val="auto"/>
          <w:sz w:val="24"/>
          <w:highlight w:val="none"/>
        </w:rPr>
        <w:t>缺陷责任期：指履行第</w:t>
      </w:r>
      <w:r>
        <w:rPr>
          <w:rFonts w:ascii="Calibri" w:hAnsi="Calibri"/>
          <w:color w:val="auto"/>
          <w:sz w:val="24"/>
          <w:highlight w:val="none"/>
        </w:rPr>
        <w:t>19.2</w:t>
      </w:r>
      <w:r>
        <w:rPr>
          <w:rFonts w:hint="eastAsia" w:ascii="Calibri" w:hAnsi="Calibri"/>
          <w:color w:val="auto"/>
          <w:sz w:val="24"/>
          <w:highlight w:val="none"/>
        </w:rPr>
        <w:t>款约定的缺陷责任的期限，具体期限由专用合同条款约定，包括根据第</w:t>
      </w:r>
      <w:r>
        <w:rPr>
          <w:rFonts w:ascii="Calibri" w:hAnsi="Calibri"/>
          <w:color w:val="auto"/>
          <w:sz w:val="24"/>
          <w:highlight w:val="none"/>
        </w:rPr>
        <w:t>19.3</w:t>
      </w:r>
      <w:r>
        <w:rPr>
          <w:rFonts w:hint="eastAsia" w:ascii="Calibri" w:hAnsi="Calibri"/>
          <w:color w:val="auto"/>
          <w:sz w:val="24"/>
          <w:highlight w:val="none"/>
        </w:rPr>
        <w:t>款约定所作的延长。</w:t>
      </w:r>
    </w:p>
    <w:p w14:paraId="437825B1">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1.1.4.6 </w:t>
      </w:r>
      <w:r>
        <w:rPr>
          <w:rFonts w:hint="eastAsia" w:ascii="Calibri" w:hAnsi="Calibri"/>
          <w:color w:val="auto"/>
          <w:sz w:val="24"/>
          <w:highlight w:val="none"/>
        </w:rPr>
        <w:t>基准日期：指投标截止时间前</w:t>
      </w:r>
      <w:r>
        <w:rPr>
          <w:rFonts w:ascii="Calibri" w:hAnsi="Calibri"/>
          <w:color w:val="auto"/>
          <w:sz w:val="24"/>
          <w:highlight w:val="none"/>
        </w:rPr>
        <w:t>28</w:t>
      </w:r>
      <w:r>
        <w:rPr>
          <w:rFonts w:hint="eastAsia" w:ascii="Calibri" w:hAnsi="Calibri"/>
          <w:color w:val="auto"/>
          <w:sz w:val="24"/>
          <w:highlight w:val="none"/>
        </w:rPr>
        <w:t>天的日期。</w:t>
      </w:r>
    </w:p>
    <w:p w14:paraId="490F2C85">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1.1.4.7 </w:t>
      </w:r>
      <w:r>
        <w:rPr>
          <w:rFonts w:hint="eastAsia" w:ascii="Calibri" w:hAnsi="Calibri"/>
          <w:color w:val="auto"/>
          <w:sz w:val="24"/>
          <w:highlight w:val="none"/>
        </w:rPr>
        <w:t>天：除特别指明外，指日历天。合同中按天计算时间的，开始当天不计入，从次日开始计算。期限最后一天的截止时间为当天</w:t>
      </w:r>
      <w:r>
        <w:rPr>
          <w:rFonts w:ascii="Calibri" w:hAnsi="Calibri"/>
          <w:color w:val="auto"/>
          <w:sz w:val="24"/>
          <w:highlight w:val="none"/>
        </w:rPr>
        <w:t>24:00</w:t>
      </w:r>
      <w:r>
        <w:rPr>
          <w:rFonts w:hint="eastAsia" w:ascii="Calibri" w:hAnsi="Calibri"/>
          <w:color w:val="auto"/>
          <w:sz w:val="24"/>
          <w:highlight w:val="none"/>
        </w:rPr>
        <w:t>。</w:t>
      </w:r>
    </w:p>
    <w:p w14:paraId="4C329F2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1.1.5 </w:t>
      </w:r>
      <w:r>
        <w:rPr>
          <w:rFonts w:hint="eastAsia" w:ascii="黑体" w:hAnsi="Calibri" w:eastAsia="黑体"/>
          <w:color w:val="auto"/>
          <w:sz w:val="24"/>
          <w:highlight w:val="none"/>
        </w:rPr>
        <w:t>合同价格和费用</w:t>
      </w:r>
    </w:p>
    <w:p w14:paraId="4A94C476">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1.1.5.1 </w:t>
      </w:r>
      <w:r>
        <w:rPr>
          <w:rFonts w:hint="eastAsia" w:ascii="Calibri" w:hAnsi="Calibri"/>
          <w:color w:val="auto"/>
          <w:sz w:val="24"/>
          <w:highlight w:val="none"/>
        </w:rPr>
        <w:t>签约合同价：指签定合同时合同协议书中写明的，包括了暂列金额、暂估价的合同总金额。</w:t>
      </w:r>
    </w:p>
    <w:p w14:paraId="3D341E26">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1.1.5.2 </w:t>
      </w:r>
      <w:r>
        <w:rPr>
          <w:rFonts w:hint="eastAsia" w:ascii="Calibri" w:hAnsi="Calibri"/>
          <w:color w:val="auto"/>
          <w:sz w:val="24"/>
          <w:highlight w:val="none"/>
        </w:rPr>
        <w:t>合同价格：指承包人按合同约定完成了包括缺陷责任期内的全部承包工作后，发包人应付给承包人的金额，包括在履行合同过程中按合同约定进行的变更和调整。</w:t>
      </w:r>
    </w:p>
    <w:p w14:paraId="0984260B">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1.1.5.3 </w:t>
      </w:r>
      <w:r>
        <w:rPr>
          <w:rFonts w:hint="eastAsia" w:ascii="Calibri" w:hAnsi="Calibri"/>
          <w:color w:val="auto"/>
          <w:sz w:val="24"/>
          <w:highlight w:val="none"/>
        </w:rPr>
        <w:t>费用：指为履行合同所发生的或将要发生的所有合理开支，包括管理费和应分摊的其他费用，但不包括利润。</w:t>
      </w:r>
    </w:p>
    <w:p w14:paraId="03F85C32">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1.1.5.4 </w:t>
      </w:r>
      <w:r>
        <w:rPr>
          <w:rFonts w:hint="eastAsia" w:ascii="Calibri" w:hAnsi="Calibri"/>
          <w:color w:val="auto"/>
          <w:sz w:val="24"/>
          <w:highlight w:val="none"/>
        </w:rPr>
        <w:t>暂列金额：指已标价工程量清单中所列的暂列金额，用于在签订协议书时尚未确定或不可预见变更的施工及其所需材料、工程设备、服务等的金额，包括以计日工方式支付的金额。</w:t>
      </w:r>
    </w:p>
    <w:p w14:paraId="6E50E674">
      <w:pPr>
        <w:spacing w:line="400" w:lineRule="exact"/>
        <w:ind w:firstLine="820" w:firstLineChars="342"/>
        <w:rPr>
          <w:rFonts w:ascii="Calibri" w:hAnsi="Calibri"/>
          <w:color w:val="auto"/>
          <w:sz w:val="24"/>
          <w:highlight w:val="none"/>
        </w:rPr>
      </w:pPr>
      <w:r>
        <w:rPr>
          <w:rFonts w:ascii="Calibri" w:hAnsi="Calibri"/>
          <w:color w:val="auto"/>
          <w:sz w:val="24"/>
          <w:highlight w:val="none"/>
        </w:rPr>
        <w:t>1.1.5.5</w:t>
      </w:r>
      <w:r>
        <w:rPr>
          <w:rFonts w:hint="eastAsia" w:ascii="Calibri" w:hAnsi="Calibri"/>
          <w:color w:val="auto"/>
          <w:sz w:val="24"/>
          <w:highlight w:val="none"/>
        </w:rPr>
        <w:t>暂估价：指发包人在工程量清单中给定的用于支付必然发生但暂时不能确定价格的材料、设备以及专业工程的金额。</w:t>
      </w:r>
    </w:p>
    <w:p w14:paraId="54CC570C">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1.1.5.6 </w:t>
      </w:r>
      <w:r>
        <w:rPr>
          <w:rFonts w:hint="eastAsia" w:ascii="Calibri" w:hAnsi="Calibri"/>
          <w:color w:val="auto"/>
          <w:sz w:val="24"/>
          <w:highlight w:val="none"/>
        </w:rPr>
        <w:t>计日工：指对零星工作采取的一种计价方式，按合同中的计日工子目及其单价计价付款。</w:t>
      </w:r>
    </w:p>
    <w:p w14:paraId="1B5C8AB6">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1.1.5.7 </w:t>
      </w:r>
      <w:r>
        <w:rPr>
          <w:rFonts w:hint="eastAsia" w:ascii="Calibri" w:hAnsi="Calibri"/>
          <w:color w:val="auto"/>
          <w:sz w:val="24"/>
          <w:highlight w:val="none"/>
        </w:rPr>
        <w:t>质量保证金（或称保留金）：指按第</w:t>
      </w:r>
      <w:r>
        <w:rPr>
          <w:rFonts w:ascii="Calibri" w:hAnsi="Calibri"/>
          <w:color w:val="auto"/>
          <w:sz w:val="24"/>
          <w:highlight w:val="none"/>
        </w:rPr>
        <w:t>17.4.1</w:t>
      </w:r>
      <w:r>
        <w:rPr>
          <w:rFonts w:hint="eastAsia" w:ascii="Calibri" w:hAnsi="Calibri"/>
          <w:color w:val="auto"/>
          <w:sz w:val="24"/>
          <w:highlight w:val="none"/>
        </w:rPr>
        <w:t>项约定用于保证在缺陷责任期内履行缺陷修复义务的金额。</w:t>
      </w:r>
    </w:p>
    <w:p w14:paraId="1F38A4F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1.1.6 </w:t>
      </w:r>
      <w:r>
        <w:rPr>
          <w:rFonts w:hint="eastAsia" w:ascii="黑体" w:hAnsi="Calibri" w:eastAsia="黑体"/>
          <w:color w:val="auto"/>
          <w:sz w:val="24"/>
          <w:highlight w:val="none"/>
        </w:rPr>
        <w:t>其他</w:t>
      </w:r>
    </w:p>
    <w:p w14:paraId="47F0537A">
      <w:pPr>
        <w:spacing w:line="400" w:lineRule="exact"/>
        <w:ind w:firstLine="820" w:firstLineChars="342"/>
        <w:rPr>
          <w:rFonts w:ascii="Calibri" w:hAnsi="Calibri"/>
          <w:color w:val="auto"/>
          <w:sz w:val="24"/>
          <w:highlight w:val="none"/>
        </w:rPr>
      </w:pPr>
      <w:r>
        <w:rPr>
          <w:rFonts w:ascii="Calibri" w:hAnsi="Calibri"/>
          <w:color w:val="auto"/>
          <w:sz w:val="24"/>
          <w:highlight w:val="none"/>
        </w:rPr>
        <w:t xml:space="preserve">1.1.6.1 </w:t>
      </w:r>
      <w:r>
        <w:rPr>
          <w:rFonts w:hint="eastAsia" w:ascii="Calibri" w:hAnsi="Calibri"/>
          <w:color w:val="auto"/>
          <w:sz w:val="24"/>
          <w:highlight w:val="none"/>
        </w:rPr>
        <w:t>书面形式：指合同文件、信函、电报、传真等可以有形地表现所载内容的形式。</w:t>
      </w:r>
    </w:p>
    <w:p w14:paraId="1BEDF977">
      <w:pPr>
        <w:keepNext/>
        <w:keepLines/>
        <w:spacing w:line="400" w:lineRule="exact"/>
        <w:outlineLvl w:val="2"/>
        <w:rPr>
          <w:rFonts w:ascii="Calibri" w:hAnsi="Calibri" w:eastAsia="黑体" w:cs="宋体"/>
          <w:color w:val="auto"/>
          <w:sz w:val="24"/>
          <w:highlight w:val="none"/>
        </w:rPr>
      </w:pPr>
      <w:bookmarkStart w:id="100" w:name="_Toc275242224"/>
      <w:bookmarkStart w:id="101" w:name="_Toc32485"/>
      <w:bookmarkStart w:id="102" w:name="_Toc179632631"/>
      <w:bookmarkStart w:id="103" w:name="_Toc152042391"/>
      <w:bookmarkStart w:id="104" w:name="_Toc144974581"/>
      <w:bookmarkStart w:id="105" w:name="_Toc152045613"/>
      <w:r>
        <w:rPr>
          <w:rFonts w:ascii="Calibri" w:hAnsi="Calibri" w:eastAsia="黑体" w:cs="宋体"/>
          <w:color w:val="auto"/>
          <w:sz w:val="24"/>
          <w:highlight w:val="none"/>
        </w:rPr>
        <w:t xml:space="preserve">1.2 </w:t>
      </w:r>
      <w:r>
        <w:rPr>
          <w:rFonts w:hint="eastAsia" w:ascii="Calibri" w:hAnsi="Calibri" w:eastAsia="黑体" w:cs="宋体"/>
          <w:color w:val="auto"/>
          <w:sz w:val="24"/>
          <w:highlight w:val="none"/>
        </w:rPr>
        <w:t>语言文字</w:t>
      </w:r>
      <w:bookmarkEnd w:id="100"/>
      <w:bookmarkEnd w:id="101"/>
      <w:bookmarkEnd w:id="102"/>
      <w:bookmarkEnd w:id="103"/>
      <w:bookmarkEnd w:id="104"/>
      <w:bookmarkEnd w:id="105"/>
    </w:p>
    <w:p w14:paraId="11DAA35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除专用术语外，合同使用的语言文字为中文。必要时专用术语应附有中文注释。</w:t>
      </w:r>
    </w:p>
    <w:p w14:paraId="2F3E0FEA">
      <w:pPr>
        <w:keepNext/>
        <w:keepLines/>
        <w:spacing w:line="400" w:lineRule="exact"/>
        <w:outlineLvl w:val="2"/>
        <w:rPr>
          <w:rFonts w:ascii="Calibri" w:hAnsi="Calibri" w:eastAsia="黑体" w:cs="宋体"/>
          <w:color w:val="auto"/>
          <w:sz w:val="24"/>
          <w:highlight w:val="none"/>
        </w:rPr>
      </w:pPr>
      <w:bookmarkStart w:id="106" w:name="_Toc152042392"/>
      <w:bookmarkStart w:id="107" w:name="_Toc144974582"/>
      <w:bookmarkStart w:id="108" w:name="_Toc4678"/>
      <w:bookmarkStart w:id="109" w:name="_Toc179632632"/>
      <w:bookmarkStart w:id="110" w:name="_Toc275242225"/>
      <w:bookmarkStart w:id="111" w:name="_Toc152045614"/>
      <w:r>
        <w:rPr>
          <w:rFonts w:ascii="Calibri" w:hAnsi="Calibri" w:eastAsia="黑体" w:cs="宋体"/>
          <w:color w:val="auto"/>
          <w:sz w:val="24"/>
          <w:highlight w:val="none"/>
        </w:rPr>
        <w:t xml:space="preserve">1.3 </w:t>
      </w:r>
      <w:r>
        <w:rPr>
          <w:rFonts w:hint="eastAsia" w:ascii="Calibri" w:hAnsi="Calibri" w:eastAsia="黑体" w:cs="宋体"/>
          <w:color w:val="auto"/>
          <w:sz w:val="24"/>
          <w:highlight w:val="none"/>
        </w:rPr>
        <w:t>法律</w:t>
      </w:r>
      <w:bookmarkEnd w:id="106"/>
      <w:bookmarkEnd w:id="107"/>
      <w:bookmarkEnd w:id="108"/>
      <w:bookmarkEnd w:id="109"/>
      <w:bookmarkEnd w:id="110"/>
      <w:bookmarkEnd w:id="111"/>
    </w:p>
    <w:p w14:paraId="186B335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适用于合同的法律包括中华人民共和国法律、行政法规、部门规章，以及工程所在地的地方法规、自治条例、单行条例和地方政府规章。</w:t>
      </w:r>
    </w:p>
    <w:p w14:paraId="0CF76158">
      <w:pPr>
        <w:keepNext/>
        <w:keepLines/>
        <w:spacing w:line="400" w:lineRule="exact"/>
        <w:outlineLvl w:val="2"/>
        <w:rPr>
          <w:rFonts w:ascii="Calibri" w:hAnsi="Calibri" w:eastAsia="黑体" w:cs="宋体"/>
          <w:color w:val="auto"/>
          <w:sz w:val="24"/>
          <w:highlight w:val="none"/>
        </w:rPr>
      </w:pPr>
      <w:bookmarkStart w:id="112" w:name="_Toc179632633"/>
      <w:bookmarkStart w:id="113" w:name="_Toc18227"/>
      <w:bookmarkStart w:id="114" w:name="_Toc144974583"/>
      <w:bookmarkStart w:id="115" w:name="_Toc152042393"/>
      <w:bookmarkStart w:id="116" w:name="_Toc275242226"/>
      <w:bookmarkStart w:id="117" w:name="_Toc152045615"/>
      <w:r>
        <w:rPr>
          <w:rFonts w:ascii="Calibri" w:hAnsi="Calibri" w:eastAsia="黑体" w:cs="宋体"/>
          <w:color w:val="auto"/>
          <w:sz w:val="24"/>
          <w:highlight w:val="none"/>
        </w:rPr>
        <w:t xml:space="preserve">1.4 </w:t>
      </w:r>
      <w:r>
        <w:rPr>
          <w:rFonts w:hint="eastAsia" w:ascii="Calibri" w:hAnsi="Calibri" w:eastAsia="黑体" w:cs="宋体"/>
          <w:color w:val="auto"/>
          <w:sz w:val="24"/>
          <w:highlight w:val="none"/>
        </w:rPr>
        <w:t>合同文件的优先顺序</w:t>
      </w:r>
      <w:bookmarkEnd w:id="112"/>
      <w:bookmarkEnd w:id="113"/>
      <w:bookmarkEnd w:id="114"/>
      <w:bookmarkEnd w:id="115"/>
      <w:bookmarkEnd w:id="116"/>
      <w:bookmarkEnd w:id="117"/>
    </w:p>
    <w:p w14:paraId="0948504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组成合同的各项文件应互相解释，互为说明。除专用合同条款另有约定外，解释合同文件的优先顺序如下：</w:t>
      </w:r>
    </w:p>
    <w:p w14:paraId="70785E89">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）合同协议书；</w:t>
      </w:r>
    </w:p>
    <w:p w14:paraId="196B4F48">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）中标通知书；</w:t>
      </w:r>
    </w:p>
    <w:p w14:paraId="42F03371">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）投标函及投标函附录；</w:t>
      </w:r>
    </w:p>
    <w:p w14:paraId="2B2DBE45">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）专用合同条款；</w:t>
      </w:r>
    </w:p>
    <w:p w14:paraId="4F6C5184">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）通用合同条款；</w:t>
      </w:r>
    </w:p>
    <w:p w14:paraId="3920B834">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）技术标准和要求；</w:t>
      </w:r>
    </w:p>
    <w:p w14:paraId="30C18CE9">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7</w:t>
      </w:r>
      <w:r>
        <w:rPr>
          <w:rFonts w:hint="eastAsia" w:ascii="Calibri" w:hAnsi="Calibri"/>
          <w:color w:val="auto"/>
          <w:sz w:val="24"/>
          <w:highlight w:val="none"/>
        </w:rPr>
        <w:t>）图纸；</w:t>
      </w:r>
    </w:p>
    <w:p w14:paraId="4B591997">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8</w:t>
      </w:r>
      <w:r>
        <w:rPr>
          <w:rFonts w:hint="eastAsia" w:ascii="Calibri" w:hAnsi="Calibri"/>
          <w:color w:val="auto"/>
          <w:sz w:val="24"/>
          <w:highlight w:val="none"/>
        </w:rPr>
        <w:t>）已标价工程量清单；</w:t>
      </w:r>
    </w:p>
    <w:p w14:paraId="13A2B68F">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9</w:t>
      </w:r>
      <w:r>
        <w:rPr>
          <w:rFonts w:hint="eastAsia" w:ascii="Calibri" w:hAnsi="Calibri"/>
          <w:color w:val="auto"/>
          <w:sz w:val="24"/>
          <w:highlight w:val="none"/>
        </w:rPr>
        <w:t>）其他合同文件。</w:t>
      </w:r>
    </w:p>
    <w:p w14:paraId="26F24BFF">
      <w:pPr>
        <w:keepNext/>
        <w:keepLines/>
        <w:spacing w:line="400" w:lineRule="exact"/>
        <w:outlineLvl w:val="2"/>
        <w:rPr>
          <w:rFonts w:ascii="Calibri" w:hAnsi="Calibri" w:eastAsia="黑体" w:cs="宋体"/>
          <w:color w:val="auto"/>
          <w:sz w:val="24"/>
          <w:highlight w:val="none"/>
        </w:rPr>
      </w:pPr>
      <w:bookmarkStart w:id="118" w:name="_Toc179632634"/>
      <w:bookmarkStart w:id="119" w:name="_Toc275242227"/>
      <w:bookmarkStart w:id="120" w:name="_Toc5616"/>
      <w:bookmarkStart w:id="121" w:name="_Toc152042394"/>
      <w:bookmarkStart w:id="122" w:name="_Toc144974584"/>
      <w:bookmarkStart w:id="123" w:name="_Toc152045616"/>
      <w:r>
        <w:rPr>
          <w:rFonts w:ascii="Calibri" w:hAnsi="Calibri" w:eastAsia="黑体" w:cs="宋体"/>
          <w:color w:val="auto"/>
          <w:sz w:val="24"/>
          <w:highlight w:val="none"/>
        </w:rPr>
        <w:t xml:space="preserve">1.5 </w:t>
      </w:r>
      <w:r>
        <w:rPr>
          <w:rFonts w:hint="eastAsia" w:ascii="Calibri" w:hAnsi="Calibri" w:eastAsia="黑体" w:cs="宋体"/>
          <w:color w:val="auto"/>
          <w:sz w:val="24"/>
          <w:highlight w:val="none"/>
        </w:rPr>
        <w:t>合同协议书</w:t>
      </w:r>
      <w:bookmarkEnd w:id="118"/>
      <w:bookmarkEnd w:id="119"/>
      <w:bookmarkEnd w:id="120"/>
      <w:bookmarkEnd w:id="121"/>
      <w:bookmarkEnd w:id="122"/>
      <w:bookmarkEnd w:id="123"/>
    </w:p>
    <w:p w14:paraId="288C9B1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03E1035A">
      <w:pPr>
        <w:keepNext/>
        <w:keepLines/>
        <w:spacing w:line="400" w:lineRule="exact"/>
        <w:outlineLvl w:val="2"/>
        <w:rPr>
          <w:rFonts w:ascii="Calibri" w:hAnsi="Calibri" w:eastAsia="黑体" w:cs="宋体"/>
          <w:color w:val="auto"/>
          <w:sz w:val="24"/>
          <w:highlight w:val="none"/>
        </w:rPr>
      </w:pPr>
      <w:bookmarkStart w:id="124" w:name="_Toc179632635"/>
      <w:bookmarkStart w:id="125" w:name="_Toc28959"/>
      <w:bookmarkStart w:id="126" w:name="_Toc152045617"/>
      <w:bookmarkStart w:id="127" w:name="_Toc275242228"/>
      <w:bookmarkStart w:id="128" w:name="_Toc152042395"/>
      <w:bookmarkStart w:id="129" w:name="_Toc144974585"/>
      <w:r>
        <w:rPr>
          <w:rFonts w:ascii="Calibri" w:hAnsi="Calibri" w:eastAsia="黑体" w:cs="宋体"/>
          <w:color w:val="auto"/>
          <w:sz w:val="24"/>
          <w:highlight w:val="none"/>
        </w:rPr>
        <w:t xml:space="preserve">1.6 </w:t>
      </w:r>
      <w:r>
        <w:rPr>
          <w:rFonts w:hint="eastAsia" w:ascii="Calibri" w:hAnsi="Calibri" w:eastAsia="黑体" w:cs="宋体"/>
          <w:color w:val="auto"/>
          <w:sz w:val="24"/>
          <w:highlight w:val="none"/>
        </w:rPr>
        <w:t>图纸和承包人文件</w:t>
      </w:r>
      <w:bookmarkEnd w:id="124"/>
      <w:bookmarkEnd w:id="125"/>
      <w:bookmarkEnd w:id="126"/>
      <w:bookmarkEnd w:id="127"/>
      <w:bookmarkEnd w:id="128"/>
      <w:bookmarkEnd w:id="129"/>
    </w:p>
    <w:p w14:paraId="09A3C48A">
      <w:pPr>
        <w:spacing w:line="400" w:lineRule="exact"/>
        <w:ind w:firstLine="480" w:firstLineChars="200"/>
        <w:rPr>
          <w:rFonts w:ascii="Calibri" w:hAnsi="Calibri"/>
          <w:color w:val="auto"/>
          <w:sz w:val="24"/>
          <w:highlight w:val="none"/>
        </w:rPr>
      </w:pPr>
      <w:r>
        <w:rPr>
          <w:rFonts w:ascii="Calibri" w:hAnsi="Calibri"/>
          <w:color w:val="auto"/>
          <w:sz w:val="24"/>
          <w:highlight w:val="none"/>
        </w:rPr>
        <w:t>1.6.1</w:t>
      </w:r>
      <w:r>
        <w:rPr>
          <w:rFonts w:hint="eastAsia" w:ascii="黑体" w:hAnsi="Calibri" w:eastAsia="黑体"/>
          <w:color w:val="auto"/>
          <w:sz w:val="24"/>
          <w:highlight w:val="none"/>
        </w:rPr>
        <w:t>图纸的提供</w:t>
      </w:r>
    </w:p>
    <w:p w14:paraId="13FEEB8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除专用合同条款另有约定外，图纸应在合理的期限内按照合同约定的数量提供给承包人。由于发包人未按时提供图纸造成工期延误的，按第</w:t>
      </w:r>
      <w:r>
        <w:rPr>
          <w:rFonts w:ascii="Calibri" w:hAnsi="Calibri"/>
          <w:color w:val="auto"/>
          <w:sz w:val="24"/>
          <w:highlight w:val="none"/>
        </w:rPr>
        <w:t>11.3</w:t>
      </w:r>
      <w:r>
        <w:rPr>
          <w:rFonts w:hint="eastAsia" w:ascii="Calibri" w:hAnsi="Calibri"/>
          <w:color w:val="auto"/>
          <w:sz w:val="24"/>
          <w:highlight w:val="none"/>
        </w:rPr>
        <w:t>款的约定办理。</w:t>
      </w:r>
    </w:p>
    <w:p w14:paraId="5C8216F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1.6.2 </w:t>
      </w:r>
      <w:r>
        <w:rPr>
          <w:rFonts w:hint="eastAsia" w:ascii="黑体" w:hAnsi="Calibri" w:eastAsia="黑体"/>
          <w:color w:val="auto"/>
          <w:sz w:val="24"/>
          <w:highlight w:val="none"/>
        </w:rPr>
        <w:t>承包人提供的文件</w:t>
      </w:r>
    </w:p>
    <w:p w14:paraId="48967C6B">
      <w:pPr>
        <w:spacing w:line="400" w:lineRule="exact"/>
        <w:rPr>
          <w:rFonts w:ascii="Calibri" w:hAnsi="Calibri"/>
          <w:color w:val="auto"/>
          <w:sz w:val="24"/>
          <w:highlight w:val="none"/>
        </w:rPr>
      </w:pPr>
      <w:r>
        <w:rPr>
          <w:rFonts w:hint="eastAsia" w:ascii="Calibri" w:hAnsi="Calibri"/>
          <w:color w:val="auto"/>
          <w:sz w:val="24"/>
          <w:highlight w:val="none"/>
        </w:rPr>
        <w:t>　　按专用合同条款约定由承包人提供的文件，包括部分工程的大样图、加工图等，承包人应按约定的数量和期限报送监理人。监理人应在专用合同条款约定的期限内批复。</w:t>
      </w:r>
    </w:p>
    <w:p w14:paraId="6BADB56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1.6.3 </w:t>
      </w:r>
      <w:r>
        <w:rPr>
          <w:rFonts w:hint="eastAsia" w:ascii="黑体" w:hAnsi="Calibri" w:eastAsia="黑体"/>
          <w:color w:val="auto"/>
          <w:sz w:val="24"/>
          <w:highlight w:val="none"/>
        </w:rPr>
        <w:t>图纸的修改</w:t>
      </w:r>
    </w:p>
    <w:p w14:paraId="4DBCA19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14:paraId="30F9FBC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1.6.4 </w:t>
      </w:r>
      <w:r>
        <w:rPr>
          <w:rFonts w:hint="eastAsia" w:ascii="黑体" w:hAnsi="Calibri" w:eastAsia="黑体"/>
          <w:color w:val="auto"/>
          <w:sz w:val="24"/>
          <w:highlight w:val="none"/>
        </w:rPr>
        <w:t>图纸的错误</w:t>
      </w:r>
    </w:p>
    <w:p w14:paraId="56BAE9E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承包人发现发包人提供的图纸存在明显错误或疏忽，应及时通知监理人。</w:t>
      </w:r>
    </w:p>
    <w:p w14:paraId="44DACB3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1.6.5 </w:t>
      </w:r>
      <w:r>
        <w:rPr>
          <w:rFonts w:hint="eastAsia" w:ascii="黑体" w:hAnsi="Calibri" w:eastAsia="黑体"/>
          <w:color w:val="auto"/>
          <w:sz w:val="24"/>
          <w:highlight w:val="none"/>
        </w:rPr>
        <w:t>图纸和承包人文件的保管</w:t>
      </w:r>
    </w:p>
    <w:p w14:paraId="172ACFC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监理人和承包人均应在施工场地各保存一套完整的包含第</w:t>
      </w:r>
      <w:r>
        <w:rPr>
          <w:rFonts w:ascii="Calibri" w:hAnsi="Calibri"/>
          <w:color w:val="auto"/>
          <w:sz w:val="24"/>
          <w:highlight w:val="none"/>
        </w:rPr>
        <w:t>1.6.1</w:t>
      </w:r>
      <w:r>
        <w:rPr>
          <w:rFonts w:hint="eastAsia" w:ascii="Calibri" w:hAnsi="Calibri"/>
          <w:color w:val="auto"/>
          <w:sz w:val="24"/>
          <w:highlight w:val="none"/>
        </w:rPr>
        <w:t>项、第</w:t>
      </w:r>
      <w:r>
        <w:rPr>
          <w:rFonts w:ascii="Calibri" w:hAnsi="Calibri"/>
          <w:color w:val="auto"/>
          <w:sz w:val="24"/>
          <w:highlight w:val="none"/>
        </w:rPr>
        <w:t>1.6.2</w:t>
      </w:r>
      <w:r>
        <w:rPr>
          <w:rFonts w:hint="eastAsia" w:ascii="Calibri" w:hAnsi="Calibri"/>
          <w:color w:val="auto"/>
          <w:sz w:val="24"/>
          <w:highlight w:val="none"/>
        </w:rPr>
        <w:t>项、第</w:t>
      </w:r>
      <w:r>
        <w:rPr>
          <w:rFonts w:ascii="Calibri" w:hAnsi="Calibri"/>
          <w:color w:val="auto"/>
          <w:sz w:val="24"/>
          <w:highlight w:val="none"/>
        </w:rPr>
        <w:t>1.6.3</w:t>
      </w:r>
      <w:r>
        <w:rPr>
          <w:rFonts w:hint="eastAsia" w:ascii="Calibri" w:hAnsi="Calibri"/>
          <w:color w:val="auto"/>
          <w:sz w:val="24"/>
          <w:highlight w:val="none"/>
        </w:rPr>
        <w:t>项约定内容的图纸和承包人文件。</w:t>
      </w:r>
    </w:p>
    <w:p w14:paraId="3EFE9617">
      <w:pPr>
        <w:keepNext/>
        <w:keepLines/>
        <w:spacing w:line="400" w:lineRule="exact"/>
        <w:outlineLvl w:val="2"/>
        <w:rPr>
          <w:rFonts w:ascii="Calibri" w:hAnsi="Calibri" w:eastAsia="黑体" w:cs="宋体"/>
          <w:color w:val="auto"/>
          <w:sz w:val="24"/>
          <w:highlight w:val="none"/>
        </w:rPr>
      </w:pPr>
      <w:bookmarkStart w:id="130" w:name="_Toc152042396"/>
      <w:bookmarkStart w:id="131" w:name="_Toc179632636"/>
      <w:bookmarkStart w:id="132" w:name="_Toc275242229"/>
      <w:bookmarkStart w:id="133" w:name="_Toc6544"/>
      <w:bookmarkStart w:id="134" w:name="_Toc152045618"/>
      <w:bookmarkStart w:id="135" w:name="_Toc144974586"/>
      <w:r>
        <w:rPr>
          <w:rFonts w:ascii="Calibri" w:hAnsi="Calibri" w:eastAsia="黑体" w:cs="宋体"/>
          <w:color w:val="auto"/>
          <w:sz w:val="24"/>
          <w:highlight w:val="none"/>
        </w:rPr>
        <w:t xml:space="preserve">1.7 </w:t>
      </w:r>
      <w:r>
        <w:rPr>
          <w:rFonts w:hint="eastAsia" w:ascii="Calibri" w:hAnsi="Calibri" w:eastAsia="黑体" w:cs="宋体"/>
          <w:color w:val="auto"/>
          <w:sz w:val="24"/>
          <w:highlight w:val="none"/>
        </w:rPr>
        <w:t>联络</w:t>
      </w:r>
      <w:bookmarkEnd w:id="130"/>
      <w:bookmarkEnd w:id="131"/>
      <w:bookmarkEnd w:id="132"/>
      <w:bookmarkEnd w:id="133"/>
      <w:bookmarkEnd w:id="134"/>
      <w:bookmarkEnd w:id="135"/>
    </w:p>
    <w:p w14:paraId="16B6E42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1.7.1 </w:t>
      </w:r>
      <w:r>
        <w:rPr>
          <w:rFonts w:hint="eastAsia" w:ascii="Calibri" w:hAnsi="Calibri"/>
          <w:color w:val="auto"/>
          <w:sz w:val="24"/>
          <w:highlight w:val="none"/>
        </w:rPr>
        <w:t>与合同有关的通知、批准、证明、证书、指示、要求、请求、同意、意见、确定和决定等，均应采用书面形式。</w:t>
      </w:r>
    </w:p>
    <w:p w14:paraId="5C8E3D3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1.7.2 </w:t>
      </w:r>
      <w:r>
        <w:rPr>
          <w:rFonts w:hint="eastAsia" w:ascii="Calibri" w:hAnsi="Calibri"/>
          <w:color w:val="auto"/>
          <w:sz w:val="24"/>
          <w:highlight w:val="none"/>
        </w:rPr>
        <w:t>第</w:t>
      </w:r>
      <w:r>
        <w:rPr>
          <w:rFonts w:ascii="Calibri" w:hAnsi="Calibri"/>
          <w:color w:val="auto"/>
          <w:sz w:val="24"/>
          <w:highlight w:val="none"/>
        </w:rPr>
        <w:t>1.7.1</w:t>
      </w:r>
      <w:r>
        <w:rPr>
          <w:rFonts w:hint="eastAsia" w:ascii="Calibri" w:hAnsi="Calibri"/>
          <w:color w:val="auto"/>
          <w:sz w:val="24"/>
          <w:highlight w:val="none"/>
        </w:rPr>
        <w:t>项中的通知、批准、证明、证书、指示、要求、请求、同意、意见、确定和决定等来往函件，均应在合同约定的期限内送达指定地点和接收人，并办理签收手续。</w:t>
      </w:r>
    </w:p>
    <w:p w14:paraId="2DC91DDF">
      <w:pPr>
        <w:keepNext/>
        <w:keepLines/>
        <w:spacing w:line="400" w:lineRule="exact"/>
        <w:outlineLvl w:val="2"/>
        <w:rPr>
          <w:rFonts w:ascii="Calibri" w:hAnsi="Calibri" w:eastAsia="黑体" w:cs="宋体"/>
          <w:color w:val="auto"/>
          <w:sz w:val="24"/>
          <w:highlight w:val="none"/>
        </w:rPr>
      </w:pPr>
      <w:bookmarkStart w:id="136" w:name="_Toc438"/>
      <w:bookmarkStart w:id="137" w:name="_Toc179632637"/>
      <w:bookmarkStart w:id="138" w:name="_Toc152042397"/>
      <w:bookmarkStart w:id="139" w:name="_Toc275242230"/>
      <w:bookmarkStart w:id="140" w:name="_Toc144974587"/>
      <w:bookmarkStart w:id="141" w:name="_Toc152045619"/>
      <w:r>
        <w:rPr>
          <w:rFonts w:ascii="Calibri" w:hAnsi="Calibri" w:eastAsia="黑体" w:cs="宋体"/>
          <w:color w:val="auto"/>
          <w:sz w:val="24"/>
          <w:highlight w:val="none"/>
        </w:rPr>
        <w:t xml:space="preserve">1.8 </w:t>
      </w:r>
      <w:r>
        <w:rPr>
          <w:rFonts w:hint="eastAsia" w:ascii="Calibri" w:hAnsi="Calibri" w:eastAsia="黑体" w:cs="宋体"/>
          <w:color w:val="auto"/>
          <w:sz w:val="24"/>
          <w:highlight w:val="none"/>
        </w:rPr>
        <w:t>转让</w:t>
      </w:r>
      <w:bookmarkEnd w:id="136"/>
      <w:bookmarkEnd w:id="137"/>
      <w:bookmarkEnd w:id="138"/>
      <w:bookmarkEnd w:id="139"/>
      <w:bookmarkEnd w:id="140"/>
      <w:bookmarkEnd w:id="141"/>
    </w:p>
    <w:p w14:paraId="20C0910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除合同另有约定外，未经对方当事人同意，一方当事人不得将合同权利全部或部分转让给第三人，也不得全部或部分转移合同义务。</w:t>
      </w:r>
    </w:p>
    <w:p w14:paraId="669E1F8D">
      <w:pPr>
        <w:keepNext/>
        <w:keepLines/>
        <w:spacing w:line="400" w:lineRule="exact"/>
        <w:outlineLvl w:val="2"/>
        <w:rPr>
          <w:rFonts w:ascii="Calibri" w:hAnsi="Calibri" w:eastAsia="黑体" w:cs="宋体"/>
          <w:color w:val="auto"/>
          <w:sz w:val="24"/>
          <w:highlight w:val="none"/>
        </w:rPr>
      </w:pPr>
      <w:bookmarkStart w:id="142" w:name="_Toc179632638"/>
      <w:bookmarkStart w:id="143" w:name="_Toc275242231"/>
      <w:bookmarkStart w:id="144" w:name="_Toc144974588"/>
      <w:bookmarkStart w:id="145" w:name="_Toc13961"/>
      <w:bookmarkStart w:id="146" w:name="_Toc152045620"/>
      <w:bookmarkStart w:id="147" w:name="_Toc152042398"/>
      <w:r>
        <w:rPr>
          <w:rFonts w:ascii="Calibri" w:hAnsi="Calibri" w:eastAsia="黑体" w:cs="宋体"/>
          <w:color w:val="auto"/>
          <w:sz w:val="24"/>
          <w:highlight w:val="none"/>
        </w:rPr>
        <w:t xml:space="preserve">1.9 </w:t>
      </w:r>
      <w:r>
        <w:rPr>
          <w:rFonts w:hint="eastAsia" w:ascii="Calibri" w:hAnsi="Calibri" w:eastAsia="黑体" w:cs="宋体"/>
          <w:color w:val="auto"/>
          <w:sz w:val="24"/>
          <w:highlight w:val="none"/>
        </w:rPr>
        <w:t>严禁贿赂</w:t>
      </w:r>
      <w:bookmarkEnd w:id="142"/>
      <w:bookmarkEnd w:id="143"/>
      <w:bookmarkEnd w:id="144"/>
      <w:bookmarkEnd w:id="145"/>
      <w:bookmarkEnd w:id="146"/>
      <w:bookmarkEnd w:id="147"/>
    </w:p>
    <w:p w14:paraId="6B08A71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合同双方当事人不得以贿赂或变相贿赂的方式，谋取不当利益或损害对方权益。因贿赂造成对方损失的，行为人应赔偿损失，并承担相应的法律责任。</w:t>
      </w:r>
    </w:p>
    <w:p w14:paraId="3B34C919">
      <w:pPr>
        <w:keepNext/>
        <w:keepLines/>
        <w:spacing w:line="400" w:lineRule="exact"/>
        <w:outlineLvl w:val="2"/>
        <w:rPr>
          <w:rFonts w:ascii="Calibri" w:hAnsi="Calibri" w:eastAsia="黑体" w:cs="宋体"/>
          <w:color w:val="auto"/>
          <w:sz w:val="24"/>
          <w:highlight w:val="none"/>
        </w:rPr>
      </w:pPr>
      <w:bookmarkStart w:id="148" w:name="_Toc144974589"/>
      <w:bookmarkStart w:id="149" w:name="_Toc275242232"/>
      <w:bookmarkStart w:id="150" w:name="_Toc152042399"/>
      <w:bookmarkStart w:id="151" w:name="_Toc152045621"/>
      <w:bookmarkStart w:id="152" w:name="_Toc179632639"/>
      <w:bookmarkStart w:id="153" w:name="_Toc23341"/>
      <w:r>
        <w:rPr>
          <w:rFonts w:ascii="Calibri" w:hAnsi="Calibri" w:eastAsia="黑体" w:cs="宋体"/>
          <w:color w:val="auto"/>
          <w:sz w:val="24"/>
          <w:highlight w:val="none"/>
        </w:rPr>
        <w:t xml:space="preserve">1.10 </w:t>
      </w:r>
      <w:r>
        <w:rPr>
          <w:rFonts w:hint="eastAsia" w:ascii="Calibri" w:hAnsi="Calibri" w:eastAsia="黑体" w:cs="宋体"/>
          <w:color w:val="auto"/>
          <w:sz w:val="24"/>
          <w:highlight w:val="none"/>
        </w:rPr>
        <w:t>化石、文物</w:t>
      </w:r>
      <w:bookmarkEnd w:id="148"/>
      <w:bookmarkEnd w:id="149"/>
      <w:bookmarkEnd w:id="150"/>
      <w:bookmarkEnd w:id="151"/>
      <w:bookmarkEnd w:id="152"/>
      <w:bookmarkEnd w:id="153"/>
    </w:p>
    <w:p w14:paraId="0CFD6DB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1.10.1 </w:t>
      </w:r>
      <w:r>
        <w:rPr>
          <w:rFonts w:hint="eastAsia" w:ascii="Calibri" w:hAnsi="Calibri"/>
          <w:color w:val="auto"/>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976258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1.10.2 </w:t>
      </w:r>
      <w:r>
        <w:rPr>
          <w:rFonts w:hint="eastAsia" w:ascii="Calibri" w:hAnsi="Calibri"/>
          <w:color w:val="auto"/>
          <w:sz w:val="24"/>
          <w:highlight w:val="none"/>
        </w:rPr>
        <w:t>承包人发现文物后不及时报告或隐瞒不报，致使文物丢失或损坏的，应赔偿损失，并承担相应的法律责任。</w:t>
      </w:r>
    </w:p>
    <w:p w14:paraId="0ED38F19">
      <w:pPr>
        <w:keepNext/>
        <w:keepLines/>
        <w:spacing w:line="400" w:lineRule="exact"/>
        <w:outlineLvl w:val="2"/>
        <w:rPr>
          <w:rFonts w:ascii="Calibri" w:hAnsi="Calibri" w:eastAsia="黑体" w:cs="宋体"/>
          <w:color w:val="auto"/>
          <w:sz w:val="24"/>
          <w:highlight w:val="none"/>
        </w:rPr>
      </w:pPr>
      <w:bookmarkStart w:id="154" w:name="_Toc152045622"/>
      <w:bookmarkStart w:id="155" w:name="_Toc17174"/>
      <w:bookmarkStart w:id="156" w:name="_Toc144974590"/>
      <w:bookmarkStart w:id="157" w:name="_Toc152042400"/>
      <w:bookmarkStart w:id="158" w:name="_Toc275242233"/>
      <w:bookmarkStart w:id="159" w:name="_Toc179632640"/>
      <w:r>
        <w:rPr>
          <w:rFonts w:ascii="Calibri" w:hAnsi="Calibri" w:eastAsia="黑体" w:cs="宋体"/>
          <w:color w:val="auto"/>
          <w:sz w:val="24"/>
          <w:highlight w:val="none"/>
        </w:rPr>
        <w:t xml:space="preserve">1.11 </w:t>
      </w:r>
      <w:r>
        <w:rPr>
          <w:rFonts w:hint="eastAsia" w:ascii="Calibri" w:hAnsi="Calibri" w:eastAsia="黑体" w:cs="宋体"/>
          <w:color w:val="auto"/>
          <w:sz w:val="24"/>
          <w:highlight w:val="none"/>
        </w:rPr>
        <w:t>专利技术</w:t>
      </w:r>
      <w:bookmarkEnd w:id="154"/>
      <w:bookmarkEnd w:id="155"/>
      <w:bookmarkEnd w:id="156"/>
      <w:bookmarkEnd w:id="157"/>
      <w:bookmarkEnd w:id="158"/>
      <w:bookmarkEnd w:id="159"/>
    </w:p>
    <w:p w14:paraId="10E3919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1.11.1 </w:t>
      </w:r>
      <w:r>
        <w:rPr>
          <w:rFonts w:hint="eastAsia" w:ascii="Calibri" w:hAnsi="Calibri"/>
          <w:color w:val="auto"/>
          <w:sz w:val="24"/>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701890F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1.11.2 </w:t>
      </w:r>
      <w:r>
        <w:rPr>
          <w:rFonts w:hint="eastAsia" w:ascii="Calibri" w:hAnsi="Calibri"/>
          <w:color w:val="auto"/>
          <w:sz w:val="24"/>
          <w:highlight w:val="none"/>
        </w:rPr>
        <w:t>承包人在投标文件中采用专利技术的，专利技术的使用费包含在投标报价内。</w:t>
      </w:r>
    </w:p>
    <w:p w14:paraId="283CE21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1.11.3 </w:t>
      </w:r>
      <w:r>
        <w:rPr>
          <w:rFonts w:hint="eastAsia" w:ascii="Calibri" w:hAnsi="Calibri"/>
          <w:color w:val="auto"/>
          <w:sz w:val="24"/>
          <w:highlight w:val="none"/>
        </w:rPr>
        <w:t>承包人的技术秘密和声明需要保密的资料和信息，发包人和监理人不得为合同以外的目的泄露给他人。</w:t>
      </w:r>
    </w:p>
    <w:p w14:paraId="1805C5C0">
      <w:pPr>
        <w:keepNext/>
        <w:keepLines/>
        <w:spacing w:line="400" w:lineRule="exact"/>
        <w:outlineLvl w:val="2"/>
        <w:rPr>
          <w:rFonts w:ascii="Calibri" w:hAnsi="Calibri" w:eastAsia="黑体" w:cs="宋体"/>
          <w:color w:val="auto"/>
          <w:sz w:val="24"/>
          <w:highlight w:val="none"/>
        </w:rPr>
      </w:pPr>
      <w:bookmarkStart w:id="160" w:name="_Toc152045623"/>
      <w:bookmarkStart w:id="161" w:name="_Toc152042401"/>
      <w:bookmarkStart w:id="162" w:name="_Toc144974591"/>
      <w:bookmarkStart w:id="163" w:name="_Toc27722"/>
      <w:bookmarkStart w:id="164" w:name="_Toc179632641"/>
      <w:bookmarkStart w:id="165" w:name="_Toc275242234"/>
      <w:r>
        <w:rPr>
          <w:rFonts w:ascii="Calibri" w:hAnsi="Calibri" w:eastAsia="黑体" w:cs="宋体"/>
          <w:color w:val="auto"/>
          <w:sz w:val="24"/>
          <w:highlight w:val="none"/>
        </w:rPr>
        <w:t xml:space="preserve">1.12 </w:t>
      </w:r>
      <w:r>
        <w:rPr>
          <w:rFonts w:hint="eastAsia" w:ascii="Calibri" w:hAnsi="Calibri" w:eastAsia="黑体" w:cs="宋体"/>
          <w:color w:val="auto"/>
          <w:sz w:val="24"/>
          <w:highlight w:val="none"/>
        </w:rPr>
        <w:t>图纸和文件的保密</w:t>
      </w:r>
      <w:bookmarkEnd w:id="160"/>
      <w:bookmarkEnd w:id="161"/>
      <w:bookmarkEnd w:id="162"/>
      <w:bookmarkEnd w:id="163"/>
      <w:bookmarkEnd w:id="164"/>
      <w:bookmarkEnd w:id="165"/>
    </w:p>
    <w:p w14:paraId="057C363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1.12.1 </w:t>
      </w:r>
      <w:r>
        <w:rPr>
          <w:rFonts w:hint="eastAsia" w:ascii="Calibri" w:hAnsi="Calibri"/>
          <w:color w:val="auto"/>
          <w:sz w:val="24"/>
          <w:highlight w:val="none"/>
        </w:rPr>
        <w:t>发包人提供的图纸和文件，未经发包人同意，承包人不得为合同以外的目的泄露给他人或公开发表与引用。</w:t>
      </w:r>
    </w:p>
    <w:p w14:paraId="7BCFBFF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1.12.2 </w:t>
      </w:r>
      <w:r>
        <w:rPr>
          <w:rFonts w:hint="eastAsia" w:ascii="Calibri" w:hAnsi="Calibri"/>
          <w:color w:val="auto"/>
          <w:sz w:val="24"/>
          <w:highlight w:val="none"/>
        </w:rPr>
        <w:t>承包人提供的文件，未经承包人同意，发包人和监理人不得为合同以外的目的泄露给他人或公开发表与引用。</w:t>
      </w:r>
    </w:p>
    <w:p w14:paraId="0F0A2A26">
      <w:pPr>
        <w:keepNext/>
        <w:keepLines/>
        <w:spacing w:line="400" w:lineRule="exact"/>
        <w:outlineLvl w:val="1"/>
        <w:rPr>
          <w:rFonts w:eastAsia="黑体" w:cs="宋体"/>
          <w:color w:val="auto"/>
          <w:sz w:val="24"/>
          <w:highlight w:val="none"/>
        </w:rPr>
      </w:pPr>
      <w:bookmarkStart w:id="166" w:name="_Toc144974592"/>
      <w:bookmarkStart w:id="167" w:name="_Toc179632642"/>
      <w:bookmarkStart w:id="168" w:name="_Toc26258"/>
      <w:bookmarkStart w:id="169" w:name="_Toc152042402"/>
      <w:bookmarkStart w:id="170" w:name="_Toc275242235"/>
      <w:bookmarkStart w:id="171" w:name="_Toc152045624"/>
      <w:r>
        <w:rPr>
          <w:rFonts w:eastAsia="黑体" w:cs="宋体"/>
          <w:color w:val="auto"/>
          <w:sz w:val="24"/>
          <w:highlight w:val="none"/>
        </w:rPr>
        <w:t xml:space="preserve">2. </w:t>
      </w:r>
      <w:r>
        <w:rPr>
          <w:rFonts w:hint="eastAsia" w:eastAsia="黑体" w:cs="宋体"/>
          <w:color w:val="auto"/>
          <w:sz w:val="24"/>
          <w:highlight w:val="none"/>
        </w:rPr>
        <w:t>发包人义务</w:t>
      </w:r>
      <w:bookmarkEnd w:id="166"/>
      <w:bookmarkEnd w:id="167"/>
      <w:bookmarkEnd w:id="168"/>
      <w:bookmarkEnd w:id="169"/>
      <w:bookmarkEnd w:id="170"/>
      <w:bookmarkEnd w:id="171"/>
    </w:p>
    <w:p w14:paraId="45E3DF91">
      <w:pPr>
        <w:keepNext/>
        <w:keepLines/>
        <w:spacing w:line="400" w:lineRule="exact"/>
        <w:outlineLvl w:val="2"/>
        <w:rPr>
          <w:rFonts w:ascii="Calibri" w:hAnsi="Calibri" w:eastAsia="黑体" w:cs="宋体"/>
          <w:color w:val="auto"/>
          <w:sz w:val="24"/>
          <w:highlight w:val="none"/>
        </w:rPr>
      </w:pPr>
      <w:bookmarkStart w:id="172" w:name="_Toc144974593"/>
      <w:bookmarkStart w:id="173" w:name="_Toc3069"/>
      <w:bookmarkStart w:id="174" w:name="_Toc179632643"/>
      <w:bookmarkStart w:id="175" w:name="_Toc152042403"/>
      <w:bookmarkStart w:id="176" w:name="_Toc152045625"/>
      <w:bookmarkStart w:id="177" w:name="_Toc275242236"/>
      <w:r>
        <w:rPr>
          <w:rFonts w:ascii="Calibri" w:hAnsi="Calibri" w:eastAsia="黑体" w:cs="宋体"/>
          <w:color w:val="auto"/>
          <w:sz w:val="24"/>
          <w:highlight w:val="none"/>
        </w:rPr>
        <w:t xml:space="preserve">2.1 </w:t>
      </w:r>
      <w:r>
        <w:rPr>
          <w:rFonts w:hint="eastAsia" w:ascii="Calibri" w:hAnsi="Calibri" w:eastAsia="黑体" w:cs="宋体"/>
          <w:color w:val="auto"/>
          <w:sz w:val="24"/>
          <w:highlight w:val="none"/>
        </w:rPr>
        <w:t>遵守法律</w:t>
      </w:r>
      <w:bookmarkEnd w:id="172"/>
      <w:bookmarkEnd w:id="173"/>
      <w:bookmarkEnd w:id="174"/>
      <w:bookmarkEnd w:id="175"/>
      <w:bookmarkEnd w:id="176"/>
      <w:bookmarkEnd w:id="177"/>
    </w:p>
    <w:p w14:paraId="5BC127E5">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发包人在履行合同过程中应遵守法律，并保证承包人免于承担因发包人违反法律而引起的任何责任。</w:t>
      </w:r>
    </w:p>
    <w:p w14:paraId="2345F7B2">
      <w:pPr>
        <w:keepNext/>
        <w:keepLines/>
        <w:spacing w:line="400" w:lineRule="exact"/>
        <w:outlineLvl w:val="2"/>
        <w:rPr>
          <w:rFonts w:ascii="Calibri" w:hAnsi="Calibri" w:eastAsia="黑体" w:cs="宋体"/>
          <w:color w:val="auto"/>
          <w:sz w:val="24"/>
          <w:highlight w:val="none"/>
        </w:rPr>
      </w:pPr>
      <w:bookmarkStart w:id="178" w:name="_Toc179632644"/>
      <w:bookmarkStart w:id="179" w:name="_Toc275242237"/>
      <w:bookmarkStart w:id="180" w:name="_Toc144974594"/>
      <w:bookmarkStart w:id="181" w:name="_Toc15655"/>
      <w:bookmarkStart w:id="182" w:name="_Toc152045626"/>
      <w:bookmarkStart w:id="183" w:name="_Toc152042404"/>
      <w:r>
        <w:rPr>
          <w:rFonts w:ascii="Calibri" w:hAnsi="Calibri" w:eastAsia="黑体" w:cs="宋体"/>
          <w:color w:val="auto"/>
          <w:sz w:val="24"/>
          <w:highlight w:val="none"/>
        </w:rPr>
        <w:t xml:space="preserve">2.2 </w:t>
      </w:r>
      <w:r>
        <w:rPr>
          <w:rFonts w:hint="eastAsia" w:ascii="Calibri" w:hAnsi="Calibri" w:eastAsia="黑体" w:cs="宋体"/>
          <w:color w:val="auto"/>
          <w:sz w:val="24"/>
          <w:highlight w:val="none"/>
        </w:rPr>
        <w:t>发出开工通知</w:t>
      </w:r>
      <w:bookmarkEnd w:id="178"/>
      <w:bookmarkEnd w:id="179"/>
      <w:bookmarkEnd w:id="180"/>
      <w:bookmarkEnd w:id="181"/>
      <w:bookmarkEnd w:id="182"/>
      <w:bookmarkEnd w:id="183"/>
    </w:p>
    <w:p w14:paraId="37313A5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发包人应委托监理人按第</w:t>
      </w:r>
      <w:r>
        <w:rPr>
          <w:rFonts w:ascii="Calibri" w:hAnsi="Calibri"/>
          <w:color w:val="auto"/>
          <w:sz w:val="24"/>
          <w:highlight w:val="none"/>
        </w:rPr>
        <w:t>11.1</w:t>
      </w:r>
      <w:r>
        <w:rPr>
          <w:rFonts w:hint="eastAsia" w:ascii="Calibri" w:hAnsi="Calibri"/>
          <w:color w:val="auto"/>
          <w:sz w:val="24"/>
          <w:highlight w:val="none"/>
        </w:rPr>
        <w:t>款的约定向承包人发出开工通知。</w:t>
      </w:r>
    </w:p>
    <w:p w14:paraId="0F53F9B7">
      <w:pPr>
        <w:keepNext/>
        <w:keepLines/>
        <w:spacing w:line="400" w:lineRule="exact"/>
        <w:outlineLvl w:val="2"/>
        <w:rPr>
          <w:rFonts w:ascii="Calibri" w:hAnsi="Calibri" w:eastAsia="黑体" w:cs="宋体"/>
          <w:color w:val="auto"/>
          <w:sz w:val="24"/>
          <w:highlight w:val="none"/>
        </w:rPr>
      </w:pPr>
      <w:bookmarkStart w:id="184" w:name="_Toc144974595"/>
      <w:bookmarkStart w:id="185" w:name="_Toc275242238"/>
      <w:bookmarkStart w:id="186" w:name="_Toc179632645"/>
      <w:bookmarkStart w:id="187" w:name="_Toc152042405"/>
      <w:bookmarkStart w:id="188" w:name="_Toc152045627"/>
      <w:bookmarkStart w:id="189" w:name="_Toc27352"/>
      <w:r>
        <w:rPr>
          <w:rFonts w:ascii="Calibri" w:hAnsi="Calibri" w:eastAsia="黑体" w:cs="宋体"/>
          <w:color w:val="auto"/>
          <w:sz w:val="24"/>
          <w:highlight w:val="none"/>
        </w:rPr>
        <w:t xml:space="preserve">2.3 </w:t>
      </w:r>
      <w:r>
        <w:rPr>
          <w:rFonts w:hint="eastAsia" w:ascii="Calibri" w:hAnsi="Calibri" w:eastAsia="黑体" w:cs="宋体"/>
          <w:color w:val="auto"/>
          <w:sz w:val="24"/>
          <w:highlight w:val="none"/>
        </w:rPr>
        <w:t>提供施工场地</w:t>
      </w:r>
      <w:bookmarkEnd w:id="184"/>
      <w:bookmarkEnd w:id="185"/>
      <w:bookmarkEnd w:id="186"/>
      <w:bookmarkEnd w:id="187"/>
      <w:bookmarkEnd w:id="188"/>
      <w:bookmarkEnd w:id="189"/>
    </w:p>
    <w:p w14:paraId="2480994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发包人应按专用合同条款约定向承包人提供施工场地，以及施工场地内地下管线和地下设施等有关资料，并保证资料的真实、准确、完整。</w:t>
      </w:r>
    </w:p>
    <w:p w14:paraId="09628821">
      <w:pPr>
        <w:keepNext/>
        <w:keepLines/>
        <w:spacing w:line="400" w:lineRule="exact"/>
        <w:outlineLvl w:val="2"/>
        <w:rPr>
          <w:rFonts w:ascii="Calibri" w:hAnsi="Calibri" w:eastAsia="黑体" w:cs="宋体"/>
          <w:color w:val="auto"/>
          <w:sz w:val="24"/>
          <w:highlight w:val="none"/>
        </w:rPr>
      </w:pPr>
      <w:bookmarkStart w:id="190" w:name="_Toc152042406"/>
      <w:bookmarkStart w:id="191" w:name="_Toc275242239"/>
      <w:bookmarkStart w:id="192" w:name="_Toc28132"/>
      <w:bookmarkStart w:id="193" w:name="_Toc152045628"/>
      <w:bookmarkStart w:id="194" w:name="_Toc144974596"/>
      <w:bookmarkStart w:id="195" w:name="_Toc179632646"/>
      <w:r>
        <w:rPr>
          <w:rFonts w:ascii="Calibri" w:hAnsi="Calibri" w:eastAsia="黑体" w:cs="宋体"/>
          <w:color w:val="auto"/>
          <w:sz w:val="24"/>
          <w:highlight w:val="none"/>
        </w:rPr>
        <w:t xml:space="preserve">2.4 </w:t>
      </w:r>
      <w:r>
        <w:rPr>
          <w:rFonts w:hint="eastAsia" w:ascii="Calibri" w:hAnsi="Calibri" w:eastAsia="黑体" w:cs="宋体"/>
          <w:color w:val="auto"/>
          <w:sz w:val="24"/>
          <w:highlight w:val="none"/>
        </w:rPr>
        <w:t>协助承包人办理证件和批件</w:t>
      </w:r>
      <w:bookmarkEnd w:id="190"/>
      <w:bookmarkEnd w:id="191"/>
      <w:bookmarkEnd w:id="192"/>
      <w:bookmarkEnd w:id="193"/>
      <w:bookmarkEnd w:id="194"/>
      <w:bookmarkEnd w:id="195"/>
    </w:p>
    <w:p w14:paraId="6129910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发包人应协助承包人办理法律规定的有关施工证件和批件。</w:t>
      </w:r>
    </w:p>
    <w:p w14:paraId="68AEC0A7">
      <w:pPr>
        <w:keepNext/>
        <w:keepLines/>
        <w:spacing w:line="400" w:lineRule="exact"/>
        <w:outlineLvl w:val="2"/>
        <w:rPr>
          <w:rFonts w:ascii="Calibri" w:hAnsi="Calibri" w:eastAsia="黑体" w:cs="宋体"/>
          <w:color w:val="auto"/>
          <w:sz w:val="24"/>
          <w:highlight w:val="none"/>
        </w:rPr>
      </w:pPr>
      <w:bookmarkStart w:id="196" w:name="_Toc144974597"/>
      <w:bookmarkStart w:id="197" w:name="_Toc152042407"/>
      <w:bookmarkStart w:id="198" w:name="_Toc152045629"/>
      <w:bookmarkStart w:id="199" w:name="_Toc4434"/>
      <w:bookmarkStart w:id="200" w:name="_Toc179632647"/>
      <w:bookmarkStart w:id="201" w:name="_Toc275242240"/>
      <w:r>
        <w:rPr>
          <w:rFonts w:ascii="Calibri" w:hAnsi="Calibri" w:eastAsia="黑体" w:cs="宋体"/>
          <w:color w:val="auto"/>
          <w:sz w:val="24"/>
          <w:highlight w:val="none"/>
        </w:rPr>
        <w:t xml:space="preserve">2.5 </w:t>
      </w:r>
      <w:r>
        <w:rPr>
          <w:rFonts w:hint="eastAsia" w:ascii="Calibri" w:hAnsi="Calibri" w:eastAsia="黑体" w:cs="宋体"/>
          <w:color w:val="auto"/>
          <w:sz w:val="24"/>
          <w:highlight w:val="none"/>
        </w:rPr>
        <w:t>组织设计交底</w:t>
      </w:r>
      <w:bookmarkEnd w:id="196"/>
      <w:bookmarkEnd w:id="197"/>
      <w:bookmarkEnd w:id="198"/>
      <w:bookmarkEnd w:id="199"/>
      <w:bookmarkEnd w:id="200"/>
      <w:bookmarkEnd w:id="201"/>
    </w:p>
    <w:p w14:paraId="780948B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发包人应根据合同进度计划，组织设计单位向承包人进行设计交底。</w:t>
      </w:r>
    </w:p>
    <w:p w14:paraId="770891A2">
      <w:pPr>
        <w:keepNext/>
        <w:keepLines/>
        <w:spacing w:line="400" w:lineRule="exact"/>
        <w:outlineLvl w:val="2"/>
        <w:rPr>
          <w:rFonts w:ascii="Calibri" w:hAnsi="Calibri" w:eastAsia="黑体" w:cs="宋体"/>
          <w:color w:val="auto"/>
          <w:sz w:val="24"/>
          <w:highlight w:val="none"/>
        </w:rPr>
      </w:pPr>
      <w:bookmarkStart w:id="202" w:name="_Toc144974598"/>
      <w:bookmarkStart w:id="203" w:name="_Toc179632648"/>
      <w:bookmarkStart w:id="204" w:name="_Toc28293"/>
      <w:bookmarkStart w:id="205" w:name="_Toc152042408"/>
      <w:bookmarkStart w:id="206" w:name="_Toc275242241"/>
      <w:bookmarkStart w:id="207" w:name="_Toc152045630"/>
      <w:r>
        <w:rPr>
          <w:rFonts w:ascii="Calibri" w:hAnsi="Calibri" w:eastAsia="黑体" w:cs="宋体"/>
          <w:color w:val="auto"/>
          <w:sz w:val="24"/>
          <w:highlight w:val="none"/>
        </w:rPr>
        <w:t xml:space="preserve">2.6 </w:t>
      </w:r>
      <w:r>
        <w:rPr>
          <w:rFonts w:hint="eastAsia" w:ascii="Calibri" w:hAnsi="Calibri" w:eastAsia="黑体" w:cs="宋体"/>
          <w:color w:val="auto"/>
          <w:sz w:val="24"/>
          <w:highlight w:val="none"/>
        </w:rPr>
        <w:t>支付合同价款</w:t>
      </w:r>
      <w:bookmarkEnd w:id="202"/>
      <w:bookmarkEnd w:id="203"/>
      <w:bookmarkEnd w:id="204"/>
      <w:bookmarkEnd w:id="205"/>
      <w:bookmarkEnd w:id="206"/>
      <w:bookmarkEnd w:id="207"/>
    </w:p>
    <w:p w14:paraId="420DBF1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合同价款在合同期内不调整。</w:t>
      </w:r>
    </w:p>
    <w:p w14:paraId="0E5C2B2A">
      <w:pPr>
        <w:keepNext/>
        <w:keepLines/>
        <w:spacing w:line="400" w:lineRule="exact"/>
        <w:outlineLvl w:val="2"/>
        <w:rPr>
          <w:rFonts w:ascii="Calibri" w:hAnsi="Calibri" w:eastAsia="黑体" w:cs="宋体"/>
          <w:color w:val="auto"/>
          <w:sz w:val="24"/>
          <w:highlight w:val="none"/>
        </w:rPr>
      </w:pPr>
      <w:bookmarkStart w:id="208" w:name="_Toc144974599"/>
      <w:bookmarkStart w:id="209" w:name="_Toc152045631"/>
      <w:bookmarkStart w:id="210" w:name="_Toc275242242"/>
      <w:bookmarkStart w:id="211" w:name="_Toc179632649"/>
      <w:bookmarkStart w:id="212" w:name="_Toc22762"/>
      <w:bookmarkStart w:id="213" w:name="_Toc152042409"/>
      <w:r>
        <w:rPr>
          <w:rFonts w:ascii="Calibri" w:hAnsi="Calibri" w:eastAsia="黑体" w:cs="宋体"/>
          <w:color w:val="auto"/>
          <w:sz w:val="24"/>
          <w:highlight w:val="none"/>
        </w:rPr>
        <w:t xml:space="preserve">2.7 </w:t>
      </w:r>
      <w:r>
        <w:rPr>
          <w:rFonts w:hint="eastAsia" w:ascii="Calibri" w:hAnsi="Calibri" w:eastAsia="黑体" w:cs="宋体"/>
          <w:color w:val="auto"/>
          <w:sz w:val="24"/>
          <w:highlight w:val="none"/>
        </w:rPr>
        <w:t>组织竣工验收</w:t>
      </w:r>
      <w:bookmarkEnd w:id="208"/>
      <w:bookmarkEnd w:id="209"/>
      <w:bookmarkEnd w:id="210"/>
      <w:bookmarkEnd w:id="211"/>
      <w:bookmarkEnd w:id="212"/>
      <w:bookmarkEnd w:id="213"/>
    </w:p>
    <w:p w14:paraId="0FD1969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发包人应按合同约定及时组织竣工验收。</w:t>
      </w:r>
    </w:p>
    <w:p w14:paraId="29A7F64B">
      <w:pPr>
        <w:keepNext/>
        <w:keepLines/>
        <w:spacing w:line="400" w:lineRule="exact"/>
        <w:outlineLvl w:val="2"/>
        <w:rPr>
          <w:rFonts w:ascii="Calibri" w:hAnsi="Calibri" w:eastAsia="黑体" w:cs="宋体"/>
          <w:color w:val="auto"/>
          <w:sz w:val="24"/>
          <w:highlight w:val="none"/>
        </w:rPr>
      </w:pPr>
      <w:bookmarkStart w:id="214" w:name="_Toc152045632"/>
      <w:bookmarkStart w:id="215" w:name="_Toc275242243"/>
      <w:bookmarkStart w:id="216" w:name="_Toc19055"/>
      <w:bookmarkStart w:id="217" w:name="_Toc144974600"/>
      <w:bookmarkStart w:id="218" w:name="_Toc152042410"/>
      <w:bookmarkStart w:id="219" w:name="_Toc179632650"/>
      <w:r>
        <w:rPr>
          <w:rFonts w:ascii="Calibri" w:hAnsi="Calibri" w:eastAsia="黑体" w:cs="宋体"/>
          <w:color w:val="auto"/>
          <w:sz w:val="24"/>
          <w:highlight w:val="none"/>
        </w:rPr>
        <w:t xml:space="preserve">2.8 </w:t>
      </w:r>
      <w:r>
        <w:rPr>
          <w:rFonts w:hint="eastAsia" w:ascii="Calibri" w:hAnsi="Calibri" w:eastAsia="黑体" w:cs="宋体"/>
          <w:color w:val="auto"/>
          <w:sz w:val="24"/>
          <w:highlight w:val="none"/>
        </w:rPr>
        <w:t>其他义务</w:t>
      </w:r>
      <w:bookmarkEnd w:id="214"/>
      <w:bookmarkEnd w:id="215"/>
      <w:bookmarkEnd w:id="216"/>
      <w:bookmarkEnd w:id="217"/>
      <w:bookmarkEnd w:id="218"/>
      <w:bookmarkEnd w:id="219"/>
    </w:p>
    <w:p w14:paraId="31590F7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发包人应履行合同约定的其他义务。</w:t>
      </w:r>
    </w:p>
    <w:p w14:paraId="64C188FE">
      <w:pPr>
        <w:keepNext/>
        <w:keepLines/>
        <w:spacing w:line="400" w:lineRule="exact"/>
        <w:outlineLvl w:val="1"/>
        <w:rPr>
          <w:rFonts w:eastAsia="黑体" w:cs="宋体"/>
          <w:color w:val="auto"/>
          <w:sz w:val="24"/>
          <w:highlight w:val="none"/>
        </w:rPr>
      </w:pPr>
      <w:bookmarkStart w:id="220" w:name="_Toc275242244"/>
      <w:bookmarkStart w:id="221" w:name="_Toc152045633"/>
      <w:bookmarkStart w:id="222" w:name="_Toc32687"/>
      <w:bookmarkStart w:id="223" w:name="_Toc179632651"/>
      <w:bookmarkStart w:id="224" w:name="_Toc152042411"/>
      <w:bookmarkStart w:id="225" w:name="_Toc144974601"/>
      <w:r>
        <w:rPr>
          <w:rFonts w:eastAsia="黑体" w:cs="宋体"/>
          <w:color w:val="auto"/>
          <w:sz w:val="24"/>
          <w:highlight w:val="none"/>
        </w:rPr>
        <w:t xml:space="preserve">3. </w:t>
      </w:r>
      <w:r>
        <w:rPr>
          <w:rFonts w:hint="eastAsia" w:eastAsia="黑体" w:cs="宋体"/>
          <w:color w:val="auto"/>
          <w:sz w:val="24"/>
          <w:highlight w:val="none"/>
        </w:rPr>
        <w:t>监理人</w:t>
      </w:r>
      <w:bookmarkEnd w:id="220"/>
      <w:bookmarkEnd w:id="221"/>
      <w:bookmarkEnd w:id="222"/>
      <w:bookmarkEnd w:id="223"/>
      <w:bookmarkEnd w:id="224"/>
      <w:bookmarkEnd w:id="225"/>
    </w:p>
    <w:p w14:paraId="4B5DE7D1">
      <w:pPr>
        <w:keepNext/>
        <w:keepLines/>
        <w:spacing w:line="400" w:lineRule="exact"/>
        <w:outlineLvl w:val="2"/>
        <w:rPr>
          <w:rFonts w:ascii="Calibri" w:hAnsi="Calibri" w:eastAsia="黑体" w:cs="宋体"/>
          <w:color w:val="auto"/>
          <w:sz w:val="24"/>
          <w:highlight w:val="none"/>
        </w:rPr>
      </w:pPr>
      <w:bookmarkStart w:id="226" w:name="_Toc275242245"/>
      <w:bookmarkStart w:id="227" w:name="_Toc179632652"/>
      <w:bookmarkStart w:id="228" w:name="_Toc152042412"/>
      <w:bookmarkStart w:id="229" w:name="_Toc144974602"/>
      <w:bookmarkStart w:id="230" w:name="_Toc152045634"/>
      <w:bookmarkStart w:id="231" w:name="_Toc11960"/>
      <w:r>
        <w:rPr>
          <w:rFonts w:ascii="Calibri" w:hAnsi="Calibri" w:eastAsia="黑体" w:cs="宋体"/>
          <w:color w:val="auto"/>
          <w:sz w:val="24"/>
          <w:highlight w:val="none"/>
        </w:rPr>
        <w:t xml:space="preserve">3.1 </w:t>
      </w:r>
      <w:r>
        <w:rPr>
          <w:rFonts w:hint="eastAsia" w:ascii="Calibri" w:hAnsi="Calibri" w:eastAsia="黑体" w:cs="宋体"/>
          <w:color w:val="auto"/>
          <w:sz w:val="24"/>
          <w:highlight w:val="none"/>
        </w:rPr>
        <w:t>监理人的职责和权力</w:t>
      </w:r>
      <w:bookmarkEnd w:id="226"/>
      <w:bookmarkEnd w:id="227"/>
      <w:bookmarkEnd w:id="228"/>
      <w:bookmarkEnd w:id="229"/>
      <w:bookmarkEnd w:id="230"/>
      <w:bookmarkEnd w:id="231"/>
    </w:p>
    <w:p w14:paraId="0820046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3.1.1 </w:t>
      </w:r>
      <w:r>
        <w:rPr>
          <w:rFonts w:hint="eastAsia" w:ascii="Calibri" w:hAnsi="Calibri"/>
          <w:color w:val="auto"/>
          <w:sz w:val="24"/>
          <w:highlight w:val="none"/>
        </w:rPr>
        <w:t>监理人受发包人委托，享有合同约定的权力。监理人在行使某项权力前需要经发包人事先批准而通用合同条款没有指明的，应在专用合同条款中指明。</w:t>
      </w:r>
    </w:p>
    <w:p w14:paraId="4F002E0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3.1.2 </w:t>
      </w:r>
      <w:r>
        <w:rPr>
          <w:rFonts w:hint="eastAsia" w:ascii="Calibri" w:hAnsi="Calibri"/>
          <w:color w:val="auto"/>
          <w:sz w:val="24"/>
          <w:highlight w:val="none"/>
        </w:rPr>
        <w:t>监理人发出的任何指示应视为已得到发包人的批准，但监理人无权免除或变更合同约定的发包人和承包人的权利、义务和责任。</w:t>
      </w:r>
    </w:p>
    <w:p w14:paraId="56BC21E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3.1.3 </w:t>
      </w:r>
      <w:r>
        <w:rPr>
          <w:rFonts w:hint="eastAsia" w:ascii="Calibri" w:hAnsi="Calibri"/>
          <w:color w:val="auto"/>
          <w:sz w:val="24"/>
          <w:highlight w:val="none"/>
        </w:rPr>
        <w:t>合同约定应由承包人承担的义务和责任，不因监理人对承包人提交文件的审查或批准，对工程、材料和设备的检查和检验，以及为实施监理作出的指示等职务行为而减轻或解除。</w:t>
      </w:r>
    </w:p>
    <w:p w14:paraId="424A3EAE">
      <w:pPr>
        <w:keepNext/>
        <w:keepLines/>
        <w:spacing w:line="400" w:lineRule="exact"/>
        <w:outlineLvl w:val="2"/>
        <w:rPr>
          <w:rFonts w:ascii="Calibri" w:hAnsi="Calibri" w:eastAsia="黑体" w:cs="宋体"/>
          <w:color w:val="auto"/>
          <w:sz w:val="24"/>
          <w:highlight w:val="none"/>
        </w:rPr>
      </w:pPr>
      <w:bookmarkStart w:id="232" w:name="_Toc152042413"/>
      <w:bookmarkStart w:id="233" w:name="_Toc144974603"/>
      <w:bookmarkStart w:id="234" w:name="_Toc275242246"/>
      <w:bookmarkStart w:id="235" w:name="_Toc152045635"/>
      <w:bookmarkStart w:id="236" w:name="_Toc179632653"/>
      <w:bookmarkStart w:id="237" w:name="_Toc12467"/>
      <w:r>
        <w:rPr>
          <w:rFonts w:ascii="Calibri" w:hAnsi="Calibri" w:eastAsia="黑体" w:cs="宋体"/>
          <w:color w:val="auto"/>
          <w:sz w:val="24"/>
          <w:highlight w:val="none"/>
        </w:rPr>
        <w:t xml:space="preserve">3.2 </w:t>
      </w:r>
      <w:r>
        <w:rPr>
          <w:rFonts w:hint="eastAsia" w:ascii="Calibri" w:hAnsi="Calibri" w:eastAsia="黑体" w:cs="宋体"/>
          <w:color w:val="auto"/>
          <w:sz w:val="24"/>
          <w:highlight w:val="none"/>
        </w:rPr>
        <w:t>总监理工程师</w:t>
      </w:r>
      <w:bookmarkEnd w:id="232"/>
      <w:bookmarkEnd w:id="233"/>
      <w:bookmarkEnd w:id="234"/>
      <w:bookmarkEnd w:id="235"/>
      <w:bookmarkEnd w:id="236"/>
      <w:bookmarkEnd w:id="237"/>
    </w:p>
    <w:p w14:paraId="1B55089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发包人应在发出开工通知前将总监理工程师的任命通知承包人。总监理工程师更换时，应在调离</w:t>
      </w:r>
      <w:r>
        <w:rPr>
          <w:rFonts w:ascii="Calibri" w:hAnsi="Calibri"/>
          <w:color w:val="auto"/>
          <w:sz w:val="24"/>
          <w:highlight w:val="none"/>
        </w:rPr>
        <w:t>14</w:t>
      </w:r>
      <w:r>
        <w:rPr>
          <w:rFonts w:hint="eastAsia" w:ascii="Calibri" w:hAnsi="Calibri"/>
          <w:color w:val="auto"/>
          <w:sz w:val="24"/>
          <w:highlight w:val="none"/>
        </w:rPr>
        <w:t>天前通知承包人。总监理工程师短期离开施工场地的，应委派代表代行其职责，并通知承包人。</w:t>
      </w:r>
    </w:p>
    <w:p w14:paraId="4A975DA1">
      <w:pPr>
        <w:keepNext/>
        <w:keepLines/>
        <w:spacing w:line="400" w:lineRule="exact"/>
        <w:outlineLvl w:val="2"/>
        <w:rPr>
          <w:rFonts w:ascii="Calibri" w:hAnsi="Calibri" w:eastAsia="黑体" w:cs="宋体"/>
          <w:color w:val="auto"/>
          <w:sz w:val="24"/>
          <w:highlight w:val="none"/>
        </w:rPr>
      </w:pPr>
      <w:bookmarkStart w:id="238" w:name="_Toc144974604"/>
      <w:bookmarkStart w:id="239" w:name="_Toc179632654"/>
      <w:bookmarkStart w:id="240" w:name="_Toc19244"/>
      <w:bookmarkStart w:id="241" w:name="_Toc152042414"/>
      <w:bookmarkStart w:id="242" w:name="_Toc275242247"/>
      <w:bookmarkStart w:id="243" w:name="_Toc152045636"/>
      <w:r>
        <w:rPr>
          <w:rFonts w:ascii="Calibri" w:hAnsi="Calibri" w:eastAsia="黑体" w:cs="宋体"/>
          <w:color w:val="auto"/>
          <w:sz w:val="24"/>
          <w:highlight w:val="none"/>
        </w:rPr>
        <w:t xml:space="preserve">3.3 </w:t>
      </w:r>
      <w:r>
        <w:rPr>
          <w:rFonts w:hint="eastAsia" w:ascii="Calibri" w:hAnsi="Calibri" w:eastAsia="黑体" w:cs="宋体"/>
          <w:color w:val="auto"/>
          <w:sz w:val="24"/>
          <w:highlight w:val="none"/>
        </w:rPr>
        <w:t>监理人员</w:t>
      </w:r>
      <w:bookmarkEnd w:id="238"/>
      <w:bookmarkEnd w:id="239"/>
      <w:bookmarkEnd w:id="240"/>
      <w:bookmarkEnd w:id="241"/>
      <w:bookmarkEnd w:id="242"/>
      <w:bookmarkEnd w:id="243"/>
    </w:p>
    <w:p w14:paraId="49A9BE6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3.3.1 </w:t>
      </w:r>
      <w:r>
        <w:rPr>
          <w:rFonts w:hint="eastAsia" w:ascii="Calibri" w:hAnsi="Calibri"/>
          <w:color w:val="auto"/>
          <w:sz w:val="24"/>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428DB8D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3.3.2 </w:t>
      </w:r>
      <w:r>
        <w:rPr>
          <w:rFonts w:hint="eastAsia" w:ascii="Calibri" w:hAnsi="Calibri"/>
          <w:color w:val="auto"/>
          <w:sz w:val="24"/>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15E5130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3.3.3 </w:t>
      </w:r>
      <w:r>
        <w:rPr>
          <w:rFonts w:hint="eastAsia" w:ascii="Calibri" w:hAnsi="Calibri"/>
          <w:color w:val="auto"/>
          <w:sz w:val="24"/>
          <w:highlight w:val="none"/>
        </w:rPr>
        <w:t>承包人对总监理工程师授权的监理人员发出的指示有疑问的，可向总监理工程师提出书面异议，总监理工程师应在</w:t>
      </w:r>
      <w:r>
        <w:rPr>
          <w:rFonts w:ascii="Calibri" w:hAnsi="Calibri"/>
          <w:color w:val="auto"/>
          <w:sz w:val="24"/>
          <w:highlight w:val="none"/>
        </w:rPr>
        <w:t>48</w:t>
      </w:r>
      <w:r>
        <w:rPr>
          <w:rFonts w:hint="eastAsia" w:ascii="Calibri" w:hAnsi="Calibri"/>
          <w:color w:val="auto"/>
          <w:sz w:val="24"/>
          <w:highlight w:val="none"/>
        </w:rPr>
        <w:t>小时内对该指示予以确认、更改或撤销。</w:t>
      </w:r>
    </w:p>
    <w:p w14:paraId="0C4FAC4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3.3.4 </w:t>
      </w:r>
      <w:r>
        <w:rPr>
          <w:rFonts w:hint="eastAsia" w:ascii="Calibri" w:hAnsi="Calibri"/>
          <w:color w:val="auto"/>
          <w:sz w:val="24"/>
          <w:highlight w:val="none"/>
        </w:rPr>
        <w:t>除专用合同条款另有约定外，总监理工程师不应将第</w:t>
      </w:r>
      <w:r>
        <w:rPr>
          <w:rFonts w:ascii="Calibri" w:hAnsi="Calibri"/>
          <w:color w:val="auto"/>
          <w:sz w:val="24"/>
          <w:highlight w:val="none"/>
        </w:rPr>
        <w:t>3.5</w:t>
      </w:r>
      <w:r>
        <w:rPr>
          <w:rFonts w:hint="eastAsia" w:ascii="Calibri" w:hAnsi="Calibri"/>
          <w:color w:val="auto"/>
          <w:sz w:val="24"/>
          <w:highlight w:val="none"/>
        </w:rPr>
        <w:t>款约定应由总监理工程师作出确定的权力授权或委托给其他监理人员。</w:t>
      </w:r>
    </w:p>
    <w:p w14:paraId="07D6A3D1">
      <w:pPr>
        <w:keepNext/>
        <w:keepLines/>
        <w:spacing w:line="400" w:lineRule="exact"/>
        <w:outlineLvl w:val="2"/>
        <w:rPr>
          <w:rFonts w:ascii="Calibri" w:hAnsi="Calibri" w:eastAsia="黑体" w:cs="宋体"/>
          <w:color w:val="auto"/>
          <w:sz w:val="24"/>
          <w:highlight w:val="none"/>
        </w:rPr>
      </w:pPr>
      <w:bookmarkStart w:id="244" w:name="_Toc275242248"/>
      <w:bookmarkStart w:id="245" w:name="_Toc152042415"/>
      <w:bookmarkStart w:id="246" w:name="_Toc29046"/>
      <w:bookmarkStart w:id="247" w:name="_Toc179632655"/>
      <w:bookmarkStart w:id="248" w:name="_Toc152045637"/>
      <w:bookmarkStart w:id="249" w:name="_Toc144974605"/>
      <w:r>
        <w:rPr>
          <w:rFonts w:ascii="Calibri" w:hAnsi="Calibri" w:eastAsia="黑体" w:cs="宋体"/>
          <w:color w:val="auto"/>
          <w:sz w:val="24"/>
          <w:highlight w:val="none"/>
        </w:rPr>
        <w:t xml:space="preserve">3.4 </w:t>
      </w:r>
      <w:r>
        <w:rPr>
          <w:rFonts w:hint="eastAsia" w:ascii="Calibri" w:hAnsi="Calibri" w:eastAsia="黑体" w:cs="宋体"/>
          <w:color w:val="auto"/>
          <w:sz w:val="24"/>
          <w:highlight w:val="none"/>
        </w:rPr>
        <w:t>监理人的指示</w:t>
      </w:r>
      <w:bookmarkEnd w:id="244"/>
      <w:bookmarkEnd w:id="245"/>
      <w:bookmarkEnd w:id="246"/>
      <w:bookmarkEnd w:id="247"/>
      <w:bookmarkEnd w:id="248"/>
      <w:bookmarkEnd w:id="249"/>
    </w:p>
    <w:p w14:paraId="00128C8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3.4.1 </w:t>
      </w:r>
      <w:r>
        <w:rPr>
          <w:rFonts w:hint="eastAsia" w:ascii="Calibri" w:hAnsi="Calibri"/>
          <w:color w:val="auto"/>
          <w:sz w:val="24"/>
          <w:highlight w:val="none"/>
        </w:rPr>
        <w:t>监理人应按第</w:t>
      </w:r>
      <w:r>
        <w:rPr>
          <w:rFonts w:ascii="Calibri" w:hAnsi="Calibri"/>
          <w:color w:val="auto"/>
          <w:sz w:val="24"/>
          <w:highlight w:val="none"/>
        </w:rPr>
        <w:t>3.1</w:t>
      </w:r>
      <w:r>
        <w:rPr>
          <w:rFonts w:hint="eastAsia" w:ascii="Calibri" w:hAnsi="Calibri"/>
          <w:color w:val="auto"/>
          <w:sz w:val="24"/>
          <w:highlight w:val="none"/>
        </w:rPr>
        <w:t>款的约定向承包人发出指示，监理人的指示应盖有监理人授权的施工场地机构章，并由总监理工程师或总监理工程师按第</w:t>
      </w:r>
      <w:r>
        <w:rPr>
          <w:rFonts w:ascii="Calibri" w:hAnsi="Calibri"/>
          <w:color w:val="auto"/>
          <w:sz w:val="24"/>
          <w:highlight w:val="none"/>
        </w:rPr>
        <w:t>3.3.1</w:t>
      </w:r>
      <w:r>
        <w:rPr>
          <w:rFonts w:hint="eastAsia" w:ascii="Calibri" w:hAnsi="Calibri"/>
          <w:color w:val="auto"/>
          <w:sz w:val="24"/>
          <w:highlight w:val="none"/>
        </w:rPr>
        <w:t>项约定授权的监理人员签字。</w:t>
      </w:r>
    </w:p>
    <w:p w14:paraId="3C3E3FE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3.4.2 </w:t>
      </w:r>
      <w:r>
        <w:rPr>
          <w:rFonts w:hint="eastAsia" w:ascii="Calibri" w:hAnsi="Calibri"/>
          <w:color w:val="auto"/>
          <w:sz w:val="24"/>
          <w:highlight w:val="none"/>
        </w:rPr>
        <w:t>承包人收到监理人按第</w:t>
      </w:r>
      <w:r>
        <w:rPr>
          <w:rFonts w:ascii="Calibri" w:hAnsi="Calibri"/>
          <w:color w:val="auto"/>
          <w:sz w:val="24"/>
          <w:highlight w:val="none"/>
        </w:rPr>
        <w:t>3.4.1</w:t>
      </w:r>
      <w:r>
        <w:rPr>
          <w:rFonts w:hint="eastAsia" w:ascii="Calibri" w:hAnsi="Calibri"/>
          <w:color w:val="auto"/>
          <w:sz w:val="24"/>
          <w:highlight w:val="none"/>
        </w:rPr>
        <w:t>项作出的指示后应遵照执行。指示构成变更的，应按第</w:t>
      </w:r>
      <w:r>
        <w:rPr>
          <w:rFonts w:ascii="Calibri" w:hAnsi="Calibri"/>
          <w:color w:val="auto"/>
          <w:sz w:val="24"/>
          <w:highlight w:val="none"/>
        </w:rPr>
        <w:t>15</w:t>
      </w:r>
      <w:r>
        <w:rPr>
          <w:rFonts w:hint="eastAsia" w:ascii="Calibri" w:hAnsi="Calibri"/>
          <w:color w:val="auto"/>
          <w:sz w:val="24"/>
          <w:highlight w:val="none"/>
        </w:rPr>
        <w:t>条处理。</w:t>
      </w:r>
    </w:p>
    <w:p w14:paraId="6EFFE56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3.4.3 </w:t>
      </w:r>
      <w:r>
        <w:rPr>
          <w:rFonts w:hint="eastAsia" w:ascii="Calibri" w:hAnsi="Calibri"/>
          <w:color w:val="auto"/>
          <w:sz w:val="24"/>
          <w:highlight w:val="none"/>
        </w:rPr>
        <w:t>在紧急情况下，总监理工程师或被授权的监理人员可以当场签发临时书面指示，承包人应遵照执行。承包人应在收到上述临时书面指示后</w:t>
      </w:r>
      <w:r>
        <w:rPr>
          <w:rFonts w:ascii="Calibri" w:hAnsi="Calibri"/>
          <w:color w:val="auto"/>
          <w:sz w:val="24"/>
          <w:highlight w:val="none"/>
        </w:rPr>
        <w:t>24</w:t>
      </w:r>
      <w:r>
        <w:rPr>
          <w:rFonts w:hint="eastAsia" w:ascii="Calibri" w:hAnsi="Calibri"/>
          <w:color w:val="auto"/>
          <w:sz w:val="24"/>
          <w:highlight w:val="none"/>
        </w:rPr>
        <w:t>小时内，向监理人发出书面确认函。监理人在收到书面确认函后</w:t>
      </w:r>
      <w:r>
        <w:rPr>
          <w:rFonts w:ascii="Calibri" w:hAnsi="Calibri"/>
          <w:color w:val="auto"/>
          <w:sz w:val="24"/>
          <w:highlight w:val="none"/>
        </w:rPr>
        <w:t>24</w:t>
      </w:r>
      <w:r>
        <w:rPr>
          <w:rFonts w:hint="eastAsia" w:ascii="Calibri" w:hAnsi="Calibri"/>
          <w:color w:val="auto"/>
          <w:sz w:val="24"/>
          <w:highlight w:val="none"/>
        </w:rPr>
        <w:t>小时内未予答复的，该书面确认函应被视为监理人的正式指示。</w:t>
      </w:r>
    </w:p>
    <w:p w14:paraId="62D11DA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3.4.4 </w:t>
      </w:r>
      <w:r>
        <w:rPr>
          <w:rFonts w:hint="eastAsia" w:ascii="Calibri" w:hAnsi="Calibri"/>
          <w:color w:val="auto"/>
          <w:sz w:val="24"/>
          <w:highlight w:val="none"/>
        </w:rPr>
        <w:t>除合同另有约定外，承包人只从总监理工程师或按第</w:t>
      </w:r>
      <w:r>
        <w:rPr>
          <w:rFonts w:ascii="Calibri" w:hAnsi="Calibri"/>
          <w:color w:val="auto"/>
          <w:sz w:val="24"/>
          <w:highlight w:val="none"/>
        </w:rPr>
        <w:t>3.3.1</w:t>
      </w:r>
      <w:r>
        <w:rPr>
          <w:rFonts w:hint="eastAsia" w:ascii="Calibri" w:hAnsi="Calibri"/>
          <w:color w:val="auto"/>
          <w:sz w:val="24"/>
          <w:highlight w:val="none"/>
        </w:rPr>
        <w:t>项被授权的监理人员处取得指示。</w:t>
      </w:r>
    </w:p>
    <w:p w14:paraId="63BC8CB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3.4.5 </w:t>
      </w:r>
      <w:r>
        <w:rPr>
          <w:rFonts w:hint="eastAsia" w:ascii="Calibri" w:hAnsi="Calibri"/>
          <w:color w:val="auto"/>
          <w:sz w:val="24"/>
          <w:highlight w:val="none"/>
        </w:rPr>
        <w:t>由于监理人未能按合同约定发出指示、指示延误或指示错误而导致承包人费用增加和（或）工期延误的，由发包人承担赔偿责任。</w:t>
      </w:r>
    </w:p>
    <w:p w14:paraId="1C5801C8">
      <w:pPr>
        <w:keepNext/>
        <w:keepLines/>
        <w:spacing w:line="400" w:lineRule="exact"/>
        <w:outlineLvl w:val="2"/>
        <w:rPr>
          <w:rFonts w:ascii="Calibri" w:hAnsi="Calibri" w:eastAsia="黑体" w:cs="宋体"/>
          <w:color w:val="auto"/>
          <w:sz w:val="24"/>
          <w:highlight w:val="none"/>
        </w:rPr>
      </w:pPr>
      <w:bookmarkStart w:id="250" w:name="_Toc179632656"/>
      <w:bookmarkStart w:id="251" w:name="_Toc144974606"/>
      <w:bookmarkStart w:id="252" w:name="_Toc152045638"/>
      <w:bookmarkStart w:id="253" w:name="_Toc275242249"/>
      <w:bookmarkStart w:id="254" w:name="_Toc22696"/>
      <w:bookmarkStart w:id="255" w:name="_Toc152042416"/>
      <w:r>
        <w:rPr>
          <w:rFonts w:ascii="Calibri" w:hAnsi="Calibri" w:eastAsia="黑体" w:cs="宋体"/>
          <w:color w:val="auto"/>
          <w:sz w:val="24"/>
          <w:highlight w:val="none"/>
        </w:rPr>
        <w:t xml:space="preserve">3.5 </w:t>
      </w:r>
      <w:r>
        <w:rPr>
          <w:rFonts w:hint="eastAsia" w:ascii="Calibri" w:hAnsi="Calibri" w:eastAsia="黑体" w:cs="宋体"/>
          <w:color w:val="auto"/>
          <w:sz w:val="24"/>
          <w:highlight w:val="none"/>
        </w:rPr>
        <w:t>商定或确定</w:t>
      </w:r>
      <w:bookmarkEnd w:id="250"/>
      <w:bookmarkEnd w:id="251"/>
      <w:bookmarkEnd w:id="252"/>
      <w:bookmarkEnd w:id="253"/>
      <w:bookmarkEnd w:id="254"/>
      <w:bookmarkEnd w:id="255"/>
    </w:p>
    <w:p w14:paraId="24D41226">
      <w:pPr>
        <w:spacing w:line="400" w:lineRule="exact"/>
        <w:ind w:firstLine="480" w:firstLineChars="200"/>
        <w:rPr>
          <w:rFonts w:ascii="Calibri" w:hAnsi="Calibri"/>
          <w:color w:val="auto"/>
          <w:sz w:val="24"/>
          <w:highlight w:val="none"/>
        </w:rPr>
      </w:pPr>
      <w:r>
        <w:rPr>
          <w:rFonts w:ascii="Calibri" w:hAnsi="Calibri"/>
          <w:color w:val="auto"/>
          <w:sz w:val="24"/>
          <w:highlight w:val="none"/>
        </w:rPr>
        <w:t>3.5.1</w:t>
      </w:r>
      <w:r>
        <w:rPr>
          <w:rFonts w:hint="eastAsia" w:ascii="Calibri" w:hAnsi="Calibri"/>
          <w:color w:val="auto"/>
          <w:sz w:val="24"/>
          <w:highlight w:val="none"/>
        </w:rPr>
        <w:t>合同约定总监理工程师应按照本款对任何事项进行商定或确定时，总监理工程师应与合同当事人协商，尽量达成一致。不能达成一致的，总监理工程师应认真研究后审慎确定。</w:t>
      </w:r>
    </w:p>
    <w:p w14:paraId="0BFC948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3.5.2 </w:t>
      </w:r>
      <w:r>
        <w:rPr>
          <w:rFonts w:hint="eastAsia" w:ascii="Calibri" w:hAnsi="Calibri"/>
          <w:color w:val="auto"/>
          <w:sz w:val="24"/>
          <w:highlight w:val="none"/>
        </w:rPr>
        <w:t>总监理工程师应将商定或确定的事项通知合同当事人，并附详细依据。对总监理工程师的确定有异议的，构成争议，按照第</w:t>
      </w:r>
      <w:r>
        <w:rPr>
          <w:rFonts w:ascii="Calibri" w:hAnsi="Calibri"/>
          <w:color w:val="auto"/>
          <w:sz w:val="24"/>
          <w:highlight w:val="none"/>
        </w:rPr>
        <w:t>24</w:t>
      </w:r>
      <w:r>
        <w:rPr>
          <w:rFonts w:hint="eastAsia" w:ascii="Calibri" w:hAnsi="Calibri"/>
          <w:color w:val="auto"/>
          <w:sz w:val="24"/>
          <w:highlight w:val="none"/>
        </w:rPr>
        <w:t>条的约定处理。在争议解决前，双方应暂按总监理工程师的确定执行，按照第</w:t>
      </w:r>
      <w:r>
        <w:rPr>
          <w:rFonts w:ascii="Calibri" w:hAnsi="Calibri"/>
          <w:color w:val="auto"/>
          <w:sz w:val="24"/>
          <w:highlight w:val="none"/>
        </w:rPr>
        <w:t>24</w:t>
      </w:r>
      <w:r>
        <w:rPr>
          <w:rFonts w:hint="eastAsia" w:ascii="Calibri" w:hAnsi="Calibri"/>
          <w:color w:val="auto"/>
          <w:sz w:val="24"/>
          <w:highlight w:val="none"/>
        </w:rPr>
        <w:t>条的约定对总监理工程师的确定作出修改的，按修改后的结果执行。</w:t>
      </w:r>
    </w:p>
    <w:p w14:paraId="6527824B">
      <w:pPr>
        <w:keepNext/>
        <w:keepLines/>
        <w:spacing w:line="400" w:lineRule="exact"/>
        <w:outlineLvl w:val="1"/>
        <w:rPr>
          <w:rFonts w:eastAsia="黑体" w:cs="宋体"/>
          <w:color w:val="auto"/>
          <w:sz w:val="24"/>
          <w:highlight w:val="none"/>
        </w:rPr>
      </w:pPr>
      <w:bookmarkStart w:id="256" w:name="_Toc152045639"/>
      <w:bookmarkStart w:id="257" w:name="_Toc152042417"/>
      <w:bookmarkStart w:id="258" w:name="_Toc9039"/>
      <w:bookmarkStart w:id="259" w:name="_Toc179632657"/>
      <w:bookmarkStart w:id="260" w:name="_Toc144974607"/>
      <w:bookmarkStart w:id="261" w:name="_Toc275242250"/>
      <w:r>
        <w:rPr>
          <w:rFonts w:eastAsia="黑体" w:cs="宋体"/>
          <w:color w:val="auto"/>
          <w:sz w:val="24"/>
          <w:highlight w:val="none"/>
        </w:rPr>
        <w:t xml:space="preserve">4. </w:t>
      </w:r>
      <w:r>
        <w:rPr>
          <w:rFonts w:hint="eastAsia" w:eastAsia="黑体" w:cs="宋体"/>
          <w:color w:val="auto"/>
          <w:sz w:val="24"/>
          <w:highlight w:val="none"/>
        </w:rPr>
        <w:t>承包人</w:t>
      </w:r>
      <w:bookmarkEnd w:id="256"/>
      <w:bookmarkEnd w:id="257"/>
      <w:bookmarkEnd w:id="258"/>
      <w:bookmarkEnd w:id="259"/>
      <w:bookmarkEnd w:id="260"/>
      <w:bookmarkEnd w:id="261"/>
    </w:p>
    <w:p w14:paraId="5F5554C7">
      <w:pPr>
        <w:keepNext/>
        <w:keepLines/>
        <w:spacing w:line="400" w:lineRule="exact"/>
        <w:outlineLvl w:val="2"/>
        <w:rPr>
          <w:rFonts w:ascii="Calibri" w:hAnsi="Calibri" w:eastAsia="黑体" w:cs="宋体"/>
          <w:color w:val="auto"/>
          <w:sz w:val="24"/>
          <w:highlight w:val="none"/>
        </w:rPr>
      </w:pPr>
      <w:bookmarkStart w:id="262" w:name="_Toc22354"/>
      <w:bookmarkStart w:id="263" w:name="_Toc144974608"/>
      <w:bookmarkStart w:id="264" w:name="_Toc152042418"/>
      <w:bookmarkStart w:id="265" w:name="_Toc179632658"/>
      <w:bookmarkStart w:id="266" w:name="_Toc152045640"/>
      <w:bookmarkStart w:id="267" w:name="_Toc275242251"/>
      <w:r>
        <w:rPr>
          <w:rFonts w:ascii="Calibri" w:hAnsi="Calibri" w:eastAsia="黑体" w:cs="宋体"/>
          <w:color w:val="auto"/>
          <w:sz w:val="24"/>
          <w:highlight w:val="none"/>
        </w:rPr>
        <w:t xml:space="preserve">4.1 </w:t>
      </w:r>
      <w:r>
        <w:rPr>
          <w:rFonts w:hint="eastAsia" w:ascii="Calibri" w:hAnsi="Calibri" w:eastAsia="黑体" w:cs="宋体"/>
          <w:color w:val="auto"/>
          <w:sz w:val="24"/>
          <w:highlight w:val="none"/>
        </w:rPr>
        <w:t>承包人的一般义务</w:t>
      </w:r>
      <w:bookmarkEnd w:id="262"/>
      <w:bookmarkEnd w:id="263"/>
      <w:bookmarkEnd w:id="264"/>
      <w:bookmarkEnd w:id="265"/>
      <w:bookmarkEnd w:id="266"/>
      <w:bookmarkEnd w:id="267"/>
    </w:p>
    <w:p w14:paraId="6D2CF37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4.1.1 </w:t>
      </w:r>
      <w:r>
        <w:rPr>
          <w:rFonts w:hint="eastAsia" w:ascii="黑体" w:hAnsi="Calibri" w:eastAsia="黑体"/>
          <w:color w:val="auto"/>
          <w:sz w:val="24"/>
          <w:highlight w:val="none"/>
        </w:rPr>
        <w:t>遵守法律</w:t>
      </w:r>
    </w:p>
    <w:p w14:paraId="3973DE5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承包人在履行合同过程中应遵守法律，并保证发包人免于承担因承包人违反法律而引起的任何责任。</w:t>
      </w:r>
    </w:p>
    <w:p w14:paraId="40CF64B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4.1.2 </w:t>
      </w:r>
      <w:r>
        <w:rPr>
          <w:rFonts w:hint="eastAsia" w:ascii="黑体" w:hAnsi="Calibri" w:eastAsia="黑体"/>
          <w:color w:val="auto"/>
          <w:sz w:val="24"/>
          <w:highlight w:val="none"/>
        </w:rPr>
        <w:t>依法纳税</w:t>
      </w:r>
    </w:p>
    <w:p w14:paraId="39675BA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承包人应按有关法律规定纳税，应缴纳的税金包括在合同价格内。</w:t>
      </w:r>
    </w:p>
    <w:p w14:paraId="7C831BA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4.1.3 </w:t>
      </w:r>
      <w:r>
        <w:rPr>
          <w:rFonts w:hint="eastAsia" w:ascii="黑体" w:hAnsi="Calibri" w:eastAsia="黑体"/>
          <w:color w:val="auto"/>
          <w:sz w:val="24"/>
          <w:highlight w:val="none"/>
        </w:rPr>
        <w:t>完成各项承包工作</w:t>
      </w:r>
    </w:p>
    <w:p w14:paraId="6F7A9DE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承包人应按合同约定以及监理人根据第</w:t>
      </w:r>
      <w:r>
        <w:rPr>
          <w:rFonts w:ascii="Calibri" w:hAnsi="Calibri"/>
          <w:color w:val="auto"/>
          <w:sz w:val="24"/>
          <w:highlight w:val="none"/>
        </w:rPr>
        <w:t>3.4</w:t>
      </w:r>
      <w:r>
        <w:rPr>
          <w:rFonts w:hint="eastAsia" w:ascii="Calibri" w:hAnsi="Calibri"/>
          <w:color w:val="auto"/>
          <w:sz w:val="24"/>
          <w:highlight w:val="none"/>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66B56C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4.1.4 </w:t>
      </w:r>
      <w:r>
        <w:rPr>
          <w:rFonts w:hint="eastAsia" w:ascii="黑体" w:hAnsi="Calibri" w:eastAsia="黑体"/>
          <w:color w:val="auto"/>
          <w:sz w:val="24"/>
          <w:highlight w:val="none"/>
        </w:rPr>
        <w:t>对施工作业和施工方法的完备性负责</w:t>
      </w:r>
    </w:p>
    <w:p w14:paraId="5DA7FD45">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承包人应按合同约定的工作内容和施工进度要求，编制施工组织设计和施工措施计划，并对所有施工作业和施工方法的完备性和安全可靠性负责。</w:t>
      </w:r>
    </w:p>
    <w:p w14:paraId="0DA8798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4.1.5 </w:t>
      </w:r>
      <w:r>
        <w:rPr>
          <w:rFonts w:hint="eastAsia" w:ascii="黑体" w:hAnsi="Calibri" w:eastAsia="黑体"/>
          <w:color w:val="auto"/>
          <w:sz w:val="24"/>
          <w:highlight w:val="none"/>
        </w:rPr>
        <w:t>保证工程施工和人员的安全</w:t>
      </w:r>
    </w:p>
    <w:p w14:paraId="6989813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承包人应按第</w:t>
      </w:r>
      <w:r>
        <w:rPr>
          <w:rFonts w:ascii="Calibri" w:hAnsi="Calibri"/>
          <w:color w:val="auto"/>
          <w:sz w:val="24"/>
          <w:highlight w:val="none"/>
        </w:rPr>
        <w:t>9.2</w:t>
      </w:r>
      <w:r>
        <w:rPr>
          <w:rFonts w:hint="eastAsia" w:ascii="Calibri" w:hAnsi="Calibri"/>
          <w:color w:val="auto"/>
          <w:sz w:val="24"/>
          <w:highlight w:val="none"/>
        </w:rPr>
        <w:t>款约定采取施工安全措施，确保工程及其人员、材料、设备和设施的安全，防止因工程施工造成的人身伤害和财产损失。</w:t>
      </w:r>
    </w:p>
    <w:p w14:paraId="5A4EC52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4.1.6 </w:t>
      </w:r>
      <w:r>
        <w:rPr>
          <w:rFonts w:hint="eastAsia" w:ascii="黑体" w:hAnsi="Calibri" w:eastAsia="黑体"/>
          <w:color w:val="auto"/>
          <w:sz w:val="24"/>
          <w:highlight w:val="none"/>
        </w:rPr>
        <w:t>负责施工场地及其周边环境与生态的保护工作</w:t>
      </w:r>
    </w:p>
    <w:p w14:paraId="6B8D9032">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承包人应按照第</w:t>
      </w:r>
      <w:r>
        <w:rPr>
          <w:rFonts w:ascii="Calibri" w:hAnsi="Calibri"/>
          <w:color w:val="auto"/>
          <w:sz w:val="24"/>
          <w:highlight w:val="none"/>
        </w:rPr>
        <w:t>9.4</w:t>
      </w:r>
      <w:r>
        <w:rPr>
          <w:rFonts w:hint="eastAsia" w:ascii="Calibri" w:hAnsi="Calibri"/>
          <w:color w:val="auto"/>
          <w:sz w:val="24"/>
          <w:highlight w:val="none"/>
        </w:rPr>
        <w:t>款约定负责施工场地及其周边环境与生态的保护工作。</w:t>
      </w:r>
    </w:p>
    <w:p w14:paraId="69AC2BF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4.1.7 </w:t>
      </w:r>
      <w:r>
        <w:rPr>
          <w:rFonts w:hint="eastAsia" w:ascii="黑体" w:hAnsi="Calibri" w:eastAsia="黑体"/>
          <w:color w:val="auto"/>
          <w:sz w:val="24"/>
          <w:highlight w:val="none"/>
        </w:rPr>
        <w:t>避免施工对公众与他人的利益造成损害</w:t>
      </w:r>
    </w:p>
    <w:p w14:paraId="496767D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2BB84C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4.1.8 </w:t>
      </w:r>
      <w:r>
        <w:rPr>
          <w:rFonts w:hint="eastAsia" w:ascii="黑体" w:hAnsi="Calibri" w:eastAsia="黑体"/>
          <w:color w:val="auto"/>
          <w:sz w:val="24"/>
          <w:highlight w:val="none"/>
        </w:rPr>
        <w:t>为他人提供方便</w:t>
      </w:r>
    </w:p>
    <w:p w14:paraId="5B91E3C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承包人应按监理人的指示为他人在施工场地或附近实施与工程有关的其他各项工作提供可能的条件。除合同另有约定外，提供有关条件的内容和可能发生的费用，由监理人按第</w:t>
      </w:r>
      <w:r>
        <w:rPr>
          <w:rFonts w:ascii="Calibri" w:hAnsi="Calibri"/>
          <w:color w:val="auto"/>
          <w:sz w:val="24"/>
          <w:highlight w:val="none"/>
        </w:rPr>
        <w:t>3.5</w:t>
      </w:r>
      <w:r>
        <w:rPr>
          <w:rFonts w:hint="eastAsia" w:ascii="Calibri" w:hAnsi="Calibri"/>
          <w:color w:val="auto"/>
          <w:sz w:val="24"/>
          <w:highlight w:val="none"/>
        </w:rPr>
        <w:t>款商定或确定。</w:t>
      </w:r>
    </w:p>
    <w:p w14:paraId="4C21781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4.1.9 </w:t>
      </w:r>
      <w:r>
        <w:rPr>
          <w:rFonts w:hint="eastAsia" w:ascii="黑体" w:hAnsi="Calibri" w:eastAsia="黑体"/>
          <w:color w:val="auto"/>
          <w:sz w:val="24"/>
          <w:highlight w:val="none"/>
        </w:rPr>
        <w:t>工程的维护和照管</w:t>
      </w:r>
    </w:p>
    <w:p w14:paraId="04062462">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07908D0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4.1.10 </w:t>
      </w:r>
      <w:r>
        <w:rPr>
          <w:rFonts w:hint="eastAsia" w:ascii="黑体" w:hAnsi="Calibri" w:eastAsia="黑体"/>
          <w:color w:val="auto"/>
          <w:sz w:val="24"/>
          <w:highlight w:val="none"/>
        </w:rPr>
        <w:t>其他义务</w:t>
      </w:r>
    </w:p>
    <w:p w14:paraId="2F2F036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承包人应履行合同约定的其他义务。</w:t>
      </w:r>
    </w:p>
    <w:p w14:paraId="65D003B9">
      <w:pPr>
        <w:keepNext/>
        <w:keepLines/>
        <w:spacing w:line="400" w:lineRule="exact"/>
        <w:outlineLvl w:val="2"/>
        <w:rPr>
          <w:rFonts w:ascii="Calibri" w:hAnsi="Calibri" w:eastAsia="黑体" w:cs="宋体"/>
          <w:color w:val="auto"/>
          <w:sz w:val="24"/>
          <w:highlight w:val="none"/>
        </w:rPr>
      </w:pPr>
      <w:bookmarkStart w:id="268" w:name="_Toc152042419"/>
      <w:bookmarkStart w:id="269" w:name="_Toc144974609"/>
      <w:bookmarkStart w:id="270" w:name="_Toc337"/>
      <w:bookmarkStart w:id="271" w:name="_Toc275242252"/>
      <w:bookmarkStart w:id="272" w:name="_Toc152045641"/>
      <w:bookmarkStart w:id="273" w:name="_Toc179632659"/>
      <w:r>
        <w:rPr>
          <w:rFonts w:ascii="Calibri" w:hAnsi="Calibri" w:eastAsia="黑体" w:cs="宋体"/>
          <w:color w:val="auto"/>
          <w:sz w:val="24"/>
          <w:highlight w:val="none"/>
        </w:rPr>
        <w:t xml:space="preserve">4.2 </w:t>
      </w:r>
      <w:r>
        <w:rPr>
          <w:rFonts w:hint="eastAsia" w:ascii="Calibri" w:hAnsi="Calibri" w:eastAsia="黑体" w:cs="宋体"/>
          <w:color w:val="auto"/>
          <w:sz w:val="24"/>
          <w:highlight w:val="none"/>
        </w:rPr>
        <w:t>履约担保</w:t>
      </w:r>
      <w:bookmarkEnd w:id="268"/>
      <w:bookmarkEnd w:id="269"/>
      <w:bookmarkEnd w:id="270"/>
      <w:bookmarkEnd w:id="271"/>
      <w:bookmarkEnd w:id="272"/>
      <w:bookmarkEnd w:id="273"/>
    </w:p>
    <w:p w14:paraId="5DB96D6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承包人应保证其履约担保在发包人颁发工程接收证书前一直有效。发包人应在工程接收证书颁发后</w:t>
      </w:r>
      <w:r>
        <w:rPr>
          <w:rFonts w:ascii="Calibri" w:hAnsi="Calibri"/>
          <w:color w:val="auto"/>
          <w:sz w:val="24"/>
          <w:highlight w:val="none"/>
        </w:rPr>
        <w:t>28</w:t>
      </w:r>
      <w:r>
        <w:rPr>
          <w:rFonts w:hint="eastAsia" w:ascii="Calibri" w:hAnsi="Calibri"/>
          <w:color w:val="auto"/>
          <w:sz w:val="24"/>
          <w:highlight w:val="none"/>
        </w:rPr>
        <w:t>天内把履约担保退还给承包人。</w:t>
      </w:r>
    </w:p>
    <w:p w14:paraId="10A526F4">
      <w:pPr>
        <w:keepNext/>
        <w:keepLines/>
        <w:spacing w:line="400" w:lineRule="exact"/>
        <w:outlineLvl w:val="2"/>
        <w:rPr>
          <w:rFonts w:ascii="Calibri" w:hAnsi="Calibri" w:eastAsia="黑体" w:cs="宋体"/>
          <w:color w:val="auto"/>
          <w:sz w:val="24"/>
          <w:highlight w:val="none"/>
        </w:rPr>
      </w:pPr>
      <w:bookmarkStart w:id="274" w:name="_Toc275242253"/>
      <w:bookmarkStart w:id="275" w:name="_Toc179632660"/>
      <w:bookmarkStart w:id="276" w:name="_Toc27499"/>
      <w:bookmarkStart w:id="277" w:name="_Toc144974610"/>
      <w:bookmarkStart w:id="278" w:name="_Toc152045642"/>
      <w:bookmarkStart w:id="279" w:name="_Toc152042420"/>
      <w:r>
        <w:rPr>
          <w:rFonts w:ascii="Calibri" w:hAnsi="Calibri" w:eastAsia="黑体" w:cs="宋体"/>
          <w:color w:val="auto"/>
          <w:sz w:val="24"/>
          <w:highlight w:val="none"/>
        </w:rPr>
        <w:t xml:space="preserve">4.3 </w:t>
      </w:r>
      <w:r>
        <w:rPr>
          <w:rFonts w:hint="eastAsia" w:ascii="Calibri" w:hAnsi="Calibri" w:eastAsia="黑体" w:cs="宋体"/>
          <w:color w:val="auto"/>
          <w:sz w:val="24"/>
          <w:highlight w:val="none"/>
        </w:rPr>
        <w:t>分包</w:t>
      </w:r>
      <w:bookmarkEnd w:id="274"/>
      <w:bookmarkEnd w:id="275"/>
      <w:bookmarkEnd w:id="276"/>
      <w:bookmarkEnd w:id="277"/>
      <w:bookmarkEnd w:id="278"/>
      <w:bookmarkEnd w:id="279"/>
    </w:p>
    <w:p w14:paraId="428A87E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4.3.1 </w:t>
      </w:r>
      <w:r>
        <w:rPr>
          <w:rFonts w:hint="eastAsia" w:ascii="Calibri" w:hAnsi="Calibri"/>
          <w:color w:val="auto"/>
          <w:sz w:val="24"/>
          <w:highlight w:val="none"/>
        </w:rPr>
        <w:t>承包人不得将其承包的全部工程转包给第三人，或将其承包的全部工程肢解后以分包的名义转包给第三人。</w:t>
      </w:r>
    </w:p>
    <w:p w14:paraId="5C8A610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4.3.2 </w:t>
      </w:r>
      <w:r>
        <w:rPr>
          <w:rFonts w:hint="eastAsia" w:ascii="Calibri" w:hAnsi="Calibri"/>
          <w:color w:val="auto"/>
          <w:sz w:val="24"/>
          <w:highlight w:val="none"/>
        </w:rPr>
        <w:t>承包人不得将工程主体、关键性工作分包给第三人。除专用合同条款另有约定外，未经发包人同意，承包人不得将工程的其他部分或工作分包给第三人。</w:t>
      </w:r>
    </w:p>
    <w:p w14:paraId="2C0D58D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4.3.3 </w:t>
      </w:r>
      <w:r>
        <w:rPr>
          <w:rFonts w:hint="eastAsia" w:ascii="Calibri" w:hAnsi="Calibri"/>
          <w:color w:val="auto"/>
          <w:sz w:val="24"/>
          <w:highlight w:val="none"/>
        </w:rPr>
        <w:t>分包人的资格能力应与其分包工程的标准和规模相适应。</w:t>
      </w:r>
    </w:p>
    <w:p w14:paraId="08D0564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4.3.4 </w:t>
      </w:r>
      <w:r>
        <w:rPr>
          <w:rFonts w:hint="eastAsia" w:ascii="Calibri" w:hAnsi="Calibri"/>
          <w:color w:val="auto"/>
          <w:sz w:val="24"/>
          <w:highlight w:val="none"/>
        </w:rPr>
        <w:t>按投标函附录约定分包工程的，承包人应向发包人和监理人提交分包合同副本。</w:t>
      </w:r>
    </w:p>
    <w:p w14:paraId="600BB81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4.3.5 </w:t>
      </w:r>
      <w:r>
        <w:rPr>
          <w:rFonts w:hint="eastAsia" w:ascii="Calibri" w:hAnsi="Calibri"/>
          <w:color w:val="auto"/>
          <w:sz w:val="24"/>
          <w:highlight w:val="none"/>
        </w:rPr>
        <w:t>承包人应与分包人就分包工程向发包人承担连带责任。</w:t>
      </w:r>
    </w:p>
    <w:p w14:paraId="02ABECF5">
      <w:pPr>
        <w:keepNext/>
        <w:keepLines/>
        <w:spacing w:line="400" w:lineRule="exact"/>
        <w:outlineLvl w:val="2"/>
        <w:rPr>
          <w:rFonts w:ascii="Calibri" w:hAnsi="Calibri" w:eastAsia="黑体" w:cs="宋体"/>
          <w:color w:val="auto"/>
          <w:sz w:val="24"/>
          <w:highlight w:val="none"/>
        </w:rPr>
      </w:pPr>
      <w:bookmarkStart w:id="280" w:name="_Toc152045643"/>
      <w:bookmarkStart w:id="281" w:name="_Toc1612"/>
      <w:bookmarkStart w:id="282" w:name="_Toc275242254"/>
      <w:bookmarkStart w:id="283" w:name="_Toc152042421"/>
      <w:bookmarkStart w:id="284" w:name="_Toc144974611"/>
      <w:bookmarkStart w:id="285" w:name="_Toc179632661"/>
      <w:r>
        <w:rPr>
          <w:rFonts w:ascii="Calibri" w:hAnsi="Calibri" w:eastAsia="黑体" w:cs="宋体"/>
          <w:color w:val="auto"/>
          <w:sz w:val="24"/>
          <w:highlight w:val="none"/>
        </w:rPr>
        <w:t xml:space="preserve">4.4 </w:t>
      </w:r>
      <w:r>
        <w:rPr>
          <w:rFonts w:hint="eastAsia" w:ascii="Calibri" w:hAnsi="Calibri" w:eastAsia="黑体" w:cs="宋体"/>
          <w:color w:val="auto"/>
          <w:sz w:val="24"/>
          <w:highlight w:val="none"/>
        </w:rPr>
        <w:t>联合体</w:t>
      </w:r>
      <w:bookmarkEnd w:id="280"/>
      <w:bookmarkEnd w:id="281"/>
      <w:bookmarkEnd w:id="282"/>
      <w:bookmarkEnd w:id="283"/>
      <w:bookmarkEnd w:id="284"/>
      <w:bookmarkEnd w:id="285"/>
    </w:p>
    <w:p w14:paraId="4B40300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4.4.1 </w:t>
      </w:r>
      <w:r>
        <w:rPr>
          <w:rFonts w:hint="eastAsia" w:ascii="Calibri" w:hAnsi="Calibri"/>
          <w:color w:val="auto"/>
          <w:sz w:val="24"/>
          <w:highlight w:val="none"/>
        </w:rPr>
        <w:t>联合体各方应共同与发包人签订合同协议书。联合体各方应为履行合同承担连带责任。</w:t>
      </w:r>
    </w:p>
    <w:p w14:paraId="664ED73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4.4.2 </w:t>
      </w:r>
      <w:r>
        <w:rPr>
          <w:rFonts w:hint="eastAsia" w:ascii="Calibri" w:hAnsi="Calibri"/>
          <w:color w:val="auto"/>
          <w:sz w:val="24"/>
          <w:highlight w:val="none"/>
        </w:rPr>
        <w:t>联合体协议经发包人确认后作为合同附件。在履行合同过程中，未经发包人同意，不得修改联合体协议。</w:t>
      </w:r>
    </w:p>
    <w:p w14:paraId="695F4EA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4.4.3 </w:t>
      </w:r>
      <w:r>
        <w:rPr>
          <w:rFonts w:hint="eastAsia" w:ascii="Calibri" w:hAnsi="Calibri"/>
          <w:color w:val="auto"/>
          <w:sz w:val="24"/>
          <w:highlight w:val="none"/>
        </w:rPr>
        <w:t>联合体牵头人负责与发包人和监理人联系，并接受指示，负责组织联合体各成员全面履行合同。</w:t>
      </w:r>
    </w:p>
    <w:p w14:paraId="39A67476">
      <w:pPr>
        <w:keepNext/>
        <w:keepLines/>
        <w:spacing w:line="400" w:lineRule="exact"/>
        <w:outlineLvl w:val="2"/>
        <w:rPr>
          <w:rFonts w:ascii="Calibri" w:hAnsi="Calibri" w:eastAsia="黑体" w:cs="宋体"/>
          <w:color w:val="auto"/>
          <w:sz w:val="24"/>
          <w:highlight w:val="none"/>
        </w:rPr>
      </w:pPr>
      <w:bookmarkStart w:id="286" w:name="_Toc152042422"/>
      <w:bookmarkStart w:id="287" w:name="_Toc179632662"/>
      <w:bookmarkStart w:id="288" w:name="_Toc13773"/>
      <w:bookmarkStart w:id="289" w:name="_Toc152045644"/>
      <w:bookmarkStart w:id="290" w:name="_Toc144974612"/>
      <w:bookmarkStart w:id="291" w:name="_Toc275242255"/>
      <w:r>
        <w:rPr>
          <w:rFonts w:ascii="Calibri" w:hAnsi="Calibri" w:eastAsia="黑体" w:cs="宋体"/>
          <w:color w:val="auto"/>
          <w:sz w:val="24"/>
          <w:highlight w:val="none"/>
        </w:rPr>
        <w:t xml:space="preserve">4.5 </w:t>
      </w:r>
      <w:r>
        <w:rPr>
          <w:rFonts w:hint="eastAsia" w:ascii="Calibri" w:hAnsi="Calibri" w:eastAsia="黑体" w:cs="宋体"/>
          <w:color w:val="auto"/>
          <w:sz w:val="24"/>
          <w:highlight w:val="none"/>
        </w:rPr>
        <w:t>承包人项目经理</w:t>
      </w:r>
      <w:bookmarkEnd w:id="286"/>
      <w:bookmarkEnd w:id="287"/>
      <w:bookmarkEnd w:id="288"/>
      <w:bookmarkEnd w:id="289"/>
      <w:bookmarkEnd w:id="290"/>
      <w:bookmarkEnd w:id="291"/>
    </w:p>
    <w:p w14:paraId="2EF0A826">
      <w:pPr>
        <w:spacing w:line="400" w:lineRule="exact"/>
        <w:ind w:firstLine="480" w:firstLineChars="200"/>
        <w:rPr>
          <w:rFonts w:ascii="Calibri" w:hAnsi="Calibri"/>
          <w:color w:val="auto"/>
          <w:sz w:val="24"/>
          <w:highlight w:val="none"/>
        </w:rPr>
      </w:pPr>
      <w:r>
        <w:rPr>
          <w:rFonts w:ascii="Calibri" w:hAnsi="Calibri"/>
          <w:color w:val="auto"/>
          <w:sz w:val="24"/>
          <w:highlight w:val="none"/>
        </w:rPr>
        <w:t>4.5.1</w:t>
      </w:r>
      <w:r>
        <w:rPr>
          <w:rFonts w:hint="eastAsia" w:ascii="Calibri" w:hAnsi="Calibri"/>
          <w:color w:val="auto"/>
          <w:sz w:val="24"/>
          <w:highlight w:val="none"/>
        </w:rPr>
        <w:t>承包人应按合同约定指派项目经理，并在约定的期限内到职。承包人更换项目经理应事先征得发包人同意，并应在更换</w:t>
      </w:r>
      <w:r>
        <w:rPr>
          <w:rFonts w:ascii="Calibri" w:hAnsi="Calibri"/>
          <w:color w:val="auto"/>
          <w:sz w:val="24"/>
          <w:highlight w:val="none"/>
        </w:rPr>
        <w:t>14</w:t>
      </w:r>
      <w:r>
        <w:rPr>
          <w:rFonts w:hint="eastAsia" w:ascii="Calibri" w:hAnsi="Calibri"/>
          <w:color w:val="auto"/>
          <w:sz w:val="24"/>
          <w:highlight w:val="none"/>
        </w:rPr>
        <w:t>天前通知发包人和监理人。承包人项目经理短期离开施工场地，应事先征得监理人同意，并委派代表代行其职责。</w:t>
      </w:r>
    </w:p>
    <w:p w14:paraId="551D130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4.5.2 </w:t>
      </w:r>
      <w:r>
        <w:rPr>
          <w:rFonts w:hint="eastAsia" w:ascii="Calibri" w:hAnsi="Calibri"/>
          <w:color w:val="auto"/>
          <w:sz w:val="24"/>
          <w:highlight w:val="none"/>
        </w:rPr>
        <w:t>承包人项目经理应按合同约定以及监理人按第</w:t>
      </w:r>
      <w:r>
        <w:rPr>
          <w:rFonts w:ascii="Calibri" w:hAnsi="Calibri"/>
          <w:color w:val="auto"/>
          <w:sz w:val="24"/>
          <w:highlight w:val="none"/>
        </w:rPr>
        <w:t>3.4</w:t>
      </w:r>
      <w:r>
        <w:rPr>
          <w:rFonts w:hint="eastAsia" w:ascii="Calibri" w:hAnsi="Calibri"/>
          <w:color w:val="auto"/>
          <w:sz w:val="24"/>
          <w:highlight w:val="none"/>
        </w:rPr>
        <w:t>款作出的指示，负责组织合同工程的实施。在情况紧急且无法与监理人取得联系时，可采取保证工程和人员生命财产安全的紧急措施，并在采取措施后</w:t>
      </w:r>
      <w:r>
        <w:rPr>
          <w:rFonts w:ascii="Calibri" w:hAnsi="Calibri"/>
          <w:color w:val="auto"/>
          <w:sz w:val="24"/>
          <w:highlight w:val="none"/>
        </w:rPr>
        <w:t>24</w:t>
      </w:r>
      <w:r>
        <w:rPr>
          <w:rFonts w:hint="eastAsia" w:ascii="Calibri" w:hAnsi="Calibri"/>
          <w:color w:val="auto"/>
          <w:sz w:val="24"/>
          <w:highlight w:val="none"/>
        </w:rPr>
        <w:t>小时内向监理人提交书面报告。</w:t>
      </w:r>
    </w:p>
    <w:p w14:paraId="41C6424E">
      <w:pPr>
        <w:spacing w:line="400" w:lineRule="exact"/>
        <w:ind w:firstLine="480" w:firstLineChars="200"/>
        <w:rPr>
          <w:rFonts w:ascii="Calibri" w:hAnsi="Calibri"/>
          <w:color w:val="auto"/>
          <w:sz w:val="24"/>
          <w:highlight w:val="none"/>
        </w:rPr>
      </w:pPr>
      <w:r>
        <w:rPr>
          <w:rFonts w:ascii="Calibri" w:hAnsi="Calibri"/>
          <w:color w:val="auto"/>
          <w:sz w:val="24"/>
          <w:highlight w:val="none"/>
        </w:rPr>
        <w:t>4.5.3</w:t>
      </w:r>
      <w:r>
        <w:rPr>
          <w:rFonts w:hint="eastAsia" w:ascii="Calibri" w:hAnsi="Calibri"/>
          <w:color w:val="auto"/>
          <w:sz w:val="24"/>
          <w:highlight w:val="none"/>
        </w:rPr>
        <w:t>承包人为履行合同发出的一切函件均应盖有承包人授权的施工场地管理机构章，并由承包人项目经理或其授权代表签字。</w:t>
      </w:r>
    </w:p>
    <w:p w14:paraId="300F857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4.5.4 </w:t>
      </w:r>
      <w:r>
        <w:rPr>
          <w:rFonts w:hint="eastAsia" w:ascii="Calibri" w:hAnsi="Calibri"/>
          <w:color w:val="auto"/>
          <w:sz w:val="24"/>
          <w:highlight w:val="none"/>
        </w:rPr>
        <w:t>承包人项目经理可以授权其下属人员履行其某项职责，但事先应将这些人员的姓名和授权范围通知监理人。</w:t>
      </w:r>
    </w:p>
    <w:p w14:paraId="5CBB4CB3">
      <w:pPr>
        <w:keepNext/>
        <w:keepLines/>
        <w:spacing w:line="400" w:lineRule="exact"/>
        <w:outlineLvl w:val="2"/>
        <w:rPr>
          <w:rFonts w:ascii="Calibri" w:hAnsi="Calibri" w:eastAsia="黑体" w:cs="宋体"/>
          <w:color w:val="auto"/>
          <w:sz w:val="24"/>
          <w:highlight w:val="none"/>
        </w:rPr>
      </w:pPr>
      <w:bookmarkStart w:id="292" w:name="_Toc179632663"/>
      <w:bookmarkStart w:id="293" w:name="_Toc275242256"/>
      <w:bookmarkStart w:id="294" w:name="_Toc152042423"/>
      <w:bookmarkStart w:id="295" w:name="_Toc144974613"/>
      <w:bookmarkStart w:id="296" w:name="_Toc152045645"/>
      <w:bookmarkStart w:id="297" w:name="_Toc17361"/>
      <w:r>
        <w:rPr>
          <w:rFonts w:ascii="Calibri" w:hAnsi="Calibri" w:eastAsia="黑体" w:cs="宋体"/>
          <w:color w:val="auto"/>
          <w:sz w:val="24"/>
          <w:highlight w:val="none"/>
        </w:rPr>
        <w:t xml:space="preserve">4.6 </w:t>
      </w:r>
      <w:r>
        <w:rPr>
          <w:rFonts w:hint="eastAsia" w:ascii="Calibri" w:hAnsi="Calibri" w:eastAsia="黑体" w:cs="宋体"/>
          <w:color w:val="auto"/>
          <w:sz w:val="24"/>
          <w:highlight w:val="none"/>
        </w:rPr>
        <w:t>承包人人员的管理</w:t>
      </w:r>
      <w:bookmarkEnd w:id="292"/>
      <w:bookmarkEnd w:id="293"/>
      <w:bookmarkEnd w:id="294"/>
      <w:bookmarkEnd w:id="295"/>
      <w:bookmarkEnd w:id="296"/>
      <w:bookmarkEnd w:id="297"/>
    </w:p>
    <w:p w14:paraId="7E96D65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4.6.1 </w:t>
      </w:r>
      <w:r>
        <w:rPr>
          <w:rFonts w:hint="eastAsia" w:ascii="Calibri" w:hAnsi="Calibri"/>
          <w:color w:val="auto"/>
          <w:sz w:val="24"/>
          <w:highlight w:val="none"/>
        </w:rPr>
        <w:t>承包人应在接到开工通知后</w:t>
      </w:r>
      <w:r>
        <w:rPr>
          <w:rFonts w:ascii="Calibri" w:hAnsi="Calibri"/>
          <w:color w:val="auto"/>
          <w:sz w:val="24"/>
          <w:highlight w:val="none"/>
        </w:rPr>
        <w:t>28</w:t>
      </w:r>
      <w:r>
        <w:rPr>
          <w:rFonts w:hint="eastAsia" w:ascii="Calibri" w:hAnsi="Calibri"/>
          <w:color w:val="auto"/>
          <w:sz w:val="24"/>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806027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4.6.2 </w:t>
      </w:r>
      <w:r>
        <w:rPr>
          <w:rFonts w:hint="eastAsia" w:ascii="Calibri" w:hAnsi="Calibri"/>
          <w:color w:val="auto"/>
          <w:sz w:val="24"/>
          <w:highlight w:val="none"/>
        </w:rPr>
        <w:t>为完成合同约定的各项工作，承包人应向施工场地派遣或雇佣足够数量的下列人员：</w:t>
      </w:r>
    </w:p>
    <w:p w14:paraId="3942214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）具有相应资格的专业技工和合格的普工；</w:t>
      </w:r>
    </w:p>
    <w:p w14:paraId="1CBB9CA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）具有相应施工经验的技术人员；</w:t>
      </w:r>
    </w:p>
    <w:p w14:paraId="0BB7812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）具有相应岗位资格的各级管理人员。</w:t>
      </w:r>
    </w:p>
    <w:p w14:paraId="03314F4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4.6.3 </w:t>
      </w:r>
      <w:r>
        <w:rPr>
          <w:rFonts w:hint="eastAsia" w:ascii="Calibri" w:hAnsi="Calibri"/>
          <w:color w:val="auto"/>
          <w:sz w:val="24"/>
          <w:highlight w:val="none"/>
        </w:rPr>
        <w:t>承包人安排在施工场地的主要管理人员和技术骨干应相对稳定。承包人更换主要管理人员和技术骨干时，应取得监理人的同意。</w:t>
      </w:r>
    </w:p>
    <w:p w14:paraId="635B2CE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4.6.4 </w:t>
      </w:r>
      <w:r>
        <w:rPr>
          <w:rFonts w:hint="eastAsia" w:ascii="Calibri" w:hAnsi="Calibri"/>
          <w:color w:val="auto"/>
          <w:sz w:val="24"/>
          <w:highlight w:val="none"/>
        </w:rPr>
        <w:t>特殊岗位的工作人员均应持有相应的资格证明，监理人有权随时检查。监理人认为有必要时，可进行现场考核。</w:t>
      </w:r>
    </w:p>
    <w:p w14:paraId="3BB06F3D">
      <w:pPr>
        <w:keepNext/>
        <w:keepLines/>
        <w:spacing w:line="400" w:lineRule="exact"/>
        <w:outlineLvl w:val="2"/>
        <w:rPr>
          <w:rFonts w:ascii="Calibri" w:hAnsi="Calibri" w:eastAsia="黑体" w:cs="宋体"/>
          <w:color w:val="auto"/>
          <w:sz w:val="24"/>
          <w:highlight w:val="none"/>
        </w:rPr>
      </w:pPr>
      <w:bookmarkStart w:id="298" w:name="_Toc11612"/>
      <w:bookmarkStart w:id="299" w:name="_Toc152045646"/>
      <w:bookmarkStart w:id="300" w:name="_Toc179632664"/>
      <w:bookmarkStart w:id="301" w:name="_Toc152042424"/>
      <w:bookmarkStart w:id="302" w:name="_Toc275242257"/>
      <w:bookmarkStart w:id="303" w:name="_Toc144974614"/>
      <w:r>
        <w:rPr>
          <w:rFonts w:ascii="Calibri" w:hAnsi="Calibri" w:eastAsia="黑体" w:cs="宋体"/>
          <w:color w:val="auto"/>
          <w:sz w:val="24"/>
          <w:highlight w:val="none"/>
        </w:rPr>
        <w:t xml:space="preserve">4.7 </w:t>
      </w:r>
      <w:r>
        <w:rPr>
          <w:rFonts w:hint="eastAsia" w:ascii="Calibri" w:hAnsi="Calibri" w:eastAsia="黑体" w:cs="宋体"/>
          <w:color w:val="auto"/>
          <w:sz w:val="24"/>
          <w:highlight w:val="none"/>
        </w:rPr>
        <w:t>撤换承包人项目经理和其他人员</w:t>
      </w:r>
      <w:bookmarkEnd w:id="298"/>
      <w:bookmarkEnd w:id="299"/>
      <w:bookmarkEnd w:id="300"/>
      <w:bookmarkEnd w:id="301"/>
      <w:bookmarkEnd w:id="302"/>
      <w:bookmarkEnd w:id="303"/>
    </w:p>
    <w:p w14:paraId="1B39D7E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承包人应对其项目经理和其他人员进行有效管理。监理人要求撤换不能胜任本职工作、行为不端或玩忽职守的承包人项目经理和其他人员的，承包人应予以撤换。</w:t>
      </w:r>
    </w:p>
    <w:p w14:paraId="474CD4BC">
      <w:pPr>
        <w:keepNext/>
        <w:keepLines/>
        <w:spacing w:line="400" w:lineRule="exact"/>
        <w:outlineLvl w:val="2"/>
        <w:rPr>
          <w:rFonts w:ascii="Calibri" w:hAnsi="Calibri" w:eastAsia="黑体" w:cs="宋体"/>
          <w:color w:val="auto"/>
          <w:sz w:val="24"/>
          <w:highlight w:val="none"/>
        </w:rPr>
      </w:pPr>
      <w:bookmarkStart w:id="304" w:name="_Toc14952"/>
      <w:bookmarkStart w:id="305" w:name="_Toc152045647"/>
      <w:bookmarkStart w:id="306" w:name="_Toc179632665"/>
      <w:bookmarkStart w:id="307" w:name="_Toc144974615"/>
      <w:bookmarkStart w:id="308" w:name="_Toc152042425"/>
      <w:bookmarkStart w:id="309" w:name="_Toc275242258"/>
      <w:r>
        <w:rPr>
          <w:rFonts w:ascii="Calibri" w:hAnsi="Calibri" w:eastAsia="黑体" w:cs="宋体"/>
          <w:color w:val="auto"/>
          <w:sz w:val="24"/>
          <w:highlight w:val="none"/>
        </w:rPr>
        <w:t xml:space="preserve">4.8 </w:t>
      </w:r>
      <w:r>
        <w:rPr>
          <w:rFonts w:hint="eastAsia" w:ascii="Calibri" w:hAnsi="Calibri" w:eastAsia="黑体" w:cs="宋体"/>
          <w:color w:val="auto"/>
          <w:sz w:val="24"/>
          <w:highlight w:val="none"/>
        </w:rPr>
        <w:t>保障承包人人员的合法权益</w:t>
      </w:r>
      <w:bookmarkEnd w:id="304"/>
      <w:bookmarkEnd w:id="305"/>
      <w:bookmarkEnd w:id="306"/>
      <w:bookmarkEnd w:id="307"/>
      <w:bookmarkEnd w:id="308"/>
      <w:bookmarkEnd w:id="309"/>
    </w:p>
    <w:p w14:paraId="138F944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4.8.1 </w:t>
      </w:r>
      <w:r>
        <w:rPr>
          <w:rFonts w:hint="eastAsia" w:ascii="Calibri" w:hAnsi="Calibri"/>
          <w:color w:val="auto"/>
          <w:sz w:val="24"/>
          <w:highlight w:val="none"/>
        </w:rPr>
        <w:t>承包人应与其雇佣的人员签订劳动合同，并按时发放工资。</w:t>
      </w:r>
    </w:p>
    <w:p w14:paraId="36D1AFA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4.8.2 </w:t>
      </w:r>
      <w:r>
        <w:rPr>
          <w:rFonts w:hint="eastAsia" w:ascii="Calibri" w:hAnsi="Calibri"/>
          <w:color w:val="auto"/>
          <w:sz w:val="24"/>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0C6DEED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4.8.3 </w:t>
      </w:r>
      <w:r>
        <w:rPr>
          <w:rFonts w:hint="eastAsia" w:ascii="Calibri" w:hAnsi="Calibri"/>
          <w:color w:val="auto"/>
          <w:sz w:val="24"/>
          <w:highlight w:val="none"/>
        </w:rPr>
        <w:t>承包人应为其雇佣人员提供必要的食宿条件，以及符合环境保护和卫生要求的生活环境，在远离城镇的施工场地，还应配备必要的伤病防治和急救的医务人员与医疗设施。</w:t>
      </w:r>
    </w:p>
    <w:p w14:paraId="333D0F7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4.8.4 </w:t>
      </w:r>
      <w:r>
        <w:rPr>
          <w:rFonts w:hint="eastAsia" w:ascii="Calibri" w:hAnsi="Calibri"/>
          <w:color w:val="auto"/>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7B5266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4.8.5 </w:t>
      </w:r>
      <w:r>
        <w:rPr>
          <w:rFonts w:hint="eastAsia" w:ascii="Calibri" w:hAnsi="Calibri"/>
          <w:color w:val="auto"/>
          <w:sz w:val="24"/>
          <w:highlight w:val="none"/>
        </w:rPr>
        <w:t>承包人应按有关法律规定和合同约定，为其雇佣人员办理保险。</w:t>
      </w:r>
    </w:p>
    <w:p w14:paraId="49C078E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4.8.6 </w:t>
      </w:r>
      <w:r>
        <w:rPr>
          <w:rFonts w:hint="eastAsia" w:ascii="Calibri" w:hAnsi="Calibri"/>
          <w:color w:val="auto"/>
          <w:sz w:val="24"/>
          <w:highlight w:val="none"/>
        </w:rPr>
        <w:t>承包人应负责处理其雇佣人员因工伤亡事故的善后事宜。</w:t>
      </w:r>
    </w:p>
    <w:p w14:paraId="7BBFB49B">
      <w:pPr>
        <w:keepNext/>
        <w:keepLines/>
        <w:spacing w:line="400" w:lineRule="exact"/>
        <w:outlineLvl w:val="2"/>
        <w:rPr>
          <w:rFonts w:ascii="Calibri" w:hAnsi="Calibri" w:eastAsia="黑体" w:cs="宋体"/>
          <w:color w:val="auto"/>
          <w:sz w:val="24"/>
          <w:highlight w:val="none"/>
        </w:rPr>
      </w:pPr>
      <w:bookmarkStart w:id="310" w:name="_Toc152042426"/>
      <w:bookmarkStart w:id="311" w:name="_Toc144974616"/>
      <w:bookmarkStart w:id="312" w:name="_Toc179632666"/>
      <w:bookmarkStart w:id="313" w:name="_Toc152045648"/>
      <w:bookmarkStart w:id="314" w:name="_Toc275242259"/>
      <w:bookmarkStart w:id="315" w:name="_Toc26860"/>
      <w:r>
        <w:rPr>
          <w:rFonts w:ascii="Calibri" w:hAnsi="Calibri" w:eastAsia="黑体" w:cs="宋体"/>
          <w:color w:val="auto"/>
          <w:sz w:val="24"/>
          <w:highlight w:val="none"/>
        </w:rPr>
        <w:t xml:space="preserve">4.9 </w:t>
      </w:r>
      <w:r>
        <w:rPr>
          <w:rFonts w:hint="eastAsia" w:ascii="Calibri" w:hAnsi="Calibri" w:eastAsia="黑体" w:cs="宋体"/>
          <w:color w:val="auto"/>
          <w:sz w:val="24"/>
          <w:highlight w:val="none"/>
        </w:rPr>
        <w:t>工程价款应专款专用</w:t>
      </w:r>
      <w:bookmarkEnd w:id="310"/>
      <w:bookmarkEnd w:id="311"/>
      <w:bookmarkEnd w:id="312"/>
      <w:bookmarkEnd w:id="313"/>
      <w:bookmarkEnd w:id="314"/>
      <w:bookmarkEnd w:id="315"/>
    </w:p>
    <w:p w14:paraId="0C58530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发包人按合同约定支付给承包人的各项价款应专用于合同工程。</w:t>
      </w:r>
    </w:p>
    <w:p w14:paraId="09A2A2F8">
      <w:pPr>
        <w:keepNext/>
        <w:keepLines/>
        <w:spacing w:line="400" w:lineRule="exact"/>
        <w:outlineLvl w:val="2"/>
        <w:rPr>
          <w:rFonts w:ascii="Calibri" w:hAnsi="Calibri" w:eastAsia="黑体" w:cs="宋体"/>
          <w:color w:val="auto"/>
          <w:sz w:val="24"/>
          <w:highlight w:val="none"/>
        </w:rPr>
      </w:pPr>
      <w:bookmarkStart w:id="316" w:name="_Toc152045649"/>
      <w:bookmarkStart w:id="317" w:name="_Toc152042427"/>
      <w:bookmarkStart w:id="318" w:name="_Toc1109"/>
      <w:bookmarkStart w:id="319" w:name="_Toc144974617"/>
      <w:bookmarkStart w:id="320" w:name="_Toc275242260"/>
      <w:bookmarkStart w:id="321" w:name="_Toc179632667"/>
      <w:r>
        <w:rPr>
          <w:rFonts w:ascii="Calibri" w:hAnsi="Calibri" w:eastAsia="黑体" w:cs="宋体"/>
          <w:color w:val="auto"/>
          <w:sz w:val="24"/>
          <w:highlight w:val="none"/>
        </w:rPr>
        <w:t xml:space="preserve">4.10 </w:t>
      </w:r>
      <w:r>
        <w:rPr>
          <w:rFonts w:hint="eastAsia" w:ascii="Calibri" w:hAnsi="Calibri" w:eastAsia="黑体" w:cs="宋体"/>
          <w:color w:val="auto"/>
          <w:sz w:val="24"/>
          <w:highlight w:val="none"/>
        </w:rPr>
        <w:t>承包人现场查勘</w:t>
      </w:r>
      <w:bookmarkEnd w:id="316"/>
      <w:bookmarkEnd w:id="317"/>
      <w:bookmarkEnd w:id="318"/>
      <w:bookmarkEnd w:id="319"/>
      <w:bookmarkEnd w:id="320"/>
      <w:bookmarkEnd w:id="321"/>
    </w:p>
    <w:p w14:paraId="71A0E62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4.10.1 </w:t>
      </w:r>
      <w:r>
        <w:rPr>
          <w:rFonts w:hint="eastAsia" w:ascii="Calibri" w:hAnsi="Calibri"/>
          <w:color w:val="auto"/>
          <w:sz w:val="24"/>
          <w:highlight w:val="none"/>
        </w:rPr>
        <w:t>发包人应将其持有的现场地质勘探资料、水文气象资料提供给承包人，并对其准确性负责。但承包人应对其阅读上述有关资料后所作出的解释和推断负责。</w:t>
      </w:r>
    </w:p>
    <w:p w14:paraId="0AABB22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4.10.2 </w:t>
      </w:r>
      <w:r>
        <w:rPr>
          <w:rFonts w:hint="eastAsia" w:ascii="Calibri" w:hAnsi="Calibri"/>
          <w:color w:val="auto"/>
          <w:sz w:val="24"/>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606682F">
      <w:pPr>
        <w:keepNext/>
        <w:keepLines/>
        <w:spacing w:line="400" w:lineRule="exact"/>
        <w:outlineLvl w:val="2"/>
        <w:rPr>
          <w:rFonts w:ascii="Calibri" w:hAnsi="Calibri" w:eastAsia="黑体" w:cs="宋体"/>
          <w:color w:val="auto"/>
          <w:sz w:val="24"/>
          <w:highlight w:val="none"/>
        </w:rPr>
      </w:pPr>
      <w:bookmarkStart w:id="322" w:name="_Toc179632668"/>
      <w:bookmarkStart w:id="323" w:name="_Toc1389"/>
      <w:bookmarkStart w:id="324" w:name="_Toc144974618"/>
      <w:bookmarkStart w:id="325" w:name="_Toc152045650"/>
      <w:bookmarkStart w:id="326" w:name="_Toc275242261"/>
      <w:bookmarkStart w:id="327" w:name="_Toc152042428"/>
      <w:r>
        <w:rPr>
          <w:rFonts w:ascii="Calibri" w:hAnsi="Calibri" w:eastAsia="黑体" w:cs="宋体"/>
          <w:color w:val="auto"/>
          <w:sz w:val="24"/>
          <w:highlight w:val="none"/>
        </w:rPr>
        <w:t xml:space="preserve">4.11 </w:t>
      </w:r>
      <w:r>
        <w:rPr>
          <w:rFonts w:hint="eastAsia" w:ascii="Calibri" w:hAnsi="Calibri" w:eastAsia="黑体" w:cs="宋体"/>
          <w:color w:val="auto"/>
          <w:sz w:val="24"/>
          <w:highlight w:val="none"/>
        </w:rPr>
        <w:t>不利物质条件</w:t>
      </w:r>
      <w:bookmarkEnd w:id="322"/>
      <w:bookmarkEnd w:id="323"/>
      <w:bookmarkEnd w:id="324"/>
      <w:bookmarkEnd w:id="325"/>
      <w:bookmarkEnd w:id="326"/>
      <w:bookmarkEnd w:id="327"/>
    </w:p>
    <w:p w14:paraId="7CC96A4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4.11.1 </w:t>
      </w:r>
      <w:r>
        <w:rPr>
          <w:rFonts w:hint="eastAsia" w:ascii="Calibri" w:hAnsi="Calibri"/>
          <w:color w:val="auto"/>
          <w:sz w:val="24"/>
          <w:highlight w:val="none"/>
        </w:rPr>
        <w:t>不利物质条件，除专用合同条款另有约定外，是指承包人在施工场地遇到的不可预见的自然物质条件、非自然的物质障碍和污染物，包括地下和水文条件，但不包括气候条件。</w:t>
      </w:r>
    </w:p>
    <w:p w14:paraId="123325D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4.11.2 </w:t>
      </w:r>
      <w:r>
        <w:rPr>
          <w:rFonts w:hint="eastAsia" w:ascii="Calibri" w:hAnsi="Calibri"/>
          <w:color w:val="auto"/>
          <w:sz w:val="24"/>
          <w:highlight w:val="none"/>
        </w:rPr>
        <w:t>承包人遇到不利物质条件时，应采取适应不利物质条件的合理措施继续施工，并及时通知监理人。监理人应当及时发出指示，指示构成变更的，按第</w:t>
      </w:r>
      <w:r>
        <w:rPr>
          <w:rFonts w:ascii="Calibri" w:hAnsi="Calibri"/>
          <w:color w:val="auto"/>
          <w:sz w:val="24"/>
          <w:highlight w:val="none"/>
        </w:rPr>
        <w:t>15</w:t>
      </w:r>
      <w:r>
        <w:rPr>
          <w:rFonts w:hint="eastAsia" w:ascii="Calibri" w:hAnsi="Calibri"/>
          <w:color w:val="auto"/>
          <w:sz w:val="24"/>
          <w:highlight w:val="none"/>
        </w:rPr>
        <w:t>条约定办理。监理人没有发出指示的，承包人因采取合理措施而增加的费用和（或）工期延误，由发包人承担。</w:t>
      </w:r>
    </w:p>
    <w:p w14:paraId="5ED9095B">
      <w:pPr>
        <w:keepNext/>
        <w:keepLines/>
        <w:spacing w:line="400" w:lineRule="exact"/>
        <w:outlineLvl w:val="1"/>
        <w:rPr>
          <w:rFonts w:eastAsia="黑体" w:cs="宋体"/>
          <w:color w:val="auto"/>
          <w:sz w:val="24"/>
          <w:highlight w:val="none"/>
        </w:rPr>
      </w:pPr>
      <w:bookmarkStart w:id="328" w:name="_Toc179632669"/>
      <w:bookmarkStart w:id="329" w:name="_Toc28572"/>
      <w:bookmarkStart w:id="330" w:name="_Toc144974619"/>
      <w:bookmarkStart w:id="331" w:name="_Toc152042429"/>
      <w:bookmarkStart w:id="332" w:name="_Toc275242262"/>
      <w:bookmarkStart w:id="333" w:name="_Toc152045651"/>
      <w:r>
        <w:rPr>
          <w:rFonts w:eastAsia="黑体" w:cs="宋体"/>
          <w:color w:val="auto"/>
          <w:sz w:val="24"/>
          <w:highlight w:val="none"/>
        </w:rPr>
        <w:t xml:space="preserve">5. </w:t>
      </w:r>
      <w:r>
        <w:rPr>
          <w:rFonts w:hint="eastAsia" w:eastAsia="黑体" w:cs="宋体"/>
          <w:color w:val="auto"/>
          <w:sz w:val="24"/>
          <w:highlight w:val="none"/>
        </w:rPr>
        <w:t>材料和工程设备</w:t>
      </w:r>
      <w:bookmarkEnd w:id="328"/>
      <w:bookmarkEnd w:id="329"/>
      <w:bookmarkEnd w:id="330"/>
      <w:bookmarkEnd w:id="331"/>
      <w:bookmarkEnd w:id="332"/>
      <w:bookmarkEnd w:id="333"/>
    </w:p>
    <w:p w14:paraId="44BEF901">
      <w:pPr>
        <w:keepNext/>
        <w:keepLines/>
        <w:spacing w:line="400" w:lineRule="exact"/>
        <w:outlineLvl w:val="2"/>
        <w:rPr>
          <w:rFonts w:ascii="Calibri" w:hAnsi="Calibri" w:eastAsia="黑体" w:cs="宋体"/>
          <w:color w:val="auto"/>
          <w:sz w:val="24"/>
          <w:highlight w:val="none"/>
        </w:rPr>
      </w:pPr>
      <w:bookmarkStart w:id="334" w:name="_Toc179632670"/>
      <w:bookmarkStart w:id="335" w:name="_Toc29274"/>
      <w:bookmarkStart w:id="336" w:name="_Toc152042430"/>
      <w:bookmarkStart w:id="337" w:name="_Toc144974620"/>
      <w:bookmarkStart w:id="338" w:name="_Toc152045652"/>
      <w:bookmarkStart w:id="339" w:name="_Toc275242263"/>
      <w:r>
        <w:rPr>
          <w:rFonts w:ascii="Calibri" w:hAnsi="Calibri" w:eastAsia="黑体" w:cs="宋体"/>
          <w:color w:val="auto"/>
          <w:sz w:val="24"/>
          <w:highlight w:val="none"/>
        </w:rPr>
        <w:t xml:space="preserve">5.1 </w:t>
      </w:r>
      <w:r>
        <w:rPr>
          <w:rFonts w:hint="eastAsia" w:ascii="Calibri" w:hAnsi="Calibri" w:eastAsia="黑体" w:cs="宋体"/>
          <w:color w:val="auto"/>
          <w:sz w:val="24"/>
          <w:highlight w:val="none"/>
        </w:rPr>
        <w:t>承包人提供的材料和工程设备</w:t>
      </w:r>
      <w:bookmarkEnd w:id="334"/>
      <w:bookmarkEnd w:id="335"/>
      <w:bookmarkEnd w:id="336"/>
      <w:bookmarkEnd w:id="337"/>
      <w:bookmarkEnd w:id="338"/>
      <w:bookmarkEnd w:id="339"/>
    </w:p>
    <w:p w14:paraId="1AB822B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5.1.1 </w:t>
      </w:r>
      <w:r>
        <w:rPr>
          <w:rFonts w:hint="eastAsia" w:ascii="Calibri" w:hAnsi="Calibri"/>
          <w:color w:val="auto"/>
          <w:sz w:val="24"/>
          <w:highlight w:val="none"/>
        </w:rPr>
        <w:t>除专用合同条款另有约定外，承包人提供的材料和工程设备均由承包人负责采购、运输和保管。承包人应对其采购的材料和工程设备负责。</w:t>
      </w:r>
    </w:p>
    <w:p w14:paraId="5A94BF0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5.1.2 </w:t>
      </w:r>
      <w:r>
        <w:rPr>
          <w:rFonts w:hint="eastAsia" w:ascii="Calibri" w:hAnsi="Calibri"/>
          <w:color w:val="auto"/>
          <w:sz w:val="24"/>
          <w:highlight w:val="none"/>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69DF088">
      <w:pPr>
        <w:spacing w:line="400" w:lineRule="exact"/>
        <w:ind w:firstLine="480" w:firstLineChars="200"/>
        <w:rPr>
          <w:rFonts w:ascii="Calibri" w:hAnsi="Calibri"/>
          <w:color w:val="auto"/>
          <w:sz w:val="24"/>
          <w:highlight w:val="none"/>
        </w:rPr>
      </w:pPr>
      <w:r>
        <w:rPr>
          <w:rFonts w:ascii="Calibri" w:hAnsi="Calibri"/>
          <w:color w:val="auto"/>
          <w:sz w:val="24"/>
          <w:highlight w:val="none"/>
        </w:rPr>
        <w:t>5.1.3</w:t>
      </w:r>
      <w:r>
        <w:rPr>
          <w:rFonts w:hint="eastAsia" w:ascii="Calibri" w:hAnsi="Calibri"/>
          <w:color w:val="auto"/>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C8FE7B5">
      <w:pPr>
        <w:keepNext/>
        <w:keepLines/>
        <w:spacing w:line="400" w:lineRule="exact"/>
        <w:outlineLvl w:val="2"/>
        <w:rPr>
          <w:rFonts w:ascii="Calibri" w:hAnsi="Calibri" w:eastAsia="黑体" w:cs="宋体"/>
          <w:color w:val="auto"/>
          <w:sz w:val="24"/>
          <w:highlight w:val="none"/>
        </w:rPr>
      </w:pPr>
      <w:bookmarkStart w:id="340" w:name="_Toc18734"/>
      <w:bookmarkStart w:id="341" w:name="_Toc275242264"/>
      <w:bookmarkStart w:id="342" w:name="_Toc144974621"/>
      <w:bookmarkStart w:id="343" w:name="_Toc179632671"/>
      <w:bookmarkStart w:id="344" w:name="_Toc152042431"/>
      <w:bookmarkStart w:id="345" w:name="_Toc152045653"/>
      <w:r>
        <w:rPr>
          <w:rFonts w:ascii="Calibri" w:hAnsi="Calibri" w:eastAsia="黑体" w:cs="宋体"/>
          <w:color w:val="auto"/>
          <w:sz w:val="24"/>
          <w:highlight w:val="none"/>
        </w:rPr>
        <w:t xml:space="preserve">5.2 </w:t>
      </w:r>
      <w:r>
        <w:rPr>
          <w:rFonts w:hint="eastAsia" w:ascii="Calibri" w:hAnsi="Calibri" w:eastAsia="黑体" w:cs="宋体"/>
          <w:color w:val="auto"/>
          <w:sz w:val="24"/>
          <w:highlight w:val="none"/>
        </w:rPr>
        <w:t>发包人提供的材料和工程设备</w:t>
      </w:r>
      <w:bookmarkEnd w:id="340"/>
      <w:bookmarkEnd w:id="341"/>
      <w:bookmarkEnd w:id="342"/>
      <w:bookmarkEnd w:id="343"/>
      <w:bookmarkEnd w:id="344"/>
      <w:bookmarkEnd w:id="345"/>
    </w:p>
    <w:p w14:paraId="081C5AF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5.2.1 </w:t>
      </w:r>
      <w:r>
        <w:rPr>
          <w:rFonts w:hint="eastAsia" w:ascii="Calibri" w:hAnsi="Calibri"/>
          <w:color w:val="auto"/>
          <w:sz w:val="24"/>
          <w:highlight w:val="none"/>
        </w:rPr>
        <w:t>发包人提供的材料和工程设备，应在专用合同条款中写明材料和工程设备的名称、规格、数量、价格、交货方式、交货地点和计划交货日期等。</w:t>
      </w:r>
    </w:p>
    <w:p w14:paraId="0A75CBC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5.2.2 </w:t>
      </w:r>
      <w:r>
        <w:rPr>
          <w:rFonts w:hint="eastAsia" w:ascii="Calibri" w:hAnsi="Calibri"/>
          <w:color w:val="auto"/>
          <w:sz w:val="24"/>
          <w:highlight w:val="none"/>
        </w:rPr>
        <w:t>承包人应根据合同进度计划的安排，向监理人报送要求发包人交货的日期计划。发包人应按照监理人与合同双方当事人商定的交货日期，向承包人提交材料和工程设备。</w:t>
      </w:r>
    </w:p>
    <w:p w14:paraId="18D38F1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5.2.3 </w:t>
      </w:r>
      <w:r>
        <w:rPr>
          <w:rFonts w:hint="eastAsia" w:ascii="Calibri" w:hAnsi="Calibri"/>
          <w:color w:val="auto"/>
          <w:sz w:val="24"/>
          <w:highlight w:val="none"/>
        </w:rPr>
        <w:t>发包人应在材料和工程设备到货</w:t>
      </w:r>
      <w:r>
        <w:rPr>
          <w:rFonts w:ascii="Calibri" w:hAnsi="Calibri"/>
          <w:color w:val="auto"/>
          <w:sz w:val="24"/>
          <w:highlight w:val="none"/>
        </w:rPr>
        <w:t>7</w:t>
      </w:r>
      <w:r>
        <w:rPr>
          <w:rFonts w:hint="eastAsia" w:ascii="Calibri" w:hAnsi="Calibri"/>
          <w:color w:val="auto"/>
          <w:sz w:val="24"/>
          <w:highlight w:val="none"/>
        </w:rPr>
        <w:t>天前通知承包人，承包人应会同监理人在约定的时间内，赴交货地点共同进行验收。除专用合同条款另有约定外，发包人提供的材料和工程设备验收后，由承包人负责接收、运输和保管。</w:t>
      </w:r>
    </w:p>
    <w:p w14:paraId="58D8724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5.2.4 </w:t>
      </w:r>
      <w:r>
        <w:rPr>
          <w:rFonts w:hint="eastAsia" w:ascii="Calibri" w:hAnsi="Calibri"/>
          <w:color w:val="auto"/>
          <w:sz w:val="24"/>
          <w:highlight w:val="none"/>
        </w:rPr>
        <w:t>发包人要求向承包人提前交货的，承包人不得拒绝，但发包人应承担承包人由此增加的费用。</w:t>
      </w:r>
    </w:p>
    <w:p w14:paraId="6835385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5.2.5 </w:t>
      </w:r>
      <w:r>
        <w:rPr>
          <w:rFonts w:hint="eastAsia" w:ascii="Calibri" w:hAnsi="Calibri"/>
          <w:color w:val="auto"/>
          <w:sz w:val="24"/>
          <w:highlight w:val="none"/>
        </w:rPr>
        <w:t>承包人要求更改交货日期或地点的，应事先报请监理人批准。由于承包人要求更改交货时间或地点所增加的费用和（或）工期延误由承包人承担。</w:t>
      </w:r>
    </w:p>
    <w:p w14:paraId="361E9E4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5.2.6 </w:t>
      </w:r>
      <w:r>
        <w:rPr>
          <w:rFonts w:hint="eastAsia" w:ascii="Calibri" w:hAnsi="Calibri"/>
          <w:color w:val="auto"/>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23EA8D5">
      <w:pPr>
        <w:keepNext/>
        <w:keepLines/>
        <w:spacing w:line="400" w:lineRule="exact"/>
        <w:outlineLvl w:val="2"/>
        <w:rPr>
          <w:rFonts w:ascii="Calibri" w:hAnsi="Calibri" w:eastAsia="黑体" w:cs="宋体"/>
          <w:color w:val="auto"/>
          <w:sz w:val="24"/>
          <w:highlight w:val="none"/>
        </w:rPr>
      </w:pPr>
      <w:bookmarkStart w:id="346" w:name="_Toc32446"/>
      <w:bookmarkStart w:id="347" w:name="_Toc152042432"/>
      <w:bookmarkStart w:id="348" w:name="_Toc275242265"/>
      <w:bookmarkStart w:id="349" w:name="_Toc152045654"/>
      <w:bookmarkStart w:id="350" w:name="_Toc179632672"/>
      <w:bookmarkStart w:id="351" w:name="_Toc144974622"/>
      <w:r>
        <w:rPr>
          <w:rFonts w:ascii="Calibri" w:hAnsi="Calibri" w:eastAsia="黑体" w:cs="宋体"/>
          <w:color w:val="auto"/>
          <w:sz w:val="24"/>
          <w:highlight w:val="none"/>
        </w:rPr>
        <w:t xml:space="preserve">5.3 </w:t>
      </w:r>
      <w:r>
        <w:rPr>
          <w:rFonts w:hint="eastAsia" w:ascii="Calibri" w:hAnsi="Calibri" w:eastAsia="黑体" w:cs="宋体"/>
          <w:color w:val="auto"/>
          <w:sz w:val="24"/>
          <w:highlight w:val="none"/>
        </w:rPr>
        <w:t>材料和工程设备专用于合同工程</w:t>
      </w:r>
      <w:bookmarkEnd w:id="346"/>
      <w:bookmarkEnd w:id="347"/>
      <w:bookmarkEnd w:id="348"/>
      <w:bookmarkEnd w:id="349"/>
      <w:bookmarkEnd w:id="350"/>
      <w:bookmarkEnd w:id="351"/>
    </w:p>
    <w:p w14:paraId="142A3AB5">
      <w:pPr>
        <w:spacing w:line="400" w:lineRule="exact"/>
        <w:ind w:firstLine="480" w:firstLineChars="200"/>
        <w:rPr>
          <w:rFonts w:ascii="Calibri" w:hAnsi="Calibri"/>
          <w:color w:val="auto"/>
          <w:sz w:val="24"/>
          <w:highlight w:val="none"/>
        </w:rPr>
      </w:pPr>
      <w:r>
        <w:rPr>
          <w:rFonts w:ascii="Calibri" w:hAnsi="Calibri"/>
          <w:color w:val="auto"/>
          <w:sz w:val="24"/>
          <w:highlight w:val="none"/>
        </w:rPr>
        <w:t>5.3.1</w:t>
      </w:r>
      <w:r>
        <w:rPr>
          <w:rFonts w:hint="eastAsia" w:ascii="Calibri" w:hAnsi="Calibri"/>
          <w:color w:val="auto"/>
          <w:sz w:val="24"/>
          <w:highlight w:val="none"/>
        </w:rPr>
        <w:t>运入施工场地的材料、工程设备，包括备品备件、安装专用工器具与随机资料，必须专用于合同工程，未经监理人同意，承包人不得运出施工场地或挪作他用。</w:t>
      </w:r>
    </w:p>
    <w:p w14:paraId="747BD5D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5.3.2 </w:t>
      </w:r>
      <w:r>
        <w:rPr>
          <w:rFonts w:hint="eastAsia" w:ascii="Calibri" w:hAnsi="Calibri"/>
          <w:color w:val="auto"/>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7D605DA7">
      <w:pPr>
        <w:keepNext/>
        <w:keepLines/>
        <w:spacing w:line="400" w:lineRule="exact"/>
        <w:outlineLvl w:val="2"/>
        <w:rPr>
          <w:rFonts w:ascii="Calibri" w:hAnsi="Calibri" w:eastAsia="黑体" w:cs="宋体"/>
          <w:color w:val="auto"/>
          <w:sz w:val="24"/>
          <w:highlight w:val="none"/>
        </w:rPr>
      </w:pPr>
      <w:bookmarkStart w:id="352" w:name="_Toc27226"/>
      <w:bookmarkStart w:id="353" w:name="_Toc275242266"/>
      <w:bookmarkStart w:id="354" w:name="_Toc144974623"/>
      <w:bookmarkStart w:id="355" w:name="_Toc179632673"/>
      <w:bookmarkStart w:id="356" w:name="_Toc152045655"/>
      <w:bookmarkStart w:id="357" w:name="_Toc152042433"/>
      <w:r>
        <w:rPr>
          <w:rFonts w:ascii="Calibri" w:hAnsi="Calibri" w:eastAsia="黑体" w:cs="宋体"/>
          <w:color w:val="auto"/>
          <w:sz w:val="24"/>
          <w:highlight w:val="none"/>
        </w:rPr>
        <w:t xml:space="preserve">5.4 </w:t>
      </w:r>
      <w:r>
        <w:rPr>
          <w:rFonts w:hint="eastAsia" w:ascii="Calibri" w:hAnsi="Calibri" w:eastAsia="黑体" w:cs="宋体"/>
          <w:color w:val="auto"/>
          <w:sz w:val="24"/>
          <w:highlight w:val="none"/>
        </w:rPr>
        <w:t>禁止使用不合格的材料和工程设备</w:t>
      </w:r>
      <w:bookmarkEnd w:id="352"/>
      <w:bookmarkEnd w:id="353"/>
      <w:bookmarkEnd w:id="354"/>
      <w:bookmarkEnd w:id="355"/>
      <w:bookmarkEnd w:id="356"/>
      <w:bookmarkEnd w:id="357"/>
    </w:p>
    <w:p w14:paraId="325ABD9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5.4.1 </w:t>
      </w:r>
      <w:r>
        <w:rPr>
          <w:rFonts w:hint="eastAsia" w:ascii="Calibri" w:hAnsi="Calibri"/>
          <w:color w:val="auto"/>
          <w:sz w:val="24"/>
          <w:highlight w:val="none"/>
        </w:rPr>
        <w:t>监理人有权拒绝承包人提供的不合格材料或工程设备，并要求承包人立即进行更换。监理人应在更换后再次进行检查和检验，由此增加的费用和（或）工期延误由承包人承担。</w:t>
      </w:r>
    </w:p>
    <w:p w14:paraId="4DE9C05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5.4.2 </w:t>
      </w:r>
      <w:r>
        <w:rPr>
          <w:rFonts w:hint="eastAsia" w:ascii="Calibri" w:hAnsi="Calibri"/>
          <w:color w:val="auto"/>
          <w:sz w:val="24"/>
          <w:highlight w:val="none"/>
        </w:rPr>
        <w:t>监理人发现承包人使用了不合格的材料和工程设备，应即时发出指示要求承包人立即改正，并禁止在工程中继续使用不合格的材料和工程设备。</w:t>
      </w:r>
    </w:p>
    <w:p w14:paraId="7CB2D74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5.4.3 </w:t>
      </w:r>
      <w:r>
        <w:rPr>
          <w:rFonts w:hint="eastAsia" w:ascii="Calibri" w:hAnsi="Calibri"/>
          <w:color w:val="auto"/>
          <w:sz w:val="24"/>
          <w:highlight w:val="none"/>
        </w:rPr>
        <w:t>发包人提供的材料或工程设备不符合合同要求的，承包人有权拒绝，并可要求发包人更换，由此增加的费用和（或）工期延误由发包人承担。</w:t>
      </w:r>
    </w:p>
    <w:p w14:paraId="395CDA9C">
      <w:pPr>
        <w:keepNext/>
        <w:keepLines/>
        <w:spacing w:line="400" w:lineRule="exact"/>
        <w:outlineLvl w:val="1"/>
        <w:rPr>
          <w:rFonts w:eastAsia="黑体" w:cs="宋体"/>
          <w:color w:val="auto"/>
          <w:sz w:val="24"/>
          <w:highlight w:val="none"/>
        </w:rPr>
      </w:pPr>
      <w:bookmarkStart w:id="358" w:name="_Toc144974624"/>
      <w:bookmarkStart w:id="359" w:name="_Toc275242267"/>
      <w:bookmarkStart w:id="360" w:name="_Toc152042434"/>
      <w:bookmarkStart w:id="361" w:name="_Toc4943"/>
      <w:bookmarkStart w:id="362" w:name="_Toc179632674"/>
      <w:bookmarkStart w:id="363" w:name="_Toc152045656"/>
      <w:r>
        <w:rPr>
          <w:rFonts w:eastAsia="黑体" w:cs="宋体"/>
          <w:color w:val="auto"/>
          <w:sz w:val="24"/>
          <w:highlight w:val="none"/>
        </w:rPr>
        <w:t xml:space="preserve">6. </w:t>
      </w:r>
      <w:r>
        <w:rPr>
          <w:rFonts w:hint="eastAsia" w:eastAsia="黑体" w:cs="宋体"/>
          <w:color w:val="auto"/>
          <w:sz w:val="24"/>
          <w:highlight w:val="none"/>
        </w:rPr>
        <w:t>施工设备和临时设施</w:t>
      </w:r>
      <w:bookmarkEnd w:id="358"/>
      <w:bookmarkEnd w:id="359"/>
      <w:bookmarkEnd w:id="360"/>
      <w:bookmarkEnd w:id="361"/>
      <w:bookmarkEnd w:id="362"/>
      <w:bookmarkEnd w:id="363"/>
    </w:p>
    <w:p w14:paraId="0C5F4F3E">
      <w:pPr>
        <w:keepNext/>
        <w:keepLines/>
        <w:spacing w:line="400" w:lineRule="exact"/>
        <w:outlineLvl w:val="2"/>
        <w:rPr>
          <w:rFonts w:ascii="Calibri" w:hAnsi="Calibri" w:eastAsia="黑体" w:cs="宋体"/>
          <w:color w:val="auto"/>
          <w:sz w:val="24"/>
          <w:highlight w:val="none"/>
        </w:rPr>
      </w:pPr>
      <w:bookmarkStart w:id="364" w:name="_Toc275242268"/>
      <w:bookmarkStart w:id="365" w:name="_Toc152042435"/>
      <w:bookmarkStart w:id="366" w:name="_Toc152045657"/>
      <w:bookmarkStart w:id="367" w:name="_Toc25344"/>
      <w:bookmarkStart w:id="368" w:name="_Toc144974625"/>
      <w:bookmarkStart w:id="369" w:name="_Toc179632675"/>
      <w:r>
        <w:rPr>
          <w:rFonts w:ascii="Calibri" w:hAnsi="Calibri" w:eastAsia="黑体" w:cs="宋体"/>
          <w:color w:val="auto"/>
          <w:sz w:val="24"/>
          <w:highlight w:val="none"/>
        </w:rPr>
        <w:t xml:space="preserve">6.1 </w:t>
      </w:r>
      <w:r>
        <w:rPr>
          <w:rFonts w:hint="eastAsia" w:ascii="Calibri" w:hAnsi="Calibri" w:eastAsia="黑体" w:cs="宋体"/>
          <w:color w:val="auto"/>
          <w:sz w:val="24"/>
          <w:highlight w:val="none"/>
        </w:rPr>
        <w:t>承包人提供的施工设备和临时设施</w:t>
      </w:r>
      <w:bookmarkEnd w:id="364"/>
      <w:bookmarkEnd w:id="365"/>
      <w:bookmarkEnd w:id="366"/>
      <w:bookmarkEnd w:id="367"/>
      <w:bookmarkEnd w:id="368"/>
      <w:bookmarkEnd w:id="369"/>
    </w:p>
    <w:p w14:paraId="1ADB7AC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6.1.1 </w:t>
      </w:r>
      <w:r>
        <w:rPr>
          <w:rFonts w:hint="eastAsia" w:ascii="Calibri" w:hAnsi="Calibri"/>
          <w:color w:val="auto"/>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216CE78">
      <w:pPr>
        <w:spacing w:line="400" w:lineRule="exact"/>
        <w:ind w:firstLine="480" w:firstLineChars="200"/>
        <w:rPr>
          <w:rFonts w:ascii="Calibri" w:hAnsi="Calibri"/>
          <w:color w:val="auto"/>
          <w:sz w:val="24"/>
          <w:highlight w:val="none"/>
        </w:rPr>
      </w:pPr>
      <w:r>
        <w:rPr>
          <w:rFonts w:ascii="Calibri" w:hAnsi="Calibri"/>
          <w:color w:val="auto"/>
          <w:sz w:val="24"/>
          <w:highlight w:val="none"/>
        </w:rPr>
        <w:t>6.1.2</w:t>
      </w:r>
      <w:r>
        <w:rPr>
          <w:rFonts w:hint="eastAsia" w:ascii="Calibri" w:hAnsi="Calibri"/>
          <w:color w:val="auto"/>
          <w:sz w:val="24"/>
          <w:highlight w:val="none"/>
        </w:rPr>
        <w:t>除专用合同条款另有约定外，承包人应自行承担修建临时设施的费用，需要临时占地的，应由发包人办理申请手续并承担相应费用。</w:t>
      </w:r>
    </w:p>
    <w:p w14:paraId="36DFE148">
      <w:pPr>
        <w:keepNext/>
        <w:keepLines/>
        <w:spacing w:line="400" w:lineRule="exact"/>
        <w:outlineLvl w:val="2"/>
        <w:rPr>
          <w:rFonts w:ascii="Calibri" w:hAnsi="Calibri" w:eastAsia="黑体" w:cs="宋体"/>
          <w:color w:val="auto"/>
          <w:sz w:val="24"/>
          <w:highlight w:val="none"/>
        </w:rPr>
      </w:pPr>
      <w:bookmarkStart w:id="370" w:name="_Toc152045658"/>
      <w:bookmarkStart w:id="371" w:name="_Toc179632676"/>
      <w:bookmarkStart w:id="372" w:name="_Toc152042436"/>
      <w:bookmarkStart w:id="373" w:name="_Toc10862"/>
      <w:bookmarkStart w:id="374" w:name="_Toc144974626"/>
      <w:bookmarkStart w:id="375" w:name="_Toc275242269"/>
      <w:r>
        <w:rPr>
          <w:rFonts w:ascii="Calibri" w:hAnsi="Calibri" w:eastAsia="黑体" w:cs="宋体"/>
          <w:color w:val="auto"/>
          <w:sz w:val="24"/>
          <w:highlight w:val="none"/>
        </w:rPr>
        <w:t xml:space="preserve">6.2 </w:t>
      </w:r>
      <w:r>
        <w:rPr>
          <w:rFonts w:hint="eastAsia" w:ascii="Calibri" w:hAnsi="Calibri" w:eastAsia="黑体" w:cs="宋体"/>
          <w:color w:val="auto"/>
          <w:sz w:val="24"/>
          <w:highlight w:val="none"/>
        </w:rPr>
        <w:t>发包人提供的施工设备和临时设施</w:t>
      </w:r>
      <w:bookmarkEnd w:id="370"/>
      <w:bookmarkEnd w:id="371"/>
      <w:bookmarkEnd w:id="372"/>
      <w:bookmarkEnd w:id="373"/>
      <w:bookmarkEnd w:id="374"/>
      <w:bookmarkEnd w:id="375"/>
    </w:p>
    <w:p w14:paraId="54AC2F05">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发包人提供的施工设备或临时设施在专用合同条款中约定。</w:t>
      </w:r>
    </w:p>
    <w:p w14:paraId="168B9CBA">
      <w:pPr>
        <w:keepNext/>
        <w:keepLines/>
        <w:spacing w:line="400" w:lineRule="exact"/>
        <w:outlineLvl w:val="2"/>
        <w:rPr>
          <w:rFonts w:ascii="Calibri" w:hAnsi="Calibri" w:eastAsia="黑体" w:cs="宋体"/>
          <w:color w:val="auto"/>
          <w:sz w:val="24"/>
          <w:highlight w:val="none"/>
        </w:rPr>
      </w:pPr>
      <w:bookmarkStart w:id="376" w:name="_Toc144974627"/>
      <w:bookmarkStart w:id="377" w:name="_Toc152045659"/>
      <w:bookmarkStart w:id="378" w:name="_Toc275242270"/>
      <w:bookmarkStart w:id="379" w:name="_Toc11796"/>
      <w:bookmarkStart w:id="380" w:name="_Toc179632677"/>
      <w:bookmarkStart w:id="381" w:name="_Toc152042437"/>
      <w:r>
        <w:rPr>
          <w:rFonts w:ascii="Calibri" w:hAnsi="Calibri" w:eastAsia="黑体" w:cs="宋体"/>
          <w:color w:val="auto"/>
          <w:sz w:val="24"/>
          <w:highlight w:val="none"/>
        </w:rPr>
        <w:t xml:space="preserve">6.3 </w:t>
      </w:r>
      <w:r>
        <w:rPr>
          <w:rFonts w:hint="eastAsia" w:ascii="Calibri" w:hAnsi="Calibri" w:eastAsia="黑体" w:cs="宋体"/>
          <w:color w:val="auto"/>
          <w:sz w:val="24"/>
          <w:highlight w:val="none"/>
        </w:rPr>
        <w:t>要求承包人增加或更换施工设备</w:t>
      </w:r>
      <w:bookmarkEnd w:id="376"/>
      <w:bookmarkEnd w:id="377"/>
      <w:bookmarkEnd w:id="378"/>
      <w:bookmarkEnd w:id="379"/>
      <w:bookmarkEnd w:id="380"/>
      <w:bookmarkEnd w:id="381"/>
    </w:p>
    <w:p w14:paraId="69D3B72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1C55D81D">
      <w:pPr>
        <w:keepNext/>
        <w:keepLines/>
        <w:spacing w:line="400" w:lineRule="exact"/>
        <w:outlineLvl w:val="2"/>
        <w:rPr>
          <w:rFonts w:ascii="Calibri" w:hAnsi="Calibri" w:eastAsia="黑体" w:cs="宋体"/>
          <w:color w:val="auto"/>
          <w:sz w:val="24"/>
          <w:highlight w:val="none"/>
        </w:rPr>
      </w:pPr>
      <w:bookmarkStart w:id="382" w:name="_Toc179632678"/>
      <w:bookmarkStart w:id="383" w:name="_Toc144974628"/>
      <w:bookmarkStart w:id="384" w:name="_Toc152045660"/>
      <w:bookmarkStart w:id="385" w:name="_Toc23815"/>
      <w:bookmarkStart w:id="386" w:name="_Toc275242271"/>
      <w:bookmarkStart w:id="387" w:name="_Toc152042438"/>
      <w:r>
        <w:rPr>
          <w:rFonts w:ascii="Calibri" w:hAnsi="Calibri" w:eastAsia="黑体" w:cs="宋体"/>
          <w:color w:val="auto"/>
          <w:sz w:val="24"/>
          <w:highlight w:val="none"/>
        </w:rPr>
        <w:t xml:space="preserve">6.4 </w:t>
      </w:r>
      <w:r>
        <w:rPr>
          <w:rFonts w:hint="eastAsia" w:ascii="Calibri" w:hAnsi="Calibri" w:eastAsia="黑体" w:cs="宋体"/>
          <w:color w:val="auto"/>
          <w:sz w:val="24"/>
          <w:highlight w:val="none"/>
        </w:rPr>
        <w:t>施工设备和临时设施专用于合同工程</w:t>
      </w:r>
      <w:bookmarkEnd w:id="382"/>
      <w:bookmarkEnd w:id="383"/>
      <w:bookmarkEnd w:id="384"/>
      <w:bookmarkEnd w:id="385"/>
      <w:bookmarkEnd w:id="386"/>
      <w:bookmarkEnd w:id="387"/>
    </w:p>
    <w:p w14:paraId="328AF1AA">
      <w:pPr>
        <w:spacing w:line="400" w:lineRule="exact"/>
        <w:ind w:firstLine="480" w:firstLineChars="200"/>
        <w:rPr>
          <w:rFonts w:ascii="Calibri" w:hAnsi="Calibri"/>
          <w:color w:val="auto"/>
          <w:sz w:val="24"/>
          <w:highlight w:val="none"/>
        </w:rPr>
      </w:pPr>
      <w:r>
        <w:rPr>
          <w:rFonts w:ascii="Calibri" w:hAnsi="Calibri"/>
          <w:color w:val="auto"/>
          <w:sz w:val="24"/>
          <w:highlight w:val="none"/>
        </w:rPr>
        <w:t>6.4.1</w:t>
      </w:r>
      <w:r>
        <w:rPr>
          <w:rFonts w:hint="eastAsia" w:ascii="Calibri" w:hAnsi="Calibri"/>
          <w:color w:val="auto"/>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31875BD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6.4.2 </w:t>
      </w:r>
      <w:r>
        <w:rPr>
          <w:rFonts w:hint="eastAsia" w:ascii="Calibri" w:hAnsi="Calibri"/>
          <w:color w:val="auto"/>
          <w:sz w:val="24"/>
          <w:highlight w:val="none"/>
        </w:rPr>
        <w:t>经监理人同意，承包人可根据合同进度计划撤走闲置的施工设备。</w:t>
      </w:r>
    </w:p>
    <w:p w14:paraId="23FFAD3A">
      <w:pPr>
        <w:keepNext/>
        <w:keepLines/>
        <w:spacing w:line="400" w:lineRule="exact"/>
        <w:outlineLvl w:val="1"/>
        <w:rPr>
          <w:rFonts w:eastAsia="黑体" w:cs="宋体"/>
          <w:color w:val="auto"/>
          <w:sz w:val="24"/>
          <w:highlight w:val="none"/>
        </w:rPr>
      </w:pPr>
      <w:bookmarkStart w:id="388" w:name="_Toc179632679"/>
      <w:bookmarkStart w:id="389" w:name="_Toc144974629"/>
      <w:bookmarkStart w:id="390" w:name="_Toc152042439"/>
      <w:bookmarkStart w:id="391" w:name="_Toc275242272"/>
      <w:bookmarkStart w:id="392" w:name="_Toc152045661"/>
      <w:bookmarkStart w:id="393" w:name="_Toc2923"/>
      <w:r>
        <w:rPr>
          <w:rFonts w:eastAsia="黑体" w:cs="宋体"/>
          <w:color w:val="auto"/>
          <w:sz w:val="24"/>
          <w:highlight w:val="none"/>
        </w:rPr>
        <w:t xml:space="preserve">7. </w:t>
      </w:r>
      <w:r>
        <w:rPr>
          <w:rFonts w:hint="eastAsia" w:eastAsia="黑体" w:cs="宋体"/>
          <w:color w:val="auto"/>
          <w:sz w:val="24"/>
          <w:highlight w:val="none"/>
        </w:rPr>
        <w:t>交通运输</w:t>
      </w:r>
      <w:bookmarkEnd w:id="388"/>
      <w:bookmarkEnd w:id="389"/>
      <w:bookmarkEnd w:id="390"/>
      <w:bookmarkEnd w:id="391"/>
      <w:bookmarkEnd w:id="392"/>
      <w:bookmarkEnd w:id="393"/>
    </w:p>
    <w:p w14:paraId="096512CF">
      <w:pPr>
        <w:keepNext/>
        <w:keepLines/>
        <w:spacing w:line="400" w:lineRule="exact"/>
        <w:outlineLvl w:val="2"/>
        <w:rPr>
          <w:rFonts w:ascii="Calibri" w:hAnsi="Calibri" w:eastAsia="黑体" w:cs="宋体"/>
          <w:color w:val="auto"/>
          <w:sz w:val="24"/>
          <w:highlight w:val="none"/>
        </w:rPr>
      </w:pPr>
      <w:bookmarkStart w:id="394" w:name="_Toc275242273"/>
      <w:bookmarkStart w:id="395" w:name="_Toc144974630"/>
      <w:bookmarkStart w:id="396" w:name="_Toc179632680"/>
      <w:bookmarkStart w:id="397" w:name="_Toc21425"/>
      <w:bookmarkStart w:id="398" w:name="_Toc152045662"/>
      <w:bookmarkStart w:id="399" w:name="_Toc152042440"/>
      <w:r>
        <w:rPr>
          <w:rFonts w:ascii="Calibri" w:hAnsi="Calibri" w:eastAsia="黑体" w:cs="宋体"/>
          <w:color w:val="auto"/>
          <w:sz w:val="24"/>
          <w:highlight w:val="none"/>
        </w:rPr>
        <w:t xml:space="preserve">7.1 </w:t>
      </w:r>
      <w:r>
        <w:rPr>
          <w:rFonts w:hint="eastAsia" w:ascii="Calibri" w:hAnsi="Calibri" w:eastAsia="黑体" w:cs="宋体"/>
          <w:color w:val="auto"/>
          <w:sz w:val="24"/>
          <w:highlight w:val="none"/>
        </w:rPr>
        <w:t>道路通行权和场外设施</w:t>
      </w:r>
      <w:bookmarkEnd w:id="394"/>
      <w:bookmarkEnd w:id="395"/>
      <w:bookmarkEnd w:id="396"/>
      <w:bookmarkEnd w:id="397"/>
      <w:bookmarkEnd w:id="398"/>
      <w:bookmarkEnd w:id="399"/>
    </w:p>
    <w:p w14:paraId="1D30D912">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3AF3E6D">
      <w:pPr>
        <w:keepNext/>
        <w:keepLines/>
        <w:spacing w:line="400" w:lineRule="exact"/>
        <w:outlineLvl w:val="2"/>
        <w:rPr>
          <w:rFonts w:ascii="Calibri" w:hAnsi="Calibri" w:eastAsia="黑体" w:cs="宋体"/>
          <w:color w:val="auto"/>
          <w:sz w:val="24"/>
          <w:highlight w:val="none"/>
        </w:rPr>
      </w:pPr>
      <w:bookmarkStart w:id="400" w:name="_Toc152042441"/>
      <w:bookmarkStart w:id="401" w:name="_Toc12541"/>
      <w:bookmarkStart w:id="402" w:name="_Toc179632681"/>
      <w:bookmarkStart w:id="403" w:name="_Toc144974631"/>
      <w:bookmarkStart w:id="404" w:name="_Toc152045663"/>
      <w:bookmarkStart w:id="405" w:name="_Toc275242274"/>
      <w:r>
        <w:rPr>
          <w:rFonts w:ascii="Calibri" w:hAnsi="Calibri" w:eastAsia="黑体" w:cs="宋体"/>
          <w:color w:val="auto"/>
          <w:sz w:val="24"/>
          <w:highlight w:val="none"/>
        </w:rPr>
        <w:t xml:space="preserve">7.2 </w:t>
      </w:r>
      <w:r>
        <w:rPr>
          <w:rFonts w:hint="eastAsia" w:ascii="Calibri" w:hAnsi="Calibri" w:eastAsia="黑体" w:cs="宋体"/>
          <w:color w:val="auto"/>
          <w:sz w:val="24"/>
          <w:highlight w:val="none"/>
        </w:rPr>
        <w:t>场内施工道路</w:t>
      </w:r>
      <w:bookmarkEnd w:id="400"/>
      <w:bookmarkEnd w:id="401"/>
      <w:bookmarkEnd w:id="402"/>
      <w:bookmarkEnd w:id="403"/>
      <w:bookmarkEnd w:id="404"/>
      <w:bookmarkEnd w:id="405"/>
    </w:p>
    <w:p w14:paraId="4FABE13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7.2.1 </w:t>
      </w:r>
      <w:r>
        <w:rPr>
          <w:rFonts w:hint="eastAsia" w:ascii="Calibri" w:hAnsi="Calibri"/>
          <w:color w:val="auto"/>
          <w:sz w:val="24"/>
          <w:highlight w:val="none"/>
        </w:rPr>
        <w:t>除专用合同条款另有约定外，承包人应负责修建、维修、养护和管理施工所需的临时道路和交通设施，包括维修、养护和管理发包人提供的道路和交通设施，并承担相应费用。</w:t>
      </w:r>
    </w:p>
    <w:p w14:paraId="164276B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7.2.2 </w:t>
      </w:r>
      <w:r>
        <w:rPr>
          <w:rFonts w:hint="eastAsia" w:ascii="Calibri" w:hAnsi="Calibri"/>
          <w:color w:val="auto"/>
          <w:sz w:val="24"/>
          <w:highlight w:val="none"/>
        </w:rPr>
        <w:t>除专用合同条款另有约定外，承包人修建的临时道路和交通设施应免费提供发包人和监理人使用。</w:t>
      </w:r>
    </w:p>
    <w:p w14:paraId="0FEBED9D">
      <w:pPr>
        <w:keepNext/>
        <w:keepLines/>
        <w:spacing w:line="400" w:lineRule="exact"/>
        <w:outlineLvl w:val="2"/>
        <w:rPr>
          <w:rFonts w:ascii="Calibri" w:hAnsi="Calibri" w:eastAsia="黑体" w:cs="宋体"/>
          <w:color w:val="auto"/>
          <w:sz w:val="24"/>
          <w:highlight w:val="none"/>
        </w:rPr>
      </w:pPr>
      <w:bookmarkStart w:id="406" w:name="_Toc179632682"/>
      <w:bookmarkStart w:id="407" w:name="_Toc275242275"/>
      <w:bookmarkStart w:id="408" w:name="_Toc152042442"/>
      <w:bookmarkStart w:id="409" w:name="_Toc144974632"/>
      <w:bookmarkStart w:id="410" w:name="_Toc9588"/>
      <w:bookmarkStart w:id="411" w:name="_Toc152045664"/>
      <w:r>
        <w:rPr>
          <w:rFonts w:ascii="Calibri" w:hAnsi="Calibri" w:eastAsia="黑体" w:cs="宋体"/>
          <w:color w:val="auto"/>
          <w:sz w:val="24"/>
          <w:highlight w:val="none"/>
        </w:rPr>
        <w:t xml:space="preserve">7.3 </w:t>
      </w:r>
      <w:r>
        <w:rPr>
          <w:rFonts w:hint="eastAsia" w:ascii="Calibri" w:hAnsi="Calibri" w:eastAsia="黑体" w:cs="宋体"/>
          <w:color w:val="auto"/>
          <w:sz w:val="24"/>
          <w:highlight w:val="none"/>
        </w:rPr>
        <w:t>场外交通</w:t>
      </w:r>
      <w:bookmarkEnd w:id="406"/>
      <w:bookmarkEnd w:id="407"/>
      <w:bookmarkEnd w:id="408"/>
      <w:bookmarkEnd w:id="409"/>
      <w:bookmarkEnd w:id="410"/>
      <w:bookmarkEnd w:id="411"/>
    </w:p>
    <w:p w14:paraId="1B3F213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7.3.1 </w:t>
      </w:r>
      <w:r>
        <w:rPr>
          <w:rFonts w:hint="eastAsia" w:ascii="Calibri" w:hAnsi="Calibri"/>
          <w:color w:val="auto"/>
          <w:sz w:val="24"/>
          <w:highlight w:val="none"/>
        </w:rPr>
        <w:t>承包人车辆外出行驶所需的场外公共道路的通行费、养路费和税款等由承包人承担。</w:t>
      </w:r>
    </w:p>
    <w:p w14:paraId="1A52D79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7.3.2 </w:t>
      </w:r>
      <w:r>
        <w:rPr>
          <w:rFonts w:hint="eastAsia" w:ascii="Calibri" w:hAnsi="Calibri"/>
          <w:color w:val="auto"/>
          <w:sz w:val="24"/>
          <w:highlight w:val="none"/>
        </w:rPr>
        <w:t>承包人应遵守有关交通法规，严格按照道路和桥梁的限制荷重安全行驶，并服从交通管理部门的检查和监督。</w:t>
      </w:r>
    </w:p>
    <w:p w14:paraId="661B551D">
      <w:pPr>
        <w:keepNext/>
        <w:keepLines/>
        <w:spacing w:line="400" w:lineRule="exact"/>
        <w:outlineLvl w:val="2"/>
        <w:rPr>
          <w:rFonts w:ascii="Calibri" w:hAnsi="Calibri" w:eastAsia="黑体" w:cs="宋体"/>
          <w:color w:val="auto"/>
          <w:sz w:val="24"/>
          <w:highlight w:val="none"/>
        </w:rPr>
      </w:pPr>
      <w:bookmarkStart w:id="412" w:name="_Toc275242276"/>
      <w:bookmarkStart w:id="413" w:name="_Toc179632683"/>
      <w:bookmarkStart w:id="414" w:name="_Toc152042443"/>
      <w:bookmarkStart w:id="415" w:name="_Toc144974633"/>
      <w:bookmarkStart w:id="416" w:name="_Toc22251"/>
      <w:bookmarkStart w:id="417" w:name="_Toc152045665"/>
      <w:r>
        <w:rPr>
          <w:rFonts w:ascii="Calibri" w:hAnsi="Calibri" w:eastAsia="黑体" w:cs="宋体"/>
          <w:color w:val="auto"/>
          <w:sz w:val="24"/>
          <w:highlight w:val="none"/>
        </w:rPr>
        <w:t xml:space="preserve">7.4 </w:t>
      </w:r>
      <w:r>
        <w:rPr>
          <w:rFonts w:hint="eastAsia" w:ascii="Calibri" w:hAnsi="Calibri" w:eastAsia="黑体" w:cs="宋体"/>
          <w:color w:val="auto"/>
          <w:sz w:val="24"/>
          <w:highlight w:val="none"/>
        </w:rPr>
        <w:t>超大件和超重件的运输</w:t>
      </w:r>
      <w:bookmarkEnd w:id="412"/>
      <w:bookmarkEnd w:id="413"/>
      <w:bookmarkEnd w:id="414"/>
      <w:bookmarkEnd w:id="415"/>
      <w:bookmarkEnd w:id="416"/>
      <w:bookmarkEnd w:id="417"/>
    </w:p>
    <w:p w14:paraId="45D18AF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B43CCEF">
      <w:pPr>
        <w:keepNext/>
        <w:keepLines/>
        <w:spacing w:line="400" w:lineRule="exact"/>
        <w:outlineLvl w:val="2"/>
        <w:rPr>
          <w:rFonts w:ascii="Calibri" w:hAnsi="Calibri" w:eastAsia="黑体" w:cs="宋体"/>
          <w:color w:val="auto"/>
          <w:sz w:val="24"/>
          <w:highlight w:val="none"/>
        </w:rPr>
      </w:pPr>
      <w:bookmarkStart w:id="418" w:name="_Toc14882"/>
      <w:bookmarkStart w:id="419" w:name="_Toc275242277"/>
      <w:bookmarkStart w:id="420" w:name="_Toc152045666"/>
      <w:bookmarkStart w:id="421" w:name="_Toc144974634"/>
      <w:bookmarkStart w:id="422" w:name="_Toc152042444"/>
      <w:bookmarkStart w:id="423" w:name="_Toc179632684"/>
      <w:r>
        <w:rPr>
          <w:rFonts w:ascii="Calibri" w:hAnsi="Calibri" w:eastAsia="黑体" w:cs="宋体"/>
          <w:color w:val="auto"/>
          <w:sz w:val="24"/>
          <w:highlight w:val="none"/>
        </w:rPr>
        <w:t xml:space="preserve">7.5 </w:t>
      </w:r>
      <w:r>
        <w:rPr>
          <w:rFonts w:hint="eastAsia" w:ascii="Calibri" w:hAnsi="Calibri" w:eastAsia="黑体" w:cs="宋体"/>
          <w:color w:val="auto"/>
          <w:sz w:val="24"/>
          <w:highlight w:val="none"/>
        </w:rPr>
        <w:t>道路和桥梁的损坏责任</w:t>
      </w:r>
      <w:bookmarkEnd w:id="418"/>
      <w:bookmarkEnd w:id="419"/>
      <w:bookmarkEnd w:id="420"/>
      <w:bookmarkEnd w:id="421"/>
      <w:bookmarkEnd w:id="422"/>
      <w:bookmarkEnd w:id="423"/>
    </w:p>
    <w:p w14:paraId="635499E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因承包人运输造成施工场地内外公共道路和桥梁损坏的，由承包人承担修复损坏的全部费用和可能引起的赔偿。</w:t>
      </w:r>
    </w:p>
    <w:p w14:paraId="2738E50E">
      <w:pPr>
        <w:keepNext/>
        <w:keepLines/>
        <w:spacing w:line="400" w:lineRule="exact"/>
        <w:outlineLvl w:val="2"/>
        <w:rPr>
          <w:rFonts w:ascii="Calibri" w:hAnsi="Calibri" w:eastAsia="黑体" w:cs="宋体"/>
          <w:color w:val="auto"/>
          <w:sz w:val="24"/>
          <w:highlight w:val="none"/>
        </w:rPr>
      </w:pPr>
      <w:bookmarkStart w:id="424" w:name="_Toc179632685"/>
      <w:bookmarkStart w:id="425" w:name="_Toc275242278"/>
      <w:bookmarkStart w:id="426" w:name="_Toc152045667"/>
      <w:bookmarkStart w:id="427" w:name="_Toc32019"/>
      <w:bookmarkStart w:id="428" w:name="_Toc144974635"/>
      <w:bookmarkStart w:id="429" w:name="_Toc152042445"/>
      <w:r>
        <w:rPr>
          <w:rFonts w:ascii="Calibri" w:hAnsi="Calibri" w:eastAsia="黑体" w:cs="宋体"/>
          <w:color w:val="auto"/>
          <w:sz w:val="24"/>
          <w:highlight w:val="none"/>
        </w:rPr>
        <w:t xml:space="preserve">7.6 </w:t>
      </w:r>
      <w:r>
        <w:rPr>
          <w:rFonts w:hint="eastAsia" w:ascii="Calibri" w:hAnsi="Calibri" w:eastAsia="黑体" w:cs="宋体"/>
          <w:color w:val="auto"/>
          <w:sz w:val="24"/>
          <w:highlight w:val="none"/>
        </w:rPr>
        <w:t>水路和航空运输</w:t>
      </w:r>
      <w:bookmarkEnd w:id="424"/>
      <w:bookmarkEnd w:id="425"/>
      <w:bookmarkEnd w:id="426"/>
      <w:bookmarkEnd w:id="427"/>
      <w:bookmarkEnd w:id="428"/>
      <w:bookmarkEnd w:id="429"/>
    </w:p>
    <w:p w14:paraId="27F9D90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14:paraId="6DB21BC3">
      <w:pPr>
        <w:keepNext/>
        <w:keepLines/>
        <w:spacing w:line="400" w:lineRule="exact"/>
        <w:outlineLvl w:val="1"/>
        <w:rPr>
          <w:rFonts w:eastAsia="黑体" w:cs="宋体"/>
          <w:color w:val="auto"/>
          <w:sz w:val="24"/>
          <w:highlight w:val="none"/>
        </w:rPr>
      </w:pPr>
      <w:bookmarkStart w:id="430" w:name="_Toc275242279"/>
      <w:bookmarkStart w:id="431" w:name="_Toc179632686"/>
      <w:bookmarkStart w:id="432" w:name="_Toc144974636"/>
      <w:bookmarkStart w:id="433" w:name="_Toc13360"/>
      <w:bookmarkStart w:id="434" w:name="_Toc152045668"/>
      <w:bookmarkStart w:id="435" w:name="_Toc152042446"/>
      <w:r>
        <w:rPr>
          <w:rFonts w:eastAsia="黑体" w:cs="宋体"/>
          <w:color w:val="auto"/>
          <w:sz w:val="24"/>
          <w:highlight w:val="none"/>
        </w:rPr>
        <w:t xml:space="preserve">8. </w:t>
      </w:r>
      <w:r>
        <w:rPr>
          <w:rFonts w:hint="eastAsia" w:eastAsia="黑体" w:cs="宋体"/>
          <w:color w:val="auto"/>
          <w:sz w:val="24"/>
          <w:highlight w:val="none"/>
        </w:rPr>
        <w:t>测量放线</w:t>
      </w:r>
      <w:bookmarkEnd w:id="430"/>
      <w:bookmarkEnd w:id="431"/>
      <w:bookmarkEnd w:id="432"/>
      <w:bookmarkEnd w:id="433"/>
      <w:bookmarkEnd w:id="434"/>
      <w:bookmarkEnd w:id="435"/>
    </w:p>
    <w:p w14:paraId="0A07D19D">
      <w:pPr>
        <w:keepNext/>
        <w:keepLines/>
        <w:spacing w:line="400" w:lineRule="exact"/>
        <w:outlineLvl w:val="2"/>
        <w:rPr>
          <w:rFonts w:ascii="Calibri" w:hAnsi="Calibri" w:eastAsia="黑体" w:cs="宋体"/>
          <w:color w:val="auto"/>
          <w:sz w:val="24"/>
          <w:highlight w:val="none"/>
        </w:rPr>
      </w:pPr>
      <w:bookmarkStart w:id="436" w:name="_Toc32253"/>
      <w:bookmarkStart w:id="437" w:name="_Toc179632687"/>
      <w:bookmarkStart w:id="438" w:name="_Toc152042447"/>
      <w:bookmarkStart w:id="439" w:name="_Toc144974637"/>
      <w:bookmarkStart w:id="440" w:name="_Toc152045669"/>
      <w:bookmarkStart w:id="441" w:name="_Toc275242280"/>
      <w:r>
        <w:rPr>
          <w:rFonts w:ascii="Calibri" w:hAnsi="Calibri" w:eastAsia="黑体" w:cs="宋体"/>
          <w:color w:val="auto"/>
          <w:sz w:val="24"/>
          <w:highlight w:val="none"/>
        </w:rPr>
        <w:t xml:space="preserve">8.1 </w:t>
      </w:r>
      <w:r>
        <w:rPr>
          <w:rFonts w:hint="eastAsia" w:ascii="Calibri" w:hAnsi="Calibri" w:eastAsia="黑体" w:cs="宋体"/>
          <w:color w:val="auto"/>
          <w:sz w:val="24"/>
          <w:highlight w:val="none"/>
        </w:rPr>
        <w:t>施工控制网</w:t>
      </w:r>
      <w:bookmarkEnd w:id="436"/>
      <w:bookmarkEnd w:id="437"/>
      <w:bookmarkEnd w:id="438"/>
      <w:bookmarkEnd w:id="439"/>
      <w:bookmarkEnd w:id="440"/>
      <w:bookmarkEnd w:id="441"/>
    </w:p>
    <w:p w14:paraId="08435B1B">
      <w:pPr>
        <w:spacing w:line="400" w:lineRule="exact"/>
        <w:ind w:firstLine="480" w:firstLineChars="200"/>
        <w:rPr>
          <w:rFonts w:ascii="Calibri" w:hAnsi="Calibri"/>
          <w:color w:val="auto"/>
          <w:sz w:val="24"/>
          <w:highlight w:val="none"/>
        </w:rPr>
      </w:pPr>
      <w:r>
        <w:rPr>
          <w:rFonts w:ascii="Calibri" w:hAnsi="Calibri"/>
          <w:color w:val="auto"/>
          <w:sz w:val="24"/>
          <w:highlight w:val="none"/>
        </w:rPr>
        <w:t>8.1.1</w:t>
      </w:r>
      <w:r>
        <w:rPr>
          <w:rFonts w:hint="eastAsia" w:ascii="Calibri" w:hAnsi="Calibri"/>
          <w:color w:val="auto"/>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EAB5178">
      <w:pPr>
        <w:spacing w:line="400" w:lineRule="exact"/>
        <w:ind w:firstLine="480" w:firstLineChars="200"/>
        <w:rPr>
          <w:rFonts w:ascii="Calibri" w:hAnsi="Calibri"/>
          <w:color w:val="auto"/>
          <w:sz w:val="24"/>
          <w:highlight w:val="none"/>
        </w:rPr>
      </w:pPr>
      <w:r>
        <w:rPr>
          <w:rFonts w:ascii="Calibri" w:hAnsi="Calibri"/>
          <w:color w:val="auto"/>
          <w:sz w:val="24"/>
          <w:highlight w:val="none"/>
        </w:rPr>
        <w:t>8.1.2</w:t>
      </w:r>
      <w:r>
        <w:rPr>
          <w:rFonts w:hint="eastAsia" w:ascii="Calibri" w:hAnsi="Calibri"/>
          <w:color w:val="auto"/>
          <w:sz w:val="24"/>
          <w:highlight w:val="none"/>
        </w:rPr>
        <w:t>承包人应负责管理施工控制网点。施工控制网点丢失或损坏的，承包人应及时修复。承包人应承担施工控制网点的管理与修复费用，并在工程竣工后将施工控制网点移交发包人。</w:t>
      </w:r>
    </w:p>
    <w:p w14:paraId="1D9EEC4F">
      <w:pPr>
        <w:keepNext/>
        <w:keepLines/>
        <w:spacing w:line="400" w:lineRule="exact"/>
        <w:outlineLvl w:val="2"/>
        <w:rPr>
          <w:rFonts w:ascii="Calibri" w:hAnsi="Calibri" w:eastAsia="黑体" w:cs="宋体"/>
          <w:color w:val="auto"/>
          <w:sz w:val="24"/>
          <w:highlight w:val="none"/>
        </w:rPr>
      </w:pPr>
      <w:bookmarkStart w:id="442" w:name="_Toc179632688"/>
      <w:bookmarkStart w:id="443" w:name="_Toc18011"/>
      <w:bookmarkStart w:id="444" w:name="_Toc275242281"/>
      <w:bookmarkStart w:id="445" w:name="_Toc144974638"/>
      <w:bookmarkStart w:id="446" w:name="_Toc152042448"/>
      <w:bookmarkStart w:id="447" w:name="_Toc152045670"/>
      <w:r>
        <w:rPr>
          <w:rFonts w:ascii="Calibri" w:hAnsi="Calibri" w:eastAsia="黑体" w:cs="宋体"/>
          <w:color w:val="auto"/>
          <w:sz w:val="24"/>
          <w:highlight w:val="none"/>
        </w:rPr>
        <w:t xml:space="preserve">8.2 </w:t>
      </w:r>
      <w:r>
        <w:rPr>
          <w:rFonts w:hint="eastAsia" w:ascii="Calibri" w:hAnsi="Calibri" w:eastAsia="黑体" w:cs="宋体"/>
          <w:color w:val="auto"/>
          <w:sz w:val="24"/>
          <w:highlight w:val="none"/>
        </w:rPr>
        <w:t>施工测量</w:t>
      </w:r>
      <w:bookmarkEnd w:id="442"/>
      <w:bookmarkEnd w:id="443"/>
      <w:bookmarkEnd w:id="444"/>
      <w:bookmarkEnd w:id="445"/>
      <w:bookmarkEnd w:id="446"/>
      <w:bookmarkEnd w:id="447"/>
    </w:p>
    <w:p w14:paraId="08393111">
      <w:pPr>
        <w:spacing w:line="400" w:lineRule="exact"/>
        <w:ind w:firstLine="480" w:firstLineChars="200"/>
        <w:rPr>
          <w:rFonts w:ascii="Calibri" w:hAnsi="Calibri"/>
          <w:color w:val="auto"/>
          <w:sz w:val="24"/>
          <w:highlight w:val="none"/>
        </w:rPr>
      </w:pPr>
      <w:r>
        <w:rPr>
          <w:rFonts w:ascii="Calibri" w:hAnsi="Calibri"/>
          <w:color w:val="auto"/>
          <w:sz w:val="24"/>
          <w:highlight w:val="none"/>
        </w:rPr>
        <w:t>8.2.1</w:t>
      </w:r>
      <w:r>
        <w:rPr>
          <w:rFonts w:hint="eastAsia" w:ascii="Calibri" w:hAnsi="Calibri"/>
          <w:color w:val="auto"/>
          <w:sz w:val="24"/>
          <w:highlight w:val="none"/>
        </w:rPr>
        <w:t>承包人应负责施工过程中的全部施工测量放线工作，并配置合格的人员、仪器、设备和其他物品。</w:t>
      </w:r>
    </w:p>
    <w:p w14:paraId="0028E134">
      <w:pPr>
        <w:spacing w:line="400" w:lineRule="exact"/>
        <w:ind w:firstLine="480" w:firstLineChars="200"/>
        <w:rPr>
          <w:rFonts w:ascii="Calibri" w:hAnsi="Calibri"/>
          <w:color w:val="auto"/>
          <w:sz w:val="24"/>
          <w:highlight w:val="none"/>
        </w:rPr>
      </w:pPr>
      <w:r>
        <w:rPr>
          <w:rFonts w:ascii="Calibri" w:hAnsi="Calibri"/>
          <w:color w:val="auto"/>
          <w:sz w:val="24"/>
          <w:highlight w:val="none"/>
        </w:rPr>
        <w:t>8.2.2</w:t>
      </w:r>
      <w:r>
        <w:rPr>
          <w:rFonts w:hint="eastAsia" w:ascii="Calibri" w:hAnsi="Calibri"/>
          <w:color w:val="auto"/>
          <w:sz w:val="24"/>
          <w:highlight w:val="none"/>
        </w:rPr>
        <w:t>监理人可以指示承包人进行抽样复测，当复测中发现错误或出现超过合同约定的误差时，承包人应按监理人指示进行修正或补测，并承担相应的复测费用。</w:t>
      </w:r>
    </w:p>
    <w:p w14:paraId="548AFE1E">
      <w:pPr>
        <w:keepNext/>
        <w:keepLines/>
        <w:spacing w:line="400" w:lineRule="exact"/>
        <w:outlineLvl w:val="2"/>
        <w:rPr>
          <w:rFonts w:ascii="Calibri" w:hAnsi="Calibri" w:eastAsia="黑体" w:cs="宋体"/>
          <w:color w:val="auto"/>
          <w:sz w:val="24"/>
          <w:highlight w:val="none"/>
        </w:rPr>
      </w:pPr>
      <w:bookmarkStart w:id="448" w:name="_Toc275242282"/>
      <w:bookmarkStart w:id="449" w:name="_Toc179632689"/>
      <w:bookmarkStart w:id="450" w:name="_Toc144974639"/>
      <w:bookmarkStart w:id="451" w:name="_Toc152042449"/>
      <w:bookmarkStart w:id="452" w:name="_Toc152045671"/>
      <w:bookmarkStart w:id="453" w:name="_Toc25181"/>
      <w:r>
        <w:rPr>
          <w:rFonts w:ascii="Calibri" w:hAnsi="Calibri" w:eastAsia="黑体" w:cs="宋体"/>
          <w:color w:val="auto"/>
          <w:sz w:val="24"/>
          <w:highlight w:val="none"/>
        </w:rPr>
        <w:t xml:space="preserve">8.3 </w:t>
      </w:r>
      <w:r>
        <w:rPr>
          <w:rFonts w:hint="eastAsia" w:ascii="Calibri" w:hAnsi="Calibri" w:eastAsia="黑体" w:cs="宋体"/>
          <w:color w:val="auto"/>
          <w:sz w:val="24"/>
          <w:highlight w:val="none"/>
        </w:rPr>
        <w:t>基准资料错误的责任</w:t>
      </w:r>
      <w:bookmarkEnd w:id="448"/>
      <w:bookmarkEnd w:id="449"/>
      <w:bookmarkEnd w:id="450"/>
      <w:bookmarkEnd w:id="451"/>
      <w:bookmarkEnd w:id="452"/>
      <w:bookmarkEnd w:id="453"/>
    </w:p>
    <w:p w14:paraId="3F5132C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5418AB9">
      <w:pPr>
        <w:keepNext/>
        <w:keepLines/>
        <w:spacing w:line="400" w:lineRule="exact"/>
        <w:outlineLvl w:val="2"/>
        <w:rPr>
          <w:rFonts w:ascii="Calibri" w:hAnsi="Calibri" w:eastAsia="黑体" w:cs="宋体"/>
          <w:color w:val="auto"/>
          <w:sz w:val="24"/>
          <w:highlight w:val="none"/>
        </w:rPr>
      </w:pPr>
      <w:bookmarkStart w:id="454" w:name="_Toc152042450"/>
      <w:bookmarkStart w:id="455" w:name="_Toc275242283"/>
      <w:bookmarkStart w:id="456" w:name="_Toc152045672"/>
      <w:bookmarkStart w:id="457" w:name="_Toc15285"/>
      <w:bookmarkStart w:id="458" w:name="_Toc179632690"/>
      <w:bookmarkStart w:id="459" w:name="_Toc144974640"/>
      <w:r>
        <w:rPr>
          <w:rFonts w:ascii="Calibri" w:hAnsi="Calibri" w:eastAsia="黑体" w:cs="宋体"/>
          <w:color w:val="auto"/>
          <w:sz w:val="24"/>
          <w:highlight w:val="none"/>
        </w:rPr>
        <w:t xml:space="preserve">8.4 </w:t>
      </w:r>
      <w:r>
        <w:rPr>
          <w:rFonts w:hint="eastAsia" w:ascii="Calibri" w:hAnsi="Calibri" w:eastAsia="黑体" w:cs="宋体"/>
          <w:color w:val="auto"/>
          <w:sz w:val="24"/>
          <w:highlight w:val="none"/>
        </w:rPr>
        <w:t>监理人使用施工控制网</w:t>
      </w:r>
      <w:bookmarkEnd w:id="454"/>
      <w:bookmarkEnd w:id="455"/>
      <w:bookmarkEnd w:id="456"/>
      <w:bookmarkEnd w:id="457"/>
      <w:bookmarkEnd w:id="458"/>
      <w:bookmarkEnd w:id="459"/>
    </w:p>
    <w:p w14:paraId="4E9AE398">
      <w:pPr>
        <w:spacing w:line="400" w:lineRule="exact"/>
        <w:ind w:firstLine="480" w:firstLineChars="200"/>
        <w:rPr>
          <w:rFonts w:ascii="Calibri" w:hAnsi="Calibri"/>
          <w:dstrike/>
          <w:color w:val="auto"/>
          <w:sz w:val="24"/>
          <w:highlight w:val="none"/>
        </w:rPr>
      </w:pPr>
      <w:r>
        <w:rPr>
          <w:rFonts w:hint="eastAsia" w:ascii="Calibri" w:hAnsi="Calibri"/>
          <w:color w:val="auto"/>
          <w:sz w:val="24"/>
          <w:highlight w:val="none"/>
        </w:rPr>
        <w:t>监理人需要使用施工控制网的，承包人应提供必要的协助，发包人不再为此支付费用。</w:t>
      </w:r>
    </w:p>
    <w:p w14:paraId="4700A4EE">
      <w:pPr>
        <w:keepNext/>
        <w:keepLines/>
        <w:spacing w:line="400" w:lineRule="exact"/>
        <w:outlineLvl w:val="1"/>
        <w:rPr>
          <w:rFonts w:eastAsia="黑体" w:cs="宋体"/>
          <w:color w:val="auto"/>
          <w:sz w:val="24"/>
          <w:highlight w:val="none"/>
        </w:rPr>
      </w:pPr>
      <w:bookmarkStart w:id="460" w:name="_Toc152042451"/>
      <w:bookmarkStart w:id="461" w:name="_Toc144974641"/>
      <w:bookmarkStart w:id="462" w:name="_Toc179632691"/>
      <w:bookmarkStart w:id="463" w:name="_Toc152045673"/>
      <w:bookmarkStart w:id="464" w:name="_Toc275242284"/>
      <w:bookmarkStart w:id="465" w:name="_Toc16772"/>
      <w:r>
        <w:rPr>
          <w:rFonts w:eastAsia="黑体" w:cs="宋体"/>
          <w:color w:val="auto"/>
          <w:sz w:val="24"/>
          <w:highlight w:val="none"/>
        </w:rPr>
        <w:t xml:space="preserve">9. </w:t>
      </w:r>
      <w:r>
        <w:rPr>
          <w:rFonts w:hint="eastAsia" w:eastAsia="黑体" w:cs="宋体"/>
          <w:color w:val="auto"/>
          <w:sz w:val="24"/>
          <w:highlight w:val="none"/>
        </w:rPr>
        <w:t>施工安全、治安保卫和环境保护</w:t>
      </w:r>
      <w:bookmarkEnd w:id="460"/>
      <w:bookmarkEnd w:id="461"/>
      <w:bookmarkEnd w:id="462"/>
      <w:bookmarkEnd w:id="463"/>
      <w:bookmarkEnd w:id="464"/>
      <w:bookmarkEnd w:id="465"/>
    </w:p>
    <w:p w14:paraId="40C40664">
      <w:pPr>
        <w:keepNext/>
        <w:keepLines/>
        <w:spacing w:line="400" w:lineRule="exact"/>
        <w:outlineLvl w:val="2"/>
        <w:rPr>
          <w:rFonts w:ascii="Calibri" w:hAnsi="Calibri" w:eastAsia="黑体" w:cs="宋体"/>
          <w:color w:val="auto"/>
          <w:sz w:val="24"/>
          <w:highlight w:val="none"/>
        </w:rPr>
      </w:pPr>
      <w:bookmarkStart w:id="466" w:name="_Toc152042452"/>
      <w:bookmarkStart w:id="467" w:name="_Toc275242285"/>
      <w:bookmarkStart w:id="468" w:name="_Toc27843"/>
      <w:bookmarkStart w:id="469" w:name="_Toc144974642"/>
      <w:bookmarkStart w:id="470" w:name="_Toc152045674"/>
      <w:bookmarkStart w:id="471" w:name="_Toc179632692"/>
      <w:r>
        <w:rPr>
          <w:rFonts w:ascii="Calibri" w:hAnsi="Calibri" w:eastAsia="黑体" w:cs="宋体"/>
          <w:color w:val="auto"/>
          <w:sz w:val="24"/>
          <w:highlight w:val="none"/>
        </w:rPr>
        <w:t xml:space="preserve">9.1 </w:t>
      </w:r>
      <w:r>
        <w:rPr>
          <w:rFonts w:hint="eastAsia" w:ascii="Calibri" w:hAnsi="Calibri" w:eastAsia="黑体" w:cs="宋体"/>
          <w:color w:val="auto"/>
          <w:sz w:val="24"/>
          <w:highlight w:val="none"/>
        </w:rPr>
        <w:t>发包人的施工安全责任</w:t>
      </w:r>
      <w:bookmarkEnd w:id="466"/>
      <w:bookmarkEnd w:id="467"/>
      <w:bookmarkEnd w:id="468"/>
      <w:bookmarkEnd w:id="469"/>
      <w:bookmarkEnd w:id="470"/>
      <w:bookmarkEnd w:id="471"/>
    </w:p>
    <w:p w14:paraId="1FD14FA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9.1.1 </w:t>
      </w:r>
      <w:r>
        <w:rPr>
          <w:rFonts w:hint="eastAsia" w:ascii="Calibri" w:hAnsi="Calibri"/>
          <w:color w:val="auto"/>
          <w:sz w:val="24"/>
          <w:highlight w:val="none"/>
        </w:rPr>
        <w:t>发包人应按合同约定履行安全职责，授权监理人按合同约定的安全工作内容监督、检查承包人安全工作的实施，组织承包人和有关单位进行安全检查。</w:t>
      </w:r>
    </w:p>
    <w:p w14:paraId="736D21A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9.1.2 </w:t>
      </w:r>
      <w:r>
        <w:rPr>
          <w:rFonts w:hint="eastAsia" w:ascii="Calibri" w:hAnsi="Calibri"/>
          <w:color w:val="auto"/>
          <w:sz w:val="24"/>
          <w:highlight w:val="none"/>
        </w:rPr>
        <w:t>发包人应对其现场机构雇佣的全部人员的工伤事故承担责任，但由于承包人原因造成发包人人员工伤的，应由承包人承担责任。</w:t>
      </w:r>
    </w:p>
    <w:p w14:paraId="579AD46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9.1.3 </w:t>
      </w:r>
      <w:r>
        <w:rPr>
          <w:rFonts w:hint="eastAsia" w:ascii="Calibri" w:hAnsi="Calibri"/>
          <w:color w:val="auto"/>
          <w:sz w:val="24"/>
          <w:highlight w:val="none"/>
        </w:rPr>
        <w:t>发包人应负责赔偿以下各种情况造成的第三者人身伤亡和财产损失：</w:t>
      </w:r>
    </w:p>
    <w:p w14:paraId="2AE4107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）工程或工程的任何部分对土地的占用所造成的第三者财产损失；</w:t>
      </w:r>
    </w:p>
    <w:p w14:paraId="10943C52">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）由于发包人原因在施工场地及其毗邻地带造成的第三者人身伤亡和财产损失。</w:t>
      </w:r>
    </w:p>
    <w:p w14:paraId="657C7BA9">
      <w:pPr>
        <w:keepNext/>
        <w:keepLines/>
        <w:spacing w:line="400" w:lineRule="exact"/>
        <w:outlineLvl w:val="2"/>
        <w:rPr>
          <w:rFonts w:ascii="Calibri" w:hAnsi="Calibri" w:eastAsia="黑体" w:cs="宋体"/>
          <w:color w:val="auto"/>
          <w:sz w:val="24"/>
          <w:highlight w:val="none"/>
        </w:rPr>
      </w:pPr>
      <w:bookmarkStart w:id="472" w:name="_Toc275242286"/>
      <w:bookmarkStart w:id="473" w:name="_Toc152042453"/>
      <w:bookmarkStart w:id="474" w:name="_Toc179632693"/>
      <w:bookmarkStart w:id="475" w:name="_Toc152045675"/>
      <w:bookmarkStart w:id="476" w:name="_Toc7793"/>
      <w:bookmarkStart w:id="477" w:name="_Toc144974643"/>
      <w:r>
        <w:rPr>
          <w:rFonts w:ascii="Calibri" w:hAnsi="Calibri" w:eastAsia="黑体" w:cs="宋体"/>
          <w:color w:val="auto"/>
          <w:sz w:val="24"/>
          <w:highlight w:val="none"/>
        </w:rPr>
        <w:t xml:space="preserve">9.2 </w:t>
      </w:r>
      <w:r>
        <w:rPr>
          <w:rFonts w:hint="eastAsia" w:ascii="Calibri" w:hAnsi="Calibri" w:eastAsia="黑体" w:cs="宋体"/>
          <w:color w:val="auto"/>
          <w:sz w:val="24"/>
          <w:highlight w:val="none"/>
        </w:rPr>
        <w:t>承包人的施工安全责任</w:t>
      </w:r>
      <w:bookmarkEnd w:id="472"/>
      <w:bookmarkEnd w:id="473"/>
      <w:bookmarkEnd w:id="474"/>
      <w:bookmarkEnd w:id="475"/>
      <w:bookmarkEnd w:id="476"/>
      <w:bookmarkEnd w:id="477"/>
    </w:p>
    <w:p w14:paraId="3739E8D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9.2.1 </w:t>
      </w:r>
      <w:r>
        <w:rPr>
          <w:rFonts w:hint="eastAsia" w:ascii="Calibri" w:hAnsi="Calibri"/>
          <w:color w:val="auto"/>
          <w:sz w:val="24"/>
          <w:highlight w:val="none"/>
        </w:rPr>
        <w:t>承包人应按合同约定履行安全职责</w:t>
      </w:r>
      <w:r>
        <w:rPr>
          <w:rFonts w:ascii="Calibri" w:hAnsi="Calibri"/>
          <w:color w:val="auto"/>
          <w:sz w:val="24"/>
          <w:highlight w:val="none"/>
        </w:rPr>
        <w:t>,</w:t>
      </w:r>
      <w:r>
        <w:rPr>
          <w:rFonts w:hint="eastAsia" w:ascii="Calibri" w:hAnsi="Calibri"/>
          <w:color w:val="auto"/>
          <w:sz w:val="24"/>
          <w:highlight w:val="none"/>
        </w:rPr>
        <w:t>执行监理人有关安全工作的指示</w:t>
      </w:r>
      <w:r>
        <w:rPr>
          <w:rFonts w:ascii="Calibri" w:hAnsi="Calibri"/>
          <w:color w:val="auto"/>
          <w:sz w:val="24"/>
          <w:highlight w:val="none"/>
        </w:rPr>
        <w:t>,</w:t>
      </w:r>
      <w:r>
        <w:rPr>
          <w:rFonts w:hint="eastAsia" w:ascii="Calibri" w:hAnsi="Calibri"/>
          <w:color w:val="auto"/>
          <w:sz w:val="24"/>
          <w:highlight w:val="none"/>
        </w:rPr>
        <w:t>并在专用合同条款约定的期限内，按合同约定的安全工作内容，编制施工安全措施计划报送监理人审批。</w:t>
      </w:r>
    </w:p>
    <w:p w14:paraId="4CCAA74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9.2.2 </w:t>
      </w:r>
      <w:r>
        <w:rPr>
          <w:rFonts w:hint="eastAsia" w:ascii="Calibri" w:hAnsi="Calibri"/>
          <w:color w:val="auto"/>
          <w:sz w:val="24"/>
          <w:highlight w:val="none"/>
        </w:rPr>
        <w:t>承包人应加强施工作业安全管理，特别应加强易燃、易爆材料、火工器材、有毒与腐蚀性材料和其他危险品的管理，以及对爆破作业和地下工程施工等危险作业的管理。</w:t>
      </w:r>
    </w:p>
    <w:p w14:paraId="6769D0C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9.2.3 </w:t>
      </w:r>
      <w:r>
        <w:rPr>
          <w:rFonts w:hint="eastAsia" w:ascii="Calibri" w:hAnsi="Calibri"/>
          <w:color w:val="auto"/>
          <w:sz w:val="24"/>
          <w:highlight w:val="none"/>
        </w:rPr>
        <w:t>承包人应严格按照国家安全标准制定施工安全操作规程，配备必要的安全生产和劳动保护设施，加强对承包人人员的安全教育，并发放安全工作手册和劳动保护用具。</w:t>
      </w:r>
    </w:p>
    <w:p w14:paraId="5DEDCAD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9.2.4 </w:t>
      </w:r>
      <w:r>
        <w:rPr>
          <w:rFonts w:hint="eastAsia" w:ascii="Calibri" w:hAnsi="Calibri"/>
          <w:color w:val="auto"/>
          <w:sz w:val="24"/>
          <w:highlight w:val="none"/>
        </w:rPr>
        <w:t>承包人应按监理人的指示制定应对灾害的紧急预案，报送监理人审批。承包人还应按预案做好安全检查，配置必要的救助物资和器材，切实保护好有关人员的人身和财产安全。</w:t>
      </w:r>
    </w:p>
    <w:p w14:paraId="4EFB389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9.2.5 </w:t>
      </w:r>
      <w:r>
        <w:rPr>
          <w:rFonts w:hint="eastAsia" w:ascii="Calibri" w:hAnsi="Calibri"/>
          <w:color w:val="auto"/>
          <w:sz w:val="24"/>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Calibri" w:hAnsi="Calibri"/>
          <w:color w:val="auto"/>
          <w:sz w:val="24"/>
          <w:highlight w:val="none"/>
        </w:rPr>
        <w:t>3.5</w:t>
      </w:r>
      <w:r>
        <w:rPr>
          <w:rFonts w:hint="eastAsia" w:ascii="Calibri" w:hAnsi="Calibri"/>
          <w:color w:val="auto"/>
          <w:sz w:val="24"/>
          <w:highlight w:val="none"/>
        </w:rPr>
        <w:t>款商定或确定。</w:t>
      </w:r>
    </w:p>
    <w:p w14:paraId="7673531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9.2.6 </w:t>
      </w:r>
      <w:r>
        <w:rPr>
          <w:rFonts w:hint="eastAsia" w:ascii="Calibri" w:hAnsi="Calibri"/>
          <w:color w:val="auto"/>
          <w:sz w:val="24"/>
          <w:highlight w:val="none"/>
        </w:rPr>
        <w:t>承包人应对其履行合同所雇佣的全部人员，包括分包人人员的工伤事故承担责任，但由于发包人原因造成承包人人员工伤事故的，应由发包人承担责任。</w:t>
      </w:r>
    </w:p>
    <w:p w14:paraId="24D949F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9.2.7 </w:t>
      </w:r>
      <w:r>
        <w:rPr>
          <w:rFonts w:hint="eastAsia" w:ascii="Calibri" w:hAnsi="Calibri"/>
          <w:color w:val="auto"/>
          <w:sz w:val="24"/>
          <w:highlight w:val="none"/>
        </w:rPr>
        <w:t>由于承包人原因在施工场地内及其毗邻地带造成的第三者人员伤亡和财产损失，由承包人负责赔偿。</w:t>
      </w:r>
    </w:p>
    <w:p w14:paraId="4E1DB9A2">
      <w:pPr>
        <w:keepNext/>
        <w:keepLines/>
        <w:spacing w:line="400" w:lineRule="exact"/>
        <w:outlineLvl w:val="2"/>
        <w:rPr>
          <w:rFonts w:ascii="Calibri" w:hAnsi="Calibri" w:eastAsia="黑体" w:cs="宋体"/>
          <w:color w:val="auto"/>
          <w:sz w:val="24"/>
          <w:highlight w:val="none"/>
        </w:rPr>
      </w:pPr>
      <w:bookmarkStart w:id="478" w:name="_Toc29392"/>
      <w:bookmarkStart w:id="479" w:name="_Toc179632694"/>
      <w:bookmarkStart w:id="480" w:name="_Toc275242287"/>
      <w:bookmarkStart w:id="481" w:name="_Toc144974644"/>
      <w:bookmarkStart w:id="482" w:name="_Toc152042454"/>
      <w:bookmarkStart w:id="483" w:name="_Toc152045676"/>
      <w:r>
        <w:rPr>
          <w:rFonts w:ascii="Calibri" w:hAnsi="Calibri" w:eastAsia="黑体" w:cs="宋体"/>
          <w:color w:val="auto"/>
          <w:sz w:val="24"/>
          <w:highlight w:val="none"/>
        </w:rPr>
        <w:t xml:space="preserve">9.3 </w:t>
      </w:r>
      <w:r>
        <w:rPr>
          <w:rFonts w:hint="eastAsia" w:ascii="Calibri" w:hAnsi="Calibri" w:eastAsia="黑体" w:cs="宋体"/>
          <w:color w:val="auto"/>
          <w:sz w:val="24"/>
          <w:highlight w:val="none"/>
        </w:rPr>
        <w:t>治安保卫</w:t>
      </w:r>
      <w:bookmarkEnd w:id="478"/>
      <w:bookmarkEnd w:id="479"/>
      <w:bookmarkEnd w:id="480"/>
      <w:bookmarkEnd w:id="481"/>
      <w:bookmarkEnd w:id="482"/>
      <w:bookmarkEnd w:id="483"/>
    </w:p>
    <w:p w14:paraId="0B7EA59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9.3.1 </w:t>
      </w:r>
      <w:r>
        <w:rPr>
          <w:rFonts w:hint="eastAsia" w:ascii="Calibri" w:hAnsi="Calibri"/>
          <w:color w:val="auto"/>
          <w:sz w:val="24"/>
          <w:highlight w:val="none"/>
        </w:rPr>
        <w:t>除合同另有约定外，发包人应与当地公安部门协商，在现场建立治安管理机构或联防组织，统一管理施工场地的治安保卫事项，履行合同工程的治安保卫职责。</w:t>
      </w:r>
    </w:p>
    <w:p w14:paraId="33886EC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9.3.2 </w:t>
      </w:r>
      <w:r>
        <w:rPr>
          <w:rFonts w:hint="eastAsia" w:ascii="Calibri" w:hAnsi="Calibri"/>
          <w:color w:val="auto"/>
          <w:sz w:val="24"/>
          <w:highlight w:val="none"/>
        </w:rPr>
        <w:t>发包人和承包人除应协助现场治安管理机构或联防组织维护施工场地的社会治安外，还应做好包括生活区在内的各自管辖区的治安保卫工作。</w:t>
      </w:r>
    </w:p>
    <w:p w14:paraId="6B0208B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9.3.3 </w:t>
      </w:r>
      <w:r>
        <w:rPr>
          <w:rFonts w:hint="eastAsia" w:ascii="Calibri" w:hAnsi="Calibri"/>
          <w:color w:val="auto"/>
          <w:sz w:val="24"/>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A659EA6">
      <w:pPr>
        <w:keepNext/>
        <w:keepLines/>
        <w:spacing w:line="400" w:lineRule="exact"/>
        <w:outlineLvl w:val="2"/>
        <w:rPr>
          <w:rFonts w:ascii="Calibri" w:hAnsi="Calibri" w:eastAsia="黑体" w:cs="宋体"/>
          <w:color w:val="auto"/>
          <w:sz w:val="24"/>
          <w:highlight w:val="none"/>
        </w:rPr>
      </w:pPr>
      <w:bookmarkStart w:id="484" w:name="_Toc144974645"/>
      <w:bookmarkStart w:id="485" w:name="_Toc275242288"/>
      <w:bookmarkStart w:id="486" w:name="_Toc152042455"/>
      <w:bookmarkStart w:id="487" w:name="_Toc179632695"/>
      <w:bookmarkStart w:id="488" w:name="_Toc28266"/>
      <w:bookmarkStart w:id="489" w:name="_Toc152045677"/>
      <w:r>
        <w:rPr>
          <w:rFonts w:ascii="Calibri" w:hAnsi="Calibri" w:eastAsia="黑体" w:cs="宋体"/>
          <w:color w:val="auto"/>
          <w:sz w:val="24"/>
          <w:highlight w:val="none"/>
        </w:rPr>
        <w:t xml:space="preserve">9.4 </w:t>
      </w:r>
      <w:r>
        <w:rPr>
          <w:rFonts w:hint="eastAsia" w:ascii="Calibri" w:hAnsi="Calibri" w:eastAsia="黑体" w:cs="宋体"/>
          <w:color w:val="auto"/>
          <w:sz w:val="24"/>
          <w:highlight w:val="none"/>
        </w:rPr>
        <w:t>环境保护</w:t>
      </w:r>
      <w:bookmarkEnd w:id="484"/>
      <w:bookmarkEnd w:id="485"/>
      <w:bookmarkEnd w:id="486"/>
      <w:bookmarkEnd w:id="487"/>
      <w:bookmarkEnd w:id="488"/>
      <w:bookmarkEnd w:id="489"/>
    </w:p>
    <w:p w14:paraId="0776758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9.4.1 </w:t>
      </w:r>
      <w:r>
        <w:rPr>
          <w:rFonts w:hint="eastAsia" w:ascii="Calibri" w:hAnsi="Calibri"/>
          <w:color w:val="auto"/>
          <w:sz w:val="24"/>
          <w:highlight w:val="none"/>
        </w:rPr>
        <w:t>承包人在施工过程中，应遵守有关环境保护的法律，履行合同约定的环境保护义务，并对违反法律和合同约定义务所造成的环境破坏、人身伤害和财产损失负责。</w:t>
      </w:r>
    </w:p>
    <w:p w14:paraId="2247A82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9.4.2 </w:t>
      </w:r>
      <w:r>
        <w:rPr>
          <w:rFonts w:hint="eastAsia" w:ascii="Calibri" w:hAnsi="Calibri"/>
          <w:color w:val="auto"/>
          <w:sz w:val="24"/>
          <w:highlight w:val="none"/>
        </w:rPr>
        <w:t>承包人应按合同约定的环保工作内容，编制施工环保措施计划，报送监理人审批。</w:t>
      </w:r>
    </w:p>
    <w:p w14:paraId="58664A3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9.4.3 </w:t>
      </w:r>
      <w:r>
        <w:rPr>
          <w:rFonts w:hint="eastAsia" w:ascii="Calibri" w:hAnsi="Calibri"/>
          <w:color w:val="auto"/>
          <w:sz w:val="24"/>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F383DA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9.4.4 </w:t>
      </w:r>
      <w:r>
        <w:rPr>
          <w:rFonts w:hint="eastAsia" w:ascii="Calibri" w:hAnsi="Calibri"/>
          <w:color w:val="auto"/>
          <w:sz w:val="24"/>
          <w:highlight w:val="none"/>
        </w:rPr>
        <w:t>承包人应按合同约定采取有效措施，对施工开挖的边坡及时进行支护</w:t>
      </w:r>
      <w:r>
        <w:rPr>
          <w:rFonts w:ascii="Calibri" w:hAnsi="Calibri"/>
          <w:color w:val="auto"/>
          <w:sz w:val="24"/>
          <w:highlight w:val="none"/>
        </w:rPr>
        <w:t>,</w:t>
      </w:r>
      <w:r>
        <w:rPr>
          <w:rFonts w:hint="eastAsia" w:ascii="Calibri" w:hAnsi="Calibri"/>
          <w:color w:val="auto"/>
          <w:sz w:val="24"/>
          <w:highlight w:val="none"/>
        </w:rPr>
        <w:t>维护排水设施，并进行水土保护，避免因施工造成的地质灾害。</w:t>
      </w:r>
    </w:p>
    <w:p w14:paraId="771FDFA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9.4.5 </w:t>
      </w:r>
      <w:r>
        <w:rPr>
          <w:rFonts w:hint="eastAsia" w:ascii="Calibri" w:hAnsi="Calibri"/>
          <w:color w:val="auto"/>
          <w:sz w:val="24"/>
          <w:highlight w:val="none"/>
        </w:rPr>
        <w:t>承包人应按国家饮用水管理标准定期对饮用水源进行监测，防止施工活动污染饮用水源。</w:t>
      </w:r>
    </w:p>
    <w:p w14:paraId="31CCD6A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9.4.6 </w:t>
      </w:r>
      <w:r>
        <w:rPr>
          <w:rFonts w:hint="eastAsia" w:ascii="Calibri" w:hAnsi="Calibri"/>
          <w:color w:val="auto"/>
          <w:sz w:val="24"/>
          <w:highlight w:val="none"/>
        </w:rPr>
        <w:t>承包人应按合同约定，加强对噪声、粉尘、废气、废水和废油的控制，努力降低噪声，控制粉尘和废气浓度，做好废水和废油的治理和排放。</w:t>
      </w:r>
    </w:p>
    <w:p w14:paraId="455069D9">
      <w:pPr>
        <w:keepNext/>
        <w:keepLines/>
        <w:spacing w:line="400" w:lineRule="exact"/>
        <w:outlineLvl w:val="2"/>
        <w:rPr>
          <w:rFonts w:ascii="Calibri" w:hAnsi="Calibri" w:eastAsia="黑体" w:cs="宋体"/>
          <w:color w:val="auto"/>
          <w:sz w:val="24"/>
          <w:highlight w:val="none"/>
        </w:rPr>
      </w:pPr>
      <w:bookmarkStart w:id="490" w:name="_Toc275242289"/>
      <w:bookmarkStart w:id="491" w:name="_Toc152045678"/>
      <w:bookmarkStart w:id="492" w:name="_Toc144974646"/>
      <w:bookmarkStart w:id="493" w:name="_Toc152042456"/>
      <w:bookmarkStart w:id="494" w:name="_Toc12968"/>
      <w:bookmarkStart w:id="495" w:name="_Toc179632696"/>
      <w:r>
        <w:rPr>
          <w:rFonts w:ascii="Calibri" w:hAnsi="Calibri" w:eastAsia="黑体" w:cs="宋体"/>
          <w:color w:val="auto"/>
          <w:sz w:val="24"/>
          <w:highlight w:val="none"/>
        </w:rPr>
        <w:t xml:space="preserve">9.5 </w:t>
      </w:r>
      <w:r>
        <w:rPr>
          <w:rFonts w:hint="eastAsia" w:ascii="Calibri" w:hAnsi="Calibri" w:eastAsia="黑体" w:cs="宋体"/>
          <w:color w:val="auto"/>
          <w:sz w:val="24"/>
          <w:highlight w:val="none"/>
        </w:rPr>
        <w:t>事故处理</w:t>
      </w:r>
      <w:bookmarkEnd w:id="490"/>
      <w:bookmarkEnd w:id="491"/>
      <w:bookmarkEnd w:id="492"/>
      <w:bookmarkEnd w:id="493"/>
      <w:bookmarkEnd w:id="494"/>
      <w:bookmarkEnd w:id="495"/>
    </w:p>
    <w:p w14:paraId="0948F18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858367">
      <w:pPr>
        <w:keepNext/>
        <w:keepLines/>
        <w:spacing w:line="400" w:lineRule="exact"/>
        <w:outlineLvl w:val="1"/>
        <w:rPr>
          <w:rFonts w:eastAsia="黑体" w:cs="宋体"/>
          <w:color w:val="auto"/>
          <w:sz w:val="24"/>
          <w:highlight w:val="none"/>
        </w:rPr>
      </w:pPr>
      <w:bookmarkStart w:id="496" w:name="_Toc7482"/>
      <w:bookmarkStart w:id="497" w:name="_Toc152042457"/>
      <w:bookmarkStart w:id="498" w:name="_Toc275242290"/>
      <w:bookmarkStart w:id="499" w:name="_Toc152045679"/>
      <w:bookmarkStart w:id="500" w:name="_Toc179632697"/>
      <w:bookmarkStart w:id="501" w:name="_Toc144974647"/>
      <w:r>
        <w:rPr>
          <w:rFonts w:eastAsia="黑体" w:cs="宋体"/>
          <w:color w:val="auto"/>
          <w:sz w:val="24"/>
          <w:highlight w:val="none"/>
        </w:rPr>
        <w:t xml:space="preserve">10. </w:t>
      </w:r>
      <w:r>
        <w:rPr>
          <w:rFonts w:hint="eastAsia" w:eastAsia="黑体" w:cs="宋体"/>
          <w:color w:val="auto"/>
          <w:sz w:val="24"/>
          <w:highlight w:val="none"/>
        </w:rPr>
        <w:t>进度计划</w:t>
      </w:r>
      <w:bookmarkEnd w:id="496"/>
      <w:bookmarkEnd w:id="497"/>
      <w:bookmarkEnd w:id="498"/>
      <w:bookmarkEnd w:id="499"/>
      <w:bookmarkEnd w:id="500"/>
      <w:bookmarkEnd w:id="501"/>
    </w:p>
    <w:p w14:paraId="0DD29D05">
      <w:pPr>
        <w:keepNext/>
        <w:keepLines/>
        <w:spacing w:line="400" w:lineRule="exact"/>
        <w:outlineLvl w:val="2"/>
        <w:rPr>
          <w:rFonts w:ascii="Calibri" w:hAnsi="Calibri" w:eastAsia="黑体" w:cs="宋体"/>
          <w:color w:val="auto"/>
          <w:sz w:val="24"/>
          <w:highlight w:val="none"/>
        </w:rPr>
      </w:pPr>
      <w:bookmarkStart w:id="502" w:name="_Toc152045680"/>
      <w:bookmarkStart w:id="503" w:name="_Toc144974648"/>
      <w:bookmarkStart w:id="504" w:name="_Toc25171"/>
      <w:bookmarkStart w:id="505" w:name="_Toc275242291"/>
      <w:bookmarkStart w:id="506" w:name="_Toc152042458"/>
      <w:bookmarkStart w:id="507" w:name="_Toc179632698"/>
      <w:r>
        <w:rPr>
          <w:rFonts w:ascii="Calibri" w:hAnsi="Calibri" w:eastAsia="黑体" w:cs="宋体"/>
          <w:color w:val="auto"/>
          <w:sz w:val="24"/>
          <w:highlight w:val="none"/>
        </w:rPr>
        <w:t xml:space="preserve">10.1 </w:t>
      </w:r>
      <w:r>
        <w:rPr>
          <w:rFonts w:hint="eastAsia" w:ascii="Calibri" w:hAnsi="Calibri" w:eastAsia="黑体" w:cs="宋体"/>
          <w:color w:val="auto"/>
          <w:sz w:val="24"/>
          <w:highlight w:val="none"/>
        </w:rPr>
        <w:t>合同进度计划</w:t>
      </w:r>
      <w:bookmarkEnd w:id="502"/>
      <w:bookmarkEnd w:id="503"/>
      <w:bookmarkEnd w:id="504"/>
      <w:bookmarkEnd w:id="505"/>
      <w:bookmarkEnd w:id="506"/>
      <w:bookmarkEnd w:id="507"/>
    </w:p>
    <w:p w14:paraId="3DF38CCE">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6A63ADE2">
      <w:pPr>
        <w:keepNext/>
        <w:keepLines/>
        <w:spacing w:line="400" w:lineRule="exact"/>
        <w:outlineLvl w:val="2"/>
        <w:rPr>
          <w:rFonts w:ascii="Calibri" w:hAnsi="Calibri" w:eastAsia="黑体" w:cs="宋体"/>
          <w:color w:val="auto"/>
          <w:sz w:val="24"/>
          <w:highlight w:val="none"/>
        </w:rPr>
      </w:pPr>
      <w:bookmarkStart w:id="508" w:name="_Toc144974649"/>
      <w:bookmarkStart w:id="509" w:name="_Toc179632699"/>
      <w:bookmarkStart w:id="510" w:name="_Toc17546"/>
      <w:bookmarkStart w:id="511" w:name="_Toc275242292"/>
      <w:bookmarkStart w:id="512" w:name="_Toc152042459"/>
      <w:bookmarkStart w:id="513" w:name="_Toc152045681"/>
      <w:r>
        <w:rPr>
          <w:rFonts w:ascii="Calibri" w:hAnsi="Calibri" w:eastAsia="黑体" w:cs="宋体"/>
          <w:color w:val="auto"/>
          <w:sz w:val="24"/>
          <w:highlight w:val="none"/>
        </w:rPr>
        <w:t xml:space="preserve">10.2 </w:t>
      </w:r>
      <w:r>
        <w:rPr>
          <w:rFonts w:hint="eastAsia" w:ascii="Calibri" w:hAnsi="Calibri" w:eastAsia="黑体" w:cs="宋体"/>
          <w:color w:val="auto"/>
          <w:sz w:val="24"/>
          <w:highlight w:val="none"/>
        </w:rPr>
        <w:t>合同进度计划的修订</w:t>
      </w:r>
      <w:bookmarkEnd w:id="508"/>
      <w:bookmarkEnd w:id="509"/>
      <w:bookmarkEnd w:id="510"/>
      <w:bookmarkEnd w:id="511"/>
      <w:bookmarkEnd w:id="512"/>
      <w:bookmarkEnd w:id="513"/>
    </w:p>
    <w:p w14:paraId="4D333C5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不论何种原因造成工程的实际进度与第</w:t>
      </w:r>
      <w:r>
        <w:rPr>
          <w:rFonts w:ascii="Calibri" w:hAnsi="Calibri"/>
          <w:color w:val="auto"/>
          <w:sz w:val="24"/>
          <w:highlight w:val="none"/>
        </w:rPr>
        <w:t>10.1</w:t>
      </w:r>
      <w:r>
        <w:rPr>
          <w:rFonts w:hint="eastAsia" w:ascii="Calibri" w:hAnsi="Calibri"/>
          <w:color w:val="auto"/>
          <w:sz w:val="24"/>
          <w:highlight w:val="none"/>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88A1269">
      <w:pPr>
        <w:keepNext/>
        <w:keepLines/>
        <w:spacing w:line="400" w:lineRule="exact"/>
        <w:outlineLvl w:val="1"/>
        <w:rPr>
          <w:rFonts w:eastAsia="黑体" w:cs="宋体"/>
          <w:color w:val="auto"/>
          <w:sz w:val="24"/>
          <w:highlight w:val="none"/>
        </w:rPr>
      </w:pPr>
      <w:bookmarkStart w:id="514" w:name="_Toc2446"/>
      <w:bookmarkStart w:id="515" w:name="_Toc275242293"/>
      <w:bookmarkStart w:id="516" w:name="_Toc152042460"/>
      <w:bookmarkStart w:id="517" w:name="_Toc179632700"/>
      <w:bookmarkStart w:id="518" w:name="_Toc144974650"/>
      <w:bookmarkStart w:id="519" w:name="_Toc152045682"/>
      <w:r>
        <w:rPr>
          <w:rFonts w:eastAsia="黑体" w:cs="宋体"/>
          <w:color w:val="auto"/>
          <w:sz w:val="24"/>
          <w:highlight w:val="none"/>
        </w:rPr>
        <w:t xml:space="preserve">11. </w:t>
      </w:r>
      <w:r>
        <w:rPr>
          <w:rFonts w:hint="eastAsia" w:eastAsia="黑体" w:cs="宋体"/>
          <w:color w:val="auto"/>
          <w:sz w:val="24"/>
          <w:highlight w:val="none"/>
        </w:rPr>
        <w:t>开工和竣工</w:t>
      </w:r>
      <w:bookmarkEnd w:id="514"/>
      <w:bookmarkEnd w:id="515"/>
      <w:bookmarkEnd w:id="516"/>
      <w:bookmarkEnd w:id="517"/>
      <w:bookmarkEnd w:id="518"/>
      <w:bookmarkEnd w:id="519"/>
    </w:p>
    <w:p w14:paraId="5D914A90">
      <w:pPr>
        <w:keepNext/>
        <w:keepLines/>
        <w:spacing w:line="400" w:lineRule="exact"/>
        <w:outlineLvl w:val="2"/>
        <w:rPr>
          <w:rFonts w:ascii="Calibri" w:hAnsi="Calibri" w:eastAsia="黑体" w:cs="宋体"/>
          <w:color w:val="auto"/>
          <w:sz w:val="24"/>
          <w:highlight w:val="none"/>
        </w:rPr>
      </w:pPr>
      <w:bookmarkStart w:id="520" w:name="_Toc179632701"/>
      <w:bookmarkStart w:id="521" w:name="_Toc144974651"/>
      <w:bookmarkStart w:id="522" w:name="_Toc152042461"/>
      <w:bookmarkStart w:id="523" w:name="_Toc14072"/>
      <w:bookmarkStart w:id="524" w:name="_Toc152045683"/>
      <w:bookmarkStart w:id="525" w:name="_Toc275242294"/>
      <w:r>
        <w:rPr>
          <w:rFonts w:ascii="Calibri" w:hAnsi="Calibri" w:eastAsia="黑体" w:cs="宋体"/>
          <w:color w:val="auto"/>
          <w:sz w:val="24"/>
          <w:highlight w:val="none"/>
        </w:rPr>
        <w:t xml:space="preserve">11.1 </w:t>
      </w:r>
      <w:r>
        <w:rPr>
          <w:rFonts w:hint="eastAsia" w:ascii="Calibri" w:hAnsi="Calibri" w:eastAsia="黑体" w:cs="宋体"/>
          <w:color w:val="auto"/>
          <w:sz w:val="24"/>
          <w:highlight w:val="none"/>
        </w:rPr>
        <w:t>开工</w:t>
      </w:r>
      <w:bookmarkEnd w:id="520"/>
      <w:bookmarkEnd w:id="521"/>
      <w:bookmarkEnd w:id="522"/>
      <w:bookmarkEnd w:id="523"/>
      <w:bookmarkEnd w:id="524"/>
      <w:bookmarkEnd w:id="525"/>
    </w:p>
    <w:p w14:paraId="31FF381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11.1.1 </w:t>
      </w:r>
      <w:r>
        <w:rPr>
          <w:rFonts w:hint="eastAsia" w:ascii="Calibri" w:hAnsi="Calibri"/>
          <w:color w:val="auto"/>
          <w:sz w:val="24"/>
          <w:highlight w:val="none"/>
        </w:rPr>
        <w:t>监理人应在开工日期</w:t>
      </w:r>
      <w:r>
        <w:rPr>
          <w:rFonts w:ascii="Calibri" w:hAnsi="Calibri"/>
          <w:color w:val="auto"/>
          <w:sz w:val="24"/>
          <w:highlight w:val="none"/>
        </w:rPr>
        <w:t>7</w:t>
      </w:r>
      <w:r>
        <w:rPr>
          <w:rFonts w:hint="eastAsia" w:ascii="Calibri" w:hAnsi="Calibri"/>
          <w:color w:val="auto"/>
          <w:sz w:val="24"/>
          <w:highlight w:val="none"/>
        </w:rPr>
        <w:t>天前向承包人发出开工通知。监理人在发出开工通知前应获得发包人同意。工期自监理人发出的开工通知中载明的开工日期起计算。承包人应在开工日期后尽快施工。</w:t>
      </w:r>
    </w:p>
    <w:p w14:paraId="3CAFECD6">
      <w:pPr>
        <w:spacing w:line="400" w:lineRule="exact"/>
        <w:ind w:firstLine="480" w:firstLineChars="200"/>
        <w:rPr>
          <w:rFonts w:ascii="Calibri" w:hAnsi="Calibri"/>
          <w:color w:val="auto"/>
          <w:sz w:val="24"/>
          <w:highlight w:val="none"/>
          <w:shd w:val="pct10" w:color="auto" w:fill="FFFFFF"/>
        </w:rPr>
      </w:pPr>
      <w:r>
        <w:rPr>
          <w:rFonts w:ascii="Calibri" w:hAnsi="Calibri"/>
          <w:color w:val="auto"/>
          <w:sz w:val="24"/>
          <w:highlight w:val="none"/>
        </w:rPr>
        <w:t xml:space="preserve">11.1.2 </w:t>
      </w:r>
      <w:r>
        <w:rPr>
          <w:rFonts w:hint="eastAsia" w:ascii="Calibri" w:hAnsi="Calibri"/>
          <w:color w:val="auto"/>
          <w:sz w:val="24"/>
          <w:highlight w:val="none"/>
        </w:rPr>
        <w:t>承包人应按第</w:t>
      </w:r>
      <w:r>
        <w:rPr>
          <w:rFonts w:ascii="Calibri" w:hAnsi="Calibri"/>
          <w:color w:val="auto"/>
          <w:sz w:val="24"/>
          <w:highlight w:val="none"/>
        </w:rPr>
        <w:t>10.1</w:t>
      </w:r>
      <w:r>
        <w:rPr>
          <w:rFonts w:hint="eastAsia" w:ascii="Calibri" w:hAnsi="Calibri"/>
          <w:color w:val="auto"/>
          <w:sz w:val="24"/>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4AF519C">
      <w:pPr>
        <w:keepNext/>
        <w:keepLines/>
        <w:spacing w:line="400" w:lineRule="exact"/>
        <w:outlineLvl w:val="2"/>
        <w:rPr>
          <w:rFonts w:ascii="Calibri" w:hAnsi="Calibri" w:eastAsia="黑体" w:cs="宋体"/>
          <w:color w:val="auto"/>
          <w:sz w:val="24"/>
          <w:highlight w:val="none"/>
        </w:rPr>
      </w:pPr>
      <w:bookmarkStart w:id="526" w:name="_Toc152045684"/>
      <w:bookmarkStart w:id="527" w:name="_Toc275242295"/>
      <w:bookmarkStart w:id="528" w:name="_Toc15115"/>
      <w:bookmarkStart w:id="529" w:name="_Toc144974652"/>
      <w:bookmarkStart w:id="530" w:name="_Toc152042462"/>
      <w:bookmarkStart w:id="531" w:name="_Toc179632702"/>
      <w:r>
        <w:rPr>
          <w:rFonts w:ascii="Calibri" w:hAnsi="Calibri" w:eastAsia="黑体" w:cs="宋体"/>
          <w:color w:val="auto"/>
          <w:sz w:val="24"/>
          <w:highlight w:val="none"/>
        </w:rPr>
        <w:t xml:space="preserve">11.2 </w:t>
      </w:r>
      <w:r>
        <w:rPr>
          <w:rFonts w:hint="eastAsia" w:ascii="Calibri" w:hAnsi="Calibri" w:eastAsia="黑体" w:cs="宋体"/>
          <w:color w:val="auto"/>
          <w:sz w:val="24"/>
          <w:highlight w:val="none"/>
        </w:rPr>
        <w:t>竣工</w:t>
      </w:r>
      <w:bookmarkEnd w:id="526"/>
      <w:bookmarkEnd w:id="527"/>
      <w:bookmarkEnd w:id="528"/>
      <w:bookmarkEnd w:id="529"/>
      <w:bookmarkEnd w:id="530"/>
      <w:bookmarkEnd w:id="531"/>
    </w:p>
    <w:p w14:paraId="57A6146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承包人应在第</w:t>
      </w:r>
      <w:r>
        <w:rPr>
          <w:rFonts w:ascii="Calibri" w:hAnsi="Calibri"/>
          <w:color w:val="auto"/>
          <w:sz w:val="24"/>
          <w:highlight w:val="none"/>
        </w:rPr>
        <w:t>1.1.4.3</w:t>
      </w:r>
      <w:r>
        <w:rPr>
          <w:rFonts w:hint="eastAsia" w:ascii="Calibri" w:hAnsi="Calibri"/>
          <w:color w:val="auto"/>
          <w:sz w:val="24"/>
          <w:highlight w:val="none"/>
        </w:rPr>
        <w:t>目约定的期限内完成合同工程。实际竣工日期在接收证书中写明。</w:t>
      </w:r>
    </w:p>
    <w:p w14:paraId="4E008A1B">
      <w:pPr>
        <w:keepNext/>
        <w:keepLines/>
        <w:spacing w:line="400" w:lineRule="exact"/>
        <w:outlineLvl w:val="2"/>
        <w:rPr>
          <w:rFonts w:ascii="Calibri" w:hAnsi="Calibri" w:eastAsia="黑体" w:cs="宋体"/>
          <w:color w:val="auto"/>
          <w:sz w:val="24"/>
          <w:highlight w:val="none"/>
        </w:rPr>
      </w:pPr>
      <w:bookmarkStart w:id="532" w:name="_Toc152045685"/>
      <w:bookmarkStart w:id="533" w:name="_Toc152042463"/>
      <w:bookmarkStart w:id="534" w:name="_Toc144974653"/>
      <w:bookmarkStart w:id="535" w:name="_Toc179632703"/>
      <w:bookmarkStart w:id="536" w:name="_Toc17614"/>
      <w:bookmarkStart w:id="537" w:name="_Toc275242296"/>
      <w:r>
        <w:rPr>
          <w:rFonts w:ascii="Calibri" w:hAnsi="Calibri" w:eastAsia="黑体" w:cs="宋体"/>
          <w:color w:val="auto"/>
          <w:sz w:val="24"/>
          <w:highlight w:val="none"/>
        </w:rPr>
        <w:t xml:space="preserve">11.3 </w:t>
      </w:r>
      <w:r>
        <w:rPr>
          <w:rFonts w:hint="eastAsia" w:ascii="Calibri" w:hAnsi="Calibri" w:eastAsia="黑体" w:cs="宋体"/>
          <w:color w:val="auto"/>
          <w:sz w:val="24"/>
          <w:highlight w:val="none"/>
        </w:rPr>
        <w:t>发包人的工期延误</w:t>
      </w:r>
      <w:bookmarkEnd w:id="532"/>
      <w:bookmarkEnd w:id="533"/>
      <w:bookmarkEnd w:id="534"/>
      <w:bookmarkEnd w:id="535"/>
      <w:bookmarkEnd w:id="536"/>
      <w:bookmarkEnd w:id="537"/>
    </w:p>
    <w:p w14:paraId="2EA700A5">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在履行合同过程中，由于发包人的下列原因造成工期延误的，承包人有权要求发包人延长工期和（或）增加费用，并支付合理利润。需要修订合同进度计划的，按照第</w:t>
      </w:r>
      <w:r>
        <w:rPr>
          <w:rFonts w:ascii="Calibri" w:hAnsi="Calibri"/>
          <w:color w:val="auto"/>
          <w:sz w:val="24"/>
          <w:highlight w:val="none"/>
        </w:rPr>
        <w:t>10.2</w:t>
      </w:r>
      <w:r>
        <w:rPr>
          <w:rFonts w:hint="eastAsia" w:ascii="Calibri" w:hAnsi="Calibri"/>
          <w:color w:val="auto"/>
          <w:sz w:val="24"/>
          <w:highlight w:val="none"/>
        </w:rPr>
        <w:t>款的约定办理。</w:t>
      </w:r>
    </w:p>
    <w:p w14:paraId="42E0FFA5">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）增加合同工作内容；</w:t>
      </w:r>
    </w:p>
    <w:p w14:paraId="25DAE420">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）改变合同中任何一项工作的质量要求或其他特性；</w:t>
      </w:r>
    </w:p>
    <w:p w14:paraId="0DAE9C96">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）发包人迟延提供材料、工程设备或变更交货地点的；</w:t>
      </w:r>
    </w:p>
    <w:p w14:paraId="41E26A9B">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）因发包人原因导致的暂停施工；</w:t>
      </w:r>
    </w:p>
    <w:p w14:paraId="3EBB5525">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）提供图纸延误；</w:t>
      </w:r>
    </w:p>
    <w:p w14:paraId="36A8B8CF">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）未按合同约定及时支付预付款、进度款；</w:t>
      </w:r>
    </w:p>
    <w:p w14:paraId="0F8DBCB6">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7</w:t>
      </w:r>
      <w:r>
        <w:rPr>
          <w:rFonts w:hint="eastAsia" w:ascii="Calibri" w:hAnsi="Calibri"/>
          <w:color w:val="auto"/>
          <w:sz w:val="24"/>
          <w:highlight w:val="none"/>
        </w:rPr>
        <w:t>）发包人造成工期延误的其他原因。</w:t>
      </w:r>
    </w:p>
    <w:p w14:paraId="426F98A0">
      <w:pPr>
        <w:keepNext/>
        <w:keepLines/>
        <w:spacing w:line="400" w:lineRule="exact"/>
        <w:outlineLvl w:val="2"/>
        <w:rPr>
          <w:rFonts w:ascii="Calibri" w:hAnsi="Calibri" w:eastAsia="黑体" w:cs="宋体"/>
          <w:color w:val="auto"/>
          <w:sz w:val="24"/>
          <w:highlight w:val="none"/>
        </w:rPr>
      </w:pPr>
      <w:bookmarkStart w:id="538" w:name="_Toc152042464"/>
      <w:bookmarkStart w:id="539" w:name="_Toc152045686"/>
      <w:bookmarkStart w:id="540" w:name="_Toc179632704"/>
      <w:bookmarkStart w:id="541" w:name="_Toc144974654"/>
      <w:bookmarkStart w:id="542" w:name="_Toc275242297"/>
      <w:bookmarkStart w:id="543" w:name="_Toc29894"/>
      <w:r>
        <w:rPr>
          <w:rFonts w:ascii="Calibri" w:hAnsi="Calibri" w:eastAsia="黑体" w:cs="宋体"/>
          <w:color w:val="auto"/>
          <w:sz w:val="24"/>
          <w:highlight w:val="none"/>
        </w:rPr>
        <w:t xml:space="preserve">11.4 </w:t>
      </w:r>
      <w:r>
        <w:rPr>
          <w:rFonts w:hint="eastAsia" w:ascii="Calibri" w:hAnsi="Calibri" w:eastAsia="黑体" w:cs="宋体"/>
          <w:color w:val="auto"/>
          <w:sz w:val="24"/>
          <w:highlight w:val="none"/>
        </w:rPr>
        <w:t>异常恶劣的气候条件</w:t>
      </w:r>
      <w:bookmarkEnd w:id="538"/>
      <w:bookmarkEnd w:id="539"/>
      <w:bookmarkEnd w:id="540"/>
      <w:bookmarkEnd w:id="541"/>
      <w:bookmarkEnd w:id="542"/>
      <w:bookmarkEnd w:id="543"/>
    </w:p>
    <w:p w14:paraId="74885195">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由于出现专用合同条款规定的异常恶劣气候的条件导致工期延误的，承包人有权要求发包人延长工期。</w:t>
      </w:r>
    </w:p>
    <w:p w14:paraId="566E7E8D">
      <w:pPr>
        <w:keepNext/>
        <w:keepLines/>
        <w:spacing w:line="400" w:lineRule="exact"/>
        <w:outlineLvl w:val="2"/>
        <w:rPr>
          <w:rFonts w:ascii="Calibri" w:hAnsi="Calibri" w:eastAsia="黑体" w:cs="宋体"/>
          <w:color w:val="auto"/>
          <w:sz w:val="24"/>
          <w:highlight w:val="none"/>
        </w:rPr>
      </w:pPr>
      <w:bookmarkStart w:id="544" w:name="_Toc152045687"/>
      <w:bookmarkStart w:id="545" w:name="_Toc3976"/>
      <w:bookmarkStart w:id="546" w:name="_Toc275242298"/>
      <w:bookmarkStart w:id="547" w:name="_Toc179632705"/>
      <w:bookmarkStart w:id="548" w:name="_Toc152042465"/>
      <w:bookmarkStart w:id="549" w:name="_Toc144974655"/>
      <w:r>
        <w:rPr>
          <w:rFonts w:ascii="Calibri" w:hAnsi="Calibri" w:eastAsia="黑体" w:cs="宋体"/>
          <w:color w:val="auto"/>
          <w:sz w:val="24"/>
          <w:highlight w:val="none"/>
        </w:rPr>
        <w:t xml:space="preserve">11.5 </w:t>
      </w:r>
      <w:r>
        <w:rPr>
          <w:rFonts w:hint="eastAsia" w:ascii="Calibri" w:hAnsi="Calibri" w:eastAsia="黑体" w:cs="宋体"/>
          <w:color w:val="auto"/>
          <w:sz w:val="24"/>
          <w:highlight w:val="none"/>
        </w:rPr>
        <w:t>承包人的工期延误</w:t>
      </w:r>
      <w:bookmarkEnd w:id="544"/>
      <w:bookmarkEnd w:id="545"/>
      <w:bookmarkEnd w:id="546"/>
      <w:bookmarkEnd w:id="547"/>
      <w:bookmarkEnd w:id="548"/>
      <w:bookmarkEnd w:id="549"/>
    </w:p>
    <w:p w14:paraId="677E28F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7685D28">
      <w:pPr>
        <w:keepNext/>
        <w:keepLines/>
        <w:spacing w:line="400" w:lineRule="exact"/>
        <w:outlineLvl w:val="2"/>
        <w:rPr>
          <w:rFonts w:ascii="Calibri" w:hAnsi="Calibri" w:eastAsia="黑体" w:cs="宋体"/>
          <w:color w:val="auto"/>
          <w:sz w:val="24"/>
          <w:highlight w:val="none"/>
        </w:rPr>
      </w:pPr>
      <w:bookmarkStart w:id="550" w:name="_Toc144974656"/>
      <w:bookmarkStart w:id="551" w:name="_Toc18417"/>
      <w:bookmarkStart w:id="552" w:name="_Toc179632706"/>
      <w:bookmarkStart w:id="553" w:name="_Toc152042466"/>
      <w:bookmarkStart w:id="554" w:name="_Toc152045688"/>
      <w:bookmarkStart w:id="555" w:name="_Toc275242299"/>
      <w:r>
        <w:rPr>
          <w:rFonts w:ascii="Calibri" w:hAnsi="Calibri" w:eastAsia="黑体" w:cs="宋体"/>
          <w:color w:val="auto"/>
          <w:sz w:val="24"/>
          <w:highlight w:val="none"/>
        </w:rPr>
        <w:t>11.6</w:t>
      </w:r>
      <w:bookmarkEnd w:id="550"/>
      <w:bookmarkStart w:id="556" w:name="_Toc144974657"/>
      <w:r>
        <w:rPr>
          <w:rFonts w:hint="eastAsia" w:ascii="Calibri" w:hAnsi="Calibri" w:eastAsia="黑体" w:cs="宋体"/>
          <w:color w:val="auto"/>
          <w:sz w:val="24"/>
          <w:highlight w:val="none"/>
        </w:rPr>
        <w:t>工期提前</w:t>
      </w:r>
      <w:bookmarkEnd w:id="551"/>
      <w:bookmarkEnd w:id="552"/>
      <w:bookmarkEnd w:id="553"/>
      <w:bookmarkEnd w:id="554"/>
      <w:bookmarkEnd w:id="555"/>
      <w:bookmarkEnd w:id="556"/>
    </w:p>
    <w:p w14:paraId="2E8FCD1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680360FF">
      <w:pPr>
        <w:keepNext/>
        <w:keepLines/>
        <w:spacing w:line="400" w:lineRule="exact"/>
        <w:outlineLvl w:val="1"/>
        <w:rPr>
          <w:rFonts w:eastAsia="黑体" w:cs="宋体"/>
          <w:color w:val="auto"/>
          <w:sz w:val="24"/>
          <w:highlight w:val="none"/>
        </w:rPr>
      </w:pPr>
      <w:bookmarkStart w:id="557" w:name="_Toc179632707"/>
      <w:bookmarkStart w:id="558" w:name="_Toc144974658"/>
      <w:bookmarkStart w:id="559" w:name="_Toc152042467"/>
      <w:bookmarkStart w:id="560" w:name="_Toc10900"/>
      <w:bookmarkStart w:id="561" w:name="_Toc275242300"/>
      <w:bookmarkStart w:id="562" w:name="_Toc152045689"/>
      <w:r>
        <w:rPr>
          <w:rFonts w:eastAsia="黑体" w:cs="宋体"/>
          <w:color w:val="auto"/>
          <w:sz w:val="24"/>
          <w:highlight w:val="none"/>
        </w:rPr>
        <w:t xml:space="preserve">12. </w:t>
      </w:r>
      <w:r>
        <w:rPr>
          <w:rFonts w:hint="eastAsia" w:eastAsia="黑体" w:cs="宋体"/>
          <w:color w:val="auto"/>
          <w:sz w:val="24"/>
          <w:highlight w:val="none"/>
        </w:rPr>
        <w:t>暂停施工</w:t>
      </w:r>
      <w:bookmarkEnd w:id="557"/>
      <w:bookmarkEnd w:id="558"/>
      <w:bookmarkEnd w:id="559"/>
      <w:bookmarkEnd w:id="560"/>
      <w:bookmarkEnd w:id="561"/>
      <w:bookmarkEnd w:id="562"/>
    </w:p>
    <w:p w14:paraId="06237CE0">
      <w:pPr>
        <w:keepNext/>
        <w:keepLines/>
        <w:spacing w:line="400" w:lineRule="exact"/>
        <w:outlineLvl w:val="2"/>
        <w:rPr>
          <w:rFonts w:ascii="Calibri" w:hAnsi="Calibri" w:eastAsia="黑体" w:cs="宋体"/>
          <w:color w:val="auto"/>
          <w:sz w:val="24"/>
          <w:highlight w:val="none"/>
        </w:rPr>
      </w:pPr>
      <w:bookmarkStart w:id="563" w:name="_Toc11586"/>
      <w:bookmarkStart w:id="564" w:name="_Toc144974659"/>
      <w:bookmarkStart w:id="565" w:name="_Toc152042468"/>
      <w:bookmarkStart w:id="566" w:name="_Toc152045690"/>
      <w:bookmarkStart w:id="567" w:name="_Toc179632708"/>
      <w:bookmarkStart w:id="568" w:name="_Toc275242301"/>
      <w:r>
        <w:rPr>
          <w:rFonts w:ascii="Calibri" w:hAnsi="Calibri" w:eastAsia="黑体" w:cs="宋体"/>
          <w:color w:val="auto"/>
          <w:sz w:val="24"/>
          <w:highlight w:val="none"/>
        </w:rPr>
        <w:t xml:space="preserve">12.1 </w:t>
      </w:r>
      <w:r>
        <w:rPr>
          <w:rFonts w:hint="eastAsia" w:ascii="Calibri" w:hAnsi="Calibri" w:eastAsia="黑体" w:cs="宋体"/>
          <w:color w:val="auto"/>
          <w:sz w:val="24"/>
          <w:highlight w:val="none"/>
        </w:rPr>
        <w:t>承包人暂停施工的责任</w:t>
      </w:r>
      <w:bookmarkEnd w:id="563"/>
      <w:bookmarkEnd w:id="564"/>
      <w:bookmarkEnd w:id="565"/>
      <w:bookmarkEnd w:id="566"/>
      <w:bookmarkEnd w:id="567"/>
      <w:bookmarkEnd w:id="568"/>
    </w:p>
    <w:p w14:paraId="78B9E100">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因下列暂停施工增加的费用和（或）工期延误由承包人承担：</w:t>
      </w:r>
    </w:p>
    <w:p w14:paraId="0595E153">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）承包人违约引起的暂停施工；</w:t>
      </w:r>
    </w:p>
    <w:p w14:paraId="1F93DDE8">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）由于承包人原因为工程合理施工和安全保障所必需的暂停施工；</w:t>
      </w:r>
    </w:p>
    <w:p w14:paraId="5CD8ABFE">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）承包人擅自暂停施工；</w:t>
      </w:r>
    </w:p>
    <w:p w14:paraId="2132AC46">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）承包人其他原因引起的暂停施工；</w:t>
      </w:r>
    </w:p>
    <w:p w14:paraId="16BDE6BC">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）专用合同条款约定由承包人承担的其他暂停施工。</w:t>
      </w:r>
    </w:p>
    <w:p w14:paraId="7495B5BC">
      <w:pPr>
        <w:keepNext/>
        <w:keepLines/>
        <w:spacing w:line="400" w:lineRule="exact"/>
        <w:outlineLvl w:val="2"/>
        <w:rPr>
          <w:rFonts w:ascii="Calibri" w:hAnsi="Calibri" w:eastAsia="黑体" w:cs="宋体"/>
          <w:color w:val="auto"/>
          <w:sz w:val="24"/>
          <w:highlight w:val="none"/>
        </w:rPr>
      </w:pPr>
      <w:bookmarkStart w:id="569" w:name="_Toc179632709"/>
      <w:bookmarkStart w:id="570" w:name="_Toc152042469"/>
      <w:bookmarkStart w:id="571" w:name="_Toc152045691"/>
      <w:bookmarkStart w:id="572" w:name="_Toc275242302"/>
      <w:bookmarkStart w:id="573" w:name="_Toc144974660"/>
      <w:bookmarkStart w:id="574" w:name="_Toc31462"/>
      <w:r>
        <w:rPr>
          <w:rFonts w:ascii="Calibri" w:hAnsi="Calibri" w:eastAsia="黑体" w:cs="宋体"/>
          <w:color w:val="auto"/>
          <w:sz w:val="24"/>
          <w:highlight w:val="none"/>
        </w:rPr>
        <w:t xml:space="preserve">12.2 </w:t>
      </w:r>
      <w:r>
        <w:rPr>
          <w:rFonts w:hint="eastAsia" w:ascii="Calibri" w:hAnsi="Calibri" w:eastAsia="黑体" w:cs="宋体"/>
          <w:color w:val="auto"/>
          <w:sz w:val="24"/>
          <w:highlight w:val="none"/>
        </w:rPr>
        <w:t>发包人暂停施工的责任</w:t>
      </w:r>
      <w:bookmarkEnd w:id="569"/>
      <w:bookmarkEnd w:id="570"/>
      <w:bookmarkEnd w:id="571"/>
      <w:bookmarkEnd w:id="572"/>
      <w:bookmarkEnd w:id="573"/>
      <w:bookmarkEnd w:id="574"/>
    </w:p>
    <w:p w14:paraId="21108CB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由于发包人原因引起的暂停施工造成工期延误的，承包人有权要求发包人延长工期和（或）增加费用，并支付合理利润。</w:t>
      </w:r>
    </w:p>
    <w:p w14:paraId="157EDC06">
      <w:pPr>
        <w:keepNext/>
        <w:keepLines/>
        <w:spacing w:line="400" w:lineRule="exact"/>
        <w:outlineLvl w:val="2"/>
        <w:rPr>
          <w:rFonts w:ascii="Calibri" w:hAnsi="Calibri" w:eastAsia="黑体" w:cs="宋体"/>
          <w:color w:val="auto"/>
          <w:sz w:val="24"/>
          <w:highlight w:val="none"/>
        </w:rPr>
      </w:pPr>
      <w:bookmarkStart w:id="575" w:name="_Toc20644"/>
      <w:bookmarkStart w:id="576" w:name="_Toc152045692"/>
      <w:bookmarkStart w:id="577" w:name="_Toc275242303"/>
      <w:bookmarkStart w:id="578" w:name="_Toc179632710"/>
      <w:bookmarkStart w:id="579" w:name="_Toc152042470"/>
      <w:bookmarkStart w:id="580" w:name="_Toc144974661"/>
      <w:r>
        <w:rPr>
          <w:rFonts w:ascii="Calibri" w:hAnsi="Calibri" w:eastAsia="黑体" w:cs="宋体"/>
          <w:color w:val="auto"/>
          <w:sz w:val="24"/>
          <w:highlight w:val="none"/>
        </w:rPr>
        <w:t xml:space="preserve">12.3 </w:t>
      </w:r>
      <w:r>
        <w:rPr>
          <w:rFonts w:hint="eastAsia" w:ascii="Calibri" w:hAnsi="Calibri" w:eastAsia="黑体" w:cs="宋体"/>
          <w:color w:val="auto"/>
          <w:sz w:val="24"/>
          <w:highlight w:val="none"/>
        </w:rPr>
        <w:t>监理人暂停施工指示</w:t>
      </w:r>
      <w:bookmarkEnd w:id="575"/>
      <w:bookmarkEnd w:id="576"/>
      <w:bookmarkEnd w:id="577"/>
      <w:bookmarkEnd w:id="578"/>
      <w:bookmarkEnd w:id="579"/>
      <w:bookmarkEnd w:id="580"/>
    </w:p>
    <w:p w14:paraId="6DF670E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12.3.1 </w:t>
      </w:r>
      <w:r>
        <w:rPr>
          <w:rFonts w:hint="eastAsia" w:ascii="Calibri" w:hAnsi="Calibri"/>
          <w:color w:val="auto"/>
          <w:sz w:val="24"/>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19AA624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12.3.2 </w:t>
      </w:r>
      <w:r>
        <w:rPr>
          <w:rFonts w:hint="eastAsia" w:ascii="Calibri" w:hAnsi="Calibri"/>
          <w:color w:val="auto"/>
          <w:sz w:val="24"/>
          <w:highlight w:val="none"/>
        </w:rPr>
        <w:t>由于发包人的原因发生暂停施工的紧急情况，且监理人未及时下达暂停施工指示的，承包人可先暂停施工，并及时向监理人提出暂停施工的书面请求。监理人应在接到书面请求后的</w:t>
      </w:r>
      <w:r>
        <w:rPr>
          <w:rFonts w:ascii="Calibri" w:hAnsi="Calibri"/>
          <w:color w:val="auto"/>
          <w:sz w:val="24"/>
          <w:highlight w:val="none"/>
        </w:rPr>
        <w:t>24</w:t>
      </w:r>
      <w:r>
        <w:rPr>
          <w:rFonts w:hint="eastAsia" w:ascii="Calibri" w:hAnsi="Calibri"/>
          <w:color w:val="auto"/>
          <w:sz w:val="24"/>
          <w:highlight w:val="none"/>
        </w:rPr>
        <w:t>小时内予以答复，逾期未答复的，视为同意承包人的暂停施工请求。</w:t>
      </w:r>
    </w:p>
    <w:p w14:paraId="3BFBB04B">
      <w:pPr>
        <w:keepNext/>
        <w:keepLines/>
        <w:spacing w:line="400" w:lineRule="exact"/>
        <w:outlineLvl w:val="2"/>
        <w:rPr>
          <w:rFonts w:ascii="Calibri" w:hAnsi="Calibri" w:eastAsia="黑体" w:cs="宋体"/>
          <w:color w:val="auto"/>
          <w:sz w:val="24"/>
          <w:highlight w:val="none"/>
        </w:rPr>
      </w:pPr>
      <w:bookmarkStart w:id="581" w:name="_Toc5207"/>
      <w:bookmarkStart w:id="582" w:name="_Toc152045693"/>
      <w:bookmarkStart w:id="583" w:name="_Toc144974662"/>
      <w:bookmarkStart w:id="584" w:name="_Toc275242304"/>
      <w:bookmarkStart w:id="585" w:name="_Toc179632711"/>
      <w:bookmarkStart w:id="586" w:name="_Toc152042471"/>
      <w:r>
        <w:rPr>
          <w:rFonts w:ascii="Calibri" w:hAnsi="Calibri" w:eastAsia="黑体" w:cs="宋体"/>
          <w:color w:val="auto"/>
          <w:sz w:val="24"/>
          <w:highlight w:val="none"/>
        </w:rPr>
        <w:t xml:space="preserve">12.4 </w:t>
      </w:r>
      <w:r>
        <w:rPr>
          <w:rFonts w:hint="eastAsia" w:ascii="Calibri" w:hAnsi="Calibri" w:eastAsia="黑体" w:cs="宋体"/>
          <w:color w:val="auto"/>
          <w:sz w:val="24"/>
          <w:highlight w:val="none"/>
        </w:rPr>
        <w:t>暂停施工后的复工</w:t>
      </w:r>
      <w:bookmarkEnd w:id="581"/>
      <w:bookmarkEnd w:id="582"/>
      <w:bookmarkEnd w:id="583"/>
      <w:bookmarkEnd w:id="584"/>
      <w:bookmarkEnd w:id="585"/>
      <w:bookmarkEnd w:id="586"/>
    </w:p>
    <w:p w14:paraId="04414B7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12.4.1 </w:t>
      </w:r>
      <w:r>
        <w:rPr>
          <w:rFonts w:hint="eastAsia" w:ascii="Calibri" w:hAnsi="Calibri"/>
          <w:color w:val="auto"/>
          <w:sz w:val="24"/>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37B41D9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12.4.2 </w:t>
      </w:r>
      <w:r>
        <w:rPr>
          <w:rFonts w:hint="eastAsia" w:ascii="Calibri" w:hAnsi="Calibri"/>
          <w:color w:val="auto"/>
          <w:sz w:val="24"/>
          <w:highlight w:val="none"/>
        </w:rPr>
        <w:t>承包人无故拖延和拒绝复工的，由此增加的费用和工期延误由承包人承担；因发包人原因无法按时复工的，承包人有权要求发包人延长工期和（或）增加费用，并支付合理利润。</w:t>
      </w:r>
    </w:p>
    <w:p w14:paraId="4FD8ADBB">
      <w:pPr>
        <w:keepNext/>
        <w:keepLines/>
        <w:spacing w:line="400" w:lineRule="exact"/>
        <w:outlineLvl w:val="2"/>
        <w:rPr>
          <w:rFonts w:ascii="Calibri" w:hAnsi="Calibri" w:eastAsia="黑体" w:cs="宋体"/>
          <w:color w:val="auto"/>
          <w:sz w:val="24"/>
          <w:highlight w:val="none"/>
        </w:rPr>
      </w:pPr>
      <w:bookmarkStart w:id="587" w:name="_Toc14247"/>
      <w:bookmarkStart w:id="588" w:name="_Toc144974663"/>
      <w:bookmarkStart w:id="589" w:name="_Toc179632712"/>
      <w:bookmarkStart w:id="590" w:name="_Toc152042472"/>
      <w:bookmarkStart w:id="591" w:name="_Toc152045694"/>
      <w:bookmarkStart w:id="592" w:name="_Toc275242305"/>
      <w:r>
        <w:rPr>
          <w:rFonts w:ascii="Calibri" w:hAnsi="Calibri" w:eastAsia="黑体" w:cs="宋体"/>
          <w:color w:val="auto"/>
          <w:sz w:val="24"/>
          <w:highlight w:val="none"/>
        </w:rPr>
        <w:t xml:space="preserve">12.5 </w:t>
      </w:r>
      <w:r>
        <w:rPr>
          <w:rFonts w:hint="eastAsia" w:ascii="Calibri" w:hAnsi="Calibri" w:eastAsia="黑体" w:cs="宋体"/>
          <w:color w:val="auto"/>
          <w:sz w:val="24"/>
          <w:highlight w:val="none"/>
        </w:rPr>
        <w:t>暂停施工持续</w:t>
      </w:r>
      <w:r>
        <w:rPr>
          <w:rFonts w:ascii="Calibri" w:hAnsi="Calibri" w:eastAsia="黑体" w:cs="宋体"/>
          <w:color w:val="auto"/>
          <w:sz w:val="24"/>
          <w:highlight w:val="none"/>
        </w:rPr>
        <w:t>56</w:t>
      </w:r>
      <w:r>
        <w:rPr>
          <w:rFonts w:hint="eastAsia" w:ascii="Calibri" w:hAnsi="Calibri" w:eastAsia="黑体" w:cs="宋体"/>
          <w:color w:val="auto"/>
          <w:sz w:val="24"/>
          <w:highlight w:val="none"/>
        </w:rPr>
        <w:t>天以上</w:t>
      </w:r>
      <w:bookmarkEnd w:id="587"/>
      <w:bookmarkEnd w:id="588"/>
      <w:bookmarkEnd w:id="589"/>
      <w:bookmarkEnd w:id="590"/>
      <w:bookmarkEnd w:id="591"/>
      <w:bookmarkEnd w:id="592"/>
    </w:p>
    <w:p w14:paraId="14436B4B">
      <w:pPr>
        <w:spacing w:line="400" w:lineRule="exact"/>
        <w:ind w:firstLine="470" w:firstLineChars="196"/>
        <w:rPr>
          <w:rFonts w:ascii="Calibri" w:hAnsi="Calibri"/>
          <w:color w:val="auto"/>
          <w:sz w:val="24"/>
          <w:highlight w:val="none"/>
        </w:rPr>
      </w:pPr>
      <w:r>
        <w:rPr>
          <w:rFonts w:ascii="Calibri" w:hAnsi="Calibri"/>
          <w:color w:val="auto"/>
          <w:sz w:val="24"/>
          <w:highlight w:val="none"/>
        </w:rPr>
        <w:t xml:space="preserve">12.5.1 </w:t>
      </w:r>
      <w:r>
        <w:rPr>
          <w:rFonts w:hint="eastAsia" w:ascii="Calibri" w:hAnsi="Calibri"/>
          <w:color w:val="auto"/>
          <w:sz w:val="24"/>
          <w:highlight w:val="none"/>
        </w:rPr>
        <w:t>监理人发出暂停施工指示后</w:t>
      </w:r>
      <w:r>
        <w:rPr>
          <w:rFonts w:ascii="Calibri" w:hAnsi="Calibri"/>
          <w:color w:val="auto"/>
          <w:sz w:val="24"/>
          <w:highlight w:val="none"/>
        </w:rPr>
        <w:t>56</w:t>
      </w:r>
      <w:r>
        <w:rPr>
          <w:rFonts w:hint="eastAsia" w:ascii="Calibri" w:hAnsi="Calibri"/>
          <w:color w:val="auto"/>
          <w:sz w:val="24"/>
          <w:highlight w:val="none"/>
        </w:rPr>
        <w:t>天内未向承包人发出复工通知，除了该项停工属于第</w:t>
      </w:r>
      <w:r>
        <w:rPr>
          <w:rFonts w:ascii="Calibri" w:hAnsi="Calibri"/>
          <w:color w:val="auto"/>
          <w:sz w:val="24"/>
          <w:highlight w:val="none"/>
        </w:rPr>
        <w:t>12.1</w:t>
      </w:r>
      <w:r>
        <w:rPr>
          <w:rFonts w:hint="eastAsia" w:ascii="Calibri" w:hAnsi="Calibri"/>
          <w:color w:val="auto"/>
          <w:sz w:val="24"/>
          <w:highlight w:val="none"/>
        </w:rPr>
        <w:t>款的情况外，承包人可向监理人提交书面通知，要求监理人在收到书面通知后</w:t>
      </w:r>
      <w:r>
        <w:rPr>
          <w:rFonts w:ascii="Calibri" w:hAnsi="Calibri"/>
          <w:color w:val="auto"/>
          <w:sz w:val="24"/>
          <w:highlight w:val="none"/>
        </w:rPr>
        <w:t>28</w:t>
      </w:r>
      <w:r>
        <w:rPr>
          <w:rFonts w:hint="eastAsia" w:ascii="Calibri" w:hAnsi="Calibri"/>
          <w:color w:val="auto"/>
          <w:sz w:val="24"/>
          <w:highlight w:val="none"/>
        </w:rPr>
        <w:t>天内准许已暂停施工的工程或其中一部分工程继续施工。如监理人逾期不予批准，则承包人可以通知监理人，将工程受影响的部分视为按第</w:t>
      </w:r>
      <w:r>
        <w:rPr>
          <w:rFonts w:ascii="Calibri" w:hAnsi="Calibri"/>
          <w:color w:val="auto"/>
          <w:sz w:val="24"/>
          <w:highlight w:val="none"/>
        </w:rPr>
        <w:t>15.1</w:t>
      </w: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）项的可取消工作。如暂停施工影响到整个工程，可视为发包人违约，应按第</w:t>
      </w:r>
      <w:r>
        <w:rPr>
          <w:rFonts w:ascii="Calibri" w:hAnsi="Calibri"/>
          <w:color w:val="auto"/>
          <w:sz w:val="24"/>
          <w:highlight w:val="none"/>
        </w:rPr>
        <w:t>22.2</w:t>
      </w:r>
      <w:r>
        <w:rPr>
          <w:rFonts w:hint="eastAsia" w:ascii="Calibri" w:hAnsi="Calibri"/>
          <w:color w:val="auto"/>
          <w:sz w:val="24"/>
          <w:highlight w:val="none"/>
        </w:rPr>
        <w:t>款的规定办理。</w:t>
      </w:r>
    </w:p>
    <w:p w14:paraId="29E5975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12.5.2 </w:t>
      </w:r>
      <w:r>
        <w:rPr>
          <w:rFonts w:hint="eastAsia" w:ascii="Calibri" w:hAnsi="Calibri"/>
          <w:color w:val="auto"/>
          <w:sz w:val="24"/>
          <w:highlight w:val="none"/>
        </w:rPr>
        <w:t>由于承包人责任引起的暂停施工，如承包人在收到监理人暂停施工指示后</w:t>
      </w:r>
      <w:r>
        <w:rPr>
          <w:rFonts w:ascii="Calibri" w:hAnsi="Calibri"/>
          <w:color w:val="auto"/>
          <w:sz w:val="24"/>
          <w:highlight w:val="none"/>
        </w:rPr>
        <w:t>56</w:t>
      </w:r>
      <w:r>
        <w:rPr>
          <w:rFonts w:hint="eastAsia" w:ascii="Calibri" w:hAnsi="Calibri"/>
          <w:color w:val="auto"/>
          <w:sz w:val="24"/>
          <w:highlight w:val="none"/>
        </w:rPr>
        <w:t>天内不认真采取有效的复工措施，造成工期延误，可视为承包人违约，应按第</w:t>
      </w:r>
      <w:r>
        <w:rPr>
          <w:rFonts w:ascii="Calibri" w:hAnsi="Calibri"/>
          <w:color w:val="auto"/>
          <w:sz w:val="24"/>
          <w:highlight w:val="none"/>
        </w:rPr>
        <w:t>22.1</w:t>
      </w:r>
      <w:r>
        <w:rPr>
          <w:rFonts w:hint="eastAsia" w:ascii="Calibri" w:hAnsi="Calibri"/>
          <w:color w:val="auto"/>
          <w:sz w:val="24"/>
          <w:highlight w:val="none"/>
        </w:rPr>
        <w:t>款的规定办理。</w:t>
      </w:r>
    </w:p>
    <w:p w14:paraId="045DB18A">
      <w:pPr>
        <w:keepNext/>
        <w:keepLines/>
        <w:spacing w:line="400" w:lineRule="exact"/>
        <w:outlineLvl w:val="1"/>
        <w:rPr>
          <w:rFonts w:eastAsia="黑体" w:cs="宋体"/>
          <w:color w:val="auto"/>
          <w:sz w:val="24"/>
          <w:highlight w:val="none"/>
        </w:rPr>
      </w:pPr>
      <w:bookmarkStart w:id="593" w:name="_Toc152045695"/>
      <w:bookmarkStart w:id="594" w:name="_Toc152042473"/>
      <w:bookmarkStart w:id="595" w:name="_Toc144974664"/>
      <w:bookmarkStart w:id="596" w:name="_Toc179632713"/>
      <w:bookmarkStart w:id="597" w:name="_Toc2800"/>
      <w:bookmarkStart w:id="598" w:name="_Toc275242306"/>
      <w:r>
        <w:rPr>
          <w:rFonts w:eastAsia="黑体" w:cs="宋体"/>
          <w:color w:val="auto"/>
          <w:sz w:val="24"/>
          <w:highlight w:val="none"/>
        </w:rPr>
        <w:t xml:space="preserve">13. </w:t>
      </w:r>
      <w:r>
        <w:rPr>
          <w:rFonts w:hint="eastAsia" w:eastAsia="黑体" w:cs="宋体"/>
          <w:color w:val="auto"/>
          <w:sz w:val="24"/>
          <w:highlight w:val="none"/>
        </w:rPr>
        <w:t>工程质量</w:t>
      </w:r>
      <w:bookmarkEnd w:id="593"/>
      <w:bookmarkEnd w:id="594"/>
      <w:bookmarkEnd w:id="595"/>
      <w:bookmarkEnd w:id="596"/>
      <w:bookmarkEnd w:id="597"/>
      <w:bookmarkEnd w:id="598"/>
    </w:p>
    <w:p w14:paraId="66E52556">
      <w:pPr>
        <w:keepNext/>
        <w:keepLines/>
        <w:spacing w:line="400" w:lineRule="exact"/>
        <w:outlineLvl w:val="2"/>
        <w:rPr>
          <w:rFonts w:ascii="Calibri" w:hAnsi="Calibri" w:eastAsia="黑体" w:cs="宋体"/>
          <w:color w:val="auto"/>
          <w:sz w:val="24"/>
          <w:highlight w:val="none"/>
        </w:rPr>
      </w:pPr>
      <w:bookmarkStart w:id="599" w:name="_Toc179632714"/>
      <w:bookmarkStart w:id="600" w:name="_Toc144974665"/>
      <w:bookmarkStart w:id="601" w:name="_Toc275242307"/>
      <w:bookmarkStart w:id="602" w:name="_Toc23"/>
      <w:bookmarkStart w:id="603" w:name="_Toc152045696"/>
      <w:bookmarkStart w:id="604" w:name="_Toc152042474"/>
      <w:r>
        <w:rPr>
          <w:rFonts w:ascii="Calibri" w:hAnsi="Calibri" w:eastAsia="黑体" w:cs="宋体"/>
          <w:color w:val="auto"/>
          <w:sz w:val="24"/>
          <w:highlight w:val="none"/>
        </w:rPr>
        <w:t xml:space="preserve">13.1 </w:t>
      </w:r>
      <w:r>
        <w:rPr>
          <w:rFonts w:hint="eastAsia" w:ascii="Calibri" w:hAnsi="Calibri" w:eastAsia="黑体" w:cs="宋体"/>
          <w:color w:val="auto"/>
          <w:sz w:val="24"/>
          <w:highlight w:val="none"/>
        </w:rPr>
        <w:t>工程质量要求</w:t>
      </w:r>
      <w:bookmarkEnd w:id="599"/>
      <w:bookmarkEnd w:id="600"/>
      <w:bookmarkEnd w:id="601"/>
      <w:bookmarkEnd w:id="602"/>
      <w:bookmarkEnd w:id="603"/>
      <w:bookmarkEnd w:id="604"/>
    </w:p>
    <w:p w14:paraId="04B4B58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13.1.1 </w:t>
      </w:r>
      <w:r>
        <w:rPr>
          <w:rFonts w:hint="eastAsia" w:ascii="Calibri" w:hAnsi="Calibri"/>
          <w:color w:val="auto"/>
          <w:sz w:val="24"/>
          <w:highlight w:val="none"/>
        </w:rPr>
        <w:t>工程质量验收按合同约定验收标准执行。</w:t>
      </w:r>
    </w:p>
    <w:p w14:paraId="42A3CA0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13.1.2 </w:t>
      </w:r>
      <w:r>
        <w:rPr>
          <w:rFonts w:hint="eastAsia" w:ascii="Calibri" w:hAnsi="Calibri"/>
          <w:color w:val="auto"/>
          <w:sz w:val="24"/>
          <w:highlight w:val="none"/>
        </w:rPr>
        <w:t>因承包人原因造成工程质量达不到合同约定验收标准的，监理人有权要求承包人返工直至符合合同要求为止，由此造成的费用增加和（或）工期延误由承包人承担。</w:t>
      </w:r>
    </w:p>
    <w:p w14:paraId="439DD71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13.1.3 </w:t>
      </w:r>
      <w:r>
        <w:rPr>
          <w:rFonts w:hint="eastAsia" w:ascii="Calibri" w:hAnsi="Calibri"/>
          <w:color w:val="auto"/>
          <w:sz w:val="24"/>
          <w:highlight w:val="none"/>
        </w:rPr>
        <w:t>因发包人原因造成工程质量达不到合同约定验收标准的，发包人应承担由于承包人返工造成的费用增加和（或）工期延误，并支付承包人合理利润。</w:t>
      </w:r>
    </w:p>
    <w:p w14:paraId="0004A054">
      <w:pPr>
        <w:keepNext/>
        <w:keepLines/>
        <w:spacing w:line="400" w:lineRule="exact"/>
        <w:outlineLvl w:val="2"/>
        <w:rPr>
          <w:rFonts w:ascii="Calibri" w:hAnsi="Calibri" w:eastAsia="黑体" w:cs="宋体"/>
          <w:color w:val="auto"/>
          <w:sz w:val="24"/>
          <w:highlight w:val="none"/>
        </w:rPr>
      </w:pPr>
      <w:bookmarkStart w:id="605" w:name="_Toc8075"/>
      <w:bookmarkStart w:id="606" w:name="_Toc275242308"/>
      <w:bookmarkStart w:id="607" w:name="_Toc179632715"/>
      <w:bookmarkStart w:id="608" w:name="_Toc144974666"/>
      <w:bookmarkStart w:id="609" w:name="_Toc152045697"/>
      <w:bookmarkStart w:id="610" w:name="_Toc152042475"/>
      <w:r>
        <w:rPr>
          <w:rFonts w:ascii="Calibri" w:hAnsi="Calibri" w:eastAsia="黑体" w:cs="宋体"/>
          <w:color w:val="auto"/>
          <w:sz w:val="24"/>
          <w:highlight w:val="none"/>
        </w:rPr>
        <w:t xml:space="preserve">13.2 </w:t>
      </w:r>
      <w:r>
        <w:rPr>
          <w:rFonts w:hint="eastAsia" w:ascii="Calibri" w:hAnsi="Calibri" w:eastAsia="黑体" w:cs="宋体"/>
          <w:color w:val="auto"/>
          <w:sz w:val="24"/>
          <w:highlight w:val="none"/>
        </w:rPr>
        <w:t>承包人的质量管理</w:t>
      </w:r>
      <w:bookmarkEnd w:id="605"/>
      <w:bookmarkEnd w:id="606"/>
      <w:bookmarkEnd w:id="607"/>
      <w:bookmarkEnd w:id="608"/>
      <w:bookmarkEnd w:id="609"/>
      <w:bookmarkEnd w:id="610"/>
    </w:p>
    <w:p w14:paraId="473BC9A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13.2.1 </w:t>
      </w:r>
      <w:r>
        <w:rPr>
          <w:rFonts w:hint="eastAsia" w:ascii="Calibri" w:hAnsi="Calibri"/>
          <w:color w:val="auto"/>
          <w:sz w:val="24"/>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3047BC6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13.2.2 </w:t>
      </w:r>
      <w:r>
        <w:rPr>
          <w:rFonts w:hint="eastAsia" w:ascii="Calibri" w:hAnsi="Calibri"/>
          <w:color w:val="auto"/>
          <w:sz w:val="24"/>
          <w:highlight w:val="none"/>
        </w:rPr>
        <w:t>承包人应加强对施工人员的质量教育和技术培训，定期考核施工人员的劳动技能，严格执行规范和操作规程。</w:t>
      </w:r>
    </w:p>
    <w:p w14:paraId="599CBD16">
      <w:pPr>
        <w:keepNext/>
        <w:keepLines/>
        <w:spacing w:line="400" w:lineRule="exact"/>
        <w:outlineLvl w:val="2"/>
        <w:rPr>
          <w:rFonts w:ascii="Calibri" w:hAnsi="Calibri" w:eastAsia="黑体" w:cs="宋体"/>
          <w:color w:val="auto"/>
          <w:sz w:val="24"/>
          <w:highlight w:val="none"/>
        </w:rPr>
      </w:pPr>
      <w:bookmarkStart w:id="611" w:name="_Toc152042476"/>
      <w:bookmarkStart w:id="612" w:name="_Toc8356"/>
      <w:bookmarkStart w:id="613" w:name="_Toc179632716"/>
      <w:bookmarkStart w:id="614" w:name="_Toc275242309"/>
      <w:bookmarkStart w:id="615" w:name="_Toc152045698"/>
      <w:bookmarkStart w:id="616" w:name="_Toc144974667"/>
      <w:r>
        <w:rPr>
          <w:rFonts w:ascii="Calibri" w:hAnsi="Calibri" w:eastAsia="黑体" w:cs="宋体"/>
          <w:color w:val="auto"/>
          <w:sz w:val="24"/>
          <w:highlight w:val="none"/>
        </w:rPr>
        <w:t xml:space="preserve">13.3 </w:t>
      </w:r>
      <w:r>
        <w:rPr>
          <w:rFonts w:hint="eastAsia" w:ascii="Calibri" w:hAnsi="Calibri" w:eastAsia="黑体" w:cs="宋体"/>
          <w:color w:val="auto"/>
          <w:sz w:val="24"/>
          <w:highlight w:val="none"/>
        </w:rPr>
        <w:t>承包人的质量检查</w:t>
      </w:r>
      <w:bookmarkEnd w:id="611"/>
      <w:bookmarkEnd w:id="612"/>
      <w:bookmarkEnd w:id="613"/>
      <w:bookmarkEnd w:id="614"/>
      <w:bookmarkEnd w:id="615"/>
      <w:bookmarkEnd w:id="616"/>
    </w:p>
    <w:p w14:paraId="18A96DE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承包人应按合同约定对材料、工程设备以及工程的所有部位及其施工工艺进行全过程的质量检查和检验，并作详细记录，编制工程质量报表，报送监理人审查。</w:t>
      </w:r>
    </w:p>
    <w:p w14:paraId="5424542D">
      <w:pPr>
        <w:keepNext/>
        <w:keepLines/>
        <w:spacing w:line="400" w:lineRule="exact"/>
        <w:outlineLvl w:val="2"/>
        <w:rPr>
          <w:rFonts w:ascii="Calibri" w:hAnsi="Calibri" w:eastAsia="黑体" w:cs="宋体"/>
          <w:color w:val="auto"/>
          <w:sz w:val="24"/>
          <w:highlight w:val="none"/>
        </w:rPr>
      </w:pPr>
      <w:bookmarkStart w:id="617" w:name="_Toc10861"/>
      <w:bookmarkStart w:id="618" w:name="_Toc179632717"/>
      <w:bookmarkStart w:id="619" w:name="_Toc152045699"/>
      <w:bookmarkStart w:id="620" w:name="_Toc152042477"/>
      <w:bookmarkStart w:id="621" w:name="_Toc275242310"/>
      <w:bookmarkStart w:id="622" w:name="_Toc144974668"/>
      <w:r>
        <w:rPr>
          <w:rFonts w:ascii="Calibri" w:hAnsi="Calibri" w:eastAsia="黑体" w:cs="宋体"/>
          <w:color w:val="auto"/>
          <w:sz w:val="24"/>
          <w:highlight w:val="none"/>
        </w:rPr>
        <w:t xml:space="preserve">13.4 </w:t>
      </w:r>
      <w:r>
        <w:rPr>
          <w:rFonts w:hint="eastAsia" w:ascii="Calibri" w:hAnsi="Calibri" w:eastAsia="黑体" w:cs="宋体"/>
          <w:color w:val="auto"/>
          <w:sz w:val="24"/>
          <w:highlight w:val="none"/>
        </w:rPr>
        <w:t>监理人的质量检查</w:t>
      </w:r>
      <w:bookmarkEnd w:id="617"/>
      <w:bookmarkEnd w:id="618"/>
      <w:bookmarkEnd w:id="619"/>
      <w:bookmarkEnd w:id="620"/>
      <w:bookmarkEnd w:id="621"/>
      <w:bookmarkEnd w:id="622"/>
    </w:p>
    <w:p w14:paraId="2072C85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88A618C">
      <w:pPr>
        <w:keepNext/>
        <w:keepLines/>
        <w:spacing w:line="400" w:lineRule="exact"/>
        <w:outlineLvl w:val="2"/>
        <w:rPr>
          <w:rFonts w:ascii="Calibri" w:hAnsi="Calibri" w:eastAsia="黑体" w:cs="宋体"/>
          <w:color w:val="auto"/>
          <w:sz w:val="24"/>
          <w:highlight w:val="none"/>
        </w:rPr>
      </w:pPr>
      <w:bookmarkStart w:id="623" w:name="_Toc275242311"/>
      <w:bookmarkStart w:id="624" w:name="_Toc152045700"/>
      <w:bookmarkStart w:id="625" w:name="_Toc9095"/>
      <w:bookmarkStart w:id="626" w:name="_Toc144974669"/>
      <w:bookmarkStart w:id="627" w:name="_Toc152042478"/>
      <w:bookmarkStart w:id="628" w:name="_Toc179632718"/>
      <w:r>
        <w:rPr>
          <w:rFonts w:ascii="Calibri" w:hAnsi="Calibri" w:eastAsia="黑体" w:cs="宋体"/>
          <w:color w:val="auto"/>
          <w:sz w:val="24"/>
          <w:highlight w:val="none"/>
        </w:rPr>
        <w:t xml:space="preserve">13.5 </w:t>
      </w:r>
      <w:r>
        <w:rPr>
          <w:rFonts w:hint="eastAsia" w:ascii="Calibri" w:hAnsi="Calibri" w:eastAsia="黑体" w:cs="宋体"/>
          <w:color w:val="auto"/>
          <w:sz w:val="24"/>
          <w:highlight w:val="none"/>
        </w:rPr>
        <w:t>工程隐蔽部位覆盖前的检查</w:t>
      </w:r>
      <w:bookmarkEnd w:id="623"/>
      <w:bookmarkEnd w:id="624"/>
      <w:bookmarkEnd w:id="625"/>
      <w:bookmarkEnd w:id="626"/>
      <w:bookmarkEnd w:id="627"/>
      <w:bookmarkEnd w:id="628"/>
    </w:p>
    <w:p w14:paraId="2745C6B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13.5.1 </w:t>
      </w:r>
      <w:r>
        <w:rPr>
          <w:rFonts w:hint="eastAsia" w:ascii="黑体" w:hAnsi="Calibri" w:eastAsia="黑体"/>
          <w:color w:val="auto"/>
          <w:sz w:val="24"/>
          <w:highlight w:val="none"/>
        </w:rPr>
        <w:t>通知监理人检查</w:t>
      </w:r>
    </w:p>
    <w:p w14:paraId="5F9ED7A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14E790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13.5.2 </w:t>
      </w:r>
      <w:r>
        <w:rPr>
          <w:rFonts w:hint="eastAsia" w:ascii="黑体" w:hAnsi="Calibri" w:eastAsia="黑体"/>
          <w:color w:val="auto"/>
          <w:sz w:val="24"/>
          <w:highlight w:val="none"/>
        </w:rPr>
        <w:t>监理人未到场检查</w:t>
      </w:r>
    </w:p>
    <w:p w14:paraId="5AF3EC30">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监理人未按第</w:t>
      </w:r>
      <w:r>
        <w:rPr>
          <w:rFonts w:ascii="Calibri" w:hAnsi="Calibri"/>
          <w:color w:val="auto"/>
          <w:sz w:val="24"/>
          <w:highlight w:val="none"/>
        </w:rPr>
        <w:t>13.5.1</w:t>
      </w:r>
      <w:r>
        <w:rPr>
          <w:rFonts w:hint="eastAsia" w:ascii="Calibri" w:hAnsi="Calibri"/>
          <w:color w:val="auto"/>
          <w:sz w:val="24"/>
          <w:highlight w:val="none"/>
        </w:rPr>
        <w:t>项约定的时间进行检查的，除监理人另有指示外，承包人可自行完成覆盖工作，并作相应记录报送监理人，监理人应签字确认。监理人事后对检查记录有疑问的，可按第</w:t>
      </w:r>
      <w:r>
        <w:rPr>
          <w:rFonts w:ascii="Calibri" w:hAnsi="Calibri"/>
          <w:color w:val="auto"/>
          <w:sz w:val="24"/>
          <w:highlight w:val="none"/>
        </w:rPr>
        <w:t>13.5.3</w:t>
      </w:r>
      <w:r>
        <w:rPr>
          <w:rFonts w:hint="eastAsia" w:ascii="Calibri" w:hAnsi="Calibri"/>
          <w:color w:val="auto"/>
          <w:sz w:val="24"/>
          <w:highlight w:val="none"/>
        </w:rPr>
        <w:t>项的约定重新检查。</w:t>
      </w:r>
    </w:p>
    <w:p w14:paraId="2190B20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13.5.3 </w:t>
      </w:r>
      <w:r>
        <w:rPr>
          <w:rFonts w:hint="eastAsia" w:ascii="黑体" w:hAnsi="Calibri" w:eastAsia="黑体"/>
          <w:color w:val="auto"/>
          <w:sz w:val="24"/>
          <w:highlight w:val="none"/>
        </w:rPr>
        <w:t>监理人重新检查</w:t>
      </w:r>
    </w:p>
    <w:p w14:paraId="4FBCCEF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承包人按第</w:t>
      </w:r>
      <w:r>
        <w:rPr>
          <w:rFonts w:ascii="Calibri" w:hAnsi="Calibri"/>
          <w:color w:val="auto"/>
          <w:sz w:val="24"/>
          <w:highlight w:val="none"/>
        </w:rPr>
        <w:t>13.5.1</w:t>
      </w:r>
      <w:r>
        <w:rPr>
          <w:rFonts w:hint="eastAsia" w:ascii="Calibri" w:hAnsi="Calibri"/>
          <w:color w:val="auto"/>
          <w:sz w:val="24"/>
          <w:highlight w:val="none"/>
        </w:rPr>
        <w:t>项或第</w:t>
      </w:r>
      <w:r>
        <w:rPr>
          <w:rFonts w:ascii="Calibri" w:hAnsi="Calibri"/>
          <w:color w:val="auto"/>
          <w:sz w:val="24"/>
          <w:highlight w:val="none"/>
        </w:rPr>
        <w:t>13.5.2</w:t>
      </w:r>
      <w:r>
        <w:rPr>
          <w:rFonts w:hint="eastAsia" w:ascii="Calibri" w:hAnsi="Calibri"/>
          <w:color w:val="auto"/>
          <w:sz w:val="24"/>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C1EBEA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13.5.4 </w:t>
      </w:r>
      <w:r>
        <w:rPr>
          <w:rFonts w:hint="eastAsia" w:ascii="黑体" w:hAnsi="Calibri" w:eastAsia="黑体"/>
          <w:color w:val="auto"/>
          <w:sz w:val="24"/>
          <w:highlight w:val="none"/>
        </w:rPr>
        <w:t>承包人私自覆盖</w:t>
      </w:r>
    </w:p>
    <w:p w14:paraId="17B64382">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承包人未通知监理人到场检查，私自将工程隐蔽部位覆盖的，监理人有权指示承包人钻孔探测或揭开检查，由此增加的费用和（或）工期延误由承包人承担。</w:t>
      </w:r>
    </w:p>
    <w:p w14:paraId="145DB450">
      <w:pPr>
        <w:keepNext/>
        <w:keepLines/>
        <w:spacing w:line="400" w:lineRule="exact"/>
        <w:outlineLvl w:val="2"/>
        <w:rPr>
          <w:rFonts w:ascii="Calibri" w:hAnsi="Calibri" w:eastAsia="黑体" w:cs="宋体"/>
          <w:color w:val="auto"/>
          <w:sz w:val="24"/>
          <w:highlight w:val="none"/>
        </w:rPr>
      </w:pPr>
      <w:bookmarkStart w:id="629" w:name="_Toc179632719"/>
      <w:bookmarkStart w:id="630" w:name="_Toc144974670"/>
      <w:bookmarkStart w:id="631" w:name="_Toc31688"/>
      <w:bookmarkStart w:id="632" w:name="_Toc152042479"/>
      <w:bookmarkStart w:id="633" w:name="_Toc152045701"/>
      <w:bookmarkStart w:id="634" w:name="_Toc275242312"/>
      <w:r>
        <w:rPr>
          <w:rFonts w:ascii="Calibri" w:hAnsi="Calibri" w:eastAsia="黑体" w:cs="宋体"/>
          <w:color w:val="auto"/>
          <w:sz w:val="24"/>
          <w:highlight w:val="none"/>
        </w:rPr>
        <w:t xml:space="preserve">13.6 </w:t>
      </w:r>
      <w:r>
        <w:rPr>
          <w:rFonts w:hint="eastAsia" w:ascii="Calibri" w:hAnsi="Calibri" w:eastAsia="黑体" w:cs="宋体"/>
          <w:color w:val="auto"/>
          <w:sz w:val="24"/>
          <w:highlight w:val="none"/>
        </w:rPr>
        <w:t>清除不合格工程</w:t>
      </w:r>
      <w:bookmarkEnd w:id="629"/>
      <w:bookmarkEnd w:id="630"/>
      <w:bookmarkEnd w:id="631"/>
      <w:bookmarkEnd w:id="632"/>
      <w:bookmarkEnd w:id="633"/>
      <w:bookmarkEnd w:id="634"/>
    </w:p>
    <w:p w14:paraId="0E5CA73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13.6.1 </w:t>
      </w:r>
      <w:r>
        <w:rPr>
          <w:rFonts w:hint="eastAsia" w:ascii="Calibri" w:hAnsi="Calibri"/>
          <w:color w:val="auto"/>
          <w:sz w:val="24"/>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234BD0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13.6.2 </w:t>
      </w:r>
      <w:r>
        <w:rPr>
          <w:rFonts w:hint="eastAsia" w:ascii="Calibri" w:hAnsi="Calibri"/>
          <w:color w:val="auto"/>
          <w:sz w:val="24"/>
          <w:highlight w:val="none"/>
        </w:rPr>
        <w:t>由于发包人提供的材料或工程设备不合格造成的工程不合格，需要承包人采取措施补救的，发包人应承担由此增加的费用和（或）工期延误，并支付承包人合理利润。</w:t>
      </w:r>
    </w:p>
    <w:p w14:paraId="793C3BAC">
      <w:pPr>
        <w:keepNext/>
        <w:keepLines/>
        <w:spacing w:line="400" w:lineRule="exact"/>
        <w:outlineLvl w:val="1"/>
        <w:rPr>
          <w:rFonts w:eastAsia="黑体" w:cs="宋体"/>
          <w:color w:val="auto"/>
          <w:sz w:val="24"/>
          <w:highlight w:val="none"/>
        </w:rPr>
      </w:pPr>
      <w:bookmarkStart w:id="635" w:name="_Toc152045702"/>
      <w:bookmarkStart w:id="636" w:name="_Toc275242313"/>
      <w:bookmarkStart w:id="637" w:name="_Toc144974671"/>
      <w:bookmarkStart w:id="638" w:name="_Toc21379"/>
      <w:bookmarkStart w:id="639" w:name="_Toc179632720"/>
      <w:bookmarkStart w:id="640" w:name="_Toc152042480"/>
      <w:r>
        <w:rPr>
          <w:rFonts w:eastAsia="黑体" w:cs="宋体"/>
          <w:color w:val="auto"/>
          <w:sz w:val="24"/>
          <w:highlight w:val="none"/>
        </w:rPr>
        <w:t xml:space="preserve">14. </w:t>
      </w:r>
      <w:r>
        <w:rPr>
          <w:rFonts w:hint="eastAsia" w:eastAsia="黑体" w:cs="宋体"/>
          <w:color w:val="auto"/>
          <w:sz w:val="24"/>
          <w:highlight w:val="none"/>
        </w:rPr>
        <w:t>试验和检验</w:t>
      </w:r>
      <w:bookmarkEnd w:id="635"/>
      <w:bookmarkEnd w:id="636"/>
      <w:bookmarkEnd w:id="637"/>
      <w:bookmarkEnd w:id="638"/>
      <w:bookmarkEnd w:id="639"/>
      <w:bookmarkEnd w:id="640"/>
    </w:p>
    <w:p w14:paraId="7995B4FC">
      <w:pPr>
        <w:keepNext/>
        <w:keepLines/>
        <w:spacing w:line="400" w:lineRule="exact"/>
        <w:outlineLvl w:val="2"/>
        <w:rPr>
          <w:rFonts w:ascii="Calibri" w:hAnsi="Calibri" w:eastAsia="黑体" w:cs="宋体"/>
          <w:color w:val="auto"/>
          <w:sz w:val="24"/>
          <w:highlight w:val="none"/>
        </w:rPr>
      </w:pPr>
      <w:bookmarkStart w:id="641" w:name="_Toc144974672"/>
      <w:bookmarkStart w:id="642" w:name="_Toc26957"/>
      <w:bookmarkStart w:id="643" w:name="_Toc179632721"/>
      <w:bookmarkStart w:id="644" w:name="_Toc152042481"/>
      <w:bookmarkStart w:id="645" w:name="_Toc275242314"/>
      <w:bookmarkStart w:id="646" w:name="_Toc152045703"/>
      <w:r>
        <w:rPr>
          <w:rFonts w:ascii="Calibri" w:hAnsi="Calibri" w:eastAsia="黑体" w:cs="宋体"/>
          <w:color w:val="auto"/>
          <w:sz w:val="24"/>
          <w:highlight w:val="none"/>
        </w:rPr>
        <w:t xml:space="preserve">14.1 </w:t>
      </w:r>
      <w:r>
        <w:rPr>
          <w:rFonts w:hint="eastAsia" w:ascii="Calibri" w:hAnsi="Calibri" w:eastAsia="黑体" w:cs="宋体"/>
          <w:color w:val="auto"/>
          <w:sz w:val="24"/>
          <w:highlight w:val="none"/>
        </w:rPr>
        <w:t>材料、工程设备和工程的试验和检验</w:t>
      </w:r>
      <w:bookmarkEnd w:id="641"/>
      <w:bookmarkEnd w:id="642"/>
      <w:bookmarkEnd w:id="643"/>
      <w:bookmarkEnd w:id="644"/>
      <w:bookmarkEnd w:id="645"/>
      <w:bookmarkEnd w:id="646"/>
    </w:p>
    <w:p w14:paraId="05DCFB2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14.1.1 </w:t>
      </w:r>
      <w:r>
        <w:rPr>
          <w:rFonts w:hint="eastAsia" w:ascii="Calibri" w:hAnsi="Calibri"/>
          <w:color w:val="auto"/>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1A27E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14.1.2 </w:t>
      </w:r>
      <w:r>
        <w:rPr>
          <w:rFonts w:hint="eastAsia" w:ascii="Calibri" w:hAnsi="Calibri"/>
          <w:color w:val="auto"/>
          <w:sz w:val="24"/>
          <w:highlight w:val="none"/>
        </w:rPr>
        <w:t>监理人未按合同约定派员参加试验和检验的，除监理人另有指示外，承包人可自行试验和检验，并应立即将试验和检验结果报送监理人，监理人应签字确认。</w:t>
      </w:r>
    </w:p>
    <w:p w14:paraId="69137F9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14.1.3 </w:t>
      </w:r>
      <w:r>
        <w:rPr>
          <w:rFonts w:hint="eastAsia" w:ascii="Calibri" w:hAnsi="Calibri"/>
          <w:color w:val="auto"/>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68CB184">
      <w:pPr>
        <w:keepNext/>
        <w:keepLines/>
        <w:spacing w:line="400" w:lineRule="exact"/>
        <w:outlineLvl w:val="2"/>
        <w:rPr>
          <w:rFonts w:ascii="Calibri" w:hAnsi="Calibri" w:eastAsia="黑体" w:cs="宋体"/>
          <w:color w:val="auto"/>
          <w:sz w:val="24"/>
          <w:highlight w:val="none"/>
        </w:rPr>
      </w:pPr>
      <w:bookmarkStart w:id="647" w:name="_Toc21937"/>
      <w:bookmarkStart w:id="648" w:name="_Toc152045704"/>
      <w:bookmarkStart w:id="649" w:name="_Toc179632722"/>
      <w:bookmarkStart w:id="650" w:name="_Toc144974673"/>
      <w:bookmarkStart w:id="651" w:name="_Toc275242315"/>
      <w:bookmarkStart w:id="652" w:name="_Toc152042482"/>
      <w:r>
        <w:rPr>
          <w:rFonts w:ascii="Calibri" w:hAnsi="Calibri" w:eastAsia="黑体" w:cs="宋体"/>
          <w:color w:val="auto"/>
          <w:sz w:val="24"/>
          <w:highlight w:val="none"/>
        </w:rPr>
        <w:t xml:space="preserve">14.2 </w:t>
      </w:r>
      <w:r>
        <w:rPr>
          <w:rFonts w:hint="eastAsia" w:ascii="Calibri" w:hAnsi="Calibri" w:eastAsia="黑体" w:cs="宋体"/>
          <w:color w:val="auto"/>
          <w:sz w:val="24"/>
          <w:highlight w:val="none"/>
        </w:rPr>
        <w:t>现场材料试验</w:t>
      </w:r>
      <w:bookmarkEnd w:id="647"/>
      <w:bookmarkEnd w:id="648"/>
      <w:bookmarkEnd w:id="649"/>
      <w:bookmarkEnd w:id="650"/>
      <w:bookmarkEnd w:id="651"/>
      <w:bookmarkEnd w:id="652"/>
    </w:p>
    <w:p w14:paraId="13EAD64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14.2.1 </w:t>
      </w:r>
      <w:r>
        <w:rPr>
          <w:rFonts w:hint="eastAsia" w:ascii="Calibri" w:hAnsi="Calibri"/>
          <w:color w:val="auto"/>
          <w:sz w:val="24"/>
          <w:highlight w:val="none"/>
        </w:rPr>
        <w:t>承包人根据合同约定或监理人指示进行的现场材料试验，应由承包人提供试验场所、试验人员、试验设备器材以及其他必要的试验条件。</w:t>
      </w:r>
    </w:p>
    <w:p w14:paraId="360F1DF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14.2.2 </w:t>
      </w:r>
      <w:r>
        <w:rPr>
          <w:rFonts w:hint="eastAsia" w:ascii="Calibri" w:hAnsi="Calibri"/>
          <w:color w:val="auto"/>
          <w:sz w:val="24"/>
          <w:highlight w:val="none"/>
        </w:rPr>
        <w:t>监理人在必要时可以使用承包人的试验场所、试验设备器材以及其他试验条件，进行以工程质量检查为目的的复核性材料试验，承包人应予以协助。</w:t>
      </w:r>
    </w:p>
    <w:p w14:paraId="73EC724F">
      <w:pPr>
        <w:keepNext/>
        <w:keepLines/>
        <w:spacing w:line="400" w:lineRule="exact"/>
        <w:outlineLvl w:val="2"/>
        <w:rPr>
          <w:rFonts w:ascii="Calibri" w:hAnsi="Calibri" w:eastAsia="黑体" w:cs="宋体"/>
          <w:color w:val="auto"/>
          <w:sz w:val="24"/>
          <w:highlight w:val="none"/>
        </w:rPr>
      </w:pPr>
      <w:bookmarkStart w:id="653" w:name="_Toc152042483"/>
      <w:bookmarkStart w:id="654" w:name="_Toc179632723"/>
      <w:bookmarkStart w:id="655" w:name="_Toc152045705"/>
      <w:bookmarkStart w:id="656" w:name="_Toc144974674"/>
      <w:bookmarkStart w:id="657" w:name="_Toc275242316"/>
      <w:bookmarkStart w:id="658" w:name="_Toc14635"/>
      <w:r>
        <w:rPr>
          <w:rFonts w:ascii="Calibri" w:hAnsi="Calibri" w:eastAsia="黑体" w:cs="宋体"/>
          <w:color w:val="auto"/>
          <w:sz w:val="24"/>
          <w:highlight w:val="none"/>
        </w:rPr>
        <w:t xml:space="preserve">14.3 </w:t>
      </w:r>
      <w:r>
        <w:rPr>
          <w:rFonts w:hint="eastAsia" w:ascii="Calibri" w:hAnsi="Calibri" w:eastAsia="黑体" w:cs="宋体"/>
          <w:color w:val="auto"/>
          <w:sz w:val="24"/>
          <w:highlight w:val="none"/>
        </w:rPr>
        <w:t>现场工艺试验</w:t>
      </w:r>
      <w:bookmarkEnd w:id="653"/>
      <w:bookmarkEnd w:id="654"/>
      <w:bookmarkEnd w:id="655"/>
      <w:bookmarkEnd w:id="656"/>
      <w:bookmarkEnd w:id="657"/>
      <w:bookmarkEnd w:id="658"/>
    </w:p>
    <w:p w14:paraId="0143A0B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E5C809F">
      <w:pPr>
        <w:keepNext/>
        <w:keepLines/>
        <w:spacing w:line="400" w:lineRule="exact"/>
        <w:outlineLvl w:val="1"/>
        <w:rPr>
          <w:rFonts w:eastAsia="黑体" w:cs="宋体"/>
          <w:color w:val="auto"/>
          <w:sz w:val="24"/>
          <w:highlight w:val="none"/>
        </w:rPr>
      </w:pPr>
      <w:bookmarkStart w:id="659" w:name="_Toc179632724"/>
      <w:bookmarkStart w:id="660" w:name="_Toc152042484"/>
      <w:bookmarkStart w:id="661" w:name="_Toc152045706"/>
      <w:bookmarkStart w:id="662" w:name="_Toc16125"/>
      <w:bookmarkStart w:id="663" w:name="_Toc275242317"/>
      <w:bookmarkStart w:id="664" w:name="_Toc144974675"/>
      <w:r>
        <w:rPr>
          <w:rFonts w:eastAsia="黑体" w:cs="宋体"/>
          <w:color w:val="auto"/>
          <w:sz w:val="24"/>
          <w:highlight w:val="none"/>
        </w:rPr>
        <w:t xml:space="preserve">15. </w:t>
      </w:r>
      <w:r>
        <w:rPr>
          <w:rFonts w:hint="eastAsia" w:eastAsia="黑体" w:cs="宋体"/>
          <w:color w:val="auto"/>
          <w:sz w:val="24"/>
          <w:highlight w:val="none"/>
        </w:rPr>
        <w:t>变更</w:t>
      </w:r>
      <w:bookmarkEnd w:id="659"/>
      <w:bookmarkEnd w:id="660"/>
      <w:bookmarkEnd w:id="661"/>
      <w:bookmarkEnd w:id="662"/>
      <w:bookmarkEnd w:id="663"/>
      <w:bookmarkEnd w:id="664"/>
    </w:p>
    <w:p w14:paraId="17505E8B">
      <w:pPr>
        <w:keepNext/>
        <w:keepLines/>
        <w:spacing w:line="400" w:lineRule="exact"/>
        <w:outlineLvl w:val="2"/>
        <w:rPr>
          <w:rFonts w:ascii="Calibri" w:hAnsi="Calibri" w:eastAsia="黑体" w:cs="宋体"/>
          <w:color w:val="auto"/>
          <w:sz w:val="24"/>
          <w:highlight w:val="none"/>
        </w:rPr>
      </w:pPr>
      <w:bookmarkStart w:id="665" w:name="_Toc24114"/>
      <w:bookmarkStart w:id="666" w:name="_Toc179632725"/>
      <w:bookmarkStart w:id="667" w:name="_Toc275242318"/>
      <w:bookmarkStart w:id="668" w:name="_Toc152042485"/>
      <w:bookmarkStart w:id="669" w:name="_Toc152045707"/>
      <w:bookmarkStart w:id="670" w:name="_Toc144974676"/>
      <w:r>
        <w:rPr>
          <w:rFonts w:ascii="Calibri" w:hAnsi="Calibri" w:eastAsia="黑体" w:cs="宋体"/>
          <w:color w:val="auto"/>
          <w:sz w:val="24"/>
          <w:highlight w:val="none"/>
        </w:rPr>
        <w:t xml:space="preserve">15.1 </w:t>
      </w:r>
      <w:r>
        <w:rPr>
          <w:rFonts w:hint="eastAsia" w:ascii="Calibri" w:hAnsi="Calibri" w:eastAsia="黑体" w:cs="宋体"/>
          <w:color w:val="auto"/>
          <w:sz w:val="24"/>
          <w:highlight w:val="none"/>
        </w:rPr>
        <w:t>变更的范围和内容</w:t>
      </w:r>
      <w:bookmarkEnd w:id="665"/>
      <w:bookmarkEnd w:id="666"/>
      <w:bookmarkEnd w:id="667"/>
      <w:bookmarkEnd w:id="668"/>
      <w:bookmarkEnd w:id="669"/>
      <w:bookmarkEnd w:id="670"/>
    </w:p>
    <w:p w14:paraId="072E78D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除专用合同条款另有约定外，在履行合同中发生以下情形之一，应按照本条规定进行变更。</w:t>
      </w:r>
    </w:p>
    <w:p w14:paraId="460D256E">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）取消合同中任何一项工作，但被取消的工作不能转由发包人或其他人实施；</w:t>
      </w:r>
    </w:p>
    <w:p w14:paraId="289FB5FB">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）改变合同中任何一项工作的质量或其他特性；</w:t>
      </w:r>
    </w:p>
    <w:p w14:paraId="4EA5CFFC">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）改变合同工程的基线、标高、位置或尺寸；</w:t>
      </w:r>
    </w:p>
    <w:p w14:paraId="3B76F6CD">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）改变合同中任何一项工作的施工时间或改变已批准的施工工艺或顺序；</w:t>
      </w:r>
    </w:p>
    <w:p w14:paraId="56AF5DD1">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）为完成工程需要追加的额外工作。</w:t>
      </w:r>
    </w:p>
    <w:p w14:paraId="49196CD7">
      <w:pPr>
        <w:keepNext/>
        <w:keepLines/>
        <w:spacing w:line="400" w:lineRule="exact"/>
        <w:outlineLvl w:val="2"/>
        <w:rPr>
          <w:rFonts w:ascii="Calibri" w:hAnsi="Calibri" w:eastAsia="黑体" w:cs="宋体"/>
          <w:color w:val="auto"/>
          <w:sz w:val="24"/>
          <w:highlight w:val="none"/>
        </w:rPr>
      </w:pPr>
      <w:bookmarkStart w:id="671" w:name="_Toc275242319"/>
      <w:bookmarkStart w:id="672" w:name="_Toc179632726"/>
      <w:bookmarkStart w:id="673" w:name="_Toc152045708"/>
      <w:bookmarkStart w:id="674" w:name="_Toc144974677"/>
      <w:bookmarkStart w:id="675" w:name="_Toc27201"/>
      <w:bookmarkStart w:id="676" w:name="_Toc152042486"/>
      <w:r>
        <w:rPr>
          <w:rFonts w:ascii="Calibri" w:hAnsi="Calibri" w:eastAsia="黑体" w:cs="宋体"/>
          <w:color w:val="auto"/>
          <w:sz w:val="24"/>
          <w:highlight w:val="none"/>
        </w:rPr>
        <w:t xml:space="preserve">15.2 </w:t>
      </w:r>
      <w:r>
        <w:rPr>
          <w:rFonts w:hint="eastAsia" w:ascii="Calibri" w:hAnsi="Calibri" w:eastAsia="黑体" w:cs="宋体"/>
          <w:color w:val="auto"/>
          <w:sz w:val="24"/>
          <w:highlight w:val="none"/>
        </w:rPr>
        <w:t>变更权</w:t>
      </w:r>
      <w:bookmarkEnd w:id="671"/>
      <w:bookmarkEnd w:id="672"/>
      <w:bookmarkEnd w:id="673"/>
      <w:bookmarkEnd w:id="674"/>
      <w:bookmarkEnd w:id="675"/>
      <w:bookmarkEnd w:id="676"/>
    </w:p>
    <w:p w14:paraId="6428429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在履行合同过程中，经发包人同意，监理人可按第</w:t>
      </w:r>
      <w:r>
        <w:rPr>
          <w:rFonts w:ascii="Calibri" w:hAnsi="Calibri"/>
          <w:color w:val="auto"/>
          <w:sz w:val="24"/>
          <w:highlight w:val="none"/>
        </w:rPr>
        <w:t>15.3</w:t>
      </w:r>
      <w:r>
        <w:rPr>
          <w:rFonts w:hint="eastAsia" w:ascii="Calibri" w:hAnsi="Calibri"/>
          <w:color w:val="auto"/>
          <w:sz w:val="24"/>
          <w:highlight w:val="none"/>
        </w:rPr>
        <w:t>款约定的变更程序向承包人作出变更指示，承包人应遵照执行。没有监理人的变更指示，承包人不得擅自变更。</w:t>
      </w:r>
    </w:p>
    <w:p w14:paraId="13C82F63">
      <w:pPr>
        <w:keepNext/>
        <w:keepLines/>
        <w:spacing w:line="400" w:lineRule="exact"/>
        <w:outlineLvl w:val="2"/>
        <w:rPr>
          <w:rFonts w:ascii="Calibri" w:hAnsi="Calibri" w:eastAsia="黑体" w:cs="宋体"/>
          <w:color w:val="auto"/>
          <w:sz w:val="24"/>
          <w:highlight w:val="none"/>
        </w:rPr>
      </w:pPr>
      <w:bookmarkStart w:id="677" w:name="_Toc179632727"/>
      <w:bookmarkStart w:id="678" w:name="_Toc152042487"/>
      <w:bookmarkStart w:id="679" w:name="_Toc22010"/>
      <w:bookmarkStart w:id="680" w:name="_Toc144974678"/>
      <w:bookmarkStart w:id="681" w:name="_Toc275242320"/>
      <w:bookmarkStart w:id="682" w:name="_Toc152045709"/>
      <w:r>
        <w:rPr>
          <w:rFonts w:ascii="Calibri" w:hAnsi="Calibri" w:eastAsia="黑体" w:cs="宋体"/>
          <w:color w:val="auto"/>
          <w:sz w:val="24"/>
          <w:highlight w:val="none"/>
        </w:rPr>
        <w:t xml:space="preserve">15.3 </w:t>
      </w:r>
      <w:r>
        <w:rPr>
          <w:rFonts w:hint="eastAsia" w:ascii="Calibri" w:hAnsi="Calibri" w:eastAsia="黑体" w:cs="宋体"/>
          <w:color w:val="auto"/>
          <w:sz w:val="24"/>
          <w:highlight w:val="none"/>
        </w:rPr>
        <w:t>变更程序</w:t>
      </w:r>
      <w:bookmarkEnd w:id="677"/>
      <w:bookmarkEnd w:id="678"/>
      <w:bookmarkEnd w:id="679"/>
      <w:bookmarkEnd w:id="680"/>
      <w:bookmarkEnd w:id="681"/>
      <w:bookmarkEnd w:id="682"/>
    </w:p>
    <w:p w14:paraId="53C0BF2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15.3.1 </w:t>
      </w:r>
      <w:r>
        <w:rPr>
          <w:rFonts w:hint="eastAsia" w:ascii="黑体" w:hAnsi="Calibri" w:eastAsia="黑体"/>
          <w:color w:val="auto"/>
          <w:sz w:val="24"/>
          <w:highlight w:val="none"/>
        </w:rPr>
        <w:t>变更的提出</w:t>
      </w:r>
    </w:p>
    <w:p w14:paraId="0717DFF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）在合同履行过程中，可能发生第</w:t>
      </w:r>
      <w:r>
        <w:rPr>
          <w:rFonts w:ascii="Calibri" w:hAnsi="Calibri"/>
          <w:color w:val="auto"/>
          <w:sz w:val="24"/>
          <w:highlight w:val="none"/>
        </w:rPr>
        <w:t>15.1</w:t>
      </w:r>
      <w:r>
        <w:rPr>
          <w:rFonts w:hint="eastAsia" w:ascii="Calibri" w:hAnsi="Calibri"/>
          <w:color w:val="auto"/>
          <w:sz w:val="24"/>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Calibri" w:hAnsi="Calibri"/>
          <w:color w:val="auto"/>
          <w:sz w:val="24"/>
          <w:highlight w:val="none"/>
        </w:rPr>
        <w:t>15.3.3</w:t>
      </w:r>
      <w:r>
        <w:rPr>
          <w:rFonts w:hint="eastAsia" w:ascii="Calibri" w:hAnsi="Calibri"/>
          <w:color w:val="auto"/>
          <w:sz w:val="24"/>
          <w:highlight w:val="none"/>
        </w:rPr>
        <w:t>项约定发出变更指示。</w:t>
      </w:r>
    </w:p>
    <w:p w14:paraId="396D06F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）在合同履行过程中，发生第</w:t>
      </w:r>
      <w:r>
        <w:rPr>
          <w:rFonts w:ascii="Calibri" w:hAnsi="Calibri"/>
          <w:color w:val="auto"/>
          <w:sz w:val="24"/>
          <w:highlight w:val="none"/>
        </w:rPr>
        <w:t>15.1</w:t>
      </w:r>
      <w:r>
        <w:rPr>
          <w:rFonts w:hint="eastAsia" w:ascii="Calibri" w:hAnsi="Calibri"/>
          <w:color w:val="auto"/>
          <w:sz w:val="24"/>
          <w:highlight w:val="none"/>
        </w:rPr>
        <w:t>款约定情形的，监理人应按照第</w:t>
      </w:r>
      <w:r>
        <w:rPr>
          <w:rFonts w:ascii="Calibri" w:hAnsi="Calibri"/>
          <w:color w:val="auto"/>
          <w:sz w:val="24"/>
          <w:highlight w:val="none"/>
        </w:rPr>
        <w:t>15.3.3</w:t>
      </w:r>
      <w:r>
        <w:rPr>
          <w:rFonts w:hint="eastAsia" w:ascii="Calibri" w:hAnsi="Calibri"/>
          <w:color w:val="auto"/>
          <w:sz w:val="24"/>
          <w:highlight w:val="none"/>
        </w:rPr>
        <w:t>项约定向承包人发出变更指示。</w:t>
      </w:r>
    </w:p>
    <w:p w14:paraId="66F492E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）承包人收到监理人按合同约定发出的图纸和文件，经检查认为其中存在第</w:t>
      </w:r>
      <w:r>
        <w:rPr>
          <w:rFonts w:ascii="Calibri" w:hAnsi="Calibri"/>
          <w:color w:val="auto"/>
          <w:sz w:val="24"/>
          <w:highlight w:val="none"/>
        </w:rPr>
        <w:t>15.1</w:t>
      </w:r>
      <w:r>
        <w:rPr>
          <w:rFonts w:hint="eastAsia" w:ascii="Calibri" w:hAnsi="Calibri"/>
          <w:color w:val="auto"/>
          <w:sz w:val="24"/>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Calibri" w:hAnsi="Calibri"/>
          <w:color w:val="auto"/>
          <w:sz w:val="24"/>
          <w:highlight w:val="none"/>
        </w:rPr>
        <w:t>14</w:t>
      </w:r>
      <w:r>
        <w:rPr>
          <w:rFonts w:hint="eastAsia" w:ascii="Calibri" w:hAnsi="Calibri"/>
          <w:color w:val="auto"/>
          <w:sz w:val="24"/>
          <w:highlight w:val="none"/>
        </w:rPr>
        <w:t>天内作出变更指示。经研究后不同意作为变更的，应由监理人书面答复承包人。</w:t>
      </w:r>
    </w:p>
    <w:p w14:paraId="00A90A3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）若承包人收到监理人的变更意向书后认为难以实施此项变更，应立即通知监理人，说明原因并附详细依据。监理人与承包人和发包人协商后确定撤销</w:t>
      </w:r>
      <w:r>
        <w:rPr>
          <w:rFonts w:hint="eastAsia" w:ascii="宋体" w:hAnsi="宋体"/>
          <w:color w:val="auto"/>
          <w:sz w:val="24"/>
          <w:highlight w:val="none"/>
        </w:rPr>
        <w:t>、</w:t>
      </w:r>
      <w:r>
        <w:rPr>
          <w:rFonts w:hint="eastAsia" w:ascii="Calibri" w:hAnsi="Calibri"/>
          <w:color w:val="auto"/>
          <w:sz w:val="24"/>
          <w:highlight w:val="none"/>
        </w:rPr>
        <w:t>改变或不改变原变更意向书。</w:t>
      </w:r>
    </w:p>
    <w:p w14:paraId="3148A30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15.3.2 </w:t>
      </w:r>
      <w:r>
        <w:rPr>
          <w:rFonts w:hint="eastAsia" w:ascii="黑体" w:hAnsi="Calibri" w:eastAsia="黑体"/>
          <w:color w:val="auto"/>
          <w:sz w:val="24"/>
          <w:highlight w:val="none"/>
        </w:rPr>
        <w:t>变更估价</w:t>
      </w:r>
    </w:p>
    <w:p w14:paraId="4124E27E">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）除专用合同条款对期限另有约定外，承包人应在收到变更指示或变更意向书后的</w:t>
      </w:r>
      <w:r>
        <w:rPr>
          <w:rFonts w:ascii="Calibri" w:hAnsi="Calibri"/>
          <w:color w:val="auto"/>
          <w:sz w:val="24"/>
          <w:highlight w:val="none"/>
        </w:rPr>
        <w:t>14</w:t>
      </w:r>
      <w:r>
        <w:rPr>
          <w:rFonts w:hint="eastAsia" w:ascii="Calibri" w:hAnsi="Calibri"/>
          <w:color w:val="auto"/>
          <w:sz w:val="24"/>
          <w:highlight w:val="none"/>
        </w:rPr>
        <w:t>天内，向监理人提交变更报价书，报价内容应根据第</w:t>
      </w:r>
      <w:r>
        <w:rPr>
          <w:rFonts w:ascii="Calibri" w:hAnsi="Calibri"/>
          <w:color w:val="auto"/>
          <w:sz w:val="24"/>
          <w:highlight w:val="none"/>
        </w:rPr>
        <w:t>15.4</w:t>
      </w:r>
      <w:r>
        <w:rPr>
          <w:rFonts w:hint="eastAsia" w:ascii="Calibri" w:hAnsi="Calibri"/>
          <w:color w:val="auto"/>
          <w:sz w:val="24"/>
          <w:highlight w:val="none"/>
        </w:rPr>
        <w:t>款约定的估价原则，详细开列变更工作的价格组成及其依据，并附必要的施工方法说明和有关图纸。</w:t>
      </w:r>
    </w:p>
    <w:p w14:paraId="2EFE09F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）变更工作影响工期的，承包人应提出调整工期的具体细节。监理人认为有必要时，可要求承包人提交要求提前或延长工期的施工进度计划及相应施工措施等详细资料。</w:t>
      </w:r>
    </w:p>
    <w:p w14:paraId="2F80D0D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）除专用合同条款对期限另有约定外，监理人收到承包人变更报价书后的</w:t>
      </w:r>
      <w:r>
        <w:rPr>
          <w:rFonts w:ascii="Calibri" w:hAnsi="Calibri"/>
          <w:color w:val="auto"/>
          <w:sz w:val="24"/>
          <w:highlight w:val="none"/>
        </w:rPr>
        <w:t>14</w:t>
      </w:r>
      <w:r>
        <w:rPr>
          <w:rFonts w:hint="eastAsia" w:ascii="Calibri" w:hAnsi="Calibri"/>
          <w:color w:val="auto"/>
          <w:sz w:val="24"/>
          <w:highlight w:val="none"/>
        </w:rPr>
        <w:t>天内，根据第</w:t>
      </w:r>
      <w:r>
        <w:rPr>
          <w:rFonts w:ascii="Calibri" w:hAnsi="Calibri"/>
          <w:color w:val="auto"/>
          <w:sz w:val="24"/>
          <w:highlight w:val="none"/>
        </w:rPr>
        <w:t>15.4</w:t>
      </w:r>
      <w:r>
        <w:rPr>
          <w:rFonts w:hint="eastAsia" w:ascii="Calibri" w:hAnsi="Calibri"/>
          <w:color w:val="auto"/>
          <w:sz w:val="24"/>
          <w:highlight w:val="none"/>
        </w:rPr>
        <w:t>款约定的估价原则，按照第</w:t>
      </w:r>
      <w:r>
        <w:rPr>
          <w:rFonts w:ascii="Calibri" w:hAnsi="Calibri"/>
          <w:color w:val="auto"/>
          <w:sz w:val="24"/>
          <w:highlight w:val="none"/>
        </w:rPr>
        <w:t>3.5</w:t>
      </w:r>
      <w:r>
        <w:rPr>
          <w:rFonts w:hint="eastAsia" w:ascii="Calibri" w:hAnsi="Calibri"/>
          <w:color w:val="auto"/>
          <w:sz w:val="24"/>
          <w:highlight w:val="none"/>
        </w:rPr>
        <w:t>款商定或确定变更价格。</w:t>
      </w:r>
    </w:p>
    <w:p w14:paraId="40E5E8F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15.3.3 </w:t>
      </w:r>
      <w:r>
        <w:rPr>
          <w:rFonts w:hint="eastAsia" w:ascii="黑体" w:hAnsi="Calibri" w:eastAsia="黑体"/>
          <w:color w:val="auto"/>
          <w:sz w:val="24"/>
          <w:highlight w:val="none"/>
        </w:rPr>
        <w:t>变更指示</w:t>
      </w:r>
    </w:p>
    <w:p w14:paraId="797346B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）变更指示只能由监理人发出。</w:t>
      </w:r>
    </w:p>
    <w:p w14:paraId="0C20399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）变更指示应说明变更的目的、范围、变更内容以及变更的工程量及其进度和技术要求，并附有关图纸和文件。承包人收到变更指示后，应按变更指示进行变更工作。</w:t>
      </w:r>
    </w:p>
    <w:p w14:paraId="433942E8">
      <w:pPr>
        <w:keepNext/>
        <w:keepLines/>
        <w:spacing w:line="400" w:lineRule="exact"/>
        <w:outlineLvl w:val="2"/>
        <w:rPr>
          <w:rFonts w:ascii="Calibri" w:hAnsi="Calibri" w:eastAsia="黑体" w:cs="宋体"/>
          <w:color w:val="auto"/>
          <w:sz w:val="24"/>
          <w:highlight w:val="none"/>
        </w:rPr>
      </w:pPr>
      <w:bookmarkStart w:id="683" w:name="_Toc144974679"/>
      <w:bookmarkStart w:id="684" w:name="_Toc152042488"/>
      <w:bookmarkStart w:id="685" w:name="_Toc179632728"/>
      <w:bookmarkStart w:id="686" w:name="_Toc15443"/>
      <w:bookmarkStart w:id="687" w:name="_Toc275242321"/>
      <w:bookmarkStart w:id="688" w:name="_Toc152045710"/>
      <w:r>
        <w:rPr>
          <w:rFonts w:ascii="Calibri" w:hAnsi="Calibri" w:eastAsia="黑体" w:cs="宋体"/>
          <w:color w:val="auto"/>
          <w:sz w:val="24"/>
          <w:highlight w:val="none"/>
        </w:rPr>
        <w:t xml:space="preserve">15.4 </w:t>
      </w:r>
      <w:r>
        <w:rPr>
          <w:rFonts w:hint="eastAsia" w:ascii="Calibri" w:hAnsi="Calibri" w:eastAsia="黑体" w:cs="宋体"/>
          <w:color w:val="auto"/>
          <w:sz w:val="24"/>
          <w:highlight w:val="none"/>
        </w:rPr>
        <w:t>变更的估价原则</w:t>
      </w:r>
      <w:bookmarkEnd w:id="683"/>
      <w:bookmarkEnd w:id="684"/>
      <w:bookmarkEnd w:id="685"/>
      <w:bookmarkEnd w:id="686"/>
      <w:bookmarkEnd w:id="687"/>
      <w:bookmarkEnd w:id="688"/>
    </w:p>
    <w:p w14:paraId="560BD95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除专用合同条款另有约定外，因变更引起的价格调整按照本款约定处理。</w:t>
      </w:r>
    </w:p>
    <w:p w14:paraId="637426F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15.4.1 </w:t>
      </w:r>
      <w:r>
        <w:rPr>
          <w:rFonts w:hint="eastAsia" w:ascii="Calibri" w:hAnsi="Calibri"/>
          <w:color w:val="auto"/>
          <w:sz w:val="24"/>
          <w:highlight w:val="none"/>
        </w:rPr>
        <w:t>已标价工程量清单中有适用于变更工作的子目的，采用该子目的单价。</w:t>
      </w:r>
    </w:p>
    <w:p w14:paraId="105C46B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15.4.2 </w:t>
      </w:r>
      <w:r>
        <w:rPr>
          <w:rFonts w:hint="eastAsia" w:ascii="Calibri" w:hAnsi="Calibri"/>
          <w:color w:val="auto"/>
          <w:sz w:val="24"/>
          <w:highlight w:val="none"/>
        </w:rPr>
        <w:t>已标价工程量清单中无适用于变更工作的子目，但有类似子目的，可在合理范围内参照类似子目的单价，由监理人按第</w:t>
      </w:r>
      <w:r>
        <w:rPr>
          <w:rFonts w:ascii="Calibri" w:hAnsi="Calibri"/>
          <w:color w:val="auto"/>
          <w:sz w:val="24"/>
          <w:highlight w:val="none"/>
        </w:rPr>
        <w:t>3.5</w:t>
      </w:r>
      <w:r>
        <w:rPr>
          <w:rFonts w:hint="eastAsia" w:ascii="Calibri" w:hAnsi="Calibri"/>
          <w:color w:val="auto"/>
          <w:sz w:val="24"/>
          <w:highlight w:val="none"/>
        </w:rPr>
        <w:t>款商定或确定变更工作的单价。</w:t>
      </w:r>
    </w:p>
    <w:p w14:paraId="61FFEEC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15.4.3 </w:t>
      </w:r>
      <w:r>
        <w:rPr>
          <w:rFonts w:hint="eastAsia" w:ascii="Calibri" w:hAnsi="Calibri"/>
          <w:color w:val="auto"/>
          <w:sz w:val="24"/>
          <w:highlight w:val="none"/>
        </w:rPr>
        <w:t>已标价工程量清单中无适用或类似子目的单价，可按照成本加利润的原则，由监理人按第</w:t>
      </w:r>
      <w:r>
        <w:rPr>
          <w:rFonts w:ascii="Calibri" w:hAnsi="Calibri"/>
          <w:color w:val="auto"/>
          <w:sz w:val="24"/>
          <w:highlight w:val="none"/>
        </w:rPr>
        <w:t>3.5</w:t>
      </w:r>
      <w:r>
        <w:rPr>
          <w:rFonts w:hint="eastAsia" w:ascii="Calibri" w:hAnsi="Calibri"/>
          <w:color w:val="auto"/>
          <w:sz w:val="24"/>
          <w:highlight w:val="none"/>
        </w:rPr>
        <w:t>款商定或确定变更工作的单价。</w:t>
      </w:r>
    </w:p>
    <w:p w14:paraId="79A02A62">
      <w:pPr>
        <w:keepNext/>
        <w:keepLines/>
        <w:spacing w:line="400" w:lineRule="exact"/>
        <w:outlineLvl w:val="2"/>
        <w:rPr>
          <w:rFonts w:ascii="Calibri" w:hAnsi="Calibri" w:eastAsia="黑体" w:cs="宋体"/>
          <w:color w:val="auto"/>
          <w:sz w:val="24"/>
          <w:highlight w:val="none"/>
        </w:rPr>
      </w:pPr>
      <w:bookmarkStart w:id="689" w:name="_Toc16688"/>
      <w:bookmarkStart w:id="690" w:name="_Toc179632729"/>
      <w:bookmarkStart w:id="691" w:name="_Toc144974680"/>
      <w:bookmarkStart w:id="692" w:name="_Toc152042489"/>
      <w:bookmarkStart w:id="693" w:name="_Toc275242322"/>
      <w:bookmarkStart w:id="694" w:name="_Toc152045711"/>
      <w:r>
        <w:rPr>
          <w:rFonts w:ascii="Calibri" w:hAnsi="Calibri" w:eastAsia="黑体" w:cs="宋体"/>
          <w:color w:val="auto"/>
          <w:sz w:val="24"/>
          <w:highlight w:val="none"/>
        </w:rPr>
        <w:t xml:space="preserve">15.5 </w:t>
      </w:r>
      <w:r>
        <w:rPr>
          <w:rFonts w:hint="eastAsia" w:ascii="Calibri" w:hAnsi="Calibri" w:eastAsia="黑体" w:cs="宋体"/>
          <w:color w:val="auto"/>
          <w:sz w:val="24"/>
          <w:highlight w:val="none"/>
        </w:rPr>
        <w:t>承包人的合理化建议</w:t>
      </w:r>
      <w:bookmarkEnd w:id="689"/>
      <w:bookmarkEnd w:id="690"/>
      <w:bookmarkEnd w:id="691"/>
      <w:bookmarkEnd w:id="692"/>
      <w:bookmarkEnd w:id="693"/>
      <w:bookmarkEnd w:id="694"/>
    </w:p>
    <w:p w14:paraId="1CF6032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15.5.1 </w:t>
      </w:r>
      <w:r>
        <w:rPr>
          <w:rFonts w:hint="eastAsia" w:ascii="Calibri" w:hAnsi="Calibri"/>
          <w:color w:val="auto"/>
          <w:sz w:val="24"/>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Calibri" w:hAnsi="Calibri"/>
          <w:color w:val="auto"/>
          <w:sz w:val="24"/>
          <w:highlight w:val="none"/>
        </w:rPr>
        <w:t>15.3.3</w:t>
      </w:r>
      <w:r>
        <w:rPr>
          <w:rFonts w:hint="eastAsia" w:ascii="Calibri" w:hAnsi="Calibri"/>
          <w:color w:val="auto"/>
          <w:sz w:val="24"/>
          <w:highlight w:val="none"/>
        </w:rPr>
        <w:t>项约定向承包人发出变更指示。</w:t>
      </w:r>
    </w:p>
    <w:p w14:paraId="7806759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15.5.2 </w:t>
      </w:r>
      <w:r>
        <w:rPr>
          <w:rFonts w:hint="eastAsia" w:ascii="Calibri" w:hAnsi="Calibri"/>
          <w:color w:val="auto"/>
          <w:sz w:val="24"/>
          <w:highlight w:val="none"/>
        </w:rPr>
        <w:t>承包人提出的合理化建议降低了合同价格、缩短了工期或者提高了工程经济效益的，发包人可按国家有关规定在专用合同条款中约定给予奖励。</w:t>
      </w:r>
    </w:p>
    <w:p w14:paraId="2D1440D9">
      <w:pPr>
        <w:keepNext/>
        <w:keepLines/>
        <w:spacing w:line="400" w:lineRule="exact"/>
        <w:outlineLvl w:val="2"/>
        <w:rPr>
          <w:rFonts w:ascii="Calibri" w:hAnsi="Calibri" w:eastAsia="黑体" w:cs="宋体"/>
          <w:color w:val="auto"/>
          <w:sz w:val="24"/>
          <w:highlight w:val="none"/>
        </w:rPr>
      </w:pPr>
      <w:bookmarkStart w:id="695" w:name="_Toc11661"/>
      <w:bookmarkStart w:id="696" w:name="_Toc152042490"/>
      <w:bookmarkStart w:id="697" w:name="_Toc144974681"/>
      <w:bookmarkStart w:id="698" w:name="_Toc275242323"/>
      <w:bookmarkStart w:id="699" w:name="_Toc179632730"/>
      <w:bookmarkStart w:id="700" w:name="_Toc152045712"/>
      <w:r>
        <w:rPr>
          <w:rFonts w:ascii="Calibri" w:hAnsi="Calibri" w:eastAsia="黑体" w:cs="宋体"/>
          <w:color w:val="auto"/>
          <w:sz w:val="24"/>
          <w:highlight w:val="none"/>
        </w:rPr>
        <w:t xml:space="preserve">15.6 </w:t>
      </w:r>
      <w:r>
        <w:rPr>
          <w:rFonts w:hint="eastAsia" w:ascii="Calibri" w:hAnsi="Calibri" w:eastAsia="黑体" w:cs="宋体"/>
          <w:color w:val="auto"/>
          <w:sz w:val="24"/>
          <w:highlight w:val="none"/>
        </w:rPr>
        <w:t>暂列金额</w:t>
      </w:r>
      <w:bookmarkEnd w:id="695"/>
      <w:bookmarkEnd w:id="696"/>
      <w:bookmarkEnd w:id="697"/>
      <w:bookmarkEnd w:id="698"/>
      <w:bookmarkEnd w:id="699"/>
      <w:bookmarkEnd w:id="700"/>
    </w:p>
    <w:p w14:paraId="165BD4F5">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暂列金额只能按照监理人的指示使用，并对合同价格进行相应调整。</w:t>
      </w:r>
    </w:p>
    <w:p w14:paraId="7B1DDB3F">
      <w:pPr>
        <w:keepNext/>
        <w:keepLines/>
        <w:spacing w:line="400" w:lineRule="exact"/>
        <w:outlineLvl w:val="2"/>
        <w:rPr>
          <w:rFonts w:ascii="Calibri" w:hAnsi="Calibri" w:eastAsia="黑体" w:cs="宋体"/>
          <w:color w:val="auto"/>
          <w:sz w:val="24"/>
          <w:highlight w:val="none"/>
        </w:rPr>
      </w:pPr>
      <w:bookmarkStart w:id="701" w:name="_Toc152042491"/>
      <w:bookmarkStart w:id="702" w:name="_Toc144974682"/>
      <w:bookmarkStart w:id="703" w:name="_Toc20358"/>
      <w:bookmarkStart w:id="704" w:name="_Toc275242324"/>
      <w:bookmarkStart w:id="705" w:name="_Toc179632731"/>
      <w:bookmarkStart w:id="706" w:name="_Toc152045713"/>
      <w:r>
        <w:rPr>
          <w:rFonts w:ascii="Calibri" w:hAnsi="Calibri" w:eastAsia="黑体" w:cs="宋体"/>
          <w:color w:val="auto"/>
          <w:sz w:val="24"/>
          <w:highlight w:val="none"/>
        </w:rPr>
        <w:t xml:space="preserve">15.7 </w:t>
      </w:r>
      <w:r>
        <w:rPr>
          <w:rFonts w:hint="eastAsia" w:ascii="Calibri" w:hAnsi="Calibri" w:eastAsia="黑体" w:cs="宋体"/>
          <w:color w:val="auto"/>
          <w:sz w:val="24"/>
          <w:highlight w:val="none"/>
        </w:rPr>
        <w:t>计日工</w:t>
      </w:r>
      <w:bookmarkEnd w:id="701"/>
      <w:bookmarkEnd w:id="702"/>
      <w:bookmarkEnd w:id="703"/>
      <w:bookmarkEnd w:id="704"/>
      <w:bookmarkEnd w:id="705"/>
      <w:bookmarkEnd w:id="706"/>
    </w:p>
    <w:p w14:paraId="05F65484">
      <w:pPr>
        <w:spacing w:line="400" w:lineRule="exact"/>
        <w:ind w:firstLine="480" w:firstLineChars="200"/>
        <w:rPr>
          <w:rFonts w:ascii="Calibri" w:hAnsi="Calibri"/>
          <w:color w:val="auto"/>
          <w:sz w:val="24"/>
          <w:highlight w:val="none"/>
          <w:shd w:val="pct10" w:color="auto" w:fill="FFFFFF"/>
        </w:rPr>
      </w:pPr>
      <w:r>
        <w:rPr>
          <w:rFonts w:ascii="Calibri" w:hAnsi="Calibri"/>
          <w:color w:val="auto"/>
          <w:sz w:val="24"/>
          <w:highlight w:val="none"/>
        </w:rPr>
        <w:t xml:space="preserve">15.7.1 </w:t>
      </w:r>
      <w:r>
        <w:rPr>
          <w:rFonts w:hint="eastAsia" w:ascii="Calibri" w:hAnsi="Calibri"/>
          <w:color w:val="auto"/>
          <w:sz w:val="24"/>
          <w:highlight w:val="none"/>
        </w:rPr>
        <w:t>发包人认为有必要时，由监理人通知承包人以计日工方式实施变更的零星工作。其价款按列入已标价工程量清单中的计日工计价子目及其单价进行计算。</w:t>
      </w:r>
    </w:p>
    <w:p w14:paraId="6412ABA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15.7.2 </w:t>
      </w:r>
      <w:r>
        <w:rPr>
          <w:rFonts w:hint="eastAsia" w:ascii="Calibri" w:hAnsi="Calibri"/>
          <w:color w:val="auto"/>
          <w:sz w:val="24"/>
          <w:highlight w:val="none"/>
        </w:rPr>
        <w:t>采用计日工计价的任何一项变更工作，应从暂列金额中支付，承包人应在该项变更的实施过程中，每天提交以下报表和有关凭证报送监理人审批：</w:t>
      </w:r>
    </w:p>
    <w:p w14:paraId="0E5D20E7">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）工作名称、内容和数量；</w:t>
      </w:r>
    </w:p>
    <w:p w14:paraId="2FEF6942">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）投入该工作所有人员的姓名、工种、级别和耗用工时；</w:t>
      </w:r>
    </w:p>
    <w:p w14:paraId="68804F4D">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）投入该工作的材料类别和数量；</w:t>
      </w:r>
    </w:p>
    <w:p w14:paraId="435DA7AF">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）投入该工作的施工设备型号、台数和耗用台时；</w:t>
      </w:r>
    </w:p>
    <w:p w14:paraId="7B8930DB">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）监理人要求提交的其他资料和凭证。</w:t>
      </w:r>
    </w:p>
    <w:p w14:paraId="319EE20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15.7.3 </w:t>
      </w:r>
      <w:r>
        <w:rPr>
          <w:rFonts w:hint="eastAsia" w:ascii="Calibri" w:hAnsi="Calibri"/>
          <w:color w:val="auto"/>
          <w:sz w:val="24"/>
          <w:highlight w:val="none"/>
        </w:rPr>
        <w:t>计日工由承包人汇总后，按第</w:t>
      </w:r>
      <w:r>
        <w:rPr>
          <w:rFonts w:ascii="Calibri" w:hAnsi="Calibri"/>
          <w:color w:val="auto"/>
          <w:sz w:val="24"/>
          <w:highlight w:val="none"/>
        </w:rPr>
        <w:t>17.3.2</w:t>
      </w:r>
      <w:r>
        <w:rPr>
          <w:rFonts w:hint="eastAsia" w:ascii="Calibri" w:hAnsi="Calibri"/>
          <w:color w:val="auto"/>
          <w:sz w:val="24"/>
          <w:highlight w:val="none"/>
        </w:rPr>
        <w:t>项的约定列入进度付款申请单，由监理人复核并经发包人同意后列入进度付款。</w:t>
      </w:r>
    </w:p>
    <w:p w14:paraId="616BEF65">
      <w:pPr>
        <w:keepNext/>
        <w:keepLines/>
        <w:spacing w:line="400" w:lineRule="exact"/>
        <w:outlineLvl w:val="2"/>
        <w:rPr>
          <w:rFonts w:ascii="Calibri" w:hAnsi="Calibri" w:eastAsia="黑体" w:cs="宋体"/>
          <w:color w:val="auto"/>
          <w:sz w:val="24"/>
          <w:highlight w:val="none"/>
        </w:rPr>
      </w:pPr>
      <w:bookmarkStart w:id="707" w:name="_Toc275242325"/>
      <w:bookmarkStart w:id="708" w:name="_Toc152045714"/>
      <w:bookmarkStart w:id="709" w:name="_Toc144974683"/>
      <w:bookmarkStart w:id="710" w:name="_Toc27802"/>
      <w:bookmarkStart w:id="711" w:name="_Toc179632732"/>
      <w:bookmarkStart w:id="712" w:name="_Toc152042492"/>
      <w:r>
        <w:rPr>
          <w:rFonts w:ascii="Calibri" w:hAnsi="Calibri" w:eastAsia="黑体" w:cs="宋体"/>
          <w:color w:val="auto"/>
          <w:sz w:val="24"/>
          <w:highlight w:val="none"/>
        </w:rPr>
        <w:t xml:space="preserve">15.8 </w:t>
      </w:r>
      <w:r>
        <w:rPr>
          <w:rFonts w:hint="eastAsia" w:ascii="Calibri" w:hAnsi="Calibri" w:eastAsia="黑体" w:cs="宋体"/>
          <w:color w:val="auto"/>
          <w:sz w:val="24"/>
          <w:highlight w:val="none"/>
        </w:rPr>
        <w:t>暂估价</w:t>
      </w:r>
      <w:bookmarkEnd w:id="707"/>
      <w:bookmarkEnd w:id="708"/>
      <w:bookmarkEnd w:id="709"/>
      <w:bookmarkEnd w:id="710"/>
      <w:bookmarkEnd w:id="711"/>
      <w:bookmarkEnd w:id="712"/>
    </w:p>
    <w:p w14:paraId="4F7C06DA">
      <w:pPr>
        <w:spacing w:line="400" w:lineRule="exact"/>
        <w:rPr>
          <w:rFonts w:ascii="Calibri" w:hAnsi="Calibri"/>
          <w:color w:val="auto"/>
          <w:sz w:val="24"/>
          <w:highlight w:val="none"/>
        </w:rPr>
      </w:pPr>
      <w:r>
        <w:rPr>
          <w:rFonts w:ascii="Calibri" w:hAnsi="Calibri"/>
          <w:color w:val="auto"/>
          <w:sz w:val="24"/>
          <w:highlight w:val="none"/>
        </w:rPr>
        <w:t xml:space="preserve">    15.8.1 </w:t>
      </w:r>
      <w:r>
        <w:rPr>
          <w:rFonts w:hint="eastAsia" w:ascii="Calibri" w:hAnsi="Calibri"/>
          <w:color w:val="auto"/>
          <w:sz w:val="24"/>
          <w:highlight w:val="none"/>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5F760A1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15.8.2 </w:t>
      </w:r>
      <w:r>
        <w:rPr>
          <w:rFonts w:hint="eastAsia" w:ascii="Calibri" w:hAnsi="Calibri"/>
          <w:color w:val="auto"/>
          <w:sz w:val="24"/>
          <w:highlight w:val="none"/>
        </w:rPr>
        <w:t>发包人在工程量清单中给定暂估价的材料和工程设备不属于依法必须招标的范围或未达到规定的规模标准的，应由承包人按第</w:t>
      </w:r>
      <w:r>
        <w:rPr>
          <w:rFonts w:ascii="Calibri" w:hAnsi="Calibri"/>
          <w:color w:val="auto"/>
          <w:sz w:val="24"/>
          <w:highlight w:val="none"/>
        </w:rPr>
        <w:t>5.1</w:t>
      </w:r>
      <w:r>
        <w:rPr>
          <w:rFonts w:hint="eastAsia" w:ascii="Calibri" w:hAnsi="Calibri"/>
          <w:color w:val="auto"/>
          <w:sz w:val="24"/>
          <w:highlight w:val="none"/>
        </w:rPr>
        <w:t>款的约定提供。经监理人确认的材料、工程设备的价格与工程量清单中所列的暂估价的金额差以及相应的税金等其他费用列入合同价格。</w:t>
      </w:r>
    </w:p>
    <w:p w14:paraId="0A7C71C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15.8.3 </w:t>
      </w:r>
      <w:r>
        <w:rPr>
          <w:rFonts w:hint="eastAsia" w:ascii="Calibri" w:hAnsi="Calibri"/>
          <w:color w:val="auto"/>
          <w:sz w:val="24"/>
          <w:highlight w:val="none"/>
        </w:rPr>
        <w:t>发包人在工程量清单中给定暂估价的专业工程不属于依法必须招标的范围或未达到规定的规模标准的，由监理人按照第</w:t>
      </w:r>
      <w:r>
        <w:rPr>
          <w:rFonts w:ascii="Calibri" w:hAnsi="Calibri"/>
          <w:color w:val="auto"/>
          <w:sz w:val="24"/>
          <w:highlight w:val="none"/>
        </w:rPr>
        <w:t>15.4</w:t>
      </w:r>
      <w:r>
        <w:rPr>
          <w:rFonts w:hint="eastAsia" w:ascii="Calibri" w:hAnsi="Calibri"/>
          <w:color w:val="auto"/>
          <w:sz w:val="24"/>
          <w:highlight w:val="none"/>
        </w:rPr>
        <w:t>款进行估价，但专用合同条款另有约定的除外。经估价的专业工程与工程量清单中所列的暂估价的金额差以及相应的税金等其他费用列入合同价格。</w:t>
      </w:r>
    </w:p>
    <w:p w14:paraId="645B68D5">
      <w:pPr>
        <w:keepNext/>
        <w:keepLines/>
        <w:spacing w:line="400" w:lineRule="exact"/>
        <w:outlineLvl w:val="1"/>
        <w:rPr>
          <w:rFonts w:eastAsia="黑体" w:cs="宋体"/>
          <w:color w:val="auto"/>
          <w:sz w:val="24"/>
          <w:highlight w:val="none"/>
        </w:rPr>
      </w:pPr>
      <w:bookmarkStart w:id="713" w:name="_Toc144974684"/>
      <w:bookmarkStart w:id="714" w:name="_Toc152045715"/>
      <w:bookmarkStart w:id="715" w:name="_Toc179632733"/>
      <w:bookmarkStart w:id="716" w:name="_Toc275242326"/>
      <w:bookmarkStart w:id="717" w:name="_Toc9169"/>
      <w:bookmarkStart w:id="718" w:name="_Toc152042493"/>
      <w:r>
        <w:rPr>
          <w:rFonts w:eastAsia="黑体" w:cs="宋体"/>
          <w:color w:val="auto"/>
          <w:sz w:val="24"/>
          <w:highlight w:val="none"/>
        </w:rPr>
        <w:t xml:space="preserve">16. </w:t>
      </w:r>
      <w:r>
        <w:rPr>
          <w:rFonts w:hint="eastAsia" w:eastAsia="黑体" w:cs="宋体"/>
          <w:color w:val="auto"/>
          <w:sz w:val="24"/>
          <w:highlight w:val="none"/>
        </w:rPr>
        <w:t>价格调整</w:t>
      </w:r>
      <w:bookmarkEnd w:id="713"/>
      <w:bookmarkEnd w:id="714"/>
      <w:bookmarkEnd w:id="715"/>
      <w:bookmarkEnd w:id="716"/>
      <w:bookmarkEnd w:id="717"/>
      <w:bookmarkEnd w:id="718"/>
    </w:p>
    <w:p w14:paraId="799C1274">
      <w:pPr>
        <w:keepNext/>
        <w:keepLines/>
        <w:spacing w:line="400" w:lineRule="exact"/>
        <w:outlineLvl w:val="2"/>
        <w:rPr>
          <w:rFonts w:ascii="Calibri" w:hAnsi="Calibri" w:eastAsia="黑体" w:cs="宋体"/>
          <w:color w:val="auto"/>
          <w:sz w:val="24"/>
          <w:highlight w:val="none"/>
        </w:rPr>
      </w:pPr>
      <w:bookmarkStart w:id="719" w:name="_Toc275242327"/>
      <w:bookmarkStart w:id="720" w:name="_Toc179632734"/>
      <w:bookmarkStart w:id="721" w:name="_Toc144974685"/>
      <w:bookmarkStart w:id="722" w:name="_Toc152042494"/>
      <w:bookmarkStart w:id="723" w:name="_Toc19587"/>
      <w:bookmarkStart w:id="724" w:name="_Toc152045716"/>
      <w:r>
        <w:rPr>
          <w:rFonts w:ascii="Calibri" w:hAnsi="Calibri" w:eastAsia="黑体" w:cs="宋体"/>
          <w:color w:val="auto"/>
          <w:sz w:val="24"/>
          <w:highlight w:val="none"/>
        </w:rPr>
        <w:t xml:space="preserve">16.1 </w:t>
      </w:r>
      <w:r>
        <w:rPr>
          <w:rFonts w:hint="eastAsia" w:ascii="Calibri" w:hAnsi="Calibri" w:eastAsia="黑体" w:cs="宋体"/>
          <w:color w:val="auto"/>
          <w:sz w:val="24"/>
          <w:highlight w:val="none"/>
        </w:rPr>
        <w:t>物价波动引起的价格调整</w:t>
      </w:r>
      <w:bookmarkEnd w:id="719"/>
      <w:bookmarkEnd w:id="720"/>
      <w:bookmarkEnd w:id="721"/>
      <w:bookmarkEnd w:id="722"/>
      <w:bookmarkEnd w:id="723"/>
      <w:bookmarkEnd w:id="724"/>
    </w:p>
    <w:p w14:paraId="135988D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除专用合同条款另有约定外，因物价波动引起的价格调整按照本款约定处理。</w:t>
      </w:r>
    </w:p>
    <w:p w14:paraId="4ECCEFC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16.1.1 </w:t>
      </w:r>
      <w:r>
        <w:rPr>
          <w:rFonts w:hint="eastAsia" w:ascii="黑体" w:hAnsi="Calibri" w:eastAsia="黑体"/>
          <w:color w:val="auto"/>
          <w:sz w:val="24"/>
          <w:highlight w:val="none"/>
        </w:rPr>
        <w:t>采用价格指数调整价格差额</w:t>
      </w:r>
    </w:p>
    <w:p w14:paraId="0DA8EF9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16.1.1.1 </w:t>
      </w:r>
      <w:r>
        <w:rPr>
          <w:rFonts w:hint="eastAsia" w:ascii="Calibri" w:hAnsi="Calibri"/>
          <w:color w:val="auto"/>
          <w:sz w:val="24"/>
          <w:highlight w:val="none"/>
        </w:rPr>
        <w:t>价格调整公式</w:t>
      </w:r>
    </w:p>
    <w:p w14:paraId="2109314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因人工、材料和设备等价格波动影响合同价格时，根据投标函附录中的价格指数和权重表约定的数据，按以下公式计算差额并调整合同价格。</w:t>
      </w:r>
    </w:p>
    <w:p w14:paraId="7E5F389E">
      <w:pPr>
        <w:autoSpaceDE w:val="0"/>
        <w:autoSpaceDN w:val="0"/>
        <w:adjustRightInd w:val="0"/>
        <w:spacing w:line="1200" w:lineRule="exact"/>
        <w:ind w:right="248" w:firstLine="955" w:firstLineChars="398"/>
        <w:rPr>
          <w:rFonts w:ascii="Calibri" w:hAnsi="Calibri"/>
          <w:color w:val="auto"/>
          <w:sz w:val="24"/>
          <w:highlight w:val="none"/>
        </w:rPr>
      </w:pPr>
      <w:r>
        <w:rPr>
          <w:rFonts w:ascii="Calibri" w:hAnsi="Calibri"/>
          <w:color w:val="auto"/>
          <w:position w:val="-34"/>
          <w:sz w:val="24"/>
          <w:highlight w:val="none"/>
        </w:rPr>
        <w:drawing>
          <wp:inline distT="0" distB="0" distL="114300" distR="114300">
            <wp:extent cx="3886200" cy="504825"/>
            <wp:effectExtent l="0" t="0" r="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4"/>
                    <a:stretch>
                      <a:fillRect/>
                    </a:stretch>
                  </pic:blipFill>
                  <pic:spPr>
                    <a:xfrm>
                      <a:off x="0" y="0"/>
                      <a:ext cx="3886200" cy="504825"/>
                    </a:xfrm>
                    <a:prstGeom prst="rect">
                      <a:avLst/>
                    </a:prstGeom>
                    <a:noFill/>
                    <a:ln>
                      <a:noFill/>
                    </a:ln>
                  </pic:spPr>
                </pic:pic>
              </a:graphicData>
            </a:graphic>
          </wp:inline>
        </w:drawing>
      </w:r>
    </w:p>
    <w:p w14:paraId="07FFCAB3">
      <w:pPr>
        <w:tabs>
          <w:tab w:val="left" w:pos="1260"/>
        </w:tabs>
        <w:spacing w:line="400" w:lineRule="exact"/>
        <w:ind w:firstLine="480" w:firstLineChars="200"/>
        <w:rPr>
          <w:rFonts w:ascii="Calibri" w:hAnsi="Calibri"/>
          <w:color w:val="auto"/>
          <w:sz w:val="24"/>
          <w:highlight w:val="none"/>
        </w:rPr>
      </w:pPr>
    </w:p>
    <w:p w14:paraId="39D99475">
      <w:pPr>
        <w:tabs>
          <w:tab w:val="left" w:pos="1260"/>
        </w:tabs>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式中：△</w:t>
      </w:r>
      <w:r>
        <w:rPr>
          <w:rFonts w:ascii="Calibri" w:hAnsi="Calibri"/>
          <w:color w:val="auto"/>
          <w:sz w:val="24"/>
          <w:highlight w:val="none"/>
        </w:rPr>
        <w:t xml:space="preserve">P -- </w:t>
      </w:r>
      <w:r>
        <w:rPr>
          <w:rFonts w:hint="eastAsia" w:ascii="Calibri" w:hAnsi="Calibri"/>
          <w:color w:val="auto"/>
          <w:sz w:val="24"/>
          <w:highlight w:val="none"/>
        </w:rPr>
        <w:t>需调整的价格差额；</w:t>
      </w:r>
    </w:p>
    <w:p w14:paraId="2759A4C5">
      <w:pPr>
        <w:tabs>
          <w:tab w:val="left" w:pos="1260"/>
        </w:tabs>
        <w:spacing w:line="400" w:lineRule="exact"/>
        <w:rPr>
          <w:rFonts w:ascii="Calibri" w:hAnsi="Calibri"/>
          <w:color w:val="auto"/>
          <w:sz w:val="24"/>
          <w:highlight w:val="none"/>
        </w:rPr>
      </w:pPr>
      <w:r>
        <w:rPr>
          <w:rFonts w:ascii="Calibri" w:hAnsi="Calibri"/>
          <w:color w:val="auto"/>
          <w:sz w:val="24"/>
          <w:highlight w:val="none"/>
        </w:rPr>
        <w:tab/>
      </w:r>
      <w:r>
        <w:rPr>
          <w:rFonts w:ascii="Calibri" w:hAnsi="Calibri"/>
          <w:color w:val="auto"/>
          <w:sz w:val="24"/>
          <w:highlight w:val="none"/>
        </w:rPr>
        <w:t>P</w:t>
      </w:r>
      <w:r>
        <w:rPr>
          <w:rFonts w:ascii="Calibri" w:hAnsi="Calibri"/>
          <w:color w:val="auto"/>
          <w:sz w:val="24"/>
          <w:highlight w:val="none"/>
          <w:vertAlign w:val="subscript"/>
        </w:rPr>
        <w:t>0</w:t>
      </w:r>
      <w:r>
        <w:rPr>
          <w:rFonts w:ascii="Calibri" w:hAnsi="Calibri"/>
          <w:color w:val="auto"/>
          <w:sz w:val="24"/>
          <w:highlight w:val="none"/>
        </w:rPr>
        <w:t xml:space="preserve"> -- </w:t>
      </w:r>
      <w:r>
        <w:rPr>
          <w:rFonts w:hint="eastAsia" w:ascii="Calibri" w:hAnsi="Calibri"/>
          <w:color w:val="auto"/>
          <w:sz w:val="24"/>
          <w:highlight w:val="none"/>
        </w:rPr>
        <w:t>第</w:t>
      </w:r>
      <w:r>
        <w:rPr>
          <w:rFonts w:ascii="Calibri" w:hAnsi="Calibri"/>
          <w:color w:val="auto"/>
          <w:sz w:val="24"/>
          <w:highlight w:val="none"/>
        </w:rPr>
        <w:t>17.3.3</w:t>
      </w:r>
      <w:r>
        <w:rPr>
          <w:rFonts w:hint="eastAsia" w:ascii="Calibri" w:hAnsi="Calibri"/>
          <w:color w:val="auto"/>
          <w:sz w:val="24"/>
          <w:highlight w:val="none"/>
        </w:rPr>
        <w:t>项、第</w:t>
      </w:r>
      <w:r>
        <w:rPr>
          <w:rFonts w:ascii="Calibri" w:hAnsi="Calibri"/>
          <w:color w:val="auto"/>
          <w:sz w:val="24"/>
          <w:highlight w:val="none"/>
        </w:rPr>
        <w:t>17.5.2</w:t>
      </w:r>
      <w:r>
        <w:rPr>
          <w:rFonts w:hint="eastAsia" w:ascii="Calibri" w:hAnsi="Calibri"/>
          <w:color w:val="auto"/>
          <w:sz w:val="24"/>
          <w:highlight w:val="none"/>
        </w:rPr>
        <w:t>项和第</w:t>
      </w:r>
      <w:r>
        <w:rPr>
          <w:rFonts w:ascii="Calibri" w:hAnsi="Calibri"/>
          <w:color w:val="auto"/>
          <w:sz w:val="24"/>
          <w:highlight w:val="none"/>
        </w:rPr>
        <w:t>17.6.2</w:t>
      </w:r>
      <w:r>
        <w:rPr>
          <w:rFonts w:hint="eastAsia" w:ascii="Calibri" w:hAnsi="Calibri"/>
          <w:color w:val="auto"/>
          <w:sz w:val="24"/>
          <w:highlight w:val="none"/>
        </w:rPr>
        <w:t>项约定的付款证书中承包人应得到的已完成工程量的金额。此项金额应不包括价格调整、不计质量保证金的扣留和支付、预付款的支付和扣回。第</w:t>
      </w:r>
      <w:r>
        <w:rPr>
          <w:rFonts w:ascii="Calibri" w:hAnsi="Calibri"/>
          <w:color w:val="auto"/>
          <w:sz w:val="24"/>
          <w:highlight w:val="none"/>
        </w:rPr>
        <w:t>15</w:t>
      </w:r>
      <w:r>
        <w:rPr>
          <w:rFonts w:hint="eastAsia" w:ascii="Calibri" w:hAnsi="Calibri"/>
          <w:color w:val="auto"/>
          <w:sz w:val="24"/>
          <w:highlight w:val="none"/>
        </w:rPr>
        <w:t>条约定的变更及其他金额已按现行价格计价的，也不计在内；</w:t>
      </w:r>
    </w:p>
    <w:p w14:paraId="104C28CA">
      <w:pPr>
        <w:tabs>
          <w:tab w:val="left" w:pos="1260"/>
        </w:tabs>
        <w:spacing w:line="400" w:lineRule="exact"/>
        <w:rPr>
          <w:rFonts w:ascii="Calibri" w:hAnsi="Calibri"/>
          <w:color w:val="auto"/>
          <w:sz w:val="24"/>
          <w:highlight w:val="none"/>
        </w:rPr>
      </w:pPr>
      <w:r>
        <w:rPr>
          <w:rFonts w:ascii="Calibri" w:hAnsi="Calibri"/>
          <w:color w:val="auto"/>
          <w:sz w:val="24"/>
          <w:highlight w:val="none"/>
        </w:rPr>
        <w:tab/>
      </w:r>
      <w:bookmarkStart w:id="725" w:name="_Toc152042495"/>
      <w:bookmarkStart w:id="726" w:name="_Toc144974686"/>
      <w:r>
        <w:rPr>
          <w:rFonts w:ascii="Calibri" w:hAnsi="Calibri"/>
          <w:color w:val="auto"/>
          <w:sz w:val="24"/>
          <w:highlight w:val="none"/>
        </w:rPr>
        <w:t xml:space="preserve">A -- </w:t>
      </w:r>
      <w:r>
        <w:rPr>
          <w:rFonts w:hint="eastAsia" w:ascii="Calibri" w:hAnsi="Calibri"/>
          <w:color w:val="auto"/>
          <w:sz w:val="24"/>
          <w:highlight w:val="none"/>
        </w:rPr>
        <w:t>定值权重</w:t>
      </w:r>
      <w:r>
        <w:rPr>
          <w:rFonts w:ascii="Calibri" w:hAnsi="Calibri"/>
          <w:color w:val="auto"/>
          <w:sz w:val="24"/>
          <w:highlight w:val="none"/>
        </w:rPr>
        <w:t>(</w:t>
      </w:r>
      <w:r>
        <w:rPr>
          <w:rFonts w:hint="eastAsia" w:ascii="Calibri" w:hAnsi="Calibri"/>
          <w:color w:val="auto"/>
          <w:sz w:val="24"/>
          <w:highlight w:val="none"/>
        </w:rPr>
        <w:t>即不调部分的权重</w:t>
      </w:r>
      <w:r>
        <w:rPr>
          <w:rFonts w:ascii="Calibri" w:hAnsi="Calibri"/>
          <w:color w:val="auto"/>
          <w:sz w:val="24"/>
          <w:highlight w:val="none"/>
        </w:rPr>
        <w:t>)</w:t>
      </w:r>
      <w:r>
        <w:rPr>
          <w:rFonts w:hint="eastAsia" w:ascii="Calibri" w:hAnsi="Calibri"/>
          <w:color w:val="auto"/>
          <w:sz w:val="24"/>
          <w:highlight w:val="none"/>
        </w:rPr>
        <w:t>；</w:t>
      </w:r>
      <w:bookmarkEnd w:id="725"/>
      <w:bookmarkEnd w:id="726"/>
    </w:p>
    <w:p w14:paraId="79AE8D50">
      <w:pPr>
        <w:tabs>
          <w:tab w:val="left" w:pos="1260"/>
        </w:tabs>
        <w:spacing w:line="400" w:lineRule="exact"/>
        <w:rPr>
          <w:rFonts w:ascii="Calibri" w:hAnsi="Calibri"/>
          <w:color w:val="auto"/>
          <w:sz w:val="24"/>
          <w:highlight w:val="none"/>
        </w:rPr>
      </w:pPr>
      <w:r>
        <w:rPr>
          <w:rFonts w:ascii="Calibri" w:hAnsi="Calibri"/>
          <w:color w:val="auto"/>
          <w:sz w:val="24"/>
          <w:highlight w:val="none"/>
        </w:rPr>
        <w:tab/>
      </w:r>
      <w:r>
        <w:rPr>
          <w:rFonts w:ascii="Calibri" w:hAnsi="Calibri"/>
          <w:color w:val="auto"/>
          <w:sz w:val="24"/>
          <w:highlight w:val="none"/>
        </w:rPr>
        <w:t>B</w:t>
      </w:r>
      <w:r>
        <w:rPr>
          <w:rFonts w:ascii="Calibri" w:hAnsi="Calibri"/>
          <w:color w:val="auto"/>
          <w:sz w:val="24"/>
          <w:highlight w:val="none"/>
          <w:vertAlign w:val="subscript"/>
        </w:rPr>
        <w:t>1</w:t>
      </w:r>
      <w:r>
        <w:rPr>
          <w:rFonts w:ascii="Calibri" w:hAnsi="Calibri"/>
          <w:color w:val="auto"/>
          <w:sz w:val="24"/>
          <w:highlight w:val="none"/>
        </w:rPr>
        <w:t>; B</w:t>
      </w:r>
      <w:r>
        <w:rPr>
          <w:rFonts w:ascii="Calibri" w:hAnsi="Calibri"/>
          <w:color w:val="auto"/>
          <w:sz w:val="24"/>
          <w:highlight w:val="none"/>
          <w:vertAlign w:val="subscript"/>
        </w:rPr>
        <w:t>2</w:t>
      </w:r>
      <w:r>
        <w:rPr>
          <w:rFonts w:ascii="Calibri" w:hAnsi="Calibri"/>
          <w:color w:val="auto"/>
          <w:sz w:val="24"/>
          <w:highlight w:val="none"/>
        </w:rPr>
        <w:t xml:space="preserve"> ;B</w:t>
      </w:r>
      <w:r>
        <w:rPr>
          <w:rFonts w:ascii="Calibri" w:hAnsi="Calibri"/>
          <w:color w:val="auto"/>
          <w:sz w:val="24"/>
          <w:highlight w:val="none"/>
          <w:vertAlign w:val="subscript"/>
        </w:rPr>
        <w:t>3</w:t>
      </w:r>
      <w:r>
        <w:rPr>
          <w:rFonts w:hint="eastAsia" w:ascii="宋体" w:hAnsi="宋体"/>
          <w:color w:val="auto"/>
          <w:sz w:val="24"/>
          <w:highlight w:val="none"/>
        </w:rPr>
        <w:t>·····</w:t>
      </w:r>
      <w:r>
        <w:rPr>
          <w:rFonts w:ascii="Calibri" w:hAnsi="Calibri"/>
          <w:color w:val="auto"/>
          <w:sz w:val="24"/>
          <w:highlight w:val="none"/>
        </w:rPr>
        <w:t>B</w:t>
      </w:r>
      <w:r>
        <w:rPr>
          <w:rFonts w:ascii="Calibri" w:hAnsi="Calibri"/>
          <w:color w:val="auto"/>
          <w:sz w:val="24"/>
          <w:highlight w:val="none"/>
          <w:vertAlign w:val="subscript"/>
        </w:rPr>
        <w:t>n</w:t>
      </w:r>
      <w:r>
        <w:rPr>
          <w:rFonts w:ascii="Calibri" w:hAnsi="Calibri"/>
          <w:color w:val="auto"/>
          <w:sz w:val="24"/>
          <w:highlight w:val="none"/>
        </w:rPr>
        <w:t xml:space="preserve"> -- </w:t>
      </w:r>
      <w:r>
        <w:rPr>
          <w:rFonts w:hint="eastAsia" w:ascii="Calibri" w:hAnsi="Calibri"/>
          <w:color w:val="auto"/>
          <w:sz w:val="24"/>
          <w:highlight w:val="none"/>
        </w:rPr>
        <w:t>各可调因子的变值权重</w:t>
      </w:r>
      <w:r>
        <w:rPr>
          <w:rFonts w:ascii="Calibri" w:hAnsi="Calibri"/>
          <w:color w:val="auto"/>
          <w:sz w:val="24"/>
          <w:highlight w:val="none"/>
        </w:rPr>
        <w:t>(</w:t>
      </w:r>
      <w:r>
        <w:rPr>
          <w:rFonts w:hint="eastAsia" w:ascii="Calibri" w:hAnsi="Calibri"/>
          <w:color w:val="auto"/>
          <w:sz w:val="24"/>
          <w:highlight w:val="none"/>
        </w:rPr>
        <w:t>即可调部分的权重</w:t>
      </w:r>
      <w:r>
        <w:rPr>
          <w:rFonts w:ascii="Calibri" w:hAnsi="Calibri"/>
          <w:color w:val="auto"/>
          <w:sz w:val="24"/>
          <w:highlight w:val="none"/>
        </w:rPr>
        <w:t>)</w:t>
      </w:r>
      <w:r>
        <w:rPr>
          <w:rFonts w:hint="eastAsia" w:ascii="Calibri" w:hAnsi="Calibri"/>
          <w:color w:val="auto"/>
          <w:sz w:val="24"/>
          <w:highlight w:val="none"/>
        </w:rPr>
        <w:t>为各可调因子在投标函投标总报价中所占的比例；</w:t>
      </w:r>
    </w:p>
    <w:p w14:paraId="1C42EDB4">
      <w:pPr>
        <w:tabs>
          <w:tab w:val="left" w:pos="1260"/>
        </w:tabs>
        <w:spacing w:line="400" w:lineRule="exact"/>
        <w:rPr>
          <w:rFonts w:ascii="Calibri" w:hAnsi="Calibri"/>
          <w:color w:val="auto"/>
          <w:sz w:val="24"/>
          <w:highlight w:val="none"/>
        </w:rPr>
      </w:pPr>
      <w:r>
        <w:rPr>
          <w:rFonts w:ascii="Calibri" w:hAnsi="Calibri"/>
          <w:color w:val="auto"/>
          <w:sz w:val="24"/>
          <w:highlight w:val="none"/>
        </w:rPr>
        <w:tab/>
      </w:r>
      <w:r>
        <w:rPr>
          <w:rFonts w:ascii="Calibri" w:hAnsi="Calibri"/>
          <w:color w:val="auto"/>
          <w:sz w:val="24"/>
          <w:highlight w:val="none"/>
        </w:rPr>
        <w:t>F</w:t>
      </w:r>
      <w:r>
        <w:rPr>
          <w:rFonts w:ascii="Calibri" w:hAnsi="Calibri"/>
          <w:color w:val="auto"/>
          <w:sz w:val="24"/>
          <w:highlight w:val="none"/>
          <w:vertAlign w:val="subscript"/>
        </w:rPr>
        <w:t>t1</w:t>
      </w:r>
      <w:r>
        <w:rPr>
          <w:rFonts w:ascii="Calibri" w:hAnsi="Calibri"/>
          <w:color w:val="auto"/>
          <w:sz w:val="24"/>
          <w:highlight w:val="none"/>
        </w:rPr>
        <w:t xml:space="preserve"> ;F</w:t>
      </w:r>
      <w:r>
        <w:rPr>
          <w:rFonts w:ascii="Calibri" w:hAnsi="Calibri"/>
          <w:color w:val="auto"/>
          <w:sz w:val="24"/>
          <w:highlight w:val="none"/>
          <w:vertAlign w:val="subscript"/>
        </w:rPr>
        <w:t>t2</w:t>
      </w:r>
      <w:r>
        <w:rPr>
          <w:rFonts w:ascii="Calibri" w:hAnsi="Calibri"/>
          <w:color w:val="auto"/>
          <w:sz w:val="24"/>
          <w:highlight w:val="none"/>
        </w:rPr>
        <w:t xml:space="preserve"> ;F</w:t>
      </w:r>
      <w:r>
        <w:rPr>
          <w:rFonts w:ascii="Calibri" w:hAnsi="Calibri"/>
          <w:color w:val="auto"/>
          <w:sz w:val="24"/>
          <w:highlight w:val="none"/>
          <w:vertAlign w:val="subscript"/>
        </w:rPr>
        <w:t>t3</w:t>
      </w:r>
      <w:r>
        <w:rPr>
          <w:rFonts w:hint="eastAsia" w:ascii="宋体" w:hAnsi="宋体"/>
          <w:color w:val="auto"/>
          <w:sz w:val="24"/>
          <w:highlight w:val="none"/>
        </w:rPr>
        <w:t>·····</w:t>
      </w:r>
      <w:r>
        <w:rPr>
          <w:rFonts w:ascii="Calibri" w:hAnsi="Calibri"/>
          <w:color w:val="auto"/>
          <w:sz w:val="24"/>
          <w:highlight w:val="none"/>
        </w:rPr>
        <w:t>F</w:t>
      </w:r>
      <w:r>
        <w:rPr>
          <w:rFonts w:ascii="Calibri" w:hAnsi="Calibri"/>
          <w:color w:val="auto"/>
          <w:sz w:val="24"/>
          <w:highlight w:val="none"/>
          <w:vertAlign w:val="subscript"/>
        </w:rPr>
        <w:t>tn</w:t>
      </w:r>
      <w:r>
        <w:rPr>
          <w:rFonts w:ascii="Calibri" w:hAnsi="Calibri"/>
          <w:color w:val="auto"/>
          <w:sz w:val="24"/>
          <w:highlight w:val="none"/>
        </w:rPr>
        <w:t xml:space="preserve"> -- </w:t>
      </w:r>
      <w:r>
        <w:rPr>
          <w:rFonts w:hint="eastAsia" w:ascii="Calibri" w:hAnsi="Calibri"/>
          <w:color w:val="auto"/>
          <w:sz w:val="24"/>
          <w:highlight w:val="none"/>
        </w:rPr>
        <w:t>各可调因子的现行价格指数，指第</w:t>
      </w:r>
      <w:r>
        <w:rPr>
          <w:rFonts w:ascii="Calibri" w:hAnsi="Calibri"/>
          <w:color w:val="auto"/>
          <w:sz w:val="24"/>
          <w:highlight w:val="none"/>
        </w:rPr>
        <w:t>17.3.3</w:t>
      </w:r>
      <w:r>
        <w:rPr>
          <w:rFonts w:hint="eastAsia" w:ascii="Calibri" w:hAnsi="Calibri"/>
          <w:color w:val="auto"/>
          <w:sz w:val="24"/>
          <w:highlight w:val="none"/>
        </w:rPr>
        <w:t>项、第</w:t>
      </w:r>
      <w:r>
        <w:rPr>
          <w:rFonts w:ascii="Calibri" w:hAnsi="Calibri"/>
          <w:color w:val="auto"/>
          <w:sz w:val="24"/>
          <w:highlight w:val="none"/>
        </w:rPr>
        <w:t>17.5.2</w:t>
      </w:r>
      <w:r>
        <w:rPr>
          <w:rFonts w:hint="eastAsia" w:ascii="Calibri" w:hAnsi="Calibri"/>
          <w:color w:val="auto"/>
          <w:sz w:val="24"/>
          <w:highlight w:val="none"/>
        </w:rPr>
        <w:t>项和第</w:t>
      </w:r>
      <w:r>
        <w:rPr>
          <w:rFonts w:ascii="Calibri" w:hAnsi="Calibri"/>
          <w:color w:val="auto"/>
          <w:sz w:val="24"/>
          <w:highlight w:val="none"/>
        </w:rPr>
        <w:t>17.6.2</w:t>
      </w:r>
      <w:r>
        <w:rPr>
          <w:rFonts w:hint="eastAsia" w:ascii="Calibri" w:hAnsi="Calibri"/>
          <w:color w:val="auto"/>
          <w:sz w:val="24"/>
          <w:highlight w:val="none"/>
        </w:rPr>
        <w:t>项约定的付款证书相关周期最后一天的前</w:t>
      </w:r>
      <w:r>
        <w:rPr>
          <w:rFonts w:ascii="Calibri" w:hAnsi="Calibri"/>
          <w:color w:val="auto"/>
          <w:sz w:val="24"/>
          <w:highlight w:val="none"/>
        </w:rPr>
        <w:t>42</w:t>
      </w:r>
      <w:r>
        <w:rPr>
          <w:rFonts w:hint="eastAsia" w:ascii="Calibri" w:hAnsi="Calibri"/>
          <w:color w:val="auto"/>
          <w:sz w:val="24"/>
          <w:highlight w:val="none"/>
        </w:rPr>
        <w:t>天的各可调因子的价格指数；</w:t>
      </w:r>
    </w:p>
    <w:p w14:paraId="0C5BD6CF">
      <w:pPr>
        <w:tabs>
          <w:tab w:val="left" w:pos="1260"/>
        </w:tabs>
        <w:spacing w:line="400" w:lineRule="exact"/>
        <w:rPr>
          <w:rFonts w:ascii="Calibri" w:hAnsi="Calibri"/>
          <w:color w:val="auto"/>
          <w:sz w:val="24"/>
          <w:highlight w:val="none"/>
        </w:rPr>
      </w:pPr>
      <w:r>
        <w:rPr>
          <w:rFonts w:ascii="Calibri" w:hAnsi="Calibri"/>
          <w:color w:val="auto"/>
          <w:sz w:val="24"/>
          <w:highlight w:val="none"/>
        </w:rPr>
        <w:tab/>
      </w:r>
      <w:r>
        <w:rPr>
          <w:rFonts w:ascii="Calibri" w:hAnsi="Calibri"/>
          <w:color w:val="auto"/>
          <w:sz w:val="24"/>
          <w:highlight w:val="none"/>
        </w:rPr>
        <w:t>F</w:t>
      </w:r>
      <w:r>
        <w:rPr>
          <w:rFonts w:ascii="Calibri" w:hAnsi="Calibri"/>
          <w:color w:val="auto"/>
          <w:sz w:val="24"/>
          <w:highlight w:val="none"/>
          <w:vertAlign w:val="subscript"/>
        </w:rPr>
        <w:t>o1</w:t>
      </w:r>
      <w:r>
        <w:rPr>
          <w:rFonts w:ascii="Calibri" w:hAnsi="Calibri"/>
          <w:color w:val="auto"/>
          <w:sz w:val="24"/>
          <w:highlight w:val="none"/>
        </w:rPr>
        <w:t>; F</w:t>
      </w:r>
      <w:r>
        <w:rPr>
          <w:rFonts w:ascii="Calibri" w:hAnsi="Calibri"/>
          <w:color w:val="auto"/>
          <w:sz w:val="24"/>
          <w:highlight w:val="none"/>
          <w:vertAlign w:val="subscript"/>
        </w:rPr>
        <w:t>o2</w:t>
      </w:r>
      <w:r>
        <w:rPr>
          <w:rFonts w:ascii="Calibri" w:hAnsi="Calibri"/>
          <w:color w:val="auto"/>
          <w:sz w:val="24"/>
          <w:highlight w:val="none"/>
        </w:rPr>
        <w:t>; F</w:t>
      </w:r>
      <w:r>
        <w:rPr>
          <w:rFonts w:ascii="Calibri" w:hAnsi="Calibri"/>
          <w:color w:val="auto"/>
          <w:sz w:val="24"/>
          <w:highlight w:val="none"/>
          <w:vertAlign w:val="subscript"/>
        </w:rPr>
        <w:t>o3</w:t>
      </w:r>
      <w:r>
        <w:rPr>
          <w:rFonts w:hint="eastAsia" w:ascii="宋体" w:hAnsi="宋体"/>
          <w:color w:val="auto"/>
          <w:sz w:val="24"/>
          <w:highlight w:val="none"/>
        </w:rPr>
        <w:t>·····</w:t>
      </w:r>
      <w:r>
        <w:rPr>
          <w:rFonts w:ascii="Calibri" w:hAnsi="Calibri"/>
          <w:color w:val="auto"/>
          <w:sz w:val="24"/>
          <w:highlight w:val="none"/>
        </w:rPr>
        <w:t>F</w:t>
      </w:r>
      <w:r>
        <w:rPr>
          <w:rFonts w:ascii="Calibri" w:hAnsi="Calibri"/>
          <w:color w:val="auto"/>
          <w:sz w:val="24"/>
          <w:highlight w:val="none"/>
          <w:vertAlign w:val="subscript"/>
        </w:rPr>
        <w:t>on</w:t>
      </w:r>
      <w:r>
        <w:rPr>
          <w:rFonts w:ascii="Calibri" w:hAnsi="Calibri"/>
          <w:color w:val="auto"/>
          <w:sz w:val="24"/>
          <w:highlight w:val="none"/>
        </w:rPr>
        <w:t xml:space="preserve"> -- </w:t>
      </w:r>
      <w:r>
        <w:rPr>
          <w:rFonts w:hint="eastAsia" w:ascii="Calibri" w:hAnsi="Calibri"/>
          <w:color w:val="auto"/>
          <w:sz w:val="24"/>
          <w:highlight w:val="none"/>
        </w:rPr>
        <w:t>各可调因子的基本价格指数，指基准日期的各可调因子的价格指数。</w:t>
      </w:r>
    </w:p>
    <w:p w14:paraId="211A02A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13BFED0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16.1.1.2 </w:t>
      </w:r>
      <w:r>
        <w:rPr>
          <w:rFonts w:hint="eastAsia" w:ascii="Calibri" w:hAnsi="Calibri"/>
          <w:color w:val="auto"/>
          <w:sz w:val="24"/>
          <w:highlight w:val="none"/>
        </w:rPr>
        <w:t>暂时确定调整差额</w:t>
      </w:r>
    </w:p>
    <w:p w14:paraId="3C8D736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在计算调整差额时得不到现行价格指数的，可暂用上一次价格指数计算，并在以后的付款中再按实际价格指数进行调整。</w:t>
      </w:r>
    </w:p>
    <w:p w14:paraId="4183EA1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16.1.1.3 </w:t>
      </w:r>
      <w:r>
        <w:rPr>
          <w:rFonts w:hint="eastAsia" w:ascii="Calibri" w:hAnsi="Calibri"/>
          <w:color w:val="auto"/>
          <w:sz w:val="24"/>
          <w:highlight w:val="none"/>
        </w:rPr>
        <w:t>权重的调整</w:t>
      </w:r>
    </w:p>
    <w:p w14:paraId="6775002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按第</w:t>
      </w:r>
      <w:r>
        <w:rPr>
          <w:rFonts w:ascii="Calibri" w:hAnsi="Calibri"/>
          <w:color w:val="auto"/>
          <w:sz w:val="24"/>
          <w:highlight w:val="none"/>
        </w:rPr>
        <w:t>15.1</w:t>
      </w:r>
      <w:r>
        <w:rPr>
          <w:rFonts w:hint="eastAsia" w:ascii="Calibri" w:hAnsi="Calibri"/>
          <w:color w:val="auto"/>
          <w:sz w:val="24"/>
          <w:highlight w:val="none"/>
        </w:rPr>
        <w:t>款约定的变更导致原定合同中的权重不合理时，由监理人与承包人和发包人协商后进行调整。</w:t>
      </w:r>
    </w:p>
    <w:p w14:paraId="474AF5A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16.1.1.4 </w:t>
      </w:r>
      <w:r>
        <w:rPr>
          <w:rFonts w:hint="eastAsia" w:ascii="Calibri" w:hAnsi="Calibri"/>
          <w:color w:val="auto"/>
          <w:sz w:val="24"/>
          <w:highlight w:val="none"/>
        </w:rPr>
        <w:t>承包人工期延误后的价格调整</w:t>
      </w:r>
    </w:p>
    <w:p w14:paraId="6E466340">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由于承包人原因未在约定的工期内竣工的，则对原约定竣工日期后继续施工的工程，在使用第</w:t>
      </w:r>
      <w:r>
        <w:rPr>
          <w:rFonts w:ascii="Calibri" w:hAnsi="Calibri"/>
          <w:color w:val="auto"/>
          <w:sz w:val="24"/>
          <w:highlight w:val="none"/>
        </w:rPr>
        <w:t>16.1.1.1</w:t>
      </w:r>
      <w:r>
        <w:rPr>
          <w:rFonts w:hint="eastAsia" w:ascii="Calibri" w:hAnsi="Calibri"/>
          <w:color w:val="auto"/>
          <w:sz w:val="24"/>
          <w:highlight w:val="none"/>
        </w:rPr>
        <w:t>目价格调整公式时，应采用原约定竣工日期与实际竣工日期的两个价格指数中较低的一个作为现行价格指数。</w:t>
      </w:r>
    </w:p>
    <w:p w14:paraId="282BAC8F">
      <w:pPr>
        <w:spacing w:line="400" w:lineRule="exact"/>
        <w:ind w:firstLine="480" w:firstLineChars="200"/>
        <w:rPr>
          <w:rFonts w:ascii="黑体" w:hAnsi="Calibri" w:eastAsia="黑体"/>
          <w:color w:val="auto"/>
          <w:sz w:val="24"/>
          <w:highlight w:val="none"/>
        </w:rPr>
      </w:pPr>
      <w:r>
        <w:rPr>
          <w:rFonts w:ascii="黑体" w:hAnsi="Calibri" w:eastAsia="黑体"/>
          <w:color w:val="auto"/>
          <w:sz w:val="24"/>
          <w:highlight w:val="none"/>
        </w:rPr>
        <w:t xml:space="preserve">16.1.2 </w:t>
      </w:r>
      <w:r>
        <w:rPr>
          <w:rFonts w:hint="eastAsia" w:ascii="黑体" w:hAnsi="Calibri" w:eastAsia="黑体"/>
          <w:color w:val="auto"/>
          <w:sz w:val="24"/>
          <w:highlight w:val="none"/>
        </w:rPr>
        <w:t>采用造价信息调整价格差额</w:t>
      </w:r>
    </w:p>
    <w:p w14:paraId="36581BBE">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1E31D94">
      <w:pPr>
        <w:keepNext/>
        <w:keepLines/>
        <w:spacing w:line="400" w:lineRule="exact"/>
        <w:outlineLvl w:val="2"/>
        <w:rPr>
          <w:rFonts w:ascii="Calibri" w:hAnsi="Calibri" w:eastAsia="黑体" w:cs="宋体"/>
          <w:color w:val="auto"/>
          <w:sz w:val="24"/>
          <w:highlight w:val="none"/>
        </w:rPr>
      </w:pPr>
      <w:bookmarkStart w:id="727" w:name="_Toc275242328"/>
      <w:bookmarkStart w:id="728" w:name="_Toc179632735"/>
      <w:bookmarkStart w:id="729" w:name="_Toc152045717"/>
      <w:bookmarkStart w:id="730" w:name="_Toc152042496"/>
      <w:bookmarkStart w:id="731" w:name="_Toc14934"/>
      <w:bookmarkStart w:id="732" w:name="_Toc144974688"/>
      <w:r>
        <w:rPr>
          <w:rFonts w:ascii="Calibri" w:hAnsi="Calibri" w:eastAsia="黑体" w:cs="宋体"/>
          <w:color w:val="auto"/>
          <w:sz w:val="24"/>
          <w:highlight w:val="none"/>
        </w:rPr>
        <w:t xml:space="preserve">16.2 </w:t>
      </w:r>
      <w:r>
        <w:rPr>
          <w:rFonts w:hint="eastAsia" w:ascii="Calibri" w:hAnsi="Calibri" w:eastAsia="黑体" w:cs="宋体"/>
          <w:color w:val="auto"/>
          <w:sz w:val="24"/>
          <w:highlight w:val="none"/>
        </w:rPr>
        <w:t>法律变化引起的价格调整</w:t>
      </w:r>
      <w:bookmarkEnd w:id="727"/>
      <w:bookmarkEnd w:id="728"/>
      <w:bookmarkEnd w:id="729"/>
      <w:bookmarkEnd w:id="730"/>
      <w:bookmarkEnd w:id="731"/>
      <w:bookmarkEnd w:id="732"/>
    </w:p>
    <w:p w14:paraId="292AA30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在基准日后，因法律变化导致承包人在合同履行中所需要的工程费用发生除第</w:t>
      </w:r>
      <w:r>
        <w:rPr>
          <w:rFonts w:ascii="Calibri" w:hAnsi="Calibri"/>
          <w:color w:val="auto"/>
          <w:sz w:val="24"/>
          <w:highlight w:val="none"/>
        </w:rPr>
        <w:t>16.1</w:t>
      </w:r>
      <w:r>
        <w:rPr>
          <w:rFonts w:hint="eastAsia" w:ascii="Calibri" w:hAnsi="Calibri"/>
          <w:color w:val="auto"/>
          <w:sz w:val="24"/>
          <w:highlight w:val="none"/>
        </w:rPr>
        <w:t>款约定以外的增减时，监理人应根据法律、国家或省、自治区、直辖市有关部门的规定，按第</w:t>
      </w:r>
      <w:r>
        <w:rPr>
          <w:rFonts w:ascii="Calibri" w:hAnsi="Calibri"/>
          <w:color w:val="auto"/>
          <w:sz w:val="24"/>
          <w:highlight w:val="none"/>
        </w:rPr>
        <w:t>3.5</w:t>
      </w:r>
      <w:r>
        <w:rPr>
          <w:rFonts w:hint="eastAsia" w:ascii="Calibri" w:hAnsi="Calibri"/>
          <w:color w:val="auto"/>
          <w:sz w:val="24"/>
          <w:highlight w:val="none"/>
        </w:rPr>
        <w:t>款商定或确定需调整的合同价款。</w:t>
      </w:r>
    </w:p>
    <w:p w14:paraId="15318DFB">
      <w:pPr>
        <w:keepNext/>
        <w:keepLines/>
        <w:spacing w:line="400" w:lineRule="exact"/>
        <w:outlineLvl w:val="1"/>
        <w:rPr>
          <w:rFonts w:eastAsia="黑体" w:cs="宋体"/>
          <w:color w:val="auto"/>
          <w:sz w:val="24"/>
          <w:highlight w:val="none"/>
        </w:rPr>
      </w:pPr>
      <w:bookmarkStart w:id="733" w:name="_Toc86"/>
      <w:bookmarkStart w:id="734" w:name="_Toc179632736"/>
      <w:bookmarkStart w:id="735" w:name="_Toc152042497"/>
      <w:bookmarkStart w:id="736" w:name="_Toc144974689"/>
      <w:bookmarkStart w:id="737" w:name="_Toc275242329"/>
      <w:bookmarkStart w:id="738" w:name="_Toc152045718"/>
      <w:r>
        <w:rPr>
          <w:rFonts w:eastAsia="黑体" w:cs="宋体"/>
          <w:color w:val="auto"/>
          <w:sz w:val="24"/>
          <w:highlight w:val="none"/>
        </w:rPr>
        <w:t xml:space="preserve">17. </w:t>
      </w:r>
      <w:r>
        <w:rPr>
          <w:rFonts w:hint="eastAsia" w:eastAsia="黑体" w:cs="宋体"/>
          <w:color w:val="auto"/>
          <w:sz w:val="24"/>
          <w:highlight w:val="none"/>
        </w:rPr>
        <w:t>计量与支付</w:t>
      </w:r>
      <w:bookmarkEnd w:id="733"/>
      <w:bookmarkEnd w:id="734"/>
      <w:bookmarkEnd w:id="735"/>
      <w:bookmarkEnd w:id="736"/>
      <w:bookmarkEnd w:id="737"/>
      <w:bookmarkEnd w:id="738"/>
    </w:p>
    <w:p w14:paraId="6D43E967">
      <w:pPr>
        <w:keepNext/>
        <w:keepLines/>
        <w:spacing w:line="400" w:lineRule="exact"/>
        <w:outlineLvl w:val="2"/>
        <w:rPr>
          <w:rFonts w:ascii="Calibri" w:hAnsi="Calibri" w:eastAsia="黑体" w:cs="宋体"/>
          <w:color w:val="auto"/>
          <w:sz w:val="24"/>
          <w:highlight w:val="none"/>
        </w:rPr>
      </w:pPr>
      <w:bookmarkStart w:id="739" w:name="_Toc152042498"/>
      <w:bookmarkStart w:id="740" w:name="_Toc152045719"/>
      <w:bookmarkStart w:id="741" w:name="_Toc144974690"/>
      <w:bookmarkStart w:id="742" w:name="_Toc27229"/>
      <w:bookmarkStart w:id="743" w:name="_Toc179632737"/>
      <w:bookmarkStart w:id="744" w:name="_Toc275242330"/>
      <w:r>
        <w:rPr>
          <w:rFonts w:ascii="Calibri" w:hAnsi="Calibri" w:eastAsia="黑体" w:cs="宋体"/>
          <w:color w:val="auto"/>
          <w:sz w:val="24"/>
          <w:highlight w:val="none"/>
        </w:rPr>
        <w:t xml:space="preserve">17.1 </w:t>
      </w:r>
      <w:r>
        <w:rPr>
          <w:rFonts w:hint="eastAsia" w:ascii="Calibri" w:hAnsi="Calibri" w:eastAsia="黑体" w:cs="宋体"/>
          <w:color w:val="auto"/>
          <w:sz w:val="24"/>
          <w:highlight w:val="none"/>
        </w:rPr>
        <w:t>计量</w:t>
      </w:r>
      <w:bookmarkEnd w:id="739"/>
      <w:bookmarkEnd w:id="740"/>
      <w:bookmarkEnd w:id="741"/>
      <w:bookmarkEnd w:id="742"/>
      <w:bookmarkEnd w:id="743"/>
      <w:bookmarkEnd w:id="744"/>
    </w:p>
    <w:p w14:paraId="771EEAA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17.1.1 </w:t>
      </w:r>
      <w:r>
        <w:rPr>
          <w:rFonts w:hint="eastAsia" w:ascii="黑体" w:hAnsi="Calibri" w:eastAsia="黑体"/>
          <w:color w:val="auto"/>
          <w:sz w:val="24"/>
          <w:highlight w:val="none"/>
        </w:rPr>
        <w:t>计量单位</w:t>
      </w:r>
    </w:p>
    <w:p w14:paraId="309634F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计量采用国家法定的计量单位。</w:t>
      </w:r>
    </w:p>
    <w:p w14:paraId="7D6657B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17.1.2 </w:t>
      </w:r>
      <w:r>
        <w:rPr>
          <w:rFonts w:hint="eastAsia" w:ascii="黑体" w:hAnsi="Calibri" w:eastAsia="黑体"/>
          <w:color w:val="auto"/>
          <w:sz w:val="24"/>
          <w:highlight w:val="none"/>
        </w:rPr>
        <w:t>计量方法</w:t>
      </w:r>
    </w:p>
    <w:p w14:paraId="21F88E4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工程量清单中的工程量计算规则应按有关国家标准、行业标准的规定，并在合同中约定执行。</w:t>
      </w:r>
    </w:p>
    <w:p w14:paraId="403E933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17.1.3 </w:t>
      </w:r>
      <w:r>
        <w:rPr>
          <w:rFonts w:hint="eastAsia" w:ascii="黑体" w:hAnsi="Calibri" w:eastAsia="黑体"/>
          <w:color w:val="auto"/>
          <w:sz w:val="24"/>
          <w:highlight w:val="none"/>
        </w:rPr>
        <w:t>计量周期</w:t>
      </w:r>
    </w:p>
    <w:p w14:paraId="2028EF6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除专用合同条款另有约定外，单价子目已完成工程量按月计量，总价子目的计量周期按批准的支付分解报告确定。</w:t>
      </w:r>
    </w:p>
    <w:p w14:paraId="292F4094">
      <w:pPr>
        <w:spacing w:line="400" w:lineRule="exact"/>
        <w:ind w:firstLine="480" w:firstLineChars="200"/>
        <w:rPr>
          <w:rFonts w:ascii="Calibri" w:hAnsi="Calibri"/>
          <w:color w:val="auto"/>
          <w:sz w:val="24"/>
          <w:highlight w:val="none"/>
        </w:rPr>
      </w:pPr>
      <w:r>
        <w:rPr>
          <w:rFonts w:ascii="Calibri" w:hAnsi="Calibri"/>
          <w:color w:val="auto"/>
          <w:sz w:val="24"/>
          <w:highlight w:val="none"/>
        </w:rPr>
        <w:t>17.1.4</w:t>
      </w:r>
      <w:r>
        <w:rPr>
          <w:rFonts w:hint="eastAsia" w:ascii="黑体" w:hAnsi="Calibri" w:eastAsia="黑体"/>
          <w:color w:val="auto"/>
          <w:sz w:val="24"/>
          <w:highlight w:val="none"/>
        </w:rPr>
        <w:t>单价子目的计量</w:t>
      </w:r>
    </w:p>
    <w:p w14:paraId="544C920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）已标价工程量清单中的单价子目工程量为估算工程量。结算工程量是承包人实际完成的，并按合同约定的计量方法进行计量的工程量。</w:t>
      </w:r>
    </w:p>
    <w:p w14:paraId="743BF7AB">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）承包人对已完成的工程进行计量，向监理人提交进度付款申请单、已完成工程量报表和有关计量资料。</w:t>
      </w:r>
    </w:p>
    <w:p w14:paraId="011FD889">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）监理人对承包人提交的工程量报表进行复核，以确定实际完成的工程量。对数量有异议的，可要求承包人按第</w:t>
      </w:r>
      <w:r>
        <w:rPr>
          <w:rFonts w:ascii="Calibri" w:hAnsi="Calibri"/>
          <w:color w:val="auto"/>
          <w:sz w:val="24"/>
          <w:highlight w:val="none"/>
        </w:rPr>
        <w:t>8.2</w:t>
      </w:r>
      <w:r>
        <w:rPr>
          <w:rFonts w:hint="eastAsia" w:ascii="Calibri" w:hAnsi="Calibri"/>
          <w:color w:val="auto"/>
          <w:sz w:val="24"/>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35354929">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）监理人认为有必要时，可通知承包人共同进行联合测量、计量，承包人应遵照执行。</w:t>
      </w:r>
    </w:p>
    <w:p w14:paraId="5E2CDDD0">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98331B7">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）监理人应在收到承包人提交的工程量报表后的</w:t>
      </w:r>
      <w:r>
        <w:rPr>
          <w:rFonts w:ascii="Calibri" w:hAnsi="Calibri"/>
          <w:color w:val="auto"/>
          <w:sz w:val="24"/>
          <w:highlight w:val="none"/>
        </w:rPr>
        <w:t>7</w:t>
      </w:r>
      <w:r>
        <w:rPr>
          <w:rFonts w:hint="eastAsia" w:ascii="Calibri" w:hAnsi="Calibri"/>
          <w:color w:val="auto"/>
          <w:sz w:val="24"/>
          <w:highlight w:val="none"/>
        </w:rPr>
        <w:t>天内进行复核，监理人未在约定时间内复核的，承包人提交的工程量报表中的工程量视为承包人实际完成的工程量，据此计算工程价款。</w:t>
      </w:r>
    </w:p>
    <w:p w14:paraId="1B0FFD62">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17.1.5 </w:t>
      </w:r>
      <w:r>
        <w:rPr>
          <w:rFonts w:hint="eastAsia" w:ascii="黑体" w:hAnsi="Calibri" w:eastAsia="黑体"/>
          <w:color w:val="auto"/>
          <w:sz w:val="24"/>
          <w:highlight w:val="none"/>
        </w:rPr>
        <w:t>总价子目的计量</w:t>
      </w:r>
    </w:p>
    <w:p w14:paraId="1E225CF8">
      <w:pPr>
        <w:spacing w:line="400" w:lineRule="exact"/>
        <w:ind w:firstLine="720" w:firstLineChars="300"/>
        <w:rPr>
          <w:rFonts w:ascii="宋体" w:hAnsi="Calibri"/>
          <w:color w:val="auto"/>
          <w:sz w:val="24"/>
          <w:highlight w:val="none"/>
        </w:rPr>
      </w:pPr>
      <w:r>
        <w:rPr>
          <w:rFonts w:hint="eastAsia" w:ascii="宋体" w:hAnsi="宋体"/>
          <w:color w:val="auto"/>
          <w:sz w:val="24"/>
          <w:highlight w:val="none"/>
        </w:rPr>
        <w:t>除专用合同条款另有约定外，总价子目的分解和计量按照下述约定进行。</w:t>
      </w:r>
    </w:p>
    <w:p w14:paraId="176CEEE4">
      <w:pPr>
        <w:spacing w:line="400" w:lineRule="exact"/>
        <w:ind w:firstLine="720" w:firstLineChars="3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）总价子目的计量和支付应以总价为基础，不因第</w:t>
      </w:r>
      <w:r>
        <w:rPr>
          <w:rFonts w:ascii="宋体" w:hAnsi="宋体"/>
          <w:color w:val="auto"/>
          <w:sz w:val="24"/>
          <w:highlight w:val="none"/>
        </w:rPr>
        <w:t>16.1</w:t>
      </w:r>
      <w:r>
        <w:rPr>
          <w:rFonts w:hint="eastAsia" w:ascii="宋体" w:hAnsi="宋体"/>
          <w:color w:val="auto"/>
          <w:sz w:val="24"/>
          <w:highlight w:val="none"/>
        </w:rPr>
        <w:t>款中的因素而进行调整。承包人实际完成的工程量，是进行工程目标管理和控制进度支付的依据。</w:t>
      </w:r>
    </w:p>
    <w:p w14:paraId="3ACBA1AB">
      <w:pPr>
        <w:spacing w:line="400" w:lineRule="exact"/>
        <w:ind w:firstLine="720" w:firstLineChars="3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47BD3167">
      <w:pPr>
        <w:spacing w:line="400" w:lineRule="exact"/>
        <w:ind w:firstLine="720" w:firstLineChars="3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）监理人对承包人提交的上述资料进行复核，以确定分阶段实际完成的工程量和工程形象目标。对其有异议的，可要求承包人按第</w:t>
      </w:r>
      <w:r>
        <w:rPr>
          <w:rFonts w:ascii="宋体" w:hAnsi="宋体"/>
          <w:color w:val="auto"/>
          <w:sz w:val="24"/>
          <w:highlight w:val="none"/>
        </w:rPr>
        <w:t>8.2</w:t>
      </w:r>
      <w:r>
        <w:rPr>
          <w:rFonts w:hint="eastAsia" w:ascii="宋体" w:hAnsi="宋体"/>
          <w:color w:val="auto"/>
          <w:sz w:val="24"/>
          <w:highlight w:val="none"/>
        </w:rPr>
        <w:t>款约定进行共同复核和抽样复测。</w:t>
      </w:r>
    </w:p>
    <w:p w14:paraId="3BE3BBD0">
      <w:pPr>
        <w:spacing w:line="400" w:lineRule="exact"/>
        <w:ind w:firstLine="720" w:firstLineChars="3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）除按照第</w:t>
      </w:r>
      <w:r>
        <w:rPr>
          <w:rFonts w:ascii="宋体" w:hAnsi="宋体"/>
          <w:color w:val="auto"/>
          <w:sz w:val="24"/>
          <w:highlight w:val="none"/>
        </w:rPr>
        <w:t>15</w:t>
      </w:r>
      <w:r>
        <w:rPr>
          <w:rFonts w:hint="eastAsia" w:ascii="宋体" w:hAnsi="宋体"/>
          <w:color w:val="auto"/>
          <w:sz w:val="24"/>
          <w:highlight w:val="none"/>
        </w:rPr>
        <w:t>条约定的变更外，总价子目的工程量是承包人用于结算的最终工程量。</w:t>
      </w:r>
    </w:p>
    <w:p w14:paraId="69E52567">
      <w:pPr>
        <w:keepNext/>
        <w:keepLines/>
        <w:spacing w:line="400" w:lineRule="exact"/>
        <w:outlineLvl w:val="2"/>
        <w:rPr>
          <w:rFonts w:ascii="Calibri" w:hAnsi="Calibri" w:eastAsia="黑体" w:cs="宋体"/>
          <w:color w:val="auto"/>
          <w:sz w:val="24"/>
          <w:highlight w:val="none"/>
        </w:rPr>
      </w:pPr>
      <w:bookmarkStart w:id="745" w:name="_Toc30944"/>
      <w:bookmarkStart w:id="746" w:name="_Toc152045720"/>
      <w:bookmarkStart w:id="747" w:name="_Toc144974691"/>
      <w:bookmarkStart w:id="748" w:name="_Toc152042499"/>
      <w:bookmarkStart w:id="749" w:name="_Toc179632738"/>
      <w:bookmarkStart w:id="750" w:name="_Toc275242331"/>
      <w:r>
        <w:rPr>
          <w:rFonts w:ascii="Calibri" w:hAnsi="Calibri" w:eastAsia="黑体" w:cs="宋体"/>
          <w:color w:val="auto"/>
          <w:sz w:val="24"/>
          <w:highlight w:val="none"/>
        </w:rPr>
        <w:t xml:space="preserve">17.2 </w:t>
      </w:r>
      <w:r>
        <w:rPr>
          <w:rFonts w:hint="eastAsia" w:ascii="Calibri" w:hAnsi="Calibri" w:eastAsia="黑体" w:cs="宋体"/>
          <w:color w:val="auto"/>
          <w:sz w:val="24"/>
          <w:highlight w:val="none"/>
        </w:rPr>
        <w:t>预付款</w:t>
      </w:r>
      <w:bookmarkEnd w:id="745"/>
      <w:bookmarkEnd w:id="746"/>
      <w:bookmarkEnd w:id="747"/>
      <w:bookmarkEnd w:id="748"/>
      <w:bookmarkEnd w:id="749"/>
      <w:bookmarkEnd w:id="750"/>
    </w:p>
    <w:p w14:paraId="4B0A376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签订合同时约定</w:t>
      </w:r>
    </w:p>
    <w:p w14:paraId="0111FB6D">
      <w:pPr>
        <w:keepNext/>
        <w:keepLines/>
        <w:spacing w:line="400" w:lineRule="exact"/>
        <w:outlineLvl w:val="2"/>
        <w:rPr>
          <w:rFonts w:ascii="Calibri" w:hAnsi="Calibri" w:eastAsia="黑体" w:cs="宋体"/>
          <w:color w:val="auto"/>
          <w:sz w:val="24"/>
          <w:highlight w:val="none"/>
        </w:rPr>
      </w:pPr>
      <w:bookmarkStart w:id="751" w:name="_Toc9601"/>
      <w:bookmarkStart w:id="752" w:name="_Toc275242332"/>
      <w:bookmarkStart w:id="753" w:name="_Toc179632739"/>
      <w:bookmarkStart w:id="754" w:name="_Toc152042500"/>
      <w:bookmarkStart w:id="755" w:name="_Toc144974692"/>
      <w:bookmarkStart w:id="756" w:name="_Toc152045721"/>
      <w:r>
        <w:rPr>
          <w:rFonts w:ascii="Calibri" w:hAnsi="Calibri" w:eastAsia="黑体" w:cs="宋体"/>
          <w:color w:val="auto"/>
          <w:sz w:val="24"/>
          <w:highlight w:val="none"/>
        </w:rPr>
        <w:t xml:space="preserve">17.3 </w:t>
      </w:r>
      <w:r>
        <w:rPr>
          <w:rFonts w:hint="eastAsia" w:ascii="Calibri" w:hAnsi="Calibri" w:eastAsia="黑体" w:cs="宋体"/>
          <w:color w:val="auto"/>
          <w:sz w:val="24"/>
          <w:highlight w:val="none"/>
        </w:rPr>
        <w:t>工程进度付款</w:t>
      </w:r>
      <w:bookmarkEnd w:id="751"/>
      <w:bookmarkEnd w:id="752"/>
      <w:bookmarkEnd w:id="753"/>
      <w:bookmarkEnd w:id="754"/>
      <w:bookmarkEnd w:id="755"/>
      <w:bookmarkEnd w:id="756"/>
    </w:p>
    <w:p w14:paraId="7700A4F9">
      <w:pPr>
        <w:spacing w:line="400" w:lineRule="exact"/>
        <w:jc w:val="left"/>
        <w:rPr>
          <w:rFonts w:hint="eastAsia" w:ascii="Calibri" w:hAnsi="Calibri" w:eastAsia="宋体"/>
          <w:color w:val="auto"/>
          <w:sz w:val="24"/>
          <w:highlight w:val="none"/>
          <w:lang w:eastAsia="zh-CN"/>
        </w:rPr>
      </w:pPr>
      <w:r>
        <w:rPr>
          <w:rFonts w:hint="eastAsia" w:ascii="Calibri" w:hAnsi="Calibri"/>
          <w:color w:val="auto"/>
          <w:sz w:val="24"/>
          <w:highlight w:val="none"/>
        </w:rPr>
        <w:t>（1）本工程预付款：</w:t>
      </w:r>
      <w:r>
        <w:rPr>
          <w:rFonts w:hint="eastAsia" w:ascii="Calibri" w:hAnsi="Calibri"/>
          <w:color w:val="auto"/>
          <w:sz w:val="24"/>
          <w:highlight w:val="none"/>
        </w:rPr>
        <w:t>签订合同时约定</w:t>
      </w:r>
    </w:p>
    <w:p w14:paraId="24F43B5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2）本程按工程进度支付进度款，合同内进度款支付限额为已完成合格工程量的80%(提供完税证明)，工程变更部分进度款待完工审计后一并支付，工程质量评定验收合格后支付至90%，结算经审计部门审定后，工程款支付至结算总价的 97%，发包人扣除每期工程价款结算总额的3%作为质量保证金，待缺陷责任期届满后再清算(不计利息)。</w:t>
      </w:r>
    </w:p>
    <w:p w14:paraId="68A92526">
      <w:pPr>
        <w:keepNext/>
        <w:keepLines/>
        <w:spacing w:line="400" w:lineRule="exact"/>
        <w:outlineLvl w:val="2"/>
        <w:rPr>
          <w:rFonts w:ascii="Calibri" w:hAnsi="Calibri" w:eastAsia="黑体" w:cs="宋体"/>
          <w:color w:val="auto"/>
          <w:sz w:val="24"/>
          <w:highlight w:val="none"/>
        </w:rPr>
      </w:pPr>
      <w:bookmarkStart w:id="757" w:name="_Toc152042501"/>
      <w:bookmarkStart w:id="758" w:name="_Toc152045722"/>
      <w:bookmarkStart w:id="759" w:name="_Toc144974693"/>
      <w:bookmarkStart w:id="760" w:name="_Toc179632740"/>
      <w:bookmarkStart w:id="761" w:name="_Toc275242333"/>
      <w:bookmarkStart w:id="762" w:name="_Toc7499"/>
      <w:r>
        <w:rPr>
          <w:rFonts w:ascii="Calibri" w:hAnsi="Calibri" w:eastAsia="黑体" w:cs="宋体"/>
          <w:color w:val="auto"/>
          <w:sz w:val="24"/>
          <w:highlight w:val="none"/>
        </w:rPr>
        <w:t xml:space="preserve">17.4 </w:t>
      </w:r>
      <w:bookmarkEnd w:id="757"/>
      <w:bookmarkEnd w:id="758"/>
      <w:bookmarkEnd w:id="759"/>
      <w:r>
        <w:rPr>
          <w:rFonts w:hint="eastAsia" w:ascii="Calibri" w:hAnsi="Calibri" w:eastAsia="黑体" w:cs="宋体"/>
          <w:color w:val="auto"/>
          <w:sz w:val="24"/>
          <w:highlight w:val="none"/>
        </w:rPr>
        <w:t>质量保证金</w:t>
      </w:r>
      <w:bookmarkEnd w:id="760"/>
      <w:bookmarkEnd w:id="761"/>
      <w:bookmarkEnd w:id="762"/>
    </w:p>
    <w:p w14:paraId="282F740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17.4.1 </w:t>
      </w:r>
      <w:r>
        <w:rPr>
          <w:rFonts w:hint="eastAsia" w:ascii="Calibri" w:hAnsi="Calibri"/>
          <w:color w:val="auto"/>
          <w:sz w:val="24"/>
          <w:highlight w:val="none"/>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356AE75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17.4.2 </w:t>
      </w:r>
      <w:r>
        <w:rPr>
          <w:rFonts w:hint="eastAsia" w:ascii="Calibri" w:hAnsi="Calibri"/>
          <w:color w:val="auto"/>
          <w:sz w:val="24"/>
          <w:highlight w:val="none"/>
        </w:rPr>
        <w:t>在第</w:t>
      </w:r>
      <w:r>
        <w:rPr>
          <w:rFonts w:ascii="Calibri" w:hAnsi="Calibri"/>
          <w:color w:val="auto"/>
          <w:sz w:val="24"/>
          <w:highlight w:val="none"/>
        </w:rPr>
        <w:t>1.1.4.5</w:t>
      </w:r>
      <w:r>
        <w:rPr>
          <w:rFonts w:hint="eastAsia" w:ascii="Calibri" w:hAnsi="Calibri"/>
          <w:color w:val="auto"/>
          <w:sz w:val="24"/>
          <w:highlight w:val="none"/>
        </w:rPr>
        <w:t>目约定的缺陷责任期满时，承包人向发包人申请到期应返还承包人剩余的质量保证金金额，发包人应在</w:t>
      </w:r>
      <w:r>
        <w:rPr>
          <w:rFonts w:ascii="Calibri" w:hAnsi="Calibri"/>
          <w:color w:val="auto"/>
          <w:sz w:val="24"/>
          <w:highlight w:val="none"/>
        </w:rPr>
        <w:t>14</w:t>
      </w:r>
      <w:r>
        <w:rPr>
          <w:rFonts w:hint="eastAsia" w:ascii="Calibri" w:hAnsi="Calibri"/>
          <w:color w:val="auto"/>
          <w:sz w:val="24"/>
          <w:highlight w:val="none"/>
        </w:rPr>
        <w:t>天内会同承包人按照合同约定的内容核实承包人是否完成缺陷责任。如无异议，发包人应当在核实后将剩余保证金返还承包人。</w:t>
      </w:r>
    </w:p>
    <w:p w14:paraId="00B0D62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17.4.3 </w:t>
      </w:r>
      <w:r>
        <w:rPr>
          <w:rFonts w:hint="eastAsia" w:ascii="Calibri" w:hAnsi="Calibri"/>
          <w:color w:val="auto"/>
          <w:sz w:val="24"/>
          <w:highlight w:val="none"/>
        </w:rPr>
        <w:t>在第</w:t>
      </w:r>
      <w:r>
        <w:rPr>
          <w:rFonts w:ascii="Calibri" w:hAnsi="Calibri"/>
          <w:color w:val="auto"/>
          <w:sz w:val="24"/>
          <w:highlight w:val="none"/>
        </w:rPr>
        <w:t>1.1.4.5</w:t>
      </w:r>
      <w:r>
        <w:rPr>
          <w:rFonts w:hint="eastAsia" w:ascii="Calibri" w:hAnsi="Calibri"/>
          <w:color w:val="auto"/>
          <w:sz w:val="24"/>
          <w:highlight w:val="none"/>
        </w:rPr>
        <w:t>目约定的缺陷责任期满时，承包人没有完成缺陷责任的，发包人有权扣留与未履行责任剩余工作所需金额相应的质量保证金余额，并有权根据第</w:t>
      </w:r>
      <w:r>
        <w:rPr>
          <w:rFonts w:ascii="Calibri" w:hAnsi="Calibri"/>
          <w:color w:val="auto"/>
          <w:sz w:val="24"/>
          <w:highlight w:val="none"/>
        </w:rPr>
        <w:t>19.3</w:t>
      </w:r>
      <w:r>
        <w:rPr>
          <w:rFonts w:hint="eastAsia" w:ascii="Calibri" w:hAnsi="Calibri"/>
          <w:color w:val="auto"/>
          <w:sz w:val="24"/>
          <w:highlight w:val="none"/>
        </w:rPr>
        <w:t>款约定要求延长缺陷责任期，直至完成剩余工作为止。</w:t>
      </w:r>
    </w:p>
    <w:p w14:paraId="4C4A751C">
      <w:pPr>
        <w:keepNext/>
        <w:keepLines/>
        <w:spacing w:line="400" w:lineRule="exact"/>
        <w:outlineLvl w:val="2"/>
        <w:rPr>
          <w:rFonts w:ascii="Calibri" w:hAnsi="Calibri" w:eastAsia="黑体" w:cs="宋体"/>
          <w:color w:val="auto"/>
          <w:sz w:val="24"/>
          <w:highlight w:val="none"/>
        </w:rPr>
      </w:pPr>
      <w:bookmarkStart w:id="763" w:name="_Toc27224"/>
      <w:bookmarkStart w:id="764" w:name="_Toc152045723"/>
      <w:bookmarkStart w:id="765" w:name="_Toc275242334"/>
      <w:bookmarkStart w:id="766" w:name="_Toc179632741"/>
      <w:bookmarkStart w:id="767" w:name="_Toc144974694"/>
      <w:bookmarkStart w:id="768" w:name="_Toc152042502"/>
      <w:r>
        <w:rPr>
          <w:rFonts w:ascii="Calibri" w:hAnsi="Calibri" w:eastAsia="黑体" w:cs="宋体"/>
          <w:color w:val="auto"/>
          <w:sz w:val="24"/>
          <w:highlight w:val="none"/>
        </w:rPr>
        <w:t xml:space="preserve">17.5 </w:t>
      </w:r>
      <w:r>
        <w:rPr>
          <w:rFonts w:hint="eastAsia" w:ascii="Calibri" w:hAnsi="Calibri" w:eastAsia="黑体" w:cs="宋体"/>
          <w:color w:val="auto"/>
          <w:sz w:val="24"/>
          <w:highlight w:val="none"/>
        </w:rPr>
        <w:t>竣工结算</w:t>
      </w:r>
      <w:bookmarkEnd w:id="763"/>
      <w:bookmarkEnd w:id="764"/>
      <w:bookmarkEnd w:id="765"/>
      <w:bookmarkEnd w:id="766"/>
      <w:bookmarkEnd w:id="767"/>
      <w:bookmarkEnd w:id="768"/>
    </w:p>
    <w:p w14:paraId="35DE756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17.5.1 </w:t>
      </w:r>
      <w:r>
        <w:rPr>
          <w:rFonts w:hint="eastAsia" w:ascii="黑体" w:hAnsi="Calibri" w:eastAsia="黑体"/>
          <w:color w:val="auto"/>
          <w:sz w:val="24"/>
          <w:highlight w:val="none"/>
        </w:rPr>
        <w:t>竣工付款申请单</w:t>
      </w:r>
    </w:p>
    <w:p w14:paraId="755FC444">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7FC3389E">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）监理人对竣工付款申请单有异议的，有权要求承包人进行修正和提供补充资料。经监理人和承包人协商后，由承包人向监理人提交修正后的竣工付款申请单。</w:t>
      </w:r>
    </w:p>
    <w:p w14:paraId="4E612B1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17.5.2 </w:t>
      </w:r>
      <w:r>
        <w:rPr>
          <w:rFonts w:hint="eastAsia" w:ascii="黑体" w:hAnsi="Calibri" w:eastAsia="黑体"/>
          <w:color w:val="auto"/>
          <w:sz w:val="24"/>
          <w:highlight w:val="none"/>
        </w:rPr>
        <w:t>竣工付款证书及支付时间</w:t>
      </w:r>
    </w:p>
    <w:p w14:paraId="2B74A645">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）监理人在收到承包人提交的竣工付款申请单后的</w:t>
      </w:r>
      <w:r>
        <w:rPr>
          <w:rFonts w:ascii="Calibri" w:hAnsi="Calibri"/>
          <w:color w:val="auto"/>
          <w:sz w:val="24"/>
          <w:highlight w:val="none"/>
        </w:rPr>
        <w:t>14</w:t>
      </w:r>
      <w:r>
        <w:rPr>
          <w:rFonts w:hint="eastAsia" w:ascii="Calibri" w:hAnsi="Calibri"/>
          <w:color w:val="auto"/>
          <w:sz w:val="24"/>
          <w:highlight w:val="none"/>
        </w:rPr>
        <w:t>天内完成核查，提出发包人到期应支付给承包人的价款送发包人审核并抄送承包人。发包人应在收到后</w:t>
      </w:r>
      <w:r>
        <w:rPr>
          <w:rFonts w:ascii="Calibri" w:hAnsi="Calibri"/>
          <w:color w:val="auto"/>
          <w:sz w:val="24"/>
          <w:highlight w:val="none"/>
        </w:rPr>
        <w:t>14</w:t>
      </w:r>
      <w:r>
        <w:rPr>
          <w:rFonts w:hint="eastAsia" w:ascii="Calibri" w:hAnsi="Calibri"/>
          <w:color w:val="auto"/>
          <w:sz w:val="24"/>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2F22959">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）发包人应在监理人出具竣工付款证书后的</w:t>
      </w:r>
      <w:r>
        <w:rPr>
          <w:rFonts w:ascii="Calibri" w:hAnsi="Calibri"/>
          <w:color w:val="auto"/>
          <w:sz w:val="24"/>
          <w:highlight w:val="none"/>
        </w:rPr>
        <w:t>14</w:t>
      </w:r>
      <w:r>
        <w:rPr>
          <w:rFonts w:hint="eastAsia" w:ascii="Calibri" w:hAnsi="Calibri"/>
          <w:color w:val="auto"/>
          <w:sz w:val="24"/>
          <w:highlight w:val="none"/>
        </w:rPr>
        <w:t>天内，将应支付款支付给承包人。发包人不按期支付的，按第</w:t>
      </w:r>
      <w:r>
        <w:rPr>
          <w:rFonts w:ascii="Calibri" w:hAnsi="Calibri"/>
          <w:color w:val="auto"/>
          <w:sz w:val="24"/>
          <w:highlight w:val="none"/>
        </w:rPr>
        <w:t>17.3.3</w:t>
      </w: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）目的约定，将逾期付款违约金支付给承包人。</w:t>
      </w:r>
    </w:p>
    <w:p w14:paraId="75181368">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）承包人对发包人签认的竣工付款证书有异议的，发包人可出具竣工付款申请单中承包人已同意部分的临时付款证书。存在争议的部分，按第</w:t>
      </w:r>
      <w:r>
        <w:rPr>
          <w:rFonts w:ascii="Calibri" w:hAnsi="Calibri"/>
          <w:color w:val="auto"/>
          <w:sz w:val="24"/>
          <w:highlight w:val="none"/>
        </w:rPr>
        <w:t>24</w:t>
      </w:r>
      <w:r>
        <w:rPr>
          <w:rFonts w:hint="eastAsia" w:ascii="Calibri" w:hAnsi="Calibri"/>
          <w:color w:val="auto"/>
          <w:sz w:val="24"/>
          <w:highlight w:val="none"/>
        </w:rPr>
        <w:t>条的约定办理。</w:t>
      </w:r>
    </w:p>
    <w:p w14:paraId="2D5B3EDE">
      <w:pPr>
        <w:spacing w:line="400" w:lineRule="exact"/>
        <w:ind w:firstLine="720" w:firstLineChars="3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）竣工付款涉及政府投资资金的，按第</w:t>
      </w:r>
      <w:r>
        <w:rPr>
          <w:rFonts w:ascii="Calibri" w:hAnsi="Calibri"/>
          <w:color w:val="auto"/>
          <w:sz w:val="24"/>
          <w:highlight w:val="none"/>
        </w:rPr>
        <w:t>17.3.3</w:t>
      </w:r>
      <w:r>
        <w:rPr>
          <w:rFonts w:hint="eastAsia" w:ascii="Calibri" w:hAnsi="Calibri"/>
          <w:color w:val="auto"/>
          <w:sz w:val="24"/>
          <w:highlight w:val="none"/>
        </w:rPr>
        <w:t>（４）目的约定办理。</w:t>
      </w:r>
    </w:p>
    <w:p w14:paraId="39C26A5A">
      <w:pPr>
        <w:keepNext/>
        <w:keepLines/>
        <w:spacing w:line="400" w:lineRule="exact"/>
        <w:outlineLvl w:val="2"/>
        <w:rPr>
          <w:rFonts w:ascii="Calibri" w:hAnsi="Calibri" w:eastAsia="黑体" w:cs="宋体"/>
          <w:color w:val="auto"/>
          <w:sz w:val="24"/>
          <w:highlight w:val="none"/>
        </w:rPr>
      </w:pPr>
      <w:bookmarkStart w:id="769" w:name="_Toc152042503"/>
      <w:bookmarkStart w:id="770" w:name="_Toc275242335"/>
      <w:bookmarkStart w:id="771" w:name="_Toc7588"/>
      <w:bookmarkStart w:id="772" w:name="_Toc144974695"/>
      <w:bookmarkStart w:id="773" w:name="_Toc152045724"/>
      <w:bookmarkStart w:id="774" w:name="_Toc179632742"/>
      <w:r>
        <w:rPr>
          <w:rFonts w:ascii="Calibri" w:hAnsi="Calibri" w:eastAsia="黑体" w:cs="宋体"/>
          <w:color w:val="auto"/>
          <w:sz w:val="24"/>
          <w:highlight w:val="none"/>
        </w:rPr>
        <w:t xml:space="preserve">17.6 </w:t>
      </w:r>
      <w:r>
        <w:rPr>
          <w:rFonts w:hint="eastAsia" w:ascii="Calibri" w:hAnsi="Calibri" w:eastAsia="黑体" w:cs="宋体"/>
          <w:color w:val="auto"/>
          <w:sz w:val="24"/>
          <w:highlight w:val="none"/>
        </w:rPr>
        <w:t>最终结清</w:t>
      </w:r>
      <w:bookmarkEnd w:id="769"/>
      <w:bookmarkEnd w:id="770"/>
      <w:bookmarkEnd w:id="771"/>
      <w:bookmarkEnd w:id="772"/>
      <w:bookmarkEnd w:id="773"/>
      <w:bookmarkEnd w:id="774"/>
    </w:p>
    <w:p w14:paraId="2202775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17.6.1 </w:t>
      </w:r>
      <w:r>
        <w:rPr>
          <w:rFonts w:hint="eastAsia" w:ascii="黑体" w:hAnsi="Calibri" w:eastAsia="黑体"/>
          <w:color w:val="auto"/>
          <w:sz w:val="24"/>
          <w:highlight w:val="none"/>
        </w:rPr>
        <w:t>最终结清申请单</w:t>
      </w:r>
    </w:p>
    <w:p w14:paraId="319BADD1">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）缺陷责任期终止证书签发后，承包人可按专用合同条款约定的份数和期限向监理人提交最终结清申请单，并提供相关证明材料。</w:t>
      </w:r>
    </w:p>
    <w:p w14:paraId="7992F1D3">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）发包人对最终结清申请单内容有异议的，有权要求承包人进行修正和提供补充资料，由承包人向监理人提交修正后的最终结清申请单。</w:t>
      </w:r>
    </w:p>
    <w:p w14:paraId="08672B3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17.6.2 </w:t>
      </w:r>
      <w:r>
        <w:rPr>
          <w:rFonts w:hint="eastAsia" w:ascii="黑体" w:hAnsi="Calibri" w:eastAsia="黑体"/>
          <w:color w:val="auto"/>
          <w:sz w:val="24"/>
          <w:highlight w:val="none"/>
        </w:rPr>
        <w:t>最终结清证书和支付时间</w:t>
      </w:r>
    </w:p>
    <w:p w14:paraId="28FA41BC">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）监理人收到承包人提交的最终结清申请单后的</w:t>
      </w:r>
      <w:r>
        <w:rPr>
          <w:rFonts w:ascii="Calibri" w:hAnsi="Calibri"/>
          <w:color w:val="auto"/>
          <w:sz w:val="24"/>
          <w:highlight w:val="none"/>
        </w:rPr>
        <w:t>14</w:t>
      </w:r>
      <w:r>
        <w:rPr>
          <w:rFonts w:hint="eastAsia" w:ascii="Calibri" w:hAnsi="Calibri"/>
          <w:color w:val="auto"/>
          <w:sz w:val="24"/>
          <w:highlight w:val="none"/>
        </w:rPr>
        <w:t>天内，提出发包人应支付给承包人的价款送发包人审核并抄送承包人。发包人应在收到后</w:t>
      </w:r>
      <w:r>
        <w:rPr>
          <w:rFonts w:ascii="Calibri" w:hAnsi="Calibri"/>
          <w:color w:val="auto"/>
          <w:sz w:val="24"/>
          <w:highlight w:val="none"/>
        </w:rPr>
        <w:t>14</w:t>
      </w:r>
      <w:r>
        <w:rPr>
          <w:rFonts w:hint="eastAsia" w:ascii="Calibri" w:hAnsi="Calibri"/>
          <w:color w:val="auto"/>
          <w:sz w:val="24"/>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067DC8A">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）发包人应在监理人出具最终结清证书后的</w:t>
      </w:r>
      <w:r>
        <w:rPr>
          <w:rFonts w:ascii="Calibri" w:hAnsi="Calibri"/>
          <w:color w:val="auto"/>
          <w:sz w:val="24"/>
          <w:highlight w:val="none"/>
        </w:rPr>
        <w:t>14</w:t>
      </w:r>
      <w:r>
        <w:rPr>
          <w:rFonts w:hint="eastAsia" w:ascii="Calibri" w:hAnsi="Calibri"/>
          <w:color w:val="auto"/>
          <w:sz w:val="24"/>
          <w:highlight w:val="none"/>
        </w:rPr>
        <w:t>天内，将应支付款支付给承包人。发包人不按期支付的，按第</w:t>
      </w:r>
      <w:r>
        <w:rPr>
          <w:rFonts w:ascii="Calibri" w:hAnsi="Calibri"/>
          <w:color w:val="auto"/>
          <w:sz w:val="24"/>
          <w:highlight w:val="none"/>
        </w:rPr>
        <w:t>17.3.3</w:t>
      </w: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）目的约定，将逾期付款违约金支付给承包人。</w:t>
      </w:r>
    </w:p>
    <w:p w14:paraId="4DC52517">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）承包人对发包人签认的最终结清证书有异议的，按第</w:t>
      </w:r>
      <w:r>
        <w:rPr>
          <w:rFonts w:ascii="Calibri" w:hAnsi="Calibri"/>
          <w:color w:val="auto"/>
          <w:sz w:val="24"/>
          <w:highlight w:val="none"/>
        </w:rPr>
        <w:t>24</w:t>
      </w:r>
      <w:r>
        <w:rPr>
          <w:rFonts w:hint="eastAsia" w:ascii="Calibri" w:hAnsi="Calibri"/>
          <w:color w:val="auto"/>
          <w:sz w:val="24"/>
          <w:highlight w:val="none"/>
        </w:rPr>
        <w:t>条的约定办理。</w:t>
      </w:r>
    </w:p>
    <w:p w14:paraId="0A717E88">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）最终结清付款涉及政府投资资金的，按第</w:t>
      </w:r>
      <w:r>
        <w:rPr>
          <w:rFonts w:ascii="Calibri" w:hAnsi="Calibri"/>
          <w:color w:val="auto"/>
          <w:sz w:val="24"/>
          <w:highlight w:val="none"/>
        </w:rPr>
        <w:t>17.3.3</w:t>
      </w:r>
      <w:r>
        <w:rPr>
          <w:rFonts w:hint="eastAsia" w:ascii="Calibri" w:hAnsi="Calibri"/>
          <w:color w:val="auto"/>
          <w:sz w:val="24"/>
          <w:highlight w:val="none"/>
        </w:rPr>
        <w:t>（４）目的约定办理。</w:t>
      </w:r>
    </w:p>
    <w:p w14:paraId="47529FA8">
      <w:pPr>
        <w:keepNext/>
        <w:keepLines/>
        <w:spacing w:line="400" w:lineRule="exact"/>
        <w:outlineLvl w:val="1"/>
        <w:rPr>
          <w:rFonts w:eastAsia="黑体" w:cs="宋体"/>
          <w:color w:val="auto"/>
          <w:sz w:val="24"/>
          <w:highlight w:val="none"/>
        </w:rPr>
      </w:pPr>
      <w:bookmarkStart w:id="775" w:name="_Toc152045725"/>
      <w:bookmarkStart w:id="776" w:name="_Toc275242336"/>
      <w:bookmarkStart w:id="777" w:name="_Toc19804"/>
      <w:bookmarkStart w:id="778" w:name="_Toc144974696"/>
      <w:bookmarkStart w:id="779" w:name="_Toc179632743"/>
      <w:bookmarkStart w:id="780" w:name="_Toc152042504"/>
      <w:r>
        <w:rPr>
          <w:rFonts w:eastAsia="黑体" w:cs="宋体"/>
          <w:color w:val="auto"/>
          <w:sz w:val="24"/>
          <w:highlight w:val="none"/>
        </w:rPr>
        <w:t xml:space="preserve">18. </w:t>
      </w:r>
      <w:r>
        <w:rPr>
          <w:rFonts w:hint="eastAsia" w:eastAsia="黑体" w:cs="宋体"/>
          <w:color w:val="auto"/>
          <w:sz w:val="24"/>
          <w:highlight w:val="none"/>
        </w:rPr>
        <w:t>竣工验收</w:t>
      </w:r>
      <w:bookmarkEnd w:id="775"/>
      <w:bookmarkEnd w:id="776"/>
      <w:bookmarkEnd w:id="777"/>
      <w:bookmarkEnd w:id="778"/>
      <w:bookmarkEnd w:id="779"/>
      <w:bookmarkEnd w:id="780"/>
    </w:p>
    <w:p w14:paraId="21791F17">
      <w:pPr>
        <w:keepNext/>
        <w:keepLines/>
        <w:spacing w:line="400" w:lineRule="exact"/>
        <w:outlineLvl w:val="2"/>
        <w:rPr>
          <w:rFonts w:ascii="Calibri" w:hAnsi="Calibri" w:eastAsia="黑体" w:cs="宋体"/>
          <w:color w:val="auto"/>
          <w:sz w:val="24"/>
          <w:highlight w:val="none"/>
        </w:rPr>
      </w:pPr>
      <w:bookmarkStart w:id="781" w:name="_Toc179632744"/>
      <w:bookmarkStart w:id="782" w:name="_Toc275242337"/>
      <w:bookmarkStart w:id="783" w:name="_Toc22160"/>
      <w:bookmarkStart w:id="784" w:name="_Toc144974697"/>
      <w:bookmarkStart w:id="785" w:name="_Toc152042505"/>
      <w:bookmarkStart w:id="786" w:name="_Toc152045726"/>
      <w:r>
        <w:rPr>
          <w:rFonts w:ascii="Calibri" w:hAnsi="Calibri" w:eastAsia="黑体" w:cs="宋体"/>
          <w:color w:val="auto"/>
          <w:sz w:val="24"/>
          <w:highlight w:val="none"/>
        </w:rPr>
        <w:t xml:space="preserve">18.1 </w:t>
      </w:r>
      <w:r>
        <w:rPr>
          <w:rFonts w:hint="eastAsia" w:ascii="Calibri" w:hAnsi="Calibri" w:eastAsia="黑体" w:cs="宋体"/>
          <w:color w:val="auto"/>
          <w:sz w:val="24"/>
          <w:highlight w:val="none"/>
        </w:rPr>
        <w:t>竣工验收的含义</w:t>
      </w:r>
      <w:bookmarkEnd w:id="781"/>
      <w:bookmarkEnd w:id="782"/>
      <w:bookmarkEnd w:id="783"/>
      <w:bookmarkEnd w:id="784"/>
      <w:bookmarkEnd w:id="785"/>
      <w:bookmarkEnd w:id="786"/>
    </w:p>
    <w:p w14:paraId="19724F87">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18.1.1 </w:t>
      </w:r>
      <w:r>
        <w:rPr>
          <w:rFonts w:hint="eastAsia" w:ascii="Calibri" w:hAnsi="Calibri"/>
          <w:color w:val="auto"/>
          <w:sz w:val="24"/>
          <w:highlight w:val="none"/>
        </w:rPr>
        <w:t>竣工验收指承包人完成了全部合同工作后，发包人按合同要求进行的验收。</w:t>
      </w:r>
    </w:p>
    <w:p w14:paraId="19F1866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18.1.2 </w:t>
      </w:r>
      <w:r>
        <w:rPr>
          <w:rFonts w:hint="eastAsia" w:ascii="Calibri" w:hAnsi="Calibri"/>
          <w:color w:val="auto"/>
          <w:sz w:val="24"/>
          <w:highlight w:val="none"/>
        </w:rPr>
        <w:t>国家验收是政府有关部门根据法律、规范、规程和政策要求，针对发包人全面组织实施的整个工程正式交付投运前的验收。</w:t>
      </w:r>
    </w:p>
    <w:p w14:paraId="050AE295">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18.1.3 </w:t>
      </w:r>
      <w:r>
        <w:rPr>
          <w:rFonts w:hint="eastAsia" w:ascii="Calibri" w:hAnsi="Calibri"/>
          <w:color w:val="auto"/>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5D4F6C5D">
      <w:pPr>
        <w:keepNext/>
        <w:keepLines/>
        <w:spacing w:line="400" w:lineRule="exact"/>
        <w:outlineLvl w:val="2"/>
        <w:rPr>
          <w:rFonts w:ascii="Calibri" w:hAnsi="Calibri" w:eastAsia="黑体" w:cs="宋体"/>
          <w:color w:val="auto"/>
          <w:sz w:val="24"/>
          <w:highlight w:val="none"/>
        </w:rPr>
      </w:pPr>
      <w:bookmarkStart w:id="787" w:name="_Toc152042506"/>
      <w:bookmarkStart w:id="788" w:name="_Toc275242338"/>
      <w:bookmarkStart w:id="789" w:name="_Toc179632745"/>
      <w:bookmarkStart w:id="790" w:name="_Toc144974698"/>
      <w:bookmarkStart w:id="791" w:name="_Toc21067"/>
      <w:bookmarkStart w:id="792" w:name="_Toc152045727"/>
      <w:r>
        <w:rPr>
          <w:rFonts w:ascii="Calibri" w:hAnsi="Calibri" w:eastAsia="黑体" w:cs="宋体"/>
          <w:color w:val="auto"/>
          <w:sz w:val="24"/>
          <w:highlight w:val="none"/>
        </w:rPr>
        <w:t xml:space="preserve">18.2 </w:t>
      </w:r>
      <w:r>
        <w:rPr>
          <w:rFonts w:hint="eastAsia" w:ascii="Calibri" w:hAnsi="Calibri" w:eastAsia="黑体" w:cs="宋体"/>
          <w:color w:val="auto"/>
          <w:sz w:val="24"/>
          <w:highlight w:val="none"/>
        </w:rPr>
        <w:t>竣工验收申请报告</w:t>
      </w:r>
      <w:bookmarkEnd w:id="787"/>
      <w:bookmarkEnd w:id="788"/>
      <w:bookmarkEnd w:id="789"/>
      <w:bookmarkEnd w:id="790"/>
      <w:bookmarkEnd w:id="791"/>
      <w:bookmarkEnd w:id="792"/>
    </w:p>
    <w:p w14:paraId="00D3797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当工程具备以下条件时，承包人即可向监理人报送竣工验收申请报告：</w:t>
      </w:r>
    </w:p>
    <w:p w14:paraId="79AF27A2">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）除监理人同意列入缺陷责任期内完成的尾工（甩项）工程和缺陷修补工作外，合同范围内的全部单位工程以及有关工作，包括合同要求的试验、试运行以及检验和验收均已完成，并符合合同要求；</w:t>
      </w:r>
    </w:p>
    <w:p w14:paraId="3B153E3D">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）已按合同约定的内容和份数备齐了符合要求的竣工资料；</w:t>
      </w:r>
    </w:p>
    <w:p w14:paraId="45ABD8CE">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）已按监理人的要求编制了在缺陷责任期内完成的尾工（甩项）工程和缺陷修补工作清单以及相应施工计划；</w:t>
      </w:r>
    </w:p>
    <w:p w14:paraId="530381FA">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）监理人要求在竣工验收前应完成的其他工作；</w:t>
      </w:r>
    </w:p>
    <w:p w14:paraId="6621CF0C">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）监理人要求提交的竣工验收资料清单。</w:t>
      </w:r>
    </w:p>
    <w:p w14:paraId="01BC5340">
      <w:pPr>
        <w:keepNext/>
        <w:keepLines/>
        <w:spacing w:line="400" w:lineRule="exact"/>
        <w:outlineLvl w:val="2"/>
        <w:rPr>
          <w:rFonts w:ascii="Calibri" w:hAnsi="Calibri" w:eastAsia="黑体" w:cs="宋体"/>
          <w:color w:val="auto"/>
          <w:sz w:val="24"/>
          <w:highlight w:val="none"/>
        </w:rPr>
      </w:pPr>
      <w:bookmarkStart w:id="793" w:name="_Toc152045728"/>
      <w:bookmarkStart w:id="794" w:name="_Toc275242339"/>
      <w:bookmarkStart w:id="795" w:name="_Toc14274"/>
      <w:bookmarkStart w:id="796" w:name="_Toc152042507"/>
      <w:bookmarkStart w:id="797" w:name="_Toc179632746"/>
      <w:bookmarkStart w:id="798" w:name="_Toc144974699"/>
      <w:r>
        <w:rPr>
          <w:rFonts w:ascii="Calibri" w:hAnsi="Calibri" w:eastAsia="黑体" w:cs="宋体"/>
          <w:color w:val="auto"/>
          <w:sz w:val="24"/>
          <w:highlight w:val="none"/>
        </w:rPr>
        <w:t xml:space="preserve">18.3 </w:t>
      </w:r>
      <w:r>
        <w:rPr>
          <w:rFonts w:hint="eastAsia" w:ascii="Calibri" w:hAnsi="Calibri" w:eastAsia="黑体" w:cs="宋体"/>
          <w:color w:val="auto"/>
          <w:sz w:val="24"/>
          <w:highlight w:val="none"/>
        </w:rPr>
        <w:t>验收</w:t>
      </w:r>
      <w:bookmarkEnd w:id="793"/>
      <w:bookmarkEnd w:id="794"/>
      <w:bookmarkEnd w:id="795"/>
      <w:bookmarkEnd w:id="796"/>
      <w:bookmarkEnd w:id="797"/>
      <w:bookmarkEnd w:id="798"/>
    </w:p>
    <w:p w14:paraId="79DA3A9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监理人收到承包人按第</w:t>
      </w:r>
      <w:r>
        <w:rPr>
          <w:rFonts w:ascii="Calibri" w:hAnsi="Calibri"/>
          <w:color w:val="auto"/>
          <w:sz w:val="24"/>
          <w:highlight w:val="none"/>
        </w:rPr>
        <w:t>18.2</w:t>
      </w:r>
      <w:r>
        <w:rPr>
          <w:rFonts w:hint="eastAsia" w:ascii="Calibri" w:hAnsi="Calibri"/>
          <w:color w:val="auto"/>
          <w:sz w:val="24"/>
          <w:highlight w:val="none"/>
        </w:rPr>
        <w:t>款约定提交的竣工验收申请报告后，应审查申请报告的各项内容，并按以下不同情况进行处理。</w:t>
      </w:r>
    </w:p>
    <w:p w14:paraId="40F8003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18.3.1 </w:t>
      </w:r>
      <w:r>
        <w:rPr>
          <w:rFonts w:hint="eastAsia" w:ascii="Calibri" w:hAnsi="Calibri"/>
          <w:color w:val="auto"/>
          <w:sz w:val="24"/>
          <w:highlight w:val="none"/>
        </w:rPr>
        <w:t>监理人审查后认为尚不具备竣工验收条件的，应在收到竣工验收申请报告后的</w:t>
      </w:r>
      <w:r>
        <w:rPr>
          <w:rFonts w:ascii="Calibri" w:hAnsi="Calibri"/>
          <w:color w:val="auto"/>
          <w:sz w:val="24"/>
          <w:highlight w:val="none"/>
        </w:rPr>
        <w:t>28</w:t>
      </w:r>
      <w:r>
        <w:rPr>
          <w:rFonts w:hint="eastAsia" w:ascii="Calibri" w:hAnsi="Calibri"/>
          <w:color w:val="auto"/>
          <w:sz w:val="24"/>
          <w:highlight w:val="none"/>
        </w:rPr>
        <w:t>天内通知承包人，指出在颁发接收证书前承包人还需进行的工作内容。承包人完成监理人通知的全部工作内容后，应再次提交竣工验收申请报告，直至监理人同意为止。</w:t>
      </w:r>
    </w:p>
    <w:p w14:paraId="7F67E6A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18.3.2 </w:t>
      </w:r>
      <w:r>
        <w:rPr>
          <w:rFonts w:hint="eastAsia" w:ascii="Calibri" w:hAnsi="Calibri"/>
          <w:color w:val="auto"/>
          <w:sz w:val="24"/>
          <w:highlight w:val="none"/>
        </w:rPr>
        <w:t>监理人审查后认为已具备竣工验收条件的，应在收到竣工验收申请报告后的</w:t>
      </w:r>
      <w:r>
        <w:rPr>
          <w:rFonts w:ascii="Calibri" w:hAnsi="Calibri"/>
          <w:color w:val="auto"/>
          <w:sz w:val="24"/>
          <w:highlight w:val="none"/>
        </w:rPr>
        <w:t>28</w:t>
      </w:r>
      <w:r>
        <w:rPr>
          <w:rFonts w:hint="eastAsia" w:ascii="Calibri" w:hAnsi="Calibri"/>
          <w:color w:val="auto"/>
          <w:sz w:val="24"/>
          <w:highlight w:val="none"/>
        </w:rPr>
        <w:t>天内提请发包人进行工程验收。</w:t>
      </w:r>
    </w:p>
    <w:p w14:paraId="545D195C">
      <w:pPr>
        <w:spacing w:line="400" w:lineRule="exact"/>
        <w:ind w:firstLine="480" w:firstLineChars="200"/>
        <w:rPr>
          <w:rFonts w:ascii="Calibri" w:hAnsi="Calibri"/>
          <w:color w:val="auto"/>
          <w:sz w:val="24"/>
          <w:highlight w:val="none"/>
        </w:rPr>
      </w:pPr>
      <w:r>
        <w:rPr>
          <w:rFonts w:ascii="Calibri" w:hAnsi="Calibri"/>
          <w:color w:val="auto"/>
          <w:sz w:val="24"/>
          <w:highlight w:val="none"/>
        </w:rPr>
        <w:t>18.3.3</w:t>
      </w:r>
      <w:r>
        <w:rPr>
          <w:rFonts w:hint="eastAsia" w:ascii="Calibri" w:hAnsi="Calibri"/>
          <w:color w:val="auto"/>
          <w:sz w:val="24"/>
          <w:highlight w:val="none"/>
        </w:rPr>
        <w:t>发包人经过验收后同意接受工程的，应在监理人收到竣工验收申请报告后的</w:t>
      </w:r>
      <w:r>
        <w:rPr>
          <w:rFonts w:ascii="Calibri" w:hAnsi="Calibri"/>
          <w:color w:val="auto"/>
          <w:sz w:val="24"/>
          <w:highlight w:val="none"/>
        </w:rPr>
        <w:t>56</w:t>
      </w:r>
      <w:r>
        <w:rPr>
          <w:rFonts w:hint="eastAsia" w:ascii="Calibri" w:hAnsi="Calibri"/>
          <w:color w:val="auto"/>
          <w:sz w:val="24"/>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539B2B4">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18.3.4 </w:t>
      </w:r>
      <w:r>
        <w:rPr>
          <w:rFonts w:hint="eastAsia" w:ascii="Calibri" w:hAnsi="Calibri"/>
          <w:color w:val="auto"/>
          <w:sz w:val="24"/>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Calibri" w:hAnsi="Calibri"/>
          <w:color w:val="auto"/>
          <w:sz w:val="24"/>
          <w:highlight w:val="none"/>
        </w:rPr>
        <w:t>18.3.1</w:t>
      </w:r>
      <w:r>
        <w:rPr>
          <w:rFonts w:hint="eastAsia" w:ascii="Calibri" w:hAnsi="Calibri"/>
          <w:color w:val="auto"/>
          <w:sz w:val="24"/>
          <w:highlight w:val="none"/>
        </w:rPr>
        <w:t>项、第</w:t>
      </w:r>
      <w:r>
        <w:rPr>
          <w:rFonts w:ascii="Calibri" w:hAnsi="Calibri"/>
          <w:color w:val="auto"/>
          <w:sz w:val="24"/>
          <w:highlight w:val="none"/>
        </w:rPr>
        <w:t>18.3.2</w:t>
      </w:r>
      <w:r>
        <w:rPr>
          <w:rFonts w:hint="eastAsia" w:ascii="Calibri" w:hAnsi="Calibri"/>
          <w:color w:val="auto"/>
          <w:sz w:val="24"/>
          <w:highlight w:val="none"/>
        </w:rPr>
        <w:t>项和第</w:t>
      </w:r>
      <w:r>
        <w:rPr>
          <w:rFonts w:ascii="Calibri" w:hAnsi="Calibri"/>
          <w:color w:val="auto"/>
          <w:sz w:val="24"/>
          <w:highlight w:val="none"/>
        </w:rPr>
        <w:t>18.3.3</w:t>
      </w:r>
      <w:r>
        <w:rPr>
          <w:rFonts w:hint="eastAsia" w:ascii="Calibri" w:hAnsi="Calibri"/>
          <w:color w:val="auto"/>
          <w:sz w:val="24"/>
          <w:highlight w:val="none"/>
        </w:rPr>
        <w:t>项的约定进行。</w:t>
      </w:r>
    </w:p>
    <w:p w14:paraId="5C47ADAE">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18.3.5 </w:t>
      </w:r>
      <w:r>
        <w:rPr>
          <w:rFonts w:hint="eastAsia" w:ascii="Calibri" w:hAnsi="Calibri"/>
          <w:color w:val="auto"/>
          <w:sz w:val="24"/>
          <w:highlight w:val="none"/>
        </w:rPr>
        <w:t>除专用合同条款另有约定外，经验收合格工程的实际竣工日期，以提交竣工验收申请报告的日期为准，并在工程接收证书中写明。</w:t>
      </w:r>
    </w:p>
    <w:p w14:paraId="4FCDF56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18.3.6 </w:t>
      </w:r>
      <w:r>
        <w:rPr>
          <w:rFonts w:hint="eastAsia" w:ascii="Calibri" w:hAnsi="Calibri"/>
          <w:color w:val="auto"/>
          <w:sz w:val="24"/>
          <w:highlight w:val="none"/>
        </w:rPr>
        <w:t>发包人在收到承包人竣工验收申请报告</w:t>
      </w:r>
      <w:r>
        <w:rPr>
          <w:rFonts w:ascii="Calibri" w:hAnsi="Calibri"/>
          <w:color w:val="auto"/>
          <w:sz w:val="24"/>
          <w:highlight w:val="none"/>
        </w:rPr>
        <w:t>56</w:t>
      </w:r>
      <w:r>
        <w:rPr>
          <w:rFonts w:hint="eastAsia" w:ascii="Calibri" w:hAnsi="Calibri"/>
          <w:color w:val="auto"/>
          <w:sz w:val="24"/>
          <w:highlight w:val="none"/>
        </w:rPr>
        <w:t>天后未进行验收的，视为验收合格，实际竣工日期以提交竣工验收申请报告的日期为准，但发包人由于不可抗力不能进行验收的除外。</w:t>
      </w:r>
    </w:p>
    <w:p w14:paraId="40432B1B">
      <w:pPr>
        <w:keepNext/>
        <w:keepLines/>
        <w:spacing w:line="400" w:lineRule="exact"/>
        <w:outlineLvl w:val="2"/>
        <w:rPr>
          <w:rFonts w:ascii="Calibri" w:hAnsi="Calibri" w:eastAsia="黑体" w:cs="宋体"/>
          <w:color w:val="auto"/>
          <w:sz w:val="24"/>
          <w:highlight w:val="none"/>
        </w:rPr>
      </w:pPr>
      <w:bookmarkStart w:id="799" w:name="_Toc144974700"/>
      <w:bookmarkStart w:id="800" w:name="_Toc152045729"/>
      <w:bookmarkStart w:id="801" w:name="_Toc152042508"/>
      <w:bookmarkStart w:id="802" w:name="_Toc24917"/>
      <w:bookmarkStart w:id="803" w:name="_Toc179632747"/>
      <w:bookmarkStart w:id="804" w:name="_Toc275242340"/>
      <w:r>
        <w:rPr>
          <w:rFonts w:ascii="Calibri" w:hAnsi="Calibri" w:eastAsia="黑体" w:cs="宋体"/>
          <w:color w:val="auto"/>
          <w:sz w:val="24"/>
          <w:highlight w:val="none"/>
        </w:rPr>
        <w:t xml:space="preserve">18.4 </w:t>
      </w:r>
      <w:r>
        <w:rPr>
          <w:rFonts w:hint="eastAsia" w:ascii="Calibri" w:hAnsi="Calibri" w:eastAsia="黑体" w:cs="宋体"/>
          <w:color w:val="auto"/>
          <w:sz w:val="24"/>
          <w:highlight w:val="none"/>
        </w:rPr>
        <w:t>单位工程验收</w:t>
      </w:r>
      <w:bookmarkEnd w:id="799"/>
      <w:bookmarkEnd w:id="800"/>
      <w:bookmarkEnd w:id="801"/>
      <w:bookmarkEnd w:id="802"/>
      <w:bookmarkEnd w:id="803"/>
      <w:bookmarkEnd w:id="804"/>
    </w:p>
    <w:p w14:paraId="3927BA5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18.4.1 </w:t>
      </w:r>
      <w:r>
        <w:rPr>
          <w:rFonts w:hint="eastAsia" w:ascii="Calibri" w:hAnsi="Calibri"/>
          <w:color w:val="auto"/>
          <w:sz w:val="24"/>
          <w:highlight w:val="none"/>
        </w:rPr>
        <w:t>发包人根据合同进度计划安排，在全部工程竣工前需要使用已经竣工的单位工程时，或承包人提出经发包人同意时，可进行单位工程验收。验收的程序可参照第</w:t>
      </w:r>
      <w:r>
        <w:rPr>
          <w:rFonts w:ascii="Calibri" w:hAnsi="Calibri"/>
          <w:color w:val="auto"/>
          <w:sz w:val="24"/>
          <w:highlight w:val="none"/>
        </w:rPr>
        <w:t>18.2</w:t>
      </w:r>
      <w:r>
        <w:rPr>
          <w:rFonts w:hint="eastAsia" w:ascii="Calibri" w:hAnsi="Calibri"/>
          <w:color w:val="auto"/>
          <w:sz w:val="24"/>
          <w:highlight w:val="none"/>
        </w:rPr>
        <w:t>款与第</w:t>
      </w:r>
      <w:r>
        <w:rPr>
          <w:rFonts w:ascii="Calibri" w:hAnsi="Calibri"/>
          <w:color w:val="auto"/>
          <w:sz w:val="24"/>
          <w:highlight w:val="none"/>
        </w:rPr>
        <w:t>18.3</w:t>
      </w:r>
      <w:r>
        <w:rPr>
          <w:rFonts w:hint="eastAsia" w:ascii="Calibri" w:hAnsi="Calibri"/>
          <w:color w:val="auto"/>
          <w:sz w:val="24"/>
          <w:highlight w:val="none"/>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8FF6DA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18.4.2 </w:t>
      </w:r>
      <w:r>
        <w:rPr>
          <w:rFonts w:hint="eastAsia" w:ascii="Calibri" w:hAnsi="Calibri"/>
          <w:color w:val="auto"/>
          <w:sz w:val="24"/>
          <w:highlight w:val="none"/>
        </w:rPr>
        <w:t>发包人在全部工程竣工前，使用已接收的单位工程导致承包人费用增加的，发包人应承担由此增加的费用和（或）工期延误，并支付承包人合理利润。</w:t>
      </w:r>
    </w:p>
    <w:p w14:paraId="50FF7E38">
      <w:pPr>
        <w:keepNext/>
        <w:keepLines/>
        <w:spacing w:line="400" w:lineRule="exact"/>
        <w:outlineLvl w:val="2"/>
        <w:rPr>
          <w:rFonts w:ascii="Calibri" w:hAnsi="Calibri" w:eastAsia="黑体" w:cs="宋体"/>
          <w:color w:val="auto"/>
          <w:sz w:val="24"/>
          <w:highlight w:val="none"/>
        </w:rPr>
      </w:pPr>
      <w:bookmarkStart w:id="805" w:name="_Toc275242341"/>
      <w:bookmarkStart w:id="806" w:name="_Toc144974701"/>
      <w:bookmarkStart w:id="807" w:name="_Toc179632748"/>
      <w:bookmarkStart w:id="808" w:name="_Toc152042509"/>
      <w:bookmarkStart w:id="809" w:name="_Toc152045730"/>
      <w:bookmarkStart w:id="810" w:name="_Toc27365"/>
      <w:r>
        <w:rPr>
          <w:rFonts w:ascii="Calibri" w:hAnsi="Calibri" w:eastAsia="黑体" w:cs="宋体"/>
          <w:color w:val="auto"/>
          <w:sz w:val="24"/>
          <w:highlight w:val="none"/>
        </w:rPr>
        <w:t xml:space="preserve">18.5 </w:t>
      </w:r>
      <w:r>
        <w:rPr>
          <w:rFonts w:hint="eastAsia" w:ascii="Calibri" w:hAnsi="Calibri" w:eastAsia="黑体" w:cs="宋体"/>
          <w:color w:val="auto"/>
          <w:sz w:val="24"/>
          <w:highlight w:val="none"/>
        </w:rPr>
        <w:t>施工期运行</w:t>
      </w:r>
      <w:bookmarkEnd w:id="805"/>
      <w:bookmarkEnd w:id="806"/>
      <w:bookmarkEnd w:id="807"/>
      <w:bookmarkEnd w:id="808"/>
      <w:bookmarkEnd w:id="809"/>
      <w:bookmarkEnd w:id="810"/>
    </w:p>
    <w:p w14:paraId="05B15F6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18.5.1 </w:t>
      </w:r>
      <w:r>
        <w:rPr>
          <w:rFonts w:hint="eastAsia" w:ascii="Calibri" w:hAnsi="Calibri"/>
          <w:color w:val="auto"/>
          <w:sz w:val="24"/>
          <w:highlight w:val="none"/>
        </w:rPr>
        <w:t>施工期运行是指合同工程尚未全部竣工，其中某项或某几项单位工程或工程设备安装已竣工，根据专用合同条款约定，需要投入施工期运行的，经发包人按第</w:t>
      </w:r>
      <w:r>
        <w:rPr>
          <w:rFonts w:ascii="Calibri" w:hAnsi="Calibri"/>
          <w:color w:val="auto"/>
          <w:sz w:val="24"/>
          <w:highlight w:val="none"/>
        </w:rPr>
        <w:t>18.4</w:t>
      </w:r>
      <w:r>
        <w:rPr>
          <w:rFonts w:hint="eastAsia" w:ascii="Calibri" w:hAnsi="Calibri"/>
          <w:color w:val="auto"/>
          <w:sz w:val="24"/>
          <w:highlight w:val="none"/>
        </w:rPr>
        <w:t>款的约定验收合格，证明能确保安全后，才能在施工期投入运行。</w:t>
      </w:r>
    </w:p>
    <w:p w14:paraId="02D99F4F">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18.5.2 </w:t>
      </w:r>
      <w:r>
        <w:rPr>
          <w:rFonts w:hint="eastAsia" w:ascii="Calibri" w:hAnsi="Calibri"/>
          <w:color w:val="auto"/>
          <w:sz w:val="24"/>
          <w:highlight w:val="none"/>
        </w:rPr>
        <w:t>在施工期运行中发现工程或工程设备损坏或存在缺陷的，由承包人按第</w:t>
      </w:r>
      <w:r>
        <w:rPr>
          <w:rFonts w:ascii="Calibri" w:hAnsi="Calibri"/>
          <w:color w:val="auto"/>
          <w:sz w:val="24"/>
          <w:highlight w:val="none"/>
        </w:rPr>
        <w:t>19.2</w:t>
      </w:r>
      <w:r>
        <w:rPr>
          <w:rFonts w:hint="eastAsia" w:ascii="Calibri" w:hAnsi="Calibri"/>
          <w:color w:val="auto"/>
          <w:sz w:val="24"/>
          <w:highlight w:val="none"/>
        </w:rPr>
        <w:t>款约定进行修复。</w:t>
      </w:r>
    </w:p>
    <w:p w14:paraId="33488AE3">
      <w:pPr>
        <w:keepNext/>
        <w:keepLines/>
        <w:spacing w:line="400" w:lineRule="exact"/>
        <w:outlineLvl w:val="2"/>
        <w:rPr>
          <w:rFonts w:ascii="Calibri" w:hAnsi="Calibri" w:eastAsia="黑体" w:cs="宋体"/>
          <w:color w:val="auto"/>
          <w:sz w:val="24"/>
          <w:highlight w:val="none"/>
        </w:rPr>
      </w:pPr>
      <w:bookmarkStart w:id="811" w:name="_Toc275242342"/>
      <w:bookmarkStart w:id="812" w:name="_Toc144974702"/>
      <w:bookmarkStart w:id="813" w:name="_Toc152042510"/>
      <w:bookmarkStart w:id="814" w:name="_Toc179632749"/>
      <w:bookmarkStart w:id="815" w:name="_Toc152045731"/>
      <w:bookmarkStart w:id="816" w:name="_Toc16072"/>
      <w:r>
        <w:rPr>
          <w:rFonts w:ascii="Calibri" w:hAnsi="Calibri" w:eastAsia="黑体" w:cs="宋体"/>
          <w:color w:val="auto"/>
          <w:sz w:val="24"/>
          <w:highlight w:val="none"/>
        </w:rPr>
        <w:t xml:space="preserve">18.6 </w:t>
      </w:r>
      <w:r>
        <w:rPr>
          <w:rFonts w:hint="eastAsia" w:ascii="Calibri" w:hAnsi="Calibri" w:eastAsia="黑体" w:cs="宋体"/>
          <w:color w:val="auto"/>
          <w:sz w:val="24"/>
          <w:highlight w:val="none"/>
        </w:rPr>
        <w:t>试运行</w:t>
      </w:r>
      <w:bookmarkEnd w:id="811"/>
      <w:bookmarkEnd w:id="812"/>
      <w:bookmarkEnd w:id="813"/>
      <w:bookmarkEnd w:id="814"/>
      <w:bookmarkEnd w:id="815"/>
      <w:bookmarkEnd w:id="816"/>
    </w:p>
    <w:p w14:paraId="0C262D4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18.6.1 </w:t>
      </w:r>
      <w:r>
        <w:rPr>
          <w:rFonts w:hint="eastAsia" w:ascii="Calibri" w:hAnsi="Calibri"/>
          <w:color w:val="auto"/>
          <w:sz w:val="24"/>
          <w:highlight w:val="none"/>
        </w:rPr>
        <w:t>除专用合同条款另有约定外，承包人应按专用合同条款约定进行工程及工程设备试运行，负责提供试运行所需的人员、器材和必要的条件，并承担全部试运行费用。</w:t>
      </w:r>
    </w:p>
    <w:p w14:paraId="1F3AFF1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18.6.2 </w:t>
      </w:r>
      <w:r>
        <w:rPr>
          <w:rFonts w:hint="eastAsia" w:ascii="Calibri" w:hAnsi="Calibri"/>
          <w:color w:val="auto"/>
          <w:sz w:val="24"/>
          <w:highlight w:val="none"/>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2A9E1EB">
      <w:pPr>
        <w:keepNext/>
        <w:keepLines/>
        <w:spacing w:line="400" w:lineRule="exact"/>
        <w:outlineLvl w:val="2"/>
        <w:rPr>
          <w:rFonts w:ascii="Calibri" w:hAnsi="Calibri" w:eastAsia="黑体" w:cs="宋体"/>
          <w:color w:val="auto"/>
          <w:sz w:val="24"/>
          <w:highlight w:val="none"/>
        </w:rPr>
      </w:pPr>
      <w:bookmarkStart w:id="817" w:name="_Toc275242343"/>
      <w:bookmarkStart w:id="818" w:name="_Toc10011"/>
      <w:bookmarkStart w:id="819" w:name="_Toc144974703"/>
      <w:bookmarkStart w:id="820" w:name="_Toc152042511"/>
      <w:bookmarkStart w:id="821" w:name="_Toc179632750"/>
      <w:bookmarkStart w:id="822" w:name="_Toc152045732"/>
      <w:r>
        <w:rPr>
          <w:rFonts w:ascii="Calibri" w:hAnsi="Calibri" w:eastAsia="黑体" w:cs="宋体"/>
          <w:color w:val="auto"/>
          <w:sz w:val="24"/>
          <w:highlight w:val="none"/>
        </w:rPr>
        <w:t xml:space="preserve">18.7 </w:t>
      </w:r>
      <w:r>
        <w:rPr>
          <w:rFonts w:hint="eastAsia" w:ascii="Calibri" w:hAnsi="Calibri" w:eastAsia="黑体" w:cs="宋体"/>
          <w:color w:val="auto"/>
          <w:sz w:val="24"/>
          <w:highlight w:val="none"/>
        </w:rPr>
        <w:t>竣工清场</w:t>
      </w:r>
      <w:bookmarkEnd w:id="817"/>
      <w:bookmarkEnd w:id="818"/>
      <w:bookmarkEnd w:id="819"/>
      <w:bookmarkEnd w:id="820"/>
      <w:bookmarkEnd w:id="821"/>
      <w:bookmarkEnd w:id="822"/>
    </w:p>
    <w:p w14:paraId="1BDA713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18.7.1 </w:t>
      </w:r>
      <w:r>
        <w:rPr>
          <w:rFonts w:hint="eastAsia" w:ascii="Calibri" w:hAnsi="Calibri"/>
          <w:color w:val="auto"/>
          <w:sz w:val="24"/>
          <w:highlight w:val="none"/>
        </w:rPr>
        <w:t>除合同另有约定外，工程接收证书颁发后，承包人应按以下要求对施工场地进行清理，直至监理人检验合格为止。竣工清场费用由承包人承担。</w:t>
      </w:r>
    </w:p>
    <w:p w14:paraId="4F06F7C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）施工场地内残留的垃圾已全部清除出场；</w:t>
      </w:r>
    </w:p>
    <w:p w14:paraId="013C1FEE">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）临时工程已拆除，场地已按合同要求进行清理、平整或复原；</w:t>
      </w:r>
    </w:p>
    <w:p w14:paraId="3167D23B">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）按合同约定应撤离的承包人设备和剩余的材料，包括废弃的施工设备和材料，已按计划撤离施工场地；</w:t>
      </w:r>
    </w:p>
    <w:p w14:paraId="456456E2">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）工程建筑物周边及其附近道路、河道的施工堆积物，已按监理人指示全部清理；</w:t>
      </w:r>
    </w:p>
    <w:p w14:paraId="694FCE98">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）监理人指示的其他场地清理工作已全部完成。</w:t>
      </w:r>
    </w:p>
    <w:p w14:paraId="7904A50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18.7.2 </w:t>
      </w:r>
      <w:r>
        <w:rPr>
          <w:rFonts w:hint="eastAsia" w:ascii="Calibri" w:hAnsi="Calibri"/>
          <w:color w:val="auto"/>
          <w:sz w:val="24"/>
          <w:highlight w:val="none"/>
        </w:rPr>
        <w:t>承包人未按监理人的要求恢复临时占地，或者场地清理未达到合同约定的，发包人有权委托其他人恢复或清理，所发生的金额从拟支付给承包人的款项中扣除。</w:t>
      </w:r>
    </w:p>
    <w:p w14:paraId="549AC3C9">
      <w:pPr>
        <w:keepNext/>
        <w:keepLines/>
        <w:spacing w:line="400" w:lineRule="exact"/>
        <w:outlineLvl w:val="2"/>
        <w:rPr>
          <w:rFonts w:ascii="Calibri" w:hAnsi="Calibri" w:eastAsia="黑体" w:cs="宋体"/>
          <w:color w:val="auto"/>
          <w:sz w:val="24"/>
          <w:highlight w:val="none"/>
        </w:rPr>
      </w:pPr>
      <w:bookmarkStart w:id="823" w:name="_Toc275242344"/>
      <w:bookmarkStart w:id="824" w:name="_Toc152045733"/>
      <w:bookmarkStart w:id="825" w:name="_Toc24863"/>
      <w:bookmarkStart w:id="826" w:name="_Toc152042512"/>
      <w:bookmarkStart w:id="827" w:name="_Toc144974704"/>
      <w:bookmarkStart w:id="828" w:name="_Toc179632751"/>
      <w:r>
        <w:rPr>
          <w:rFonts w:ascii="Calibri" w:hAnsi="Calibri" w:eastAsia="黑体" w:cs="宋体"/>
          <w:color w:val="auto"/>
          <w:sz w:val="24"/>
          <w:highlight w:val="none"/>
        </w:rPr>
        <w:t xml:space="preserve">18.8 </w:t>
      </w:r>
      <w:r>
        <w:rPr>
          <w:rFonts w:hint="eastAsia" w:ascii="Calibri" w:hAnsi="Calibri" w:eastAsia="黑体" w:cs="宋体"/>
          <w:color w:val="auto"/>
          <w:sz w:val="24"/>
          <w:highlight w:val="none"/>
        </w:rPr>
        <w:t>施工队伍的撤离</w:t>
      </w:r>
      <w:bookmarkEnd w:id="823"/>
      <w:bookmarkEnd w:id="824"/>
      <w:bookmarkEnd w:id="825"/>
      <w:bookmarkEnd w:id="826"/>
      <w:bookmarkEnd w:id="827"/>
      <w:bookmarkEnd w:id="828"/>
    </w:p>
    <w:p w14:paraId="2135CC5F">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工程接收证书颁发后的</w:t>
      </w:r>
      <w:r>
        <w:rPr>
          <w:rFonts w:ascii="Calibri" w:hAnsi="Calibri"/>
          <w:color w:val="auto"/>
          <w:sz w:val="24"/>
          <w:highlight w:val="none"/>
        </w:rPr>
        <w:t>56</w:t>
      </w:r>
      <w:r>
        <w:rPr>
          <w:rFonts w:hint="eastAsia" w:ascii="Calibri" w:hAnsi="Calibri"/>
          <w:color w:val="auto"/>
          <w:sz w:val="24"/>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46B2600">
      <w:pPr>
        <w:keepNext/>
        <w:keepLines/>
        <w:spacing w:line="400" w:lineRule="exact"/>
        <w:outlineLvl w:val="1"/>
        <w:rPr>
          <w:rFonts w:eastAsia="黑体" w:cs="宋体"/>
          <w:color w:val="auto"/>
          <w:sz w:val="24"/>
          <w:highlight w:val="none"/>
        </w:rPr>
      </w:pPr>
      <w:bookmarkStart w:id="829" w:name="_Toc15686"/>
      <w:bookmarkStart w:id="830" w:name="_Toc144974705"/>
      <w:bookmarkStart w:id="831" w:name="_Toc179632752"/>
      <w:bookmarkStart w:id="832" w:name="_Toc152042513"/>
      <w:bookmarkStart w:id="833" w:name="_Toc275242345"/>
      <w:bookmarkStart w:id="834" w:name="_Toc152045734"/>
      <w:r>
        <w:rPr>
          <w:rFonts w:eastAsia="黑体" w:cs="宋体"/>
          <w:color w:val="auto"/>
          <w:sz w:val="24"/>
          <w:highlight w:val="none"/>
        </w:rPr>
        <w:t xml:space="preserve">19. </w:t>
      </w:r>
      <w:r>
        <w:rPr>
          <w:rFonts w:hint="eastAsia" w:eastAsia="黑体" w:cs="宋体"/>
          <w:color w:val="auto"/>
          <w:sz w:val="24"/>
          <w:highlight w:val="none"/>
        </w:rPr>
        <w:t>缺陷责任与保修责任</w:t>
      </w:r>
      <w:bookmarkEnd w:id="829"/>
      <w:bookmarkEnd w:id="830"/>
      <w:bookmarkEnd w:id="831"/>
      <w:bookmarkEnd w:id="832"/>
      <w:bookmarkEnd w:id="833"/>
      <w:bookmarkEnd w:id="834"/>
    </w:p>
    <w:p w14:paraId="182F0350">
      <w:pPr>
        <w:keepNext/>
        <w:keepLines/>
        <w:spacing w:line="400" w:lineRule="exact"/>
        <w:outlineLvl w:val="2"/>
        <w:rPr>
          <w:rFonts w:ascii="Calibri" w:hAnsi="Calibri" w:eastAsia="黑体" w:cs="宋体"/>
          <w:color w:val="auto"/>
          <w:sz w:val="24"/>
          <w:highlight w:val="none"/>
        </w:rPr>
      </w:pPr>
      <w:bookmarkStart w:id="835" w:name="_Toc152042514"/>
      <w:bookmarkStart w:id="836" w:name="_Toc179632753"/>
      <w:bookmarkStart w:id="837" w:name="_Toc144974706"/>
      <w:bookmarkStart w:id="838" w:name="_Toc152045735"/>
      <w:bookmarkStart w:id="839" w:name="_Toc275242346"/>
      <w:bookmarkStart w:id="840" w:name="_Toc8360"/>
      <w:r>
        <w:rPr>
          <w:rFonts w:ascii="Calibri" w:hAnsi="Calibri" w:eastAsia="黑体" w:cs="宋体"/>
          <w:color w:val="auto"/>
          <w:sz w:val="24"/>
          <w:highlight w:val="none"/>
        </w:rPr>
        <w:t xml:space="preserve">19.1 </w:t>
      </w:r>
      <w:r>
        <w:rPr>
          <w:rFonts w:hint="eastAsia" w:ascii="Calibri" w:hAnsi="Calibri" w:eastAsia="黑体" w:cs="宋体"/>
          <w:color w:val="auto"/>
          <w:sz w:val="24"/>
          <w:highlight w:val="none"/>
        </w:rPr>
        <w:t>缺陷责任期的起算时间</w:t>
      </w:r>
      <w:bookmarkEnd w:id="835"/>
      <w:bookmarkEnd w:id="836"/>
      <w:bookmarkEnd w:id="837"/>
      <w:bookmarkEnd w:id="838"/>
      <w:bookmarkEnd w:id="839"/>
      <w:bookmarkEnd w:id="840"/>
    </w:p>
    <w:p w14:paraId="430BADBE">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缺陷责任期自实际竣工日期起计算。在全部工程竣工验收前，已经发包人提前验收的单位工程，其缺陷责任期的起算日期相应提前。</w:t>
      </w:r>
    </w:p>
    <w:p w14:paraId="623E6B5F">
      <w:pPr>
        <w:keepNext/>
        <w:keepLines/>
        <w:spacing w:line="400" w:lineRule="exact"/>
        <w:outlineLvl w:val="2"/>
        <w:rPr>
          <w:rFonts w:ascii="Calibri" w:hAnsi="Calibri" w:eastAsia="黑体" w:cs="宋体"/>
          <w:color w:val="auto"/>
          <w:sz w:val="24"/>
          <w:highlight w:val="none"/>
        </w:rPr>
      </w:pPr>
      <w:bookmarkStart w:id="841" w:name="_Toc152042515"/>
      <w:bookmarkStart w:id="842" w:name="_Toc179632754"/>
      <w:bookmarkStart w:id="843" w:name="_Toc275242347"/>
      <w:bookmarkStart w:id="844" w:name="_Toc2989"/>
      <w:bookmarkStart w:id="845" w:name="_Toc152045736"/>
      <w:bookmarkStart w:id="846" w:name="_Toc144974707"/>
      <w:r>
        <w:rPr>
          <w:rFonts w:ascii="Calibri" w:hAnsi="Calibri" w:eastAsia="黑体" w:cs="宋体"/>
          <w:color w:val="auto"/>
          <w:sz w:val="24"/>
          <w:highlight w:val="none"/>
        </w:rPr>
        <w:t xml:space="preserve">19.2 </w:t>
      </w:r>
      <w:r>
        <w:rPr>
          <w:rFonts w:hint="eastAsia" w:ascii="Calibri" w:hAnsi="Calibri" w:eastAsia="黑体" w:cs="宋体"/>
          <w:color w:val="auto"/>
          <w:sz w:val="24"/>
          <w:highlight w:val="none"/>
        </w:rPr>
        <w:t>缺陷责任</w:t>
      </w:r>
      <w:bookmarkEnd w:id="841"/>
      <w:bookmarkEnd w:id="842"/>
      <w:bookmarkEnd w:id="843"/>
      <w:bookmarkEnd w:id="844"/>
      <w:bookmarkEnd w:id="845"/>
      <w:bookmarkEnd w:id="846"/>
    </w:p>
    <w:p w14:paraId="5C6C7FC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19.2.1 </w:t>
      </w:r>
      <w:r>
        <w:rPr>
          <w:rFonts w:hint="eastAsia" w:ascii="Calibri" w:hAnsi="Calibri"/>
          <w:color w:val="auto"/>
          <w:sz w:val="24"/>
          <w:highlight w:val="none"/>
        </w:rPr>
        <w:t>承包人应在缺陷责任期内对已交付使用的工程承担缺陷责任。</w:t>
      </w:r>
    </w:p>
    <w:p w14:paraId="2E21702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19.2.2 </w:t>
      </w:r>
      <w:r>
        <w:rPr>
          <w:rFonts w:hint="eastAsia" w:ascii="Calibri" w:hAnsi="Calibri"/>
          <w:color w:val="auto"/>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4A9058F9">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19.2.3 </w:t>
      </w:r>
      <w:r>
        <w:rPr>
          <w:rFonts w:hint="eastAsia" w:ascii="Calibri" w:hAnsi="Calibri"/>
          <w:color w:val="auto"/>
          <w:sz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373A2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19.2.4 </w:t>
      </w:r>
      <w:r>
        <w:rPr>
          <w:rFonts w:hint="eastAsia" w:ascii="Calibri" w:hAnsi="Calibri"/>
          <w:color w:val="auto"/>
          <w:sz w:val="24"/>
          <w:highlight w:val="none"/>
        </w:rPr>
        <w:t>承包人不能在合理时间内修复缺陷的，发包人可自行修复或委托其他人修复，所需费用和利润的承担，按第</w:t>
      </w:r>
      <w:r>
        <w:rPr>
          <w:rFonts w:ascii="Calibri" w:hAnsi="Calibri"/>
          <w:color w:val="auto"/>
          <w:sz w:val="24"/>
          <w:highlight w:val="none"/>
        </w:rPr>
        <w:t>19.2.3</w:t>
      </w:r>
      <w:r>
        <w:rPr>
          <w:rFonts w:hint="eastAsia" w:ascii="Calibri" w:hAnsi="Calibri"/>
          <w:color w:val="auto"/>
          <w:sz w:val="24"/>
          <w:highlight w:val="none"/>
        </w:rPr>
        <w:t>项约定办理。</w:t>
      </w:r>
    </w:p>
    <w:p w14:paraId="1820978E">
      <w:pPr>
        <w:keepNext/>
        <w:keepLines/>
        <w:spacing w:line="400" w:lineRule="exact"/>
        <w:outlineLvl w:val="2"/>
        <w:rPr>
          <w:rFonts w:ascii="Calibri" w:hAnsi="Calibri" w:eastAsia="黑体" w:cs="宋体"/>
          <w:color w:val="auto"/>
          <w:sz w:val="24"/>
          <w:highlight w:val="none"/>
        </w:rPr>
      </w:pPr>
      <w:bookmarkStart w:id="847" w:name="_Toc179632755"/>
      <w:bookmarkStart w:id="848" w:name="_Toc144974708"/>
      <w:bookmarkStart w:id="849" w:name="_Toc275242348"/>
      <w:bookmarkStart w:id="850" w:name="_Toc152042516"/>
      <w:bookmarkStart w:id="851" w:name="_Toc152045737"/>
      <w:bookmarkStart w:id="852" w:name="_Toc21776"/>
      <w:r>
        <w:rPr>
          <w:rFonts w:ascii="Calibri" w:hAnsi="Calibri" w:eastAsia="黑体" w:cs="宋体"/>
          <w:color w:val="auto"/>
          <w:sz w:val="24"/>
          <w:highlight w:val="none"/>
        </w:rPr>
        <w:t xml:space="preserve">19.3 </w:t>
      </w:r>
      <w:r>
        <w:rPr>
          <w:rFonts w:hint="eastAsia" w:ascii="Calibri" w:hAnsi="Calibri" w:eastAsia="黑体" w:cs="宋体"/>
          <w:color w:val="auto"/>
          <w:sz w:val="24"/>
          <w:highlight w:val="none"/>
        </w:rPr>
        <w:t>缺陷责任期的延长</w:t>
      </w:r>
      <w:bookmarkEnd w:id="847"/>
      <w:bookmarkEnd w:id="848"/>
      <w:bookmarkEnd w:id="849"/>
      <w:bookmarkEnd w:id="850"/>
      <w:bookmarkEnd w:id="851"/>
      <w:bookmarkEnd w:id="852"/>
    </w:p>
    <w:p w14:paraId="7BAC695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Calibri" w:hAnsi="Calibri"/>
          <w:color w:val="auto"/>
          <w:sz w:val="24"/>
          <w:highlight w:val="none"/>
        </w:rPr>
        <w:t>2</w:t>
      </w:r>
      <w:r>
        <w:rPr>
          <w:rFonts w:hint="eastAsia" w:ascii="Calibri" w:hAnsi="Calibri"/>
          <w:color w:val="auto"/>
          <w:sz w:val="24"/>
          <w:highlight w:val="none"/>
        </w:rPr>
        <w:t>年。</w:t>
      </w:r>
    </w:p>
    <w:p w14:paraId="7DBBC09E">
      <w:pPr>
        <w:keepNext/>
        <w:keepLines/>
        <w:spacing w:line="400" w:lineRule="exact"/>
        <w:outlineLvl w:val="2"/>
        <w:rPr>
          <w:rFonts w:ascii="Calibri" w:hAnsi="Calibri" w:eastAsia="黑体" w:cs="宋体"/>
          <w:color w:val="auto"/>
          <w:sz w:val="24"/>
          <w:highlight w:val="none"/>
        </w:rPr>
      </w:pPr>
      <w:bookmarkStart w:id="853" w:name="_Toc275242349"/>
      <w:bookmarkStart w:id="854" w:name="_Toc179632756"/>
      <w:bookmarkStart w:id="855" w:name="_Toc15297"/>
      <w:bookmarkStart w:id="856" w:name="_Toc144974709"/>
      <w:bookmarkStart w:id="857" w:name="_Toc152042517"/>
      <w:bookmarkStart w:id="858" w:name="_Toc152045738"/>
      <w:r>
        <w:rPr>
          <w:rFonts w:ascii="Calibri" w:hAnsi="Calibri" w:eastAsia="黑体" w:cs="宋体"/>
          <w:color w:val="auto"/>
          <w:sz w:val="24"/>
          <w:highlight w:val="none"/>
        </w:rPr>
        <w:t xml:space="preserve">19.4 </w:t>
      </w:r>
      <w:r>
        <w:rPr>
          <w:rFonts w:hint="eastAsia" w:ascii="Calibri" w:hAnsi="Calibri" w:eastAsia="黑体" w:cs="宋体"/>
          <w:color w:val="auto"/>
          <w:sz w:val="24"/>
          <w:highlight w:val="none"/>
        </w:rPr>
        <w:t>进一步试验和试运行</w:t>
      </w:r>
      <w:bookmarkEnd w:id="853"/>
      <w:bookmarkEnd w:id="854"/>
      <w:bookmarkEnd w:id="855"/>
      <w:bookmarkEnd w:id="856"/>
      <w:bookmarkEnd w:id="857"/>
      <w:bookmarkEnd w:id="858"/>
    </w:p>
    <w:p w14:paraId="4141CFC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任何一项缺陷或损坏修复后，经检查证明其影响了工程或工程设备的使用性能，承包人应重新进行合同约定的试验和试运行，试验和试运行的全部费用应由责任方承担。</w:t>
      </w:r>
    </w:p>
    <w:p w14:paraId="30F37604">
      <w:pPr>
        <w:keepNext/>
        <w:keepLines/>
        <w:spacing w:line="400" w:lineRule="exact"/>
        <w:outlineLvl w:val="2"/>
        <w:rPr>
          <w:rFonts w:ascii="Calibri" w:hAnsi="Calibri" w:eastAsia="黑体" w:cs="宋体"/>
          <w:color w:val="auto"/>
          <w:sz w:val="24"/>
          <w:highlight w:val="none"/>
        </w:rPr>
      </w:pPr>
      <w:bookmarkStart w:id="859" w:name="_Toc275242350"/>
      <w:bookmarkStart w:id="860" w:name="_Toc22679"/>
      <w:bookmarkStart w:id="861" w:name="_Toc152042518"/>
      <w:bookmarkStart w:id="862" w:name="_Toc144974710"/>
      <w:bookmarkStart w:id="863" w:name="_Toc152045739"/>
      <w:bookmarkStart w:id="864" w:name="_Toc179632757"/>
      <w:r>
        <w:rPr>
          <w:rFonts w:ascii="Calibri" w:hAnsi="Calibri" w:eastAsia="黑体" w:cs="宋体"/>
          <w:color w:val="auto"/>
          <w:sz w:val="24"/>
          <w:highlight w:val="none"/>
        </w:rPr>
        <w:t xml:space="preserve">19.5 </w:t>
      </w:r>
      <w:r>
        <w:rPr>
          <w:rFonts w:hint="eastAsia" w:ascii="Calibri" w:hAnsi="Calibri" w:eastAsia="黑体" w:cs="宋体"/>
          <w:color w:val="auto"/>
          <w:sz w:val="24"/>
          <w:highlight w:val="none"/>
        </w:rPr>
        <w:t>承包人的进入权</w:t>
      </w:r>
      <w:bookmarkEnd w:id="859"/>
      <w:bookmarkEnd w:id="860"/>
      <w:bookmarkEnd w:id="861"/>
      <w:bookmarkEnd w:id="862"/>
      <w:bookmarkEnd w:id="863"/>
      <w:bookmarkEnd w:id="864"/>
    </w:p>
    <w:p w14:paraId="388767CC">
      <w:pPr>
        <w:spacing w:line="400" w:lineRule="exact"/>
        <w:ind w:firstLine="480" w:firstLineChars="200"/>
        <w:jc w:val="left"/>
        <w:rPr>
          <w:rFonts w:ascii="Calibri" w:hAnsi="Calibri"/>
          <w:color w:val="auto"/>
          <w:sz w:val="24"/>
          <w:highlight w:val="none"/>
        </w:rPr>
      </w:pPr>
      <w:r>
        <w:rPr>
          <w:rFonts w:hint="eastAsia" w:ascii="Calibri" w:hAnsi="Calibri"/>
          <w:color w:val="auto"/>
          <w:sz w:val="24"/>
          <w:highlight w:val="none"/>
        </w:rPr>
        <w:t>缺陷责任期内承包人为缺陷修复工作需要，有权进入工程现场，但应遵守发包人的保安和保密规定。</w:t>
      </w:r>
    </w:p>
    <w:p w14:paraId="0DD67C14">
      <w:pPr>
        <w:keepNext/>
        <w:keepLines/>
        <w:spacing w:line="400" w:lineRule="exact"/>
        <w:outlineLvl w:val="2"/>
        <w:rPr>
          <w:rFonts w:ascii="Calibri" w:hAnsi="Calibri" w:eastAsia="黑体" w:cs="宋体"/>
          <w:color w:val="auto"/>
          <w:sz w:val="24"/>
          <w:highlight w:val="none"/>
        </w:rPr>
      </w:pPr>
      <w:bookmarkStart w:id="865" w:name="_Toc152045740"/>
      <w:bookmarkStart w:id="866" w:name="_Toc152042519"/>
      <w:bookmarkStart w:id="867" w:name="_Toc144974711"/>
      <w:bookmarkStart w:id="868" w:name="_Toc275242351"/>
      <w:bookmarkStart w:id="869" w:name="_Toc776"/>
      <w:bookmarkStart w:id="870" w:name="_Toc179632758"/>
      <w:r>
        <w:rPr>
          <w:rFonts w:ascii="Calibri" w:hAnsi="Calibri" w:eastAsia="黑体" w:cs="宋体"/>
          <w:color w:val="auto"/>
          <w:sz w:val="24"/>
          <w:highlight w:val="none"/>
        </w:rPr>
        <w:t xml:space="preserve">19.6 </w:t>
      </w:r>
      <w:r>
        <w:rPr>
          <w:rFonts w:hint="eastAsia" w:ascii="Calibri" w:hAnsi="Calibri" w:eastAsia="黑体" w:cs="宋体"/>
          <w:color w:val="auto"/>
          <w:sz w:val="24"/>
          <w:highlight w:val="none"/>
        </w:rPr>
        <w:t>缺陷责任期终止证书</w:t>
      </w:r>
      <w:bookmarkEnd w:id="865"/>
      <w:bookmarkEnd w:id="866"/>
      <w:bookmarkEnd w:id="867"/>
      <w:bookmarkEnd w:id="868"/>
      <w:bookmarkEnd w:id="869"/>
      <w:bookmarkEnd w:id="870"/>
    </w:p>
    <w:p w14:paraId="2039D33D">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在第</w:t>
      </w:r>
      <w:r>
        <w:rPr>
          <w:rFonts w:ascii="Calibri" w:hAnsi="Calibri"/>
          <w:color w:val="auto"/>
          <w:sz w:val="24"/>
          <w:highlight w:val="none"/>
        </w:rPr>
        <w:t>1.1.4.5</w:t>
      </w:r>
      <w:r>
        <w:rPr>
          <w:rFonts w:hint="eastAsia" w:ascii="Calibri" w:hAnsi="Calibri"/>
          <w:color w:val="auto"/>
          <w:sz w:val="24"/>
          <w:highlight w:val="none"/>
        </w:rPr>
        <w:t>目约定的缺陷责任期，包括根据第</w:t>
      </w:r>
      <w:r>
        <w:rPr>
          <w:rFonts w:ascii="Calibri" w:hAnsi="Calibri"/>
          <w:color w:val="auto"/>
          <w:sz w:val="24"/>
          <w:highlight w:val="none"/>
        </w:rPr>
        <w:t>19.3</w:t>
      </w:r>
      <w:r>
        <w:rPr>
          <w:rFonts w:hint="eastAsia" w:ascii="Calibri" w:hAnsi="Calibri"/>
          <w:color w:val="auto"/>
          <w:sz w:val="24"/>
          <w:highlight w:val="none"/>
        </w:rPr>
        <w:t>款延长的期限终止后</w:t>
      </w:r>
      <w:r>
        <w:rPr>
          <w:rFonts w:ascii="Calibri" w:hAnsi="Calibri"/>
          <w:color w:val="auto"/>
          <w:sz w:val="24"/>
          <w:highlight w:val="none"/>
        </w:rPr>
        <w:t>14</w:t>
      </w:r>
      <w:r>
        <w:rPr>
          <w:rFonts w:hint="eastAsia" w:ascii="Calibri" w:hAnsi="Calibri"/>
          <w:color w:val="auto"/>
          <w:sz w:val="24"/>
          <w:highlight w:val="none"/>
        </w:rPr>
        <w:t>天内，由监理人向承包人出具经发包人签认的缺陷责任期终止证书，并退还剩余的质量保证金。</w:t>
      </w:r>
    </w:p>
    <w:p w14:paraId="245BE648">
      <w:pPr>
        <w:keepNext/>
        <w:keepLines/>
        <w:spacing w:line="400" w:lineRule="exact"/>
        <w:outlineLvl w:val="2"/>
        <w:rPr>
          <w:rFonts w:ascii="Calibri" w:hAnsi="Calibri" w:eastAsia="黑体" w:cs="宋体"/>
          <w:color w:val="auto"/>
          <w:sz w:val="24"/>
          <w:highlight w:val="none"/>
        </w:rPr>
      </w:pPr>
      <w:bookmarkStart w:id="871" w:name="_Toc26055"/>
      <w:bookmarkStart w:id="872" w:name="_Toc179632759"/>
      <w:bookmarkStart w:id="873" w:name="_Toc152042520"/>
      <w:bookmarkStart w:id="874" w:name="_Toc144974712"/>
      <w:bookmarkStart w:id="875" w:name="_Toc152045741"/>
      <w:bookmarkStart w:id="876" w:name="_Toc275242352"/>
      <w:r>
        <w:rPr>
          <w:rFonts w:ascii="Calibri" w:hAnsi="Calibri" w:eastAsia="黑体" w:cs="宋体"/>
          <w:color w:val="auto"/>
          <w:sz w:val="24"/>
          <w:highlight w:val="none"/>
        </w:rPr>
        <w:t xml:space="preserve">19.7 </w:t>
      </w:r>
      <w:r>
        <w:rPr>
          <w:rFonts w:hint="eastAsia" w:ascii="Calibri" w:hAnsi="Calibri" w:eastAsia="黑体" w:cs="宋体"/>
          <w:color w:val="auto"/>
          <w:sz w:val="24"/>
          <w:highlight w:val="none"/>
        </w:rPr>
        <w:t>保修责任</w:t>
      </w:r>
      <w:bookmarkEnd w:id="871"/>
      <w:bookmarkEnd w:id="872"/>
      <w:bookmarkEnd w:id="873"/>
      <w:bookmarkEnd w:id="874"/>
      <w:bookmarkEnd w:id="875"/>
      <w:bookmarkEnd w:id="876"/>
    </w:p>
    <w:p w14:paraId="396CC62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738796BE">
      <w:pPr>
        <w:keepNext/>
        <w:keepLines/>
        <w:spacing w:line="400" w:lineRule="exact"/>
        <w:outlineLvl w:val="1"/>
        <w:rPr>
          <w:rFonts w:eastAsia="黑体" w:cs="宋体"/>
          <w:color w:val="auto"/>
          <w:sz w:val="24"/>
          <w:highlight w:val="none"/>
        </w:rPr>
      </w:pPr>
      <w:bookmarkStart w:id="877" w:name="_Toc10372"/>
      <w:bookmarkStart w:id="878" w:name="_Toc144974713"/>
      <w:bookmarkStart w:id="879" w:name="_Toc152045742"/>
      <w:bookmarkStart w:id="880" w:name="_Toc275242353"/>
      <w:bookmarkStart w:id="881" w:name="_Toc179632760"/>
      <w:bookmarkStart w:id="882" w:name="_Toc152042521"/>
      <w:r>
        <w:rPr>
          <w:rFonts w:eastAsia="黑体" w:cs="宋体"/>
          <w:color w:val="auto"/>
          <w:sz w:val="24"/>
          <w:highlight w:val="none"/>
        </w:rPr>
        <w:t xml:space="preserve">20. </w:t>
      </w:r>
      <w:r>
        <w:rPr>
          <w:rFonts w:hint="eastAsia" w:eastAsia="黑体" w:cs="宋体"/>
          <w:color w:val="auto"/>
          <w:sz w:val="24"/>
          <w:highlight w:val="none"/>
        </w:rPr>
        <w:t>保险</w:t>
      </w:r>
      <w:bookmarkEnd w:id="877"/>
      <w:bookmarkEnd w:id="878"/>
      <w:bookmarkEnd w:id="879"/>
      <w:bookmarkEnd w:id="880"/>
      <w:bookmarkEnd w:id="881"/>
      <w:bookmarkEnd w:id="882"/>
    </w:p>
    <w:p w14:paraId="3083D885">
      <w:pPr>
        <w:keepNext/>
        <w:keepLines/>
        <w:spacing w:line="400" w:lineRule="exact"/>
        <w:outlineLvl w:val="2"/>
        <w:rPr>
          <w:rFonts w:ascii="Calibri" w:hAnsi="Calibri" w:eastAsia="黑体" w:cs="宋体"/>
          <w:color w:val="auto"/>
          <w:sz w:val="24"/>
          <w:highlight w:val="none"/>
        </w:rPr>
      </w:pPr>
      <w:bookmarkStart w:id="883" w:name="_Toc152045743"/>
      <w:bookmarkStart w:id="884" w:name="_Toc144974714"/>
      <w:bookmarkStart w:id="885" w:name="_Toc152042522"/>
      <w:bookmarkStart w:id="886" w:name="_Toc11219"/>
      <w:bookmarkStart w:id="887" w:name="_Toc179632761"/>
      <w:bookmarkStart w:id="888" w:name="_Toc275242354"/>
      <w:r>
        <w:rPr>
          <w:rFonts w:ascii="Calibri" w:hAnsi="Calibri" w:eastAsia="黑体" w:cs="宋体"/>
          <w:color w:val="auto"/>
          <w:sz w:val="24"/>
          <w:highlight w:val="none"/>
        </w:rPr>
        <w:t xml:space="preserve">20.1 </w:t>
      </w:r>
      <w:r>
        <w:rPr>
          <w:rFonts w:hint="eastAsia" w:ascii="Calibri" w:hAnsi="Calibri" w:eastAsia="黑体" w:cs="宋体"/>
          <w:color w:val="auto"/>
          <w:sz w:val="24"/>
          <w:highlight w:val="none"/>
        </w:rPr>
        <w:t>工程保险</w:t>
      </w:r>
      <w:bookmarkEnd w:id="883"/>
      <w:bookmarkEnd w:id="884"/>
      <w:bookmarkEnd w:id="885"/>
      <w:bookmarkEnd w:id="886"/>
      <w:bookmarkEnd w:id="887"/>
      <w:bookmarkEnd w:id="888"/>
    </w:p>
    <w:p w14:paraId="286539CE">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8641DA4">
      <w:pPr>
        <w:keepNext/>
        <w:keepLines/>
        <w:spacing w:line="400" w:lineRule="exact"/>
        <w:outlineLvl w:val="2"/>
        <w:rPr>
          <w:rFonts w:ascii="Calibri" w:hAnsi="Calibri" w:eastAsia="黑体" w:cs="宋体"/>
          <w:color w:val="auto"/>
          <w:sz w:val="24"/>
          <w:highlight w:val="none"/>
        </w:rPr>
      </w:pPr>
      <w:bookmarkStart w:id="889" w:name="_Toc152045744"/>
      <w:bookmarkStart w:id="890" w:name="_Toc152042523"/>
      <w:bookmarkStart w:id="891" w:name="_Toc275242355"/>
      <w:bookmarkStart w:id="892" w:name="_Toc144974715"/>
      <w:bookmarkStart w:id="893" w:name="_Toc179632762"/>
      <w:bookmarkStart w:id="894" w:name="_Toc23042"/>
      <w:r>
        <w:rPr>
          <w:rFonts w:ascii="Calibri" w:hAnsi="Calibri" w:eastAsia="黑体" w:cs="宋体"/>
          <w:color w:val="auto"/>
          <w:sz w:val="24"/>
          <w:highlight w:val="none"/>
        </w:rPr>
        <w:t xml:space="preserve">20.2 </w:t>
      </w:r>
      <w:r>
        <w:rPr>
          <w:rFonts w:hint="eastAsia" w:ascii="Calibri" w:hAnsi="Calibri" w:eastAsia="黑体" w:cs="宋体"/>
          <w:color w:val="auto"/>
          <w:sz w:val="24"/>
          <w:highlight w:val="none"/>
        </w:rPr>
        <w:t>人员工伤事故的保险</w:t>
      </w:r>
      <w:bookmarkEnd w:id="889"/>
      <w:bookmarkEnd w:id="890"/>
      <w:bookmarkEnd w:id="891"/>
      <w:bookmarkEnd w:id="892"/>
      <w:bookmarkEnd w:id="893"/>
      <w:bookmarkEnd w:id="894"/>
    </w:p>
    <w:p w14:paraId="5400B771">
      <w:pPr>
        <w:spacing w:line="38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20.2.1 </w:t>
      </w:r>
      <w:r>
        <w:rPr>
          <w:rFonts w:hint="eastAsia" w:ascii="黑体" w:hAnsi="Calibri" w:eastAsia="黑体"/>
          <w:color w:val="auto"/>
          <w:sz w:val="24"/>
          <w:highlight w:val="none"/>
        </w:rPr>
        <w:t>承包人员工伤事故的保险</w:t>
      </w:r>
    </w:p>
    <w:p w14:paraId="1BD20DB4">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承包人应依照有关法律规定参加工伤保险，为其履行合同所雇佣的全部人员，缴纳工伤保险费，并要求其分包人也进行此项保险。</w:t>
      </w:r>
    </w:p>
    <w:p w14:paraId="4B112296">
      <w:pPr>
        <w:spacing w:line="380" w:lineRule="exact"/>
        <w:ind w:firstLine="480" w:firstLineChars="200"/>
        <w:rPr>
          <w:rFonts w:ascii="黑体" w:hAnsi="Calibri" w:eastAsia="黑体"/>
          <w:color w:val="auto"/>
          <w:sz w:val="24"/>
          <w:highlight w:val="none"/>
        </w:rPr>
      </w:pPr>
      <w:r>
        <w:rPr>
          <w:rFonts w:ascii="Calibri" w:hAnsi="Calibri"/>
          <w:color w:val="auto"/>
          <w:sz w:val="24"/>
          <w:highlight w:val="none"/>
        </w:rPr>
        <w:t>20.2.2</w:t>
      </w:r>
      <w:r>
        <w:rPr>
          <w:rFonts w:hint="eastAsia" w:ascii="黑体" w:hAnsi="Calibri" w:eastAsia="黑体"/>
          <w:color w:val="auto"/>
          <w:sz w:val="24"/>
          <w:highlight w:val="none"/>
        </w:rPr>
        <w:t>发包人员工伤事故的保险</w:t>
      </w:r>
    </w:p>
    <w:p w14:paraId="59EB38C2">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发包人应依照有关法律规定参加工伤保险，为其现场机构雇佣的全部人员，缴纳工伤保险费，并要求其监理人也进行此项保险。</w:t>
      </w:r>
    </w:p>
    <w:p w14:paraId="1005E1D7">
      <w:pPr>
        <w:keepNext/>
        <w:keepLines/>
        <w:spacing w:line="400" w:lineRule="exact"/>
        <w:outlineLvl w:val="2"/>
        <w:rPr>
          <w:rFonts w:ascii="Calibri" w:hAnsi="Calibri" w:eastAsia="黑体" w:cs="宋体"/>
          <w:color w:val="auto"/>
          <w:sz w:val="24"/>
          <w:highlight w:val="none"/>
        </w:rPr>
      </w:pPr>
      <w:bookmarkStart w:id="895" w:name="_Toc144974716"/>
      <w:bookmarkStart w:id="896" w:name="_Toc179632763"/>
      <w:bookmarkStart w:id="897" w:name="_Toc275242356"/>
      <w:bookmarkStart w:id="898" w:name="_Toc5905"/>
      <w:bookmarkStart w:id="899" w:name="_Toc152042524"/>
      <w:bookmarkStart w:id="900" w:name="_Toc152045745"/>
      <w:r>
        <w:rPr>
          <w:rFonts w:ascii="Calibri" w:hAnsi="Calibri" w:eastAsia="黑体" w:cs="宋体"/>
          <w:color w:val="auto"/>
          <w:sz w:val="24"/>
          <w:highlight w:val="none"/>
        </w:rPr>
        <w:t xml:space="preserve">20.3 </w:t>
      </w:r>
      <w:r>
        <w:rPr>
          <w:rFonts w:hint="eastAsia" w:ascii="Calibri" w:hAnsi="Calibri" w:eastAsia="黑体" w:cs="宋体"/>
          <w:color w:val="auto"/>
          <w:sz w:val="24"/>
          <w:highlight w:val="none"/>
        </w:rPr>
        <w:t>人身意外伤害险</w:t>
      </w:r>
      <w:bookmarkEnd w:id="895"/>
      <w:bookmarkEnd w:id="896"/>
      <w:bookmarkEnd w:id="897"/>
      <w:bookmarkEnd w:id="898"/>
      <w:bookmarkEnd w:id="899"/>
      <w:bookmarkEnd w:id="900"/>
    </w:p>
    <w:p w14:paraId="358CA921">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20.3.1 </w:t>
      </w:r>
      <w:r>
        <w:rPr>
          <w:rFonts w:hint="eastAsia" w:ascii="Calibri" w:hAnsi="Calibri"/>
          <w:color w:val="auto"/>
          <w:sz w:val="24"/>
          <w:highlight w:val="none"/>
        </w:rPr>
        <w:t>发包人应在整个施工期间为其现场机构雇用的全部人员，投保人身意外伤害险，缴纳保险费，并要求其监理人也进行此项保险。</w:t>
      </w:r>
    </w:p>
    <w:p w14:paraId="4AB79771">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20.3.2 </w:t>
      </w:r>
      <w:r>
        <w:rPr>
          <w:rFonts w:hint="eastAsia" w:ascii="Calibri" w:hAnsi="Calibri"/>
          <w:color w:val="auto"/>
          <w:sz w:val="24"/>
          <w:highlight w:val="none"/>
        </w:rPr>
        <w:t>承包人应在整个施工期间为其现场机构雇用的全部人员，投保人身意外伤害险，缴纳保险费，并要求其分包人也进行此项保险。</w:t>
      </w:r>
    </w:p>
    <w:p w14:paraId="7CBBD00D">
      <w:pPr>
        <w:keepNext/>
        <w:keepLines/>
        <w:spacing w:line="400" w:lineRule="exact"/>
        <w:outlineLvl w:val="2"/>
        <w:rPr>
          <w:rFonts w:ascii="Calibri" w:hAnsi="Calibri" w:eastAsia="黑体" w:cs="宋体"/>
          <w:color w:val="auto"/>
          <w:sz w:val="24"/>
          <w:highlight w:val="none"/>
        </w:rPr>
      </w:pPr>
      <w:bookmarkStart w:id="901" w:name="_Toc152042525"/>
      <w:bookmarkStart w:id="902" w:name="_Toc144974717"/>
      <w:bookmarkStart w:id="903" w:name="_Toc275242357"/>
      <w:bookmarkStart w:id="904" w:name="_Toc179632764"/>
      <w:bookmarkStart w:id="905" w:name="_Toc152045746"/>
      <w:bookmarkStart w:id="906" w:name="_Toc31034"/>
      <w:r>
        <w:rPr>
          <w:rFonts w:ascii="Calibri" w:hAnsi="Calibri" w:eastAsia="黑体" w:cs="宋体"/>
          <w:color w:val="auto"/>
          <w:sz w:val="24"/>
          <w:highlight w:val="none"/>
        </w:rPr>
        <w:t xml:space="preserve">20.4 </w:t>
      </w:r>
      <w:r>
        <w:rPr>
          <w:rFonts w:hint="eastAsia" w:ascii="Calibri" w:hAnsi="Calibri" w:eastAsia="黑体" w:cs="宋体"/>
          <w:color w:val="auto"/>
          <w:sz w:val="24"/>
          <w:highlight w:val="none"/>
        </w:rPr>
        <w:t>第三者责任险</w:t>
      </w:r>
      <w:bookmarkEnd w:id="901"/>
      <w:bookmarkEnd w:id="902"/>
      <w:bookmarkEnd w:id="903"/>
      <w:bookmarkEnd w:id="904"/>
      <w:bookmarkEnd w:id="905"/>
      <w:bookmarkEnd w:id="906"/>
    </w:p>
    <w:p w14:paraId="42D44B33">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20.4.1 </w:t>
      </w:r>
      <w:r>
        <w:rPr>
          <w:rFonts w:hint="eastAsia" w:ascii="Calibri" w:hAnsi="Calibri"/>
          <w:color w:val="auto"/>
          <w:sz w:val="24"/>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17F4AC7">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20.4.2 </w:t>
      </w:r>
      <w:r>
        <w:rPr>
          <w:rFonts w:hint="eastAsia" w:ascii="Calibri" w:hAnsi="Calibri"/>
          <w:color w:val="auto"/>
          <w:sz w:val="24"/>
          <w:highlight w:val="none"/>
        </w:rPr>
        <w:t>在缺陷责任期终止证书颁发前，承包人应以承包人和发包人的共同名义，投保第</w:t>
      </w:r>
      <w:r>
        <w:rPr>
          <w:rFonts w:ascii="Calibri" w:hAnsi="Calibri"/>
          <w:color w:val="auto"/>
          <w:sz w:val="24"/>
          <w:highlight w:val="none"/>
        </w:rPr>
        <w:t>20.4.1</w:t>
      </w:r>
      <w:r>
        <w:rPr>
          <w:rFonts w:hint="eastAsia" w:ascii="Calibri" w:hAnsi="Calibri"/>
          <w:color w:val="auto"/>
          <w:sz w:val="24"/>
          <w:highlight w:val="none"/>
        </w:rPr>
        <w:t>项约定的第三者责任险，其保险费率、保险金额等有关内容在专用合同条款中约定。</w:t>
      </w:r>
    </w:p>
    <w:p w14:paraId="4A8DCFBB">
      <w:pPr>
        <w:keepNext/>
        <w:keepLines/>
        <w:spacing w:line="400" w:lineRule="exact"/>
        <w:outlineLvl w:val="2"/>
        <w:rPr>
          <w:rFonts w:ascii="Calibri" w:hAnsi="Calibri" w:eastAsia="黑体" w:cs="宋体"/>
          <w:color w:val="auto"/>
          <w:sz w:val="24"/>
          <w:highlight w:val="none"/>
        </w:rPr>
      </w:pPr>
      <w:bookmarkStart w:id="907" w:name="_Toc275242358"/>
      <w:bookmarkStart w:id="908" w:name="_Toc144974718"/>
      <w:bookmarkStart w:id="909" w:name="_Toc179632765"/>
      <w:bookmarkStart w:id="910" w:name="_Toc30256"/>
      <w:bookmarkStart w:id="911" w:name="_Toc152042526"/>
      <w:bookmarkStart w:id="912" w:name="_Toc152045747"/>
      <w:r>
        <w:rPr>
          <w:rFonts w:ascii="Calibri" w:hAnsi="Calibri" w:eastAsia="黑体" w:cs="宋体"/>
          <w:color w:val="auto"/>
          <w:sz w:val="24"/>
          <w:highlight w:val="none"/>
        </w:rPr>
        <w:t xml:space="preserve">20.5 </w:t>
      </w:r>
      <w:r>
        <w:rPr>
          <w:rFonts w:hint="eastAsia" w:ascii="Calibri" w:hAnsi="Calibri" w:eastAsia="黑体" w:cs="宋体"/>
          <w:color w:val="auto"/>
          <w:sz w:val="24"/>
          <w:highlight w:val="none"/>
        </w:rPr>
        <w:t>其他保险</w:t>
      </w:r>
      <w:bookmarkEnd w:id="907"/>
      <w:bookmarkEnd w:id="908"/>
      <w:bookmarkEnd w:id="909"/>
      <w:bookmarkEnd w:id="910"/>
      <w:bookmarkEnd w:id="911"/>
      <w:bookmarkEnd w:id="912"/>
    </w:p>
    <w:p w14:paraId="063BF2E6">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除专用合同条款另有约定外，承包人应为其施工设备、进场的材料和工程设备等办理保险。</w:t>
      </w:r>
    </w:p>
    <w:p w14:paraId="5AEB2224">
      <w:pPr>
        <w:keepNext/>
        <w:keepLines/>
        <w:spacing w:line="400" w:lineRule="exact"/>
        <w:outlineLvl w:val="2"/>
        <w:rPr>
          <w:rFonts w:ascii="Calibri" w:hAnsi="Calibri" w:eastAsia="黑体" w:cs="宋体"/>
          <w:color w:val="auto"/>
          <w:sz w:val="24"/>
          <w:highlight w:val="none"/>
        </w:rPr>
      </w:pPr>
      <w:bookmarkStart w:id="913" w:name="_Toc275242359"/>
      <w:bookmarkStart w:id="914" w:name="_Toc152042527"/>
      <w:bookmarkStart w:id="915" w:name="_Toc152045748"/>
      <w:bookmarkStart w:id="916" w:name="_Toc144974719"/>
      <w:bookmarkStart w:id="917" w:name="_Toc1708"/>
      <w:bookmarkStart w:id="918" w:name="_Toc179632766"/>
      <w:r>
        <w:rPr>
          <w:rFonts w:ascii="Calibri" w:hAnsi="Calibri" w:eastAsia="黑体" w:cs="宋体"/>
          <w:color w:val="auto"/>
          <w:sz w:val="24"/>
          <w:highlight w:val="none"/>
        </w:rPr>
        <w:t xml:space="preserve">20.6 </w:t>
      </w:r>
      <w:r>
        <w:rPr>
          <w:rFonts w:hint="eastAsia" w:ascii="Calibri" w:hAnsi="Calibri" w:eastAsia="黑体" w:cs="宋体"/>
          <w:color w:val="auto"/>
          <w:sz w:val="24"/>
          <w:highlight w:val="none"/>
        </w:rPr>
        <w:t>对各项保险的一般要求</w:t>
      </w:r>
      <w:bookmarkEnd w:id="913"/>
      <w:bookmarkEnd w:id="914"/>
      <w:bookmarkEnd w:id="915"/>
      <w:bookmarkEnd w:id="916"/>
      <w:bookmarkEnd w:id="917"/>
      <w:bookmarkEnd w:id="918"/>
    </w:p>
    <w:p w14:paraId="77B23B3A">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20.6.1 </w:t>
      </w:r>
      <w:r>
        <w:rPr>
          <w:rFonts w:hint="eastAsia" w:ascii="黑体" w:hAnsi="Calibri" w:eastAsia="黑体"/>
          <w:color w:val="auto"/>
          <w:sz w:val="24"/>
          <w:highlight w:val="none"/>
        </w:rPr>
        <w:t>保险凭证</w:t>
      </w:r>
    </w:p>
    <w:p w14:paraId="581F8655">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承包人应在专用合同条款约定的期限内向发包人提交各项保险生效的证据和保险单副本，保险单必须与专用合同条款约定的条件保持一致。</w:t>
      </w:r>
    </w:p>
    <w:p w14:paraId="7674208F">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20.6.2 </w:t>
      </w:r>
      <w:r>
        <w:rPr>
          <w:rFonts w:hint="eastAsia" w:ascii="黑体" w:hAnsi="Calibri" w:eastAsia="黑体"/>
          <w:color w:val="auto"/>
          <w:sz w:val="24"/>
          <w:highlight w:val="none"/>
        </w:rPr>
        <w:t>保险合同条款的变动</w:t>
      </w:r>
    </w:p>
    <w:p w14:paraId="5BE37FBA">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承包人需要变动保险合同条款时，应事先征得发包人同意，并通知监理人。保险人作出变动的，承包人应在收到保险人通知后立即通知发包人和监理人。</w:t>
      </w:r>
    </w:p>
    <w:p w14:paraId="66293934">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20.6.3 </w:t>
      </w:r>
      <w:r>
        <w:rPr>
          <w:rFonts w:hint="eastAsia" w:ascii="黑体" w:hAnsi="Calibri" w:eastAsia="黑体"/>
          <w:color w:val="auto"/>
          <w:sz w:val="24"/>
          <w:highlight w:val="none"/>
        </w:rPr>
        <w:t>持续保险</w:t>
      </w:r>
    </w:p>
    <w:p w14:paraId="1DC0BBF1">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承包人应与保险人保持联系，使保险人能够随时了解工程实施中的变动，并确保按保险合同条款要求持续保险。</w:t>
      </w:r>
    </w:p>
    <w:p w14:paraId="043E72DA">
      <w:pPr>
        <w:spacing w:line="38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20.6.4 </w:t>
      </w:r>
      <w:r>
        <w:rPr>
          <w:rFonts w:hint="eastAsia" w:ascii="黑体" w:hAnsi="Calibri" w:eastAsia="黑体"/>
          <w:color w:val="auto"/>
          <w:sz w:val="24"/>
          <w:highlight w:val="none"/>
        </w:rPr>
        <w:t>保险金不足的补偿</w:t>
      </w:r>
    </w:p>
    <w:p w14:paraId="7A4CB834">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保险金不足以补偿损失的，应由承包人和（或）发包人按合同约定负责补偿。</w:t>
      </w:r>
    </w:p>
    <w:p w14:paraId="73B847A9">
      <w:pPr>
        <w:spacing w:line="38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20.6.5 </w:t>
      </w:r>
      <w:r>
        <w:rPr>
          <w:rFonts w:hint="eastAsia" w:ascii="黑体" w:hAnsi="Calibri" w:eastAsia="黑体"/>
          <w:color w:val="auto"/>
          <w:sz w:val="24"/>
          <w:highlight w:val="none"/>
        </w:rPr>
        <w:t>未按约定投保的补救</w:t>
      </w:r>
    </w:p>
    <w:p w14:paraId="42C453D9">
      <w:pPr>
        <w:spacing w:line="380" w:lineRule="exact"/>
        <w:ind w:firstLine="480" w:firstLineChars="200"/>
        <w:rPr>
          <w:rFonts w:ascii="黑体" w:hAnsi="Calibri" w:eastAsia="黑体"/>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）由于负有投保义务的一方当事人未按合同约定办理保险，或未能使保险持续有效的，另一方当事人可代为办理，所需费用由对方当事人承担。</w:t>
      </w:r>
    </w:p>
    <w:p w14:paraId="17FC277B">
      <w:pPr>
        <w:spacing w:line="38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）由于负有投保义务的一方当事人未按合同约定办理某项保险，导致受益人未能得到保险人的赔偿，原应从该项保险得到的保险金应由负有投保义务的一方当事人支付。</w:t>
      </w:r>
    </w:p>
    <w:p w14:paraId="2E2F5D54">
      <w:pPr>
        <w:spacing w:line="38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20.6.6 </w:t>
      </w:r>
      <w:r>
        <w:rPr>
          <w:rFonts w:hint="eastAsia" w:ascii="黑体" w:hAnsi="Calibri" w:eastAsia="黑体"/>
          <w:color w:val="auto"/>
          <w:sz w:val="24"/>
          <w:highlight w:val="none"/>
        </w:rPr>
        <w:t>报告义务</w:t>
      </w:r>
    </w:p>
    <w:p w14:paraId="597A0E3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当保险事故发生时，投保人应按照保险单规定的条件和期限及时向保险人报告。</w:t>
      </w:r>
    </w:p>
    <w:p w14:paraId="3FBB65F8">
      <w:pPr>
        <w:keepNext/>
        <w:keepLines/>
        <w:spacing w:line="400" w:lineRule="exact"/>
        <w:outlineLvl w:val="1"/>
        <w:rPr>
          <w:rFonts w:eastAsia="黑体" w:cs="宋体"/>
          <w:color w:val="auto"/>
          <w:sz w:val="24"/>
          <w:highlight w:val="none"/>
        </w:rPr>
      </w:pPr>
      <w:bookmarkStart w:id="919" w:name="_Toc179632767"/>
      <w:bookmarkStart w:id="920" w:name="_Toc152042528"/>
      <w:bookmarkStart w:id="921" w:name="_Toc275242360"/>
      <w:bookmarkStart w:id="922" w:name="_Toc144974720"/>
      <w:bookmarkStart w:id="923" w:name="_Toc10766"/>
      <w:bookmarkStart w:id="924" w:name="_Toc152045749"/>
      <w:r>
        <w:rPr>
          <w:rFonts w:eastAsia="黑体" w:cs="宋体"/>
          <w:color w:val="auto"/>
          <w:sz w:val="24"/>
          <w:highlight w:val="none"/>
        </w:rPr>
        <w:t xml:space="preserve">21. </w:t>
      </w:r>
      <w:r>
        <w:rPr>
          <w:rFonts w:hint="eastAsia" w:eastAsia="黑体" w:cs="宋体"/>
          <w:color w:val="auto"/>
          <w:sz w:val="24"/>
          <w:highlight w:val="none"/>
        </w:rPr>
        <w:t>不可抗力</w:t>
      </w:r>
      <w:bookmarkEnd w:id="919"/>
      <w:bookmarkEnd w:id="920"/>
      <w:bookmarkEnd w:id="921"/>
      <w:bookmarkEnd w:id="922"/>
      <w:bookmarkEnd w:id="923"/>
      <w:bookmarkEnd w:id="924"/>
    </w:p>
    <w:p w14:paraId="66BBD3AC">
      <w:pPr>
        <w:keepNext/>
        <w:keepLines/>
        <w:spacing w:line="400" w:lineRule="exact"/>
        <w:outlineLvl w:val="2"/>
        <w:rPr>
          <w:rFonts w:ascii="Calibri" w:hAnsi="Calibri" w:eastAsia="黑体" w:cs="宋体"/>
          <w:color w:val="auto"/>
          <w:sz w:val="24"/>
          <w:highlight w:val="none"/>
        </w:rPr>
      </w:pPr>
      <w:bookmarkStart w:id="925" w:name="_Toc16536"/>
      <w:bookmarkStart w:id="926" w:name="_Toc152045750"/>
      <w:bookmarkStart w:id="927" w:name="_Toc144974721"/>
      <w:bookmarkStart w:id="928" w:name="_Toc275242361"/>
      <w:bookmarkStart w:id="929" w:name="_Toc179632768"/>
      <w:bookmarkStart w:id="930" w:name="_Toc152042529"/>
      <w:r>
        <w:rPr>
          <w:rFonts w:ascii="Calibri" w:hAnsi="Calibri" w:eastAsia="黑体" w:cs="宋体"/>
          <w:color w:val="auto"/>
          <w:sz w:val="24"/>
          <w:highlight w:val="none"/>
        </w:rPr>
        <w:t xml:space="preserve">21.1 </w:t>
      </w:r>
      <w:r>
        <w:rPr>
          <w:rFonts w:hint="eastAsia" w:ascii="Calibri" w:hAnsi="Calibri" w:eastAsia="黑体" w:cs="宋体"/>
          <w:color w:val="auto"/>
          <w:sz w:val="24"/>
          <w:highlight w:val="none"/>
        </w:rPr>
        <w:t>不可抗力的确认</w:t>
      </w:r>
      <w:bookmarkEnd w:id="925"/>
      <w:bookmarkEnd w:id="926"/>
      <w:bookmarkEnd w:id="927"/>
      <w:bookmarkEnd w:id="928"/>
      <w:bookmarkEnd w:id="929"/>
      <w:bookmarkEnd w:id="930"/>
    </w:p>
    <w:p w14:paraId="0E3AF9B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21.1.1 </w:t>
      </w:r>
      <w:r>
        <w:rPr>
          <w:rFonts w:hint="eastAsia" w:ascii="Calibri" w:hAnsi="Calibri"/>
          <w:color w:val="auto"/>
          <w:sz w:val="24"/>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24F4C1C8">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21.1.2 </w:t>
      </w:r>
      <w:r>
        <w:rPr>
          <w:rFonts w:hint="eastAsia" w:ascii="Calibri" w:hAnsi="Calibri"/>
          <w:color w:val="auto"/>
          <w:sz w:val="24"/>
          <w:highlight w:val="none"/>
        </w:rPr>
        <w:t>不可抗力发生后，发包人和承包人应及时认真统计所造成的损失，收集不可抗力造成损失的证据。合同双方对是否属于不可抗力或其损失的意见不一致的，由监理人按第</w:t>
      </w:r>
      <w:r>
        <w:rPr>
          <w:rFonts w:ascii="Calibri" w:hAnsi="Calibri"/>
          <w:color w:val="auto"/>
          <w:sz w:val="24"/>
          <w:highlight w:val="none"/>
        </w:rPr>
        <w:t>3.5</w:t>
      </w:r>
      <w:r>
        <w:rPr>
          <w:rFonts w:hint="eastAsia" w:ascii="Calibri" w:hAnsi="Calibri"/>
          <w:color w:val="auto"/>
          <w:sz w:val="24"/>
          <w:highlight w:val="none"/>
        </w:rPr>
        <w:t>款商定或确定。发生争议时，按第</w:t>
      </w:r>
      <w:r>
        <w:rPr>
          <w:rFonts w:ascii="Calibri" w:hAnsi="Calibri"/>
          <w:color w:val="auto"/>
          <w:sz w:val="24"/>
          <w:highlight w:val="none"/>
        </w:rPr>
        <w:t>24</w:t>
      </w:r>
      <w:r>
        <w:rPr>
          <w:rFonts w:hint="eastAsia" w:ascii="Calibri" w:hAnsi="Calibri"/>
          <w:color w:val="auto"/>
          <w:sz w:val="24"/>
          <w:highlight w:val="none"/>
        </w:rPr>
        <w:t>条的约定办理。</w:t>
      </w:r>
    </w:p>
    <w:p w14:paraId="6E8FB883">
      <w:pPr>
        <w:keepNext/>
        <w:keepLines/>
        <w:spacing w:line="400" w:lineRule="exact"/>
        <w:outlineLvl w:val="2"/>
        <w:rPr>
          <w:rFonts w:ascii="Calibri" w:hAnsi="Calibri" w:eastAsia="黑体" w:cs="宋体"/>
          <w:color w:val="auto"/>
          <w:sz w:val="24"/>
          <w:highlight w:val="none"/>
        </w:rPr>
      </w:pPr>
      <w:bookmarkStart w:id="931" w:name="_Toc152042530"/>
      <w:bookmarkStart w:id="932" w:name="_Toc275242362"/>
      <w:bookmarkStart w:id="933" w:name="_Toc179632769"/>
      <w:bookmarkStart w:id="934" w:name="_Toc15712"/>
      <w:bookmarkStart w:id="935" w:name="_Toc144974722"/>
      <w:bookmarkStart w:id="936" w:name="_Toc152045751"/>
      <w:r>
        <w:rPr>
          <w:rFonts w:ascii="Calibri" w:hAnsi="Calibri" w:eastAsia="黑体" w:cs="宋体"/>
          <w:color w:val="auto"/>
          <w:sz w:val="24"/>
          <w:highlight w:val="none"/>
        </w:rPr>
        <w:t xml:space="preserve">21.2 </w:t>
      </w:r>
      <w:r>
        <w:rPr>
          <w:rFonts w:hint="eastAsia" w:ascii="Calibri" w:hAnsi="Calibri" w:eastAsia="黑体" w:cs="宋体"/>
          <w:color w:val="auto"/>
          <w:sz w:val="24"/>
          <w:highlight w:val="none"/>
        </w:rPr>
        <w:t>不可抗力的通知</w:t>
      </w:r>
      <w:bookmarkEnd w:id="931"/>
      <w:bookmarkEnd w:id="932"/>
      <w:bookmarkEnd w:id="933"/>
      <w:bookmarkEnd w:id="934"/>
      <w:bookmarkEnd w:id="935"/>
      <w:bookmarkEnd w:id="936"/>
    </w:p>
    <w:p w14:paraId="34EB097C">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21.2.1 </w:t>
      </w:r>
      <w:r>
        <w:rPr>
          <w:rFonts w:hint="eastAsia" w:ascii="Calibri" w:hAnsi="Calibri"/>
          <w:color w:val="auto"/>
          <w:sz w:val="24"/>
          <w:highlight w:val="none"/>
        </w:rPr>
        <w:t>合同一方当事人遇到不可抗力事件，使其履行合同义务受到阻碍时，应立即通知合同另一方当事人和监理人，书面说明不可抗力和受阻碍的详细情况，并提供必要的证明。</w:t>
      </w:r>
    </w:p>
    <w:p w14:paraId="5A6B663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21.2.2 </w:t>
      </w:r>
      <w:r>
        <w:rPr>
          <w:rFonts w:hint="eastAsia" w:ascii="Calibri" w:hAnsi="Calibri"/>
          <w:color w:val="auto"/>
          <w:sz w:val="24"/>
          <w:highlight w:val="none"/>
        </w:rPr>
        <w:t>如不可抗力持续发生，合同一方当事人应及时向合同另一方当事人和监理人提交中间报告，说明不可抗力和履行合同受阻的情况，并于不可抗力事件结束后</w:t>
      </w:r>
      <w:r>
        <w:rPr>
          <w:rFonts w:ascii="Calibri" w:hAnsi="Calibri"/>
          <w:color w:val="auto"/>
          <w:sz w:val="24"/>
          <w:highlight w:val="none"/>
        </w:rPr>
        <w:t>28</w:t>
      </w:r>
      <w:r>
        <w:rPr>
          <w:rFonts w:hint="eastAsia" w:ascii="Calibri" w:hAnsi="Calibri"/>
          <w:color w:val="auto"/>
          <w:sz w:val="24"/>
          <w:highlight w:val="none"/>
        </w:rPr>
        <w:t>天内提交最终报告及有关资料。</w:t>
      </w:r>
    </w:p>
    <w:p w14:paraId="03950B1B">
      <w:pPr>
        <w:keepNext/>
        <w:keepLines/>
        <w:spacing w:line="400" w:lineRule="exact"/>
        <w:outlineLvl w:val="2"/>
        <w:rPr>
          <w:rFonts w:ascii="Calibri" w:hAnsi="Calibri" w:eastAsia="黑体" w:cs="宋体"/>
          <w:color w:val="auto"/>
          <w:sz w:val="24"/>
          <w:highlight w:val="none"/>
        </w:rPr>
      </w:pPr>
      <w:bookmarkStart w:id="937" w:name="_Toc152042531"/>
      <w:bookmarkStart w:id="938" w:name="_Toc152045752"/>
      <w:bookmarkStart w:id="939" w:name="_Toc32389"/>
      <w:bookmarkStart w:id="940" w:name="_Toc275242363"/>
      <w:bookmarkStart w:id="941" w:name="_Toc179632770"/>
      <w:bookmarkStart w:id="942" w:name="_Toc144974723"/>
      <w:r>
        <w:rPr>
          <w:rFonts w:ascii="Calibri" w:hAnsi="Calibri" w:eastAsia="黑体" w:cs="宋体"/>
          <w:color w:val="auto"/>
          <w:sz w:val="24"/>
          <w:highlight w:val="none"/>
        </w:rPr>
        <w:t xml:space="preserve">21.3 </w:t>
      </w:r>
      <w:r>
        <w:rPr>
          <w:rFonts w:hint="eastAsia" w:ascii="Calibri" w:hAnsi="Calibri" w:eastAsia="黑体" w:cs="宋体"/>
          <w:color w:val="auto"/>
          <w:sz w:val="24"/>
          <w:highlight w:val="none"/>
        </w:rPr>
        <w:t>不可抗力后果及其处理</w:t>
      </w:r>
      <w:bookmarkEnd w:id="937"/>
      <w:bookmarkEnd w:id="938"/>
      <w:bookmarkEnd w:id="939"/>
      <w:bookmarkEnd w:id="940"/>
      <w:bookmarkEnd w:id="941"/>
      <w:bookmarkEnd w:id="942"/>
    </w:p>
    <w:p w14:paraId="6DD5A88C">
      <w:pPr>
        <w:spacing w:line="380" w:lineRule="exact"/>
        <w:ind w:firstLine="480" w:firstLineChars="200"/>
        <w:rPr>
          <w:rFonts w:ascii="Calibri" w:hAnsi="Calibri"/>
          <w:color w:val="auto"/>
          <w:sz w:val="24"/>
          <w:highlight w:val="none"/>
        </w:rPr>
      </w:pPr>
      <w:r>
        <w:rPr>
          <w:rFonts w:ascii="Calibri" w:hAnsi="Calibri"/>
          <w:color w:val="auto"/>
          <w:sz w:val="24"/>
          <w:highlight w:val="none"/>
        </w:rPr>
        <w:t xml:space="preserve">21.3.1 </w:t>
      </w:r>
      <w:r>
        <w:rPr>
          <w:rFonts w:hint="eastAsia" w:ascii="黑体" w:hAnsi="Calibri" w:eastAsia="黑体"/>
          <w:color w:val="auto"/>
          <w:sz w:val="24"/>
          <w:highlight w:val="none"/>
        </w:rPr>
        <w:t>不可抗力造成损害的责任</w:t>
      </w:r>
    </w:p>
    <w:p w14:paraId="3FCD586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除专用合同条款另有约定外，不可抗力导致的人员伤亡、财产损失、费用增加和（或）工期延误等后果，由合同双方按以下原则承担：</w:t>
      </w:r>
    </w:p>
    <w:p w14:paraId="7A75EBD2">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）永久工程，包括已运至施工场地的材料和工程设备的损害，以及因工程损害造成的第三者人员伤亡和财产损失由发包人承担；</w:t>
      </w:r>
    </w:p>
    <w:p w14:paraId="289F44C7">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）承包人设备的损坏由承包人承担；</w:t>
      </w:r>
    </w:p>
    <w:p w14:paraId="1D5B7834">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）发包人和承包人各自承担其人员伤亡和其他财产损失及其相关费用；</w:t>
      </w:r>
    </w:p>
    <w:p w14:paraId="5D3EB484">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）承包人的停工损失由承包人承担，但停工期间应监理人要求照管工程和清理、修复工程的金额由发包人承担；</w:t>
      </w:r>
    </w:p>
    <w:p w14:paraId="238A97AB">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）不能按期竣工的，应合理延长工期，承包人不需支付逾期竣工违约金。发包人要求赶工的，承包人应采取赶工措施，赶工费用由发包人承担。</w:t>
      </w:r>
    </w:p>
    <w:p w14:paraId="33DE7FD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21.3.2 </w:t>
      </w:r>
      <w:r>
        <w:rPr>
          <w:rFonts w:hint="eastAsia" w:ascii="黑体" w:hAnsi="Calibri" w:eastAsia="黑体"/>
          <w:color w:val="auto"/>
          <w:sz w:val="24"/>
          <w:highlight w:val="none"/>
        </w:rPr>
        <w:t>延迟履行期间发生的不可抗力</w:t>
      </w:r>
    </w:p>
    <w:p w14:paraId="44F3A54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合同一方当事人延迟履行，在延迟履行期间发生不可抗力的，不免除其责任。</w:t>
      </w:r>
    </w:p>
    <w:p w14:paraId="6BFC130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21.3.3 </w:t>
      </w:r>
      <w:r>
        <w:rPr>
          <w:rFonts w:hint="eastAsia" w:ascii="黑体" w:hAnsi="Calibri" w:eastAsia="黑体"/>
          <w:color w:val="auto"/>
          <w:sz w:val="24"/>
          <w:highlight w:val="none"/>
        </w:rPr>
        <w:t>避免和减少不可抗力损失</w:t>
      </w:r>
    </w:p>
    <w:p w14:paraId="789311D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不可抗力发生后，发包人和承包人均应采取措施尽量避免和减少损失的扩大，任何一方没有采取有效措施导致损失扩大的，应对扩大的损失承担责任。</w:t>
      </w:r>
    </w:p>
    <w:p w14:paraId="204FE86B">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21.3.4 </w:t>
      </w:r>
      <w:r>
        <w:rPr>
          <w:rFonts w:hint="eastAsia" w:ascii="黑体" w:hAnsi="Calibri" w:eastAsia="黑体"/>
          <w:color w:val="auto"/>
          <w:sz w:val="24"/>
          <w:highlight w:val="none"/>
        </w:rPr>
        <w:t>因不可抗力解除合同</w:t>
      </w:r>
    </w:p>
    <w:p w14:paraId="105FBDD0">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合同一方当事人因不可抗力不能履行合同的，应当及时通知对方解除合同。合同解除后，承包人应按照第</w:t>
      </w:r>
      <w:r>
        <w:rPr>
          <w:rFonts w:ascii="Calibri" w:hAnsi="Calibri"/>
          <w:color w:val="auto"/>
          <w:sz w:val="24"/>
          <w:highlight w:val="none"/>
        </w:rPr>
        <w:t>22.2.5</w:t>
      </w:r>
      <w:r>
        <w:rPr>
          <w:rFonts w:hint="eastAsia" w:ascii="Calibri" w:hAnsi="Calibri"/>
          <w:color w:val="auto"/>
          <w:sz w:val="24"/>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Calibri" w:hAnsi="Calibri"/>
          <w:color w:val="auto"/>
          <w:sz w:val="24"/>
          <w:highlight w:val="none"/>
        </w:rPr>
        <w:t>22.2.4</w:t>
      </w:r>
      <w:r>
        <w:rPr>
          <w:rFonts w:hint="eastAsia" w:ascii="Calibri" w:hAnsi="Calibri"/>
          <w:color w:val="auto"/>
          <w:sz w:val="24"/>
          <w:highlight w:val="none"/>
        </w:rPr>
        <w:t>项约定，由监理人按第</w:t>
      </w:r>
      <w:r>
        <w:rPr>
          <w:rFonts w:ascii="Calibri" w:hAnsi="Calibri"/>
          <w:color w:val="auto"/>
          <w:sz w:val="24"/>
          <w:highlight w:val="none"/>
        </w:rPr>
        <w:t>3.5</w:t>
      </w:r>
      <w:r>
        <w:rPr>
          <w:rFonts w:hint="eastAsia" w:ascii="Calibri" w:hAnsi="Calibri"/>
          <w:color w:val="auto"/>
          <w:sz w:val="24"/>
          <w:highlight w:val="none"/>
        </w:rPr>
        <w:t>款商定或确定。</w:t>
      </w:r>
    </w:p>
    <w:p w14:paraId="16C2D411">
      <w:pPr>
        <w:keepNext/>
        <w:keepLines/>
        <w:spacing w:line="400" w:lineRule="exact"/>
        <w:outlineLvl w:val="1"/>
        <w:rPr>
          <w:rFonts w:eastAsia="黑体" w:cs="宋体"/>
          <w:color w:val="auto"/>
          <w:sz w:val="24"/>
          <w:highlight w:val="none"/>
        </w:rPr>
      </w:pPr>
      <w:bookmarkStart w:id="943" w:name="_Toc27279"/>
      <w:bookmarkStart w:id="944" w:name="_Toc144974724"/>
      <w:bookmarkStart w:id="945" w:name="_Toc275242364"/>
      <w:bookmarkStart w:id="946" w:name="_Toc179632771"/>
      <w:bookmarkStart w:id="947" w:name="_Toc152045753"/>
      <w:bookmarkStart w:id="948" w:name="_Toc152042532"/>
      <w:r>
        <w:rPr>
          <w:rFonts w:eastAsia="黑体" w:cs="宋体"/>
          <w:color w:val="auto"/>
          <w:sz w:val="24"/>
          <w:highlight w:val="none"/>
        </w:rPr>
        <w:t xml:space="preserve">22. </w:t>
      </w:r>
      <w:r>
        <w:rPr>
          <w:rFonts w:hint="eastAsia" w:eastAsia="黑体" w:cs="宋体"/>
          <w:color w:val="auto"/>
          <w:sz w:val="24"/>
          <w:highlight w:val="none"/>
        </w:rPr>
        <w:t>违约</w:t>
      </w:r>
      <w:bookmarkEnd w:id="943"/>
      <w:bookmarkEnd w:id="944"/>
      <w:bookmarkEnd w:id="945"/>
      <w:bookmarkEnd w:id="946"/>
      <w:bookmarkEnd w:id="947"/>
      <w:bookmarkEnd w:id="948"/>
    </w:p>
    <w:p w14:paraId="161225B7">
      <w:pPr>
        <w:keepNext/>
        <w:keepLines/>
        <w:spacing w:line="400" w:lineRule="exact"/>
        <w:outlineLvl w:val="2"/>
        <w:rPr>
          <w:rFonts w:ascii="Calibri" w:hAnsi="Calibri" w:eastAsia="黑体" w:cs="宋体"/>
          <w:color w:val="auto"/>
          <w:sz w:val="24"/>
          <w:highlight w:val="none"/>
        </w:rPr>
      </w:pPr>
      <w:bookmarkStart w:id="949" w:name="_Toc152045754"/>
      <w:bookmarkStart w:id="950" w:name="_Toc152042533"/>
      <w:bookmarkStart w:id="951" w:name="_Toc179632772"/>
      <w:bookmarkStart w:id="952" w:name="_Toc22066"/>
      <w:bookmarkStart w:id="953" w:name="_Toc144974725"/>
      <w:bookmarkStart w:id="954" w:name="_Toc275242365"/>
      <w:r>
        <w:rPr>
          <w:rFonts w:ascii="Calibri" w:hAnsi="Calibri" w:eastAsia="黑体" w:cs="宋体"/>
          <w:color w:val="auto"/>
          <w:sz w:val="24"/>
          <w:highlight w:val="none"/>
        </w:rPr>
        <w:t xml:space="preserve">22.1 </w:t>
      </w:r>
      <w:r>
        <w:rPr>
          <w:rFonts w:hint="eastAsia" w:ascii="Calibri" w:hAnsi="Calibri" w:eastAsia="黑体" w:cs="宋体"/>
          <w:color w:val="auto"/>
          <w:sz w:val="24"/>
          <w:highlight w:val="none"/>
        </w:rPr>
        <w:t>承包人违约</w:t>
      </w:r>
      <w:bookmarkEnd w:id="949"/>
      <w:bookmarkEnd w:id="950"/>
      <w:bookmarkEnd w:id="951"/>
      <w:bookmarkEnd w:id="952"/>
      <w:bookmarkEnd w:id="953"/>
      <w:bookmarkEnd w:id="954"/>
    </w:p>
    <w:p w14:paraId="26C8955B">
      <w:pPr>
        <w:spacing w:line="400" w:lineRule="exact"/>
        <w:ind w:firstLine="480" w:firstLineChars="200"/>
        <w:rPr>
          <w:rFonts w:ascii="Calibri" w:hAnsi="Calibri"/>
          <w:color w:val="auto"/>
          <w:sz w:val="24"/>
          <w:highlight w:val="none"/>
        </w:rPr>
      </w:pPr>
      <w:r>
        <w:rPr>
          <w:rFonts w:ascii="Calibri" w:hAnsi="Calibri"/>
          <w:color w:val="auto"/>
          <w:sz w:val="24"/>
          <w:highlight w:val="none"/>
        </w:rPr>
        <w:t>22.1.1</w:t>
      </w:r>
      <w:r>
        <w:rPr>
          <w:rFonts w:hint="eastAsia" w:ascii="黑体" w:hAnsi="Calibri" w:eastAsia="黑体"/>
          <w:color w:val="auto"/>
          <w:sz w:val="24"/>
          <w:highlight w:val="none"/>
        </w:rPr>
        <w:t>承包人违约的情形</w:t>
      </w:r>
    </w:p>
    <w:p w14:paraId="7F977C44">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在履行合同过程中发生的下列情况属承包人违约：</w:t>
      </w:r>
    </w:p>
    <w:p w14:paraId="31098D70">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）承包人违反第</w:t>
      </w:r>
      <w:r>
        <w:rPr>
          <w:rFonts w:ascii="Calibri" w:hAnsi="Calibri"/>
          <w:color w:val="auto"/>
          <w:sz w:val="24"/>
          <w:highlight w:val="none"/>
        </w:rPr>
        <w:t>1.8</w:t>
      </w:r>
      <w:r>
        <w:rPr>
          <w:rFonts w:hint="eastAsia" w:ascii="Calibri" w:hAnsi="Calibri"/>
          <w:color w:val="auto"/>
          <w:sz w:val="24"/>
          <w:highlight w:val="none"/>
        </w:rPr>
        <w:t>款或第</w:t>
      </w:r>
      <w:r>
        <w:rPr>
          <w:rFonts w:ascii="Calibri" w:hAnsi="Calibri"/>
          <w:color w:val="auto"/>
          <w:sz w:val="24"/>
          <w:highlight w:val="none"/>
        </w:rPr>
        <w:t>4.3</w:t>
      </w:r>
      <w:r>
        <w:rPr>
          <w:rFonts w:hint="eastAsia" w:ascii="Calibri" w:hAnsi="Calibri"/>
          <w:color w:val="auto"/>
          <w:sz w:val="24"/>
          <w:highlight w:val="none"/>
        </w:rPr>
        <w:t>款的约定，私自将合同的全部或部分权利转让给其他人，或私自将合同的全部或部分义务转移给其他人；</w:t>
      </w:r>
    </w:p>
    <w:p w14:paraId="1ADF9741">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）承包人违反第</w:t>
      </w:r>
      <w:r>
        <w:rPr>
          <w:rFonts w:ascii="Calibri" w:hAnsi="Calibri"/>
          <w:color w:val="auto"/>
          <w:sz w:val="24"/>
          <w:highlight w:val="none"/>
        </w:rPr>
        <w:t>5.3</w:t>
      </w:r>
      <w:r>
        <w:rPr>
          <w:rFonts w:hint="eastAsia" w:ascii="Calibri" w:hAnsi="Calibri"/>
          <w:color w:val="auto"/>
          <w:sz w:val="24"/>
          <w:highlight w:val="none"/>
        </w:rPr>
        <w:t>款或第</w:t>
      </w:r>
      <w:r>
        <w:rPr>
          <w:rFonts w:ascii="Calibri" w:hAnsi="Calibri"/>
          <w:color w:val="auto"/>
          <w:sz w:val="24"/>
          <w:highlight w:val="none"/>
        </w:rPr>
        <w:t>6.4</w:t>
      </w:r>
      <w:r>
        <w:rPr>
          <w:rFonts w:hint="eastAsia" w:ascii="Calibri" w:hAnsi="Calibri"/>
          <w:color w:val="auto"/>
          <w:sz w:val="24"/>
          <w:highlight w:val="none"/>
        </w:rPr>
        <w:t>款的约定，未经监理人批准，私自将已按合同约定进入施工场地的施工设备、临时设施或材料撤离施工场地；</w:t>
      </w:r>
    </w:p>
    <w:p w14:paraId="0D4686E1">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）承包人违反第</w:t>
      </w:r>
      <w:r>
        <w:rPr>
          <w:rFonts w:ascii="Calibri" w:hAnsi="Calibri"/>
          <w:color w:val="auto"/>
          <w:sz w:val="24"/>
          <w:highlight w:val="none"/>
        </w:rPr>
        <w:t>5.4</w:t>
      </w:r>
      <w:r>
        <w:rPr>
          <w:rFonts w:hint="eastAsia" w:ascii="Calibri" w:hAnsi="Calibri"/>
          <w:color w:val="auto"/>
          <w:sz w:val="24"/>
          <w:highlight w:val="none"/>
        </w:rPr>
        <w:t>款的约定使用了不合格材料或工程设备，工程质量达不到标准要求，又拒绝清除不合格工程；</w:t>
      </w:r>
    </w:p>
    <w:p w14:paraId="60E5959F">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）承包人未能按合同进度计划及时完成合同约定的工作，已造成或预期造成工期延误；</w:t>
      </w:r>
    </w:p>
    <w:p w14:paraId="21DCF0C3">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）承包人在缺陷责任期内，未能对工程接收证书所列的缺陷清单的内容或缺陷责任期内发生的缺陷进行修复，而又拒绝按监理人指示再进行修补；</w:t>
      </w:r>
    </w:p>
    <w:p w14:paraId="5E8BBD1F">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）承包人无法继续履行或明确表示不履行或实质上已停止履行合同；</w:t>
      </w:r>
    </w:p>
    <w:p w14:paraId="50F70225">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7</w:t>
      </w:r>
      <w:r>
        <w:rPr>
          <w:rFonts w:hint="eastAsia" w:ascii="Calibri" w:hAnsi="Calibri"/>
          <w:color w:val="auto"/>
          <w:sz w:val="24"/>
          <w:highlight w:val="none"/>
        </w:rPr>
        <w:t>）承包人不按合同约定履行义务的其他情况。</w:t>
      </w:r>
    </w:p>
    <w:p w14:paraId="0A860C48">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22.1.2</w:t>
      </w:r>
      <w:r>
        <w:rPr>
          <w:rFonts w:hint="eastAsia" w:ascii="黑体" w:hAnsi="Calibri" w:eastAsia="黑体"/>
          <w:color w:val="auto"/>
          <w:sz w:val="24"/>
          <w:highlight w:val="none"/>
        </w:rPr>
        <w:t>对承包人违约的处理</w:t>
      </w:r>
    </w:p>
    <w:p w14:paraId="5F09FA3A">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）承包人发生第</w:t>
      </w:r>
      <w:r>
        <w:rPr>
          <w:rFonts w:ascii="Calibri" w:hAnsi="Calibri"/>
          <w:color w:val="auto"/>
          <w:sz w:val="24"/>
          <w:highlight w:val="none"/>
        </w:rPr>
        <w:t>22.1.1</w:t>
      </w: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）目约定的违约情况时，发包人可通知承包人立即解除合同，并按有关法律处理。</w:t>
      </w:r>
    </w:p>
    <w:p w14:paraId="1FFC3537">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）承包人发生除第</w:t>
      </w:r>
      <w:r>
        <w:rPr>
          <w:rFonts w:ascii="Calibri" w:hAnsi="Calibri"/>
          <w:color w:val="auto"/>
          <w:sz w:val="24"/>
          <w:highlight w:val="none"/>
        </w:rPr>
        <w:t>22.1.1</w:t>
      </w: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）目约定以外的其他违约情况时，监理人可向承包人发出整改通知，要求其在指定的期限内改正。承包人应承担其违约所引起的费用增加和（或）工期延误。</w:t>
      </w:r>
    </w:p>
    <w:p w14:paraId="5624335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）经检查证明承包人已采取了有效措施纠正违约行为，具备复工条件的，可由监理人签发复工通知复工。</w:t>
      </w:r>
    </w:p>
    <w:p w14:paraId="62B40DDF">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22.1.3</w:t>
      </w:r>
      <w:r>
        <w:rPr>
          <w:rFonts w:hint="eastAsia" w:ascii="黑体" w:hAnsi="Calibri" w:eastAsia="黑体"/>
          <w:color w:val="auto"/>
          <w:sz w:val="24"/>
          <w:highlight w:val="none"/>
        </w:rPr>
        <w:t>承包人违约解除合同</w:t>
      </w:r>
    </w:p>
    <w:p w14:paraId="2BC17C4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监理人发出整改通知</w:t>
      </w:r>
      <w:r>
        <w:rPr>
          <w:rFonts w:ascii="Calibri" w:hAnsi="Calibri"/>
          <w:color w:val="auto"/>
          <w:sz w:val="24"/>
          <w:highlight w:val="none"/>
        </w:rPr>
        <w:t>28</w:t>
      </w:r>
      <w:r>
        <w:rPr>
          <w:rFonts w:hint="eastAsia" w:ascii="Calibri" w:hAnsi="Calibri"/>
          <w:color w:val="auto"/>
          <w:sz w:val="24"/>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2F266FC">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22.1.4</w:t>
      </w:r>
      <w:r>
        <w:rPr>
          <w:rFonts w:hint="eastAsia" w:ascii="黑体" w:hAnsi="Calibri" w:eastAsia="黑体"/>
          <w:color w:val="auto"/>
          <w:sz w:val="24"/>
          <w:highlight w:val="none"/>
        </w:rPr>
        <w:t>合同解除后的估价、付款和结清</w:t>
      </w:r>
    </w:p>
    <w:p w14:paraId="5350D2E5">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）合同解除后，监理人按第</w:t>
      </w:r>
      <w:r>
        <w:rPr>
          <w:rFonts w:ascii="Calibri" w:hAnsi="Calibri"/>
          <w:color w:val="auto"/>
          <w:sz w:val="24"/>
          <w:highlight w:val="none"/>
        </w:rPr>
        <w:t>3.5</w:t>
      </w:r>
      <w:r>
        <w:rPr>
          <w:rFonts w:hint="eastAsia" w:ascii="Calibri" w:hAnsi="Calibri"/>
          <w:color w:val="auto"/>
          <w:sz w:val="24"/>
          <w:highlight w:val="none"/>
        </w:rPr>
        <w:t>款商定或确定承包人实际完成工作的价值，以及承包人已提供的材料、施工设备、工程设备和临时工程等的价值。</w:t>
      </w:r>
    </w:p>
    <w:p w14:paraId="15232618">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）合同解除后，发包人应暂停对承包人的一切付款，查清各项付款和已扣款金额，包括承包人应支付的违约金。</w:t>
      </w:r>
    </w:p>
    <w:p w14:paraId="6705E43F">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）合同解除后，发包人应按第</w:t>
      </w:r>
      <w:r>
        <w:rPr>
          <w:rFonts w:ascii="Calibri" w:hAnsi="Calibri"/>
          <w:color w:val="auto"/>
          <w:sz w:val="24"/>
          <w:highlight w:val="none"/>
        </w:rPr>
        <w:t>23.4</w:t>
      </w:r>
      <w:r>
        <w:rPr>
          <w:rFonts w:hint="eastAsia" w:ascii="Calibri" w:hAnsi="Calibri"/>
          <w:color w:val="auto"/>
          <w:sz w:val="24"/>
          <w:highlight w:val="none"/>
        </w:rPr>
        <w:t>款的约定向承包人索赔由于解除合同给发包人造成的损失。</w:t>
      </w:r>
    </w:p>
    <w:p w14:paraId="48C9AD14">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）合同双方确认上述往来款项后，出具最终结清付款证书，结清全部合同款项。</w:t>
      </w:r>
    </w:p>
    <w:p w14:paraId="48FDBA2D">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）发包人和承包人未能就解除合同后的结清达成一致而形成争议的，按第</w:t>
      </w:r>
      <w:r>
        <w:rPr>
          <w:rFonts w:ascii="Calibri" w:hAnsi="Calibri"/>
          <w:color w:val="auto"/>
          <w:sz w:val="24"/>
          <w:highlight w:val="none"/>
        </w:rPr>
        <w:t>24</w:t>
      </w:r>
      <w:r>
        <w:rPr>
          <w:rFonts w:hint="eastAsia" w:ascii="Calibri" w:hAnsi="Calibri"/>
          <w:color w:val="auto"/>
          <w:sz w:val="24"/>
          <w:highlight w:val="none"/>
        </w:rPr>
        <w:t>条的约定办理。</w:t>
      </w:r>
    </w:p>
    <w:p w14:paraId="04345B38">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22.1.5</w:t>
      </w:r>
      <w:r>
        <w:rPr>
          <w:rFonts w:hint="eastAsia" w:ascii="黑体" w:hAnsi="Calibri" w:eastAsia="黑体"/>
          <w:color w:val="auto"/>
          <w:sz w:val="24"/>
          <w:highlight w:val="none"/>
        </w:rPr>
        <w:t>协议利益的转让</w:t>
      </w:r>
    </w:p>
    <w:p w14:paraId="05F736B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因承包人违约解除合同的，发包人有权要求承包人将其为实施合同而签订的材料和设备的订货协议或任何服务协议利益转让给发包人，并在解除合同后的</w:t>
      </w:r>
      <w:r>
        <w:rPr>
          <w:rFonts w:ascii="Calibri" w:hAnsi="Calibri"/>
          <w:color w:val="auto"/>
          <w:sz w:val="24"/>
          <w:highlight w:val="none"/>
        </w:rPr>
        <w:t>14</w:t>
      </w:r>
      <w:r>
        <w:rPr>
          <w:rFonts w:hint="eastAsia" w:ascii="Calibri" w:hAnsi="Calibri"/>
          <w:color w:val="auto"/>
          <w:sz w:val="24"/>
          <w:highlight w:val="none"/>
        </w:rPr>
        <w:t>天内，依法办理转让手续。</w:t>
      </w:r>
    </w:p>
    <w:p w14:paraId="735F5D66">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22.1.6</w:t>
      </w:r>
      <w:r>
        <w:rPr>
          <w:rFonts w:hint="eastAsia" w:ascii="黑体" w:hAnsi="Calibri" w:eastAsia="黑体"/>
          <w:color w:val="auto"/>
          <w:sz w:val="24"/>
          <w:highlight w:val="none"/>
        </w:rPr>
        <w:t>紧急情况下无能力或不愿进行抢救</w:t>
      </w:r>
    </w:p>
    <w:p w14:paraId="312F72F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DBA668D">
      <w:pPr>
        <w:keepNext/>
        <w:keepLines/>
        <w:spacing w:line="400" w:lineRule="exact"/>
        <w:outlineLvl w:val="2"/>
        <w:rPr>
          <w:rFonts w:ascii="Calibri" w:hAnsi="Calibri" w:eastAsia="黑体" w:cs="宋体"/>
          <w:color w:val="auto"/>
          <w:sz w:val="24"/>
          <w:highlight w:val="none"/>
        </w:rPr>
      </w:pPr>
      <w:bookmarkStart w:id="955" w:name="_Toc2417"/>
      <w:bookmarkStart w:id="956" w:name="_Toc144974726"/>
      <w:bookmarkStart w:id="957" w:name="_Toc152042534"/>
      <w:bookmarkStart w:id="958" w:name="_Toc179632773"/>
      <w:bookmarkStart w:id="959" w:name="_Toc152045755"/>
      <w:bookmarkStart w:id="960" w:name="_Toc275242366"/>
      <w:r>
        <w:rPr>
          <w:rFonts w:ascii="Calibri" w:hAnsi="Calibri" w:eastAsia="黑体" w:cs="宋体"/>
          <w:color w:val="auto"/>
          <w:sz w:val="24"/>
          <w:highlight w:val="none"/>
        </w:rPr>
        <w:t xml:space="preserve">22.2 </w:t>
      </w:r>
      <w:r>
        <w:rPr>
          <w:rFonts w:hint="eastAsia" w:ascii="Calibri" w:hAnsi="Calibri" w:eastAsia="黑体" w:cs="宋体"/>
          <w:color w:val="auto"/>
          <w:sz w:val="24"/>
          <w:highlight w:val="none"/>
        </w:rPr>
        <w:t>发包人违约</w:t>
      </w:r>
      <w:bookmarkEnd w:id="955"/>
      <w:bookmarkEnd w:id="956"/>
      <w:bookmarkEnd w:id="957"/>
      <w:bookmarkEnd w:id="958"/>
      <w:bookmarkEnd w:id="959"/>
      <w:bookmarkEnd w:id="960"/>
    </w:p>
    <w:p w14:paraId="696AB67C">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 xml:space="preserve">22.2.1 </w:t>
      </w:r>
      <w:r>
        <w:rPr>
          <w:rFonts w:hint="eastAsia" w:ascii="黑体" w:hAnsi="Calibri" w:eastAsia="黑体"/>
          <w:color w:val="auto"/>
          <w:sz w:val="24"/>
          <w:highlight w:val="none"/>
        </w:rPr>
        <w:t>发包人违约的情形</w:t>
      </w:r>
    </w:p>
    <w:p w14:paraId="4205F946">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在履行合同过程中发生的下列情形，属发包人违约：</w:t>
      </w:r>
    </w:p>
    <w:p w14:paraId="3757B1F9">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）发包人未能按合同约定支付预付款或合同价款，或拖延、拒绝批准付款申请和支付凭证，导致付款延误的；</w:t>
      </w:r>
    </w:p>
    <w:p w14:paraId="04D43BC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）发包人原因造成停工的；</w:t>
      </w:r>
    </w:p>
    <w:p w14:paraId="76A1312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）监理人无正当理由没有在约定期限内发出复工指示，导致承包人无法复工的；</w:t>
      </w:r>
    </w:p>
    <w:p w14:paraId="5594322F">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）发包人无法继续履行或明确表示不履行或实质上已停止履行合同的；</w:t>
      </w:r>
    </w:p>
    <w:p w14:paraId="3ADC4169">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）发包人不履行合同约定其他义务的。</w:t>
      </w:r>
    </w:p>
    <w:p w14:paraId="486EA478">
      <w:pPr>
        <w:spacing w:line="400" w:lineRule="exact"/>
        <w:ind w:firstLine="480" w:firstLineChars="200"/>
        <w:rPr>
          <w:rFonts w:ascii="Calibri" w:hAnsi="Calibri"/>
          <w:color w:val="auto"/>
          <w:sz w:val="24"/>
          <w:highlight w:val="none"/>
        </w:rPr>
      </w:pPr>
      <w:r>
        <w:rPr>
          <w:rFonts w:ascii="Calibri" w:hAnsi="Calibri"/>
          <w:color w:val="auto"/>
          <w:sz w:val="24"/>
          <w:highlight w:val="none"/>
        </w:rPr>
        <w:t>22.2.2</w:t>
      </w:r>
      <w:r>
        <w:rPr>
          <w:rFonts w:hint="eastAsia" w:ascii="黑体" w:hAnsi="Calibri" w:eastAsia="黑体"/>
          <w:color w:val="auto"/>
          <w:sz w:val="24"/>
          <w:highlight w:val="none"/>
        </w:rPr>
        <w:t>承包人有权暂停施工</w:t>
      </w:r>
    </w:p>
    <w:p w14:paraId="7FDCAF8B">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发包人发生除第</w:t>
      </w:r>
      <w:r>
        <w:rPr>
          <w:rFonts w:ascii="Calibri" w:hAnsi="Calibri"/>
          <w:color w:val="auto"/>
          <w:sz w:val="24"/>
          <w:highlight w:val="none"/>
        </w:rPr>
        <w:t>22.2.1</w:t>
      </w: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）目以外的违约情况时，承包人可向发包人发出通知，要求发包人采取有效措施纠正违约行为。发包人收到承包人通知后的</w:t>
      </w:r>
      <w:r>
        <w:rPr>
          <w:rFonts w:ascii="Calibri" w:hAnsi="Calibri"/>
          <w:color w:val="auto"/>
          <w:sz w:val="24"/>
          <w:highlight w:val="none"/>
        </w:rPr>
        <w:t>28</w:t>
      </w:r>
      <w:r>
        <w:rPr>
          <w:rFonts w:hint="eastAsia" w:ascii="Calibri" w:hAnsi="Calibri"/>
          <w:color w:val="auto"/>
          <w:sz w:val="24"/>
          <w:highlight w:val="none"/>
        </w:rPr>
        <w:t>天内仍不履行合同义务，承包人有权暂停施工，并通知监理人，发包人应承担由此增加的费用和（或）工期延误，并支付承包人合理利润。</w:t>
      </w:r>
    </w:p>
    <w:p w14:paraId="44C2CC05">
      <w:pPr>
        <w:spacing w:line="400" w:lineRule="exact"/>
        <w:ind w:firstLine="480" w:firstLineChars="200"/>
        <w:rPr>
          <w:rFonts w:ascii="Calibri" w:hAnsi="Calibri"/>
          <w:color w:val="auto"/>
          <w:sz w:val="24"/>
          <w:highlight w:val="none"/>
        </w:rPr>
      </w:pPr>
      <w:r>
        <w:rPr>
          <w:rFonts w:ascii="Calibri" w:hAnsi="Calibri"/>
          <w:color w:val="auto"/>
          <w:sz w:val="24"/>
          <w:highlight w:val="none"/>
        </w:rPr>
        <w:t>22.2.3</w:t>
      </w:r>
      <w:r>
        <w:rPr>
          <w:rFonts w:hint="eastAsia" w:ascii="黑体" w:hAnsi="Calibri" w:eastAsia="黑体"/>
          <w:color w:val="auto"/>
          <w:sz w:val="24"/>
          <w:highlight w:val="none"/>
        </w:rPr>
        <w:t>发包人违约解除合同</w:t>
      </w:r>
    </w:p>
    <w:p w14:paraId="5D1BA686">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）发生第</w:t>
      </w:r>
      <w:r>
        <w:rPr>
          <w:rFonts w:ascii="Calibri" w:hAnsi="Calibri"/>
          <w:color w:val="auto"/>
          <w:sz w:val="24"/>
          <w:highlight w:val="none"/>
        </w:rPr>
        <w:t>22.2.1</w:t>
      </w: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）目的违约情况时，承包人可书面通知发包人解除合同。</w:t>
      </w:r>
    </w:p>
    <w:p w14:paraId="3662CF1D">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）承包人按</w:t>
      </w:r>
      <w:r>
        <w:rPr>
          <w:rFonts w:ascii="Calibri" w:hAnsi="Calibri"/>
          <w:color w:val="auto"/>
          <w:sz w:val="24"/>
          <w:highlight w:val="none"/>
        </w:rPr>
        <w:t>22.2.2</w:t>
      </w:r>
      <w:r>
        <w:rPr>
          <w:rFonts w:hint="eastAsia" w:ascii="Calibri" w:hAnsi="Calibri"/>
          <w:color w:val="auto"/>
          <w:sz w:val="24"/>
          <w:highlight w:val="none"/>
        </w:rPr>
        <w:t>项暂停施工</w:t>
      </w:r>
      <w:r>
        <w:rPr>
          <w:rFonts w:ascii="Calibri" w:hAnsi="Calibri"/>
          <w:color w:val="auto"/>
          <w:sz w:val="24"/>
          <w:highlight w:val="none"/>
        </w:rPr>
        <w:t>28</w:t>
      </w:r>
      <w:r>
        <w:rPr>
          <w:rFonts w:hint="eastAsia" w:ascii="Calibri" w:hAnsi="Calibri"/>
          <w:color w:val="auto"/>
          <w:sz w:val="24"/>
          <w:highlight w:val="none"/>
        </w:rPr>
        <w:t>天后，发包人仍不纠正违约行为的，承包人可向发包人发出解除合同通知。但承包人的这一行动不免除发包人承担的违约责任，也不影响承包人根据合同约定享有的索赔权利。</w:t>
      </w:r>
    </w:p>
    <w:p w14:paraId="11106F88">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22.2.4</w:t>
      </w:r>
      <w:r>
        <w:rPr>
          <w:rFonts w:hint="eastAsia" w:ascii="黑体" w:hAnsi="Calibri" w:eastAsia="黑体"/>
          <w:color w:val="auto"/>
          <w:sz w:val="24"/>
          <w:highlight w:val="none"/>
        </w:rPr>
        <w:t>解除合同后的付款</w:t>
      </w:r>
    </w:p>
    <w:p w14:paraId="586B033C">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因发包人违约解除合同的，发包人应在解除合同后</w:t>
      </w:r>
      <w:r>
        <w:rPr>
          <w:rFonts w:ascii="Calibri" w:hAnsi="Calibri"/>
          <w:color w:val="auto"/>
          <w:sz w:val="24"/>
          <w:highlight w:val="none"/>
        </w:rPr>
        <w:t>28</w:t>
      </w:r>
      <w:r>
        <w:rPr>
          <w:rFonts w:hint="eastAsia" w:ascii="Calibri" w:hAnsi="Calibri"/>
          <w:color w:val="auto"/>
          <w:sz w:val="24"/>
          <w:highlight w:val="none"/>
        </w:rPr>
        <w:t>天内向承包人支付下列金额，承包人应在此期限内及时向发包人提交要求支付下列金额的有关资料和凭证：</w:t>
      </w:r>
    </w:p>
    <w:p w14:paraId="0E576E04">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）合同解除日以前所完成工作的价款；</w:t>
      </w:r>
    </w:p>
    <w:p w14:paraId="2D71BC2C">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）承包人为该工程施工订购并已付款的材料、工程设备和其他物品的金额。发包人付还后，该材料、工程设备和其他物品归发包人所有；</w:t>
      </w:r>
    </w:p>
    <w:p w14:paraId="74846581">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）承包人为完成工程所发生的，而发包人未支付的金额；</w:t>
      </w:r>
    </w:p>
    <w:p w14:paraId="2D331AFC">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）承包人撤离施工场地以及遣散承包人人员的金额；</w:t>
      </w:r>
    </w:p>
    <w:p w14:paraId="773F3568">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5</w:t>
      </w:r>
      <w:r>
        <w:rPr>
          <w:rFonts w:hint="eastAsia" w:ascii="Calibri" w:hAnsi="Calibri"/>
          <w:color w:val="auto"/>
          <w:sz w:val="24"/>
          <w:highlight w:val="none"/>
        </w:rPr>
        <w:t>）由于解除合同应赔偿的承包人损失；</w:t>
      </w:r>
    </w:p>
    <w:p w14:paraId="6020C63D">
      <w:pPr>
        <w:spacing w:line="400" w:lineRule="exact"/>
        <w:ind w:firstLine="820" w:firstLineChars="342"/>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6</w:t>
      </w:r>
      <w:r>
        <w:rPr>
          <w:rFonts w:hint="eastAsia" w:ascii="Calibri" w:hAnsi="Calibri"/>
          <w:color w:val="auto"/>
          <w:sz w:val="24"/>
          <w:highlight w:val="none"/>
        </w:rPr>
        <w:t>）按合同约定在合同解除日前应支付给承包人的其他金额。</w:t>
      </w:r>
    </w:p>
    <w:p w14:paraId="2A4E68A3">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发包人应按本项约定支付上述金额并退还质量保证金和履约担保，但有权要求承包人支付应偿还给发包人的各项金额。</w:t>
      </w:r>
    </w:p>
    <w:p w14:paraId="628EDB18">
      <w:pPr>
        <w:spacing w:line="400" w:lineRule="exact"/>
        <w:ind w:firstLine="480" w:firstLineChars="200"/>
        <w:rPr>
          <w:rFonts w:ascii="黑体" w:hAnsi="Calibri" w:eastAsia="黑体"/>
          <w:color w:val="auto"/>
          <w:sz w:val="24"/>
          <w:highlight w:val="none"/>
        </w:rPr>
      </w:pPr>
      <w:r>
        <w:rPr>
          <w:rFonts w:ascii="Calibri" w:hAnsi="Calibri"/>
          <w:color w:val="auto"/>
          <w:sz w:val="24"/>
          <w:highlight w:val="none"/>
        </w:rPr>
        <w:t>22.2.5</w:t>
      </w:r>
      <w:r>
        <w:rPr>
          <w:rFonts w:hint="eastAsia" w:ascii="黑体" w:hAnsi="Calibri" w:eastAsia="黑体"/>
          <w:color w:val="auto"/>
          <w:sz w:val="24"/>
          <w:highlight w:val="none"/>
        </w:rPr>
        <w:t>解除合同后的承包人撤离</w:t>
      </w:r>
    </w:p>
    <w:p w14:paraId="281EAD51">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因发包人违约而解除合同后，承包人应妥善做好已竣工工程和已购材料、设备的保护和移交工作，按发包人要求将承包人设备和人员撤出施工场地。承包人撤出施工场地应遵守第</w:t>
      </w:r>
      <w:r>
        <w:rPr>
          <w:rFonts w:ascii="Calibri" w:hAnsi="Calibri"/>
          <w:color w:val="auto"/>
          <w:sz w:val="24"/>
          <w:highlight w:val="none"/>
        </w:rPr>
        <w:t>18.7.1</w:t>
      </w:r>
      <w:r>
        <w:rPr>
          <w:rFonts w:hint="eastAsia" w:ascii="Calibri" w:hAnsi="Calibri"/>
          <w:color w:val="auto"/>
          <w:sz w:val="24"/>
          <w:highlight w:val="none"/>
        </w:rPr>
        <w:t>项的约定，发包人应为承包人撤出提供必要条件。</w:t>
      </w:r>
    </w:p>
    <w:p w14:paraId="75A73FFD">
      <w:pPr>
        <w:keepNext/>
        <w:keepLines/>
        <w:spacing w:line="400" w:lineRule="exact"/>
        <w:outlineLvl w:val="2"/>
        <w:rPr>
          <w:rFonts w:ascii="Calibri" w:hAnsi="Calibri" w:eastAsia="黑体" w:cs="宋体"/>
          <w:color w:val="auto"/>
          <w:sz w:val="24"/>
          <w:highlight w:val="none"/>
        </w:rPr>
      </w:pPr>
      <w:bookmarkStart w:id="961" w:name="_Toc275242367"/>
      <w:bookmarkStart w:id="962" w:name="_Toc179632774"/>
      <w:bookmarkStart w:id="963" w:name="_Toc152045756"/>
      <w:bookmarkStart w:id="964" w:name="_Toc15597"/>
      <w:bookmarkStart w:id="965" w:name="_Toc152042535"/>
      <w:r>
        <w:rPr>
          <w:rFonts w:ascii="Calibri" w:hAnsi="Calibri" w:eastAsia="黑体" w:cs="宋体"/>
          <w:color w:val="auto"/>
          <w:sz w:val="24"/>
          <w:highlight w:val="none"/>
        </w:rPr>
        <w:t xml:space="preserve">22.3 </w:t>
      </w:r>
      <w:r>
        <w:rPr>
          <w:rFonts w:hint="eastAsia" w:ascii="Calibri" w:hAnsi="Calibri" w:eastAsia="黑体" w:cs="宋体"/>
          <w:color w:val="auto"/>
          <w:sz w:val="24"/>
          <w:highlight w:val="none"/>
        </w:rPr>
        <w:t>第三人造成的违约</w:t>
      </w:r>
      <w:bookmarkEnd w:id="961"/>
      <w:bookmarkEnd w:id="962"/>
      <w:bookmarkEnd w:id="963"/>
      <w:bookmarkEnd w:id="964"/>
      <w:bookmarkEnd w:id="965"/>
    </w:p>
    <w:p w14:paraId="0CCA794A">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在履行合同过程中，一方当事人因第三人的原因造成违约的，应当向对方当事人承担违约责任。一方当事人和第三人之间的纠纷，依照法律规定或者按照约定解决。</w:t>
      </w:r>
    </w:p>
    <w:p w14:paraId="30128360">
      <w:pPr>
        <w:keepNext/>
        <w:keepLines/>
        <w:spacing w:line="400" w:lineRule="exact"/>
        <w:outlineLvl w:val="1"/>
        <w:rPr>
          <w:rFonts w:eastAsia="黑体" w:cs="宋体"/>
          <w:color w:val="auto"/>
          <w:sz w:val="24"/>
          <w:highlight w:val="none"/>
        </w:rPr>
      </w:pPr>
      <w:bookmarkStart w:id="966" w:name="_Toc179632775"/>
      <w:bookmarkStart w:id="967" w:name="_Toc144974727"/>
      <w:bookmarkStart w:id="968" w:name="_Toc275242368"/>
      <w:bookmarkStart w:id="969" w:name="_Toc152045757"/>
      <w:bookmarkStart w:id="970" w:name="_Toc27587"/>
      <w:bookmarkStart w:id="971" w:name="_Toc152042536"/>
      <w:r>
        <w:rPr>
          <w:rFonts w:eastAsia="黑体" w:cs="宋体"/>
          <w:color w:val="auto"/>
          <w:sz w:val="24"/>
          <w:highlight w:val="none"/>
        </w:rPr>
        <w:t xml:space="preserve">23. </w:t>
      </w:r>
      <w:r>
        <w:rPr>
          <w:rFonts w:hint="eastAsia" w:eastAsia="黑体" w:cs="宋体"/>
          <w:color w:val="auto"/>
          <w:sz w:val="24"/>
          <w:highlight w:val="none"/>
        </w:rPr>
        <w:t>索赔</w:t>
      </w:r>
      <w:bookmarkEnd w:id="966"/>
      <w:bookmarkEnd w:id="967"/>
      <w:bookmarkEnd w:id="968"/>
      <w:bookmarkEnd w:id="969"/>
      <w:bookmarkEnd w:id="970"/>
      <w:bookmarkEnd w:id="971"/>
    </w:p>
    <w:p w14:paraId="73C4781D">
      <w:pPr>
        <w:keepNext/>
        <w:keepLines/>
        <w:spacing w:line="400" w:lineRule="exact"/>
        <w:outlineLvl w:val="2"/>
        <w:rPr>
          <w:rFonts w:ascii="Calibri" w:hAnsi="Calibri" w:eastAsia="黑体" w:cs="宋体"/>
          <w:color w:val="auto"/>
          <w:sz w:val="24"/>
          <w:highlight w:val="none"/>
        </w:rPr>
      </w:pPr>
      <w:bookmarkStart w:id="972" w:name="_Toc275242369"/>
      <w:bookmarkStart w:id="973" w:name="_Toc179632776"/>
      <w:bookmarkStart w:id="974" w:name="_Toc144974728"/>
      <w:bookmarkStart w:id="975" w:name="_Toc152042537"/>
      <w:bookmarkStart w:id="976" w:name="_Toc12436"/>
      <w:bookmarkStart w:id="977" w:name="_Toc152045758"/>
      <w:r>
        <w:rPr>
          <w:rFonts w:ascii="Calibri" w:hAnsi="Calibri" w:eastAsia="黑体" w:cs="宋体"/>
          <w:color w:val="auto"/>
          <w:sz w:val="24"/>
          <w:highlight w:val="none"/>
        </w:rPr>
        <w:t xml:space="preserve">23.1 </w:t>
      </w:r>
      <w:r>
        <w:rPr>
          <w:rFonts w:hint="eastAsia" w:ascii="Calibri" w:hAnsi="Calibri" w:eastAsia="黑体" w:cs="宋体"/>
          <w:color w:val="auto"/>
          <w:sz w:val="24"/>
          <w:highlight w:val="none"/>
        </w:rPr>
        <w:t>承包人索赔的提出</w:t>
      </w:r>
      <w:bookmarkEnd w:id="972"/>
      <w:bookmarkEnd w:id="973"/>
      <w:bookmarkEnd w:id="974"/>
      <w:bookmarkEnd w:id="975"/>
      <w:bookmarkEnd w:id="976"/>
      <w:bookmarkEnd w:id="977"/>
    </w:p>
    <w:p w14:paraId="5A978EB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根据合同约定，承包人认为有权得到追加付款和（或）延长工期的，应按以下程序向发包人提出索赔：</w:t>
      </w:r>
    </w:p>
    <w:p w14:paraId="4745053B">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）承包人应在知道或应当知道索赔事件发生后</w:t>
      </w:r>
      <w:r>
        <w:rPr>
          <w:rFonts w:ascii="Calibri" w:hAnsi="Calibri"/>
          <w:color w:val="auto"/>
          <w:sz w:val="24"/>
          <w:highlight w:val="none"/>
        </w:rPr>
        <w:t>28</w:t>
      </w:r>
      <w:r>
        <w:rPr>
          <w:rFonts w:hint="eastAsia" w:ascii="Calibri" w:hAnsi="Calibri"/>
          <w:color w:val="auto"/>
          <w:sz w:val="24"/>
          <w:highlight w:val="none"/>
        </w:rPr>
        <w:t>天内，向监理人递交索赔意向通知书，并说明发生索赔事件的事由。承包人未在前述</w:t>
      </w:r>
      <w:r>
        <w:rPr>
          <w:rFonts w:ascii="Calibri" w:hAnsi="Calibri"/>
          <w:color w:val="auto"/>
          <w:sz w:val="24"/>
          <w:highlight w:val="none"/>
        </w:rPr>
        <w:t>28</w:t>
      </w:r>
      <w:r>
        <w:rPr>
          <w:rFonts w:hint="eastAsia" w:ascii="Calibri" w:hAnsi="Calibri"/>
          <w:color w:val="auto"/>
          <w:sz w:val="24"/>
          <w:highlight w:val="none"/>
        </w:rPr>
        <w:t>天内发出索赔意向通知书的，丧失要求追加付款和（或）延长工期的权利；</w:t>
      </w:r>
    </w:p>
    <w:p w14:paraId="2864CF64">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）承包人应在发出索赔意向通知书后</w:t>
      </w:r>
      <w:r>
        <w:rPr>
          <w:rFonts w:ascii="Calibri" w:hAnsi="Calibri"/>
          <w:color w:val="auto"/>
          <w:sz w:val="24"/>
          <w:highlight w:val="none"/>
        </w:rPr>
        <w:t>28</w:t>
      </w:r>
      <w:r>
        <w:rPr>
          <w:rFonts w:hint="eastAsia" w:ascii="Calibri" w:hAnsi="Calibri"/>
          <w:color w:val="auto"/>
          <w:sz w:val="24"/>
          <w:highlight w:val="none"/>
        </w:rPr>
        <w:t>天内，向监理人正式递交索赔通知书。索赔通知书应详细说明索赔理由以及要求追加的付款金额和（或）延长的工期，并附必要的记录和证明材料；</w:t>
      </w:r>
    </w:p>
    <w:p w14:paraId="665EC12A">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）索赔事件具有连续影响的，承包人应按合理时间间隔继续递交延续索赔通知，说明连续影响的实际情况和记录，列出累计的追加付款金额和（或）工期延长天数；</w:t>
      </w:r>
    </w:p>
    <w:p w14:paraId="7882596A">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4</w:t>
      </w:r>
      <w:r>
        <w:rPr>
          <w:rFonts w:hint="eastAsia" w:ascii="Calibri" w:hAnsi="Calibri"/>
          <w:color w:val="auto"/>
          <w:sz w:val="24"/>
          <w:highlight w:val="none"/>
        </w:rPr>
        <w:t>）在索赔事件影响结束后的</w:t>
      </w:r>
      <w:r>
        <w:rPr>
          <w:rFonts w:ascii="Calibri" w:hAnsi="Calibri"/>
          <w:color w:val="auto"/>
          <w:sz w:val="24"/>
          <w:highlight w:val="none"/>
        </w:rPr>
        <w:t>28</w:t>
      </w:r>
      <w:r>
        <w:rPr>
          <w:rFonts w:hint="eastAsia" w:ascii="Calibri" w:hAnsi="Calibri"/>
          <w:color w:val="auto"/>
          <w:sz w:val="24"/>
          <w:highlight w:val="none"/>
        </w:rPr>
        <w:t>天内，承包人应向监理人递交最终索赔通知书，说明最终要求索赔的追加付款金额和延长的工期，并附必要的记录和证明材料。</w:t>
      </w:r>
    </w:p>
    <w:p w14:paraId="39EFFE27">
      <w:pPr>
        <w:keepNext/>
        <w:keepLines/>
        <w:spacing w:line="400" w:lineRule="exact"/>
        <w:outlineLvl w:val="2"/>
        <w:rPr>
          <w:rFonts w:ascii="Calibri" w:hAnsi="Calibri" w:eastAsia="黑体" w:cs="宋体"/>
          <w:color w:val="auto"/>
          <w:sz w:val="24"/>
          <w:highlight w:val="none"/>
        </w:rPr>
      </w:pPr>
      <w:bookmarkStart w:id="978" w:name="_Toc275242370"/>
      <w:bookmarkStart w:id="979" w:name="_Toc152045759"/>
      <w:bookmarkStart w:id="980" w:name="_Toc144974729"/>
      <w:bookmarkStart w:id="981" w:name="_Toc9879"/>
      <w:bookmarkStart w:id="982" w:name="_Toc179632777"/>
      <w:bookmarkStart w:id="983" w:name="_Toc152042538"/>
      <w:r>
        <w:rPr>
          <w:rFonts w:ascii="Calibri" w:hAnsi="Calibri" w:eastAsia="黑体" w:cs="宋体"/>
          <w:color w:val="auto"/>
          <w:sz w:val="24"/>
          <w:highlight w:val="none"/>
        </w:rPr>
        <w:t xml:space="preserve">23.2 </w:t>
      </w:r>
      <w:r>
        <w:rPr>
          <w:rFonts w:hint="eastAsia" w:ascii="Calibri" w:hAnsi="Calibri" w:eastAsia="黑体" w:cs="宋体"/>
          <w:color w:val="auto"/>
          <w:sz w:val="24"/>
          <w:highlight w:val="none"/>
        </w:rPr>
        <w:t>承包人索赔处理程序</w:t>
      </w:r>
      <w:bookmarkEnd w:id="978"/>
      <w:bookmarkEnd w:id="979"/>
      <w:bookmarkEnd w:id="980"/>
      <w:bookmarkEnd w:id="981"/>
      <w:bookmarkEnd w:id="982"/>
      <w:bookmarkEnd w:id="983"/>
    </w:p>
    <w:p w14:paraId="4A39A088">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）监理人收到承包人提交的索赔通知书后，应及时审查索赔通知书的内容、查验承包人的记录和证明材料，必要时监理人可要求承包人提交全部原始记录副本。</w:t>
      </w:r>
    </w:p>
    <w:p w14:paraId="474842F4">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）监理人应按第</w:t>
      </w:r>
      <w:r>
        <w:rPr>
          <w:rFonts w:ascii="Calibri" w:hAnsi="Calibri"/>
          <w:color w:val="auto"/>
          <w:sz w:val="24"/>
          <w:highlight w:val="none"/>
        </w:rPr>
        <w:t>3.5</w:t>
      </w:r>
      <w:r>
        <w:rPr>
          <w:rFonts w:hint="eastAsia" w:ascii="Calibri" w:hAnsi="Calibri"/>
          <w:color w:val="auto"/>
          <w:sz w:val="24"/>
          <w:highlight w:val="none"/>
        </w:rPr>
        <w:t>款商定或确定追加的付款和（或）延长的工期，并在收到上述索赔通知书或有关索赔的进一步证明材料后的</w:t>
      </w:r>
      <w:r>
        <w:rPr>
          <w:rFonts w:ascii="Calibri" w:hAnsi="Calibri"/>
          <w:color w:val="auto"/>
          <w:sz w:val="24"/>
          <w:highlight w:val="none"/>
        </w:rPr>
        <w:t>42</w:t>
      </w:r>
      <w:r>
        <w:rPr>
          <w:rFonts w:hint="eastAsia" w:ascii="Calibri" w:hAnsi="Calibri"/>
          <w:color w:val="auto"/>
          <w:sz w:val="24"/>
          <w:highlight w:val="none"/>
        </w:rPr>
        <w:t>天内，将索赔处理结果答复承包人。</w:t>
      </w:r>
    </w:p>
    <w:p w14:paraId="4655C5FC">
      <w:pPr>
        <w:spacing w:line="400" w:lineRule="exact"/>
        <w:ind w:firstLine="410" w:firstLineChars="171"/>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3</w:t>
      </w:r>
      <w:r>
        <w:rPr>
          <w:rFonts w:hint="eastAsia" w:ascii="Calibri" w:hAnsi="Calibri"/>
          <w:color w:val="auto"/>
          <w:sz w:val="24"/>
          <w:highlight w:val="none"/>
        </w:rPr>
        <w:t>）承包人接受索赔处理结果的，发包人应在作出索赔处理结果答复后</w:t>
      </w:r>
      <w:r>
        <w:rPr>
          <w:rFonts w:ascii="Calibri" w:hAnsi="Calibri"/>
          <w:color w:val="auto"/>
          <w:sz w:val="24"/>
          <w:highlight w:val="none"/>
        </w:rPr>
        <w:t>28</w:t>
      </w:r>
      <w:r>
        <w:rPr>
          <w:rFonts w:hint="eastAsia" w:ascii="Calibri" w:hAnsi="Calibri"/>
          <w:color w:val="auto"/>
          <w:sz w:val="24"/>
          <w:highlight w:val="none"/>
        </w:rPr>
        <w:t>天内完成赔付。承包人不接受索赔处理结果的，按第</w:t>
      </w:r>
      <w:r>
        <w:rPr>
          <w:rFonts w:ascii="Calibri" w:hAnsi="Calibri"/>
          <w:color w:val="auto"/>
          <w:sz w:val="24"/>
          <w:highlight w:val="none"/>
        </w:rPr>
        <w:t>24</w:t>
      </w:r>
      <w:r>
        <w:rPr>
          <w:rFonts w:hint="eastAsia" w:ascii="Calibri" w:hAnsi="Calibri"/>
          <w:color w:val="auto"/>
          <w:sz w:val="24"/>
          <w:highlight w:val="none"/>
        </w:rPr>
        <w:t>条的约定办理。</w:t>
      </w:r>
    </w:p>
    <w:p w14:paraId="073D9EFE">
      <w:pPr>
        <w:keepNext/>
        <w:keepLines/>
        <w:spacing w:line="400" w:lineRule="exact"/>
        <w:outlineLvl w:val="2"/>
        <w:rPr>
          <w:rFonts w:ascii="Calibri" w:hAnsi="Calibri" w:eastAsia="黑体" w:cs="宋体"/>
          <w:color w:val="auto"/>
          <w:sz w:val="24"/>
          <w:highlight w:val="none"/>
        </w:rPr>
      </w:pPr>
      <w:bookmarkStart w:id="984" w:name="_Toc152042539"/>
      <w:bookmarkStart w:id="985" w:name="_Toc275242371"/>
      <w:bookmarkStart w:id="986" w:name="_Toc3548"/>
      <w:bookmarkStart w:id="987" w:name="_Toc179632778"/>
      <w:bookmarkStart w:id="988" w:name="_Toc144974730"/>
      <w:bookmarkStart w:id="989" w:name="_Toc152045760"/>
      <w:r>
        <w:rPr>
          <w:rFonts w:ascii="Calibri" w:hAnsi="Calibri" w:eastAsia="黑体" w:cs="宋体"/>
          <w:color w:val="auto"/>
          <w:sz w:val="24"/>
          <w:highlight w:val="none"/>
        </w:rPr>
        <w:t xml:space="preserve">23.3 </w:t>
      </w:r>
      <w:r>
        <w:rPr>
          <w:rFonts w:hint="eastAsia" w:ascii="Calibri" w:hAnsi="Calibri" w:eastAsia="黑体" w:cs="宋体"/>
          <w:color w:val="auto"/>
          <w:sz w:val="24"/>
          <w:highlight w:val="none"/>
        </w:rPr>
        <w:t>承包人提出索赔的期限</w:t>
      </w:r>
      <w:bookmarkEnd w:id="984"/>
      <w:bookmarkEnd w:id="985"/>
      <w:bookmarkEnd w:id="986"/>
      <w:bookmarkEnd w:id="987"/>
      <w:bookmarkEnd w:id="988"/>
      <w:bookmarkEnd w:id="989"/>
    </w:p>
    <w:p w14:paraId="63FFB1F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23.3.1 </w:t>
      </w:r>
      <w:r>
        <w:rPr>
          <w:rFonts w:hint="eastAsia" w:ascii="Calibri" w:hAnsi="Calibri"/>
          <w:color w:val="auto"/>
          <w:sz w:val="24"/>
          <w:highlight w:val="none"/>
        </w:rPr>
        <w:t>承包人按第</w:t>
      </w:r>
      <w:r>
        <w:rPr>
          <w:rFonts w:ascii="Calibri" w:hAnsi="Calibri"/>
          <w:color w:val="auto"/>
          <w:sz w:val="24"/>
          <w:highlight w:val="none"/>
        </w:rPr>
        <w:t>17.5</w:t>
      </w:r>
      <w:r>
        <w:rPr>
          <w:rFonts w:hint="eastAsia" w:ascii="Calibri" w:hAnsi="Calibri"/>
          <w:color w:val="auto"/>
          <w:sz w:val="24"/>
          <w:highlight w:val="none"/>
        </w:rPr>
        <w:t>款的约定接受了竣工付款证书后，应被认为已无权再提出在合同工程接收证书颁发前所发生的任何索赔。</w:t>
      </w:r>
    </w:p>
    <w:p w14:paraId="4D9B1ED9">
      <w:pPr>
        <w:spacing w:line="400" w:lineRule="exact"/>
        <w:ind w:firstLine="480" w:firstLineChars="200"/>
        <w:rPr>
          <w:rFonts w:ascii="Calibri" w:hAnsi="Calibri"/>
          <w:color w:val="auto"/>
          <w:sz w:val="24"/>
          <w:highlight w:val="none"/>
          <w:shd w:val="pct10" w:color="auto" w:fill="FFFFFF"/>
        </w:rPr>
      </w:pPr>
      <w:r>
        <w:rPr>
          <w:rFonts w:ascii="Calibri" w:hAnsi="Calibri"/>
          <w:color w:val="auto"/>
          <w:sz w:val="24"/>
          <w:highlight w:val="none"/>
        </w:rPr>
        <w:t xml:space="preserve">23.3.2 </w:t>
      </w:r>
      <w:r>
        <w:rPr>
          <w:rFonts w:hint="eastAsia" w:ascii="Calibri" w:hAnsi="Calibri"/>
          <w:color w:val="auto"/>
          <w:sz w:val="24"/>
          <w:highlight w:val="none"/>
        </w:rPr>
        <w:t>承包人按第</w:t>
      </w:r>
      <w:r>
        <w:rPr>
          <w:rFonts w:ascii="Calibri" w:hAnsi="Calibri"/>
          <w:color w:val="auto"/>
          <w:sz w:val="24"/>
          <w:highlight w:val="none"/>
        </w:rPr>
        <w:t>17.6</w:t>
      </w:r>
      <w:r>
        <w:rPr>
          <w:rFonts w:hint="eastAsia" w:ascii="Calibri" w:hAnsi="Calibri"/>
          <w:color w:val="auto"/>
          <w:sz w:val="24"/>
          <w:highlight w:val="none"/>
        </w:rPr>
        <w:t>款的约定提交的最终结清申请单中，只限于提出工程接收证书颁发后发生的索赔。提出索赔的期限自接受最终结清证书时终止。</w:t>
      </w:r>
    </w:p>
    <w:p w14:paraId="1EF2C5E4">
      <w:pPr>
        <w:keepNext/>
        <w:keepLines/>
        <w:spacing w:line="400" w:lineRule="exact"/>
        <w:outlineLvl w:val="2"/>
        <w:rPr>
          <w:rFonts w:ascii="Calibri" w:hAnsi="Calibri" w:eastAsia="黑体" w:cs="宋体"/>
          <w:color w:val="auto"/>
          <w:sz w:val="24"/>
          <w:highlight w:val="none"/>
        </w:rPr>
      </w:pPr>
      <w:bookmarkStart w:id="990" w:name="_Toc275242372"/>
      <w:bookmarkStart w:id="991" w:name="_Toc144974731"/>
      <w:bookmarkStart w:id="992" w:name="_Toc152042540"/>
      <w:bookmarkStart w:id="993" w:name="_Toc152045761"/>
      <w:bookmarkStart w:id="994" w:name="_Toc30739"/>
      <w:bookmarkStart w:id="995" w:name="_Toc179632779"/>
      <w:r>
        <w:rPr>
          <w:rFonts w:ascii="Calibri" w:hAnsi="Calibri" w:eastAsia="黑体" w:cs="宋体"/>
          <w:color w:val="auto"/>
          <w:sz w:val="24"/>
          <w:highlight w:val="none"/>
        </w:rPr>
        <w:t xml:space="preserve">23.4 </w:t>
      </w:r>
      <w:r>
        <w:rPr>
          <w:rFonts w:hint="eastAsia" w:ascii="Calibri" w:hAnsi="Calibri" w:eastAsia="黑体" w:cs="宋体"/>
          <w:color w:val="auto"/>
          <w:sz w:val="24"/>
          <w:highlight w:val="none"/>
        </w:rPr>
        <w:t>发包人的索赔</w:t>
      </w:r>
      <w:bookmarkEnd w:id="990"/>
      <w:bookmarkEnd w:id="991"/>
      <w:bookmarkEnd w:id="992"/>
      <w:bookmarkEnd w:id="993"/>
      <w:bookmarkEnd w:id="994"/>
      <w:bookmarkEnd w:id="995"/>
    </w:p>
    <w:p w14:paraId="3297660D">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23.4.1 </w:t>
      </w:r>
      <w:r>
        <w:rPr>
          <w:rFonts w:hint="eastAsia" w:ascii="Calibri" w:hAnsi="Calibri"/>
          <w:color w:val="auto"/>
          <w:sz w:val="24"/>
          <w:highlight w:val="none"/>
        </w:rPr>
        <w:t>发生索赔事件后，监理人应及时书面通知承包人，详细说明发包人有权得到的索赔金额和（或）延长缺陷责任期的细节和依据。发包人提出索赔的期限和要求与第</w:t>
      </w:r>
      <w:r>
        <w:rPr>
          <w:rFonts w:ascii="Calibri" w:hAnsi="Calibri"/>
          <w:color w:val="auto"/>
          <w:sz w:val="24"/>
          <w:highlight w:val="none"/>
        </w:rPr>
        <w:t>23.3</w:t>
      </w:r>
      <w:r>
        <w:rPr>
          <w:rFonts w:hint="eastAsia" w:ascii="Calibri" w:hAnsi="Calibri"/>
          <w:color w:val="auto"/>
          <w:sz w:val="24"/>
          <w:highlight w:val="none"/>
        </w:rPr>
        <w:t>款的约定相同，延长缺陷责任期的通知应在缺陷责任期届满前发出。</w:t>
      </w:r>
    </w:p>
    <w:p w14:paraId="70FC645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23.4.2 </w:t>
      </w:r>
      <w:r>
        <w:rPr>
          <w:rFonts w:hint="eastAsia" w:ascii="Calibri" w:hAnsi="Calibri"/>
          <w:color w:val="auto"/>
          <w:sz w:val="24"/>
          <w:highlight w:val="none"/>
        </w:rPr>
        <w:t>监理人按第</w:t>
      </w:r>
      <w:r>
        <w:rPr>
          <w:rFonts w:ascii="Calibri" w:hAnsi="Calibri"/>
          <w:color w:val="auto"/>
          <w:sz w:val="24"/>
          <w:highlight w:val="none"/>
        </w:rPr>
        <w:t>3.5</w:t>
      </w:r>
      <w:r>
        <w:rPr>
          <w:rFonts w:hint="eastAsia" w:ascii="Calibri" w:hAnsi="Calibri"/>
          <w:color w:val="auto"/>
          <w:sz w:val="24"/>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0E432426">
      <w:pPr>
        <w:keepNext/>
        <w:keepLines/>
        <w:spacing w:line="400" w:lineRule="exact"/>
        <w:outlineLvl w:val="1"/>
        <w:rPr>
          <w:rFonts w:eastAsia="黑体" w:cs="宋体"/>
          <w:color w:val="auto"/>
          <w:sz w:val="24"/>
          <w:highlight w:val="none"/>
        </w:rPr>
      </w:pPr>
      <w:bookmarkStart w:id="996" w:name="_Toc275242373"/>
      <w:bookmarkStart w:id="997" w:name="_Toc144974732"/>
      <w:bookmarkStart w:id="998" w:name="_Toc9614"/>
      <w:bookmarkStart w:id="999" w:name="_Toc179632780"/>
      <w:bookmarkStart w:id="1000" w:name="_Toc152045762"/>
      <w:bookmarkStart w:id="1001" w:name="_Toc152042541"/>
      <w:r>
        <w:rPr>
          <w:rFonts w:eastAsia="黑体" w:cs="宋体"/>
          <w:color w:val="auto"/>
          <w:sz w:val="24"/>
          <w:highlight w:val="none"/>
        </w:rPr>
        <w:t xml:space="preserve">24. </w:t>
      </w:r>
      <w:r>
        <w:rPr>
          <w:rFonts w:hint="eastAsia" w:eastAsia="黑体" w:cs="宋体"/>
          <w:color w:val="auto"/>
          <w:sz w:val="24"/>
          <w:highlight w:val="none"/>
        </w:rPr>
        <w:t>争议的解决</w:t>
      </w:r>
      <w:bookmarkEnd w:id="996"/>
      <w:bookmarkEnd w:id="997"/>
      <w:bookmarkEnd w:id="998"/>
      <w:bookmarkEnd w:id="999"/>
      <w:bookmarkEnd w:id="1000"/>
      <w:bookmarkEnd w:id="1001"/>
    </w:p>
    <w:p w14:paraId="2DBC702D">
      <w:pPr>
        <w:keepNext/>
        <w:keepLines/>
        <w:spacing w:line="400" w:lineRule="exact"/>
        <w:outlineLvl w:val="2"/>
        <w:rPr>
          <w:rFonts w:ascii="Calibri" w:hAnsi="Calibri" w:eastAsia="黑体" w:cs="宋体"/>
          <w:color w:val="auto"/>
          <w:sz w:val="24"/>
          <w:highlight w:val="none"/>
        </w:rPr>
      </w:pPr>
      <w:bookmarkStart w:id="1002" w:name="_Toc13356"/>
      <w:bookmarkStart w:id="1003" w:name="_Toc152042542"/>
      <w:bookmarkStart w:id="1004" w:name="_Toc275242374"/>
      <w:bookmarkStart w:id="1005" w:name="_Toc144974733"/>
      <w:bookmarkStart w:id="1006" w:name="_Toc152045763"/>
      <w:bookmarkStart w:id="1007" w:name="_Toc179632781"/>
      <w:r>
        <w:rPr>
          <w:rFonts w:ascii="Calibri" w:hAnsi="Calibri" w:eastAsia="黑体" w:cs="宋体"/>
          <w:color w:val="auto"/>
          <w:sz w:val="24"/>
          <w:highlight w:val="none"/>
        </w:rPr>
        <w:t xml:space="preserve">24.1 </w:t>
      </w:r>
      <w:r>
        <w:rPr>
          <w:rFonts w:hint="eastAsia" w:ascii="Calibri" w:hAnsi="Calibri" w:eastAsia="黑体" w:cs="宋体"/>
          <w:color w:val="auto"/>
          <w:sz w:val="24"/>
          <w:highlight w:val="none"/>
        </w:rPr>
        <w:t>争议的解决方式</w:t>
      </w:r>
      <w:bookmarkEnd w:id="1002"/>
      <w:bookmarkEnd w:id="1003"/>
      <w:bookmarkEnd w:id="1004"/>
      <w:bookmarkEnd w:id="1005"/>
      <w:bookmarkEnd w:id="1006"/>
      <w:bookmarkEnd w:id="1007"/>
    </w:p>
    <w:p w14:paraId="6E7D3BB9">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FE6CF7">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1</w:t>
      </w:r>
      <w:r>
        <w:rPr>
          <w:rFonts w:hint="eastAsia" w:ascii="Calibri" w:hAnsi="Calibri"/>
          <w:color w:val="auto"/>
          <w:sz w:val="24"/>
          <w:highlight w:val="none"/>
        </w:rPr>
        <w:t>）向约定的仲裁委员会申请仲裁；</w:t>
      </w:r>
    </w:p>
    <w:p w14:paraId="6DEAC4A0">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w:t>
      </w:r>
      <w:r>
        <w:rPr>
          <w:rFonts w:ascii="Calibri" w:hAnsi="Calibri"/>
          <w:color w:val="auto"/>
          <w:sz w:val="24"/>
          <w:highlight w:val="none"/>
        </w:rPr>
        <w:t>2</w:t>
      </w:r>
      <w:r>
        <w:rPr>
          <w:rFonts w:hint="eastAsia" w:ascii="Calibri" w:hAnsi="Calibri"/>
          <w:color w:val="auto"/>
          <w:sz w:val="24"/>
          <w:highlight w:val="none"/>
        </w:rPr>
        <w:t>）向有管辖权的人民法院提起诉讼。</w:t>
      </w:r>
    </w:p>
    <w:p w14:paraId="181032E4">
      <w:pPr>
        <w:keepNext/>
        <w:keepLines/>
        <w:spacing w:line="400" w:lineRule="exact"/>
        <w:outlineLvl w:val="2"/>
        <w:rPr>
          <w:rFonts w:ascii="Calibri" w:hAnsi="Calibri" w:eastAsia="黑体" w:cs="宋体"/>
          <w:color w:val="auto"/>
          <w:sz w:val="24"/>
          <w:highlight w:val="none"/>
        </w:rPr>
      </w:pPr>
      <w:bookmarkStart w:id="1008" w:name="_Toc152042543"/>
      <w:bookmarkStart w:id="1009" w:name="_Toc28883"/>
      <w:bookmarkStart w:id="1010" w:name="_Toc179632782"/>
      <w:bookmarkStart w:id="1011" w:name="_Toc152045764"/>
      <w:bookmarkStart w:id="1012" w:name="_Toc275242375"/>
      <w:bookmarkStart w:id="1013" w:name="_Toc144974734"/>
      <w:r>
        <w:rPr>
          <w:rFonts w:ascii="Calibri" w:hAnsi="Calibri" w:eastAsia="黑体" w:cs="宋体"/>
          <w:color w:val="auto"/>
          <w:sz w:val="24"/>
          <w:highlight w:val="none"/>
        </w:rPr>
        <w:t xml:space="preserve">24.2 </w:t>
      </w:r>
      <w:r>
        <w:rPr>
          <w:rFonts w:hint="eastAsia" w:ascii="Calibri" w:hAnsi="Calibri" w:eastAsia="黑体" w:cs="宋体"/>
          <w:color w:val="auto"/>
          <w:sz w:val="24"/>
          <w:highlight w:val="none"/>
        </w:rPr>
        <w:t>友好解决</w:t>
      </w:r>
      <w:bookmarkEnd w:id="1008"/>
      <w:bookmarkEnd w:id="1009"/>
      <w:bookmarkEnd w:id="1010"/>
      <w:bookmarkEnd w:id="1011"/>
      <w:bookmarkEnd w:id="1012"/>
      <w:bookmarkEnd w:id="1013"/>
    </w:p>
    <w:p w14:paraId="40206BD8">
      <w:pPr>
        <w:spacing w:line="400" w:lineRule="exact"/>
        <w:ind w:firstLine="480" w:firstLineChars="200"/>
        <w:rPr>
          <w:rFonts w:ascii="Calibri" w:hAnsi="Calibri"/>
          <w:color w:val="auto"/>
          <w:sz w:val="24"/>
          <w:highlight w:val="none"/>
        </w:rPr>
      </w:pPr>
      <w:r>
        <w:rPr>
          <w:rFonts w:hint="eastAsia" w:ascii="Calibri" w:hAnsi="Calibri"/>
          <w:color w:val="auto"/>
          <w:sz w:val="24"/>
          <w:highlight w:val="none"/>
        </w:rPr>
        <w:t>在提请争议评审、仲裁或者诉讼前，以及在争议评审、仲裁或诉讼过程中，发包人和承包人均可共同努力友好协商解决争议。</w:t>
      </w:r>
    </w:p>
    <w:p w14:paraId="4D52B5CF">
      <w:pPr>
        <w:keepNext/>
        <w:keepLines/>
        <w:spacing w:line="400" w:lineRule="exact"/>
        <w:outlineLvl w:val="2"/>
        <w:rPr>
          <w:rFonts w:ascii="Calibri" w:hAnsi="Calibri" w:eastAsia="黑体" w:cs="宋体"/>
          <w:color w:val="auto"/>
          <w:sz w:val="24"/>
          <w:highlight w:val="none"/>
        </w:rPr>
      </w:pPr>
      <w:bookmarkStart w:id="1014" w:name="_Toc14410"/>
      <w:bookmarkStart w:id="1015" w:name="_Toc152045765"/>
      <w:bookmarkStart w:id="1016" w:name="_Toc179632783"/>
      <w:bookmarkStart w:id="1017" w:name="_Toc144974735"/>
      <w:bookmarkStart w:id="1018" w:name="_Toc275242376"/>
      <w:bookmarkStart w:id="1019" w:name="_Toc152042544"/>
      <w:r>
        <w:rPr>
          <w:rFonts w:ascii="Calibri" w:hAnsi="Calibri" w:eastAsia="黑体" w:cs="宋体"/>
          <w:color w:val="auto"/>
          <w:sz w:val="24"/>
          <w:highlight w:val="none"/>
        </w:rPr>
        <w:t xml:space="preserve">24.3 </w:t>
      </w:r>
      <w:r>
        <w:rPr>
          <w:rFonts w:hint="eastAsia" w:ascii="Calibri" w:hAnsi="Calibri" w:eastAsia="黑体" w:cs="宋体"/>
          <w:color w:val="auto"/>
          <w:sz w:val="24"/>
          <w:highlight w:val="none"/>
        </w:rPr>
        <w:t>争议评审</w:t>
      </w:r>
      <w:bookmarkEnd w:id="1014"/>
      <w:bookmarkEnd w:id="1015"/>
      <w:bookmarkEnd w:id="1016"/>
      <w:bookmarkEnd w:id="1017"/>
      <w:bookmarkEnd w:id="1018"/>
      <w:bookmarkEnd w:id="1019"/>
    </w:p>
    <w:p w14:paraId="546DD261">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24.3.1 </w:t>
      </w:r>
      <w:r>
        <w:rPr>
          <w:rFonts w:hint="eastAsia" w:ascii="Calibri" w:hAnsi="Calibri"/>
          <w:color w:val="auto"/>
          <w:sz w:val="24"/>
          <w:highlight w:val="none"/>
        </w:rPr>
        <w:t>采用争议评审的，发包人和承包人应在开工日后的</w:t>
      </w:r>
      <w:r>
        <w:rPr>
          <w:rFonts w:ascii="Calibri" w:hAnsi="Calibri"/>
          <w:color w:val="auto"/>
          <w:sz w:val="24"/>
          <w:highlight w:val="none"/>
        </w:rPr>
        <w:t>28</w:t>
      </w:r>
      <w:r>
        <w:rPr>
          <w:rFonts w:hint="eastAsia" w:ascii="Calibri" w:hAnsi="Calibri"/>
          <w:color w:val="auto"/>
          <w:sz w:val="24"/>
          <w:highlight w:val="none"/>
        </w:rPr>
        <w:t>天内或在争议发生后，协商成立争议评审组。争议评审组由有合同管理和工程实践经验的专家组成。</w:t>
      </w:r>
    </w:p>
    <w:p w14:paraId="16DB970A">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24.3.2 </w:t>
      </w:r>
      <w:r>
        <w:rPr>
          <w:rFonts w:hint="eastAsia" w:ascii="Calibri" w:hAnsi="Calibri"/>
          <w:color w:val="auto"/>
          <w:sz w:val="24"/>
          <w:highlight w:val="none"/>
        </w:rPr>
        <w:t>合同双方的争议，应首先由申请人向争议评审组提交一份详细的评审申请报告，并附必要的文件、图纸和证明材料，申请人还应将上述报告的副本同时提交给被申请人和监理人。</w:t>
      </w:r>
    </w:p>
    <w:p w14:paraId="6A36C142">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24.3.3 </w:t>
      </w:r>
      <w:r>
        <w:rPr>
          <w:rFonts w:hint="eastAsia" w:ascii="Calibri" w:hAnsi="Calibri"/>
          <w:color w:val="auto"/>
          <w:sz w:val="24"/>
          <w:highlight w:val="none"/>
        </w:rPr>
        <w:t>被申请人在收到申请人评审申请报告副本后的</w:t>
      </w:r>
      <w:r>
        <w:rPr>
          <w:rFonts w:ascii="Calibri" w:hAnsi="Calibri"/>
          <w:color w:val="auto"/>
          <w:sz w:val="24"/>
          <w:highlight w:val="none"/>
        </w:rPr>
        <w:t>28</w:t>
      </w:r>
      <w:r>
        <w:rPr>
          <w:rFonts w:hint="eastAsia" w:ascii="Calibri" w:hAnsi="Calibri"/>
          <w:color w:val="auto"/>
          <w:sz w:val="24"/>
          <w:highlight w:val="none"/>
        </w:rPr>
        <w:t>天内，向争议评审组提交一份答辩报告，并附证明材料。被申请人应将答辩报告的副本同时提交给申请人和监理人。</w:t>
      </w:r>
    </w:p>
    <w:p w14:paraId="0BC45BF6">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24.3.4 </w:t>
      </w:r>
      <w:r>
        <w:rPr>
          <w:rFonts w:hint="eastAsia" w:ascii="Calibri" w:hAnsi="Calibri"/>
          <w:color w:val="auto"/>
          <w:sz w:val="24"/>
          <w:highlight w:val="none"/>
        </w:rPr>
        <w:t>除专用合同条款另有约定外，争议评审组在收到合同双方报告后的</w:t>
      </w:r>
      <w:r>
        <w:rPr>
          <w:rFonts w:ascii="Calibri" w:hAnsi="Calibri"/>
          <w:color w:val="auto"/>
          <w:sz w:val="24"/>
          <w:highlight w:val="none"/>
        </w:rPr>
        <w:t>14</w:t>
      </w:r>
      <w:r>
        <w:rPr>
          <w:rFonts w:hint="eastAsia" w:ascii="Calibri" w:hAnsi="Calibri"/>
          <w:color w:val="auto"/>
          <w:sz w:val="24"/>
          <w:highlight w:val="none"/>
        </w:rPr>
        <w:t>天内，邀请双方代表和有关人员举行调查会，向双方调查争议细节；必要时争议评审组可要求双方进一步提供补充材料。</w:t>
      </w:r>
    </w:p>
    <w:p w14:paraId="2CF26550">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24.3.5 </w:t>
      </w:r>
      <w:r>
        <w:rPr>
          <w:rFonts w:hint="eastAsia" w:ascii="Calibri" w:hAnsi="Calibri"/>
          <w:color w:val="auto"/>
          <w:sz w:val="24"/>
          <w:highlight w:val="none"/>
        </w:rPr>
        <w:t>除专用合同条款另有约定外，在调查会结束后的</w:t>
      </w:r>
      <w:r>
        <w:rPr>
          <w:rFonts w:ascii="Calibri" w:hAnsi="Calibri"/>
          <w:color w:val="auto"/>
          <w:sz w:val="24"/>
          <w:highlight w:val="none"/>
        </w:rPr>
        <w:t>14</w:t>
      </w:r>
      <w:r>
        <w:rPr>
          <w:rFonts w:hint="eastAsia" w:ascii="Calibri" w:hAnsi="Calibri"/>
          <w:color w:val="auto"/>
          <w:sz w:val="24"/>
          <w:highlight w:val="none"/>
        </w:rPr>
        <w:t>天内，争议评审组应在不受任何干扰的情况下进行独立、公正的评审，作出书面评审意见，并说明理由。在争议评审期间，争议双方暂按总监理工程师的确定执行。</w:t>
      </w:r>
    </w:p>
    <w:p w14:paraId="567D0383">
      <w:pPr>
        <w:spacing w:line="400" w:lineRule="exact"/>
        <w:ind w:firstLine="480" w:firstLineChars="200"/>
        <w:rPr>
          <w:rFonts w:ascii="Calibri" w:hAnsi="Calibri"/>
          <w:color w:val="auto"/>
          <w:sz w:val="24"/>
          <w:highlight w:val="none"/>
        </w:rPr>
      </w:pPr>
      <w:r>
        <w:rPr>
          <w:rFonts w:ascii="Calibri" w:hAnsi="Calibri"/>
          <w:color w:val="auto"/>
          <w:sz w:val="24"/>
          <w:highlight w:val="none"/>
        </w:rPr>
        <w:t xml:space="preserve">24.3.6 </w:t>
      </w:r>
      <w:r>
        <w:rPr>
          <w:rFonts w:hint="eastAsia" w:ascii="Calibri" w:hAnsi="Calibri"/>
          <w:color w:val="auto"/>
          <w:sz w:val="24"/>
          <w:highlight w:val="none"/>
        </w:rPr>
        <w:t>发包人和承包人接受评审意见的，由监理人根据评审意见拟定执行协议，经争议双方签字后作为合同的补充文件，并遵照执行。</w:t>
      </w:r>
    </w:p>
    <w:p w14:paraId="2A958821">
      <w:pPr>
        <w:spacing w:line="400" w:lineRule="exact"/>
        <w:ind w:firstLine="480" w:firstLineChars="200"/>
        <w:rPr>
          <w:rFonts w:ascii="宋体" w:hAnsi="Calibri"/>
          <w:color w:val="auto"/>
          <w:highlight w:val="none"/>
        </w:rPr>
      </w:pPr>
      <w:r>
        <w:rPr>
          <w:rFonts w:ascii="Calibri" w:hAnsi="Calibri"/>
          <w:color w:val="auto"/>
          <w:sz w:val="24"/>
          <w:highlight w:val="none"/>
        </w:rPr>
        <w:t xml:space="preserve">24.3.7 </w:t>
      </w:r>
      <w:r>
        <w:rPr>
          <w:rFonts w:hint="eastAsia" w:ascii="Calibri" w:hAnsi="Calibri"/>
          <w:color w:val="auto"/>
          <w:sz w:val="24"/>
          <w:highlight w:val="none"/>
        </w:rPr>
        <w:t>发包人或承包人不接受评审意见，并要求提交仲裁或提起诉讼的，应在收到评审意见后的</w:t>
      </w:r>
      <w:r>
        <w:rPr>
          <w:rFonts w:ascii="Calibri" w:hAnsi="Calibri"/>
          <w:color w:val="auto"/>
          <w:sz w:val="24"/>
          <w:highlight w:val="none"/>
        </w:rPr>
        <w:t>14</w:t>
      </w:r>
      <w:r>
        <w:rPr>
          <w:rFonts w:hint="eastAsia" w:ascii="Calibri" w:hAnsi="Calibri"/>
          <w:color w:val="auto"/>
          <w:sz w:val="24"/>
          <w:highlight w:val="none"/>
        </w:rPr>
        <w:t>天内将仲裁或起诉意向书面通知另一方，并抄送监理人，但在仲裁或诉讼结束前应暂按总监理工程师的确定执行。</w:t>
      </w:r>
    </w:p>
    <w:p w14:paraId="008BFBDD">
      <w:pPr>
        <w:pStyle w:val="7"/>
        <w:rPr>
          <w:rFonts w:ascii="宋体" w:hAnsi="Calibri"/>
          <w:color w:val="auto"/>
          <w:highlight w:val="none"/>
        </w:rPr>
      </w:pPr>
    </w:p>
    <w:p w14:paraId="1BFEB295">
      <w:pPr>
        <w:keepNext/>
        <w:keepLines/>
        <w:numPr>
          <w:ilvl w:val="0"/>
          <w:numId w:val="2"/>
        </w:numPr>
        <w:spacing w:line="576" w:lineRule="auto"/>
        <w:jc w:val="center"/>
        <w:outlineLvl w:val="0"/>
        <w:rPr>
          <w:rFonts w:ascii="宋体" w:hAnsi="Calibri"/>
          <w:b/>
          <w:bCs/>
          <w:color w:val="auto"/>
          <w:kern w:val="44"/>
          <w:sz w:val="44"/>
          <w:szCs w:val="44"/>
          <w:highlight w:val="none"/>
          <w:lang w:val="zh-CN"/>
        </w:rPr>
      </w:pPr>
      <w:bookmarkStart w:id="1020" w:name="_Toc445202862"/>
      <w:bookmarkStart w:id="1021" w:name="_Toc1231"/>
      <w:r>
        <w:rPr>
          <w:rFonts w:hint="eastAsia" w:ascii="宋体" w:hAnsi="宋体"/>
          <w:b/>
          <w:bCs/>
          <w:color w:val="auto"/>
          <w:kern w:val="44"/>
          <w:sz w:val="44"/>
          <w:szCs w:val="44"/>
          <w:highlight w:val="none"/>
          <w:lang w:val="zh-CN"/>
        </w:rPr>
        <w:t>专用合同条款</w:t>
      </w:r>
      <w:bookmarkEnd w:id="1020"/>
      <w:bookmarkEnd w:id="1021"/>
    </w:p>
    <w:p w14:paraId="5553EECF">
      <w:pPr>
        <w:jc w:val="center"/>
        <w:rPr>
          <w:rFonts w:ascii="宋体" w:hAnsi="Calibri"/>
          <w:color w:val="auto"/>
          <w:sz w:val="32"/>
          <w:szCs w:val="32"/>
          <w:highlight w:val="none"/>
        </w:rPr>
      </w:pPr>
      <w:r>
        <w:rPr>
          <w:rFonts w:ascii="宋体" w:hAnsi="宋体"/>
          <w:color w:val="auto"/>
          <w:sz w:val="32"/>
          <w:szCs w:val="32"/>
          <w:highlight w:val="none"/>
        </w:rPr>
        <w:t>A</w:t>
      </w:r>
      <w:r>
        <w:rPr>
          <w:rFonts w:hint="eastAsia" w:ascii="宋体" w:hAnsi="宋体"/>
          <w:color w:val="auto"/>
          <w:sz w:val="32"/>
          <w:szCs w:val="32"/>
          <w:highlight w:val="none"/>
        </w:rPr>
        <w:t>公路工程专用合同条款</w:t>
      </w:r>
    </w:p>
    <w:p w14:paraId="5E42B140">
      <w:pPr>
        <w:jc w:val="center"/>
        <w:rPr>
          <w:rFonts w:ascii="宋体" w:hAnsi="Calibri"/>
          <w:color w:val="auto"/>
          <w:sz w:val="32"/>
          <w:szCs w:val="32"/>
          <w:highlight w:val="none"/>
        </w:rPr>
      </w:pPr>
    </w:p>
    <w:p w14:paraId="34E3AAF8">
      <w:pPr>
        <w:spacing w:line="400" w:lineRule="exact"/>
        <w:ind w:firstLine="2040" w:firstLineChars="850"/>
        <w:rPr>
          <w:rFonts w:ascii="宋体" w:hAnsi="Calibri"/>
          <w:bCs/>
          <w:color w:val="auto"/>
          <w:sz w:val="24"/>
          <w:highlight w:val="none"/>
        </w:rPr>
      </w:pPr>
      <w:r>
        <w:rPr>
          <w:rFonts w:hint="eastAsia" w:ascii="宋体" w:hAnsi="宋体"/>
          <w:color w:val="auto"/>
          <w:sz w:val="24"/>
          <w:highlight w:val="none"/>
        </w:rPr>
        <w:t>通用合同条款与专用合同条款相抵触，以专用条款为准。</w:t>
      </w:r>
    </w:p>
    <w:p w14:paraId="3E432829">
      <w:pPr>
        <w:jc w:val="center"/>
        <w:rPr>
          <w:rFonts w:ascii="宋体" w:hAnsi="Calibri"/>
          <w:bCs/>
          <w:color w:val="auto"/>
          <w:sz w:val="24"/>
          <w:highlight w:val="none"/>
        </w:rPr>
      </w:pPr>
    </w:p>
    <w:p w14:paraId="0811EC6F">
      <w:pPr>
        <w:spacing w:line="400" w:lineRule="exact"/>
        <w:jc w:val="left"/>
        <w:rPr>
          <w:rFonts w:ascii="宋体" w:hAnsi="Calibri"/>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一般约定</w:t>
      </w:r>
    </w:p>
    <w:p w14:paraId="6D813FE7">
      <w:pPr>
        <w:spacing w:line="400" w:lineRule="exact"/>
        <w:jc w:val="left"/>
        <w:rPr>
          <w:rFonts w:ascii="宋体" w:hAnsi="Calibri"/>
          <w:bCs/>
          <w:color w:val="auto"/>
          <w:sz w:val="24"/>
          <w:highlight w:val="none"/>
        </w:rPr>
      </w:pPr>
      <w:r>
        <w:rPr>
          <w:rFonts w:ascii="宋体" w:hAnsi="宋体"/>
          <w:bCs/>
          <w:color w:val="auto"/>
          <w:sz w:val="24"/>
          <w:highlight w:val="none"/>
        </w:rPr>
        <w:t>1.1</w:t>
      </w:r>
      <w:r>
        <w:rPr>
          <w:rFonts w:ascii="宋体" w:hAnsi="宋体"/>
          <w:bCs/>
          <w:color w:val="auto"/>
          <w:sz w:val="24"/>
          <w:highlight w:val="none"/>
        </w:rPr>
        <w:tab/>
      </w:r>
      <w:r>
        <w:rPr>
          <w:rFonts w:hint="eastAsia" w:ascii="宋体" w:hAnsi="宋体"/>
          <w:bCs/>
          <w:color w:val="auto"/>
          <w:sz w:val="24"/>
          <w:highlight w:val="none"/>
        </w:rPr>
        <w:t>词语定义</w:t>
      </w:r>
    </w:p>
    <w:p w14:paraId="33FD68BF">
      <w:pPr>
        <w:spacing w:line="400" w:lineRule="exact"/>
        <w:jc w:val="left"/>
        <w:rPr>
          <w:rFonts w:ascii="宋体" w:hAnsi="Calibri"/>
          <w:bCs/>
          <w:color w:val="auto"/>
          <w:sz w:val="24"/>
          <w:highlight w:val="none"/>
        </w:rPr>
      </w:pPr>
      <w:r>
        <w:rPr>
          <w:rFonts w:ascii="宋体" w:hAnsi="宋体"/>
          <w:bCs/>
          <w:color w:val="auto"/>
          <w:sz w:val="24"/>
          <w:highlight w:val="none"/>
        </w:rPr>
        <w:t>1.1.1</w:t>
      </w:r>
      <w:r>
        <w:rPr>
          <w:rFonts w:ascii="宋体" w:hAnsi="宋体"/>
          <w:bCs/>
          <w:color w:val="auto"/>
          <w:sz w:val="24"/>
          <w:highlight w:val="none"/>
        </w:rPr>
        <w:tab/>
      </w:r>
      <w:r>
        <w:rPr>
          <w:rFonts w:hint="eastAsia" w:ascii="宋体" w:hAnsi="宋体"/>
          <w:bCs/>
          <w:color w:val="auto"/>
          <w:sz w:val="24"/>
          <w:highlight w:val="none"/>
        </w:rPr>
        <w:t>合同</w:t>
      </w:r>
    </w:p>
    <w:p w14:paraId="67BA3640">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1.1.1.6 </w:t>
      </w:r>
      <w:r>
        <w:rPr>
          <w:rFonts w:hint="eastAsia" w:ascii="宋体" w:hAnsi="宋体"/>
          <w:bCs/>
          <w:color w:val="auto"/>
          <w:sz w:val="24"/>
          <w:highlight w:val="none"/>
        </w:rPr>
        <w:t>目细化为：</w:t>
      </w:r>
    </w:p>
    <w:p w14:paraId="6A5F15E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技术规范：指本合同所约定的技术标准和要求，是合同文件的组成部分。通用合同条款中“技术标准和要求”一词具有相同含义。</w:t>
      </w:r>
    </w:p>
    <w:p w14:paraId="6F86F60F">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1.1.1.8 </w:t>
      </w:r>
      <w:r>
        <w:rPr>
          <w:rFonts w:hint="eastAsia" w:ascii="宋体" w:hAnsi="宋体"/>
          <w:bCs/>
          <w:color w:val="auto"/>
          <w:sz w:val="24"/>
          <w:highlight w:val="none"/>
        </w:rPr>
        <w:t>目细化为：</w:t>
      </w:r>
    </w:p>
    <w:p w14:paraId="67BFB74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Pr>
          <w:rFonts w:ascii="宋体" w:hAnsi="宋体"/>
          <w:bCs/>
          <w:color w:val="auto"/>
          <w:sz w:val="24"/>
          <w:highlight w:val="none"/>
        </w:rPr>
        <w:t xml:space="preserve"> 5.1</w:t>
      </w:r>
      <w:r>
        <w:rPr>
          <w:rFonts w:hint="eastAsia" w:ascii="宋体" w:hAnsi="宋体"/>
          <w:bCs/>
          <w:color w:val="auto"/>
          <w:sz w:val="24"/>
          <w:highlight w:val="none"/>
        </w:rPr>
        <w:t>～表</w:t>
      </w:r>
      <w:r>
        <w:rPr>
          <w:rFonts w:ascii="宋体" w:hAnsi="宋体"/>
          <w:bCs/>
          <w:color w:val="auto"/>
          <w:sz w:val="24"/>
          <w:highlight w:val="none"/>
        </w:rPr>
        <w:t>5.5</w:t>
      </w:r>
      <w:r>
        <w:rPr>
          <w:rFonts w:hint="eastAsia" w:ascii="宋体" w:hAnsi="宋体"/>
          <w:bCs/>
          <w:color w:val="auto"/>
          <w:sz w:val="24"/>
          <w:highlight w:val="none"/>
        </w:rPr>
        <w:t>）。</w:t>
      </w:r>
    </w:p>
    <w:p w14:paraId="4506478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本项补充第</w:t>
      </w:r>
      <w:r>
        <w:rPr>
          <w:rFonts w:ascii="宋体" w:hAnsi="宋体"/>
          <w:bCs/>
          <w:color w:val="auto"/>
          <w:sz w:val="24"/>
          <w:highlight w:val="none"/>
        </w:rPr>
        <w:t xml:space="preserve"> 1.1.1.10 </w:t>
      </w:r>
      <w:r>
        <w:rPr>
          <w:rFonts w:hint="eastAsia" w:ascii="宋体" w:hAnsi="宋体"/>
          <w:bCs/>
          <w:color w:val="auto"/>
          <w:sz w:val="24"/>
          <w:highlight w:val="none"/>
        </w:rPr>
        <w:t>目：</w:t>
      </w:r>
    </w:p>
    <w:p w14:paraId="4A0E8863">
      <w:pPr>
        <w:spacing w:line="400" w:lineRule="exact"/>
        <w:jc w:val="left"/>
        <w:rPr>
          <w:rFonts w:ascii="宋体" w:hAnsi="Calibri"/>
          <w:bCs/>
          <w:color w:val="auto"/>
          <w:sz w:val="24"/>
          <w:highlight w:val="none"/>
        </w:rPr>
      </w:pPr>
      <w:r>
        <w:rPr>
          <w:rFonts w:ascii="宋体" w:hAnsi="宋体"/>
          <w:bCs/>
          <w:color w:val="auto"/>
          <w:sz w:val="24"/>
          <w:highlight w:val="none"/>
        </w:rPr>
        <w:t xml:space="preserve">1.1.1.10 </w:t>
      </w:r>
      <w:r>
        <w:rPr>
          <w:rFonts w:hint="eastAsia" w:ascii="宋体" w:hAnsi="宋体"/>
          <w:bCs/>
          <w:color w:val="auto"/>
          <w:sz w:val="24"/>
          <w:highlight w:val="none"/>
        </w:rPr>
        <w:t>补遗书：指发出招标文件之后由招标人向已取得招标文件的投标人发出的、编号的对招标文件所作的澄清、修改书。</w:t>
      </w:r>
    </w:p>
    <w:p w14:paraId="2B2BF998">
      <w:pPr>
        <w:spacing w:line="400" w:lineRule="exact"/>
        <w:jc w:val="left"/>
        <w:rPr>
          <w:rFonts w:ascii="宋体" w:hAnsi="Calibri"/>
          <w:bCs/>
          <w:color w:val="auto"/>
          <w:sz w:val="24"/>
          <w:highlight w:val="none"/>
        </w:rPr>
      </w:pPr>
      <w:r>
        <w:rPr>
          <w:rFonts w:ascii="宋体" w:hAnsi="宋体"/>
          <w:bCs/>
          <w:color w:val="auto"/>
          <w:sz w:val="24"/>
          <w:highlight w:val="none"/>
        </w:rPr>
        <w:t xml:space="preserve">1.1.2 </w:t>
      </w:r>
      <w:r>
        <w:rPr>
          <w:rFonts w:hint="eastAsia" w:ascii="宋体" w:hAnsi="宋体"/>
          <w:bCs/>
          <w:color w:val="auto"/>
          <w:sz w:val="24"/>
          <w:highlight w:val="none"/>
        </w:rPr>
        <w:t>合同当事人和人员</w:t>
      </w:r>
    </w:p>
    <w:p w14:paraId="16F397E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本项补充第</w:t>
      </w:r>
      <w:r>
        <w:rPr>
          <w:rFonts w:ascii="宋体" w:hAnsi="宋体"/>
          <w:bCs/>
          <w:color w:val="auto"/>
          <w:sz w:val="24"/>
          <w:highlight w:val="none"/>
        </w:rPr>
        <w:t xml:space="preserve"> 1.1.2.8 </w:t>
      </w:r>
      <w:r>
        <w:rPr>
          <w:rFonts w:hint="eastAsia" w:ascii="宋体" w:hAnsi="宋体"/>
          <w:bCs/>
          <w:color w:val="auto"/>
          <w:sz w:val="24"/>
          <w:highlight w:val="none"/>
        </w:rPr>
        <w:t>目：</w:t>
      </w:r>
    </w:p>
    <w:p w14:paraId="77580198">
      <w:pPr>
        <w:spacing w:line="400" w:lineRule="exact"/>
        <w:jc w:val="left"/>
        <w:rPr>
          <w:rFonts w:ascii="宋体" w:hAnsi="Calibri"/>
          <w:bCs/>
          <w:color w:val="auto"/>
          <w:sz w:val="24"/>
          <w:highlight w:val="none"/>
        </w:rPr>
      </w:pPr>
      <w:r>
        <w:rPr>
          <w:rFonts w:ascii="宋体" w:hAnsi="宋体"/>
          <w:bCs/>
          <w:color w:val="auto"/>
          <w:sz w:val="24"/>
          <w:highlight w:val="none"/>
        </w:rPr>
        <w:t xml:space="preserve">1.1.2.8 </w:t>
      </w:r>
      <w:r>
        <w:rPr>
          <w:rFonts w:hint="eastAsia" w:ascii="宋体" w:hAnsi="宋体"/>
          <w:bCs/>
          <w:color w:val="auto"/>
          <w:sz w:val="24"/>
          <w:highlight w:val="none"/>
        </w:rPr>
        <w:t>承包人技术负责人：指由承包人书面委派常驻现场负责管理本合同工程的总工程师或技术总负责人。</w:t>
      </w:r>
    </w:p>
    <w:p w14:paraId="4A08C7C4">
      <w:pPr>
        <w:spacing w:line="400" w:lineRule="exact"/>
        <w:jc w:val="left"/>
        <w:rPr>
          <w:rFonts w:ascii="宋体" w:hAnsi="Calibri"/>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工程和设备</w:t>
      </w:r>
    </w:p>
    <w:p w14:paraId="3312F346">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1.1.3.4 </w:t>
      </w:r>
      <w:r>
        <w:rPr>
          <w:rFonts w:hint="eastAsia" w:ascii="宋体" w:hAnsi="宋体"/>
          <w:bCs/>
          <w:color w:val="auto"/>
          <w:sz w:val="24"/>
          <w:highlight w:val="none"/>
        </w:rPr>
        <w:t>目细化为：</w:t>
      </w:r>
    </w:p>
    <w:p w14:paraId="17F0339A">
      <w:pPr>
        <w:spacing w:line="400" w:lineRule="exact"/>
        <w:jc w:val="left"/>
        <w:rPr>
          <w:rFonts w:ascii="宋体" w:hAnsi="Calibri"/>
          <w:bCs/>
          <w:color w:val="auto"/>
          <w:sz w:val="24"/>
          <w:highlight w:val="none"/>
        </w:rPr>
      </w:pPr>
      <w:r>
        <w:rPr>
          <w:rFonts w:hint="eastAsia" w:ascii="宋体" w:hAnsi="宋体"/>
          <w:bCs/>
          <w:color w:val="auto"/>
          <w:sz w:val="24"/>
          <w:highlight w:val="none"/>
        </w:rPr>
        <w:t>单位工程：指在建设项目中，根据签订的合同，具有独立施工条件的工程。</w:t>
      </w:r>
    </w:p>
    <w:p w14:paraId="1F3B19E3">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1.1.3.10 </w:t>
      </w:r>
      <w:r>
        <w:rPr>
          <w:rFonts w:hint="eastAsia" w:ascii="宋体" w:hAnsi="宋体"/>
          <w:bCs/>
          <w:color w:val="auto"/>
          <w:sz w:val="24"/>
          <w:highlight w:val="none"/>
        </w:rPr>
        <w:t>目细化为：</w:t>
      </w:r>
    </w:p>
    <w:p w14:paraId="7E4BC290">
      <w:pPr>
        <w:spacing w:line="400" w:lineRule="exact"/>
        <w:jc w:val="left"/>
        <w:rPr>
          <w:rFonts w:ascii="宋体" w:hAnsi="Calibri"/>
          <w:bCs/>
          <w:color w:val="auto"/>
          <w:sz w:val="24"/>
          <w:highlight w:val="none"/>
        </w:rPr>
      </w:pPr>
      <w:r>
        <w:rPr>
          <w:rFonts w:hint="eastAsia" w:ascii="宋体" w:hAnsi="宋体"/>
          <w:bCs/>
          <w:color w:val="auto"/>
          <w:sz w:val="24"/>
          <w:highlight w:val="none"/>
        </w:rPr>
        <w:t>永久占地：指为实施本合同工程而需要的一切永久占用的土地，包括公路两侧路权范围内的用地。</w:t>
      </w:r>
    </w:p>
    <w:p w14:paraId="23CB4A30">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1.1.3.11 </w:t>
      </w:r>
      <w:r>
        <w:rPr>
          <w:rFonts w:hint="eastAsia" w:ascii="宋体" w:hAnsi="宋体"/>
          <w:bCs/>
          <w:color w:val="auto"/>
          <w:sz w:val="24"/>
          <w:highlight w:val="none"/>
        </w:rPr>
        <w:t>目细化为：</w:t>
      </w:r>
    </w:p>
    <w:p w14:paraId="5988389A">
      <w:pPr>
        <w:spacing w:line="400" w:lineRule="exact"/>
        <w:jc w:val="left"/>
        <w:rPr>
          <w:rFonts w:ascii="宋体" w:hAnsi="Calibri"/>
          <w:bCs/>
          <w:color w:val="auto"/>
          <w:sz w:val="24"/>
          <w:highlight w:val="none"/>
        </w:rPr>
      </w:pPr>
      <w:r>
        <w:rPr>
          <w:rFonts w:hint="eastAsia" w:ascii="宋体" w:hAnsi="宋体"/>
          <w:bCs/>
          <w:color w:val="auto"/>
          <w:sz w:val="24"/>
          <w:highlight w:val="none"/>
        </w:rPr>
        <w:t>临时占地：指为实施本合同工程而需要的一切临时占用的土地，包括施工所用的临时支线、便道、便桥和现场的临时出入通道，以及生产（办公、）生活等临时设施用地等。</w:t>
      </w:r>
    </w:p>
    <w:p w14:paraId="152A0C66">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本项补充第</w:t>
      </w:r>
      <w:r>
        <w:rPr>
          <w:rFonts w:ascii="宋体" w:hAnsi="宋体"/>
          <w:bCs/>
          <w:color w:val="auto"/>
          <w:sz w:val="24"/>
          <w:highlight w:val="none"/>
        </w:rPr>
        <w:t xml:space="preserve"> 1.1.3.12 </w:t>
      </w:r>
      <w:r>
        <w:rPr>
          <w:rFonts w:hint="eastAsia" w:ascii="宋体" w:hAnsi="宋体"/>
          <w:bCs/>
          <w:color w:val="auto"/>
          <w:sz w:val="24"/>
          <w:highlight w:val="none"/>
        </w:rPr>
        <w:t>目、第</w:t>
      </w:r>
      <w:r>
        <w:rPr>
          <w:rFonts w:ascii="宋体" w:hAnsi="宋体"/>
          <w:bCs/>
          <w:color w:val="auto"/>
          <w:sz w:val="24"/>
          <w:highlight w:val="none"/>
        </w:rPr>
        <w:t xml:space="preserve"> 1.1.3.13  </w:t>
      </w:r>
      <w:r>
        <w:rPr>
          <w:rFonts w:hint="eastAsia" w:ascii="宋体" w:hAnsi="宋体"/>
          <w:bCs/>
          <w:color w:val="auto"/>
          <w:sz w:val="24"/>
          <w:highlight w:val="none"/>
        </w:rPr>
        <w:t>目：</w:t>
      </w:r>
    </w:p>
    <w:p w14:paraId="05723240">
      <w:pPr>
        <w:spacing w:line="400" w:lineRule="exact"/>
        <w:jc w:val="left"/>
        <w:rPr>
          <w:rFonts w:ascii="宋体" w:hAnsi="Calibri"/>
          <w:bCs/>
          <w:color w:val="auto"/>
          <w:sz w:val="24"/>
          <w:highlight w:val="none"/>
        </w:rPr>
      </w:pPr>
      <w:r>
        <w:rPr>
          <w:rFonts w:ascii="宋体" w:hAnsi="宋体"/>
          <w:bCs/>
          <w:color w:val="auto"/>
          <w:sz w:val="24"/>
          <w:highlight w:val="none"/>
        </w:rPr>
        <w:t xml:space="preserve">1.1.3.12 </w:t>
      </w:r>
      <w:r>
        <w:rPr>
          <w:rFonts w:hint="eastAsia" w:ascii="宋体" w:hAnsi="宋体"/>
          <w:bCs/>
          <w:color w:val="auto"/>
          <w:sz w:val="24"/>
          <w:highlight w:val="none"/>
        </w:rPr>
        <w:t>分部工程：指在单位工程中，按结构部位、路段长度及施工特点或施工任务划分的若干个工程。</w:t>
      </w:r>
    </w:p>
    <w:p w14:paraId="51486EC5">
      <w:pPr>
        <w:spacing w:line="400" w:lineRule="exact"/>
        <w:jc w:val="left"/>
        <w:rPr>
          <w:rFonts w:ascii="宋体" w:hAnsi="Calibri"/>
          <w:bCs/>
          <w:color w:val="auto"/>
          <w:sz w:val="24"/>
          <w:highlight w:val="none"/>
        </w:rPr>
      </w:pPr>
      <w:r>
        <w:rPr>
          <w:rFonts w:ascii="宋体" w:hAnsi="宋体"/>
          <w:bCs/>
          <w:color w:val="auto"/>
          <w:sz w:val="24"/>
          <w:highlight w:val="none"/>
        </w:rPr>
        <w:t xml:space="preserve">1.1.3.13 </w:t>
      </w:r>
      <w:r>
        <w:rPr>
          <w:rFonts w:hint="eastAsia" w:ascii="宋体" w:hAnsi="宋体"/>
          <w:bCs/>
          <w:color w:val="auto"/>
          <w:sz w:val="24"/>
          <w:highlight w:val="none"/>
        </w:rPr>
        <w:t>分项工程：指在分部工程中，按不同的施工方法、材料、工序及路段长度等划分的若干个工程。</w:t>
      </w:r>
    </w:p>
    <w:p w14:paraId="621C4B81">
      <w:pPr>
        <w:spacing w:line="400" w:lineRule="exact"/>
        <w:jc w:val="left"/>
        <w:rPr>
          <w:rFonts w:ascii="宋体" w:hAnsi="Calibri"/>
          <w:bCs/>
          <w:color w:val="auto"/>
          <w:sz w:val="24"/>
          <w:highlight w:val="none"/>
        </w:rPr>
      </w:pPr>
      <w:r>
        <w:rPr>
          <w:rFonts w:ascii="宋体" w:hAnsi="宋体"/>
          <w:bCs/>
          <w:color w:val="auto"/>
          <w:sz w:val="24"/>
          <w:highlight w:val="none"/>
        </w:rPr>
        <w:t xml:space="preserve">1.1.6 </w:t>
      </w:r>
      <w:r>
        <w:rPr>
          <w:rFonts w:hint="eastAsia" w:ascii="宋体" w:hAnsi="宋体"/>
          <w:bCs/>
          <w:color w:val="auto"/>
          <w:sz w:val="24"/>
          <w:highlight w:val="none"/>
        </w:rPr>
        <w:t>其他</w:t>
      </w:r>
    </w:p>
    <w:p w14:paraId="0E0A00F5">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本项补充第</w:t>
      </w:r>
      <w:r>
        <w:rPr>
          <w:rFonts w:ascii="宋体" w:hAnsi="宋体"/>
          <w:bCs/>
          <w:color w:val="auto"/>
          <w:sz w:val="24"/>
          <w:highlight w:val="none"/>
        </w:rPr>
        <w:t xml:space="preserve"> 1.1.6.2 </w:t>
      </w:r>
      <w:r>
        <w:rPr>
          <w:rFonts w:hint="eastAsia" w:ascii="宋体" w:hAnsi="宋体"/>
          <w:bCs/>
          <w:color w:val="auto"/>
          <w:sz w:val="24"/>
          <w:highlight w:val="none"/>
        </w:rPr>
        <w:t>目～第</w:t>
      </w:r>
      <w:r>
        <w:rPr>
          <w:rFonts w:ascii="宋体" w:hAnsi="宋体"/>
          <w:bCs/>
          <w:color w:val="auto"/>
          <w:sz w:val="24"/>
          <w:highlight w:val="none"/>
        </w:rPr>
        <w:t xml:space="preserve"> 1.1.6.9 </w:t>
      </w:r>
      <w:r>
        <w:rPr>
          <w:rFonts w:hint="eastAsia" w:ascii="宋体" w:hAnsi="宋体"/>
          <w:bCs/>
          <w:color w:val="auto"/>
          <w:sz w:val="24"/>
          <w:highlight w:val="none"/>
        </w:rPr>
        <w:t>目：</w:t>
      </w:r>
    </w:p>
    <w:p w14:paraId="081814C5">
      <w:pPr>
        <w:spacing w:line="400" w:lineRule="exact"/>
        <w:jc w:val="left"/>
        <w:rPr>
          <w:rFonts w:ascii="宋体" w:hAnsi="Calibri"/>
          <w:bCs/>
          <w:color w:val="auto"/>
          <w:sz w:val="24"/>
          <w:highlight w:val="none"/>
        </w:rPr>
      </w:pPr>
      <w:r>
        <w:rPr>
          <w:rFonts w:ascii="宋体" w:hAnsi="宋体"/>
          <w:bCs/>
          <w:color w:val="auto"/>
          <w:sz w:val="24"/>
          <w:highlight w:val="none"/>
        </w:rPr>
        <w:t xml:space="preserve">1.1.6.2 </w:t>
      </w:r>
      <w:r>
        <w:rPr>
          <w:rFonts w:hint="eastAsia" w:ascii="宋体" w:hAnsi="宋体"/>
          <w:bCs/>
          <w:color w:val="auto"/>
          <w:sz w:val="24"/>
          <w:highlight w:val="none"/>
        </w:rPr>
        <w:t>竣工验收：指《公路工程竣（交）工验收办法》中的竣工验收。通用合同条款中“国家验收”一词具有相同含义。</w:t>
      </w:r>
    </w:p>
    <w:p w14:paraId="3B93ACCB">
      <w:pPr>
        <w:spacing w:line="400" w:lineRule="exact"/>
        <w:jc w:val="left"/>
        <w:rPr>
          <w:rFonts w:ascii="宋体" w:hAnsi="Calibri"/>
          <w:bCs/>
          <w:color w:val="auto"/>
          <w:sz w:val="24"/>
          <w:highlight w:val="none"/>
        </w:rPr>
      </w:pPr>
      <w:r>
        <w:rPr>
          <w:rFonts w:ascii="宋体" w:hAnsi="宋体"/>
          <w:bCs/>
          <w:color w:val="auto"/>
          <w:sz w:val="24"/>
          <w:highlight w:val="none"/>
        </w:rPr>
        <w:t>1.1.6.3</w:t>
      </w:r>
      <w:r>
        <w:rPr>
          <w:rFonts w:hint="eastAsia" w:ascii="宋体" w:hAnsi="宋体"/>
          <w:bCs/>
          <w:color w:val="auto"/>
          <w:sz w:val="24"/>
          <w:highlight w:val="none"/>
        </w:rPr>
        <w:t>交工：指《公路工程竣（交）工验收办法》中的交工。通用合同条款中“竣工”</w:t>
      </w:r>
    </w:p>
    <w:p w14:paraId="1A756550">
      <w:pPr>
        <w:spacing w:line="400" w:lineRule="exact"/>
        <w:jc w:val="left"/>
        <w:rPr>
          <w:rFonts w:ascii="宋体" w:hAnsi="Calibri"/>
          <w:bCs/>
          <w:color w:val="auto"/>
          <w:sz w:val="24"/>
          <w:highlight w:val="none"/>
        </w:rPr>
      </w:pPr>
      <w:r>
        <w:rPr>
          <w:rFonts w:hint="eastAsia" w:ascii="宋体" w:hAnsi="宋体"/>
          <w:bCs/>
          <w:color w:val="auto"/>
          <w:sz w:val="24"/>
          <w:highlight w:val="none"/>
        </w:rPr>
        <w:t>一词具有相同含义。</w:t>
      </w:r>
    </w:p>
    <w:p w14:paraId="252112D5">
      <w:pPr>
        <w:spacing w:line="400" w:lineRule="exact"/>
        <w:jc w:val="left"/>
        <w:rPr>
          <w:rFonts w:ascii="宋体" w:hAnsi="Calibri"/>
          <w:bCs/>
          <w:color w:val="auto"/>
          <w:sz w:val="24"/>
          <w:highlight w:val="none"/>
        </w:rPr>
      </w:pPr>
      <w:r>
        <w:rPr>
          <w:rFonts w:ascii="宋体" w:hAnsi="宋体"/>
          <w:bCs/>
          <w:color w:val="auto"/>
          <w:sz w:val="24"/>
          <w:highlight w:val="none"/>
        </w:rPr>
        <w:t xml:space="preserve">1.1.6.4 </w:t>
      </w:r>
      <w:r>
        <w:rPr>
          <w:rFonts w:hint="eastAsia" w:ascii="宋体" w:hAnsi="宋体"/>
          <w:bCs/>
          <w:color w:val="auto"/>
          <w:sz w:val="24"/>
          <w:highlight w:val="none"/>
        </w:rPr>
        <w:t>交工验收：指《公路工程竣（交）工验收办法》中的交工验收。通用合同条款中“竣工验收”一词具有相同含义。</w:t>
      </w:r>
    </w:p>
    <w:p w14:paraId="3B03ED84">
      <w:pPr>
        <w:spacing w:line="400" w:lineRule="exact"/>
        <w:jc w:val="left"/>
        <w:rPr>
          <w:rFonts w:ascii="宋体" w:hAnsi="Calibri"/>
          <w:bCs/>
          <w:color w:val="auto"/>
          <w:sz w:val="24"/>
          <w:highlight w:val="none"/>
        </w:rPr>
      </w:pPr>
      <w:r>
        <w:rPr>
          <w:rFonts w:ascii="宋体" w:hAnsi="宋体"/>
          <w:bCs/>
          <w:color w:val="auto"/>
          <w:sz w:val="24"/>
          <w:highlight w:val="none"/>
        </w:rPr>
        <w:t xml:space="preserve">1.1.6.5 </w:t>
      </w:r>
      <w:r>
        <w:rPr>
          <w:rFonts w:hint="eastAsia" w:ascii="宋体" w:hAnsi="宋体"/>
          <w:bCs/>
          <w:color w:val="auto"/>
          <w:sz w:val="24"/>
          <w:highlight w:val="none"/>
        </w:rPr>
        <w:t>交工验收证书：指《公路工程竣（交）工验收办法》中的交工验收证书。通用合同条款中“工程接收证书”一词具有相同含义。</w:t>
      </w:r>
    </w:p>
    <w:p w14:paraId="01F18C26">
      <w:pPr>
        <w:spacing w:line="400" w:lineRule="exact"/>
        <w:jc w:val="left"/>
        <w:rPr>
          <w:rFonts w:ascii="宋体" w:hAnsi="Calibri"/>
          <w:bCs/>
          <w:color w:val="auto"/>
          <w:sz w:val="24"/>
          <w:highlight w:val="none"/>
        </w:rPr>
      </w:pPr>
      <w:r>
        <w:rPr>
          <w:rFonts w:ascii="宋体" w:hAnsi="宋体"/>
          <w:bCs/>
          <w:color w:val="auto"/>
          <w:sz w:val="24"/>
          <w:highlight w:val="none"/>
        </w:rPr>
        <w:t>1.1.6.6</w:t>
      </w:r>
      <w:r>
        <w:rPr>
          <w:rFonts w:ascii="宋体" w:hAnsi="宋体"/>
          <w:bCs/>
          <w:color w:val="auto"/>
          <w:sz w:val="24"/>
          <w:highlight w:val="none"/>
        </w:rPr>
        <w:tab/>
      </w:r>
      <w:r>
        <w:rPr>
          <w:rFonts w:hint="eastAsia" w:ascii="宋体" w:hAnsi="宋体"/>
          <w:bCs/>
          <w:color w:val="auto"/>
          <w:sz w:val="24"/>
          <w:highlight w:val="none"/>
        </w:rPr>
        <w:t>转包：指承包人违反法律和不履行合同规定的责任和义务，将中标工程全部委</w:t>
      </w:r>
    </w:p>
    <w:p w14:paraId="4780171C">
      <w:pPr>
        <w:spacing w:line="400" w:lineRule="exact"/>
        <w:jc w:val="left"/>
        <w:rPr>
          <w:rFonts w:ascii="宋体" w:hAnsi="Calibri"/>
          <w:bCs/>
          <w:color w:val="auto"/>
          <w:sz w:val="24"/>
          <w:highlight w:val="none"/>
        </w:rPr>
      </w:pPr>
      <w:r>
        <w:rPr>
          <w:rFonts w:hint="eastAsia" w:ascii="宋体" w:hAnsi="宋体"/>
          <w:bCs/>
          <w:color w:val="auto"/>
          <w:sz w:val="24"/>
          <w:highlight w:val="none"/>
        </w:rPr>
        <w:t>托或以专业分包的名义将中标工程肢解后全部委托给其他施工企业施工的行为。</w:t>
      </w:r>
    </w:p>
    <w:p w14:paraId="09D7BC65">
      <w:pPr>
        <w:spacing w:line="400" w:lineRule="exact"/>
        <w:jc w:val="left"/>
        <w:rPr>
          <w:rFonts w:ascii="宋体" w:hAnsi="Calibri"/>
          <w:bCs/>
          <w:color w:val="auto"/>
          <w:sz w:val="24"/>
          <w:highlight w:val="none"/>
        </w:rPr>
      </w:pPr>
      <w:r>
        <w:rPr>
          <w:rFonts w:ascii="宋体" w:hAnsi="宋体"/>
          <w:bCs/>
          <w:color w:val="auto"/>
          <w:sz w:val="24"/>
          <w:highlight w:val="none"/>
        </w:rPr>
        <w:t xml:space="preserve">1.1.6.7 </w:t>
      </w:r>
      <w:r>
        <w:rPr>
          <w:rFonts w:hint="eastAsia" w:ascii="宋体" w:hAnsi="宋体"/>
          <w:bCs/>
          <w:color w:val="auto"/>
          <w:sz w:val="24"/>
          <w:highlight w:val="none"/>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12AD1F08">
      <w:pPr>
        <w:spacing w:line="400" w:lineRule="exact"/>
        <w:jc w:val="left"/>
        <w:rPr>
          <w:rFonts w:ascii="宋体" w:hAnsi="Calibri"/>
          <w:bCs/>
          <w:color w:val="auto"/>
          <w:sz w:val="24"/>
          <w:highlight w:val="none"/>
        </w:rPr>
      </w:pPr>
      <w:r>
        <w:rPr>
          <w:rFonts w:ascii="宋体" w:hAnsi="宋体"/>
          <w:bCs/>
          <w:color w:val="auto"/>
          <w:sz w:val="24"/>
          <w:highlight w:val="none"/>
        </w:rPr>
        <w:t>1.1.6.8</w:t>
      </w:r>
      <w:r>
        <w:rPr>
          <w:rFonts w:hint="eastAsia" w:ascii="宋体" w:hAnsi="宋体"/>
          <w:bCs/>
          <w:color w:val="auto"/>
          <w:sz w:val="24"/>
          <w:highlight w:val="none"/>
        </w:rPr>
        <w:t>劳务分包：指承包人与具有施工劳务资质的劳务企业签订劳务分包合同，由劳务</w:t>
      </w:r>
    </w:p>
    <w:p w14:paraId="3928BBD4">
      <w:pPr>
        <w:spacing w:line="400" w:lineRule="exact"/>
        <w:jc w:val="left"/>
        <w:rPr>
          <w:rFonts w:ascii="宋体" w:hAnsi="Calibri"/>
          <w:bCs/>
          <w:color w:val="auto"/>
          <w:sz w:val="24"/>
          <w:highlight w:val="none"/>
        </w:rPr>
      </w:pPr>
      <w:r>
        <w:rPr>
          <w:rFonts w:hint="eastAsia" w:ascii="宋体" w:hAnsi="宋体"/>
          <w:bCs/>
          <w:color w:val="auto"/>
          <w:sz w:val="24"/>
          <w:highlight w:val="none"/>
        </w:rPr>
        <w:t>企业提供劳务人员及机具，由承包人统一组织施工、统一控制工程质量、施工进度、材料采购、生产安全的施工行为。</w:t>
      </w:r>
    </w:p>
    <w:p w14:paraId="0567D64A">
      <w:pPr>
        <w:spacing w:line="400" w:lineRule="exact"/>
        <w:jc w:val="left"/>
        <w:rPr>
          <w:rFonts w:ascii="宋体" w:hAnsi="Calibri"/>
          <w:bCs/>
          <w:color w:val="auto"/>
          <w:sz w:val="24"/>
          <w:highlight w:val="none"/>
        </w:rPr>
      </w:pPr>
      <w:r>
        <w:rPr>
          <w:rFonts w:ascii="宋体" w:hAnsi="宋体"/>
          <w:bCs/>
          <w:color w:val="auto"/>
          <w:sz w:val="24"/>
          <w:highlight w:val="none"/>
        </w:rPr>
        <w:t>1.1.6.9</w:t>
      </w:r>
      <w:r>
        <w:rPr>
          <w:rFonts w:ascii="宋体" w:hAnsi="宋体"/>
          <w:bCs/>
          <w:color w:val="auto"/>
          <w:sz w:val="24"/>
          <w:highlight w:val="none"/>
        </w:rPr>
        <w:tab/>
      </w:r>
      <w:r>
        <w:rPr>
          <w:rFonts w:hint="eastAsia" w:ascii="宋体" w:hAnsi="宋体"/>
          <w:bCs/>
          <w:color w:val="auto"/>
          <w:sz w:val="24"/>
          <w:highlight w:val="none"/>
        </w:rPr>
        <w:t>雇用民工：指承包人与具有相应劳动能力的自然人签订劳动合同，由承包人统</w:t>
      </w:r>
    </w:p>
    <w:p w14:paraId="5962D974">
      <w:pPr>
        <w:spacing w:line="400" w:lineRule="exact"/>
        <w:jc w:val="left"/>
        <w:rPr>
          <w:rFonts w:ascii="宋体" w:hAnsi="Calibri"/>
          <w:bCs/>
          <w:color w:val="auto"/>
          <w:sz w:val="24"/>
          <w:highlight w:val="none"/>
        </w:rPr>
      </w:pPr>
      <w:r>
        <w:rPr>
          <w:rFonts w:hint="eastAsia" w:ascii="宋体" w:hAnsi="宋体"/>
          <w:bCs/>
          <w:color w:val="auto"/>
          <w:sz w:val="24"/>
          <w:highlight w:val="none"/>
        </w:rPr>
        <w:t>一组织管理，从事分项工程施工或配套工程施工的行为。</w:t>
      </w:r>
    </w:p>
    <w:p w14:paraId="7270F2C4">
      <w:pPr>
        <w:spacing w:line="400" w:lineRule="exact"/>
        <w:jc w:val="left"/>
        <w:rPr>
          <w:rFonts w:ascii="宋体" w:hAnsi="Calibri"/>
          <w:bCs/>
          <w:color w:val="auto"/>
          <w:sz w:val="24"/>
          <w:highlight w:val="none"/>
        </w:rPr>
      </w:pPr>
      <w:r>
        <w:rPr>
          <w:rFonts w:ascii="宋体" w:hAnsi="宋体"/>
          <w:bCs/>
          <w:color w:val="auto"/>
          <w:sz w:val="24"/>
          <w:highlight w:val="none"/>
        </w:rPr>
        <w:t xml:space="preserve">1.4 </w:t>
      </w:r>
      <w:r>
        <w:rPr>
          <w:rFonts w:hint="eastAsia" w:ascii="宋体" w:hAnsi="宋体"/>
          <w:bCs/>
          <w:color w:val="auto"/>
          <w:sz w:val="24"/>
          <w:highlight w:val="none"/>
        </w:rPr>
        <w:t>合同文件的优先顺序</w:t>
      </w:r>
    </w:p>
    <w:p w14:paraId="3552782F">
      <w:pPr>
        <w:spacing w:line="400" w:lineRule="exact"/>
        <w:jc w:val="left"/>
        <w:rPr>
          <w:rFonts w:ascii="宋体" w:hAnsi="Calibri"/>
          <w:bCs/>
          <w:color w:val="auto"/>
          <w:sz w:val="24"/>
          <w:highlight w:val="none"/>
        </w:rPr>
      </w:pPr>
      <w:r>
        <w:rPr>
          <w:rFonts w:hint="eastAsia" w:ascii="宋体" w:hAnsi="宋体"/>
          <w:bCs/>
          <w:color w:val="auto"/>
          <w:sz w:val="24"/>
          <w:highlight w:val="none"/>
        </w:rPr>
        <w:t>本款约定为：</w:t>
      </w:r>
    </w:p>
    <w:p w14:paraId="4EDDE85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组成合同的各项文件应互相解释，互为说明。除项目专用合同条款另有约定外，解释合同文件的优先顺序如下：</w:t>
      </w:r>
    </w:p>
    <w:p w14:paraId="7FD72E6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）合同协议书及各种合同附件（含评标期间和合同谈判过程中的澄清文件和补充资料；）</w:t>
      </w:r>
    </w:p>
    <w:p w14:paraId="31527E8C">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）中标通知书；</w:t>
      </w:r>
    </w:p>
    <w:p w14:paraId="003AA4EB">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）投标函及投标函附录；</w:t>
      </w:r>
    </w:p>
    <w:p w14:paraId="7D802E5D">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）项目专用合同条款；</w:t>
      </w:r>
    </w:p>
    <w:p w14:paraId="74EC1CD2">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）公路工程专用合同条款；</w:t>
      </w:r>
    </w:p>
    <w:p w14:paraId="5A0E25D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）通用合同条款；</w:t>
      </w:r>
    </w:p>
    <w:p w14:paraId="338DD4D2">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）技术规范和工程量清单计量规则；</w:t>
      </w:r>
    </w:p>
    <w:p w14:paraId="6B06DB9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）图纸；</w:t>
      </w:r>
    </w:p>
    <w:p w14:paraId="3A101ED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9</w:t>
      </w:r>
      <w:r>
        <w:rPr>
          <w:rFonts w:hint="eastAsia" w:ascii="宋体" w:hAnsi="宋体"/>
          <w:bCs/>
          <w:color w:val="auto"/>
          <w:sz w:val="24"/>
          <w:highlight w:val="none"/>
        </w:rPr>
        <w:t>）已标价工程量清单；</w:t>
      </w:r>
    </w:p>
    <w:p w14:paraId="05616AAB">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10</w:t>
      </w:r>
      <w:r>
        <w:rPr>
          <w:rFonts w:hint="eastAsia" w:ascii="宋体" w:hAnsi="宋体"/>
          <w:bCs/>
          <w:color w:val="auto"/>
          <w:sz w:val="24"/>
          <w:highlight w:val="none"/>
        </w:rPr>
        <w:t>）承包人有关人员、设备投入的承诺及投标文件中的施工组织设计；</w:t>
      </w:r>
    </w:p>
    <w:p w14:paraId="0D51614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11</w:t>
      </w:r>
      <w:r>
        <w:rPr>
          <w:rFonts w:hint="eastAsia" w:ascii="宋体" w:hAnsi="宋体"/>
          <w:bCs/>
          <w:color w:val="auto"/>
          <w:sz w:val="24"/>
          <w:highlight w:val="none"/>
        </w:rPr>
        <w:t>）其他合同文件。</w:t>
      </w:r>
    </w:p>
    <w:p w14:paraId="423E0F76">
      <w:pPr>
        <w:spacing w:line="400" w:lineRule="exact"/>
        <w:jc w:val="left"/>
        <w:rPr>
          <w:rFonts w:ascii="宋体" w:hAnsi="Calibri"/>
          <w:bCs/>
          <w:color w:val="auto"/>
          <w:sz w:val="24"/>
          <w:highlight w:val="none"/>
        </w:rPr>
      </w:pPr>
      <w:r>
        <w:rPr>
          <w:rFonts w:ascii="宋体" w:hAnsi="宋体"/>
          <w:bCs/>
          <w:color w:val="auto"/>
          <w:sz w:val="24"/>
          <w:highlight w:val="none"/>
        </w:rPr>
        <w:t xml:space="preserve">1.5 </w:t>
      </w:r>
      <w:r>
        <w:rPr>
          <w:rFonts w:hint="eastAsia" w:ascii="宋体" w:hAnsi="宋体"/>
          <w:bCs/>
          <w:color w:val="auto"/>
          <w:sz w:val="24"/>
          <w:highlight w:val="none"/>
        </w:rPr>
        <w:t>合同协议书</w:t>
      </w:r>
    </w:p>
    <w:p w14:paraId="3F657D55">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17F7B70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制备本合同文件的费用由发包人承担。在合同协议书签订并生效之前，投标函和中标通知书将对双方具有约束力。</w:t>
      </w:r>
    </w:p>
    <w:p w14:paraId="6C444943">
      <w:pPr>
        <w:spacing w:line="400" w:lineRule="exact"/>
        <w:jc w:val="left"/>
        <w:rPr>
          <w:rFonts w:ascii="宋体" w:hAnsi="Calibri"/>
          <w:bCs/>
          <w:color w:val="auto"/>
          <w:sz w:val="24"/>
          <w:highlight w:val="none"/>
        </w:rPr>
      </w:pPr>
      <w:r>
        <w:rPr>
          <w:rFonts w:ascii="宋体" w:hAnsi="宋体"/>
          <w:bCs/>
          <w:color w:val="auto"/>
          <w:sz w:val="24"/>
          <w:highlight w:val="none"/>
        </w:rPr>
        <w:t xml:space="preserve">1.6 </w:t>
      </w:r>
      <w:r>
        <w:rPr>
          <w:rFonts w:hint="eastAsia" w:ascii="宋体" w:hAnsi="宋体"/>
          <w:bCs/>
          <w:color w:val="auto"/>
          <w:sz w:val="24"/>
          <w:highlight w:val="none"/>
        </w:rPr>
        <w:t>图纸和承包人文件</w:t>
      </w:r>
    </w:p>
    <w:p w14:paraId="6A8C2592">
      <w:pPr>
        <w:spacing w:line="400" w:lineRule="exact"/>
        <w:jc w:val="left"/>
        <w:rPr>
          <w:rFonts w:ascii="宋体" w:hAnsi="Calibri"/>
          <w:bCs/>
          <w:color w:val="auto"/>
          <w:sz w:val="24"/>
          <w:highlight w:val="none"/>
        </w:rPr>
      </w:pPr>
      <w:r>
        <w:rPr>
          <w:rFonts w:ascii="宋体" w:hAnsi="宋体"/>
          <w:bCs/>
          <w:color w:val="auto"/>
          <w:sz w:val="24"/>
          <w:highlight w:val="none"/>
        </w:rPr>
        <w:t xml:space="preserve">1.6.1 </w:t>
      </w:r>
      <w:r>
        <w:rPr>
          <w:rFonts w:hint="eastAsia" w:ascii="宋体" w:hAnsi="宋体"/>
          <w:bCs/>
          <w:color w:val="auto"/>
          <w:sz w:val="24"/>
          <w:highlight w:val="none"/>
        </w:rPr>
        <w:t>图纸的提供</w:t>
      </w:r>
    </w:p>
    <w:p w14:paraId="44C494CE">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6B11531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监理人应自发出中标通知书之日起</w:t>
      </w:r>
      <w:r>
        <w:rPr>
          <w:rFonts w:ascii="宋体" w:hAnsi="宋体"/>
          <w:bCs/>
          <w:color w:val="auto"/>
          <w:sz w:val="24"/>
          <w:highlight w:val="none"/>
        </w:rPr>
        <w:t xml:space="preserve"> 42 </w:t>
      </w:r>
      <w:r>
        <w:rPr>
          <w:rFonts w:hint="eastAsia" w:ascii="宋体" w:hAnsi="宋体"/>
          <w:bCs/>
          <w:color w:val="auto"/>
          <w:sz w:val="24"/>
          <w:highlight w:val="none"/>
        </w:rPr>
        <w:t>天内，向承包人免费提供由发包人或其委托的设计单位设计的施工图纸、技术规范和其他技术资料</w:t>
      </w:r>
      <w:r>
        <w:rPr>
          <w:rFonts w:ascii="宋体" w:hAnsi="宋体"/>
          <w:bCs/>
          <w:color w:val="auto"/>
          <w:sz w:val="24"/>
          <w:highlight w:val="none"/>
        </w:rPr>
        <w:t xml:space="preserve"> 2 </w:t>
      </w:r>
      <w:r>
        <w:rPr>
          <w:rFonts w:hint="eastAsia" w:ascii="宋体" w:hAnsi="宋体"/>
          <w:bCs/>
          <w:color w:val="auto"/>
          <w:sz w:val="24"/>
          <w:highlight w:val="none"/>
        </w:rPr>
        <w:t>份，并向承包人进行技术交底。承包人需要更多份数时，应自费复制。由于发包人未按时提供图纸造成工期延误的，按第</w:t>
      </w:r>
      <w:r>
        <w:rPr>
          <w:rFonts w:ascii="宋体" w:hAnsi="宋体"/>
          <w:bCs/>
          <w:color w:val="auto"/>
          <w:sz w:val="24"/>
          <w:highlight w:val="none"/>
        </w:rPr>
        <w:t xml:space="preserve"> 11.3 </w:t>
      </w:r>
      <w:r>
        <w:rPr>
          <w:rFonts w:hint="eastAsia" w:ascii="宋体" w:hAnsi="宋体"/>
          <w:bCs/>
          <w:color w:val="auto"/>
          <w:sz w:val="24"/>
          <w:highlight w:val="none"/>
        </w:rPr>
        <w:t>款的约定办理。</w:t>
      </w:r>
    </w:p>
    <w:p w14:paraId="2E86E1BD">
      <w:pPr>
        <w:spacing w:line="400" w:lineRule="exact"/>
        <w:jc w:val="left"/>
        <w:rPr>
          <w:rFonts w:ascii="宋体" w:hAnsi="Calibri"/>
          <w:bCs/>
          <w:color w:val="auto"/>
          <w:sz w:val="24"/>
          <w:highlight w:val="none"/>
        </w:rPr>
      </w:pPr>
      <w:r>
        <w:rPr>
          <w:rFonts w:ascii="宋体" w:hAnsi="宋体"/>
          <w:bCs/>
          <w:color w:val="auto"/>
          <w:sz w:val="24"/>
          <w:highlight w:val="none"/>
        </w:rPr>
        <w:t xml:space="preserve">1.6.2 </w:t>
      </w:r>
      <w:r>
        <w:rPr>
          <w:rFonts w:hint="eastAsia" w:ascii="宋体" w:hAnsi="宋体"/>
          <w:bCs/>
          <w:color w:val="auto"/>
          <w:sz w:val="24"/>
          <w:highlight w:val="none"/>
        </w:rPr>
        <w:t>承包人提供的文件</w:t>
      </w:r>
    </w:p>
    <w:p w14:paraId="1FF74C35">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190933D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有下列情形之一的，承包人应免费向监理人提交相关部分工程的施工图纸</w:t>
      </w:r>
      <w:r>
        <w:rPr>
          <w:rFonts w:ascii="宋体" w:hAnsi="宋体"/>
          <w:bCs/>
          <w:color w:val="auto"/>
          <w:sz w:val="24"/>
          <w:highlight w:val="none"/>
        </w:rPr>
        <w:t xml:space="preserve"> 3 </w:t>
      </w:r>
      <w:r>
        <w:rPr>
          <w:rFonts w:hint="eastAsia" w:ascii="宋体" w:hAnsi="宋体"/>
          <w:bCs/>
          <w:color w:val="auto"/>
          <w:sz w:val="24"/>
          <w:highlight w:val="none"/>
        </w:rPr>
        <w:t>份，并附必要的计算书、技术资料，或施工工艺图、设备安装图及安装设备的使用和维护手册各</w:t>
      </w:r>
      <w:r>
        <w:rPr>
          <w:rFonts w:ascii="宋体" w:hAnsi="宋体"/>
          <w:bCs/>
          <w:color w:val="auto"/>
          <w:sz w:val="24"/>
          <w:highlight w:val="none"/>
        </w:rPr>
        <w:t xml:space="preserve"> 2 </w:t>
      </w:r>
      <w:r>
        <w:rPr>
          <w:rFonts w:hint="eastAsia" w:ascii="宋体" w:hAnsi="宋体"/>
          <w:bCs/>
          <w:color w:val="auto"/>
          <w:sz w:val="24"/>
          <w:highlight w:val="none"/>
        </w:rPr>
        <w:t>份供监理人批准。</w:t>
      </w:r>
    </w:p>
    <w:p w14:paraId="79286DB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）为使第</w:t>
      </w:r>
      <w:r>
        <w:rPr>
          <w:rFonts w:ascii="宋体" w:hAnsi="宋体"/>
          <w:bCs/>
          <w:color w:val="auto"/>
          <w:sz w:val="24"/>
          <w:highlight w:val="none"/>
        </w:rPr>
        <w:t xml:space="preserve"> 1.6.1 </w:t>
      </w:r>
      <w:r>
        <w:rPr>
          <w:rFonts w:hint="eastAsia" w:ascii="宋体" w:hAnsi="宋体"/>
          <w:bCs/>
          <w:color w:val="auto"/>
          <w:sz w:val="24"/>
          <w:highlight w:val="none"/>
        </w:rPr>
        <w:t>项所述的施工图纸适合于经施工测量后的纵、横断面；</w:t>
      </w:r>
    </w:p>
    <w:p w14:paraId="3E45152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）为使第</w:t>
      </w:r>
      <w:r>
        <w:rPr>
          <w:rFonts w:ascii="宋体" w:hAnsi="宋体"/>
          <w:bCs/>
          <w:color w:val="auto"/>
          <w:sz w:val="24"/>
          <w:highlight w:val="none"/>
        </w:rPr>
        <w:t xml:space="preserve"> 1.6.1 </w:t>
      </w:r>
      <w:r>
        <w:rPr>
          <w:rFonts w:hint="eastAsia" w:ascii="宋体" w:hAnsi="宋体"/>
          <w:bCs/>
          <w:color w:val="auto"/>
          <w:sz w:val="24"/>
          <w:highlight w:val="none"/>
        </w:rPr>
        <w:t>项所述的施工图纸适合于现场具体地形；</w:t>
      </w:r>
    </w:p>
    <w:p w14:paraId="599147D0">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）为使第</w:t>
      </w:r>
      <w:r>
        <w:rPr>
          <w:rFonts w:ascii="宋体" w:hAnsi="宋体"/>
          <w:bCs/>
          <w:color w:val="auto"/>
          <w:sz w:val="24"/>
          <w:highlight w:val="none"/>
        </w:rPr>
        <w:t xml:space="preserve"> 1.6.1 </w:t>
      </w:r>
      <w:r>
        <w:rPr>
          <w:rFonts w:hint="eastAsia" w:ascii="宋体" w:hAnsi="宋体"/>
          <w:bCs/>
          <w:color w:val="auto"/>
          <w:sz w:val="24"/>
          <w:highlight w:val="none"/>
        </w:rPr>
        <w:t>项所述的施工图纸适合于因尺寸与位置变化而引起局部变更；</w:t>
      </w:r>
    </w:p>
    <w:p w14:paraId="666F821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）由于合同要求与施工需要。</w:t>
      </w:r>
    </w:p>
    <w:p w14:paraId="7FB340D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此类图纸应按监理人规定的格式和图幅绘制。监理人在收到由承包人绘制的上述工程、工艺图纸、计算书和有关技术资料后</w:t>
      </w:r>
      <w:r>
        <w:rPr>
          <w:rFonts w:ascii="宋体" w:hAnsi="宋体"/>
          <w:bCs/>
          <w:color w:val="auto"/>
          <w:sz w:val="24"/>
          <w:highlight w:val="none"/>
        </w:rPr>
        <w:t xml:space="preserve"> 14 </w:t>
      </w:r>
      <w:r>
        <w:rPr>
          <w:rFonts w:hint="eastAsia" w:ascii="宋体" w:hAnsi="宋体"/>
          <w:bCs/>
          <w:color w:val="auto"/>
          <w:sz w:val="24"/>
          <w:highlight w:val="none"/>
        </w:rPr>
        <w:t>天内应予批准或提出修改要求，承包人应按监理人提出的要求作出修改，重新向监理人提交，监理人应在</w:t>
      </w:r>
      <w:r>
        <w:rPr>
          <w:rFonts w:ascii="宋体" w:hAnsi="宋体"/>
          <w:bCs/>
          <w:color w:val="auto"/>
          <w:sz w:val="24"/>
          <w:highlight w:val="none"/>
        </w:rPr>
        <w:t xml:space="preserve"> 7 </w:t>
      </w:r>
      <w:r>
        <w:rPr>
          <w:rFonts w:hint="eastAsia" w:ascii="宋体" w:hAnsi="宋体"/>
          <w:bCs/>
          <w:color w:val="auto"/>
          <w:sz w:val="24"/>
          <w:highlight w:val="none"/>
        </w:rPr>
        <w:t>天内批准或提出进一步的修改意见。</w:t>
      </w:r>
    </w:p>
    <w:p w14:paraId="2230E517">
      <w:pPr>
        <w:spacing w:line="400" w:lineRule="exact"/>
        <w:jc w:val="left"/>
        <w:rPr>
          <w:rFonts w:ascii="宋体" w:hAnsi="Calibri"/>
          <w:bCs/>
          <w:color w:val="auto"/>
          <w:sz w:val="24"/>
          <w:highlight w:val="none"/>
        </w:rPr>
      </w:pPr>
      <w:r>
        <w:rPr>
          <w:rFonts w:ascii="宋体" w:hAnsi="宋体"/>
          <w:bCs/>
          <w:color w:val="auto"/>
          <w:sz w:val="24"/>
          <w:highlight w:val="none"/>
        </w:rPr>
        <w:t>1.6.4</w:t>
      </w:r>
      <w:r>
        <w:rPr>
          <w:rFonts w:ascii="宋体" w:hAnsi="宋体"/>
          <w:bCs/>
          <w:color w:val="auto"/>
          <w:sz w:val="24"/>
          <w:highlight w:val="none"/>
        </w:rPr>
        <w:tab/>
      </w:r>
      <w:r>
        <w:rPr>
          <w:rFonts w:hint="eastAsia" w:ascii="宋体" w:hAnsi="宋体"/>
          <w:bCs/>
          <w:color w:val="auto"/>
          <w:sz w:val="24"/>
          <w:highlight w:val="none"/>
        </w:rPr>
        <w:t>图纸的错误</w:t>
      </w:r>
    </w:p>
    <w:p w14:paraId="29A15CC4">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1B27504C">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A2FCE40">
      <w:pPr>
        <w:spacing w:line="400" w:lineRule="exact"/>
        <w:jc w:val="left"/>
        <w:rPr>
          <w:rFonts w:ascii="宋体" w:hAnsi="Calibri"/>
          <w:bCs/>
          <w:color w:val="auto"/>
          <w:sz w:val="24"/>
          <w:highlight w:val="none"/>
        </w:rPr>
      </w:pPr>
      <w:r>
        <w:rPr>
          <w:rFonts w:ascii="宋体" w:hAnsi="宋体"/>
          <w:bCs/>
          <w:color w:val="auto"/>
          <w:sz w:val="24"/>
          <w:highlight w:val="none"/>
        </w:rPr>
        <w:t xml:space="preserve">1.9 </w:t>
      </w:r>
      <w:r>
        <w:rPr>
          <w:rFonts w:hint="eastAsia" w:ascii="宋体" w:hAnsi="宋体"/>
          <w:bCs/>
          <w:color w:val="auto"/>
          <w:sz w:val="24"/>
          <w:highlight w:val="none"/>
        </w:rPr>
        <w:t>严禁贿赂</w:t>
      </w:r>
    </w:p>
    <w:p w14:paraId="535AE872">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507964F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25E28DB8">
      <w:pPr>
        <w:spacing w:line="400" w:lineRule="exact"/>
        <w:jc w:val="left"/>
        <w:rPr>
          <w:rFonts w:ascii="宋体" w:hAnsi="Calibri"/>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发包人义务</w:t>
      </w:r>
    </w:p>
    <w:p w14:paraId="451D7055">
      <w:pPr>
        <w:spacing w:line="400" w:lineRule="exact"/>
        <w:jc w:val="left"/>
        <w:rPr>
          <w:rFonts w:ascii="宋体" w:hAnsi="Calibri"/>
          <w:bCs/>
          <w:color w:val="auto"/>
          <w:sz w:val="24"/>
          <w:highlight w:val="none"/>
        </w:rPr>
      </w:pPr>
      <w:r>
        <w:rPr>
          <w:rFonts w:ascii="宋体" w:hAnsi="宋体"/>
          <w:bCs/>
          <w:color w:val="auto"/>
          <w:sz w:val="24"/>
          <w:highlight w:val="none"/>
        </w:rPr>
        <w:t>2.3</w:t>
      </w:r>
      <w:r>
        <w:rPr>
          <w:rFonts w:ascii="宋体" w:hAnsi="宋体"/>
          <w:bCs/>
          <w:color w:val="auto"/>
          <w:sz w:val="24"/>
          <w:highlight w:val="none"/>
        </w:rPr>
        <w:tab/>
      </w:r>
      <w:r>
        <w:rPr>
          <w:rFonts w:hint="eastAsia" w:ascii="宋体" w:hAnsi="宋体"/>
          <w:bCs/>
          <w:color w:val="auto"/>
          <w:sz w:val="24"/>
          <w:highlight w:val="none"/>
        </w:rPr>
        <w:t>提供施工场地</w:t>
      </w:r>
    </w:p>
    <w:p w14:paraId="49A7F81D">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本款补充：发包人负责办理永久占地的征用及与之有关的拆迁赔偿手续并承担相关费用。承包人在按第</w:t>
      </w:r>
      <w:r>
        <w:rPr>
          <w:rFonts w:ascii="宋体" w:hAnsi="宋体"/>
          <w:bCs/>
          <w:color w:val="auto"/>
          <w:sz w:val="24"/>
          <w:highlight w:val="none"/>
        </w:rPr>
        <w:t xml:space="preserve"> 10 </w:t>
      </w:r>
      <w:r>
        <w:rPr>
          <w:rFonts w:hint="eastAsia" w:ascii="宋体" w:hAnsi="宋体"/>
          <w:bCs/>
          <w:color w:val="auto"/>
          <w:sz w:val="24"/>
          <w:highlight w:val="none"/>
        </w:rPr>
        <w:t>条规定提交施工进度计划的同时，应向监理人提交一份按施工先后次序所需的永久占地计划。监理人应自收到此计划之日起的</w:t>
      </w:r>
      <w:r>
        <w:rPr>
          <w:rFonts w:ascii="宋体" w:hAnsi="宋体"/>
          <w:bCs/>
          <w:color w:val="auto"/>
          <w:sz w:val="24"/>
          <w:highlight w:val="none"/>
        </w:rPr>
        <w:t xml:space="preserve"> 14 </w:t>
      </w:r>
      <w:r>
        <w:rPr>
          <w:rFonts w:hint="eastAsia" w:ascii="宋体" w:hAnsi="宋体"/>
          <w:bCs/>
          <w:color w:val="auto"/>
          <w:sz w:val="24"/>
          <w:highlight w:val="none"/>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36242B7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E1E61B8">
      <w:pPr>
        <w:spacing w:line="400" w:lineRule="exact"/>
        <w:jc w:val="left"/>
        <w:rPr>
          <w:rFonts w:ascii="宋体" w:hAnsi="Calibri"/>
          <w:bCs/>
          <w:color w:val="auto"/>
          <w:sz w:val="24"/>
          <w:highlight w:val="none"/>
        </w:rPr>
      </w:pPr>
    </w:p>
    <w:p w14:paraId="697C3EDA">
      <w:pPr>
        <w:spacing w:line="400" w:lineRule="exact"/>
        <w:jc w:val="left"/>
        <w:rPr>
          <w:rFonts w:ascii="宋体" w:hAnsi="Calibri"/>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监理人</w:t>
      </w:r>
    </w:p>
    <w:p w14:paraId="76DB2C2B">
      <w:pPr>
        <w:spacing w:line="400" w:lineRule="exact"/>
        <w:jc w:val="left"/>
        <w:rPr>
          <w:rFonts w:ascii="宋体" w:hAnsi="Calibri"/>
          <w:bCs/>
          <w:color w:val="auto"/>
          <w:sz w:val="24"/>
          <w:highlight w:val="none"/>
        </w:rPr>
      </w:pPr>
      <w:r>
        <w:rPr>
          <w:rFonts w:ascii="宋体" w:hAnsi="宋体"/>
          <w:bCs/>
          <w:color w:val="auto"/>
          <w:sz w:val="24"/>
          <w:highlight w:val="none"/>
        </w:rPr>
        <w:t xml:space="preserve">3.1 </w:t>
      </w:r>
      <w:r>
        <w:rPr>
          <w:rFonts w:hint="eastAsia" w:ascii="宋体" w:hAnsi="宋体"/>
          <w:bCs/>
          <w:color w:val="auto"/>
          <w:sz w:val="24"/>
          <w:highlight w:val="none"/>
        </w:rPr>
        <w:t>监理人的职责和权力</w:t>
      </w:r>
    </w:p>
    <w:p w14:paraId="1BEAF7DE">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3.1.1 </w:t>
      </w:r>
      <w:r>
        <w:rPr>
          <w:rFonts w:hint="eastAsia" w:ascii="宋体" w:hAnsi="宋体"/>
          <w:bCs/>
          <w:color w:val="auto"/>
          <w:sz w:val="24"/>
          <w:highlight w:val="none"/>
        </w:rPr>
        <w:t>项补充：</w:t>
      </w:r>
    </w:p>
    <w:p w14:paraId="49DBF64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监理人在行使下列权力前需要经发包人事先批准：</w:t>
      </w:r>
    </w:p>
    <w:p w14:paraId="3D3EBF43">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）根据第</w:t>
      </w:r>
      <w:r>
        <w:rPr>
          <w:rFonts w:ascii="宋体" w:hAnsi="宋体"/>
          <w:bCs/>
          <w:color w:val="auto"/>
          <w:sz w:val="24"/>
          <w:highlight w:val="none"/>
        </w:rPr>
        <w:t xml:space="preserve"> 4.3 </w:t>
      </w:r>
      <w:r>
        <w:rPr>
          <w:rFonts w:hint="eastAsia" w:ascii="宋体" w:hAnsi="宋体"/>
          <w:bCs/>
          <w:color w:val="auto"/>
          <w:sz w:val="24"/>
          <w:highlight w:val="none"/>
        </w:rPr>
        <w:t>款，同意分包本工程的某些非关键性工作或者适合专业化队伍施工的专项工程；</w:t>
      </w:r>
    </w:p>
    <w:p w14:paraId="5B058955">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）确定第</w:t>
      </w:r>
      <w:r>
        <w:rPr>
          <w:rFonts w:ascii="宋体" w:hAnsi="宋体"/>
          <w:bCs/>
          <w:color w:val="auto"/>
          <w:sz w:val="24"/>
          <w:highlight w:val="none"/>
        </w:rPr>
        <w:t xml:space="preserve"> 4.11 </w:t>
      </w:r>
      <w:r>
        <w:rPr>
          <w:rFonts w:hint="eastAsia" w:ascii="宋体" w:hAnsi="宋体"/>
          <w:bCs/>
          <w:color w:val="auto"/>
          <w:sz w:val="24"/>
          <w:highlight w:val="none"/>
        </w:rPr>
        <w:t>款下产生的费用增加额；</w:t>
      </w:r>
    </w:p>
    <w:p w14:paraId="1B8B8680">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）根据第</w:t>
      </w:r>
      <w:r>
        <w:rPr>
          <w:rFonts w:ascii="宋体" w:hAnsi="宋体"/>
          <w:bCs/>
          <w:color w:val="auto"/>
          <w:sz w:val="24"/>
          <w:highlight w:val="none"/>
        </w:rPr>
        <w:t xml:space="preserve"> 11.1 </w:t>
      </w:r>
      <w:r>
        <w:rPr>
          <w:rFonts w:hint="eastAsia" w:ascii="宋体" w:hAnsi="宋体"/>
          <w:bCs/>
          <w:color w:val="auto"/>
          <w:sz w:val="24"/>
          <w:highlight w:val="none"/>
        </w:rPr>
        <w:t>款、第</w:t>
      </w:r>
      <w:r>
        <w:rPr>
          <w:rFonts w:ascii="宋体" w:hAnsi="宋体"/>
          <w:bCs/>
          <w:color w:val="auto"/>
          <w:sz w:val="24"/>
          <w:highlight w:val="none"/>
        </w:rPr>
        <w:t xml:space="preserve"> 12.3 </w:t>
      </w:r>
      <w:r>
        <w:rPr>
          <w:rFonts w:hint="eastAsia" w:ascii="宋体" w:hAnsi="宋体"/>
          <w:bCs/>
          <w:color w:val="auto"/>
          <w:sz w:val="24"/>
          <w:highlight w:val="none"/>
        </w:rPr>
        <w:t>款、第</w:t>
      </w:r>
      <w:r>
        <w:rPr>
          <w:rFonts w:ascii="宋体" w:hAnsi="宋体"/>
          <w:bCs/>
          <w:color w:val="auto"/>
          <w:sz w:val="24"/>
          <w:highlight w:val="none"/>
        </w:rPr>
        <w:t xml:space="preserve"> 12.4 </w:t>
      </w:r>
      <w:r>
        <w:rPr>
          <w:rFonts w:hint="eastAsia" w:ascii="宋体" w:hAnsi="宋体"/>
          <w:bCs/>
          <w:color w:val="auto"/>
          <w:sz w:val="24"/>
          <w:highlight w:val="none"/>
        </w:rPr>
        <w:t>款发布开工通知、暂停施工指示或复工通知；</w:t>
      </w:r>
    </w:p>
    <w:p w14:paraId="0B105377">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）决定第</w:t>
      </w:r>
      <w:r>
        <w:rPr>
          <w:rFonts w:ascii="宋体" w:hAnsi="宋体"/>
          <w:bCs/>
          <w:color w:val="auto"/>
          <w:sz w:val="24"/>
          <w:highlight w:val="none"/>
        </w:rPr>
        <w:t xml:space="preserve"> 11.3 </w:t>
      </w:r>
      <w:r>
        <w:rPr>
          <w:rFonts w:hint="eastAsia" w:ascii="宋体" w:hAnsi="宋体"/>
          <w:bCs/>
          <w:color w:val="auto"/>
          <w:sz w:val="24"/>
          <w:highlight w:val="none"/>
        </w:rPr>
        <w:t>款、第</w:t>
      </w:r>
      <w:r>
        <w:rPr>
          <w:rFonts w:ascii="宋体" w:hAnsi="宋体"/>
          <w:bCs/>
          <w:color w:val="auto"/>
          <w:sz w:val="24"/>
          <w:highlight w:val="none"/>
        </w:rPr>
        <w:t xml:space="preserve"> 11.4 </w:t>
      </w:r>
      <w:r>
        <w:rPr>
          <w:rFonts w:hint="eastAsia" w:ascii="宋体" w:hAnsi="宋体"/>
          <w:bCs/>
          <w:color w:val="auto"/>
          <w:sz w:val="24"/>
          <w:highlight w:val="none"/>
        </w:rPr>
        <w:t>款下的工期延长；</w:t>
      </w:r>
    </w:p>
    <w:p w14:paraId="55FE6C14">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）审查批准技术方案或设计的变更；</w:t>
      </w:r>
    </w:p>
    <w:p w14:paraId="107F25B2">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）根据第</w:t>
      </w:r>
      <w:r>
        <w:rPr>
          <w:rFonts w:ascii="宋体" w:hAnsi="宋体"/>
          <w:bCs/>
          <w:color w:val="auto"/>
          <w:sz w:val="24"/>
          <w:highlight w:val="none"/>
        </w:rPr>
        <w:t xml:space="preserve"> 15.3 </w:t>
      </w:r>
      <w:r>
        <w:rPr>
          <w:rFonts w:hint="eastAsia" w:ascii="宋体" w:hAnsi="宋体"/>
          <w:bCs/>
          <w:color w:val="auto"/>
          <w:sz w:val="24"/>
          <w:highlight w:val="none"/>
        </w:rPr>
        <w:t>款发出的变更指示，其单项工程变更或累计变更涉及的金额超过了项目专用合同条款数据表中规定的金额；</w:t>
      </w:r>
    </w:p>
    <w:p w14:paraId="6C04AEB0">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）确定第</w:t>
      </w:r>
      <w:r>
        <w:rPr>
          <w:rFonts w:ascii="宋体" w:hAnsi="宋体"/>
          <w:bCs/>
          <w:color w:val="auto"/>
          <w:sz w:val="24"/>
          <w:highlight w:val="none"/>
        </w:rPr>
        <w:t xml:space="preserve"> 15.4 </w:t>
      </w:r>
      <w:r>
        <w:rPr>
          <w:rFonts w:hint="eastAsia" w:ascii="宋体" w:hAnsi="宋体"/>
          <w:bCs/>
          <w:color w:val="auto"/>
          <w:sz w:val="24"/>
          <w:highlight w:val="none"/>
        </w:rPr>
        <w:t>款下变更工作的单价；</w:t>
      </w:r>
    </w:p>
    <w:p w14:paraId="060784B7">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）按照第</w:t>
      </w:r>
      <w:r>
        <w:rPr>
          <w:rFonts w:ascii="宋体" w:hAnsi="宋体"/>
          <w:bCs/>
          <w:color w:val="auto"/>
          <w:sz w:val="24"/>
          <w:highlight w:val="none"/>
        </w:rPr>
        <w:t xml:space="preserve"> 15.6 </w:t>
      </w:r>
      <w:r>
        <w:rPr>
          <w:rFonts w:hint="eastAsia" w:ascii="宋体" w:hAnsi="宋体"/>
          <w:bCs/>
          <w:color w:val="auto"/>
          <w:sz w:val="24"/>
          <w:highlight w:val="none"/>
        </w:rPr>
        <w:t>款决定有关暂列金额的使用；</w:t>
      </w:r>
    </w:p>
    <w:p w14:paraId="62C41897">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9</w:t>
      </w:r>
      <w:r>
        <w:rPr>
          <w:rFonts w:hint="eastAsia" w:ascii="宋体" w:hAnsi="宋体"/>
          <w:bCs/>
          <w:color w:val="auto"/>
          <w:sz w:val="24"/>
          <w:highlight w:val="none"/>
        </w:rPr>
        <w:t>）确定第</w:t>
      </w:r>
      <w:r>
        <w:rPr>
          <w:rFonts w:ascii="宋体" w:hAnsi="宋体"/>
          <w:bCs/>
          <w:color w:val="auto"/>
          <w:sz w:val="24"/>
          <w:highlight w:val="none"/>
        </w:rPr>
        <w:t xml:space="preserve"> 15.8 </w:t>
      </w:r>
      <w:r>
        <w:rPr>
          <w:rFonts w:hint="eastAsia" w:ascii="宋体" w:hAnsi="宋体"/>
          <w:bCs/>
          <w:color w:val="auto"/>
          <w:sz w:val="24"/>
          <w:highlight w:val="none"/>
        </w:rPr>
        <w:t>款下的暂估价金额；</w:t>
      </w:r>
    </w:p>
    <w:p w14:paraId="63B576E5">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10</w:t>
      </w:r>
      <w:r>
        <w:rPr>
          <w:rFonts w:hint="eastAsia" w:ascii="宋体" w:hAnsi="宋体"/>
          <w:bCs/>
          <w:color w:val="auto"/>
          <w:sz w:val="24"/>
          <w:highlight w:val="none"/>
        </w:rPr>
        <w:t>）确定第</w:t>
      </w:r>
      <w:r>
        <w:rPr>
          <w:rFonts w:ascii="宋体" w:hAnsi="宋体"/>
          <w:bCs/>
          <w:color w:val="auto"/>
          <w:sz w:val="24"/>
          <w:highlight w:val="none"/>
        </w:rPr>
        <w:t xml:space="preserve"> 23.1 </w:t>
      </w:r>
      <w:r>
        <w:rPr>
          <w:rFonts w:hint="eastAsia" w:ascii="宋体" w:hAnsi="宋体"/>
          <w:bCs/>
          <w:color w:val="auto"/>
          <w:sz w:val="24"/>
          <w:highlight w:val="none"/>
        </w:rPr>
        <w:t>款下的索赔额。</w:t>
      </w:r>
    </w:p>
    <w:p w14:paraId="5073300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宋体" w:hAnsi="宋体"/>
          <w:bCs/>
          <w:color w:val="auto"/>
          <w:sz w:val="24"/>
          <w:highlight w:val="none"/>
        </w:rPr>
        <w:t xml:space="preserve"> 3.5 </w:t>
      </w:r>
      <w:r>
        <w:rPr>
          <w:rFonts w:hint="eastAsia" w:ascii="宋体" w:hAnsi="宋体"/>
          <w:bCs/>
          <w:color w:val="auto"/>
          <w:sz w:val="24"/>
          <w:highlight w:val="none"/>
        </w:rPr>
        <w:t>款商定或确定。</w:t>
      </w:r>
    </w:p>
    <w:p w14:paraId="12DC6E32">
      <w:pPr>
        <w:spacing w:line="400" w:lineRule="exact"/>
        <w:jc w:val="left"/>
        <w:rPr>
          <w:rFonts w:ascii="宋体" w:hAnsi="Calibri"/>
          <w:bCs/>
          <w:color w:val="auto"/>
          <w:sz w:val="24"/>
          <w:highlight w:val="none"/>
        </w:rPr>
      </w:pPr>
      <w:r>
        <w:rPr>
          <w:rFonts w:ascii="宋体" w:hAnsi="宋体"/>
          <w:bCs/>
          <w:color w:val="auto"/>
          <w:sz w:val="24"/>
          <w:highlight w:val="none"/>
        </w:rPr>
        <w:t xml:space="preserve">3.5 </w:t>
      </w:r>
      <w:r>
        <w:rPr>
          <w:rFonts w:hint="eastAsia" w:ascii="宋体" w:hAnsi="宋体"/>
          <w:bCs/>
          <w:color w:val="auto"/>
          <w:sz w:val="24"/>
          <w:highlight w:val="none"/>
        </w:rPr>
        <w:t>商定或确定</w:t>
      </w:r>
    </w:p>
    <w:p w14:paraId="3E84F0DF">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3.5.1 </w:t>
      </w:r>
      <w:r>
        <w:rPr>
          <w:rFonts w:hint="eastAsia" w:ascii="宋体" w:hAnsi="宋体"/>
          <w:bCs/>
          <w:color w:val="auto"/>
          <w:sz w:val="24"/>
          <w:highlight w:val="none"/>
        </w:rPr>
        <w:t>项补充：</w:t>
      </w:r>
    </w:p>
    <w:p w14:paraId="077A06B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如果这项商定或确定导致费用增加和（或）工期延长，或者涉及确定变更工程的价格，则总监理工程师在发出通知前，应征得发包人的同意。</w:t>
      </w:r>
    </w:p>
    <w:p w14:paraId="209EE543">
      <w:pPr>
        <w:spacing w:line="400" w:lineRule="exact"/>
        <w:jc w:val="left"/>
        <w:rPr>
          <w:rFonts w:ascii="宋体" w:hAnsi="Calibri"/>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承包人</w:t>
      </w:r>
    </w:p>
    <w:p w14:paraId="2DD2DA87">
      <w:pPr>
        <w:spacing w:line="400" w:lineRule="exact"/>
        <w:jc w:val="left"/>
        <w:rPr>
          <w:rFonts w:ascii="宋体" w:hAnsi="Calibri"/>
          <w:bCs/>
          <w:color w:val="auto"/>
          <w:sz w:val="24"/>
          <w:highlight w:val="none"/>
        </w:rPr>
      </w:pPr>
      <w:r>
        <w:rPr>
          <w:rFonts w:ascii="宋体" w:hAnsi="宋体"/>
          <w:bCs/>
          <w:color w:val="auto"/>
          <w:sz w:val="24"/>
          <w:highlight w:val="none"/>
        </w:rPr>
        <w:t xml:space="preserve">4.1 </w:t>
      </w:r>
      <w:r>
        <w:rPr>
          <w:rFonts w:hint="eastAsia" w:ascii="宋体" w:hAnsi="宋体"/>
          <w:bCs/>
          <w:color w:val="auto"/>
          <w:sz w:val="24"/>
          <w:highlight w:val="none"/>
        </w:rPr>
        <w:t>承包人的一般义务</w:t>
      </w:r>
    </w:p>
    <w:p w14:paraId="3AE2F43C">
      <w:pPr>
        <w:spacing w:line="400" w:lineRule="exact"/>
        <w:jc w:val="left"/>
        <w:rPr>
          <w:rFonts w:ascii="宋体" w:hAnsi="Calibri"/>
          <w:bCs/>
          <w:color w:val="auto"/>
          <w:sz w:val="24"/>
          <w:highlight w:val="none"/>
        </w:rPr>
      </w:pPr>
      <w:r>
        <w:rPr>
          <w:rFonts w:ascii="宋体" w:hAnsi="宋体"/>
          <w:bCs/>
          <w:color w:val="auto"/>
          <w:sz w:val="24"/>
          <w:highlight w:val="none"/>
        </w:rPr>
        <w:t xml:space="preserve">4.1.9 </w:t>
      </w:r>
      <w:r>
        <w:rPr>
          <w:rFonts w:hint="eastAsia" w:ascii="宋体" w:hAnsi="宋体"/>
          <w:bCs/>
          <w:color w:val="auto"/>
          <w:sz w:val="24"/>
          <w:highlight w:val="none"/>
        </w:rPr>
        <w:t>工程的维护和照管</w:t>
      </w:r>
    </w:p>
    <w:p w14:paraId="50F2CD52">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044443E7">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A66A09E">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）在承包人负责照管与维护期间，如果本工程或材料、设备等发生损失或损害，除不可抗力原因之外，承包人均应自费弥补，并达到合同要求。承包人还应对按第</w:t>
      </w:r>
      <w:r>
        <w:rPr>
          <w:rFonts w:ascii="宋体" w:hAnsi="宋体"/>
          <w:bCs/>
          <w:color w:val="auto"/>
          <w:sz w:val="24"/>
          <w:highlight w:val="none"/>
        </w:rPr>
        <w:t xml:space="preserve"> 19 </w:t>
      </w:r>
      <w:r>
        <w:rPr>
          <w:rFonts w:hint="eastAsia" w:ascii="宋体" w:hAnsi="宋体"/>
          <w:bCs/>
          <w:color w:val="auto"/>
          <w:sz w:val="24"/>
          <w:highlight w:val="none"/>
        </w:rPr>
        <w:t>条规定而实施作业过程中由承包人造成的对工程的任何损失或损害负责。</w:t>
      </w:r>
    </w:p>
    <w:p w14:paraId="68EA2656">
      <w:pPr>
        <w:spacing w:line="400" w:lineRule="exact"/>
        <w:jc w:val="left"/>
        <w:rPr>
          <w:rFonts w:ascii="宋体" w:hAnsi="Calibri"/>
          <w:bCs/>
          <w:color w:val="auto"/>
          <w:sz w:val="24"/>
          <w:highlight w:val="none"/>
        </w:rPr>
      </w:pPr>
    </w:p>
    <w:p w14:paraId="38E649D2">
      <w:pPr>
        <w:spacing w:line="400" w:lineRule="exact"/>
        <w:jc w:val="left"/>
        <w:rPr>
          <w:rFonts w:ascii="宋体" w:hAnsi="Calibri"/>
          <w:bCs/>
          <w:color w:val="auto"/>
          <w:sz w:val="24"/>
          <w:highlight w:val="none"/>
        </w:rPr>
      </w:pPr>
      <w:r>
        <w:rPr>
          <w:rFonts w:ascii="宋体" w:hAnsi="宋体"/>
          <w:bCs/>
          <w:color w:val="auto"/>
          <w:sz w:val="24"/>
          <w:highlight w:val="none"/>
        </w:rPr>
        <w:t xml:space="preserve">4.1.10 </w:t>
      </w:r>
      <w:r>
        <w:rPr>
          <w:rFonts w:hint="eastAsia" w:ascii="宋体" w:hAnsi="宋体"/>
          <w:bCs/>
          <w:color w:val="auto"/>
          <w:sz w:val="24"/>
          <w:highlight w:val="none"/>
        </w:rPr>
        <w:t>其他义务</w:t>
      </w:r>
    </w:p>
    <w:p w14:paraId="3438602C">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6AD2C9D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临时占地由承包人向当地政府土地管理部门申请，并办理租用手续，承包人按有关规定直接支付其费用，发包人对此将予以协调。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宋体" w:hAnsi="宋体"/>
          <w:bCs/>
          <w:color w:val="auto"/>
          <w:sz w:val="24"/>
          <w:highlight w:val="none"/>
        </w:rPr>
        <w:t xml:space="preserve"> 100 </w:t>
      </w:r>
      <w:r>
        <w:rPr>
          <w:rFonts w:hint="eastAsia" w:ascii="宋体" w:hAnsi="宋体"/>
          <w:bCs/>
          <w:color w:val="auto"/>
          <w:sz w:val="24"/>
          <w:highlight w:val="none"/>
        </w:rPr>
        <w:t>章中由承包人按总额报价。</w:t>
      </w:r>
    </w:p>
    <w:p w14:paraId="6D10232E">
      <w:pPr>
        <w:spacing w:line="400" w:lineRule="exact"/>
        <w:jc w:val="left"/>
        <w:rPr>
          <w:rFonts w:ascii="宋体" w:hAnsi="Calibri"/>
          <w:bCs/>
          <w:color w:val="auto"/>
          <w:sz w:val="24"/>
          <w:highlight w:val="none"/>
        </w:rPr>
      </w:pPr>
      <w:r>
        <w:rPr>
          <w:rFonts w:hint="eastAsia" w:ascii="宋体" w:hAnsi="宋体"/>
          <w:bCs/>
          <w:color w:val="auto"/>
          <w:sz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6700A83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A5DDC4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71CD16D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3F3DE95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工资支付表应如实记录支付单位、支付时间、支付对象、支付数额、支付对象的身份证号和签字等信息。民工花名册和工资支付表应报监理人备查。</w:t>
      </w:r>
    </w:p>
    <w:p w14:paraId="7D4CB9F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95094D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宋体" w:hAnsi="宋体"/>
          <w:bCs/>
          <w:color w:val="auto"/>
          <w:sz w:val="24"/>
          <w:highlight w:val="none"/>
        </w:rPr>
        <w:t xml:space="preserve"> 100 </w:t>
      </w:r>
      <w:r>
        <w:rPr>
          <w:rFonts w:hint="eastAsia" w:ascii="宋体" w:hAnsi="宋体"/>
          <w:bCs/>
          <w:color w:val="auto"/>
          <w:sz w:val="24"/>
          <w:highlight w:val="none"/>
        </w:rPr>
        <w:t>章中。</w:t>
      </w:r>
    </w:p>
    <w:p w14:paraId="5D302C0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）承包人应履行项目专用合同条款约定的其他义务。</w:t>
      </w:r>
    </w:p>
    <w:p w14:paraId="0AE8D22C">
      <w:pPr>
        <w:spacing w:line="400" w:lineRule="exact"/>
        <w:jc w:val="left"/>
        <w:rPr>
          <w:rFonts w:ascii="宋体" w:hAnsi="Calibri"/>
          <w:bCs/>
          <w:color w:val="auto"/>
          <w:sz w:val="24"/>
          <w:highlight w:val="none"/>
        </w:rPr>
      </w:pPr>
      <w:r>
        <w:rPr>
          <w:rFonts w:ascii="宋体" w:hAnsi="宋体"/>
          <w:bCs/>
          <w:color w:val="auto"/>
          <w:sz w:val="24"/>
          <w:highlight w:val="none"/>
        </w:rPr>
        <w:t xml:space="preserve">4.2 </w:t>
      </w:r>
      <w:r>
        <w:rPr>
          <w:rFonts w:hint="eastAsia" w:ascii="宋体" w:hAnsi="宋体"/>
          <w:bCs/>
          <w:color w:val="auto"/>
          <w:sz w:val="24"/>
          <w:highlight w:val="none"/>
        </w:rPr>
        <w:t>履约保证金</w:t>
      </w:r>
    </w:p>
    <w:p w14:paraId="638F4EB7">
      <w:pPr>
        <w:spacing w:line="400" w:lineRule="exact"/>
        <w:jc w:val="left"/>
        <w:rPr>
          <w:rFonts w:ascii="宋体" w:hAnsi="Calibri"/>
          <w:bCs/>
          <w:color w:val="auto"/>
          <w:sz w:val="24"/>
          <w:highlight w:val="none"/>
        </w:rPr>
      </w:pPr>
      <w:r>
        <w:rPr>
          <w:rFonts w:hint="eastAsia" w:ascii="宋体" w:hAnsi="宋体"/>
          <w:bCs/>
          <w:color w:val="auto"/>
          <w:sz w:val="24"/>
          <w:highlight w:val="none"/>
        </w:rPr>
        <w:t>本款细化为：</w:t>
      </w:r>
    </w:p>
    <w:p w14:paraId="6975F2E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承包人应保证其履约保证金在发包人签发交工验收证书且承包人按照合同约定缴纳质量保证金前一直有效。发包人应自收到承包人缴纳的质量保证金之日起</w:t>
      </w:r>
      <w:r>
        <w:rPr>
          <w:rFonts w:ascii="宋体" w:hAnsi="宋体"/>
          <w:bCs/>
          <w:color w:val="auto"/>
          <w:sz w:val="24"/>
          <w:highlight w:val="none"/>
        </w:rPr>
        <w:t xml:space="preserve"> 28 </w:t>
      </w:r>
      <w:r>
        <w:rPr>
          <w:rFonts w:hint="eastAsia" w:ascii="宋体" w:hAnsi="宋体"/>
          <w:bCs/>
          <w:color w:val="auto"/>
          <w:sz w:val="24"/>
          <w:highlight w:val="none"/>
        </w:rPr>
        <w:t>天内将履约保证金退还给承包人。</w:t>
      </w:r>
    </w:p>
    <w:p w14:paraId="1FCDFC54">
      <w:pPr>
        <w:spacing w:line="400" w:lineRule="exact"/>
        <w:ind w:firstLine="480" w:firstLineChars="200"/>
        <w:jc w:val="left"/>
        <w:rPr>
          <w:rFonts w:ascii="宋体" w:hAnsi="Calibri"/>
          <w:b/>
          <w:color w:val="auto"/>
          <w:sz w:val="24"/>
          <w:highlight w:val="none"/>
        </w:rPr>
      </w:pPr>
      <w:r>
        <w:rPr>
          <w:rFonts w:hint="eastAsia" w:ascii="宋体" w:hAnsi="宋体"/>
          <w:b/>
          <w:color w:val="auto"/>
          <w:sz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00C01143">
      <w:pPr>
        <w:spacing w:line="400" w:lineRule="exact"/>
        <w:jc w:val="left"/>
        <w:rPr>
          <w:rFonts w:ascii="宋体" w:hAnsi="Calibri"/>
          <w:bCs/>
          <w:color w:val="auto"/>
          <w:sz w:val="24"/>
          <w:highlight w:val="none"/>
        </w:rPr>
      </w:pPr>
      <w:r>
        <w:rPr>
          <w:rFonts w:ascii="宋体" w:hAnsi="宋体"/>
          <w:bCs/>
          <w:color w:val="auto"/>
          <w:sz w:val="24"/>
          <w:highlight w:val="none"/>
        </w:rPr>
        <w:t xml:space="preserve">4.3 </w:t>
      </w:r>
      <w:r>
        <w:rPr>
          <w:rFonts w:hint="eastAsia" w:ascii="宋体" w:hAnsi="宋体"/>
          <w:bCs/>
          <w:color w:val="auto"/>
          <w:sz w:val="24"/>
          <w:highlight w:val="none"/>
        </w:rPr>
        <w:t>分包</w:t>
      </w:r>
    </w:p>
    <w:p w14:paraId="25E85AE3">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4.3.2 </w:t>
      </w:r>
      <w:r>
        <w:rPr>
          <w:rFonts w:hint="eastAsia" w:ascii="宋体" w:hAnsi="宋体"/>
          <w:bCs/>
          <w:color w:val="auto"/>
          <w:sz w:val="24"/>
          <w:highlight w:val="none"/>
        </w:rPr>
        <w:t>项～第</w:t>
      </w:r>
      <w:r>
        <w:rPr>
          <w:rFonts w:ascii="宋体" w:hAnsi="宋体"/>
          <w:bCs/>
          <w:color w:val="auto"/>
          <w:sz w:val="24"/>
          <w:highlight w:val="none"/>
        </w:rPr>
        <w:t xml:space="preserve"> 4.3.4 </w:t>
      </w:r>
      <w:r>
        <w:rPr>
          <w:rFonts w:hint="eastAsia" w:ascii="宋体" w:hAnsi="宋体"/>
          <w:bCs/>
          <w:color w:val="auto"/>
          <w:sz w:val="24"/>
          <w:highlight w:val="none"/>
        </w:rPr>
        <w:t>项细化为：</w:t>
      </w:r>
    </w:p>
    <w:p w14:paraId="6E84489C">
      <w:pPr>
        <w:spacing w:line="400" w:lineRule="exact"/>
        <w:jc w:val="left"/>
        <w:rPr>
          <w:rFonts w:ascii="宋体" w:hAnsi="Calibri"/>
          <w:bCs/>
          <w:color w:val="auto"/>
          <w:sz w:val="24"/>
          <w:highlight w:val="none"/>
        </w:rPr>
      </w:pPr>
      <w:r>
        <w:rPr>
          <w:rFonts w:ascii="宋体" w:hAnsi="宋体"/>
          <w:bCs/>
          <w:color w:val="auto"/>
          <w:sz w:val="24"/>
          <w:highlight w:val="none"/>
        </w:rPr>
        <w:t xml:space="preserve">4.3.2 </w:t>
      </w:r>
      <w:r>
        <w:rPr>
          <w:rFonts w:hint="eastAsia" w:ascii="宋体" w:hAnsi="宋体"/>
          <w:bCs/>
          <w:color w:val="auto"/>
          <w:sz w:val="24"/>
          <w:highlight w:val="none"/>
        </w:rPr>
        <w:t>承包人不得将工程关键性工作分包给第三人。经发包人同意，承包人可将工程的其他部分或工作分包给第三人。分包包括专业分包和劳务分包。</w:t>
      </w:r>
    </w:p>
    <w:p w14:paraId="556F1703">
      <w:pPr>
        <w:spacing w:line="400" w:lineRule="exact"/>
        <w:jc w:val="left"/>
        <w:rPr>
          <w:rFonts w:ascii="宋体" w:hAnsi="Calibri"/>
          <w:bCs/>
          <w:color w:val="auto"/>
          <w:sz w:val="24"/>
          <w:highlight w:val="none"/>
        </w:rPr>
      </w:pPr>
      <w:r>
        <w:rPr>
          <w:rFonts w:ascii="宋体" w:hAnsi="宋体"/>
          <w:bCs/>
          <w:color w:val="auto"/>
          <w:sz w:val="24"/>
          <w:highlight w:val="none"/>
        </w:rPr>
        <w:t xml:space="preserve">4.3.3 </w:t>
      </w:r>
      <w:r>
        <w:rPr>
          <w:rFonts w:hint="eastAsia" w:ascii="宋体" w:hAnsi="宋体"/>
          <w:bCs/>
          <w:color w:val="auto"/>
          <w:sz w:val="24"/>
          <w:highlight w:val="none"/>
        </w:rPr>
        <w:t>专业分包</w:t>
      </w:r>
    </w:p>
    <w:p w14:paraId="6E9AC817">
      <w:pPr>
        <w:spacing w:line="400" w:lineRule="exact"/>
        <w:jc w:val="left"/>
        <w:rPr>
          <w:rFonts w:ascii="宋体" w:hAnsi="Calibri"/>
          <w:bCs/>
          <w:color w:val="auto"/>
          <w:sz w:val="24"/>
          <w:highlight w:val="none"/>
        </w:rPr>
      </w:pPr>
      <w:r>
        <w:rPr>
          <w:rFonts w:hint="eastAsia" w:ascii="宋体" w:hAnsi="宋体"/>
          <w:bCs/>
          <w:color w:val="auto"/>
          <w:sz w:val="24"/>
          <w:highlight w:val="none"/>
        </w:rPr>
        <w:t>在工程施工过程中，承包人进行专业分包必须遵守以下规定：</w:t>
      </w:r>
    </w:p>
    <w:p w14:paraId="083C1D7B">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765EE9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）专业分包人的资格能力（含安全生产能力）应与其分包工程的标准和规模相适应，且应当具备如下条件：</w:t>
      </w:r>
    </w:p>
    <w:p w14:paraId="58CFF6F2">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具有经工商登记的法人资格；</w:t>
      </w:r>
    </w:p>
    <w:p w14:paraId="630DA1E3">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具有从事类似工程经验的管理与技术人员；</w:t>
      </w:r>
    </w:p>
    <w:p w14:paraId="2D7A5AFB">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具有（自有或租赁）分包工程所需的施工设备。</w:t>
      </w:r>
    </w:p>
    <w:p w14:paraId="43BFF52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承包人应向监理人提交专业分包人的资格能力证明材料，经监理人审查并报发包人批准后，可以将相应专业工程分包给该专业分包人。</w:t>
      </w:r>
    </w:p>
    <w:p w14:paraId="11636F3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）专业分包工程不得再次分包。</w:t>
      </w:r>
    </w:p>
    <w:p w14:paraId="7E7F9C5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4E0DE43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456D331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0FFCE9D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3E2F042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7103051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违反上述规定之一者属违规分包。</w:t>
      </w:r>
    </w:p>
    <w:p w14:paraId="4809365B">
      <w:pPr>
        <w:spacing w:line="400" w:lineRule="exact"/>
        <w:jc w:val="left"/>
        <w:rPr>
          <w:rFonts w:ascii="宋体" w:hAnsi="Calibri"/>
          <w:bCs/>
          <w:color w:val="auto"/>
          <w:sz w:val="24"/>
          <w:highlight w:val="none"/>
        </w:rPr>
      </w:pPr>
      <w:r>
        <w:rPr>
          <w:rFonts w:ascii="宋体" w:hAnsi="宋体"/>
          <w:bCs/>
          <w:color w:val="auto"/>
          <w:sz w:val="24"/>
          <w:highlight w:val="none"/>
        </w:rPr>
        <w:t xml:space="preserve">4.3.4 </w:t>
      </w:r>
      <w:r>
        <w:rPr>
          <w:rFonts w:hint="eastAsia" w:ascii="宋体" w:hAnsi="宋体"/>
          <w:bCs/>
          <w:color w:val="auto"/>
          <w:sz w:val="24"/>
          <w:highlight w:val="none"/>
        </w:rPr>
        <w:t>劳务分包</w:t>
      </w:r>
    </w:p>
    <w:p w14:paraId="30150EF5">
      <w:pPr>
        <w:spacing w:line="400" w:lineRule="exact"/>
        <w:jc w:val="left"/>
        <w:rPr>
          <w:rFonts w:ascii="宋体" w:hAnsi="Calibri"/>
          <w:bCs/>
          <w:color w:val="auto"/>
          <w:sz w:val="24"/>
          <w:highlight w:val="none"/>
        </w:rPr>
      </w:pPr>
      <w:r>
        <w:rPr>
          <w:rFonts w:hint="eastAsia" w:ascii="宋体" w:hAnsi="宋体"/>
          <w:bCs/>
          <w:color w:val="auto"/>
          <w:sz w:val="24"/>
          <w:highlight w:val="none"/>
        </w:rPr>
        <w:t>在工程施工过程中，承包人进行劳务分包必须遵守以下规定：</w:t>
      </w:r>
    </w:p>
    <w:p w14:paraId="1D41B00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）劳务分包人应具有施工劳务资质。</w:t>
      </w:r>
    </w:p>
    <w:p w14:paraId="7174517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8F6494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14:paraId="0275FB1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）承包人应当对劳务分包人员进行安全培训和管理，劳务分包人不得将其分包的劳务作业再次分包。</w:t>
      </w:r>
    </w:p>
    <w:p w14:paraId="76DC579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违反上述规定之一者属违规分包。本款补充第</w:t>
      </w:r>
      <w:r>
        <w:rPr>
          <w:rFonts w:ascii="宋体" w:hAnsi="宋体"/>
          <w:bCs/>
          <w:color w:val="auto"/>
          <w:sz w:val="24"/>
          <w:highlight w:val="none"/>
        </w:rPr>
        <w:t xml:space="preserve"> 4.3.6 </w:t>
      </w:r>
      <w:r>
        <w:rPr>
          <w:rFonts w:hint="eastAsia" w:ascii="宋体" w:hAnsi="宋体"/>
          <w:bCs/>
          <w:color w:val="auto"/>
          <w:sz w:val="24"/>
          <w:highlight w:val="none"/>
        </w:rPr>
        <w:t>项、第</w:t>
      </w:r>
      <w:r>
        <w:rPr>
          <w:rFonts w:ascii="宋体" w:hAnsi="宋体"/>
          <w:bCs/>
          <w:color w:val="auto"/>
          <w:sz w:val="24"/>
          <w:highlight w:val="none"/>
        </w:rPr>
        <w:t xml:space="preserve"> 4.3.7 </w:t>
      </w:r>
      <w:r>
        <w:rPr>
          <w:rFonts w:hint="eastAsia" w:ascii="宋体" w:hAnsi="宋体"/>
          <w:bCs/>
          <w:color w:val="auto"/>
          <w:sz w:val="24"/>
          <w:highlight w:val="none"/>
        </w:rPr>
        <w:t>项：</w:t>
      </w:r>
    </w:p>
    <w:p w14:paraId="7CCBC62F">
      <w:pPr>
        <w:spacing w:line="400" w:lineRule="exact"/>
        <w:jc w:val="left"/>
        <w:rPr>
          <w:rFonts w:ascii="宋体" w:hAnsi="Calibri"/>
          <w:bCs/>
          <w:color w:val="auto"/>
          <w:sz w:val="24"/>
          <w:highlight w:val="none"/>
        </w:rPr>
      </w:pPr>
      <w:r>
        <w:rPr>
          <w:rFonts w:ascii="宋体" w:hAnsi="宋体"/>
          <w:bCs/>
          <w:color w:val="auto"/>
          <w:sz w:val="24"/>
          <w:highlight w:val="none"/>
        </w:rPr>
        <w:t xml:space="preserve">4.3.6 </w:t>
      </w:r>
      <w:r>
        <w:rPr>
          <w:rFonts w:hint="eastAsia" w:ascii="宋体" w:hAnsi="宋体"/>
          <w:bCs/>
          <w:color w:val="auto"/>
          <w:sz w:val="24"/>
          <w:highlight w:val="none"/>
        </w:rPr>
        <w:t>发包人对承包人与分包人之间的法律与经济纠纷不承担任何责任和义务。</w:t>
      </w:r>
    </w:p>
    <w:p w14:paraId="3FD12C8C">
      <w:pPr>
        <w:spacing w:line="400" w:lineRule="exact"/>
        <w:jc w:val="left"/>
        <w:rPr>
          <w:rFonts w:ascii="宋体" w:hAnsi="Calibri"/>
          <w:bCs/>
          <w:color w:val="auto"/>
          <w:sz w:val="24"/>
          <w:highlight w:val="none"/>
        </w:rPr>
      </w:pPr>
      <w:r>
        <w:rPr>
          <w:rFonts w:ascii="宋体" w:hAnsi="宋体"/>
          <w:bCs/>
          <w:color w:val="auto"/>
          <w:sz w:val="24"/>
          <w:highlight w:val="none"/>
        </w:rPr>
        <w:t xml:space="preserve">4.3.7  </w:t>
      </w:r>
      <w:r>
        <w:rPr>
          <w:rFonts w:hint="eastAsia" w:ascii="宋体" w:hAnsi="宋体"/>
          <w:bCs/>
          <w:color w:val="auto"/>
          <w:sz w:val="24"/>
          <w:highlight w:val="none"/>
        </w:rPr>
        <w:t>本项目的各项分包工作均应遵守《公路工程施工分包管理办法》的有关规定。</w:t>
      </w:r>
    </w:p>
    <w:p w14:paraId="2AAE11BD">
      <w:pPr>
        <w:spacing w:line="400" w:lineRule="exact"/>
        <w:jc w:val="left"/>
        <w:rPr>
          <w:rFonts w:ascii="宋体" w:hAnsi="Calibri"/>
          <w:bCs/>
          <w:color w:val="auto"/>
          <w:sz w:val="24"/>
          <w:highlight w:val="none"/>
        </w:rPr>
      </w:pPr>
      <w:r>
        <w:rPr>
          <w:rFonts w:ascii="宋体" w:hAnsi="宋体"/>
          <w:bCs/>
          <w:color w:val="auto"/>
          <w:sz w:val="24"/>
          <w:highlight w:val="none"/>
        </w:rPr>
        <w:t>4.4</w:t>
      </w:r>
      <w:r>
        <w:rPr>
          <w:rFonts w:ascii="宋体" w:hAnsi="宋体"/>
          <w:bCs/>
          <w:color w:val="auto"/>
          <w:sz w:val="24"/>
          <w:highlight w:val="none"/>
        </w:rPr>
        <w:tab/>
      </w:r>
      <w:r>
        <w:rPr>
          <w:rFonts w:hint="eastAsia" w:ascii="宋体" w:hAnsi="宋体"/>
          <w:bCs/>
          <w:color w:val="auto"/>
          <w:sz w:val="24"/>
          <w:highlight w:val="none"/>
        </w:rPr>
        <w:t>联合体</w:t>
      </w:r>
    </w:p>
    <w:p w14:paraId="7CAF7A1E">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4.4.4 </w:t>
      </w:r>
      <w:r>
        <w:rPr>
          <w:rFonts w:hint="eastAsia" w:ascii="宋体" w:hAnsi="宋体"/>
          <w:bCs/>
          <w:color w:val="auto"/>
          <w:sz w:val="24"/>
          <w:highlight w:val="none"/>
        </w:rPr>
        <w:t>项：</w:t>
      </w:r>
    </w:p>
    <w:p w14:paraId="4EEBD4A2">
      <w:pPr>
        <w:spacing w:line="400" w:lineRule="exact"/>
        <w:jc w:val="left"/>
        <w:rPr>
          <w:rFonts w:ascii="宋体" w:hAnsi="Calibri"/>
          <w:bCs/>
          <w:color w:val="auto"/>
          <w:sz w:val="24"/>
          <w:highlight w:val="none"/>
        </w:rPr>
      </w:pPr>
      <w:r>
        <w:rPr>
          <w:rFonts w:ascii="宋体" w:hAnsi="宋体"/>
          <w:bCs/>
          <w:color w:val="auto"/>
          <w:sz w:val="24"/>
          <w:highlight w:val="none"/>
        </w:rPr>
        <w:t xml:space="preserve">4.4.4 </w:t>
      </w:r>
      <w:r>
        <w:rPr>
          <w:rFonts w:hint="eastAsia" w:ascii="宋体" w:hAnsi="宋体"/>
          <w:bCs/>
          <w:color w:val="auto"/>
          <w:sz w:val="24"/>
          <w:highlight w:val="none"/>
        </w:rPr>
        <w:t>未经发包人事先同意，联合体的组成与结构不得变动。</w:t>
      </w:r>
    </w:p>
    <w:p w14:paraId="1B5B89C6">
      <w:pPr>
        <w:spacing w:line="400" w:lineRule="exact"/>
        <w:jc w:val="left"/>
        <w:rPr>
          <w:rFonts w:ascii="宋体" w:hAnsi="Calibri"/>
          <w:bCs/>
          <w:color w:val="auto"/>
          <w:sz w:val="24"/>
          <w:highlight w:val="none"/>
        </w:rPr>
      </w:pPr>
      <w:r>
        <w:rPr>
          <w:rFonts w:ascii="宋体" w:hAnsi="宋体"/>
          <w:bCs/>
          <w:color w:val="auto"/>
          <w:sz w:val="24"/>
          <w:highlight w:val="none"/>
        </w:rPr>
        <w:t>4.6</w:t>
      </w:r>
      <w:r>
        <w:rPr>
          <w:rFonts w:ascii="宋体" w:hAnsi="宋体"/>
          <w:bCs/>
          <w:color w:val="auto"/>
          <w:sz w:val="24"/>
          <w:highlight w:val="none"/>
        </w:rPr>
        <w:tab/>
      </w:r>
      <w:r>
        <w:rPr>
          <w:rFonts w:hint="eastAsia" w:ascii="宋体" w:hAnsi="宋体"/>
          <w:bCs/>
          <w:color w:val="auto"/>
          <w:sz w:val="24"/>
          <w:highlight w:val="none"/>
        </w:rPr>
        <w:t>承包人人员的管理</w:t>
      </w:r>
    </w:p>
    <w:p w14:paraId="6B386076">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4.6.3 </w:t>
      </w:r>
      <w:r>
        <w:rPr>
          <w:rFonts w:hint="eastAsia" w:ascii="宋体" w:hAnsi="宋体"/>
          <w:bCs/>
          <w:color w:val="auto"/>
          <w:sz w:val="24"/>
          <w:highlight w:val="none"/>
        </w:rPr>
        <w:t>项细化为：</w:t>
      </w:r>
    </w:p>
    <w:p w14:paraId="191F69F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58304741">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4.6.5 </w:t>
      </w:r>
      <w:r>
        <w:rPr>
          <w:rFonts w:hint="eastAsia" w:ascii="宋体" w:hAnsi="宋体"/>
          <w:bCs/>
          <w:color w:val="auto"/>
          <w:sz w:val="24"/>
          <w:highlight w:val="none"/>
        </w:rPr>
        <w:t>项：</w:t>
      </w:r>
    </w:p>
    <w:p w14:paraId="67FFEAE6">
      <w:pPr>
        <w:spacing w:line="400" w:lineRule="exact"/>
        <w:jc w:val="left"/>
        <w:rPr>
          <w:rFonts w:ascii="宋体" w:hAnsi="Calibri"/>
          <w:bCs/>
          <w:color w:val="auto"/>
          <w:sz w:val="24"/>
          <w:highlight w:val="none"/>
        </w:rPr>
      </w:pPr>
      <w:r>
        <w:rPr>
          <w:rFonts w:ascii="宋体" w:hAnsi="宋体"/>
          <w:bCs/>
          <w:color w:val="auto"/>
          <w:sz w:val="24"/>
          <w:highlight w:val="none"/>
        </w:rPr>
        <w:t xml:space="preserve">4.6.5 </w:t>
      </w:r>
      <w:r>
        <w:rPr>
          <w:rFonts w:hint="eastAsia" w:ascii="宋体" w:hAnsi="宋体"/>
          <w:bCs/>
          <w:color w:val="auto"/>
          <w:sz w:val="24"/>
          <w:highlight w:val="none"/>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1D3D41A9">
      <w:pPr>
        <w:spacing w:line="400" w:lineRule="exact"/>
        <w:jc w:val="left"/>
        <w:rPr>
          <w:rFonts w:ascii="宋体" w:hAnsi="Calibri"/>
          <w:bCs/>
          <w:color w:val="auto"/>
          <w:sz w:val="24"/>
          <w:highlight w:val="none"/>
        </w:rPr>
      </w:pPr>
      <w:r>
        <w:rPr>
          <w:rFonts w:ascii="宋体" w:hAnsi="宋体"/>
          <w:bCs/>
          <w:color w:val="auto"/>
          <w:sz w:val="24"/>
          <w:highlight w:val="none"/>
        </w:rPr>
        <w:t>4.7</w:t>
      </w:r>
      <w:r>
        <w:rPr>
          <w:rFonts w:ascii="宋体" w:hAnsi="宋体"/>
          <w:bCs/>
          <w:color w:val="auto"/>
          <w:sz w:val="24"/>
          <w:highlight w:val="none"/>
        </w:rPr>
        <w:tab/>
      </w:r>
      <w:r>
        <w:rPr>
          <w:rFonts w:hint="eastAsia" w:ascii="宋体" w:hAnsi="宋体"/>
          <w:bCs/>
          <w:color w:val="auto"/>
          <w:sz w:val="24"/>
          <w:highlight w:val="none"/>
        </w:rPr>
        <w:t>撤换承包人项目经理和其他人员</w:t>
      </w:r>
    </w:p>
    <w:p w14:paraId="3E9F4A5C">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本款细化为：</w:t>
      </w:r>
    </w:p>
    <w:p w14:paraId="40C5193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99DB7F6">
      <w:pPr>
        <w:spacing w:line="400" w:lineRule="exact"/>
        <w:jc w:val="left"/>
        <w:rPr>
          <w:rFonts w:ascii="宋体" w:hAnsi="Calibri"/>
          <w:bCs/>
          <w:color w:val="auto"/>
          <w:sz w:val="24"/>
          <w:highlight w:val="none"/>
        </w:rPr>
      </w:pPr>
      <w:r>
        <w:rPr>
          <w:rFonts w:ascii="宋体" w:hAnsi="宋体"/>
          <w:bCs/>
          <w:color w:val="auto"/>
          <w:sz w:val="24"/>
          <w:highlight w:val="none"/>
        </w:rPr>
        <w:t>4.9</w:t>
      </w:r>
      <w:r>
        <w:rPr>
          <w:rFonts w:ascii="宋体" w:hAnsi="宋体"/>
          <w:bCs/>
          <w:color w:val="auto"/>
          <w:sz w:val="24"/>
          <w:highlight w:val="none"/>
        </w:rPr>
        <w:tab/>
      </w:r>
      <w:r>
        <w:rPr>
          <w:rFonts w:hint="eastAsia" w:ascii="宋体" w:hAnsi="宋体"/>
          <w:bCs/>
          <w:color w:val="auto"/>
          <w:sz w:val="24"/>
          <w:highlight w:val="none"/>
        </w:rPr>
        <w:t>工程价款应专款专用</w:t>
      </w:r>
    </w:p>
    <w:p w14:paraId="4ACE98B3">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本款细化为：</w:t>
      </w:r>
    </w:p>
    <w:p w14:paraId="2730286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86C4E1A">
      <w:pPr>
        <w:spacing w:line="400" w:lineRule="exact"/>
        <w:jc w:val="left"/>
        <w:rPr>
          <w:rFonts w:ascii="宋体" w:hAnsi="Calibri"/>
          <w:bCs/>
          <w:color w:val="auto"/>
          <w:sz w:val="24"/>
          <w:highlight w:val="none"/>
        </w:rPr>
      </w:pPr>
      <w:r>
        <w:rPr>
          <w:rFonts w:ascii="宋体" w:hAnsi="宋体"/>
          <w:bCs/>
          <w:color w:val="auto"/>
          <w:sz w:val="24"/>
          <w:highlight w:val="none"/>
        </w:rPr>
        <w:t>4.10</w:t>
      </w:r>
      <w:r>
        <w:rPr>
          <w:rFonts w:ascii="宋体" w:hAnsi="宋体"/>
          <w:bCs/>
          <w:color w:val="auto"/>
          <w:sz w:val="24"/>
          <w:highlight w:val="none"/>
        </w:rPr>
        <w:tab/>
      </w:r>
      <w:r>
        <w:rPr>
          <w:rFonts w:hint="eastAsia" w:ascii="宋体" w:hAnsi="宋体"/>
          <w:bCs/>
          <w:color w:val="auto"/>
          <w:sz w:val="24"/>
          <w:highlight w:val="none"/>
        </w:rPr>
        <w:t>承包人现场查勘</w:t>
      </w:r>
    </w:p>
    <w:p w14:paraId="034085FE">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4.10.1  </w:t>
      </w:r>
      <w:r>
        <w:rPr>
          <w:rFonts w:hint="eastAsia" w:ascii="宋体" w:hAnsi="宋体"/>
          <w:bCs/>
          <w:color w:val="auto"/>
          <w:sz w:val="24"/>
          <w:highlight w:val="none"/>
        </w:rPr>
        <w:t>项细化为：</w:t>
      </w:r>
    </w:p>
    <w:p w14:paraId="6D841EE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5F0A5CA">
      <w:pPr>
        <w:spacing w:line="400" w:lineRule="exact"/>
        <w:jc w:val="left"/>
        <w:rPr>
          <w:rFonts w:ascii="宋体" w:hAnsi="Calibri"/>
          <w:bCs/>
          <w:color w:val="auto"/>
          <w:sz w:val="24"/>
          <w:highlight w:val="none"/>
        </w:rPr>
      </w:pPr>
      <w:r>
        <w:rPr>
          <w:rFonts w:ascii="宋体" w:hAnsi="宋体"/>
          <w:bCs/>
          <w:color w:val="auto"/>
          <w:sz w:val="24"/>
          <w:highlight w:val="none"/>
        </w:rPr>
        <w:t>4.11</w:t>
      </w:r>
      <w:r>
        <w:rPr>
          <w:rFonts w:ascii="宋体" w:hAnsi="宋体"/>
          <w:bCs/>
          <w:color w:val="auto"/>
          <w:sz w:val="24"/>
          <w:highlight w:val="none"/>
        </w:rPr>
        <w:tab/>
      </w:r>
      <w:r>
        <w:rPr>
          <w:rFonts w:hint="eastAsia" w:ascii="宋体" w:hAnsi="宋体"/>
          <w:bCs/>
          <w:color w:val="auto"/>
          <w:sz w:val="24"/>
          <w:highlight w:val="none"/>
        </w:rPr>
        <w:t>不利物质条件</w:t>
      </w:r>
    </w:p>
    <w:p w14:paraId="25396D0A">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4.11.2 </w:t>
      </w:r>
      <w:r>
        <w:rPr>
          <w:rFonts w:hint="eastAsia" w:ascii="宋体" w:hAnsi="宋体"/>
          <w:bCs/>
          <w:color w:val="auto"/>
          <w:sz w:val="24"/>
          <w:highlight w:val="none"/>
        </w:rPr>
        <w:t>项细化为：</w:t>
      </w:r>
    </w:p>
    <w:p w14:paraId="28AB6654">
      <w:pPr>
        <w:spacing w:line="400" w:lineRule="exact"/>
        <w:jc w:val="left"/>
        <w:rPr>
          <w:rFonts w:ascii="宋体" w:hAnsi="Calibri"/>
          <w:bCs/>
          <w:color w:val="auto"/>
          <w:sz w:val="24"/>
          <w:highlight w:val="none"/>
        </w:rPr>
      </w:pPr>
      <w:r>
        <w:rPr>
          <w:rFonts w:ascii="宋体" w:hAnsi="宋体"/>
          <w:bCs/>
          <w:color w:val="auto"/>
          <w:sz w:val="24"/>
          <w:highlight w:val="none"/>
        </w:rPr>
        <w:t xml:space="preserve">4.11.2 </w:t>
      </w:r>
      <w:r>
        <w:rPr>
          <w:rFonts w:hint="eastAsia" w:ascii="宋体" w:hAnsi="宋体"/>
          <w:bCs/>
          <w:color w:val="auto"/>
          <w:sz w:val="24"/>
          <w:highlight w:val="none"/>
        </w:rPr>
        <w:t>承包人遇到不可预见的不利物质条件时，应采取适应不利物质条件的合理措施继续施工，并及时通知监理人。监理人应当及时发出指示，指示构成变更的，按第</w:t>
      </w:r>
      <w:r>
        <w:rPr>
          <w:rFonts w:ascii="宋体" w:hAnsi="宋体"/>
          <w:bCs/>
          <w:color w:val="auto"/>
          <w:sz w:val="24"/>
          <w:highlight w:val="none"/>
        </w:rPr>
        <w:t xml:space="preserve">15 </w:t>
      </w:r>
      <w:r>
        <w:rPr>
          <w:rFonts w:hint="eastAsia" w:ascii="宋体" w:hAnsi="宋体"/>
          <w:bCs/>
          <w:color w:val="auto"/>
          <w:sz w:val="24"/>
          <w:highlight w:val="none"/>
        </w:rPr>
        <w:t>条约定办理。监理人没有发出指示的，承包人因采取合理措施而增加的费用和（或）工期延误，由发包人承担。</w:t>
      </w:r>
    </w:p>
    <w:p w14:paraId="08744A9B">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4.11.3 </w:t>
      </w:r>
      <w:r>
        <w:rPr>
          <w:rFonts w:hint="eastAsia" w:ascii="宋体" w:hAnsi="宋体"/>
          <w:bCs/>
          <w:color w:val="auto"/>
          <w:sz w:val="24"/>
          <w:highlight w:val="none"/>
        </w:rPr>
        <w:t>项：</w:t>
      </w:r>
    </w:p>
    <w:p w14:paraId="71EC4D7E">
      <w:pPr>
        <w:spacing w:line="400" w:lineRule="exact"/>
        <w:jc w:val="left"/>
        <w:rPr>
          <w:rFonts w:ascii="宋体" w:hAnsi="Calibri"/>
          <w:bCs/>
          <w:color w:val="auto"/>
          <w:sz w:val="24"/>
          <w:highlight w:val="none"/>
        </w:rPr>
      </w:pPr>
      <w:r>
        <w:rPr>
          <w:rFonts w:ascii="宋体" w:hAnsi="宋体"/>
          <w:bCs/>
          <w:color w:val="auto"/>
          <w:sz w:val="24"/>
          <w:highlight w:val="none"/>
        </w:rPr>
        <w:t xml:space="preserve">4.11.3 </w:t>
      </w:r>
      <w:r>
        <w:rPr>
          <w:rFonts w:hint="eastAsia" w:ascii="宋体" w:hAnsi="宋体"/>
          <w:bCs/>
          <w:color w:val="auto"/>
          <w:sz w:val="24"/>
          <w:highlight w:val="none"/>
        </w:rPr>
        <w:t>可预见的不利物质条件</w:t>
      </w:r>
    </w:p>
    <w:p w14:paraId="2708E28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）对于项目专用合同条款中已经明确指出的不利物质条件无论承包人是否有其经历和经验均视为承包人在接受合同时已预见其影响，并已在签约合同价中计入因其影响而可能发生的一切费用。</w:t>
      </w:r>
    </w:p>
    <w:p w14:paraId="2CA5143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）对于项目专用合同条款未明确指出，但是在不利物质条件发生之前，监理人已经指示承包人有可能发生，但承包人未能及时采取有效措施，而导致的损失和后果均由承包人承担。</w:t>
      </w:r>
    </w:p>
    <w:p w14:paraId="64AF6C59">
      <w:pPr>
        <w:spacing w:line="400" w:lineRule="exact"/>
        <w:jc w:val="left"/>
        <w:rPr>
          <w:rFonts w:ascii="宋体" w:hAnsi="Calibri"/>
          <w:bCs/>
          <w:color w:val="auto"/>
          <w:sz w:val="24"/>
          <w:highlight w:val="none"/>
        </w:rPr>
      </w:pPr>
      <w:r>
        <w:rPr>
          <w:rFonts w:hint="eastAsia" w:ascii="宋体" w:hAnsi="宋体"/>
          <w:bCs/>
          <w:color w:val="auto"/>
          <w:sz w:val="24"/>
          <w:highlight w:val="none"/>
        </w:rPr>
        <w:t>补充第</w:t>
      </w:r>
      <w:r>
        <w:rPr>
          <w:rFonts w:ascii="宋体" w:hAnsi="宋体"/>
          <w:bCs/>
          <w:color w:val="auto"/>
          <w:sz w:val="24"/>
          <w:highlight w:val="none"/>
        </w:rPr>
        <w:t xml:space="preserve"> 4.12 </w:t>
      </w:r>
      <w:r>
        <w:rPr>
          <w:rFonts w:hint="eastAsia" w:ascii="宋体" w:hAnsi="宋体"/>
          <w:bCs/>
          <w:color w:val="auto"/>
          <w:sz w:val="24"/>
          <w:highlight w:val="none"/>
        </w:rPr>
        <w:t>款、第</w:t>
      </w:r>
      <w:r>
        <w:rPr>
          <w:rFonts w:ascii="宋体" w:hAnsi="宋体"/>
          <w:bCs/>
          <w:color w:val="auto"/>
          <w:sz w:val="24"/>
          <w:highlight w:val="none"/>
        </w:rPr>
        <w:t xml:space="preserve"> 4.13 </w:t>
      </w:r>
      <w:r>
        <w:rPr>
          <w:rFonts w:hint="eastAsia" w:ascii="宋体" w:hAnsi="宋体"/>
          <w:bCs/>
          <w:color w:val="auto"/>
          <w:sz w:val="24"/>
          <w:highlight w:val="none"/>
        </w:rPr>
        <w:t>款：</w:t>
      </w:r>
    </w:p>
    <w:p w14:paraId="704F5E24">
      <w:pPr>
        <w:spacing w:line="400" w:lineRule="exact"/>
        <w:jc w:val="left"/>
        <w:rPr>
          <w:rFonts w:ascii="宋体" w:hAnsi="Calibri"/>
          <w:bCs/>
          <w:color w:val="auto"/>
          <w:sz w:val="24"/>
          <w:highlight w:val="none"/>
        </w:rPr>
      </w:pPr>
      <w:r>
        <w:rPr>
          <w:rFonts w:ascii="宋体" w:hAnsi="宋体"/>
          <w:bCs/>
          <w:color w:val="auto"/>
          <w:sz w:val="24"/>
          <w:highlight w:val="none"/>
        </w:rPr>
        <w:t xml:space="preserve">4.12 </w:t>
      </w:r>
      <w:r>
        <w:rPr>
          <w:rFonts w:hint="eastAsia" w:ascii="宋体" w:hAnsi="宋体"/>
          <w:bCs/>
          <w:color w:val="auto"/>
          <w:sz w:val="24"/>
          <w:highlight w:val="none"/>
        </w:rPr>
        <w:t>投标文件的完备性</w:t>
      </w:r>
    </w:p>
    <w:p w14:paraId="0EE1904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01D157F5">
      <w:pPr>
        <w:spacing w:line="400" w:lineRule="exact"/>
        <w:jc w:val="left"/>
        <w:rPr>
          <w:rFonts w:ascii="宋体" w:hAnsi="Calibri"/>
          <w:bCs/>
          <w:color w:val="auto"/>
          <w:sz w:val="24"/>
          <w:highlight w:val="none"/>
        </w:rPr>
      </w:pPr>
      <w:r>
        <w:rPr>
          <w:rFonts w:ascii="宋体" w:hAnsi="宋体"/>
          <w:bCs/>
          <w:color w:val="auto"/>
          <w:sz w:val="24"/>
          <w:highlight w:val="none"/>
        </w:rPr>
        <w:t xml:space="preserve">4.13 </w:t>
      </w:r>
      <w:r>
        <w:rPr>
          <w:rFonts w:hint="eastAsia" w:ascii="宋体" w:hAnsi="宋体"/>
          <w:bCs/>
          <w:color w:val="auto"/>
          <w:sz w:val="24"/>
          <w:highlight w:val="none"/>
        </w:rPr>
        <w:t>开展党建工作要求</w:t>
      </w:r>
    </w:p>
    <w:p w14:paraId="5B0C8DA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03AD33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7599AB21">
      <w:pPr>
        <w:spacing w:line="400" w:lineRule="exact"/>
        <w:jc w:val="left"/>
        <w:rPr>
          <w:rFonts w:ascii="宋体" w:hAnsi="Calibri"/>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材料和工程设备</w:t>
      </w:r>
    </w:p>
    <w:p w14:paraId="7F9052D5">
      <w:pPr>
        <w:spacing w:line="400" w:lineRule="exact"/>
        <w:jc w:val="left"/>
        <w:rPr>
          <w:rFonts w:ascii="宋体" w:hAnsi="Calibri"/>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发包人提供的材料和工程设备</w:t>
      </w:r>
    </w:p>
    <w:p w14:paraId="31520F27">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5.2.3 </w:t>
      </w:r>
      <w:r>
        <w:rPr>
          <w:rFonts w:hint="eastAsia" w:ascii="宋体" w:hAnsi="宋体"/>
          <w:bCs/>
          <w:color w:val="auto"/>
          <w:sz w:val="24"/>
          <w:highlight w:val="none"/>
        </w:rPr>
        <w:t>项补充：</w:t>
      </w:r>
    </w:p>
    <w:p w14:paraId="3C08E1B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069578E">
      <w:pPr>
        <w:spacing w:line="400" w:lineRule="exact"/>
        <w:jc w:val="left"/>
        <w:rPr>
          <w:rFonts w:ascii="宋体" w:hAnsi="Calibri"/>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施工设备和临时设施</w:t>
      </w:r>
    </w:p>
    <w:p w14:paraId="1485A51A">
      <w:pPr>
        <w:spacing w:line="400" w:lineRule="exact"/>
        <w:jc w:val="left"/>
        <w:rPr>
          <w:rFonts w:ascii="宋体" w:hAnsi="Calibri"/>
          <w:bCs/>
          <w:color w:val="auto"/>
          <w:sz w:val="24"/>
          <w:highlight w:val="none"/>
        </w:rPr>
      </w:pPr>
      <w:r>
        <w:rPr>
          <w:rFonts w:ascii="宋体" w:hAnsi="宋体"/>
          <w:bCs/>
          <w:color w:val="auto"/>
          <w:sz w:val="24"/>
          <w:highlight w:val="none"/>
        </w:rPr>
        <w:t xml:space="preserve">6.1 </w:t>
      </w:r>
      <w:r>
        <w:rPr>
          <w:rFonts w:hint="eastAsia" w:ascii="宋体" w:hAnsi="宋体"/>
          <w:bCs/>
          <w:color w:val="auto"/>
          <w:sz w:val="24"/>
          <w:highlight w:val="none"/>
        </w:rPr>
        <w:t>承包人提供的施工设备和临时设施</w:t>
      </w:r>
    </w:p>
    <w:p w14:paraId="7590FB78">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6.1.2 </w:t>
      </w:r>
      <w:r>
        <w:rPr>
          <w:rFonts w:hint="eastAsia" w:ascii="宋体" w:hAnsi="宋体"/>
          <w:bCs/>
          <w:color w:val="auto"/>
          <w:sz w:val="24"/>
          <w:highlight w:val="none"/>
        </w:rPr>
        <w:t>项约定为：</w:t>
      </w:r>
    </w:p>
    <w:p w14:paraId="28D90FC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承包人应自行承担修建临时设施的费用，需要临时占地的，应由承包人按第</w:t>
      </w:r>
      <w:r>
        <w:rPr>
          <w:rFonts w:ascii="宋体" w:hAnsi="宋体"/>
          <w:bCs/>
          <w:color w:val="auto"/>
          <w:sz w:val="24"/>
          <w:highlight w:val="none"/>
        </w:rPr>
        <w:t xml:space="preserve">4.1.10 </w:t>
      </w:r>
      <w:r>
        <w:rPr>
          <w:rFonts w:hint="eastAsia" w:ascii="宋体" w:hAnsi="宋体"/>
          <w:bCs/>
          <w:color w:val="auto"/>
          <w:sz w:val="24"/>
          <w:highlight w:val="none"/>
        </w:rPr>
        <w:t>项（</w:t>
      </w:r>
      <w:r>
        <w:rPr>
          <w:rFonts w:ascii="宋体" w:hAnsi="宋体"/>
          <w:bCs/>
          <w:color w:val="auto"/>
          <w:sz w:val="24"/>
          <w:highlight w:val="none"/>
        </w:rPr>
        <w:t>1</w:t>
      </w:r>
      <w:r>
        <w:rPr>
          <w:rFonts w:hint="eastAsia" w:ascii="宋体" w:hAnsi="宋体"/>
          <w:bCs/>
          <w:color w:val="auto"/>
          <w:sz w:val="24"/>
          <w:highlight w:val="none"/>
        </w:rPr>
        <w:t>）目的规定办理。</w:t>
      </w:r>
    </w:p>
    <w:p w14:paraId="7594142A">
      <w:pPr>
        <w:spacing w:line="400" w:lineRule="exact"/>
        <w:jc w:val="left"/>
        <w:rPr>
          <w:rFonts w:ascii="宋体" w:hAnsi="Calibri"/>
          <w:bCs/>
          <w:color w:val="auto"/>
          <w:sz w:val="24"/>
          <w:highlight w:val="none"/>
        </w:rPr>
      </w:pPr>
      <w:r>
        <w:rPr>
          <w:rFonts w:ascii="宋体" w:hAnsi="宋体"/>
          <w:bCs/>
          <w:color w:val="auto"/>
          <w:sz w:val="24"/>
          <w:highlight w:val="none"/>
        </w:rPr>
        <w:t xml:space="preserve">6.3 </w:t>
      </w:r>
      <w:r>
        <w:rPr>
          <w:rFonts w:hint="eastAsia" w:ascii="宋体" w:hAnsi="宋体"/>
          <w:bCs/>
          <w:color w:val="auto"/>
          <w:sz w:val="24"/>
          <w:highlight w:val="none"/>
        </w:rPr>
        <w:t>要求承包人增加或更换施工设备</w:t>
      </w:r>
    </w:p>
    <w:p w14:paraId="66880DA0">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本款细化为：</w:t>
      </w:r>
    </w:p>
    <w:p w14:paraId="5508B67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607754EA">
      <w:pPr>
        <w:spacing w:line="400" w:lineRule="exact"/>
        <w:jc w:val="left"/>
        <w:rPr>
          <w:rFonts w:ascii="宋体" w:hAnsi="Calibri"/>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交通运输</w:t>
      </w:r>
    </w:p>
    <w:p w14:paraId="621ED7EE">
      <w:pPr>
        <w:spacing w:line="400" w:lineRule="exact"/>
        <w:jc w:val="left"/>
        <w:rPr>
          <w:rFonts w:ascii="宋体" w:hAnsi="Calibri"/>
          <w:bCs/>
          <w:color w:val="auto"/>
          <w:sz w:val="24"/>
          <w:highlight w:val="none"/>
        </w:rPr>
      </w:pPr>
      <w:r>
        <w:rPr>
          <w:rFonts w:ascii="宋体" w:hAnsi="宋体"/>
          <w:bCs/>
          <w:color w:val="auto"/>
          <w:sz w:val="24"/>
          <w:highlight w:val="none"/>
        </w:rPr>
        <w:t xml:space="preserve">7.1 </w:t>
      </w:r>
      <w:r>
        <w:rPr>
          <w:rFonts w:hint="eastAsia" w:ascii="宋体" w:hAnsi="宋体"/>
          <w:bCs/>
          <w:color w:val="auto"/>
          <w:sz w:val="24"/>
          <w:highlight w:val="none"/>
        </w:rPr>
        <w:t>道路通行权和场外设施</w:t>
      </w:r>
    </w:p>
    <w:p w14:paraId="2324C817">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本款约定为：</w:t>
      </w:r>
    </w:p>
    <w:p w14:paraId="2C7A9C0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58F5EA6D">
      <w:pPr>
        <w:spacing w:line="400" w:lineRule="exact"/>
        <w:jc w:val="left"/>
        <w:rPr>
          <w:rFonts w:ascii="宋体" w:hAnsi="Calibri"/>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测量放线</w:t>
      </w:r>
    </w:p>
    <w:p w14:paraId="139F056E">
      <w:pPr>
        <w:spacing w:line="400" w:lineRule="exact"/>
        <w:jc w:val="left"/>
        <w:rPr>
          <w:rFonts w:ascii="宋体" w:hAnsi="Calibri"/>
          <w:bCs/>
          <w:color w:val="auto"/>
          <w:sz w:val="24"/>
          <w:highlight w:val="none"/>
        </w:rPr>
      </w:pPr>
      <w:r>
        <w:rPr>
          <w:rFonts w:ascii="宋体" w:hAnsi="宋体"/>
          <w:bCs/>
          <w:color w:val="auto"/>
          <w:sz w:val="24"/>
          <w:highlight w:val="none"/>
        </w:rPr>
        <w:t>8.4</w:t>
      </w:r>
      <w:r>
        <w:rPr>
          <w:rFonts w:ascii="宋体" w:hAnsi="宋体"/>
          <w:bCs/>
          <w:color w:val="auto"/>
          <w:sz w:val="24"/>
          <w:highlight w:val="none"/>
        </w:rPr>
        <w:tab/>
      </w:r>
      <w:r>
        <w:rPr>
          <w:rFonts w:hint="eastAsia" w:ascii="宋体" w:hAnsi="宋体"/>
          <w:bCs/>
          <w:color w:val="auto"/>
          <w:sz w:val="24"/>
          <w:highlight w:val="none"/>
        </w:rPr>
        <w:t>监理人使用施工控制网</w:t>
      </w:r>
    </w:p>
    <w:p w14:paraId="2DE95FD6">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本款补充：</w:t>
      </w:r>
    </w:p>
    <w:p w14:paraId="63C4F21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经监理人批准，其他相关承包人也可免费使用施工控制网。</w:t>
      </w:r>
    </w:p>
    <w:p w14:paraId="394334E3">
      <w:pPr>
        <w:spacing w:line="400" w:lineRule="exact"/>
        <w:jc w:val="left"/>
        <w:rPr>
          <w:rFonts w:ascii="宋体" w:hAnsi="Calibri"/>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施工安全、治安保卫和环境保护</w:t>
      </w:r>
    </w:p>
    <w:p w14:paraId="206FAFA3">
      <w:pPr>
        <w:spacing w:line="400" w:lineRule="exact"/>
        <w:jc w:val="left"/>
        <w:rPr>
          <w:rFonts w:ascii="宋体" w:hAnsi="Calibri"/>
          <w:bCs/>
          <w:color w:val="auto"/>
          <w:sz w:val="24"/>
          <w:highlight w:val="none"/>
        </w:rPr>
      </w:pPr>
      <w:r>
        <w:rPr>
          <w:rFonts w:ascii="宋体" w:hAnsi="宋体"/>
          <w:bCs/>
          <w:color w:val="auto"/>
          <w:sz w:val="24"/>
          <w:highlight w:val="none"/>
        </w:rPr>
        <w:t>9.2</w:t>
      </w:r>
      <w:r>
        <w:rPr>
          <w:rFonts w:ascii="宋体" w:hAnsi="宋体"/>
          <w:bCs/>
          <w:color w:val="auto"/>
          <w:sz w:val="24"/>
          <w:highlight w:val="none"/>
        </w:rPr>
        <w:tab/>
      </w:r>
      <w:r>
        <w:rPr>
          <w:rFonts w:hint="eastAsia" w:ascii="宋体" w:hAnsi="宋体"/>
          <w:bCs/>
          <w:color w:val="auto"/>
          <w:sz w:val="24"/>
          <w:highlight w:val="none"/>
        </w:rPr>
        <w:t>承包人的施工安全责任</w:t>
      </w:r>
    </w:p>
    <w:p w14:paraId="270B061D">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9.2.1 </w:t>
      </w:r>
      <w:r>
        <w:rPr>
          <w:rFonts w:hint="eastAsia" w:ascii="宋体" w:hAnsi="宋体"/>
          <w:bCs/>
          <w:color w:val="auto"/>
          <w:sz w:val="24"/>
          <w:highlight w:val="none"/>
        </w:rPr>
        <w:t>项细化为：</w:t>
      </w:r>
    </w:p>
    <w:p w14:paraId="70757A3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28C70E89">
      <w:pPr>
        <w:spacing w:line="400" w:lineRule="exact"/>
        <w:jc w:val="left"/>
        <w:rPr>
          <w:rFonts w:ascii="宋体" w:hAnsi="Calibri"/>
          <w:bCs/>
          <w:color w:val="auto"/>
          <w:sz w:val="24"/>
          <w:highlight w:val="none"/>
        </w:rPr>
      </w:pPr>
      <w:r>
        <w:rPr>
          <w:rFonts w:hint="eastAsia" w:ascii="宋体" w:hAnsi="宋体"/>
          <w:bCs/>
          <w:color w:val="auto"/>
          <w:sz w:val="24"/>
          <w:highlight w:val="none"/>
        </w:rPr>
        <w:t>承包人应根据本工程的实际安全施工要求，编制施工安全技术措施，并在签订合同协议书后</w:t>
      </w:r>
      <w:r>
        <w:rPr>
          <w:rFonts w:ascii="宋体" w:hAnsi="宋体"/>
          <w:bCs/>
          <w:color w:val="auto"/>
          <w:sz w:val="24"/>
          <w:highlight w:val="none"/>
        </w:rPr>
        <w:t>28</w:t>
      </w:r>
      <w:r>
        <w:rPr>
          <w:rFonts w:hint="eastAsia" w:ascii="宋体" w:hAnsi="宋体"/>
          <w:bCs/>
          <w:color w:val="auto"/>
          <w:sz w:val="24"/>
          <w:highlight w:val="none"/>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14:paraId="6EC4FFFC">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本项目需要编制专项施工方案的工程包括但不限于以下内容：</w:t>
      </w:r>
    </w:p>
    <w:p w14:paraId="1D2271A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）不良地质条件下有潜在危险性的土方、石方开挖；</w:t>
      </w:r>
    </w:p>
    <w:p w14:paraId="2EB80692">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）滑坡和高边坡处理；</w:t>
      </w:r>
    </w:p>
    <w:p w14:paraId="532FE8A0">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）桩基础、挡墙基础、深水基础及围堰工程；</w:t>
      </w:r>
    </w:p>
    <w:p w14:paraId="23FCC79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）桥梁工程中的梁、拱、柱等构件施工等；</w:t>
      </w:r>
    </w:p>
    <w:p w14:paraId="626AA752">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）隧道工程中的不良地质隧道、高瓦斯隧道等；</w:t>
      </w:r>
    </w:p>
    <w:p w14:paraId="7AFEFCAC">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）水上工程中的打桩船作业、施工船作业、外海孤岛作业、边通航边施工作业等；</w:t>
      </w:r>
    </w:p>
    <w:p w14:paraId="2DDC96C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）水下工程中的水下焊接、混凝土浇筑、爆破工程等；</w:t>
      </w:r>
    </w:p>
    <w:p w14:paraId="20BE426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）爆破工程；</w:t>
      </w:r>
    </w:p>
    <w:p w14:paraId="6A5EF9E5">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9</w:t>
      </w:r>
      <w:r>
        <w:rPr>
          <w:rFonts w:hint="eastAsia" w:ascii="宋体" w:hAnsi="宋体"/>
          <w:bCs/>
          <w:color w:val="auto"/>
          <w:sz w:val="24"/>
          <w:highlight w:val="none"/>
        </w:rPr>
        <w:t>）大型临时工程中的大型支架、模板、便桥的架设与拆除；桥梁、码头的加固与拆除；（</w:t>
      </w:r>
      <w:r>
        <w:rPr>
          <w:rFonts w:ascii="宋体" w:hAnsi="宋体"/>
          <w:bCs/>
          <w:color w:val="auto"/>
          <w:sz w:val="24"/>
          <w:highlight w:val="none"/>
        </w:rPr>
        <w:t>10</w:t>
      </w:r>
      <w:r>
        <w:rPr>
          <w:rFonts w:hint="eastAsia" w:ascii="宋体" w:hAnsi="宋体"/>
          <w:bCs/>
          <w:color w:val="auto"/>
          <w:sz w:val="24"/>
          <w:highlight w:val="none"/>
        </w:rPr>
        <w:t>）其他危险性较大的工程。</w:t>
      </w:r>
    </w:p>
    <w:p w14:paraId="73EE5EC7">
      <w:pPr>
        <w:spacing w:line="400" w:lineRule="exact"/>
        <w:jc w:val="left"/>
        <w:rPr>
          <w:rFonts w:ascii="宋体" w:hAnsi="Calibri"/>
          <w:bCs/>
          <w:color w:val="auto"/>
          <w:sz w:val="24"/>
          <w:highlight w:val="none"/>
        </w:rPr>
      </w:pPr>
      <w:r>
        <w:rPr>
          <w:rFonts w:hint="eastAsia" w:ascii="宋体" w:hAnsi="宋体"/>
          <w:bCs/>
          <w:color w:val="auto"/>
          <w:sz w:val="24"/>
          <w:highlight w:val="none"/>
        </w:rPr>
        <w:t>监理人和发包人在检查中发现有安全问题或有违反安全管理规章制度的情况时，可视为承包人违约，应按第</w:t>
      </w:r>
      <w:r>
        <w:rPr>
          <w:rFonts w:ascii="宋体" w:hAnsi="宋体"/>
          <w:bCs/>
          <w:color w:val="auto"/>
          <w:sz w:val="24"/>
          <w:highlight w:val="none"/>
        </w:rPr>
        <w:t xml:space="preserve"> 22.1 </w:t>
      </w:r>
      <w:r>
        <w:rPr>
          <w:rFonts w:hint="eastAsia" w:ascii="宋体" w:hAnsi="宋体"/>
          <w:bCs/>
          <w:color w:val="auto"/>
          <w:sz w:val="24"/>
          <w:highlight w:val="none"/>
        </w:rPr>
        <w:t>款的规定办理。</w:t>
      </w:r>
    </w:p>
    <w:p w14:paraId="4D794B65">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9.2.5 </w:t>
      </w:r>
      <w:r>
        <w:rPr>
          <w:rFonts w:hint="eastAsia" w:ascii="宋体" w:hAnsi="宋体"/>
          <w:bCs/>
          <w:color w:val="auto"/>
          <w:sz w:val="24"/>
          <w:highlight w:val="none"/>
        </w:rPr>
        <w:t>项细化为：</w:t>
      </w:r>
    </w:p>
    <w:p w14:paraId="359D95B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除项目专用合同条款另有约定外，安全生产费用应为投标价（不含安全生产费及建筑工程一切险及第三者责任险的保险费）的</w:t>
      </w:r>
      <w:r>
        <w:rPr>
          <w:rFonts w:ascii="宋体" w:hAnsi="宋体"/>
          <w:bCs/>
          <w:color w:val="auto"/>
          <w:sz w:val="24"/>
          <w:highlight w:val="none"/>
        </w:rPr>
        <w:t>1.5%</w:t>
      </w:r>
      <w:r>
        <w:rPr>
          <w:rFonts w:hint="eastAsia" w:ascii="宋体" w:hAnsi="宋体"/>
          <w:bCs/>
          <w:color w:val="auto"/>
          <w:sz w:val="24"/>
          <w:highlight w:val="none"/>
        </w:rPr>
        <w:t>（若发包人公布了最高投标限价时，按最高投标限价的</w:t>
      </w:r>
      <w:r>
        <w:rPr>
          <w:rFonts w:ascii="宋体" w:hAnsi="宋体"/>
          <w:bCs/>
          <w:color w:val="auto"/>
          <w:sz w:val="24"/>
          <w:highlight w:val="none"/>
        </w:rPr>
        <w:t xml:space="preserve"> 1.5% </w:t>
      </w:r>
      <w:r>
        <w:rPr>
          <w:rFonts w:hint="eastAsia" w:ascii="宋体" w:hAnsi="宋体"/>
          <w:bCs/>
          <w:color w:val="auto"/>
          <w:sz w:val="24"/>
          <w:highlight w:val="none"/>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宋体" w:hAnsi="宋体"/>
          <w:bCs/>
          <w:color w:val="auto"/>
          <w:sz w:val="24"/>
          <w:highlight w:val="none"/>
        </w:rPr>
        <w:t xml:space="preserve"> 3.5 </w:t>
      </w:r>
      <w:r>
        <w:rPr>
          <w:rFonts w:hint="eastAsia" w:ascii="宋体" w:hAnsi="宋体"/>
          <w:bCs/>
          <w:color w:val="auto"/>
          <w:sz w:val="24"/>
          <w:highlight w:val="none"/>
        </w:rPr>
        <w:t>款商定或确定。</w:t>
      </w:r>
    </w:p>
    <w:p w14:paraId="175FD105">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9.2.8 </w:t>
      </w:r>
      <w:r>
        <w:rPr>
          <w:rFonts w:hint="eastAsia" w:ascii="宋体" w:hAnsi="宋体"/>
          <w:bCs/>
          <w:color w:val="auto"/>
          <w:sz w:val="24"/>
          <w:highlight w:val="none"/>
        </w:rPr>
        <w:t>项</w:t>
      </w:r>
      <w:r>
        <w:rPr>
          <w:rFonts w:ascii="宋体" w:hAnsi="宋体"/>
          <w:bCs/>
          <w:color w:val="auto"/>
          <w:sz w:val="24"/>
          <w:highlight w:val="none"/>
        </w:rPr>
        <w:t>~</w:t>
      </w:r>
      <w:r>
        <w:rPr>
          <w:rFonts w:hint="eastAsia" w:ascii="宋体" w:hAnsi="宋体"/>
          <w:bCs/>
          <w:color w:val="auto"/>
          <w:sz w:val="24"/>
          <w:highlight w:val="none"/>
        </w:rPr>
        <w:t>第</w:t>
      </w:r>
      <w:r>
        <w:rPr>
          <w:rFonts w:ascii="宋体" w:hAnsi="宋体"/>
          <w:bCs/>
          <w:color w:val="auto"/>
          <w:sz w:val="24"/>
          <w:highlight w:val="none"/>
        </w:rPr>
        <w:t xml:space="preserve"> 9.2.11 </w:t>
      </w:r>
      <w:r>
        <w:rPr>
          <w:rFonts w:hint="eastAsia" w:ascii="宋体" w:hAnsi="宋体"/>
          <w:bCs/>
          <w:color w:val="auto"/>
          <w:sz w:val="24"/>
          <w:highlight w:val="none"/>
        </w:rPr>
        <w:t>项：</w:t>
      </w:r>
    </w:p>
    <w:p w14:paraId="668E8FDE">
      <w:pPr>
        <w:spacing w:line="400" w:lineRule="exact"/>
        <w:ind w:firstLine="480" w:firstLineChars="200"/>
        <w:jc w:val="left"/>
        <w:rPr>
          <w:rFonts w:ascii="宋体" w:hAnsi="Calibri"/>
          <w:bCs/>
          <w:color w:val="auto"/>
          <w:sz w:val="24"/>
          <w:highlight w:val="none"/>
        </w:rPr>
      </w:pPr>
      <w:r>
        <w:rPr>
          <w:rFonts w:ascii="宋体" w:hAnsi="宋体"/>
          <w:bCs/>
          <w:color w:val="auto"/>
          <w:sz w:val="24"/>
          <w:highlight w:val="none"/>
        </w:rPr>
        <w:t xml:space="preserve">9.2.8 </w:t>
      </w:r>
      <w:r>
        <w:rPr>
          <w:rFonts w:hint="eastAsia" w:ascii="宋体" w:hAnsi="宋体"/>
          <w:bCs/>
          <w:color w:val="auto"/>
          <w:sz w:val="24"/>
          <w:highlight w:val="none"/>
        </w:rPr>
        <w:t>承包人应充分关注和保障所有在现场工作的人员的安全，采取以下有效措施，使现场和本合同工程的实施保持有条不紊，以免使上述人员的安全受到威胁。</w:t>
      </w:r>
    </w:p>
    <w:p w14:paraId="540FCCE3">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）按《公路水运工程安全生产监督管理办法》规定的最低数量和资质条件配备专职安全生产管理人员；</w:t>
      </w:r>
    </w:p>
    <w:p w14:paraId="06C4D7A3">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7DBC773B">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）所有施工机具设备和高空作业设备均应定期检查，并有安全员的签字记录；</w:t>
      </w:r>
    </w:p>
    <w:p w14:paraId="1372F8FA">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）根据本合同各单位工程的施工特点，严格执行《公路水运工程安全生产监督管理办法》《公路工程施工安全技术规范》等有关规定。</w:t>
      </w:r>
    </w:p>
    <w:p w14:paraId="1061FCEB">
      <w:pPr>
        <w:spacing w:line="400" w:lineRule="exact"/>
        <w:ind w:firstLine="480" w:firstLineChars="200"/>
        <w:jc w:val="left"/>
        <w:rPr>
          <w:rFonts w:ascii="宋体" w:hAnsi="Calibri"/>
          <w:bCs/>
          <w:color w:val="auto"/>
          <w:sz w:val="24"/>
          <w:highlight w:val="none"/>
        </w:rPr>
      </w:pPr>
      <w:r>
        <w:rPr>
          <w:rFonts w:ascii="宋体" w:hAnsi="宋体"/>
          <w:bCs/>
          <w:color w:val="auto"/>
          <w:sz w:val="24"/>
          <w:highlight w:val="none"/>
        </w:rPr>
        <w:t xml:space="preserve">9.2.9 </w:t>
      </w:r>
      <w:r>
        <w:rPr>
          <w:rFonts w:hint="eastAsia" w:ascii="宋体" w:hAnsi="宋体"/>
          <w:bCs/>
          <w:color w:val="auto"/>
          <w:sz w:val="24"/>
          <w:highlight w:val="none"/>
        </w:rPr>
        <w:t>为了保护本合同工程免遭损坏，或为了现场附近和过往群众的安全与方便，在确有必要的时候和地方，或当监理人或有关主管部门要求时，承包人应自费提供照明、警卫、护栅、警告标志等安全防护设施。</w:t>
      </w:r>
    </w:p>
    <w:p w14:paraId="75138C7C">
      <w:pPr>
        <w:spacing w:line="400" w:lineRule="exact"/>
        <w:jc w:val="left"/>
        <w:rPr>
          <w:rFonts w:ascii="宋体" w:hAnsi="Calibri"/>
          <w:bCs/>
          <w:color w:val="auto"/>
          <w:sz w:val="24"/>
          <w:highlight w:val="none"/>
        </w:rPr>
      </w:pPr>
      <w:r>
        <w:rPr>
          <w:rFonts w:ascii="宋体" w:hAnsi="宋体"/>
          <w:bCs/>
          <w:color w:val="auto"/>
          <w:sz w:val="24"/>
          <w:highlight w:val="none"/>
        </w:rPr>
        <w:t xml:space="preserve">9.2.10 </w:t>
      </w:r>
      <w:r>
        <w:rPr>
          <w:rFonts w:hint="eastAsia" w:ascii="宋体" w:hAnsi="宋体"/>
          <w:bCs/>
          <w:color w:val="auto"/>
          <w:sz w:val="24"/>
          <w:highlight w:val="none"/>
        </w:rPr>
        <w:t>在通航水域施工时，承包人应与当地主管部门取得联系，设置必要的导航标志，及时发布航行通告，确保施工水域安全。</w:t>
      </w:r>
    </w:p>
    <w:p w14:paraId="31288C82">
      <w:pPr>
        <w:spacing w:line="400" w:lineRule="exact"/>
        <w:jc w:val="left"/>
        <w:rPr>
          <w:rFonts w:ascii="宋体" w:hAnsi="Calibri"/>
          <w:bCs/>
          <w:color w:val="auto"/>
          <w:sz w:val="24"/>
          <w:highlight w:val="none"/>
        </w:rPr>
      </w:pPr>
      <w:r>
        <w:rPr>
          <w:rFonts w:ascii="宋体" w:hAnsi="宋体"/>
          <w:bCs/>
          <w:color w:val="auto"/>
          <w:sz w:val="24"/>
          <w:highlight w:val="none"/>
        </w:rPr>
        <w:t xml:space="preserve">9.2.11 </w:t>
      </w:r>
      <w:r>
        <w:rPr>
          <w:rFonts w:hint="eastAsia" w:ascii="宋体" w:hAnsi="宋体"/>
          <w:bCs/>
          <w:color w:val="auto"/>
          <w:sz w:val="24"/>
          <w:highlight w:val="none"/>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1C71653B">
      <w:pPr>
        <w:spacing w:line="400" w:lineRule="exact"/>
        <w:jc w:val="left"/>
        <w:rPr>
          <w:rFonts w:ascii="宋体" w:hAnsi="Calibri"/>
          <w:bCs/>
          <w:color w:val="auto"/>
          <w:sz w:val="24"/>
          <w:highlight w:val="none"/>
        </w:rPr>
      </w:pPr>
      <w:r>
        <w:rPr>
          <w:rFonts w:ascii="宋体" w:hAnsi="宋体"/>
          <w:bCs/>
          <w:color w:val="auto"/>
          <w:sz w:val="24"/>
          <w:highlight w:val="none"/>
        </w:rPr>
        <w:t>9.4</w:t>
      </w:r>
      <w:r>
        <w:rPr>
          <w:rFonts w:ascii="宋体" w:hAnsi="宋体"/>
          <w:bCs/>
          <w:color w:val="auto"/>
          <w:sz w:val="24"/>
          <w:highlight w:val="none"/>
        </w:rPr>
        <w:tab/>
      </w:r>
      <w:r>
        <w:rPr>
          <w:rFonts w:hint="eastAsia" w:ascii="宋体" w:hAnsi="宋体"/>
          <w:bCs/>
          <w:color w:val="auto"/>
          <w:sz w:val="24"/>
          <w:highlight w:val="none"/>
        </w:rPr>
        <w:t>环境保护</w:t>
      </w:r>
    </w:p>
    <w:p w14:paraId="1332FE0F">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9.4.7 </w:t>
      </w:r>
      <w:r>
        <w:rPr>
          <w:rFonts w:hint="eastAsia" w:ascii="宋体" w:hAnsi="宋体"/>
          <w:bCs/>
          <w:color w:val="auto"/>
          <w:sz w:val="24"/>
          <w:highlight w:val="none"/>
        </w:rPr>
        <w:t>项</w:t>
      </w:r>
      <w:r>
        <w:rPr>
          <w:rFonts w:ascii="宋体" w:hAnsi="宋体"/>
          <w:bCs/>
          <w:color w:val="auto"/>
          <w:sz w:val="24"/>
          <w:highlight w:val="none"/>
        </w:rPr>
        <w:t>~</w:t>
      </w:r>
      <w:r>
        <w:rPr>
          <w:rFonts w:hint="eastAsia" w:ascii="宋体" w:hAnsi="宋体"/>
          <w:bCs/>
          <w:color w:val="auto"/>
          <w:sz w:val="24"/>
          <w:highlight w:val="none"/>
        </w:rPr>
        <w:t>第</w:t>
      </w:r>
      <w:r>
        <w:rPr>
          <w:rFonts w:ascii="宋体" w:hAnsi="宋体"/>
          <w:bCs/>
          <w:color w:val="auto"/>
          <w:sz w:val="24"/>
          <w:highlight w:val="none"/>
        </w:rPr>
        <w:t xml:space="preserve"> 9.4.11 </w:t>
      </w:r>
      <w:r>
        <w:rPr>
          <w:rFonts w:hint="eastAsia" w:ascii="宋体" w:hAnsi="宋体"/>
          <w:bCs/>
          <w:color w:val="auto"/>
          <w:sz w:val="24"/>
          <w:highlight w:val="none"/>
        </w:rPr>
        <w:t>项：</w:t>
      </w:r>
    </w:p>
    <w:p w14:paraId="43470F91">
      <w:pPr>
        <w:spacing w:line="400" w:lineRule="exact"/>
        <w:jc w:val="left"/>
        <w:rPr>
          <w:rFonts w:ascii="宋体" w:hAnsi="Calibri"/>
          <w:bCs/>
          <w:color w:val="auto"/>
          <w:sz w:val="24"/>
          <w:highlight w:val="none"/>
        </w:rPr>
      </w:pPr>
      <w:r>
        <w:rPr>
          <w:rFonts w:ascii="宋体" w:hAnsi="宋体"/>
          <w:bCs/>
          <w:color w:val="auto"/>
          <w:sz w:val="24"/>
          <w:highlight w:val="none"/>
        </w:rPr>
        <w:t xml:space="preserve">9.4.7 </w:t>
      </w:r>
      <w:r>
        <w:rPr>
          <w:rFonts w:hint="eastAsia" w:ascii="宋体" w:hAnsi="宋体"/>
          <w:bCs/>
          <w:color w:val="auto"/>
          <w:sz w:val="24"/>
          <w:highlight w:val="none"/>
        </w:rPr>
        <w:t>承包人应切实执行技术规范中有关环境保护方面的条款和规定。</w:t>
      </w:r>
    </w:p>
    <w:p w14:paraId="47DB4BF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宋体" w:hAnsi="宋体"/>
          <w:bCs/>
          <w:color w:val="auto"/>
          <w:sz w:val="24"/>
          <w:highlight w:val="none"/>
        </w:rPr>
        <w:t xml:space="preserve"> 150m </w:t>
      </w:r>
      <w:r>
        <w:rPr>
          <w:rFonts w:hint="eastAsia" w:ascii="宋体" w:hAnsi="宋体"/>
          <w:bCs/>
          <w:color w:val="auto"/>
          <w:sz w:val="24"/>
          <w:highlight w:val="none"/>
        </w:rPr>
        <w:t>以内的施工现场，施工时间应加以控制。</w:t>
      </w:r>
    </w:p>
    <w:p w14:paraId="7A86E0A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）对于公路施工中粉尘污染的主要污染源――灰土拌和、施工车辆和筑路机械运行及运输产生的扬尘，应采取有效措施减轻其对施工现场的大气污染，保护人民健康，如：</w:t>
      </w:r>
    </w:p>
    <w:p w14:paraId="00AA34CE">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拌和设备应有较好的密封，或有防尘设备。</w:t>
      </w:r>
    </w:p>
    <w:p w14:paraId="3EDF39F5">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施工通道、沥青混凝土拌和站及灰土拌和站应经常进行洒水降尘。</w:t>
      </w:r>
    </w:p>
    <w:p w14:paraId="249BDF2B">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路面施工应注意保持水分，以免扬尘。</w:t>
      </w:r>
    </w:p>
    <w:p w14:paraId="52125FAD">
      <w:pPr>
        <w:spacing w:line="400" w:lineRule="exact"/>
        <w:ind w:firstLine="240" w:firstLineChars="100"/>
        <w:jc w:val="left"/>
        <w:rPr>
          <w:rFonts w:ascii="宋体" w:hAnsi="Calibri"/>
          <w:bCs/>
          <w:color w:val="auto"/>
          <w:sz w:val="24"/>
          <w:highlight w:val="none"/>
        </w:rPr>
      </w:pPr>
      <w:r>
        <w:rPr>
          <w:rFonts w:ascii="宋体" w:hAnsi="宋体"/>
          <w:bCs/>
          <w:color w:val="auto"/>
          <w:sz w:val="24"/>
          <w:highlight w:val="none"/>
        </w:rPr>
        <w:t>d.</w:t>
      </w:r>
      <w:r>
        <w:rPr>
          <w:rFonts w:hint="eastAsia" w:ascii="宋体" w:hAnsi="宋体"/>
          <w:bCs/>
          <w:color w:val="auto"/>
          <w:sz w:val="24"/>
          <w:highlight w:val="none"/>
        </w:rPr>
        <w:t>隧道出渣和桥梁钻孔灌注桩施工时排出的泥浆要进行妥善处理，严禁向河流或农田排放。</w:t>
      </w:r>
    </w:p>
    <w:p w14:paraId="563AC9D3">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）采取可靠措施保证原有交通的正常通行，维持沿线村镇的居民饮水、农田灌溉、生产</w:t>
      </w:r>
    </w:p>
    <w:p w14:paraId="2BB22FA9">
      <w:pPr>
        <w:spacing w:line="400" w:lineRule="exact"/>
        <w:jc w:val="left"/>
        <w:rPr>
          <w:rFonts w:ascii="宋体" w:hAnsi="Calibri"/>
          <w:bCs/>
          <w:color w:val="auto"/>
          <w:sz w:val="24"/>
          <w:highlight w:val="none"/>
        </w:rPr>
      </w:pPr>
      <w:r>
        <w:rPr>
          <w:rFonts w:hint="eastAsia" w:ascii="宋体" w:hAnsi="宋体"/>
          <w:bCs/>
          <w:color w:val="auto"/>
          <w:sz w:val="24"/>
          <w:highlight w:val="none"/>
        </w:rPr>
        <w:t>生活用电及通信等管线的正常使用。</w:t>
      </w:r>
    </w:p>
    <w:p w14:paraId="1532F422">
      <w:pPr>
        <w:spacing w:line="400" w:lineRule="exact"/>
        <w:jc w:val="left"/>
        <w:rPr>
          <w:rFonts w:ascii="宋体" w:hAnsi="Calibri"/>
          <w:bCs/>
          <w:color w:val="auto"/>
          <w:sz w:val="24"/>
          <w:highlight w:val="none"/>
        </w:rPr>
      </w:pPr>
      <w:r>
        <w:rPr>
          <w:rFonts w:ascii="宋体" w:hAnsi="宋体"/>
          <w:bCs/>
          <w:color w:val="auto"/>
          <w:sz w:val="24"/>
          <w:highlight w:val="none"/>
        </w:rPr>
        <w:t xml:space="preserve">9.4.8 </w:t>
      </w:r>
      <w:r>
        <w:rPr>
          <w:rFonts w:hint="eastAsia" w:ascii="宋体" w:hAnsi="宋体"/>
          <w:bCs/>
          <w:color w:val="auto"/>
          <w:sz w:val="24"/>
          <w:highlight w:val="none"/>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97872AC">
      <w:pPr>
        <w:spacing w:line="400" w:lineRule="exact"/>
        <w:jc w:val="left"/>
        <w:rPr>
          <w:rFonts w:ascii="宋体" w:hAnsi="Calibri"/>
          <w:bCs/>
          <w:color w:val="auto"/>
          <w:sz w:val="24"/>
          <w:highlight w:val="none"/>
        </w:rPr>
      </w:pPr>
      <w:r>
        <w:rPr>
          <w:rFonts w:ascii="宋体" w:hAnsi="宋体"/>
          <w:bCs/>
          <w:color w:val="auto"/>
          <w:sz w:val="24"/>
          <w:highlight w:val="none"/>
        </w:rPr>
        <w:t xml:space="preserve">9.4.9 </w:t>
      </w:r>
      <w:r>
        <w:rPr>
          <w:rFonts w:hint="eastAsia" w:ascii="宋体" w:hAnsi="宋体"/>
          <w:bCs/>
          <w:color w:val="auto"/>
          <w:sz w:val="24"/>
          <w:highlight w:val="none"/>
        </w:rPr>
        <w:t>在施工期间，承包人应随时保持现场整洁，施工设备和材料、工程设备应整齐妥善存放和储存，废料与垃圾及不再需要的临时设施应及时从现场清除、拆除并运走。</w:t>
      </w:r>
    </w:p>
    <w:p w14:paraId="78F79361">
      <w:pPr>
        <w:spacing w:line="400" w:lineRule="exact"/>
        <w:jc w:val="left"/>
        <w:rPr>
          <w:rFonts w:ascii="宋体" w:hAnsi="Calibri"/>
          <w:bCs/>
          <w:color w:val="auto"/>
          <w:sz w:val="24"/>
          <w:highlight w:val="none"/>
        </w:rPr>
      </w:pPr>
      <w:r>
        <w:rPr>
          <w:rFonts w:ascii="宋体" w:hAnsi="宋体"/>
          <w:bCs/>
          <w:color w:val="auto"/>
          <w:sz w:val="24"/>
          <w:highlight w:val="none"/>
        </w:rPr>
        <w:t xml:space="preserve">9.4.10 </w:t>
      </w:r>
      <w:r>
        <w:rPr>
          <w:rFonts w:hint="eastAsia" w:ascii="宋体" w:hAnsi="宋体"/>
          <w:bCs/>
          <w:color w:val="auto"/>
          <w:sz w:val="24"/>
          <w:highlight w:val="none"/>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23DAFEB8">
      <w:pPr>
        <w:spacing w:line="400" w:lineRule="exact"/>
        <w:jc w:val="left"/>
        <w:rPr>
          <w:rFonts w:ascii="宋体" w:hAnsi="Calibri"/>
          <w:bCs/>
          <w:color w:val="auto"/>
          <w:sz w:val="24"/>
          <w:highlight w:val="none"/>
        </w:rPr>
      </w:pPr>
      <w:r>
        <w:rPr>
          <w:rFonts w:ascii="宋体" w:hAnsi="宋体"/>
          <w:bCs/>
          <w:color w:val="auto"/>
          <w:sz w:val="24"/>
          <w:highlight w:val="none"/>
        </w:rPr>
        <w:t xml:space="preserve">9.4.11 </w:t>
      </w:r>
      <w:r>
        <w:rPr>
          <w:rFonts w:hint="eastAsia" w:ascii="宋体" w:hAnsi="宋体"/>
          <w:bCs/>
          <w:color w:val="auto"/>
          <w:sz w:val="24"/>
          <w:highlight w:val="none"/>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346D7628">
      <w:pPr>
        <w:spacing w:line="400" w:lineRule="exact"/>
        <w:jc w:val="left"/>
        <w:rPr>
          <w:rFonts w:ascii="宋体" w:hAnsi="Calibri"/>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进度计划</w:t>
      </w:r>
    </w:p>
    <w:p w14:paraId="4624640E">
      <w:pPr>
        <w:spacing w:line="400" w:lineRule="exact"/>
        <w:jc w:val="left"/>
        <w:rPr>
          <w:rFonts w:ascii="宋体" w:hAnsi="Calibri"/>
          <w:bCs/>
          <w:color w:val="auto"/>
          <w:sz w:val="24"/>
          <w:highlight w:val="none"/>
        </w:rPr>
      </w:pPr>
      <w:r>
        <w:rPr>
          <w:rFonts w:ascii="宋体" w:hAnsi="宋体"/>
          <w:bCs/>
          <w:color w:val="auto"/>
          <w:sz w:val="24"/>
          <w:highlight w:val="none"/>
        </w:rPr>
        <w:t xml:space="preserve">10.1 </w:t>
      </w:r>
      <w:r>
        <w:rPr>
          <w:rFonts w:hint="eastAsia" w:ascii="宋体" w:hAnsi="宋体"/>
          <w:bCs/>
          <w:color w:val="auto"/>
          <w:sz w:val="24"/>
          <w:highlight w:val="none"/>
        </w:rPr>
        <w:t>合同进度计划</w:t>
      </w:r>
    </w:p>
    <w:p w14:paraId="2640D863">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31D4ACD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承包人编制施工方案说明的内容见项目专用合同条款。</w:t>
      </w:r>
    </w:p>
    <w:p w14:paraId="428EA50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承包人向监理人报送施工进度计划和施工方案说明的期限：签订合同协议书后</w:t>
      </w:r>
      <w:r>
        <w:rPr>
          <w:rFonts w:ascii="宋体" w:hAnsi="宋体"/>
          <w:bCs/>
          <w:color w:val="auto"/>
          <w:sz w:val="24"/>
          <w:highlight w:val="none"/>
        </w:rPr>
        <w:t xml:space="preserve"> 28 </w:t>
      </w:r>
      <w:r>
        <w:rPr>
          <w:rFonts w:hint="eastAsia" w:ascii="宋体" w:hAnsi="宋体"/>
          <w:bCs/>
          <w:color w:val="auto"/>
          <w:sz w:val="24"/>
          <w:highlight w:val="none"/>
        </w:rPr>
        <w:t>天之内。</w:t>
      </w:r>
    </w:p>
    <w:p w14:paraId="0760E2D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监理人应在</w:t>
      </w:r>
      <w:r>
        <w:rPr>
          <w:rFonts w:ascii="宋体" w:hAnsi="宋体"/>
          <w:bCs/>
          <w:color w:val="auto"/>
          <w:sz w:val="24"/>
          <w:highlight w:val="none"/>
        </w:rPr>
        <w:t xml:space="preserve"> 14 </w:t>
      </w:r>
      <w:r>
        <w:rPr>
          <w:rFonts w:hint="eastAsia" w:ascii="宋体" w:hAnsi="宋体"/>
          <w:bCs/>
          <w:color w:val="auto"/>
          <w:sz w:val="24"/>
          <w:highlight w:val="none"/>
        </w:rPr>
        <w:t>天内对承包人施工进度计划和施工方案说明予以批复或提出修改意见。</w:t>
      </w:r>
    </w:p>
    <w:p w14:paraId="363BA3B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合同进度计划应按照关键线路网络图和主要工作横道图两种形式分别编绘，并应包括每月预计完成的工作量和形象进度。</w:t>
      </w:r>
    </w:p>
    <w:p w14:paraId="0810BBCE">
      <w:pPr>
        <w:spacing w:line="400" w:lineRule="exact"/>
        <w:jc w:val="left"/>
        <w:rPr>
          <w:rFonts w:ascii="宋体" w:hAnsi="Calibri"/>
          <w:bCs/>
          <w:color w:val="auto"/>
          <w:sz w:val="24"/>
          <w:highlight w:val="none"/>
        </w:rPr>
      </w:pPr>
      <w:r>
        <w:rPr>
          <w:rFonts w:ascii="宋体" w:hAnsi="宋体"/>
          <w:bCs/>
          <w:color w:val="auto"/>
          <w:sz w:val="24"/>
          <w:highlight w:val="none"/>
        </w:rPr>
        <w:t xml:space="preserve">10.2 </w:t>
      </w:r>
      <w:r>
        <w:rPr>
          <w:rFonts w:hint="eastAsia" w:ascii="宋体" w:hAnsi="宋体"/>
          <w:bCs/>
          <w:color w:val="auto"/>
          <w:sz w:val="24"/>
          <w:highlight w:val="none"/>
        </w:rPr>
        <w:t>合同进度计划的修订</w:t>
      </w:r>
    </w:p>
    <w:p w14:paraId="723261E2">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本款补充：</w:t>
      </w:r>
    </w:p>
    <w:p w14:paraId="1F9A98C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承包人提交合同进度计划修订申请报告，并附有关措施和相关资料的期限：实际进度发生滞后的当月</w:t>
      </w:r>
      <w:r>
        <w:rPr>
          <w:rFonts w:ascii="宋体" w:hAnsi="宋体"/>
          <w:bCs/>
          <w:color w:val="auto"/>
          <w:sz w:val="24"/>
          <w:highlight w:val="none"/>
        </w:rPr>
        <w:t xml:space="preserve"> 25 </w:t>
      </w:r>
      <w:r>
        <w:rPr>
          <w:rFonts w:hint="eastAsia" w:ascii="宋体" w:hAnsi="宋体"/>
          <w:bCs/>
          <w:color w:val="auto"/>
          <w:sz w:val="24"/>
          <w:highlight w:val="none"/>
        </w:rPr>
        <w:t>日前。</w:t>
      </w:r>
    </w:p>
    <w:p w14:paraId="45E5255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监理人批复修订合同进度计划的期限：收到修订合同进度计划后</w:t>
      </w:r>
      <w:r>
        <w:rPr>
          <w:rFonts w:ascii="宋体" w:hAnsi="宋体"/>
          <w:bCs/>
          <w:color w:val="auto"/>
          <w:sz w:val="24"/>
          <w:highlight w:val="none"/>
        </w:rPr>
        <w:t xml:space="preserve"> 14 </w:t>
      </w:r>
      <w:r>
        <w:rPr>
          <w:rFonts w:hint="eastAsia" w:ascii="宋体" w:hAnsi="宋体"/>
          <w:bCs/>
          <w:color w:val="auto"/>
          <w:sz w:val="24"/>
          <w:highlight w:val="none"/>
        </w:rPr>
        <w:t>天内。</w:t>
      </w:r>
    </w:p>
    <w:p w14:paraId="62BA1CC3">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本条补充第</w:t>
      </w:r>
      <w:r>
        <w:rPr>
          <w:rFonts w:ascii="宋体" w:hAnsi="宋体"/>
          <w:bCs/>
          <w:color w:val="auto"/>
          <w:sz w:val="24"/>
          <w:highlight w:val="none"/>
        </w:rPr>
        <w:t xml:space="preserve"> 10.3 </w:t>
      </w:r>
      <w:r>
        <w:rPr>
          <w:rFonts w:hint="eastAsia" w:ascii="宋体" w:hAnsi="宋体"/>
          <w:bCs/>
          <w:color w:val="auto"/>
          <w:sz w:val="24"/>
          <w:highlight w:val="none"/>
        </w:rPr>
        <w:t>款、第</w:t>
      </w:r>
      <w:r>
        <w:rPr>
          <w:rFonts w:ascii="宋体" w:hAnsi="宋体"/>
          <w:bCs/>
          <w:color w:val="auto"/>
          <w:sz w:val="24"/>
          <w:highlight w:val="none"/>
        </w:rPr>
        <w:t xml:space="preserve"> 10.4 </w:t>
      </w:r>
      <w:r>
        <w:rPr>
          <w:rFonts w:hint="eastAsia" w:ascii="宋体" w:hAnsi="宋体"/>
          <w:bCs/>
          <w:color w:val="auto"/>
          <w:sz w:val="24"/>
          <w:highlight w:val="none"/>
        </w:rPr>
        <w:t>款：</w:t>
      </w:r>
    </w:p>
    <w:p w14:paraId="15CFEB81">
      <w:pPr>
        <w:spacing w:line="400" w:lineRule="exact"/>
        <w:jc w:val="left"/>
        <w:rPr>
          <w:rFonts w:ascii="宋体" w:hAnsi="Calibri"/>
          <w:bCs/>
          <w:color w:val="auto"/>
          <w:sz w:val="24"/>
          <w:highlight w:val="none"/>
        </w:rPr>
      </w:pPr>
      <w:r>
        <w:rPr>
          <w:rFonts w:ascii="宋体" w:hAnsi="宋体"/>
          <w:bCs/>
          <w:color w:val="auto"/>
          <w:sz w:val="24"/>
          <w:highlight w:val="none"/>
        </w:rPr>
        <w:t xml:space="preserve">10.3 </w:t>
      </w:r>
      <w:r>
        <w:rPr>
          <w:rFonts w:hint="eastAsia" w:ascii="宋体" w:hAnsi="宋体"/>
          <w:bCs/>
          <w:color w:val="auto"/>
          <w:sz w:val="24"/>
          <w:highlight w:val="none"/>
        </w:rPr>
        <w:t>年度施工计划</w:t>
      </w:r>
    </w:p>
    <w:p w14:paraId="48608B4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承包人应在每年</w:t>
      </w:r>
      <w:r>
        <w:rPr>
          <w:rFonts w:ascii="宋体" w:hAnsi="宋体"/>
          <w:bCs/>
          <w:color w:val="auto"/>
          <w:sz w:val="24"/>
          <w:highlight w:val="none"/>
        </w:rPr>
        <w:t xml:space="preserve"> 11 </w:t>
      </w:r>
      <w:r>
        <w:rPr>
          <w:rFonts w:hint="eastAsia" w:ascii="宋体" w:hAnsi="宋体"/>
          <w:bCs/>
          <w:color w:val="auto"/>
          <w:sz w:val="24"/>
          <w:highlight w:val="none"/>
        </w:rPr>
        <w:t>月底前，根据已同意的合同进度计划或其修订的计划，向监理人提交</w:t>
      </w:r>
      <w:r>
        <w:rPr>
          <w:rFonts w:ascii="宋体" w:hAnsi="宋体"/>
          <w:bCs/>
          <w:color w:val="auto"/>
          <w:sz w:val="24"/>
          <w:highlight w:val="none"/>
        </w:rPr>
        <w:t xml:space="preserve"> 2 </w:t>
      </w:r>
      <w:r>
        <w:rPr>
          <w:rFonts w:hint="eastAsia" w:ascii="宋体" w:hAnsi="宋体"/>
          <w:bCs/>
          <w:color w:val="auto"/>
          <w:sz w:val="24"/>
          <w:highlight w:val="none"/>
        </w:rPr>
        <w:t>份格式和内容符合监理人合理规定的下一年度的施工计划，以供审查。该计划应包括本年度估计完成的和下一年度预计完成的分项工程数量和工作量，以及为实施此计划将采取的措施。</w:t>
      </w:r>
    </w:p>
    <w:p w14:paraId="1E4177F2">
      <w:pPr>
        <w:spacing w:line="400" w:lineRule="exact"/>
        <w:jc w:val="left"/>
        <w:rPr>
          <w:rFonts w:ascii="宋体" w:hAnsi="Calibri"/>
          <w:bCs/>
          <w:color w:val="auto"/>
          <w:sz w:val="24"/>
          <w:highlight w:val="none"/>
        </w:rPr>
      </w:pPr>
      <w:r>
        <w:rPr>
          <w:rFonts w:ascii="宋体" w:hAnsi="宋体"/>
          <w:bCs/>
          <w:color w:val="auto"/>
          <w:sz w:val="24"/>
          <w:highlight w:val="none"/>
        </w:rPr>
        <w:t xml:space="preserve">10.4 </w:t>
      </w:r>
      <w:r>
        <w:rPr>
          <w:rFonts w:hint="eastAsia" w:ascii="宋体" w:hAnsi="宋体"/>
          <w:bCs/>
          <w:color w:val="auto"/>
          <w:sz w:val="24"/>
          <w:highlight w:val="none"/>
        </w:rPr>
        <w:t>合同用款计划</w:t>
      </w:r>
    </w:p>
    <w:p w14:paraId="2D0CA808">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承包人应在签订本合同协议书后</w:t>
      </w:r>
      <w:r>
        <w:rPr>
          <w:rFonts w:ascii="宋体" w:hAnsi="宋体"/>
          <w:bCs/>
          <w:color w:val="auto"/>
          <w:sz w:val="24"/>
          <w:highlight w:val="none"/>
        </w:rPr>
        <w:t xml:space="preserve"> 28 </w:t>
      </w:r>
      <w:r>
        <w:rPr>
          <w:rFonts w:hint="eastAsia" w:ascii="宋体" w:hAnsi="宋体"/>
          <w:bCs/>
          <w:color w:val="auto"/>
          <w:sz w:val="24"/>
          <w:highlight w:val="none"/>
        </w:rPr>
        <w:t>天之内，按招标文件中规定的格式，向监理人提交</w:t>
      </w:r>
      <w:r>
        <w:rPr>
          <w:rFonts w:ascii="宋体" w:hAnsi="宋体"/>
          <w:bCs/>
          <w:color w:val="auto"/>
          <w:sz w:val="24"/>
          <w:highlight w:val="none"/>
        </w:rPr>
        <w:t xml:space="preserve"> 2 </w:t>
      </w:r>
      <w:r>
        <w:rPr>
          <w:rFonts w:hint="eastAsia" w:ascii="宋体" w:hAnsi="宋体"/>
          <w:bCs/>
          <w:color w:val="auto"/>
          <w:sz w:val="24"/>
          <w:highlight w:val="none"/>
        </w:rPr>
        <w:t>份按合同规定承包人有权得到支付的详细的季度合同用款计划，以备监理人查阅。如果监理人提出要求，承包人还应按季度提交修订的合同用款计划。</w:t>
      </w:r>
    </w:p>
    <w:p w14:paraId="304C56FC">
      <w:pPr>
        <w:spacing w:line="400" w:lineRule="exact"/>
        <w:jc w:val="left"/>
        <w:rPr>
          <w:rFonts w:ascii="宋体" w:hAnsi="Calibri"/>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开工和交工</w:t>
      </w:r>
    </w:p>
    <w:p w14:paraId="0114E36A">
      <w:pPr>
        <w:spacing w:line="400" w:lineRule="exact"/>
        <w:jc w:val="left"/>
        <w:rPr>
          <w:rFonts w:ascii="宋体" w:hAnsi="Calibri"/>
          <w:bCs/>
          <w:color w:val="auto"/>
          <w:sz w:val="24"/>
          <w:highlight w:val="none"/>
        </w:rPr>
      </w:pPr>
      <w:r>
        <w:rPr>
          <w:rFonts w:ascii="宋体" w:hAnsi="宋体"/>
          <w:bCs/>
          <w:color w:val="auto"/>
          <w:sz w:val="24"/>
          <w:highlight w:val="none"/>
        </w:rPr>
        <w:t xml:space="preserve">11.1 </w:t>
      </w:r>
      <w:r>
        <w:rPr>
          <w:rFonts w:hint="eastAsia" w:ascii="宋体" w:hAnsi="宋体"/>
          <w:bCs/>
          <w:color w:val="auto"/>
          <w:sz w:val="24"/>
          <w:highlight w:val="none"/>
        </w:rPr>
        <w:t>开工</w:t>
      </w:r>
    </w:p>
    <w:p w14:paraId="0DBCB3B3">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11.1.2 </w:t>
      </w:r>
      <w:r>
        <w:rPr>
          <w:rFonts w:hint="eastAsia" w:ascii="宋体" w:hAnsi="宋体"/>
          <w:bCs/>
          <w:color w:val="auto"/>
          <w:sz w:val="24"/>
          <w:highlight w:val="none"/>
        </w:rPr>
        <w:t>项补充：</w:t>
      </w:r>
    </w:p>
    <w:p w14:paraId="231B062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承包人应在分部工程开工前</w:t>
      </w:r>
      <w:r>
        <w:rPr>
          <w:rFonts w:ascii="宋体" w:hAnsi="宋体"/>
          <w:bCs/>
          <w:color w:val="auto"/>
          <w:sz w:val="24"/>
          <w:highlight w:val="none"/>
        </w:rPr>
        <w:t xml:space="preserve"> 14 </w:t>
      </w:r>
      <w:r>
        <w:rPr>
          <w:rFonts w:hint="eastAsia" w:ascii="宋体" w:hAnsi="宋体"/>
          <w:bCs/>
          <w:color w:val="auto"/>
          <w:sz w:val="24"/>
          <w:highlight w:val="none"/>
        </w:rPr>
        <w:t>天向监理人提交分部工程开工报审表，若承包人的开工准备、工作计划和质量控制方法是可接受的且已获得批准，则经监理人书面同意，分部工程才能开工。</w:t>
      </w:r>
    </w:p>
    <w:p w14:paraId="4BFB97B5">
      <w:pPr>
        <w:spacing w:line="400" w:lineRule="exact"/>
        <w:jc w:val="left"/>
        <w:rPr>
          <w:rFonts w:ascii="宋体" w:hAnsi="Calibri"/>
          <w:bCs/>
          <w:color w:val="auto"/>
          <w:sz w:val="24"/>
          <w:highlight w:val="none"/>
        </w:rPr>
      </w:pPr>
      <w:r>
        <w:rPr>
          <w:rFonts w:ascii="宋体" w:hAnsi="宋体"/>
          <w:bCs/>
          <w:color w:val="auto"/>
          <w:sz w:val="24"/>
          <w:highlight w:val="none"/>
        </w:rPr>
        <w:t>11.3</w:t>
      </w:r>
      <w:r>
        <w:rPr>
          <w:rFonts w:ascii="宋体" w:hAnsi="宋体"/>
          <w:bCs/>
          <w:color w:val="auto"/>
          <w:sz w:val="24"/>
          <w:highlight w:val="none"/>
        </w:rPr>
        <w:tab/>
      </w:r>
      <w:r>
        <w:rPr>
          <w:rFonts w:hint="eastAsia" w:ascii="宋体" w:hAnsi="宋体"/>
          <w:bCs/>
          <w:color w:val="auto"/>
          <w:sz w:val="24"/>
          <w:highlight w:val="none"/>
        </w:rPr>
        <w:t>发包人的工期延误</w:t>
      </w:r>
    </w:p>
    <w:p w14:paraId="45E96B0A">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3DD77BA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即使由于上述原因造成工期延误，如果受影响的工程并非处在工程施工进度网络计划的关键线路上，则承包人无权要求延长总工期。</w:t>
      </w:r>
    </w:p>
    <w:p w14:paraId="3AF09E32">
      <w:pPr>
        <w:spacing w:line="400" w:lineRule="exact"/>
        <w:jc w:val="left"/>
        <w:rPr>
          <w:rFonts w:ascii="宋体" w:hAnsi="Calibri"/>
          <w:bCs/>
          <w:color w:val="auto"/>
          <w:sz w:val="24"/>
          <w:highlight w:val="none"/>
        </w:rPr>
      </w:pPr>
      <w:r>
        <w:rPr>
          <w:rFonts w:ascii="宋体" w:hAnsi="宋体"/>
          <w:bCs/>
          <w:color w:val="auto"/>
          <w:sz w:val="24"/>
          <w:highlight w:val="none"/>
        </w:rPr>
        <w:t>11.4</w:t>
      </w:r>
      <w:r>
        <w:rPr>
          <w:rFonts w:ascii="宋体" w:hAnsi="宋体"/>
          <w:bCs/>
          <w:color w:val="auto"/>
          <w:sz w:val="24"/>
          <w:highlight w:val="none"/>
        </w:rPr>
        <w:tab/>
      </w:r>
      <w:r>
        <w:rPr>
          <w:rFonts w:hint="eastAsia" w:ascii="宋体" w:hAnsi="宋体"/>
          <w:bCs/>
          <w:color w:val="auto"/>
          <w:sz w:val="24"/>
          <w:highlight w:val="none"/>
        </w:rPr>
        <w:t>异常恶劣的气候条件</w:t>
      </w:r>
    </w:p>
    <w:p w14:paraId="51357AE7">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124FB60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异常气候是指项目所在地</w:t>
      </w:r>
      <w:r>
        <w:rPr>
          <w:rFonts w:ascii="宋体" w:hAnsi="宋体"/>
          <w:bCs/>
          <w:color w:val="auto"/>
          <w:sz w:val="24"/>
          <w:highlight w:val="none"/>
        </w:rPr>
        <w:t xml:space="preserve"> 30 </w:t>
      </w:r>
      <w:r>
        <w:rPr>
          <w:rFonts w:hint="eastAsia" w:ascii="宋体" w:hAnsi="宋体"/>
          <w:bCs/>
          <w:color w:val="auto"/>
          <w:sz w:val="24"/>
          <w:highlight w:val="none"/>
        </w:rPr>
        <w:t>年以上一遇的罕见气候现象（包括温度、降水、降雪、风等。）异常恶劣的气候条件在项目专用合同条款中作具体约定。</w:t>
      </w:r>
    </w:p>
    <w:p w14:paraId="78780F99">
      <w:pPr>
        <w:spacing w:line="400" w:lineRule="exact"/>
        <w:jc w:val="left"/>
        <w:rPr>
          <w:rFonts w:ascii="宋体" w:hAnsi="Calibri"/>
          <w:bCs/>
          <w:color w:val="auto"/>
          <w:sz w:val="24"/>
          <w:highlight w:val="none"/>
        </w:rPr>
      </w:pPr>
      <w:r>
        <w:rPr>
          <w:rFonts w:ascii="宋体" w:hAnsi="宋体"/>
          <w:bCs/>
          <w:color w:val="auto"/>
          <w:sz w:val="24"/>
          <w:highlight w:val="none"/>
        </w:rPr>
        <w:t>11.5</w:t>
      </w:r>
      <w:r>
        <w:rPr>
          <w:rFonts w:ascii="宋体" w:hAnsi="宋体"/>
          <w:bCs/>
          <w:color w:val="auto"/>
          <w:sz w:val="24"/>
          <w:highlight w:val="none"/>
        </w:rPr>
        <w:tab/>
      </w:r>
      <w:r>
        <w:rPr>
          <w:rFonts w:hint="eastAsia" w:ascii="宋体" w:hAnsi="宋体"/>
          <w:bCs/>
          <w:color w:val="auto"/>
          <w:sz w:val="24"/>
          <w:highlight w:val="none"/>
        </w:rPr>
        <w:t>承包人的工期延误</w:t>
      </w:r>
    </w:p>
    <w:p w14:paraId="64ED8E05">
      <w:pPr>
        <w:spacing w:line="400" w:lineRule="exact"/>
        <w:jc w:val="left"/>
        <w:rPr>
          <w:rFonts w:ascii="宋体" w:hAnsi="Calibri"/>
          <w:bCs/>
          <w:color w:val="auto"/>
          <w:sz w:val="24"/>
          <w:highlight w:val="none"/>
        </w:rPr>
      </w:pPr>
      <w:r>
        <w:rPr>
          <w:rFonts w:hint="eastAsia" w:ascii="宋体" w:hAnsi="宋体"/>
          <w:bCs/>
          <w:color w:val="auto"/>
          <w:sz w:val="24"/>
          <w:highlight w:val="none"/>
        </w:rPr>
        <w:t>本款细化为：</w:t>
      </w:r>
    </w:p>
    <w:p w14:paraId="2F9B1BA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）承包人应严格执行监理人批准的合同进度计划，对工作量计划和形象进度计划分别控制。除第</w:t>
      </w:r>
      <w:r>
        <w:rPr>
          <w:rFonts w:ascii="宋体" w:hAnsi="宋体"/>
          <w:bCs/>
          <w:color w:val="auto"/>
          <w:sz w:val="24"/>
          <w:highlight w:val="none"/>
        </w:rPr>
        <w:t xml:space="preserve"> 11.3 </w:t>
      </w:r>
      <w:r>
        <w:rPr>
          <w:rFonts w:hint="eastAsia" w:ascii="宋体" w:hAnsi="宋体"/>
          <w:bCs/>
          <w:color w:val="auto"/>
          <w:sz w:val="24"/>
          <w:highlight w:val="none"/>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7002BF4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）如果承包人在接到监理人通知后的</w:t>
      </w:r>
      <w:r>
        <w:rPr>
          <w:rFonts w:ascii="宋体" w:hAnsi="宋体"/>
          <w:bCs/>
          <w:color w:val="auto"/>
          <w:sz w:val="24"/>
          <w:highlight w:val="none"/>
        </w:rPr>
        <w:t xml:space="preserve"> 14 </w:t>
      </w:r>
      <w:r>
        <w:rPr>
          <w:rFonts w:hint="eastAsia" w:ascii="宋体" w:hAnsi="宋体"/>
          <w:bCs/>
          <w:color w:val="auto"/>
          <w:sz w:val="24"/>
          <w:highlight w:val="none"/>
        </w:rPr>
        <w:t>天内，未能采取加快工程进度的措施，致使实际工程进度进一步滞后，或承包人虽采取了一些措施，仍无法按预计工期交工时，监理人应立即通知发包人。发包人在向承包人发出书面警告通知</w:t>
      </w:r>
      <w:r>
        <w:rPr>
          <w:rFonts w:ascii="宋体" w:hAnsi="宋体"/>
          <w:bCs/>
          <w:color w:val="auto"/>
          <w:sz w:val="24"/>
          <w:highlight w:val="none"/>
        </w:rPr>
        <w:t xml:space="preserve"> 14 </w:t>
      </w:r>
      <w:r>
        <w:rPr>
          <w:rFonts w:hint="eastAsia" w:ascii="宋体" w:hAnsi="宋体"/>
          <w:bCs/>
          <w:color w:val="auto"/>
          <w:sz w:val="24"/>
          <w:highlight w:val="none"/>
        </w:rPr>
        <w:t>天后，发包人可按第</w:t>
      </w:r>
      <w:r>
        <w:rPr>
          <w:rFonts w:ascii="宋体" w:hAnsi="宋体"/>
          <w:bCs/>
          <w:color w:val="auto"/>
          <w:sz w:val="24"/>
          <w:highlight w:val="none"/>
        </w:rPr>
        <w:t xml:space="preserve"> 22.1 </w:t>
      </w:r>
      <w:r>
        <w:rPr>
          <w:rFonts w:hint="eastAsia" w:ascii="宋体" w:hAnsi="宋体"/>
          <w:bCs/>
          <w:color w:val="auto"/>
          <w:sz w:val="24"/>
          <w:highlight w:val="none"/>
        </w:rPr>
        <w:t>款终止对承包人的雇用，也可将本合同工程中的一部分工作交由其他承包人或其他分包人完成。在不解除本合同规定的承包人责任和义务的同时，承包人应承担因此所增加的一切费用。</w:t>
      </w:r>
    </w:p>
    <w:p w14:paraId="29385EF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56C7C11C">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）承包人支付逾期交工违约金，不免除承包人完成工程及修补缺陷的义务。</w:t>
      </w:r>
    </w:p>
    <w:p w14:paraId="0886F5C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32A5CB97">
      <w:pPr>
        <w:spacing w:line="400" w:lineRule="exact"/>
        <w:jc w:val="left"/>
        <w:rPr>
          <w:rFonts w:ascii="宋体" w:hAnsi="Calibri"/>
          <w:bCs/>
          <w:color w:val="auto"/>
          <w:sz w:val="24"/>
          <w:highlight w:val="none"/>
        </w:rPr>
      </w:pPr>
      <w:r>
        <w:rPr>
          <w:rFonts w:ascii="宋体" w:hAnsi="宋体"/>
          <w:bCs/>
          <w:color w:val="auto"/>
          <w:sz w:val="24"/>
          <w:highlight w:val="none"/>
        </w:rPr>
        <w:t>11.6</w:t>
      </w:r>
      <w:r>
        <w:rPr>
          <w:rFonts w:ascii="宋体" w:hAnsi="宋体"/>
          <w:bCs/>
          <w:color w:val="auto"/>
          <w:sz w:val="24"/>
          <w:highlight w:val="none"/>
        </w:rPr>
        <w:tab/>
      </w:r>
      <w:r>
        <w:rPr>
          <w:rFonts w:hint="eastAsia" w:ascii="宋体" w:hAnsi="宋体"/>
          <w:bCs/>
          <w:color w:val="auto"/>
          <w:sz w:val="24"/>
          <w:highlight w:val="none"/>
        </w:rPr>
        <w:t>工期提前</w:t>
      </w:r>
    </w:p>
    <w:p w14:paraId="276841EA">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240A4F8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04071EA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10F2AB57">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本条补充第</w:t>
      </w:r>
      <w:r>
        <w:rPr>
          <w:rFonts w:ascii="宋体" w:hAnsi="宋体"/>
          <w:bCs/>
          <w:color w:val="auto"/>
          <w:sz w:val="24"/>
          <w:highlight w:val="none"/>
        </w:rPr>
        <w:t xml:space="preserve"> 11.7 </w:t>
      </w:r>
      <w:r>
        <w:rPr>
          <w:rFonts w:hint="eastAsia" w:ascii="宋体" w:hAnsi="宋体"/>
          <w:bCs/>
          <w:color w:val="auto"/>
          <w:sz w:val="24"/>
          <w:highlight w:val="none"/>
        </w:rPr>
        <w:t>款：</w:t>
      </w:r>
    </w:p>
    <w:p w14:paraId="70C43FB8">
      <w:pPr>
        <w:spacing w:line="400" w:lineRule="exact"/>
        <w:jc w:val="left"/>
        <w:rPr>
          <w:rFonts w:ascii="宋体" w:hAnsi="Calibri"/>
          <w:bCs/>
          <w:color w:val="auto"/>
          <w:sz w:val="24"/>
          <w:highlight w:val="none"/>
        </w:rPr>
      </w:pPr>
      <w:r>
        <w:rPr>
          <w:rFonts w:ascii="宋体" w:hAnsi="宋体"/>
          <w:bCs/>
          <w:color w:val="auto"/>
          <w:sz w:val="24"/>
          <w:highlight w:val="none"/>
        </w:rPr>
        <w:t>11.7</w:t>
      </w:r>
      <w:r>
        <w:rPr>
          <w:rFonts w:ascii="宋体" w:hAnsi="宋体"/>
          <w:bCs/>
          <w:color w:val="auto"/>
          <w:sz w:val="24"/>
          <w:highlight w:val="none"/>
        </w:rPr>
        <w:tab/>
      </w:r>
      <w:r>
        <w:rPr>
          <w:rFonts w:hint="eastAsia" w:ascii="宋体" w:hAnsi="宋体"/>
          <w:bCs/>
          <w:color w:val="auto"/>
          <w:sz w:val="24"/>
          <w:highlight w:val="none"/>
        </w:rPr>
        <w:t>工作时间的限制</w:t>
      </w:r>
    </w:p>
    <w:p w14:paraId="6160767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在夜间或国家规定的节假日进行永久工程的施工，应向监理人报告，以便监理人履行监理职责和义务。但是，为了抢救生命或保护财产，或为了工程的安全、质量而不可避免地短暂作业，则不必事先向监理人报告。但承包人应在事后立即向监理人报告。</w:t>
      </w:r>
    </w:p>
    <w:p w14:paraId="0F20C28C">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本款规定不适用于习惯上或施工本身要求实行连续生产的作业。</w:t>
      </w:r>
    </w:p>
    <w:p w14:paraId="0569F7F5">
      <w:pPr>
        <w:spacing w:line="400" w:lineRule="exact"/>
        <w:jc w:val="left"/>
        <w:rPr>
          <w:rFonts w:ascii="宋体" w:hAnsi="Calibri"/>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暂停施工</w:t>
      </w:r>
    </w:p>
    <w:p w14:paraId="47B848D3">
      <w:pPr>
        <w:spacing w:line="400" w:lineRule="exact"/>
        <w:jc w:val="left"/>
        <w:rPr>
          <w:rFonts w:ascii="宋体" w:hAnsi="Calibri"/>
          <w:bCs/>
          <w:color w:val="auto"/>
          <w:sz w:val="24"/>
          <w:highlight w:val="none"/>
        </w:rPr>
      </w:pPr>
      <w:r>
        <w:rPr>
          <w:rFonts w:ascii="宋体" w:hAnsi="宋体"/>
          <w:bCs/>
          <w:color w:val="auto"/>
          <w:sz w:val="24"/>
          <w:highlight w:val="none"/>
        </w:rPr>
        <w:t xml:space="preserve">12.1 </w:t>
      </w:r>
      <w:r>
        <w:rPr>
          <w:rFonts w:hint="eastAsia" w:ascii="宋体" w:hAnsi="宋体"/>
          <w:bCs/>
          <w:color w:val="auto"/>
          <w:sz w:val="24"/>
          <w:highlight w:val="none"/>
        </w:rPr>
        <w:t>承包人暂停施工的责任</w:t>
      </w:r>
    </w:p>
    <w:p w14:paraId="3C255B8E">
      <w:pPr>
        <w:spacing w:line="400" w:lineRule="exact"/>
        <w:jc w:val="left"/>
        <w:rPr>
          <w:rFonts w:ascii="宋体" w:hAnsi="Calibri"/>
          <w:bCs/>
          <w:color w:val="auto"/>
          <w:sz w:val="24"/>
          <w:highlight w:val="none"/>
        </w:rPr>
      </w:pPr>
      <w:r>
        <w:rPr>
          <w:rFonts w:hint="eastAsia" w:ascii="宋体" w:hAnsi="宋体"/>
          <w:bCs/>
          <w:color w:val="auto"/>
          <w:sz w:val="24"/>
          <w:highlight w:val="none"/>
        </w:rPr>
        <w:t>本款第（</w:t>
      </w:r>
      <w:r>
        <w:rPr>
          <w:rFonts w:ascii="宋体" w:hAnsi="宋体"/>
          <w:bCs/>
          <w:color w:val="auto"/>
          <w:sz w:val="24"/>
          <w:highlight w:val="none"/>
        </w:rPr>
        <w:t>5</w:t>
      </w:r>
      <w:r>
        <w:rPr>
          <w:rFonts w:hint="eastAsia" w:ascii="宋体" w:hAnsi="宋体"/>
          <w:bCs/>
          <w:color w:val="auto"/>
          <w:sz w:val="24"/>
          <w:highlight w:val="none"/>
        </w:rPr>
        <w:t>）项细化为：</w:t>
      </w:r>
    </w:p>
    <w:p w14:paraId="6A1AB678">
      <w:pPr>
        <w:spacing w:line="400" w:lineRule="exact"/>
        <w:ind w:left="479" w:leftChars="228"/>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）现场气候条件导致的必要停工（第</w:t>
      </w:r>
      <w:r>
        <w:rPr>
          <w:rFonts w:ascii="宋体" w:hAnsi="宋体"/>
          <w:bCs/>
          <w:color w:val="auto"/>
          <w:sz w:val="24"/>
          <w:highlight w:val="none"/>
        </w:rPr>
        <w:t xml:space="preserve"> 11.4 </w:t>
      </w:r>
      <w:r>
        <w:rPr>
          <w:rFonts w:hint="eastAsia" w:ascii="宋体" w:hAnsi="宋体"/>
          <w:bCs/>
          <w:color w:val="auto"/>
          <w:sz w:val="24"/>
          <w:highlight w:val="none"/>
        </w:rPr>
        <w:t>款约定的异常恶劣的气候条件除外；）（</w:t>
      </w:r>
      <w:r>
        <w:rPr>
          <w:rFonts w:ascii="宋体" w:hAnsi="宋体"/>
          <w:bCs/>
          <w:color w:val="auto"/>
          <w:sz w:val="24"/>
          <w:highlight w:val="none"/>
        </w:rPr>
        <w:t>6</w:t>
      </w:r>
      <w:r>
        <w:rPr>
          <w:rFonts w:hint="eastAsia" w:ascii="宋体" w:hAnsi="宋体"/>
          <w:bCs/>
          <w:color w:val="auto"/>
          <w:sz w:val="24"/>
          <w:highlight w:val="none"/>
        </w:rPr>
        <w:t>）项目专用合同条款可能约定的由承包人承担的其他暂停施工。</w:t>
      </w:r>
    </w:p>
    <w:p w14:paraId="1265B2C0">
      <w:pPr>
        <w:spacing w:line="400" w:lineRule="exact"/>
        <w:jc w:val="left"/>
        <w:rPr>
          <w:rFonts w:ascii="宋体" w:hAnsi="Calibri"/>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工程质量</w:t>
      </w:r>
    </w:p>
    <w:p w14:paraId="4B01A499">
      <w:pPr>
        <w:spacing w:line="400" w:lineRule="exact"/>
        <w:jc w:val="left"/>
        <w:rPr>
          <w:rFonts w:ascii="宋体" w:hAnsi="Calibri"/>
          <w:bCs/>
          <w:color w:val="auto"/>
          <w:sz w:val="24"/>
          <w:highlight w:val="none"/>
        </w:rPr>
      </w:pPr>
      <w:r>
        <w:rPr>
          <w:rFonts w:ascii="宋体" w:hAnsi="宋体"/>
          <w:bCs/>
          <w:color w:val="auto"/>
          <w:sz w:val="24"/>
          <w:highlight w:val="none"/>
        </w:rPr>
        <w:t xml:space="preserve">13.1 </w:t>
      </w:r>
      <w:r>
        <w:rPr>
          <w:rFonts w:hint="eastAsia" w:ascii="宋体" w:hAnsi="宋体"/>
          <w:bCs/>
          <w:color w:val="auto"/>
          <w:sz w:val="24"/>
          <w:highlight w:val="none"/>
        </w:rPr>
        <w:t>工程质量要求</w:t>
      </w:r>
    </w:p>
    <w:p w14:paraId="7ED6544D">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13.1.1 </w:t>
      </w:r>
      <w:r>
        <w:rPr>
          <w:rFonts w:hint="eastAsia" w:ascii="宋体" w:hAnsi="宋体"/>
          <w:bCs/>
          <w:color w:val="auto"/>
          <w:sz w:val="24"/>
          <w:highlight w:val="none"/>
        </w:rPr>
        <w:t>项约定为：</w:t>
      </w:r>
    </w:p>
    <w:p w14:paraId="14E3F62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工程质量验收按技术规范及《公路工程质量检验评定标准》执行。</w:t>
      </w:r>
    </w:p>
    <w:p w14:paraId="4F7A2EE2">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13.1.4 </w:t>
      </w:r>
      <w:r>
        <w:rPr>
          <w:rFonts w:hint="eastAsia" w:ascii="宋体" w:hAnsi="宋体"/>
          <w:bCs/>
          <w:color w:val="auto"/>
          <w:sz w:val="24"/>
          <w:highlight w:val="none"/>
        </w:rPr>
        <w:t>项、第</w:t>
      </w:r>
      <w:r>
        <w:rPr>
          <w:rFonts w:ascii="宋体" w:hAnsi="宋体"/>
          <w:bCs/>
          <w:color w:val="auto"/>
          <w:sz w:val="24"/>
          <w:highlight w:val="none"/>
        </w:rPr>
        <w:t xml:space="preserve"> 13.1.5 </w:t>
      </w:r>
      <w:r>
        <w:rPr>
          <w:rFonts w:hint="eastAsia" w:ascii="宋体" w:hAnsi="宋体"/>
          <w:bCs/>
          <w:color w:val="auto"/>
          <w:sz w:val="24"/>
          <w:highlight w:val="none"/>
        </w:rPr>
        <w:t>项：</w:t>
      </w:r>
    </w:p>
    <w:p w14:paraId="4E7EC4D6">
      <w:pPr>
        <w:spacing w:line="400" w:lineRule="exact"/>
        <w:jc w:val="left"/>
        <w:rPr>
          <w:rFonts w:ascii="宋体" w:hAnsi="Calibri"/>
          <w:bCs/>
          <w:color w:val="auto"/>
          <w:sz w:val="24"/>
          <w:highlight w:val="none"/>
        </w:rPr>
      </w:pPr>
      <w:r>
        <w:rPr>
          <w:rFonts w:ascii="宋体" w:hAnsi="宋体"/>
          <w:bCs/>
          <w:color w:val="auto"/>
          <w:sz w:val="24"/>
          <w:highlight w:val="none"/>
        </w:rPr>
        <w:t xml:space="preserve">13.1.4 </w:t>
      </w:r>
      <w:r>
        <w:rPr>
          <w:rFonts w:hint="eastAsia" w:ascii="宋体" w:hAnsi="宋体"/>
          <w:bCs/>
          <w:color w:val="auto"/>
          <w:sz w:val="24"/>
          <w:highlight w:val="none"/>
        </w:rPr>
        <w:t>发包人和承包人应严格遵守《关于严格落实公路工程质量责任制的若干意见》的相关规定，认真执行工程质量责任登记制度并按要求填写工程质量责任登记表。</w:t>
      </w:r>
    </w:p>
    <w:p w14:paraId="77D4245B">
      <w:pPr>
        <w:spacing w:line="400" w:lineRule="exact"/>
        <w:jc w:val="left"/>
        <w:rPr>
          <w:rFonts w:ascii="宋体" w:hAnsi="Calibri"/>
          <w:bCs/>
          <w:color w:val="auto"/>
          <w:sz w:val="24"/>
          <w:highlight w:val="none"/>
        </w:rPr>
      </w:pPr>
      <w:r>
        <w:rPr>
          <w:rFonts w:ascii="宋体" w:hAnsi="宋体"/>
          <w:bCs/>
          <w:color w:val="auto"/>
          <w:sz w:val="24"/>
          <w:highlight w:val="none"/>
        </w:rPr>
        <w:t xml:space="preserve">13.1.5 </w:t>
      </w:r>
      <w:r>
        <w:rPr>
          <w:rFonts w:hint="eastAsia" w:ascii="宋体" w:hAnsi="宋体"/>
          <w:bCs/>
          <w:color w:val="auto"/>
          <w:sz w:val="24"/>
          <w:highlight w:val="none"/>
        </w:rPr>
        <w:t>本项目严格执行质量责任追究制度。质量事故处理实行“四不放过”原则：事故原因调查不清不放过；事故责任者没有受到教育不放过；没有防范措施不放过；相关责任人没受到处理不放过。</w:t>
      </w:r>
    </w:p>
    <w:p w14:paraId="4A7991C6">
      <w:pPr>
        <w:spacing w:line="400" w:lineRule="exact"/>
        <w:jc w:val="left"/>
        <w:rPr>
          <w:rFonts w:ascii="宋体" w:hAnsi="Calibri"/>
          <w:bCs/>
          <w:color w:val="auto"/>
          <w:sz w:val="24"/>
          <w:highlight w:val="none"/>
        </w:rPr>
      </w:pPr>
      <w:r>
        <w:rPr>
          <w:rFonts w:ascii="宋体" w:hAnsi="宋体"/>
          <w:bCs/>
          <w:color w:val="auto"/>
          <w:sz w:val="24"/>
          <w:highlight w:val="none"/>
        </w:rPr>
        <w:t xml:space="preserve">13.2 </w:t>
      </w:r>
      <w:r>
        <w:rPr>
          <w:rFonts w:hint="eastAsia" w:ascii="宋体" w:hAnsi="宋体"/>
          <w:bCs/>
          <w:color w:val="auto"/>
          <w:sz w:val="24"/>
          <w:highlight w:val="none"/>
        </w:rPr>
        <w:t>承包人的质量管理</w:t>
      </w:r>
    </w:p>
    <w:p w14:paraId="73EBAF58">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13.2.1 </w:t>
      </w:r>
      <w:r>
        <w:rPr>
          <w:rFonts w:hint="eastAsia" w:ascii="宋体" w:hAnsi="宋体"/>
          <w:bCs/>
          <w:color w:val="auto"/>
          <w:sz w:val="24"/>
          <w:highlight w:val="none"/>
        </w:rPr>
        <w:t>项补充：</w:t>
      </w:r>
    </w:p>
    <w:p w14:paraId="35DA7A1D">
      <w:pPr>
        <w:spacing w:line="400" w:lineRule="exact"/>
        <w:jc w:val="left"/>
        <w:rPr>
          <w:rFonts w:ascii="宋体" w:hAnsi="Calibri"/>
          <w:bCs/>
          <w:color w:val="auto"/>
          <w:sz w:val="24"/>
          <w:highlight w:val="none"/>
        </w:rPr>
      </w:pPr>
      <w:r>
        <w:rPr>
          <w:rFonts w:hint="eastAsia" w:ascii="宋体" w:hAnsi="宋体"/>
          <w:bCs/>
          <w:color w:val="auto"/>
          <w:sz w:val="24"/>
          <w:highlight w:val="none"/>
        </w:rPr>
        <w:t>承包人提交工程质量保证措施文件的期限：签订合同协议书后</w:t>
      </w:r>
      <w:r>
        <w:rPr>
          <w:rFonts w:ascii="宋体" w:hAnsi="宋体"/>
          <w:bCs/>
          <w:color w:val="auto"/>
          <w:sz w:val="24"/>
          <w:highlight w:val="none"/>
        </w:rPr>
        <w:t xml:space="preserve"> 28 </w:t>
      </w:r>
      <w:r>
        <w:rPr>
          <w:rFonts w:hint="eastAsia" w:ascii="宋体" w:hAnsi="宋体"/>
          <w:bCs/>
          <w:color w:val="auto"/>
          <w:sz w:val="24"/>
          <w:highlight w:val="none"/>
        </w:rPr>
        <w:t>天之内。本款补充第</w:t>
      </w:r>
      <w:r>
        <w:rPr>
          <w:rFonts w:ascii="宋体" w:hAnsi="宋体"/>
          <w:bCs/>
          <w:color w:val="auto"/>
          <w:sz w:val="24"/>
          <w:highlight w:val="none"/>
        </w:rPr>
        <w:t xml:space="preserve"> 13.2.3 </w:t>
      </w:r>
      <w:r>
        <w:rPr>
          <w:rFonts w:hint="eastAsia" w:ascii="宋体" w:hAnsi="宋体"/>
          <w:bCs/>
          <w:color w:val="auto"/>
          <w:sz w:val="24"/>
          <w:highlight w:val="none"/>
        </w:rPr>
        <w:t>项</w:t>
      </w:r>
      <w:r>
        <w:rPr>
          <w:rFonts w:ascii="宋体" w:hAnsi="宋体"/>
          <w:bCs/>
          <w:color w:val="auto"/>
          <w:sz w:val="24"/>
          <w:highlight w:val="none"/>
        </w:rPr>
        <w:t>~</w:t>
      </w:r>
      <w:r>
        <w:rPr>
          <w:rFonts w:hint="eastAsia" w:ascii="宋体" w:hAnsi="宋体"/>
          <w:bCs/>
          <w:color w:val="auto"/>
          <w:sz w:val="24"/>
          <w:highlight w:val="none"/>
        </w:rPr>
        <w:t>第</w:t>
      </w:r>
      <w:r>
        <w:rPr>
          <w:rFonts w:ascii="宋体" w:hAnsi="宋体"/>
          <w:bCs/>
          <w:color w:val="auto"/>
          <w:sz w:val="24"/>
          <w:highlight w:val="none"/>
        </w:rPr>
        <w:t xml:space="preserve"> 13.2.10 </w:t>
      </w:r>
      <w:r>
        <w:rPr>
          <w:rFonts w:hint="eastAsia" w:ascii="宋体" w:hAnsi="宋体"/>
          <w:bCs/>
          <w:color w:val="auto"/>
          <w:sz w:val="24"/>
          <w:highlight w:val="none"/>
        </w:rPr>
        <w:t>项：</w:t>
      </w:r>
    </w:p>
    <w:p w14:paraId="5AE8F52B">
      <w:pPr>
        <w:spacing w:line="400" w:lineRule="exact"/>
        <w:jc w:val="left"/>
        <w:rPr>
          <w:rFonts w:ascii="宋体" w:hAnsi="Calibri"/>
          <w:bCs/>
          <w:color w:val="auto"/>
          <w:sz w:val="24"/>
          <w:highlight w:val="none"/>
        </w:rPr>
      </w:pPr>
      <w:r>
        <w:rPr>
          <w:rFonts w:ascii="宋体" w:hAnsi="宋体"/>
          <w:bCs/>
          <w:color w:val="auto"/>
          <w:sz w:val="24"/>
          <w:highlight w:val="none"/>
        </w:rPr>
        <w:t xml:space="preserve">13.2.3 </w:t>
      </w:r>
      <w:r>
        <w:rPr>
          <w:rFonts w:hint="eastAsia" w:ascii="宋体" w:hAnsi="宋体"/>
          <w:bCs/>
          <w:color w:val="auto"/>
          <w:sz w:val="24"/>
          <w:highlight w:val="none"/>
        </w:rPr>
        <w:t>公路工程施行质量责任终身制。承包人应当书面明确相应的项目负责人和质量负责人。承包人的相关人员按照国家法律法规和有关规定在工程合理使用年限内承担相应的质量责任。</w:t>
      </w:r>
    </w:p>
    <w:p w14:paraId="5553AA30">
      <w:pPr>
        <w:spacing w:line="400" w:lineRule="exact"/>
        <w:jc w:val="left"/>
        <w:rPr>
          <w:rFonts w:ascii="宋体" w:hAnsi="Calibri"/>
          <w:bCs/>
          <w:color w:val="auto"/>
          <w:sz w:val="24"/>
          <w:highlight w:val="none"/>
        </w:rPr>
      </w:pPr>
    </w:p>
    <w:p w14:paraId="5210974A">
      <w:pPr>
        <w:spacing w:line="400" w:lineRule="exact"/>
        <w:jc w:val="left"/>
        <w:rPr>
          <w:rFonts w:ascii="宋体" w:hAnsi="Calibri"/>
          <w:bCs/>
          <w:color w:val="auto"/>
          <w:sz w:val="24"/>
          <w:highlight w:val="none"/>
        </w:rPr>
      </w:pPr>
      <w:r>
        <w:rPr>
          <w:rFonts w:ascii="宋体" w:hAnsi="宋体"/>
          <w:bCs/>
          <w:color w:val="auto"/>
          <w:sz w:val="24"/>
          <w:highlight w:val="none"/>
        </w:rPr>
        <w:t xml:space="preserve">13.2.4 </w:t>
      </w:r>
      <w:r>
        <w:rPr>
          <w:rFonts w:hint="eastAsia" w:ascii="宋体" w:hAnsi="宋体"/>
          <w:bCs/>
          <w:color w:val="auto"/>
          <w:sz w:val="24"/>
          <w:highlight w:val="none"/>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6032758C">
      <w:pPr>
        <w:spacing w:line="400" w:lineRule="exact"/>
        <w:jc w:val="left"/>
        <w:rPr>
          <w:rFonts w:ascii="宋体" w:hAnsi="Calibri"/>
          <w:bCs/>
          <w:color w:val="auto"/>
          <w:sz w:val="24"/>
          <w:highlight w:val="none"/>
        </w:rPr>
      </w:pPr>
      <w:r>
        <w:rPr>
          <w:rFonts w:ascii="宋体" w:hAnsi="宋体"/>
          <w:bCs/>
          <w:color w:val="auto"/>
          <w:sz w:val="24"/>
          <w:highlight w:val="none"/>
        </w:rPr>
        <w:t xml:space="preserve">13.2.5 </w:t>
      </w:r>
      <w:r>
        <w:rPr>
          <w:rFonts w:hint="eastAsia" w:ascii="宋体" w:hAnsi="宋体"/>
          <w:bCs/>
          <w:color w:val="auto"/>
          <w:sz w:val="24"/>
          <w:highlight w:val="none"/>
        </w:rPr>
        <w:t>承包人对工程施工质量负责，应当按合同约定设立现场质量管理机构、配备工程技术人员和质量管理人员，落实工程施工质量责任制。</w:t>
      </w:r>
    </w:p>
    <w:p w14:paraId="4D5AAF0E">
      <w:pPr>
        <w:spacing w:line="400" w:lineRule="exact"/>
        <w:jc w:val="left"/>
        <w:rPr>
          <w:rFonts w:ascii="宋体" w:hAnsi="Calibri"/>
          <w:bCs/>
          <w:color w:val="auto"/>
          <w:sz w:val="24"/>
          <w:highlight w:val="none"/>
        </w:rPr>
      </w:pPr>
      <w:r>
        <w:rPr>
          <w:rFonts w:ascii="宋体" w:hAnsi="宋体"/>
          <w:bCs/>
          <w:color w:val="auto"/>
          <w:sz w:val="24"/>
          <w:highlight w:val="none"/>
        </w:rPr>
        <w:t xml:space="preserve">13.2.6 </w:t>
      </w:r>
      <w:r>
        <w:rPr>
          <w:rFonts w:hint="eastAsia" w:ascii="宋体" w:hAnsi="宋体"/>
          <w:bCs/>
          <w:color w:val="auto"/>
          <w:sz w:val="24"/>
          <w:highlight w:val="none"/>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0DA7E9ED">
      <w:pPr>
        <w:spacing w:line="400" w:lineRule="exact"/>
        <w:jc w:val="left"/>
        <w:rPr>
          <w:rFonts w:ascii="宋体" w:hAnsi="Calibri"/>
          <w:bCs/>
          <w:color w:val="auto"/>
          <w:sz w:val="24"/>
          <w:highlight w:val="none"/>
        </w:rPr>
      </w:pPr>
      <w:r>
        <w:rPr>
          <w:rFonts w:ascii="宋体" w:hAnsi="宋体"/>
          <w:bCs/>
          <w:color w:val="auto"/>
          <w:sz w:val="24"/>
          <w:highlight w:val="none"/>
        </w:rPr>
        <w:t xml:space="preserve">13.2.7 </w:t>
      </w:r>
      <w:r>
        <w:rPr>
          <w:rFonts w:hint="eastAsia" w:ascii="宋体" w:hAnsi="宋体"/>
          <w:bCs/>
          <w:color w:val="auto"/>
          <w:sz w:val="24"/>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56D6CB4F">
      <w:pPr>
        <w:spacing w:line="400" w:lineRule="exact"/>
        <w:jc w:val="left"/>
        <w:rPr>
          <w:rFonts w:ascii="宋体" w:hAnsi="Calibri"/>
          <w:bCs/>
          <w:color w:val="auto"/>
          <w:sz w:val="24"/>
          <w:highlight w:val="none"/>
        </w:rPr>
      </w:pPr>
      <w:r>
        <w:rPr>
          <w:rFonts w:ascii="宋体" w:hAnsi="宋体"/>
          <w:bCs/>
          <w:color w:val="auto"/>
          <w:sz w:val="24"/>
          <w:highlight w:val="none"/>
        </w:rPr>
        <w:t xml:space="preserve">13.2.8 </w:t>
      </w:r>
      <w:r>
        <w:rPr>
          <w:rFonts w:hint="eastAsia" w:ascii="宋体" w:hAnsi="宋体"/>
          <w:bCs/>
          <w:color w:val="auto"/>
          <w:sz w:val="24"/>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承包人应当依法规范分包行为，并对承担的工程质量负总责，分包单位对分包合同范围内的工程质量负责。</w:t>
      </w:r>
    </w:p>
    <w:p w14:paraId="4C865CDE">
      <w:pPr>
        <w:spacing w:line="400" w:lineRule="exact"/>
        <w:jc w:val="left"/>
        <w:rPr>
          <w:rFonts w:ascii="宋体" w:hAnsi="Calibri"/>
          <w:bCs/>
          <w:color w:val="auto"/>
          <w:sz w:val="24"/>
          <w:highlight w:val="none"/>
        </w:rPr>
      </w:pPr>
      <w:r>
        <w:rPr>
          <w:rFonts w:ascii="宋体" w:hAnsi="宋体"/>
          <w:bCs/>
          <w:color w:val="auto"/>
          <w:sz w:val="24"/>
          <w:highlight w:val="none"/>
        </w:rPr>
        <w:t xml:space="preserve">13.2.9 </w:t>
      </w:r>
      <w:r>
        <w:rPr>
          <w:rFonts w:hint="eastAsia" w:ascii="宋体" w:hAnsi="宋体"/>
          <w:bCs/>
          <w:color w:val="auto"/>
          <w:sz w:val="24"/>
          <w:highlight w:val="none"/>
        </w:rPr>
        <w:t>承包人驻工程现场机构应在现场驻地和重要的分部、分项工程施工现场设置明显的工程质量责任登记表公示牌。</w:t>
      </w:r>
    </w:p>
    <w:p w14:paraId="16544731">
      <w:pPr>
        <w:spacing w:line="400" w:lineRule="exact"/>
        <w:jc w:val="left"/>
        <w:rPr>
          <w:rFonts w:ascii="宋体" w:hAnsi="Calibri"/>
          <w:bCs/>
          <w:color w:val="auto"/>
          <w:sz w:val="24"/>
          <w:highlight w:val="none"/>
        </w:rPr>
      </w:pPr>
      <w:r>
        <w:rPr>
          <w:rFonts w:ascii="宋体" w:hAnsi="宋体"/>
          <w:bCs/>
          <w:color w:val="auto"/>
          <w:sz w:val="24"/>
          <w:highlight w:val="none"/>
        </w:rPr>
        <w:t xml:space="preserve">13.2.10 </w:t>
      </w:r>
      <w:r>
        <w:rPr>
          <w:rFonts w:hint="eastAsia" w:ascii="宋体" w:hAnsi="宋体"/>
          <w:bCs/>
          <w:color w:val="auto"/>
          <w:sz w:val="24"/>
          <w:highlight w:val="none"/>
        </w:rPr>
        <w:t>承包人驻工程现场机构应在现场驻地和重要的分部、分项工程施工现场设置明显的工程质量责任登记表公示牌。</w:t>
      </w:r>
    </w:p>
    <w:p w14:paraId="248F217B">
      <w:pPr>
        <w:spacing w:line="400" w:lineRule="exact"/>
        <w:jc w:val="left"/>
        <w:rPr>
          <w:rFonts w:ascii="宋体" w:hAnsi="Calibri"/>
          <w:bCs/>
          <w:color w:val="auto"/>
          <w:sz w:val="24"/>
          <w:highlight w:val="none"/>
        </w:rPr>
      </w:pPr>
      <w:r>
        <w:rPr>
          <w:rFonts w:ascii="宋体" w:hAnsi="宋体"/>
          <w:bCs/>
          <w:color w:val="auto"/>
          <w:sz w:val="24"/>
          <w:highlight w:val="none"/>
        </w:rPr>
        <w:t>13.4</w:t>
      </w:r>
      <w:r>
        <w:rPr>
          <w:rFonts w:ascii="宋体" w:hAnsi="宋体"/>
          <w:bCs/>
          <w:color w:val="auto"/>
          <w:sz w:val="24"/>
          <w:highlight w:val="none"/>
        </w:rPr>
        <w:tab/>
      </w:r>
      <w:r>
        <w:rPr>
          <w:rFonts w:hint="eastAsia" w:ascii="宋体" w:hAnsi="宋体"/>
          <w:bCs/>
          <w:color w:val="auto"/>
          <w:sz w:val="24"/>
          <w:highlight w:val="none"/>
        </w:rPr>
        <w:t>监理人的质量检查</w:t>
      </w:r>
    </w:p>
    <w:p w14:paraId="69BC8B6D">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039C362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00C70CC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监理人可以将材料或工程设备的检查和检验委托给一家独立的有质量检验认证资格的检验单位。该独立检验单位的检验结果应视为监理人完成的。监理人应将这种委托的通知书不少于</w:t>
      </w:r>
      <w:r>
        <w:rPr>
          <w:rFonts w:ascii="宋体" w:hAnsi="宋体"/>
          <w:bCs/>
          <w:color w:val="auto"/>
          <w:sz w:val="24"/>
          <w:highlight w:val="none"/>
        </w:rPr>
        <w:t xml:space="preserve"> 7 </w:t>
      </w:r>
      <w:r>
        <w:rPr>
          <w:rFonts w:hint="eastAsia" w:ascii="宋体" w:hAnsi="宋体"/>
          <w:bCs/>
          <w:color w:val="auto"/>
          <w:sz w:val="24"/>
          <w:highlight w:val="none"/>
        </w:rPr>
        <w:t>天前交给承包人。</w:t>
      </w:r>
    </w:p>
    <w:p w14:paraId="718AEB97">
      <w:pPr>
        <w:spacing w:line="400" w:lineRule="exact"/>
        <w:jc w:val="left"/>
        <w:rPr>
          <w:rFonts w:ascii="宋体" w:hAnsi="Calibri"/>
          <w:bCs/>
          <w:color w:val="auto"/>
          <w:sz w:val="24"/>
          <w:highlight w:val="none"/>
        </w:rPr>
      </w:pPr>
      <w:r>
        <w:rPr>
          <w:rFonts w:ascii="宋体" w:hAnsi="宋体"/>
          <w:bCs/>
          <w:color w:val="auto"/>
          <w:sz w:val="24"/>
          <w:highlight w:val="none"/>
        </w:rPr>
        <w:t>13.5</w:t>
      </w:r>
      <w:r>
        <w:rPr>
          <w:rFonts w:ascii="宋体" w:hAnsi="宋体"/>
          <w:bCs/>
          <w:color w:val="auto"/>
          <w:sz w:val="24"/>
          <w:highlight w:val="none"/>
        </w:rPr>
        <w:tab/>
      </w:r>
      <w:r>
        <w:rPr>
          <w:rFonts w:hint="eastAsia" w:ascii="宋体" w:hAnsi="宋体"/>
          <w:bCs/>
          <w:color w:val="auto"/>
          <w:sz w:val="24"/>
          <w:highlight w:val="none"/>
        </w:rPr>
        <w:t>工程隐蔽部位覆盖前的检查</w:t>
      </w:r>
    </w:p>
    <w:p w14:paraId="3723997C">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13.5.1  </w:t>
      </w:r>
      <w:r>
        <w:rPr>
          <w:rFonts w:hint="eastAsia" w:ascii="宋体" w:hAnsi="宋体"/>
          <w:bCs/>
          <w:color w:val="auto"/>
          <w:sz w:val="24"/>
          <w:highlight w:val="none"/>
        </w:rPr>
        <w:t>项补充：</w:t>
      </w:r>
    </w:p>
    <w:p w14:paraId="3384D98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7F752241">
      <w:pPr>
        <w:spacing w:line="400" w:lineRule="exact"/>
        <w:jc w:val="left"/>
        <w:rPr>
          <w:rFonts w:ascii="宋体" w:hAnsi="Calibri"/>
          <w:bCs/>
          <w:color w:val="auto"/>
          <w:sz w:val="24"/>
          <w:highlight w:val="none"/>
        </w:rPr>
      </w:pPr>
      <w:r>
        <w:rPr>
          <w:rFonts w:ascii="宋体" w:hAnsi="宋体"/>
          <w:bCs/>
          <w:color w:val="auto"/>
          <w:sz w:val="24"/>
          <w:highlight w:val="none"/>
        </w:rPr>
        <w:t>13.6</w:t>
      </w:r>
      <w:r>
        <w:rPr>
          <w:rFonts w:ascii="宋体" w:hAnsi="宋体"/>
          <w:bCs/>
          <w:color w:val="auto"/>
          <w:sz w:val="24"/>
          <w:highlight w:val="none"/>
        </w:rPr>
        <w:tab/>
      </w:r>
      <w:r>
        <w:rPr>
          <w:rFonts w:hint="eastAsia" w:ascii="宋体" w:hAnsi="宋体"/>
          <w:bCs/>
          <w:color w:val="auto"/>
          <w:sz w:val="24"/>
          <w:highlight w:val="none"/>
        </w:rPr>
        <w:t>清除不合格工程</w:t>
      </w:r>
    </w:p>
    <w:p w14:paraId="2518F1A6">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13.6.1  </w:t>
      </w:r>
      <w:r>
        <w:rPr>
          <w:rFonts w:hint="eastAsia" w:ascii="宋体" w:hAnsi="宋体"/>
          <w:bCs/>
          <w:color w:val="auto"/>
          <w:sz w:val="24"/>
          <w:highlight w:val="none"/>
        </w:rPr>
        <w:t>项细化为：</w:t>
      </w:r>
    </w:p>
    <w:p w14:paraId="75630985">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0473505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）如果承包人未在规定时间内执行监理人的指示，发包人有权雇用他人执行，由此增加的费用和（或）工期延误由承包人承担。</w:t>
      </w:r>
    </w:p>
    <w:p w14:paraId="3AEFFD3C">
      <w:pPr>
        <w:spacing w:line="400" w:lineRule="exact"/>
        <w:jc w:val="left"/>
        <w:rPr>
          <w:rFonts w:ascii="宋体" w:hAnsi="Calibri"/>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试验和检验</w:t>
      </w:r>
    </w:p>
    <w:p w14:paraId="2FC86F4E">
      <w:pPr>
        <w:spacing w:line="400" w:lineRule="exact"/>
        <w:jc w:val="left"/>
        <w:rPr>
          <w:rFonts w:ascii="宋体" w:hAnsi="Calibri"/>
          <w:bCs/>
          <w:color w:val="auto"/>
          <w:sz w:val="24"/>
          <w:highlight w:val="none"/>
        </w:rPr>
      </w:pPr>
      <w:r>
        <w:rPr>
          <w:rFonts w:hint="eastAsia" w:ascii="宋体" w:hAnsi="宋体"/>
          <w:bCs/>
          <w:color w:val="auto"/>
          <w:sz w:val="24"/>
          <w:highlight w:val="none"/>
        </w:rPr>
        <w:t>本条补充第</w:t>
      </w:r>
      <w:r>
        <w:rPr>
          <w:rFonts w:ascii="宋体" w:hAnsi="宋体"/>
          <w:bCs/>
          <w:color w:val="auto"/>
          <w:sz w:val="24"/>
          <w:highlight w:val="none"/>
        </w:rPr>
        <w:t xml:space="preserve"> 14.4 </w:t>
      </w:r>
      <w:r>
        <w:rPr>
          <w:rFonts w:hint="eastAsia" w:ascii="宋体" w:hAnsi="宋体"/>
          <w:bCs/>
          <w:color w:val="auto"/>
          <w:sz w:val="24"/>
          <w:highlight w:val="none"/>
        </w:rPr>
        <w:t>款：</w:t>
      </w:r>
    </w:p>
    <w:p w14:paraId="214691DB">
      <w:pPr>
        <w:spacing w:line="400" w:lineRule="exact"/>
        <w:jc w:val="left"/>
        <w:rPr>
          <w:rFonts w:ascii="宋体" w:hAnsi="Calibri"/>
          <w:bCs/>
          <w:color w:val="auto"/>
          <w:sz w:val="24"/>
          <w:highlight w:val="none"/>
        </w:rPr>
      </w:pPr>
      <w:r>
        <w:rPr>
          <w:rFonts w:ascii="宋体" w:hAnsi="宋体"/>
          <w:bCs/>
          <w:color w:val="auto"/>
          <w:sz w:val="24"/>
          <w:highlight w:val="none"/>
        </w:rPr>
        <w:t>14.4</w:t>
      </w:r>
      <w:r>
        <w:rPr>
          <w:rFonts w:ascii="宋体" w:hAnsi="宋体"/>
          <w:bCs/>
          <w:color w:val="auto"/>
          <w:sz w:val="24"/>
          <w:highlight w:val="none"/>
        </w:rPr>
        <w:tab/>
      </w:r>
      <w:r>
        <w:rPr>
          <w:rFonts w:hint="eastAsia" w:ascii="宋体" w:hAnsi="宋体"/>
          <w:bCs/>
          <w:color w:val="auto"/>
          <w:sz w:val="24"/>
          <w:highlight w:val="none"/>
        </w:rPr>
        <w:t>试验和检验费用</w:t>
      </w:r>
    </w:p>
    <w:p w14:paraId="64B1277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）承包人应负责提供合同和技术规范规定的试验和检验所需的全部样品，并承担其费用。</w:t>
      </w:r>
    </w:p>
    <w:p w14:paraId="27BA48B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）在合同中明确规定的试验和检验，包括无须在工程量清单中单独列项和已在工程量清单中单独列项的试验和检验，其试验和检验的费用由承包人承担。</w:t>
      </w:r>
    </w:p>
    <w:p w14:paraId="4B0399F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1A1E1D3B">
      <w:pPr>
        <w:spacing w:line="400" w:lineRule="exact"/>
        <w:jc w:val="left"/>
        <w:rPr>
          <w:rFonts w:ascii="宋体" w:hAnsi="Calibri"/>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变更</w:t>
      </w:r>
    </w:p>
    <w:p w14:paraId="63E6A543">
      <w:pPr>
        <w:spacing w:line="400" w:lineRule="exact"/>
        <w:jc w:val="left"/>
        <w:rPr>
          <w:rFonts w:ascii="宋体" w:hAnsi="Calibri"/>
          <w:bCs/>
          <w:color w:val="auto"/>
          <w:sz w:val="24"/>
          <w:highlight w:val="none"/>
        </w:rPr>
      </w:pPr>
      <w:r>
        <w:rPr>
          <w:rFonts w:ascii="宋体" w:hAnsi="宋体"/>
          <w:bCs/>
          <w:color w:val="auto"/>
          <w:sz w:val="24"/>
          <w:highlight w:val="none"/>
        </w:rPr>
        <w:t xml:space="preserve">15.1 </w:t>
      </w:r>
      <w:r>
        <w:rPr>
          <w:rFonts w:hint="eastAsia" w:ascii="宋体" w:hAnsi="宋体"/>
          <w:bCs/>
          <w:color w:val="auto"/>
          <w:sz w:val="24"/>
          <w:highlight w:val="none"/>
        </w:rPr>
        <w:t>变更的范围和内容</w:t>
      </w:r>
    </w:p>
    <w:p w14:paraId="3456E10C">
      <w:pPr>
        <w:spacing w:line="400" w:lineRule="exact"/>
        <w:jc w:val="left"/>
        <w:rPr>
          <w:rFonts w:ascii="宋体" w:hAnsi="Calibri"/>
          <w:bCs/>
          <w:color w:val="auto"/>
          <w:sz w:val="24"/>
          <w:highlight w:val="none"/>
        </w:rPr>
      </w:pPr>
      <w:r>
        <w:rPr>
          <w:rFonts w:hint="eastAsia" w:ascii="宋体" w:hAnsi="宋体"/>
          <w:bCs/>
          <w:color w:val="auto"/>
          <w:sz w:val="24"/>
          <w:highlight w:val="none"/>
        </w:rPr>
        <w:t>本款第（</w:t>
      </w:r>
      <w:r>
        <w:rPr>
          <w:rFonts w:ascii="宋体" w:hAnsi="宋体"/>
          <w:bCs/>
          <w:color w:val="auto"/>
          <w:sz w:val="24"/>
          <w:highlight w:val="none"/>
        </w:rPr>
        <w:t>1</w:t>
      </w:r>
      <w:r>
        <w:rPr>
          <w:rFonts w:hint="eastAsia" w:ascii="宋体" w:hAnsi="宋体"/>
          <w:bCs/>
          <w:color w:val="auto"/>
          <w:sz w:val="24"/>
          <w:highlight w:val="none"/>
        </w:rPr>
        <w:t>）项细化为：</w:t>
      </w:r>
    </w:p>
    <w:p w14:paraId="2384B0D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）取消合同中任何一项工作，但被取消的工作不能转由发包人或其他人实施，由于承包人违约造成的情况除外；</w:t>
      </w:r>
    </w:p>
    <w:p w14:paraId="70829592">
      <w:pPr>
        <w:spacing w:line="400" w:lineRule="exact"/>
        <w:jc w:val="left"/>
        <w:rPr>
          <w:rFonts w:ascii="宋体" w:hAnsi="Calibri"/>
          <w:bCs/>
          <w:color w:val="auto"/>
          <w:sz w:val="24"/>
          <w:highlight w:val="none"/>
        </w:rPr>
      </w:pPr>
      <w:r>
        <w:rPr>
          <w:rFonts w:ascii="宋体" w:hAnsi="宋体"/>
          <w:bCs/>
          <w:color w:val="auto"/>
          <w:sz w:val="24"/>
          <w:highlight w:val="none"/>
        </w:rPr>
        <w:t xml:space="preserve">15.3 </w:t>
      </w:r>
      <w:r>
        <w:rPr>
          <w:rFonts w:hint="eastAsia" w:ascii="宋体" w:hAnsi="宋体"/>
          <w:bCs/>
          <w:color w:val="auto"/>
          <w:sz w:val="24"/>
          <w:highlight w:val="none"/>
        </w:rPr>
        <w:t>变更程序</w:t>
      </w:r>
    </w:p>
    <w:p w14:paraId="26712A57">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15.3.4  </w:t>
      </w:r>
      <w:r>
        <w:rPr>
          <w:rFonts w:hint="eastAsia" w:ascii="宋体" w:hAnsi="宋体"/>
          <w:bCs/>
          <w:color w:val="auto"/>
          <w:sz w:val="24"/>
          <w:highlight w:val="none"/>
        </w:rPr>
        <w:t>项：</w:t>
      </w:r>
    </w:p>
    <w:p w14:paraId="67AFFADF">
      <w:pPr>
        <w:spacing w:line="400" w:lineRule="exact"/>
        <w:jc w:val="left"/>
        <w:rPr>
          <w:rFonts w:ascii="宋体" w:hAnsi="Calibri"/>
          <w:bCs/>
          <w:color w:val="auto"/>
          <w:sz w:val="24"/>
          <w:highlight w:val="none"/>
        </w:rPr>
      </w:pPr>
      <w:r>
        <w:rPr>
          <w:rFonts w:ascii="宋体" w:hAnsi="宋体"/>
          <w:bCs/>
          <w:color w:val="auto"/>
          <w:sz w:val="24"/>
          <w:highlight w:val="none"/>
        </w:rPr>
        <w:t>15.3.4</w:t>
      </w:r>
      <w:r>
        <w:rPr>
          <w:rFonts w:ascii="宋体" w:hAnsi="宋体"/>
          <w:bCs/>
          <w:color w:val="auto"/>
          <w:sz w:val="24"/>
          <w:highlight w:val="none"/>
        </w:rPr>
        <w:tab/>
      </w:r>
      <w:r>
        <w:rPr>
          <w:rFonts w:hint="eastAsia" w:ascii="宋体" w:hAnsi="宋体"/>
          <w:bCs/>
          <w:color w:val="auto"/>
          <w:sz w:val="24"/>
          <w:highlight w:val="none"/>
        </w:rPr>
        <w:t>设计变更程序应执行《公路工程设计变更管理办法》的相关规定。</w:t>
      </w:r>
    </w:p>
    <w:p w14:paraId="2C4FD11F">
      <w:pPr>
        <w:spacing w:line="400" w:lineRule="exact"/>
        <w:jc w:val="left"/>
        <w:rPr>
          <w:rFonts w:ascii="宋体" w:hAnsi="Calibri"/>
          <w:bCs/>
          <w:color w:val="auto"/>
          <w:sz w:val="24"/>
          <w:highlight w:val="none"/>
        </w:rPr>
      </w:pPr>
      <w:r>
        <w:rPr>
          <w:rFonts w:ascii="宋体" w:hAnsi="宋体"/>
          <w:bCs/>
          <w:color w:val="auto"/>
          <w:sz w:val="24"/>
          <w:highlight w:val="none"/>
        </w:rPr>
        <w:t xml:space="preserve">15.4 </w:t>
      </w:r>
      <w:r>
        <w:rPr>
          <w:rFonts w:hint="eastAsia" w:ascii="宋体" w:hAnsi="宋体"/>
          <w:bCs/>
          <w:color w:val="auto"/>
          <w:sz w:val="24"/>
          <w:highlight w:val="none"/>
        </w:rPr>
        <w:t>变更的估价原则</w:t>
      </w:r>
    </w:p>
    <w:p w14:paraId="2E733D2C">
      <w:pPr>
        <w:spacing w:line="400" w:lineRule="exact"/>
        <w:jc w:val="left"/>
        <w:rPr>
          <w:rFonts w:ascii="宋体" w:hAnsi="Calibri"/>
          <w:bCs/>
          <w:color w:val="auto"/>
          <w:sz w:val="24"/>
          <w:highlight w:val="none"/>
        </w:rPr>
      </w:pPr>
      <w:r>
        <w:rPr>
          <w:rFonts w:hint="eastAsia" w:ascii="宋体" w:hAnsi="宋体"/>
          <w:bCs/>
          <w:color w:val="auto"/>
          <w:sz w:val="24"/>
          <w:highlight w:val="none"/>
        </w:rPr>
        <w:t>本款细化为：</w:t>
      </w:r>
    </w:p>
    <w:p w14:paraId="3D60640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除项目专用合同条款另有约定外，因变更引起的价格调整按照本款约定处理。</w:t>
      </w:r>
    </w:p>
    <w:p w14:paraId="319109A9">
      <w:pPr>
        <w:spacing w:line="400" w:lineRule="exact"/>
        <w:jc w:val="left"/>
        <w:rPr>
          <w:rFonts w:ascii="宋体" w:hAnsi="Calibri"/>
          <w:bCs/>
          <w:color w:val="auto"/>
          <w:sz w:val="24"/>
          <w:highlight w:val="none"/>
        </w:rPr>
      </w:pPr>
      <w:r>
        <w:rPr>
          <w:rFonts w:ascii="宋体" w:hAnsi="宋体"/>
          <w:bCs/>
          <w:color w:val="auto"/>
          <w:sz w:val="24"/>
          <w:highlight w:val="none"/>
        </w:rPr>
        <w:t xml:space="preserve">15.4.1 </w:t>
      </w:r>
      <w:r>
        <w:rPr>
          <w:rFonts w:hint="eastAsia" w:ascii="宋体" w:hAnsi="宋体"/>
          <w:bCs/>
          <w:color w:val="auto"/>
          <w:sz w:val="24"/>
          <w:highlight w:val="none"/>
        </w:rPr>
        <w:t>如果取消某项工作，则该项工作的总额价不予支付。</w:t>
      </w:r>
    </w:p>
    <w:p w14:paraId="720D3D44">
      <w:pPr>
        <w:spacing w:line="400" w:lineRule="exact"/>
        <w:jc w:val="left"/>
        <w:rPr>
          <w:rFonts w:ascii="宋体" w:hAnsi="Calibri"/>
          <w:bCs/>
          <w:color w:val="auto"/>
          <w:sz w:val="24"/>
          <w:highlight w:val="none"/>
        </w:rPr>
      </w:pPr>
      <w:r>
        <w:rPr>
          <w:rFonts w:ascii="宋体" w:hAnsi="宋体"/>
          <w:bCs/>
          <w:color w:val="auto"/>
          <w:sz w:val="24"/>
          <w:highlight w:val="none"/>
        </w:rPr>
        <w:t xml:space="preserve">15.4.2 </w:t>
      </w:r>
      <w:r>
        <w:rPr>
          <w:rFonts w:hint="eastAsia" w:ascii="宋体" w:hAnsi="宋体"/>
          <w:bCs/>
          <w:color w:val="auto"/>
          <w:sz w:val="24"/>
          <w:highlight w:val="none"/>
        </w:rPr>
        <w:t>已标价工程量清单中有适用于变更工作的子目的，采用该子目的单价。</w:t>
      </w:r>
    </w:p>
    <w:p w14:paraId="10B7925F">
      <w:pPr>
        <w:spacing w:line="400" w:lineRule="exact"/>
        <w:jc w:val="left"/>
        <w:rPr>
          <w:rFonts w:ascii="宋体" w:hAnsi="Calibri"/>
          <w:bCs/>
          <w:color w:val="auto"/>
          <w:sz w:val="24"/>
          <w:highlight w:val="none"/>
        </w:rPr>
      </w:pPr>
    </w:p>
    <w:p w14:paraId="7AE04A14">
      <w:pPr>
        <w:spacing w:line="400" w:lineRule="exact"/>
        <w:jc w:val="left"/>
        <w:rPr>
          <w:rFonts w:ascii="宋体" w:hAnsi="Calibri"/>
          <w:bCs/>
          <w:color w:val="auto"/>
          <w:sz w:val="24"/>
          <w:highlight w:val="none"/>
        </w:rPr>
      </w:pPr>
      <w:r>
        <w:rPr>
          <w:rFonts w:ascii="宋体" w:hAnsi="宋体"/>
          <w:bCs/>
          <w:color w:val="auto"/>
          <w:sz w:val="24"/>
          <w:highlight w:val="none"/>
        </w:rPr>
        <w:t xml:space="preserve">15.4.3 </w:t>
      </w:r>
      <w:r>
        <w:rPr>
          <w:rFonts w:hint="eastAsia" w:ascii="宋体" w:hAnsi="宋体"/>
          <w:bCs/>
          <w:color w:val="auto"/>
          <w:sz w:val="24"/>
          <w:highlight w:val="none"/>
        </w:rPr>
        <w:t>已标价工程量清单中无适用于变更工作的子目，但有类似子目的，可在合理范围内参照类似子目的单价，由监理人按第</w:t>
      </w:r>
      <w:r>
        <w:rPr>
          <w:rFonts w:ascii="宋体" w:hAnsi="宋体"/>
          <w:bCs/>
          <w:color w:val="auto"/>
          <w:sz w:val="24"/>
          <w:highlight w:val="none"/>
        </w:rPr>
        <w:t xml:space="preserve"> 3.5 </w:t>
      </w:r>
      <w:r>
        <w:rPr>
          <w:rFonts w:hint="eastAsia" w:ascii="宋体" w:hAnsi="宋体"/>
          <w:bCs/>
          <w:color w:val="auto"/>
          <w:sz w:val="24"/>
          <w:highlight w:val="none"/>
        </w:rPr>
        <w:t>款商定或确定变更工作的单价。</w:t>
      </w:r>
    </w:p>
    <w:p w14:paraId="42F282BC">
      <w:pPr>
        <w:spacing w:line="400" w:lineRule="exact"/>
        <w:jc w:val="left"/>
        <w:rPr>
          <w:rFonts w:ascii="宋体" w:hAnsi="Calibri"/>
          <w:bCs/>
          <w:color w:val="auto"/>
          <w:sz w:val="24"/>
          <w:highlight w:val="none"/>
        </w:rPr>
      </w:pPr>
      <w:r>
        <w:rPr>
          <w:rFonts w:ascii="宋体" w:hAnsi="宋体"/>
          <w:bCs/>
          <w:color w:val="auto"/>
          <w:sz w:val="24"/>
          <w:highlight w:val="none"/>
        </w:rPr>
        <w:t xml:space="preserve">15.4.4 </w:t>
      </w:r>
      <w:r>
        <w:rPr>
          <w:rFonts w:hint="eastAsia" w:ascii="宋体" w:hAnsi="宋体"/>
          <w:bCs/>
          <w:color w:val="auto"/>
          <w:sz w:val="24"/>
          <w:highlight w:val="none"/>
        </w:rPr>
        <w:t>已标价工程量清单中无适用或类似子目的单价，可在综合考虑承包人在投标时所提供的单价分析表的基础上，由监理人按第</w:t>
      </w:r>
      <w:r>
        <w:rPr>
          <w:rFonts w:ascii="宋体" w:hAnsi="宋体"/>
          <w:bCs/>
          <w:color w:val="auto"/>
          <w:sz w:val="24"/>
          <w:highlight w:val="none"/>
        </w:rPr>
        <w:t xml:space="preserve"> 3.5 </w:t>
      </w:r>
      <w:r>
        <w:rPr>
          <w:rFonts w:hint="eastAsia" w:ascii="宋体" w:hAnsi="宋体"/>
          <w:bCs/>
          <w:color w:val="auto"/>
          <w:sz w:val="24"/>
          <w:highlight w:val="none"/>
        </w:rPr>
        <w:t>款商定或确定变更工作的单价。</w:t>
      </w:r>
    </w:p>
    <w:p w14:paraId="5E6ABB2F">
      <w:pPr>
        <w:spacing w:line="400" w:lineRule="exact"/>
        <w:jc w:val="left"/>
        <w:rPr>
          <w:rFonts w:ascii="宋体" w:hAnsi="Calibri"/>
          <w:bCs/>
          <w:color w:val="auto"/>
          <w:sz w:val="24"/>
          <w:highlight w:val="none"/>
        </w:rPr>
      </w:pPr>
      <w:r>
        <w:rPr>
          <w:rFonts w:ascii="宋体" w:hAnsi="宋体"/>
          <w:bCs/>
          <w:color w:val="auto"/>
          <w:sz w:val="24"/>
          <w:highlight w:val="none"/>
        </w:rPr>
        <w:t xml:space="preserve">15.4.5 </w:t>
      </w:r>
      <w:r>
        <w:rPr>
          <w:rFonts w:hint="eastAsia" w:ascii="宋体" w:hAnsi="宋体"/>
          <w:bCs/>
          <w:color w:val="auto"/>
          <w:sz w:val="24"/>
          <w:highlight w:val="none"/>
        </w:rPr>
        <w:t>如果本工程的变更指示是因承包人过错、承包人违反合同或承包人责任造成的，则这种违约引起的任何额外费用应由承包人承担。</w:t>
      </w:r>
    </w:p>
    <w:p w14:paraId="2F65FC48">
      <w:pPr>
        <w:spacing w:line="400" w:lineRule="exact"/>
        <w:jc w:val="left"/>
        <w:rPr>
          <w:rFonts w:ascii="宋体" w:hAnsi="Calibri"/>
          <w:bCs/>
          <w:color w:val="auto"/>
          <w:sz w:val="24"/>
          <w:highlight w:val="none"/>
        </w:rPr>
      </w:pPr>
      <w:r>
        <w:rPr>
          <w:rFonts w:ascii="宋体" w:hAnsi="宋体"/>
          <w:bCs/>
          <w:color w:val="auto"/>
          <w:sz w:val="24"/>
          <w:highlight w:val="none"/>
        </w:rPr>
        <w:t xml:space="preserve">15.5 </w:t>
      </w:r>
      <w:r>
        <w:rPr>
          <w:rFonts w:hint="eastAsia" w:ascii="宋体" w:hAnsi="宋体"/>
          <w:bCs/>
          <w:color w:val="auto"/>
          <w:sz w:val="24"/>
          <w:highlight w:val="none"/>
        </w:rPr>
        <w:t>承包人的合理化建议</w:t>
      </w:r>
    </w:p>
    <w:p w14:paraId="06ABB240">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15.5.2  </w:t>
      </w:r>
      <w:r>
        <w:rPr>
          <w:rFonts w:hint="eastAsia" w:ascii="宋体" w:hAnsi="宋体"/>
          <w:bCs/>
          <w:color w:val="auto"/>
          <w:sz w:val="24"/>
          <w:highlight w:val="none"/>
        </w:rPr>
        <w:t>项约定为：</w:t>
      </w:r>
    </w:p>
    <w:p w14:paraId="59B4A5A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承包人提出的合理化建议缩短了工期，发包人按第</w:t>
      </w:r>
      <w:r>
        <w:rPr>
          <w:rFonts w:ascii="宋体" w:hAnsi="宋体"/>
          <w:bCs/>
          <w:color w:val="auto"/>
          <w:sz w:val="24"/>
          <w:highlight w:val="none"/>
        </w:rPr>
        <w:t xml:space="preserve"> 11.6 </w:t>
      </w:r>
      <w:r>
        <w:rPr>
          <w:rFonts w:hint="eastAsia" w:ascii="宋体" w:hAnsi="宋体"/>
          <w:bCs/>
          <w:color w:val="auto"/>
          <w:sz w:val="24"/>
          <w:highlight w:val="none"/>
        </w:rPr>
        <w:t>款的规定给予奖励。承包人提出的合理化建议降低了合同价格或者提高了工程经济效益的，发包人按项目专用合同条款数据表中规定的金额给予奖励。</w:t>
      </w:r>
    </w:p>
    <w:p w14:paraId="5F325640">
      <w:pPr>
        <w:spacing w:line="400" w:lineRule="exact"/>
        <w:jc w:val="left"/>
        <w:rPr>
          <w:rFonts w:ascii="宋体" w:hAnsi="Calibri"/>
          <w:bCs/>
          <w:color w:val="auto"/>
          <w:sz w:val="24"/>
          <w:highlight w:val="none"/>
        </w:rPr>
      </w:pPr>
      <w:r>
        <w:rPr>
          <w:rFonts w:ascii="宋体" w:hAnsi="宋体"/>
          <w:bCs/>
          <w:color w:val="auto"/>
          <w:sz w:val="24"/>
          <w:highlight w:val="none"/>
        </w:rPr>
        <w:t xml:space="preserve">15.6 </w:t>
      </w:r>
      <w:r>
        <w:rPr>
          <w:rFonts w:hint="eastAsia" w:ascii="宋体" w:hAnsi="宋体"/>
          <w:bCs/>
          <w:color w:val="auto"/>
          <w:sz w:val="24"/>
          <w:highlight w:val="none"/>
        </w:rPr>
        <w:t>暂列金额</w:t>
      </w:r>
    </w:p>
    <w:p w14:paraId="6892F7EB">
      <w:pPr>
        <w:spacing w:line="400" w:lineRule="exact"/>
        <w:jc w:val="left"/>
        <w:rPr>
          <w:rFonts w:ascii="宋体" w:hAnsi="Calibri"/>
          <w:bCs/>
          <w:color w:val="auto"/>
          <w:sz w:val="24"/>
          <w:highlight w:val="none"/>
        </w:rPr>
      </w:pPr>
      <w:r>
        <w:rPr>
          <w:rFonts w:hint="eastAsia" w:ascii="宋体" w:hAnsi="宋体"/>
          <w:bCs/>
          <w:color w:val="auto"/>
          <w:sz w:val="24"/>
          <w:highlight w:val="none"/>
        </w:rPr>
        <w:t>本款细化为：</w:t>
      </w:r>
    </w:p>
    <w:p w14:paraId="12979C38">
      <w:pPr>
        <w:spacing w:line="400" w:lineRule="exact"/>
        <w:jc w:val="left"/>
        <w:rPr>
          <w:rFonts w:ascii="宋体" w:hAnsi="Calibri"/>
          <w:bCs/>
          <w:color w:val="auto"/>
          <w:sz w:val="24"/>
          <w:highlight w:val="none"/>
        </w:rPr>
      </w:pPr>
      <w:r>
        <w:rPr>
          <w:rFonts w:ascii="宋体" w:hAnsi="宋体"/>
          <w:bCs/>
          <w:color w:val="auto"/>
          <w:sz w:val="24"/>
          <w:highlight w:val="none"/>
        </w:rPr>
        <w:t xml:space="preserve">15.6.1 </w:t>
      </w:r>
      <w:r>
        <w:rPr>
          <w:rFonts w:hint="eastAsia" w:ascii="宋体" w:hAnsi="宋体"/>
          <w:bCs/>
          <w:color w:val="auto"/>
          <w:sz w:val="24"/>
          <w:highlight w:val="none"/>
        </w:rPr>
        <w:t>暂列金额应由监理人报发包人批准后指令全部或部分地使用，或者根本不予动用。</w:t>
      </w:r>
    </w:p>
    <w:p w14:paraId="5408B837">
      <w:pPr>
        <w:spacing w:line="400" w:lineRule="exact"/>
        <w:jc w:val="left"/>
        <w:rPr>
          <w:rFonts w:ascii="宋体" w:hAnsi="Calibri"/>
          <w:bCs/>
          <w:color w:val="auto"/>
          <w:sz w:val="24"/>
          <w:highlight w:val="none"/>
        </w:rPr>
      </w:pPr>
      <w:r>
        <w:rPr>
          <w:rFonts w:ascii="宋体" w:hAnsi="宋体"/>
          <w:bCs/>
          <w:color w:val="auto"/>
          <w:sz w:val="24"/>
          <w:highlight w:val="none"/>
        </w:rPr>
        <w:t xml:space="preserve">15.6.2 </w:t>
      </w:r>
      <w:r>
        <w:rPr>
          <w:rFonts w:hint="eastAsia" w:ascii="宋体" w:hAnsi="宋体"/>
          <w:bCs/>
          <w:color w:val="auto"/>
          <w:sz w:val="24"/>
          <w:highlight w:val="none"/>
        </w:rPr>
        <w:t>对于经发包人批准的每一笔暂列金额，监理人有权向承包人发出实施工程或提供材料、工程设备或服务的指令。这些指令应由承包人完成，监理人应根据第</w:t>
      </w:r>
      <w:r>
        <w:rPr>
          <w:rFonts w:ascii="宋体" w:hAnsi="宋体"/>
          <w:bCs/>
          <w:color w:val="auto"/>
          <w:sz w:val="24"/>
          <w:highlight w:val="none"/>
        </w:rPr>
        <w:t xml:space="preserve">15.4 </w:t>
      </w:r>
      <w:r>
        <w:rPr>
          <w:rFonts w:hint="eastAsia" w:ascii="宋体" w:hAnsi="宋体"/>
          <w:bCs/>
          <w:color w:val="auto"/>
          <w:sz w:val="24"/>
          <w:highlight w:val="none"/>
        </w:rPr>
        <w:t>款约定的变更估价原则和第</w:t>
      </w:r>
      <w:r>
        <w:rPr>
          <w:rFonts w:ascii="宋体" w:hAnsi="宋体"/>
          <w:bCs/>
          <w:color w:val="auto"/>
          <w:sz w:val="24"/>
          <w:highlight w:val="none"/>
        </w:rPr>
        <w:t xml:space="preserve"> 15.7 </w:t>
      </w:r>
      <w:r>
        <w:rPr>
          <w:rFonts w:hint="eastAsia" w:ascii="宋体" w:hAnsi="宋体"/>
          <w:bCs/>
          <w:color w:val="auto"/>
          <w:sz w:val="24"/>
          <w:highlight w:val="none"/>
        </w:rPr>
        <w:t>款的规定，对合同价格进行相应调整。</w:t>
      </w:r>
    </w:p>
    <w:p w14:paraId="1842135D">
      <w:pPr>
        <w:spacing w:line="400" w:lineRule="exact"/>
        <w:jc w:val="left"/>
        <w:rPr>
          <w:rFonts w:ascii="宋体" w:hAnsi="Calibri"/>
          <w:bCs/>
          <w:color w:val="auto"/>
          <w:sz w:val="24"/>
          <w:highlight w:val="none"/>
        </w:rPr>
      </w:pPr>
      <w:r>
        <w:rPr>
          <w:rFonts w:ascii="宋体" w:hAnsi="宋体"/>
          <w:bCs/>
          <w:color w:val="auto"/>
          <w:sz w:val="24"/>
          <w:highlight w:val="none"/>
        </w:rPr>
        <w:t xml:space="preserve">15.6.3 </w:t>
      </w:r>
      <w:r>
        <w:rPr>
          <w:rFonts w:hint="eastAsia" w:ascii="宋体" w:hAnsi="宋体"/>
          <w:bCs/>
          <w:color w:val="auto"/>
          <w:sz w:val="24"/>
          <w:highlight w:val="none"/>
        </w:rPr>
        <w:t>当监理人提出要求时，承包人应提供有关暂列金额支出的所有报价单、发票、凭证和账单或收据，除非该工作是根据已标价工程量清单列明的单价或总额价进行的估价。</w:t>
      </w:r>
    </w:p>
    <w:p w14:paraId="64BEFE77">
      <w:pPr>
        <w:spacing w:line="400" w:lineRule="exact"/>
        <w:jc w:val="left"/>
        <w:rPr>
          <w:rFonts w:ascii="宋体" w:hAnsi="Calibri"/>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价格调整</w:t>
      </w:r>
    </w:p>
    <w:p w14:paraId="06189F35">
      <w:pPr>
        <w:spacing w:line="400" w:lineRule="exact"/>
        <w:jc w:val="left"/>
        <w:rPr>
          <w:rFonts w:ascii="宋体" w:hAnsi="Calibri"/>
          <w:bCs/>
          <w:color w:val="auto"/>
          <w:sz w:val="24"/>
          <w:highlight w:val="none"/>
        </w:rPr>
      </w:pPr>
      <w:r>
        <w:rPr>
          <w:rFonts w:ascii="宋体" w:hAnsi="宋体"/>
          <w:bCs/>
          <w:color w:val="auto"/>
          <w:sz w:val="24"/>
          <w:highlight w:val="none"/>
        </w:rPr>
        <w:t xml:space="preserve">16.1 </w:t>
      </w:r>
      <w:r>
        <w:rPr>
          <w:rFonts w:hint="eastAsia" w:ascii="宋体" w:hAnsi="宋体"/>
          <w:bCs/>
          <w:color w:val="auto"/>
          <w:sz w:val="24"/>
          <w:highlight w:val="none"/>
        </w:rPr>
        <w:t>物价波动引起的价格调整</w:t>
      </w:r>
    </w:p>
    <w:p w14:paraId="5685FAD9">
      <w:pPr>
        <w:spacing w:line="400" w:lineRule="exact"/>
        <w:jc w:val="left"/>
        <w:rPr>
          <w:rFonts w:ascii="宋体" w:hAnsi="Calibri"/>
          <w:bCs/>
          <w:color w:val="auto"/>
          <w:sz w:val="24"/>
          <w:highlight w:val="none"/>
        </w:rPr>
      </w:pPr>
      <w:r>
        <w:rPr>
          <w:rFonts w:hint="eastAsia" w:ascii="宋体" w:hAnsi="宋体"/>
          <w:bCs/>
          <w:color w:val="auto"/>
          <w:sz w:val="24"/>
          <w:highlight w:val="none"/>
        </w:rPr>
        <w:t>无</w:t>
      </w:r>
    </w:p>
    <w:p w14:paraId="3B04A4AE">
      <w:pPr>
        <w:spacing w:line="400" w:lineRule="exact"/>
        <w:jc w:val="left"/>
        <w:rPr>
          <w:rFonts w:ascii="宋体" w:hAnsi="Calibri"/>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计量与支付</w:t>
      </w:r>
    </w:p>
    <w:p w14:paraId="5DA462C3">
      <w:pPr>
        <w:spacing w:line="400" w:lineRule="exact"/>
        <w:jc w:val="left"/>
        <w:rPr>
          <w:rFonts w:ascii="宋体" w:hAnsi="Calibri"/>
          <w:bCs/>
          <w:color w:val="auto"/>
          <w:sz w:val="24"/>
          <w:highlight w:val="none"/>
        </w:rPr>
      </w:pPr>
      <w:r>
        <w:rPr>
          <w:rFonts w:ascii="宋体" w:hAnsi="宋体"/>
          <w:bCs/>
          <w:color w:val="auto"/>
          <w:sz w:val="24"/>
          <w:highlight w:val="none"/>
        </w:rPr>
        <w:t xml:space="preserve">17.1 </w:t>
      </w:r>
      <w:r>
        <w:rPr>
          <w:rFonts w:hint="eastAsia" w:ascii="宋体" w:hAnsi="宋体"/>
          <w:bCs/>
          <w:color w:val="auto"/>
          <w:sz w:val="24"/>
          <w:highlight w:val="none"/>
        </w:rPr>
        <w:t>计量</w:t>
      </w:r>
    </w:p>
    <w:p w14:paraId="1A533C97">
      <w:pPr>
        <w:spacing w:line="400" w:lineRule="exact"/>
        <w:jc w:val="left"/>
        <w:rPr>
          <w:rFonts w:ascii="宋体" w:hAnsi="Calibri"/>
          <w:bCs/>
          <w:color w:val="auto"/>
          <w:sz w:val="24"/>
          <w:highlight w:val="none"/>
        </w:rPr>
      </w:pPr>
      <w:r>
        <w:rPr>
          <w:rFonts w:ascii="宋体" w:hAnsi="宋体"/>
          <w:bCs/>
          <w:color w:val="auto"/>
          <w:sz w:val="24"/>
          <w:highlight w:val="none"/>
        </w:rPr>
        <w:t xml:space="preserve">17.1.2 </w:t>
      </w:r>
      <w:r>
        <w:rPr>
          <w:rFonts w:hint="eastAsia" w:ascii="宋体" w:hAnsi="宋体"/>
          <w:bCs/>
          <w:color w:val="auto"/>
          <w:sz w:val="24"/>
          <w:highlight w:val="none"/>
        </w:rPr>
        <w:t>计量方法</w:t>
      </w:r>
    </w:p>
    <w:p w14:paraId="227EDFB3">
      <w:pPr>
        <w:spacing w:line="400" w:lineRule="exact"/>
        <w:jc w:val="left"/>
        <w:rPr>
          <w:rFonts w:ascii="宋体" w:hAnsi="Calibri"/>
          <w:bCs/>
          <w:color w:val="auto"/>
          <w:sz w:val="24"/>
          <w:highlight w:val="none"/>
        </w:rPr>
      </w:pPr>
      <w:r>
        <w:rPr>
          <w:rFonts w:hint="eastAsia" w:ascii="宋体" w:hAnsi="宋体"/>
          <w:bCs/>
          <w:color w:val="auto"/>
          <w:sz w:val="24"/>
          <w:highlight w:val="none"/>
        </w:rPr>
        <w:t>本项约定为：</w:t>
      </w:r>
    </w:p>
    <w:p w14:paraId="65C3E85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工程的计量应以净值为准，除非项目专用合同条款另有约定。工程量清单中各个子目的具体计量方法按本合同文件工程量清单计量规则中的规定执行。</w:t>
      </w:r>
    </w:p>
    <w:p w14:paraId="38FF3903">
      <w:pPr>
        <w:spacing w:line="400" w:lineRule="exact"/>
        <w:jc w:val="left"/>
        <w:rPr>
          <w:rFonts w:ascii="宋体" w:hAnsi="Calibri"/>
          <w:bCs/>
          <w:color w:val="auto"/>
          <w:sz w:val="24"/>
          <w:highlight w:val="none"/>
        </w:rPr>
      </w:pPr>
      <w:r>
        <w:rPr>
          <w:rFonts w:ascii="宋体" w:hAnsi="宋体"/>
          <w:bCs/>
          <w:color w:val="auto"/>
          <w:sz w:val="24"/>
          <w:highlight w:val="none"/>
        </w:rPr>
        <w:t>17.1.4</w:t>
      </w:r>
      <w:r>
        <w:rPr>
          <w:rFonts w:ascii="宋体" w:hAnsi="宋体"/>
          <w:bCs/>
          <w:color w:val="auto"/>
          <w:sz w:val="24"/>
          <w:highlight w:val="none"/>
        </w:rPr>
        <w:tab/>
      </w:r>
      <w:r>
        <w:rPr>
          <w:rFonts w:hint="eastAsia" w:ascii="宋体" w:hAnsi="宋体"/>
          <w:bCs/>
          <w:color w:val="auto"/>
          <w:sz w:val="24"/>
          <w:highlight w:val="none"/>
        </w:rPr>
        <w:t>单价子目的计量</w:t>
      </w:r>
    </w:p>
    <w:p w14:paraId="735A9E21">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w:t>
      </w:r>
    </w:p>
    <w:p w14:paraId="54FC5E67">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）承包人未在已标价工程量清单中填入单价或总额价的工程子目，将被认为其已包含在本合同的其他子目的单价和总额价中，发包人将不另行支付。</w:t>
      </w:r>
    </w:p>
    <w:p w14:paraId="3517AE40">
      <w:pPr>
        <w:spacing w:line="400" w:lineRule="exact"/>
        <w:jc w:val="left"/>
        <w:rPr>
          <w:rFonts w:ascii="宋体" w:hAnsi="Calibri"/>
          <w:bCs/>
          <w:color w:val="auto"/>
          <w:sz w:val="24"/>
          <w:highlight w:val="none"/>
        </w:rPr>
      </w:pPr>
      <w:r>
        <w:rPr>
          <w:rFonts w:ascii="宋体" w:hAnsi="宋体"/>
          <w:bCs/>
          <w:color w:val="auto"/>
          <w:sz w:val="24"/>
          <w:highlight w:val="none"/>
        </w:rPr>
        <w:t>17.1.5</w:t>
      </w:r>
      <w:r>
        <w:rPr>
          <w:rFonts w:ascii="宋体" w:hAnsi="宋体"/>
          <w:bCs/>
          <w:color w:val="auto"/>
          <w:sz w:val="24"/>
          <w:highlight w:val="none"/>
        </w:rPr>
        <w:tab/>
      </w:r>
      <w:r>
        <w:rPr>
          <w:rFonts w:hint="eastAsia" w:ascii="宋体" w:hAnsi="宋体"/>
          <w:bCs/>
          <w:color w:val="auto"/>
          <w:sz w:val="24"/>
          <w:highlight w:val="none"/>
        </w:rPr>
        <w:t>总价子目的计量</w:t>
      </w:r>
    </w:p>
    <w:p w14:paraId="15073E3F">
      <w:pPr>
        <w:spacing w:line="400" w:lineRule="exact"/>
        <w:jc w:val="left"/>
        <w:rPr>
          <w:rFonts w:ascii="宋体" w:hAnsi="Calibri"/>
          <w:bCs/>
          <w:color w:val="auto"/>
          <w:sz w:val="24"/>
          <w:highlight w:val="none"/>
        </w:rPr>
      </w:pPr>
    </w:p>
    <w:p w14:paraId="164ECBAC">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w:t>
      </w:r>
    </w:p>
    <w:p w14:paraId="4823DDD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本项目工程量清单中要求承包人以“总额”方式报价的子目，各子目的支付原则和支付进度按项目专用合同条款的规定执行。</w:t>
      </w:r>
    </w:p>
    <w:p w14:paraId="1EC51C1D">
      <w:pPr>
        <w:spacing w:line="400" w:lineRule="exact"/>
        <w:jc w:val="left"/>
        <w:rPr>
          <w:rFonts w:hint="eastAsia" w:ascii="宋体" w:hAnsi="Calibri" w:eastAsia="宋体"/>
          <w:bCs/>
          <w:color w:val="auto"/>
          <w:sz w:val="24"/>
          <w:highlight w:val="none"/>
          <w:lang w:eastAsia="zh-CN"/>
        </w:rPr>
      </w:pPr>
      <w:r>
        <w:rPr>
          <w:rFonts w:ascii="宋体" w:hAnsi="宋体"/>
          <w:bCs/>
          <w:color w:val="auto"/>
          <w:sz w:val="24"/>
          <w:highlight w:val="none"/>
        </w:rPr>
        <w:t>17.2</w:t>
      </w:r>
      <w:r>
        <w:rPr>
          <w:rFonts w:ascii="宋体" w:hAnsi="宋体"/>
          <w:bCs/>
          <w:color w:val="auto"/>
          <w:sz w:val="24"/>
          <w:highlight w:val="none"/>
        </w:rPr>
        <w:tab/>
      </w:r>
      <w:r>
        <w:rPr>
          <w:rFonts w:hint="eastAsia" w:ascii="宋体" w:hAnsi="宋体"/>
          <w:bCs/>
          <w:color w:val="auto"/>
          <w:sz w:val="24"/>
          <w:highlight w:val="none"/>
        </w:rPr>
        <w:t>预付款</w:t>
      </w:r>
      <w:r>
        <w:rPr>
          <w:rFonts w:hint="eastAsia" w:ascii="宋体" w:hAnsi="宋体"/>
          <w:bCs/>
          <w:color w:val="auto"/>
          <w:sz w:val="24"/>
          <w:highlight w:val="none"/>
          <w:lang w:eastAsia="zh-CN"/>
        </w:rPr>
        <w:t>（如有）</w:t>
      </w:r>
    </w:p>
    <w:p w14:paraId="2A6E1DF6">
      <w:pPr>
        <w:spacing w:line="400" w:lineRule="exact"/>
        <w:jc w:val="left"/>
        <w:rPr>
          <w:rFonts w:ascii="宋体" w:hAnsi="Calibri"/>
          <w:bCs/>
          <w:color w:val="auto"/>
          <w:sz w:val="24"/>
          <w:highlight w:val="none"/>
        </w:rPr>
      </w:pPr>
      <w:r>
        <w:rPr>
          <w:rFonts w:ascii="宋体" w:hAnsi="宋体"/>
          <w:bCs/>
          <w:color w:val="auto"/>
          <w:sz w:val="24"/>
          <w:highlight w:val="none"/>
        </w:rPr>
        <w:t xml:space="preserve">17.2.1 </w:t>
      </w:r>
      <w:r>
        <w:rPr>
          <w:rFonts w:hint="eastAsia" w:ascii="宋体" w:hAnsi="宋体"/>
          <w:bCs/>
          <w:color w:val="auto"/>
          <w:sz w:val="24"/>
          <w:highlight w:val="none"/>
        </w:rPr>
        <w:t>预付款</w:t>
      </w:r>
    </w:p>
    <w:p w14:paraId="56E6D792">
      <w:pPr>
        <w:spacing w:line="400" w:lineRule="exact"/>
        <w:jc w:val="left"/>
        <w:rPr>
          <w:rFonts w:ascii="宋体" w:hAnsi="Calibri"/>
          <w:bCs/>
          <w:color w:val="auto"/>
          <w:sz w:val="24"/>
          <w:highlight w:val="none"/>
        </w:rPr>
      </w:pPr>
      <w:r>
        <w:rPr>
          <w:rFonts w:hint="eastAsia" w:ascii="宋体" w:hAnsi="宋体"/>
          <w:bCs/>
          <w:color w:val="auto"/>
          <w:sz w:val="24"/>
          <w:highlight w:val="none"/>
        </w:rPr>
        <w:t>本项约定为：</w:t>
      </w:r>
    </w:p>
    <w:p w14:paraId="75BF6418">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预付款包括开工预付款和材料、设备预付款。具体额度和预付办法如下：</w:t>
      </w:r>
    </w:p>
    <w:p w14:paraId="1D5CA6B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）开工预付款的金额在项目专用合同条款数据表中约定。在承包人签订了合同协议书且承包人承诺的主要设备进场后，监理人应在当期进度付款证书中向承包人支付开工预付款。</w:t>
      </w:r>
    </w:p>
    <w:p w14:paraId="406A26AC">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693EF18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）材料、设备预付款按项目专用合同条款数据表中所列主要材料、设备单费用（进口的材料、设备为到岸价，国内采购的为出厂价或销售价，地方材料为堆场价）的百分比支付。其预付条件为：</w:t>
      </w:r>
    </w:p>
    <w:p w14:paraId="3A9692D8">
      <w:pPr>
        <w:spacing w:line="400" w:lineRule="exact"/>
        <w:ind w:firstLine="480" w:firstLineChars="200"/>
        <w:jc w:val="left"/>
        <w:rPr>
          <w:rFonts w:ascii="宋体" w:hAnsi="Calibri"/>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材料、设备符合规范要求并经监理人认可；</w:t>
      </w:r>
    </w:p>
    <w:p w14:paraId="753CD235">
      <w:pPr>
        <w:spacing w:line="400" w:lineRule="exact"/>
        <w:ind w:firstLine="480" w:firstLineChars="200"/>
        <w:jc w:val="left"/>
        <w:rPr>
          <w:rFonts w:ascii="宋体" w:hAnsi="Calibri"/>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承包人已出具材料、设备费用凭证或支付单据；</w:t>
      </w:r>
    </w:p>
    <w:p w14:paraId="26F18373">
      <w:pPr>
        <w:spacing w:line="400" w:lineRule="exact"/>
        <w:ind w:firstLine="480" w:firstLineChars="200"/>
        <w:jc w:val="left"/>
        <w:rPr>
          <w:rFonts w:ascii="宋体" w:hAnsi="Calibri"/>
          <w:bCs/>
          <w:color w:val="auto"/>
          <w:sz w:val="24"/>
          <w:highlight w:val="none"/>
        </w:rPr>
      </w:pPr>
      <w:r>
        <w:rPr>
          <w:rFonts w:ascii="宋体" w:hAnsi="宋体"/>
          <w:bCs/>
          <w:color w:val="auto"/>
          <w:sz w:val="24"/>
          <w:highlight w:val="none"/>
        </w:rPr>
        <w:t xml:space="preserve">c. </w:t>
      </w:r>
      <w:r>
        <w:rPr>
          <w:rFonts w:hint="eastAsia" w:ascii="宋体" w:hAnsi="宋体"/>
          <w:bCs/>
          <w:color w:val="auto"/>
          <w:sz w:val="24"/>
          <w:highlight w:val="none"/>
        </w:rPr>
        <w:t>材料、设备已在现场交货，且存储良好，监理人认为材料、设备的存储方法符合要求。则监理人应将此项金额作为材料、设备预付款计入下一次的进度付款证书中。在预计交工前</w:t>
      </w:r>
      <w:r>
        <w:rPr>
          <w:rFonts w:ascii="宋体" w:hAnsi="宋体"/>
          <w:bCs/>
          <w:color w:val="auto"/>
          <w:sz w:val="24"/>
          <w:highlight w:val="none"/>
        </w:rPr>
        <w:t xml:space="preserve"> 3 </w:t>
      </w:r>
      <w:r>
        <w:rPr>
          <w:rFonts w:hint="eastAsia" w:ascii="宋体" w:hAnsi="宋体"/>
          <w:bCs/>
          <w:color w:val="auto"/>
          <w:sz w:val="24"/>
          <w:highlight w:val="none"/>
        </w:rPr>
        <w:t>个月，将不再支付材料、设备预付款。</w:t>
      </w:r>
    </w:p>
    <w:p w14:paraId="531F07F6">
      <w:pPr>
        <w:spacing w:line="400" w:lineRule="exact"/>
        <w:jc w:val="left"/>
        <w:rPr>
          <w:rFonts w:ascii="宋体" w:hAnsi="Calibri"/>
          <w:bCs/>
          <w:color w:val="auto"/>
          <w:sz w:val="24"/>
          <w:highlight w:val="none"/>
        </w:rPr>
      </w:pPr>
      <w:r>
        <w:rPr>
          <w:rFonts w:ascii="宋体" w:hAnsi="宋体"/>
          <w:bCs/>
          <w:color w:val="auto"/>
          <w:sz w:val="24"/>
          <w:highlight w:val="none"/>
        </w:rPr>
        <w:t xml:space="preserve">17.2.2 </w:t>
      </w:r>
      <w:r>
        <w:rPr>
          <w:rFonts w:hint="eastAsia" w:ascii="宋体" w:hAnsi="宋体"/>
          <w:bCs/>
          <w:color w:val="auto"/>
          <w:sz w:val="24"/>
          <w:highlight w:val="none"/>
        </w:rPr>
        <w:t>预付款保函</w:t>
      </w:r>
    </w:p>
    <w:p w14:paraId="1D64591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本项细化为：</w:t>
      </w:r>
    </w:p>
    <w:p w14:paraId="1BFC2A85">
      <w:pPr>
        <w:spacing w:line="400" w:lineRule="exact"/>
        <w:jc w:val="left"/>
        <w:rPr>
          <w:rFonts w:ascii="宋体" w:hAnsi="Calibri"/>
          <w:bCs/>
          <w:color w:val="auto"/>
          <w:sz w:val="24"/>
          <w:highlight w:val="none"/>
        </w:rPr>
      </w:pPr>
      <w:r>
        <w:rPr>
          <w:rFonts w:hint="eastAsia" w:ascii="宋体" w:hAnsi="宋体"/>
          <w:bCs/>
          <w:color w:val="auto"/>
          <w:sz w:val="24"/>
          <w:highlight w:val="none"/>
        </w:rPr>
        <w:t>承包人无须向发包人提交预付款保函。发包人向承包人支付的预付款，应按照本合同第</w:t>
      </w:r>
      <w:r>
        <w:rPr>
          <w:rFonts w:ascii="宋体" w:hAnsi="宋体"/>
          <w:bCs/>
          <w:color w:val="auto"/>
          <w:sz w:val="24"/>
          <w:highlight w:val="none"/>
        </w:rPr>
        <w:t xml:space="preserve"> 17.2.1 </w:t>
      </w:r>
      <w:r>
        <w:rPr>
          <w:rFonts w:hint="eastAsia" w:ascii="宋体" w:hAnsi="宋体"/>
          <w:bCs/>
          <w:color w:val="auto"/>
          <w:sz w:val="24"/>
          <w:highlight w:val="none"/>
        </w:rPr>
        <w:t>项规定使用，承包人提交的履约保证金对预付款的正常使用承担保证责任。</w:t>
      </w:r>
    </w:p>
    <w:p w14:paraId="5F724C1F">
      <w:pPr>
        <w:spacing w:line="400" w:lineRule="exact"/>
        <w:jc w:val="left"/>
        <w:rPr>
          <w:rFonts w:ascii="宋体" w:hAnsi="Calibri"/>
          <w:bCs/>
          <w:color w:val="auto"/>
          <w:sz w:val="24"/>
          <w:highlight w:val="none"/>
        </w:rPr>
      </w:pPr>
      <w:r>
        <w:rPr>
          <w:rFonts w:ascii="宋体" w:hAnsi="宋体"/>
          <w:bCs/>
          <w:color w:val="auto"/>
          <w:sz w:val="24"/>
          <w:highlight w:val="none"/>
        </w:rPr>
        <w:t xml:space="preserve">17.2.3 </w:t>
      </w:r>
      <w:r>
        <w:rPr>
          <w:rFonts w:hint="eastAsia" w:ascii="宋体" w:hAnsi="宋体"/>
          <w:bCs/>
          <w:color w:val="auto"/>
          <w:sz w:val="24"/>
          <w:highlight w:val="none"/>
        </w:rPr>
        <w:t>预付款的扣回与还清</w:t>
      </w:r>
    </w:p>
    <w:p w14:paraId="102A50F6">
      <w:pPr>
        <w:spacing w:line="400" w:lineRule="exact"/>
        <w:jc w:val="left"/>
        <w:rPr>
          <w:rFonts w:ascii="宋体" w:hAnsi="Calibri"/>
          <w:bCs/>
          <w:color w:val="auto"/>
          <w:sz w:val="24"/>
          <w:highlight w:val="none"/>
        </w:rPr>
      </w:pPr>
      <w:r>
        <w:rPr>
          <w:rFonts w:hint="eastAsia" w:ascii="宋体" w:hAnsi="宋体"/>
          <w:bCs/>
          <w:color w:val="auto"/>
          <w:sz w:val="24"/>
          <w:highlight w:val="none"/>
        </w:rPr>
        <w:t>本项约定为：</w:t>
      </w:r>
    </w:p>
    <w:p w14:paraId="641D86A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）开工预付款在进度付款证书的累计金额未达到签约合同价的</w:t>
      </w:r>
      <w:r>
        <w:rPr>
          <w:rFonts w:ascii="宋体" w:hAnsi="宋体"/>
          <w:bCs/>
          <w:color w:val="auto"/>
          <w:sz w:val="24"/>
          <w:highlight w:val="none"/>
        </w:rPr>
        <w:t xml:space="preserve"> 30%</w:t>
      </w:r>
      <w:r>
        <w:rPr>
          <w:rFonts w:hint="eastAsia" w:ascii="宋体" w:hAnsi="宋体"/>
          <w:bCs/>
          <w:color w:val="auto"/>
          <w:sz w:val="24"/>
          <w:highlight w:val="none"/>
        </w:rPr>
        <w:t>之前不予扣回，在达到签约合同价</w:t>
      </w:r>
      <w:r>
        <w:rPr>
          <w:rFonts w:ascii="宋体" w:hAnsi="宋体"/>
          <w:bCs/>
          <w:color w:val="auto"/>
          <w:sz w:val="24"/>
          <w:highlight w:val="none"/>
        </w:rPr>
        <w:t xml:space="preserve"> 30%</w:t>
      </w:r>
      <w:r>
        <w:rPr>
          <w:rFonts w:hint="eastAsia" w:ascii="宋体" w:hAnsi="宋体"/>
          <w:bCs/>
          <w:color w:val="auto"/>
          <w:sz w:val="24"/>
          <w:highlight w:val="none"/>
        </w:rPr>
        <w:t>之后，开始按工程进度以固定比例（即每完成签约合同价的</w:t>
      </w:r>
      <w:r>
        <w:rPr>
          <w:rFonts w:ascii="宋体" w:hAnsi="宋体"/>
          <w:bCs/>
          <w:color w:val="auto"/>
          <w:sz w:val="24"/>
          <w:highlight w:val="none"/>
        </w:rPr>
        <w:t xml:space="preserve"> 1%</w:t>
      </w:r>
      <w:r>
        <w:rPr>
          <w:rFonts w:hint="eastAsia" w:ascii="宋体" w:hAnsi="宋体"/>
          <w:bCs/>
          <w:color w:val="auto"/>
          <w:sz w:val="24"/>
          <w:highlight w:val="none"/>
        </w:rPr>
        <w:t>，扣回开工预付款的</w:t>
      </w:r>
      <w:r>
        <w:rPr>
          <w:rFonts w:ascii="宋体" w:hAnsi="宋体"/>
          <w:bCs/>
          <w:color w:val="auto"/>
          <w:sz w:val="24"/>
          <w:highlight w:val="none"/>
        </w:rPr>
        <w:t>2%</w:t>
      </w:r>
      <w:r>
        <w:rPr>
          <w:rFonts w:hint="eastAsia" w:ascii="宋体" w:hAnsi="宋体"/>
          <w:bCs/>
          <w:color w:val="auto"/>
          <w:sz w:val="24"/>
          <w:highlight w:val="none"/>
        </w:rPr>
        <w:t>）分期从各月的进度付款证书中扣回，全部金额在进度付款证书的累计金额达到签约合同价的</w:t>
      </w:r>
      <w:r>
        <w:rPr>
          <w:rFonts w:ascii="宋体" w:hAnsi="宋体"/>
          <w:bCs/>
          <w:color w:val="auto"/>
          <w:sz w:val="24"/>
          <w:highlight w:val="none"/>
        </w:rPr>
        <w:t>80%</w:t>
      </w:r>
      <w:r>
        <w:rPr>
          <w:rFonts w:hint="eastAsia" w:ascii="宋体" w:hAnsi="宋体"/>
          <w:bCs/>
          <w:color w:val="auto"/>
          <w:sz w:val="24"/>
          <w:highlight w:val="none"/>
        </w:rPr>
        <w:t>时扣完。</w:t>
      </w:r>
    </w:p>
    <w:p w14:paraId="30799D4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）当材料、设备已用于或安装在永久工程之中时，材料、设备预付款应从进度付款证书中扣回，扣回期不超过</w:t>
      </w:r>
      <w:r>
        <w:rPr>
          <w:rFonts w:ascii="宋体" w:hAnsi="宋体"/>
          <w:bCs/>
          <w:color w:val="auto"/>
          <w:sz w:val="24"/>
          <w:highlight w:val="none"/>
        </w:rPr>
        <w:t xml:space="preserve"> 3 </w:t>
      </w:r>
      <w:r>
        <w:rPr>
          <w:rFonts w:hint="eastAsia" w:ascii="宋体" w:hAnsi="宋体"/>
          <w:bCs/>
          <w:color w:val="auto"/>
          <w:sz w:val="24"/>
          <w:highlight w:val="none"/>
        </w:rPr>
        <w:t>个月。已经支付材料、设备预付款的材料、设备的所有权应属于发包人。</w:t>
      </w:r>
    </w:p>
    <w:p w14:paraId="2BEA6EC5">
      <w:pPr>
        <w:spacing w:line="400" w:lineRule="exact"/>
        <w:jc w:val="left"/>
        <w:rPr>
          <w:rFonts w:ascii="宋体" w:hAnsi="Calibri"/>
          <w:bCs/>
          <w:color w:val="auto"/>
          <w:sz w:val="24"/>
          <w:highlight w:val="none"/>
        </w:rPr>
      </w:pPr>
      <w:r>
        <w:rPr>
          <w:rFonts w:ascii="宋体" w:hAnsi="宋体"/>
          <w:bCs/>
          <w:color w:val="auto"/>
          <w:sz w:val="24"/>
          <w:highlight w:val="none"/>
        </w:rPr>
        <w:t>17.3</w:t>
      </w:r>
      <w:r>
        <w:rPr>
          <w:rFonts w:ascii="宋体" w:hAnsi="宋体"/>
          <w:bCs/>
          <w:color w:val="auto"/>
          <w:sz w:val="24"/>
          <w:highlight w:val="none"/>
        </w:rPr>
        <w:tab/>
      </w:r>
      <w:r>
        <w:rPr>
          <w:rFonts w:hint="eastAsia" w:ascii="宋体" w:hAnsi="宋体"/>
          <w:bCs/>
          <w:color w:val="auto"/>
          <w:sz w:val="24"/>
          <w:highlight w:val="none"/>
        </w:rPr>
        <w:t>工程进度付款</w:t>
      </w:r>
    </w:p>
    <w:p w14:paraId="6C3E9C82">
      <w:pPr>
        <w:spacing w:line="400" w:lineRule="exact"/>
        <w:ind w:firstLine="480" w:firstLineChars="200"/>
        <w:jc w:val="left"/>
        <w:rPr>
          <w:rFonts w:hint="eastAsia" w:ascii="宋体" w:hAnsi="宋体" w:eastAsia="宋体"/>
          <w:bCs/>
          <w:color w:val="auto"/>
          <w:sz w:val="24"/>
          <w:highlight w:val="none"/>
          <w:lang w:eastAsia="zh-CN"/>
        </w:rPr>
      </w:pPr>
      <w:r>
        <w:rPr>
          <w:rFonts w:hint="eastAsia" w:ascii="宋体" w:hAnsi="宋体"/>
          <w:bCs/>
          <w:color w:val="auto"/>
          <w:sz w:val="24"/>
          <w:highlight w:val="none"/>
        </w:rPr>
        <w:t>（1）本工程预付款：</w:t>
      </w:r>
      <w:r>
        <w:rPr>
          <w:rFonts w:hint="eastAsia" w:ascii="宋体" w:hAnsi="宋体" w:cs="黑体"/>
          <w:b/>
          <w:bCs/>
          <w:color w:val="auto"/>
          <w:szCs w:val="21"/>
          <w:highlight w:val="none"/>
          <w:lang w:val="zh-CN"/>
        </w:rPr>
        <w:t>签订合同时约定</w:t>
      </w:r>
    </w:p>
    <w:p w14:paraId="6D8A6EF2">
      <w:pPr>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本程按工程进度支付进度款，合同内进度款支付限额为已完成合格工程量的80%(提供完税证明)，工程变更部分进度款待完工审计后一并支付，工程质量评定验收合格后支付至90%，结算经审计部门审定后，工程款支付至结算总价的 97%，发包人扣除每期工程价款结算总额的3%作为质量保证金，待缺陷责任期届满后再清算(不计利息)。</w:t>
      </w:r>
    </w:p>
    <w:p w14:paraId="6B5BBAAC">
      <w:pPr>
        <w:spacing w:line="400" w:lineRule="exact"/>
        <w:jc w:val="left"/>
        <w:rPr>
          <w:rFonts w:ascii="宋体" w:hAnsi="Calibri"/>
          <w:bCs/>
          <w:color w:val="auto"/>
          <w:sz w:val="24"/>
          <w:highlight w:val="none"/>
        </w:rPr>
      </w:pPr>
      <w:r>
        <w:rPr>
          <w:rFonts w:ascii="宋体" w:hAnsi="宋体"/>
          <w:bCs/>
          <w:color w:val="auto"/>
          <w:sz w:val="24"/>
          <w:highlight w:val="none"/>
        </w:rPr>
        <w:t>17.3.</w:t>
      </w:r>
      <w:r>
        <w:rPr>
          <w:rFonts w:hint="eastAsia" w:ascii="宋体" w:hAnsi="宋体"/>
          <w:bCs/>
          <w:color w:val="auto"/>
          <w:sz w:val="24"/>
          <w:highlight w:val="none"/>
        </w:rPr>
        <w:t>3</w:t>
      </w:r>
      <w:r>
        <w:rPr>
          <w:rFonts w:ascii="宋体" w:hAnsi="宋体"/>
          <w:bCs/>
          <w:color w:val="auto"/>
          <w:sz w:val="24"/>
          <w:highlight w:val="none"/>
        </w:rPr>
        <w:tab/>
      </w:r>
      <w:r>
        <w:rPr>
          <w:rFonts w:hint="eastAsia" w:ascii="宋体" w:hAnsi="宋体"/>
          <w:bCs/>
          <w:color w:val="auto"/>
          <w:sz w:val="24"/>
          <w:highlight w:val="none"/>
        </w:rPr>
        <w:t>农民工工资保证金</w:t>
      </w:r>
    </w:p>
    <w:p w14:paraId="45AF084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）为确保施工过程中农民工工资实时、足额发放到位，承包人应按照项目专用合同条款约定的时间和金额缴存农民工工资保证金。</w:t>
      </w:r>
    </w:p>
    <w:p w14:paraId="370E5E05">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）农民工工资保证金可采用银行保函或现金、支票形式。采用银行保函时，出具保函的银行须具有相应担保能力，且按照发包人批准的格式出具，所需费用由承包人承担。</w:t>
      </w:r>
    </w:p>
    <w:p w14:paraId="2EC20CE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）农民工工资保证金的扣留条件、返还时间按照项目专用合同条款的约定执行。</w:t>
      </w:r>
    </w:p>
    <w:p w14:paraId="5DBE59D0">
      <w:pPr>
        <w:spacing w:line="400" w:lineRule="exact"/>
        <w:jc w:val="left"/>
        <w:rPr>
          <w:rFonts w:ascii="宋体" w:hAnsi="Calibri"/>
          <w:bCs/>
          <w:color w:val="auto"/>
          <w:sz w:val="24"/>
          <w:highlight w:val="none"/>
        </w:rPr>
      </w:pPr>
      <w:r>
        <w:rPr>
          <w:rFonts w:ascii="宋体" w:hAnsi="宋体"/>
          <w:bCs/>
          <w:color w:val="auto"/>
          <w:sz w:val="24"/>
          <w:highlight w:val="none"/>
        </w:rPr>
        <w:t>17.4</w:t>
      </w:r>
      <w:r>
        <w:rPr>
          <w:rFonts w:ascii="宋体" w:hAnsi="宋体"/>
          <w:bCs/>
          <w:color w:val="auto"/>
          <w:sz w:val="24"/>
          <w:highlight w:val="none"/>
        </w:rPr>
        <w:tab/>
      </w:r>
      <w:r>
        <w:rPr>
          <w:rFonts w:hint="eastAsia" w:ascii="宋体" w:hAnsi="宋体"/>
          <w:bCs/>
          <w:color w:val="auto"/>
          <w:sz w:val="24"/>
          <w:highlight w:val="none"/>
        </w:rPr>
        <w:t>质量保证金</w:t>
      </w:r>
    </w:p>
    <w:p w14:paraId="5F1D636C">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17.4.1 </w:t>
      </w:r>
      <w:r>
        <w:rPr>
          <w:rFonts w:hint="eastAsia" w:ascii="宋体" w:hAnsi="宋体"/>
          <w:bCs/>
          <w:color w:val="auto"/>
          <w:sz w:val="24"/>
          <w:highlight w:val="none"/>
        </w:rPr>
        <w:t>项、第</w:t>
      </w:r>
      <w:r>
        <w:rPr>
          <w:rFonts w:ascii="宋体" w:hAnsi="宋体"/>
          <w:bCs/>
          <w:color w:val="auto"/>
          <w:sz w:val="24"/>
          <w:highlight w:val="none"/>
        </w:rPr>
        <w:t xml:space="preserve"> 17.4.2 </w:t>
      </w:r>
      <w:r>
        <w:rPr>
          <w:rFonts w:hint="eastAsia" w:ascii="宋体" w:hAnsi="宋体"/>
          <w:bCs/>
          <w:color w:val="auto"/>
          <w:sz w:val="24"/>
          <w:highlight w:val="none"/>
        </w:rPr>
        <w:t>项细化为：</w:t>
      </w:r>
    </w:p>
    <w:p w14:paraId="4F46E8AE">
      <w:pPr>
        <w:spacing w:line="400" w:lineRule="exact"/>
        <w:jc w:val="left"/>
        <w:rPr>
          <w:rFonts w:ascii="宋体" w:hAnsi="Calibri"/>
          <w:bCs/>
          <w:color w:val="auto"/>
          <w:sz w:val="24"/>
          <w:highlight w:val="none"/>
        </w:rPr>
      </w:pPr>
      <w:r>
        <w:rPr>
          <w:rFonts w:ascii="宋体" w:hAnsi="宋体"/>
          <w:bCs/>
          <w:color w:val="auto"/>
          <w:sz w:val="24"/>
          <w:highlight w:val="none"/>
        </w:rPr>
        <w:t xml:space="preserve">17.4.1 </w:t>
      </w:r>
      <w:r>
        <w:rPr>
          <w:rFonts w:hint="eastAsia" w:ascii="宋体" w:hAnsi="宋体"/>
          <w:bCs/>
          <w:color w:val="auto"/>
          <w:sz w:val="24"/>
          <w:highlight w:val="none"/>
        </w:rPr>
        <w:t>交工验收证书签发后</w:t>
      </w:r>
      <w:r>
        <w:rPr>
          <w:rFonts w:ascii="宋体" w:hAnsi="宋体"/>
          <w:bCs/>
          <w:color w:val="auto"/>
          <w:sz w:val="24"/>
          <w:highlight w:val="none"/>
        </w:rPr>
        <w:t xml:space="preserve"> 14 </w:t>
      </w:r>
      <w:r>
        <w:rPr>
          <w:rFonts w:hint="eastAsia" w:ascii="宋体" w:hAnsi="宋体"/>
          <w:bCs/>
          <w:color w:val="auto"/>
          <w:sz w:val="24"/>
          <w:highlight w:val="none"/>
        </w:rPr>
        <w:t>天内，承包人应向发包人缴纳质量保证金。质量保证金可采用银行转账、电汇方式提交，金额应符合项目专用合同条款数据表的规定。</w:t>
      </w:r>
    </w:p>
    <w:p w14:paraId="5712378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质量保证金采用银行转账、电汇方式提交的，发包人应在项目专用合同条款数据表中明确是否计付利息以及利息的计算方式。</w:t>
      </w:r>
    </w:p>
    <w:p w14:paraId="14FDF527">
      <w:pPr>
        <w:spacing w:line="400" w:lineRule="exact"/>
        <w:jc w:val="left"/>
        <w:rPr>
          <w:rFonts w:ascii="宋体" w:hAnsi="Calibri"/>
          <w:bCs/>
          <w:color w:val="auto"/>
          <w:sz w:val="24"/>
          <w:highlight w:val="none"/>
        </w:rPr>
      </w:pPr>
      <w:r>
        <w:rPr>
          <w:rFonts w:ascii="宋体" w:hAnsi="宋体"/>
          <w:bCs/>
          <w:color w:val="auto"/>
          <w:sz w:val="24"/>
          <w:highlight w:val="none"/>
        </w:rPr>
        <w:t xml:space="preserve">17.4.2 </w:t>
      </w:r>
      <w:r>
        <w:rPr>
          <w:rFonts w:hint="eastAsia" w:ascii="宋体" w:hAnsi="宋体"/>
          <w:bCs/>
          <w:color w:val="auto"/>
          <w:sz w:val="24"/>
          <w:highlight w:val="none"/>
        </w:rPr>
        <w:t>在第</w:t>
      </w:r>
      <w:r>
        <w:rPr>
          <w:rFonts w:ascii="宋体" w:hAnsi="宋体"/>
          <w:bCs/>
          <w:color w:val="auto"/>
          <w:sz w:val="24"/>
          <w:highlight w:val="none"/>
        </w:rPr>
        <w:t xml:space="preserve"> 1.1.4.5 </w:t>
      </w:r>
      <w:r>
        <w:rPr>
          <w:rFonts w:hint="eastAsia" w:ascii="宋体" w:hAnsi="宋体"/>
          <w:bCs/>
          <w:color w:val="auto"/>
          <w:sz w:val="24"/>
          <w:highlight w:val="none"/>
        </w:rPr>
        <w:t>目约定的缺陷责任期满，且质量监督机构已按规定对工程质量检测鉴定合格，承包人向发包人申请到期应返还承包人剩余的质量保证金金额，发包人应在</w:t>
      </w:r>
      <w:r>
        <w:rPr>
          <w:rFonts w:ascii="宋体" w:hAnsi="宋体"/>
          <w:bCs/>
          <w:color w:val="auto"/>
          <w:sz w:val="24"/>
          <w:highlight w:val="none"/>
        </w:rPr>
        <w:t xml:space="preserve"> 14 </w:t>
      </w:r>
      <w:r>
        <w:rPr>
          <w:rFonts w:hint="eastAsia" w:ascii="宋体" w:hAnsi="宋体"/>
          <w:bCs/>
          <w:color w:val="auto"/>
          <w:sz w:val="24"/>
          <w:highlight w:val="none"/>
        </w:rPr>
        <w:t>天内会同承包人按照合同约定的内容核实承包人是否完成缺陷责任。如无异议，发包人应当在核实后将剩余保证金返还承包人。</w:t>
      </w:r>
    </w:p>
    <w:p w14:paraId="5F3EBB8B">
      <w:pPr>
        <w:spacing w:line="400" w:lineRule="exact"/>
        <w:jc w:val="left"/>
        <w:rPr>
          <w:rFonts w:ascii="宋体" w:hAnsi="Calibri"/>
          <w:bCs/>
          <w:color w:val="auto"/>
          <w:sz w:val="24"/>
          <w:highlight w:val="none"/>
        </w:rPr>
      </w:pPr>
      <w:r>
        <w:rPr>
          <w:rFonts w:ascii="宋体" w:hAnsi="宋体"/>
          <w:bCs/>
          <w:color w:val="auto"/>
          <w:sz w:val="24"/>
          <w:highlight w:val="none"/>
        </w:rPr>
        <w:t>17.5</w:t>
      </w:r>
      <w:r>
        <w:rPr>
          <w:rFonts w:ascii="宋体" w:hAnsi="宋体"/>
          <w:bCs/>
          <w:color w:val="auto"/>
          <w:sz w:val="24"/>
          <w:highlight w:val="none"/>
        </w:rPr>
        <w:tab/>
      </w:r>
      <w:r>
        <w:rPr>
          <w:rFonts w:hint="eastAsia" w:ascii="宋体" w:hAnsi="宋体"/>
          <w:bCs/>
          <w:color w:val="auto"/>
          <w:sz w:val="24"/>
          <w:highlight w:val="none"/>
        </w:rPr>
        <w:t>交工结算</w:t>
      </w:r>
    </w:p>
    <w:p w14:paraId="7F417C62">
      <w:pPr>
        <w:spacing w:line="400" w:lineRule="exact"/>
        <w:jc w:val="left"/>
        <w:rPr>
          <w:rFonts w:ascii="宋体" w:hAnsi="Calibri"/>
          <w:bCs/>
          <w:color w:val="auto"/>
          <w:sz w:val="24"/>
          <w:highlight w:val="none"/>
        </w:rPr>
      </w:pPr>
      <w:r>
        <w:rPr>
          <w:rFonts w:ascii="宋体" w:hAnsi="宋体"/>
          <w:bCs/>
          <w:color w:val="auto"/>
          <w:sz w:val="24"/>
          <w:highlight w:val="none"/>
        </w:rPr>
        <w:t xml:space="preserve">17.5.1 </w:t>
      </w:r>
      <w:r>
        <w:rPr>
          <w:rFonts w:hint="eastAsia" w:ascii="宋体" w:hAnsi="宋体"/>
          <w:bCs/>
          <w:color w:val="auto"/>
          <w:sz w:val="24"/>
          <w:highlight w:val="none"/>
        </w:rPr>
        <w:t>交工付款申请单</w:t>
      </w:r>
    </w:p>
    <w:p w14:paraId="5823A306">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1</w:t>
      </w:r>
      <w:r>
        <w:rPr>
          <w:rFonts w:hint="eastAsia" w:ascii="宋体" w:hAnsi="宋体"/>
          <w:bCs/>
          <w:color w:val="auto"/>
          <w:sz w:val="24"/>
          <w:highlight w:val="none"/>
        </w:rPr>
        <w:t>）目约定为：</w:t>
      </w:r>
    </w:p>
    <w:p w14:paraId="514FED10">
      <w:pPr>
        <w:spacing w:line="400" w:lineRule="exact"/>
        <w:jc w:val="left"/>
        <w:rPr>
          <w:rFonts w:ascii="宋体" w:hAnsi="Calibri"/>
          <w:bCs/>
          <w:color w:val="auto"/>
          <w:sz w:val="24"/>
          <w:highlight w:val="none"/>
        </w:rPr>
      </w:pPr>
    </w:p>
    <w:p w14:paraId="2F594E5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承包人向监理人提交交工付款申请单（包括相关证明材料）的份数在项目专用合同条款数据表中约定；期限：交工验收证书签发后</w:t>
      </w:r>
      <w:r>
        <w:rPr>
          <w:rFonts w:ascii="宋体" w:hAnsi="宋体"/>
          <w:bCs/>
          <w:color w:val="auto"/>
          <w:sz w:val="24"/>
          <w:highlight w:val="none"/>
        </w:rPr>
        <w:t xml:space="preserve"> 42 </w:t>
      </w:r>
      <w:r>
        <w:rPr>
          <w:rFonts w:hint="eastAsia" w:ascii="宋体" w:hAnsi="宋体"/>
          <w:bCs/>
          <w:color w:val="auto"/>
          <w:sz w:val="24"/>
          <w:highlight w:val="none"/>
        </w:rPr>
        <w:t>天内。</w:t>
      </w:r>
    </w:p>
    <w:p w14:paraId="31ED0036">
      <w:pPr>
        <w:spacing w:line="400" w:lineRule="exact"/>
        <w:jc w:val="left"/>
        <w:rPr>
          <w:rFonts w:ascii="宋体" w:hAnsi="Calibri"/>
          <w:bCs/>
          <w:color w:val="auto"/>
          <w:sz w:val="24"/>
          <w:highlight w:val="none"/>
        </w:rPr>
      </w:pPr>
      <w:r>
        <w:rPr>
          <w:rFonts w:ascii="宋体" w:hAnsi="宋体"/>
          <w:bCs/>
          <w:color w:val="auto"/>
          <w:sz w:val="24"/>
          <w:highlight w:val="none"/>
        </w:rPr>
        <w:t xml:space="preserve">17.5.2 </w:t>
      </w:r>
      <w:r>
        <w:rPr>
          <w:rFonts w:hint="eastAsia" w:ascii="宋体" w:hAnsi="宋体"/>
          <w:bCs/>
          <w:color w:val="auto"/>
          <w:sz w:val="24"/>
          <w:highlight w:val="none"/>
        </w:rPr>
        <w:t>交工付款证书及支付时间</w:t>
      </w:r>
    </w:p>
    <w:p w14:paraId="6B5AB47C">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2</w:t>
      </w:r>
      <w:r>
        <w:rPr>
          <w:rFonts w:hint="eastAsia" w:ascii="宋体" w:hAnsi="宋体"/>
          <w:bCs/>
          <w:color w:val="auto"/>
          <w:sz w:val="24"/>
          <w:highlight w:val="none"/>
        </w:rPr>
        <w:t>）目细化为：</w:t>
      </w:r>
    </w:p>
    <w:p w14:paraId="27CEDCB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发包人应在监理人出具交工付款证书且承包人提交了合格的增值税专用发票后的</w:t>
      </w:r>
      <w:r>
        <w:rPr>
          <w:rFonts w:ascii="宋体" w:hAnsi="宋体"/>
          <w:bCs/>
          <w:color w:val="auto"/>
          <w:sz w:val="24"/>
          <w:highlight w:val="none"/>
        </w:rPr>
        <w:t xml:space="preserve"> 14 </w:t>
      </w:r>
      <w:r>
        <w:rPr>
          <w:rFonts w:hint="eastAsia" w:ascii="宋体" w:hAnsi="宋体"/>
          <w:bCs/>
          <w:color w:val="auto"/>
          <w:sz w:val="24"/>
          <w:highlight w:val="none"/>
        </w:rPr>
        <w:t>天内，将应支付款支付给承包人。发包人不按期支付的，按第</w:t>
      </w:r>
      <w:r>
        <w:rPr>
          <w:rFonts w:ascii="宋体" w:hAnsi="宋体"/>
          <w:bCs/>
          <w:color w:val="auto"/>
          <w:sz w:val="24"/>
          <w:highlight w:val="none"/>
        </w:rPr>
        <w:t xml:space="preserve"> 17.3.3</w:t>
      </w: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）目的约定，将逾期付款违约金支付给承包人。</w:t>
      </w:r>
    </w:p>
    <w:p w14:paraId="7A4DB763">
      <w:pPr>
        <w:spacing w:line="400" w:lineRule="exact"/>
        <w:jc w:val="left"/>
        <w:rPr>
          <w:rFonts w:ascii="宋体" w:hAnsi="Calibri"/>
          <w:bCs/>
          <w:color w:val="auto"/>
          <w:sz w:val="24"/>
          <w:highlight w:val="none"/>
        </w:rPr>
      </w:pPr>
      <w:r>
        <w:rPr>
          <w:rFonts w:ascii="宋体" w:hAnsi="宋体"/>
          <w:bCs/>
          <w:color w:val="auto"/>
          <w:sz w:val="24"/>
          <w:highlight w:val="none"/>
        </w:rPr>
        <w:t>17.6</w:t>
      </w:r>
      <w:r>
        <w:rPr>
          <w:rFonts w:ascii="宋体" w:hAnsi="宋体"/>
          <w:bCs/>
          <w:color w:val="auto"/>
          <w:sz w:val="24"/>
          <w:highlight w:val="none"/>
        </w:rPr>
        <w:tab/>
      </w:r>
      <w:r>
        <w:rPr>
          <w:rFonts w:hint="eastAsia" w:ascii="宋体" w:hAnsi="宋体"/>
          <w:bCs/>
          <w:color w:val="auto"/>
          <w:sz w:val="24"/>
          <w:highlight w:val="none"/>
        </w:rPr>
        <w:t>最终结清</w:t>
      </w:r>
    </w:p>
    <w:p w14:paraId="3F65F701">
      <w:pPr>
        <w:spacing w:line="400" w:lineRule="exact"/>
        <w:jc w:val="left"/>
        <w:rPr>
          <w:rFonts w:ascii="宋体" w:hAnsi="Calibri"/>
          <w:bCs/>
          <w:color w:val="auto"/>
          <w:sz w:val="24"/>
          <w:highlight w:val="none"/>
        </w:rPr>
      </w:pPr>
      <w:r>
        <w:rPr>
          <w:rFonts w:ascii="宋体" w:hAnsi="宋体"/>
          <w:bCs/>
          <w:color w:val="auto"/>
          <w:sz w:val="24"/>
          <w:highlight w:val="none"/>
        </w:rPr>
        <w:t xml:space="preserve">17.6.1 </w:t>
      </w:r>
      <w:r>
        <w:rPr>
          <w:rFonts w:hint="eastAsia" w:ascii="宋体" w:hAnsi="宋体"/>
          <w:bCs/>
          <w:color w:val="auto"/>
          <w:sz w:val="24"/>
          <w:highlight w:val="none"/>
        </w:rPr>
        <w:t>最终结清申请单</w:t>
      </w:r>
    </w:p>
    <w:p w14:paraId="172E6D89">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1</w:t>
      </w:r>
      <w:r>
        <w:rPr>
          <w:rFonts w:hint="eastAsia" w:ascii="宋体" w:hAnsi="宋体"/>
          <w:bCs/>
          <w:color w:val="auto"/>
          <w:sz w:val="24"/>
          <w:highlight w:val="none"/>
        </w:rPr>
        <w:t>）目约定为：</w:t>
      </w:r>
    </w:p>
    <w:p w14:paraId="1EA26DE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承包人向监理人提交最终结清申请单（包括相关证明材料）的份数在项目专用合同条款数据表中约定；期限：缺陷责任期终止证书签发后</w:t>
      </w:r>
      <w:r>
        <w:rPr>
          <w:rFonts w:ascii="宋体" w:hAnsi="宋体"/>
          <w:bCs/>
          <w:color w:val="auto"/>
          <w:sz w:val="24"/>
          <w:highlight w:val="none"/>
        </w:rPr>
        <w:t xml:space="preserve"> 28 </w:t>
      </w:r>
      <w:r>
        <w:rPr>
          <w:rFonts w:hint="eastAsia" w:ascii="宋体" w:hAnsi="宋体"/>
          <w:bCs/>
          <w:color w:val="auto"/>
          <w:sz w:val="24"/>
          <w:highlight w:val="none"/>
        </w:rPr>
        <w:t>天内。</w:t>
      </w:r>
    </w:p>
    <w:p w14:paraId="6E965DA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最终结清申请单中的总金额应认为是代表了根据合同规定应付给承包人的全部款项的最后结算。</w:t>
      </w:r>
    </w:p>
    <w:p w14:paraId="5B1836BC">
      <w:pPr>
        <w:spacing w:line="400" w:lineRule="exact"/>
        <w:jc w:val="left"/>
        <w:rPr>
          <w:rFonts w:ascii="宋体" w:hAnsi="Calibri"/>
          <w:bCs/>
          <w:color w:val="auto"/>
          <w:sz w:val="24"/>
          <w:highlight w:val="none"/>
        </w:rPr>
      </w:pPr>
      <w:r>
        <w:rPr>
          <w:rFonts w:ascii="宋体" w:hAnsi="宋体"/>
          <w:bCs/>
          <w:color w:val="auto"/>
          <w:sz w:val="24"/>
          <w:highlight w:val="none"/>
        </w:rPr>
        <w:t xml:space="preserve">17.6.2 </w:t>
      </w:r>
      <w:r>
        <w:rPr>
          <w:rFonts w:hint="eastAsia" w:ascii="宋体" w:hAnsi="宋体"/>
          <w:bCs/>
          <w:color w:val="auto"/>
          <w:sz w:val="24"/>
          <w:highlight w:val="none"/>
        </w:rPr>
        <w:t>最终结清证书和支付时间</w:t>
      </w:r>
    </w:p>
    <w:p w14:paraId="7E8856FA">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2</w:t>
      </w:r>
      <w:r>
        <w:rPr>
          <w:rFonts w:hint="eastAsia" w:ascii="宋体" w:hAnsi="宋体"/>
          <w:bCs/>
          <w:color w:val="auto"/>
          <w:sz w:val="24"/>
          <w:highlight w:val="none"/>
        </w:rPr>
        <w:t>）目细化为：</w:t>
      </w:r>
    </w:p>
    <w:p w14:paraId="5EDF7587">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）发包人应在监理人出具最终结清证书且承包人提交了合格的增值税专用发票后的</w:t>
      </w:r>
      <w:r>
        <w:rPr>
          <w:rFonts w:ascii="宋体" w:hAnsi="宋体"/>
          <w:bCs/>
          <w:color w:val="auto"/>
          <w:sz w:val="24"/>
          <w:highlight w:val="none"/>
        </w:rPr>
        <w:t xml:space="preserve"> 14 </w:t>
      </w:r>
      <w:r>
        <w:rPr>
          <w:rFonts w:hint="eastAsia" w:ascii="宋体" w:hAnsi="宋体"/>
          <w:bCs/>
          <w:color w:val="auto"/>
          <w:sz w:val="24"/>
          <w:highlight w:val="none"/>
        </w:rPr>
        <w:t>天内，将应支付款支付给承包人。发包人不按期支付的，按第</w:t>
      </w:r>
      <w:r>
        <w:rPr>
          <w:rFonts w:ascii="宋体" w:hAnsi="宋体"/>
          <w:bCs/>
          <w:color w:val="auto"/>
          <w:sz w:val="24"/>
          <w:highlight w:val="none"/>
        </w:rPr>
        <w:t xml:space="preserve"> 17.3.3</w:t>
      </w: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）目的约定，将逾期付款违约金支付给承包人。</w:t>
      </w:r>
    </w:p>
    <w:p w14:paraId="6AF7A5E8">
      <w:pPr>
        <w:spacing w:line="400" w:lineRule="exact"/>
        <w:jc w:val="left"/>
        <w:rPr>
          <w:rFonts w:ascii="宋体" w:hAnsi="Calibri"/>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交工验收</w:t>
      </w:r>
    </w:p>
    <w:p w14:paraId="2B169BEF">
      <w:pPr>
        <w:spacing w:line="400" w:lineRule="exact"/>
        <w:jc w:val="left"/>
        <w:rPr>
          <w:rFonts w:ascii="宋体" w:hAnsi="Calibri"/>
          <w:bCs/>
          <w:color w:val="auto"/>
          <w:sz w:val="24"/>
          <w:highlight w:val="none"/>
        </w:rPr>
      </w:pPr>
      <w:r>
        <w:rPr>
          <w:rFonts w:ascii="宋体" w:hAnsi="宋体"/>
          <w:bCs/>
          <w:color w:val="auto"/>
          <w:sz w:val="24"/>
          <w:highlight w:val="none"/>
        </w:rPr>
        <w:t>18.2</w:t>
      </w:r>
      <w:r>
        <w:rPr>
          <w:rFonts w:ascii="宋体" w:hAnsi="宋体"/>
          <w:bCs/>
          <w:color w:val="auto"/>
          <w:sz w:val="24"/>
          <w:highlight w:val="none"/>
        </w:rPr>
        <w:tab/>
      </w:r>
      <w:r>
        <w:rPr>
          <w:rFonts w:hint="eastAsia" w:ascii="宋体" w:hAnsi="宋体"/>
          <w:bCs/>
          <w:color w:val="auto"/>
          <w:sz w:val="24"/>
          <w:highlight w:val="none"/>
        </w:rPr>
        <w:t>交工验收申请报告</w:t>
      </w:r>
    </w:p>
    <w:p w14:paraId="1B2EC18A">
      <w:pPr>
        <w:spacing w:line="400" w:lineRule="exact"/>
        <w:jc w:val="left"/>
        <w:rPr>
          <w:rFonts w:ascii="宋体" w:hAnsi="Calibri"/>
          <w:bCs/>
          <w:color w:val="auto"/>
          <w:sz w:val="24"/>
          <w:highlight w:val="none"/>
        </w:rPr>
      </w:pPr>
      <w:r>
        <w:rPr>
          <w:rFonts w:hint="eastAsia" w:ascii="宋体" w:hAnsi="宋体"/>
          <w:bCs/>
          <w:color w:val="auto"/>
          <w:sz w:val="24"/>
          <w:highlight w:val="none"/>
        </w:rPr>
        <w:t>本款第（</w:t>
      </w:r>
      <w:r>
        <w:rPr>
          <w:rFonts w:ascii="宋体" w:hAnsi="宋体"/>
          <w:bCs/>
          <w:color w:val="auto"/>
          <w:sz w:val="24"/>
          <w:highlight w:val="none"/>
        </w:rPr>
        <w:t>2</w:t>
      </w:r>
      <w:r>
        <w:rPr>
          <w:rFonts w:hint="eastAsia" w:ascii="宋体" w:hAnsi="宋体"/>
          <w:bCs/>
          <w:color w:val="auto"/>
          <w:sz w:val="24"/>
          <w:highlight w:val="none"/>
        </w:rPr>
        <w:t>）项约定为：</w:t>
      </w:r>
    </w:p>
    <w:p w14:paraId="128D17F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竣工资料的内容：承包人应按照《公路工程竣（交）工验收办法》和相关规定编制竣工资料。竣工资料的份数在项目专用合同条款数据表中约定。</w:t>
      </w:r>
    </w:p>
    <w:p w14:paraId="6F251E9E">
      <w:pPr>
        <w:spacing w:line="400" w:lineRule="exact"/>
        <w:jc w:val="left"/>
        <w:rPr>
          <w:rFonts w:ascii="宋体" w:hAnsi="Calibri"/>
          <w:bCs/>
          <w:color w:val="auto"/>
          <w:sz w:val="24"/>
          <w:highlight w:val="none"/>
        </w:rPr>
      </w:pPr>
      <w:r>
        <w:rPr>
          <w:rFonts w:ascii="宋体" w:hAnsi="宋体"/>
          <w:bCs/>
          <w:color w:val="auto"/>
          <w:sz w:val="24"/>
          <w:highlight w:val="none"/>
        </w:rPr>
        <w:t>18.3</w:t>
      </w:r>
      <w:r>
        <w:rPr>
          <w:rFonts w:ascii="宋体" w:hAnsi="宋体"/>
          <w:bCs/>
          <w:color w:val="auto"/>
          <w:sz w:val="24"/>
          <w:highlight w:val="none"/>
        </w:rPr>
        <w:tab/>
      </w:r>
      <w:r>
        <w:rPr>
          <w:rFonts w:hint="eastAsia" w:ascii="宋体" w:hAnsi="宋体"/>
          <w:bCs/>
          <w:color w:val="auto"/>
          <w:sz w:val="24"/>
          <w:highlight w:val="none"/>
        </w:rPr>
        <w:t>验收</w:t>
      </w:r>
    </w:p>
    <w:p w14:paraId="7F2B70F4">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18.3.2 </w:t>
      </w:r>
      <w:r>
        <w:rPr>
          <w:rFonts w:hint="eastAsia" w:ascii="宋体" w:hAnsi="宋体"/>
          <w:bCs/>
          <w:color w:val="auto"/>
          <w:sz w:val="24"/>
          <w:highlight w:val="none"/>
        </w:rPr>
        <w:t>项补充：</w:t>
      </w:r>
    </w:p>
    <w:p w14:paraId="62BFF3F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35074970">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18.3.5 </w:t>
      </w:r>
      <w:r>
        <w:rPr>
          <w:rFonts w:hint="eastAsia" w:ascii="宋体" w:hAnsi="宋体"/>
          <w:bCs/>
          <w:color w:val="auto"/>
          <w:sz w:val="24"/>
          <w:highlight w:val="none"/>
        </w:rPr>
        <w:t>项约定为</w:t>
      </w:r>
    </w:p>
    <w:p w14:paraId="0117C92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经验收合格工程的实际交工日期，以最终提交交工验收申请报告的日期为准，并在交工验收证书中写明。</w:t>
      </w:r>
    </w:p>
    <w:p w14:paraId="2AC64C8C">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本款补充第</w:t>
      </w:r>
      <w:r>
        <w:rPr>
          <w:rFonts w:ascii="宋体" w:hAnsi="宋体"/>
          <w:bCs/>
          <w:color w:val="auto"/>
          <w:sz w:val="24"/>
          <w:highlight w:val="none"/>
        </w:rPr>
        <w:t xml:space="preserve"> 18.3.7 </w:t>
      </w:r>
      <w:r>
        <w:rPr>
          <w:rFonts w:hint="eastAsia" w:ascii="宋体" w:hAnsi="宋体"/>
          <w:bCs/>
          <w:color w:val="auto"/>
          <w:sz w:val="24"/>
          <w:highlight w:val="none"/>
        </w:rPr>
        <w:t>项：</w:t>
      </w:r>
    </w:p>
    <w:p w14:paraId="3E8EC3D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组织办理交工验收和签发交工验收证书的费用由发包人承担。但按照第</w:t>
      </w:r>
      <w:r>
        <w:rPr>
          <w:rFonts w:ascii="宋体" w:hAnsi="宋体"/>
          <w:bCs/>
          <w:color w:val="auto"/>
          <w:sz w:val="24"/>
          <w:highlight w:val="none"/>
        </w:rPr>
        <w:t xml:space="preserve"> 18.3.4 </w:t>
      </w:r>
      <w:r>
        <w:rPr>
          <w:rFonts w:hint="eastAsia" w:ascii="宋体" w:hAnsi="宋体"/>
          <w:bCs/>
          <w:color w:val="auto"/>
          <w:sz w:val="24"/>
          <w:highlight w:val="none"/>
        </w:rPr>
        <w:t>项规定达不到合格标准的交工验收费用由承包人承担。本条补充第</w:t>
      </w:r>
      <w:r>
        <w:rPr>
          <w:rFonts w:ascii="宋体" w:hAnsi="宋体"/>
          <w:bCs/>
          <w:color w:val="auto"/>
          <w:sz w:val="24"/>
          <w:highlight w:val="none"/>
        </w:rPr>
        <w:t xml:space="preserve"> 18.9 </w:t>
      </w:r>
      <w:r>
        <w:rPr>
          <w:rFonts w:hint="eastAsia" w:ascii="宋体" w:hAnsi="宋体"/>
          <w:bCs/>
          <w:color w:val="auto"/>
          <w:sz w:val="24"/>
          <w:highlight w:val="none"/>
        </w:rPr>
        <w:t>款：</w:t>
      </w:r>
    </w:p>
    <w:p w14:paraId="1D0D21CF">
      <w:pPr>
        <w:spacing w:line="400" w:lineRule="exact"/>
        <w:jc w:val="left"/>
        <w:rPr>
          <w:rFonts w:ascii="宋体" w:hAnsi="Calibri"/>
          <w:bCs/>
          <w:color w:val="auto"/>
          <w:sz w:val="24"/>
          <w:highlight w:val="none"/>
        </w:rPr>
      </w:pPr>
      <w:r>
        <w:rPr>
          <w:rFonts w:ascii="宋体" w:hAnsi="宋体"/>
          <w:bCs/>
          <w:color w:val="auto"/>
          <w:sz w:val="24"/>
          <w:highlight w:val="none"/>
        </w:rPr>
        <w:t xml:space="preserve">18.9 </w:t>
      </w:r>
      <w:r>
        <w:rPr>
          <w:rFonts w:hint="eastAsia" w:ascii="宋体" w:hAnsi="宋体"/>
          <w:bCs/>
          <w:color w:val="auto"/>
          <w:sz w:val="24"/>
          <w:highlight w:val="none"/>
        </w:rPr>
        <w:t>竣工文件</w:t>
      </w:r>
    </w:p>
    <w:p w14:paraId="6A819D4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承包人应按照《公路工程竣（交）工验收办法》的相关规定，在缺陷责任期内为竣工验收补充竣工资料，并在签发缺陷责任期终止证书之前提交。</w:t>
      </w:r>
    </w:p>
    <w:p w14:paraId="71A705EE">
      <w:pPr>
        <w:spacing w:line="400" w:lineRule="exact"/>
        <w:jc w:val="left"/>
        <w:rPr>
          <w:rFonts w:ascii="宋体" w:hAnsi="Calibri"/>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缺陷责任与保修责任</w:t>
      </w:r>
    </w:p>
    <w:p w14:paraId="5B73A314">
      <w:pPr>
        <w:spacing w:line="400" w:lineRule="exact"/>
        <w:jc w:val="left"/>
        <w:rPr>
          <w:rFonts w:ascii="宋体" w:hAnsi="Calibri"/>
          <w:bCs/>
          <w:color w:val="auto"/>
          <w:sz w:val="24"/>
          <w:highlight w:val="none"/>
        </w:rPr>
      </w:pPr>
      <w:r>
        <w:rPr>
          <w:rFonts w:ascii="宋体" w:hAnsi="宋体"/>
          <w:bCs/>
          <w:color w:val="auto"/>
          <w:sz w:val="24"/>
          <w:highlight w:val="none"/>
        </w:rPr>
        <w:t xml:space="preserve">19.2 </w:t>
      </w:r>
      <w:r>
        <w:rPr>
          <w:rFonts w:hint="eastAsia" w:ascii="宋体" w:hAnsi="宋体"/>
          <w:bCs/>
          <w:color w:val="auto"/>
          <w:sz w:val="24"/>
          <w:highlight w:val="none"/>
        </w:rPr>
        <w:t>缺陷责任</w:t>
      </w:r>
    </w:p>
    <w:p w14:paraId="52899EE5">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19.2.2  </w:t>
      </w:r>
      <w:r>
        <w:rPr>
          <w:rFonts w:hint="eastAsia" w:ascii="宋体" w:hAnsi="宋体"/>
          <w:bCs/>
          <w:color w:val="auto"/>
          <w:sz w:val="24"/>
          <w:highlight w:val="none"/>
        </w:rPr>
        <w:t>项补充：</w:t>
      </w:r>
    </w:p>
    <w:p w14:paraId="562239F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在缺陷责任期内，承包人应尽快完成在交工验收证书中写明的未完成工作，并完成对本工程缺陷的修复或监理人指令的修补工作。</w:t>
      </w:r>
    </w:p>
    <w:p w14:paraId="42667032">
      <w:pPr>
        <w:spacing w:line="400" w:lineRule="exact"/>
        <w:jc w:val="left"/>
        <w:rPr>
          <w:rFonts w:ascii="宋体" w:hAnsi="Calibri"/>
          <w:bCs/>
          <w:color w:val="auto"/>
          <w:sz w:val="24"/>
          <w:highlight w:val="none"/>
        </w:rPr>
      </w:pPr>
      <w:r>
        <w:rPr>
          <w:rFonts w:ascii="宋体" w:hAnsi="宋体"/>
          <w:bCs/>
          <w:color w:val="auto"/>
          <w:sz w:val="24"/>
          <w:highlight w:val="none"/>
        </w:rPr>
        <w:t xml:space="preserve">19.5 </w:t>
      </w:r>
      <w:r>
        <w:rPr>
          <w:rFonts w:hint="eastAsia" w:ascii="宋体" w:hAnsi="宋体"/>
          <w:bCs/>
          <w:color w:val="auto"/>
          <w:sz w:val="24"/>
          <w:highlight w:val="none"/>
        </w:rPr>
        <w:t>承包人的进入权</w:t>
      </w:r>
    </w:p>
    <w:p w14:paraId="4103665D">
      <w:pPr>
        <w:spacing w:line="400" w:lineRule="exact"/>
        <w:jc w:val="left"/>
        <w:rPr>
          <w:rFonts w:ascii="宋体" w:hAnsi="Calibri"/>
          <w:bCs/>
          <w:color w:val="auto"/>
          <w:sz w:val="24"/>
          <w:highlight w:val="none"/>
        </w:rPr>
      </w:pPr>
      <w:r>
        <w:rPr>
          <w:rFonts w:hint="eastAsia" w:ascii="宋体" w:hAnsi="宋体"/>
          <w:bCs/>
          <w:color w:val="auto"/>
          <w:sz w:val="24"/>
          <w:highlight w:val="none"/>
        </w:rPr>
        <w:t>本款补充：</w:t>
      </w:r>
    </w:p>
    <w:p w14:paraId="04A3930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承包人在缺陷修复施工过程中，应服从管养单位的有关安全管理规定，由于承包人自身原因造成的人员伤亡、设备和材料的损毁及罚款等责任由承包人自负。</w:t>
      </w:r>
    </w:p>
    <w:p w14:paraId="7F46BD99">
      <w:pPr>
        <w:spacing w:line="400" w:lineRule="exact"/>
        <w:jc w:val="left"/>
        <w:rPr>
          <w:rFonts w:ascii="宋体" w:hAnsi="Calibri"/>
          <w:bCs/>
          <w:color w:val="auto"/>
          <w:sz w:val="24"/>
          <w:highlight w:val="none"/>
        </w:rPr>
      </w:pPr>
      <w:r>
        <w:rPr>
          <w:rFonts w:ascii="宋体" w:hAnsi="宋体"/>
          <w:bCs/>
          <w:color w:val="auto"/>
          <w:sz w:val="24"/>
          <w:highlight w:val="none"/>
        </w:rPr>
        <w:t xml:space="preserve">19.7 </w:t>
      </w:r>
      <w:r>
        <w:rPr>
          <w:rFonts w:hint="eastAsia" w:ascii="宋体" w:hAnsi="宋体"/>
          <w:bCs/>
          <w:color w:val="auto"/>
          <w:sz w:val="24"/>
          <w:highlight w:val="none"/>
        </w:rPr>
        <w:t>保修责任</w:t>
      </w:r>
    </w:p>
    <w:p w14:paraId="1E2CF588">
      <w:pPr>
        <w:spacing w:line="400" w:lineRule="exact"/>
        <w:jc w:val="left"/>
        <w:rPr>
          <w:rFonts w:ascii="宋体" w:hAnsi="Calibri"/>
          <w:bCs/>
          <w:color w:val="auto"/>
          <w:sz w:val="24"/>
          <w:highlight w:val="none"/>
        </w:rPr>
      </w:pPr>
      <w:r>
        <w:rPr>
          <w:rFonts w:hint="eastAsia" w:ascii="宋体" w:hAnsi="宋体"/>
          <w:bCs/>
          <w:color w:val="auto"/>
          <w:sz w:val="24"/>
          <w:highlight w:val="none"/>
        </w:rPr>
        <w:t>本款细化为：</w:t>
      </w:r>
    </w:p>
    <w:p w14:paraId="2D633A54">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012A98D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）在全部工程交工验收前，已经发包人提前验收的单位工程，其保修期的起算日期相应提前。</w:t>
      </w:r>
    </w:p>
    <w:p w14:paraId="0E5084AB">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）工程保修期终止后</w:t>
      </w:r>
      <w:r>
        <w:rPr>
          <w:rFonts w:ascii="宋体" w:hAnsi="宋体"/>
          <w:bCs/>
          <w:color w:val="auto"/>
          <w:sz w:val="24"/>
          <w:highlight w:val="none"/>
        </w:rPr>
        <w:t xml:space="preserve"> 28  </w:t>
      </w:r>
      <w:r>
        <w:rPr>
          <w:rFonts w:hint="eastAsia" w:ascii="宋体" w:hAnsi="宋体"/>
          <w:bCs/>
          <w:color w:val="auto"/>
          <w:sz w:val="24"/>
          <w:highlight w:val="none"/>
        </w:rPr>
        <w:t>天内，监理人签发保修期终止证书。</w:t>
      </w:r>
    </w:p>
    <w:p w14:paraId="228D6B80">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）若承包人不履行保修义务和责任，则承包人应承担由于违约造成的法律后果，并由发包人将其违约行为上报省级交通运输主管部门，作为不良记录纳入公路建设市场信用信息管理系统。</w:t>
      </w:r>
    </w:p>
    <w:p w14:paraId="2640FC4A">
      <w:pPr>
        <w:spacing w:line="400" w:lineRule="exact"/>
        <w:jc w:val="left"/>
        <w:rPr>
          <w:rFonts w:ascii="宋体" w:hAnsi="Calibri"/>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保险</w:t>
      </w:r>
    </w:p>
    <w:p w14:paraId="742DDF40">
      <w:pPr>
        <w:spacing w:line="400" w:lineRule="exact"/>
        <w:jc w:val="left"/>
        <w:rPr>
          <w:rFonts w:ascii="宋体" w:hAnsi="Calibri"/>
          <w:bCs/>
          <w:color w:val="auto"/>
          <w:sz w:val="24"/>
          <w:highlight w:val="none"/>
        </w:rPr>
      </w:pPr>
      <w:r>
        <w:rPr>
          <w:rFonts w:ascii="宋体" w:hAnsi="宋体"/>
          <w:bCs/>
          <w:color w:val="auto"/>
          <w:sz w:val="24"/>
          <w:highlight w:val="none"/>
        </w:rPr>
        <w:t xml:space="preserve">20.1 </w:t>
      </w:r>
      <w:r>
        <w:rPr>
          <w:rFonts w:hint="eastAsia" w:ascii="宋体" w:hAnsi="宋体"/>
          <w:bCs/>
          <w:color w:val="auto"/>
          <w:sz w:val="24"/>
          <w:highlight w:val="none"/>
        </w:rPr>
        <w:t>工程保险</w:t>
      </w:r>
    </w:p>
    <w:p w14:paraId="6C3A9FCA">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本款约定为：</w:t>
      </w:r>
    </w:p>
    <w:p w14:paraId="54B723B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建筑工程一切险的投保内容：为本合同工程的永久工程、临时工程和设备及已运至施工工地用于永久工程的材料和设备所投的保险。</w:t>
      </w:r>
    </w:p>
    <w:p w14:paraId="2910352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保险金额：工程量清单第</w:t>
      </w:r>
      <w:r>
        <w:rPr>
          <w:rFonts w:ascii="宋体" w:hAnsi="宋体"/>
          <w:bCs/>
          <w:color w:val="auto"/>
          <w:sz w:val="24"/>
          <w:highlight w:val="none"/>
        </w:rPr>
        <w:t xml:space="preserve"> 100 </w:t>
      </w:r>
      <w:r>
        <w:rPr>
          <w:rFonts w:hint="eastAsia" w:ascii="宋体" w:hAnsi="宋体"/>
          <w:bCs/>
          <w:color w:val="auto"/>
          <w:sz w:val="24"/>
          <w:highlight w:val="none"/>
        </w:rPr>
        <w:t>章（不含建筑工程一切险及第三者责任险的保险费）至第</w:t>
      </w:r>
      <w:r>
        <w:rPr>
          <w:rFonts w:ascii="宋体" w:hAnsi="宋体"/>
          <w:bCs/>
          <w:color w:val="auto"/>
          <w:sz w:val="24"/>
          <w:highlight w:val="none"/>
        </w:rPr>
        <w:t xml:space="preserve"> 700 </w:t>
      </w:r>
      <w:r>
        <w:rPr>
          <w:rFonts w:hint="eastAsia" w:ascii="宋体" w:hAnsi="宋体"/>
          <w:bCs/>
          <w:color w:val="auto"/>
          <w:sz w:val="24"/>
          <w:highlight w:val="none"/>
        </w:rPr>
        <w:t>章的合计金额。</w:t>
      </w:r>
    </w:p>
    <w:p w14:paraId="437733B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保险费率：在项目专用合同条款数据表中约定。</w:t>
      </w:r>
    </w:p>
    <w:p w14:paraId="78196514">
      <w:pPr>
        <w:spacing w:line="400" w:lineRule="exact"/>
        <w:jc w:val="left"/>
        <w:rPr>
          <w:rFonts w:ascii="宋体" w:hAnsi="Calibri"/>
          <w:bCs/>
          <w:color w:val="auto"/>
          <w:sz w:val="24"/>
          <w:highlight w:val="none"/>
        </w:rPr>
      </w:pPr>
    </w:p>
    <w:p w14:paraId="2872EAD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保险期限：开工日起直至本合同工程签发缺陷责任期终止证书止（即合同工期＋缺陷责任期。）</w:t>
      </w:r>
    </w:p>
    <w:p w14:paraId="4ADFA7B8">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承包人应以发包人和承包人的共同名义投保建筑工程一切险。建筑工程一切险的保险费由承包人报价时列入工程量清单第</w:t>
      </w:r>
      <w:r>
        <w:rPr>
          <w:rFonts w:ascii="宋体" w:hAnsi="宋体"/>
          <w:bCs/>
          <w:color w:val="auto"/>
          <w:sz w:val="24"/>
          <w:highlight w:val="none"/>
        </w:rPr>
        <w:t xml:space="preserve"> 100 </w:t>
      </w:r>
      <w:r>
        <w:rPr>
          <w:rFonts w:hint="eastAsia" w:ascii="宋体" w:hAnsi="宋体"/>
          <w:bCs/>
          <w:color w:val="auto"/>
          <w:sz w:val="24"/>
          <w:highlight w:val="none"/>
        </w:rPr>
        <w:t>章内。发包人在接到保险单后，将按照保险单的费用直接向承包人支付。</w:t>
      </w:r>
    </w:p>
    <w:p w14:paraId="5A97C9A8">
      <w:pPr>
        <w:spacing w:line="400" w:lineRule="exact"/>
        <w:jc w:val="left"/>
        <w:rPr>
          <w:rFonts w:ascii="宋体" w:hAnsi="Calibri"/>
          <w:bCs/>
          <w:color w:val="auto"/>
          <w:sz w:val="24"/>
          <w:highlight w:val="none"/>
        </w:rPr>
      </w:pPr>
      <w:r>
        <w:rPr>
          <w:rFonts w:ascii="宋体" w:hAnsi="宋体"/>
          <w:bCs/>
          <w:color w:val="auto"/>
          <w:sz w:val="24"/>
          <w:highlight w:val="none"/>
        </w:rPr>
        <w:t xml:space="preserve">20.4 </w:t>
      </w:r>
      <w:r>
        <w:rPr>
          <w:rFonts w:hint="eastAsia" w:ascii="宋体" w:hAnsi="宋体"/>
          <w:bCs/>
          <w:color w:val="auto"/>
          <w:sz w:val="24"/>
          <w:highlight w:val="none"/>
        </w:rPr>
        <w:t>第三者责任险</w:t>
      </w:r>
    </w:p>
    <w:p w14:paraId="4A9E398D">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20.4.2 </w:t>
      </w:r>
      <w:r>
        <w:rPr>
          <w:rFonts w:hint="eastAsia" w:ascii="宋体" w:hAnsi="宋体"/>
          <w:bCs/>
          <w:color w:val="auto"/>
          <w:sz w:val="24"/>
          <w:highlight w:val="none"/>
        </w:rPr>
        <w:t>项补充：</w:t>
      </w:r>
    </w:p>
    <w:p w14:paraId="61E2B07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第三者责任险的保险费由承包人报价时列入工程量清单第</w:t>
      </w:r>
      <w:r>
        <w:rPr>
          <w:rFonts w:ascii="宋体" w:hAnsi="宋体"/>
          <w:bCs/>
          <w:color w:val="auto"/>
          <w:sz w:val="24"/>
          <w:highlight w:val="none"/>
        </w:rPr>
        <w:t xml:space="preserve"> 100 </w:t>
      </w:r>
      <w:r>
        <w:rPr>
          <w:rFonts w:hint="eastAsia" w:ascii="宋体" w:hAnsi="宋体"/>
          <w:bCs/>
          <w:color w:val="auto"/>
          <w:sz w:val="24"/>
          <w:highlight w:val="none"/>
        </w:rPr>
        <w:t>章内。发包人在接到保险单后，将按照保险单的费用直接向承包人支付。</w:t>
      </w:r>
    </w:p>
    <w:p w14:paraId="61DD1CEA">
      <w:pPr>
        <w:spacing w:line="400" w:lineRule="exact"/>
        <w:jc w:val="left"/>
        <w:rPr>
          <w:rFonts w:ascii="宋体" w:hAnsi="Calibri"/>
          <w:bCs/>
          <w:color w:val="auto"/>
          <w:sz w:val="24"/>
          <w:highlight w:val="none"/>
        </w:rPr>
      </w:pPr>
      <w:r>
        <w:rPr>
          <w:rFonts w:ascii="宋体" w:hAnsi="宋体"/>
          <w:bCs/>
          <w:color w:val="auto"/>
          <w:sz w:val="24"/>
          <w:highlight w:val="none"/>
        </w:rPr>
        <w:t xml:space="preserve">20.5 </w:t>
      </w:r>
      <w:r>
        <w:rPr>
          <w:rFonts w:hint="eastAsia" w:ascii="宋体" w:hAnsi="宋体"/>
          <w:bCs/>
          <w:color w:val="auto"/>
          <w:sz w:val="24"/>
          <w:highlight w:val="none"/>
        </w:rPr>
        <w:t>其他保险</w:t>
      </w:r>
    </w:p>
    <w:p w14:paraId="0ABECE8C">
      <w:pPr>
        <w:spacing w:line="400" w:lineRule="exact"/>
        <w:jc w:val="left"/>
        <w:rPr>
          <w:rFonts w:ascii="宋体" w:hAnsi="Calibri"/>
          <w:bCs/>
          <w:color w:val="auto"/>
          <w:sz w:val="24"/>
          <w:highlight w:val="none"/>
        </w:rPr>
      </w:pPr>
      <w:r>
        <w:rPr>
          <w:rFonts w:hint="eastAsia" w:ascii="宋体" w:hAnsi="宋体"/>
          <w:bCs/>
          <w:color w:val="auto"/>
          <w:sz w:val="24"/>
          <w:highlight w:val="none"/>
        </w:rPr>
        <w:t>本款约定为：</w:t>
      </w:r>
    </w:p>
    <w:p w14:paraId="075ABA8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承包人应为其施工设备等办理保险，其投保金额应足以现场重置。办理本款保险的一切费用均由承包人承担，并包括在工程量清单的单价及总额价中，发包人不单独支付。</w:t>
      </w:r>
    </w:p>
    <w:p w14:paraId="55B4AD44">
      <w:pPr>
        <w:spacing w:line="400" w:lineRule="exact"/>
        <w:jc w:val="left"/>
        <w:rPr>
          <w:rFonts w:ascii="宋体" w:hAnsi="Calibri"/>
          <w:bCs/>
          <w:color w:val="auto"/>
          <w:sz w:val="24"/>
          <w:highlight w:val="none"/>
        </w:rPr>
      </w:pPr>
      <w:r>
        <w:rPr>
          <w:rFonts w:ascii="宋体" w:hAnsi="宋体"/>
          <w:bCs/>
          <w:color w:val="auto"/>
          <w:sz w:val="24"/>
          <w:highlight w:val="none"/>
        </w:rPr>
        <w:t xml:space="preserve">20.6 </w:t>
      </w:r>
      <w:r>
        <w:rPr>
          <w:rFonts w:hint="eastAsia" w:ascii="宋体" w:hAnsi="宋体"/>
          <w:bCs/>
          <w:color w:val="auto"/>
          <w:sz w:val="24"/>
          <w:highlight w:val="none"/>
        </w:rPr>
        <w:t>对各项保险的一般要求</w:t>
      </w:r>
    </w:p>
    <w:p w14:paraId="604DFFC2">
      <w:pPr>
        <w:spacing w:line="400" w:lineRule="exact"/>
        <w:jc w:val="left"/>
        <w:rPr>
          <w:rFonts w:ascii="宋体" w:hAnsi="Calibri"/>
          <w:bCs/>
          <w:color w:val="auto"/>
          <w:sz w:val="24"/>
          <w:highlight w:val="none"/>
        </w:rPr>
      </w:pPr>
      <w:r>
        <w:rPr>
          <w:rFonts w:ascii="宋体" w:hAnsi="宋体"/>
          <w:bCs/>
          <w:color w:val="auto"/>
          <w:sz w:val="24"/>
          <w:highlight w:val="none"/>
        </w:rPr>
        <w:t>20.6.1</w:t>
      </w:r>
      <w:r>
        <w:rPr>
          <w:rFonts w:ascii="宋体" w:hAnsi="宋体"/>
          <w:bCs/>
          <w:color w:val="auto"/>
          <w:sz w:val="24"/>
          <w:highlight w:val="none"/>
        </w:rPr>
        <w:tab/>
      </w:r>
      <w:r>
        <w:rPr>
          <w:rFonts w:hint="eastAsia" w:ascii="宋体" w:hAnsi="宋体"/>
          <w:bCs/>
          <w:color w:val="auto"/>
          <w:sz w:val="24"/>
          <w:highlight w:val="none"/>
        </w:rPr>
        <w:t>保险凭证</w:t>
      </w:r>
    </w:p>
    <w:p w14:paraId="117193BD">
      <w:pPr>
        <w:spacing w:line="400" w:lineRule="exact"/>
        <w:jc w:val="left"/>
        <w:rPr>
          <w:rFonts w:ascii="宋体" w:hAnsi="Calibri"/>
          <w:bCs/>
          <w:color w:val="auto"/>
          <w:sz w:val="24"/>
          <w:highlight w:val="none"/>
        </w:rPr>
      </w:pPr>
      <w:r>
        <w:rPr>
          <w:rFonts w:hint="eastAsia" w:ascii="宋体" w:hAnsi="宋体"/>
          <w:bCs/>
          <w:color w:val="auto"/>
          <w:sz w:val="24"/>
          <w:highlight w:val="none"/>
        </w:rPr>
        <w:t>本项约定为：</w:t>
      </w:r>
    </w:p>
    <w:p w14:paraId="5B04BAD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承包人向发包人提交各项保险生效的证据和保险单副本的期限：开工后</w:t>
      </w:r>
      <w:r>
        <w:rPr>
          <w:rFonts w:ascii="宋体" w:hAnsi="宋体"/>
          <w:bCs/>
          <w:color w:val="auto"/>
          <w:sz w:val="24"/>
          <w:highlight w:val="none"/>
        </w:rPr>
        <w:t xml:space="preserve"> 56 </w:t>
      </w:r>
      <w:r>
        <w:rPr>
          <w:rFonts w:hint="eastAsia" w:ascii="宋体" w:hAnsi="宋体"/>
          <w:bCs/>
          <w:color w:val="auto"/>
          <w:sz w:val="24"/>
          <w:highlight w:val="none"/>
        </w:rPr>
        <w:t>天内。</w:t>
      </w:r>
    </w:p>
    <w:p w14:paraId="66DA5012">
      <w:pPr>
        <w:spacing w:line="400" w:lineRule="exact"/>
        <w:jc w:val="left"/>
        <w:rPr>
          <w:rFonts w:ascii="宋体" w:hAnsi="Calibri"/>
          <w:bCs/>
          <w:color w:val="auto"/>
          <w:sz w:val="24"/>
          <w:highlight w:val="none"/>
        </w:rPr>
      </w:pPr>
      <w:r>
        <w:rPr>
          <w:rFonts w:ascii="宋体" w:hAnsi="宋体"/>
          <w:bCs/>
          <w:color w:val="auto"/>
          <w:sz w:val="24"/>
          <w:highlight w:val="none"/>
        </w:rPr>
        <w:t>20.6.3</w:t>
      </w:r>
      <w:r>
        <w:rPr>
          <w:rFonts w:ascii="宋体" w:hAnsi="宋体"/>
          <w:bCs/>
          <w:color w:val="auto"/>
          <w:sz w:val="24"/>
          <w:highlight w:val="none"/>
        </w:rPr>
        <w:tab/>
      </w:r>
      <w:r>
        <w:rPr>
          <w:rFonts w:hint="eastAsia" w:ascii="宋体" w:hAnsi="宋体"/>
          <w:bCs/>
          <w:color w:val="auto"/>
          <w:sz w:val="24"/>
          <w:highlight w:val="none"/>
        </w:rPr>
        <w:t>持续保险</w:t>
      </w:r>
    </w:p>
    <w:p w14:paraId="3A4B7A0E">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w:t>
      </w:r>
    </w:p>
    <w:p w14:paraId="544712A1">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在整个合同期内，承包人应按合同条款规定保证足够的保险额。</w:t>
      </w:r>
    </w:p>
    <w:p w14:paraId="08FADD63">
      <w:pPr>
        <w:spacing w:line="400" w:lineRule="exact"/>
        <w:jc w:val="left"/>
        <w:rPr>
          <w:rFonts w:ascii="宋体" w:hAnsi="Calibri"/>
          <w:bCs/>
          <w:color w:val="auto"/>
          <w:sz w:val="24"/>
          <w:highlight w:val="none"/>
        </w:rPr>
      </w:pPr>
      <w:r>
        <w:rPr>
          <w:rFonts w:ascii="宋体" w:hAnsi="宋体"/>
          <w:bCs/>
          <w:color w:val="auto"/>
          <w:sz w:val="24"/>
          <w:highlight w:val="none"/>
        </w:rPr>
        <w:t>20.6.4</w:t>
      </w:r>
      <w:r>
        <w:rPr>
          <w:rFonts w:ascii="宋体" w:hAnsi="宋体"/>
          <w:bCs/>
          <w:color w:val="auto"/>
          <w:sz w:val="24"/>
          <w:highlight w:val="none"/>
        </w:rPr>
        <w:tab/>
      </w:r>
      <w:r>
        <w:rPr>
          <w:rFonts w:hint="eastAsia" w:ascii="宋体" w:hAnsi="宋体"/>
          <w:bCs/>
          <w:color w:val="auto"/>
          <w:sz w:val="24"/>
          <w:highlight w:val="none"/>
        </w:rPr>
        <w:t>保险金不足的补偿</w:t>
      </w:r>
    </w:p>
    <w:p w14:paraId="5DE28537">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0346BD2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保险金不足以补偿损失的（包括免赔额和超过赔偿限额的部分），应由承包人和（或）发包人按合同约定负责补偿。</w:t>
      </w:r>
    </w:p>
    <w:p w14:paraId="23ACB06C">
      <w:pPr>
        <w:spacing w:line="400" w:lineRule="exact"/>
        <w:jc w:val="left"/>
        <w:rPr>
          <w:rFonts w:ascii="宋体" w:hAnsi="Calibri"/>
          <w:bCs/>
          <w:color w:val="auto"/>
          <w:sz w:val="24"/>
          <w:highlight w:val="none"/>
        </w:rPr>
      </w:pPr>
      <w:r>
        <w:rPr>
          <w:rFonts w:ascii="宋体" w:hAnsi="宋体"/>
          <w:bCs/>
          <w:color w:val="auto"/>
          <w:sz w:val="24"/>
          <w:highlight w:val="none"/>
        </w:rPr>
        <w:t>20.6.5</w:t>
      </w:r>
      <w:r>
        <w:rPr>
          <w:rFonts w:ascii="宋体" w:hAnsi="宋体"/>
          <w:bCs/>
          <w:color w:val="auto"/>
          <w:sz w:val="24"/>
          <w:highlight w:val="none"/>
        </w:rPr>
        <w:tab/>
      </w:r>
      <w:r>
        <w:rPr>
          <w:rFonts w:hint="eastAsia" w:ascii="宋体" w:hAnsi="宋体"/>
          <w:bCs/>
          <w:color w:val="auto"/>
          <w:sz w:val="24"/>
          <w:highlight w:val="none"/>
        </w:rPr>
        <w:t>未按约定投保的补救</w:t>
      </w:r>
    </w:p>
    <w:p w14:paraId="2655EB76">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2</w:t>
      </w:r>
      <w:r>
        <w:rPr>
          <w:rFonts w:hint="eastAsia" w:ascii="宋体" w:hAnsi="宋体"/>
          <w:bCs/>
          <w:color w:val="auto"/>
          <w:sz w:val="24"/>
          <w:highlight w:val="none"/>
        </w:rPr>
        <w:t>）目细化为：</w:t>
      </w:r>
    </w:p>
    <w:p w14:paraId="44628237">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02E6A958">
      <w:pPr>
        <w:spacing w:line="400" w:lineRule="exact"/>
        <w:jc w:val="left"/>
        <w:rPr>
          <w:rFonts w:ascii="宋体" w:hAnsi="Calibri"/>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不可抗力</w:t>
      </w:r>
    </w:p>
    <w:p w14:paraId="25F3F8BE">
      <w:pPr>
        <w:spacing w:line="400" w:lineRule="exact"/>
        <w:jc w:val="left"/>
        <w:rPr>
          <w:rFonts w:ascii="宋体" w:hAnsi="Calibri"/>
          <w:bCs/>
          <w:color w:val="auto"/>
          <w:sz w:val="24"/>
          <w:highlight w:val="none"/>
        </w:rPr>
      </w:pPr>
      <w:r>
        <w:rPr>
          <w:rFonts w:ascii="宋体" w:hAnsi="宋体"/>
          <w:bCs/>
          <w:color w:val="auto"/>
          <w:sz w:val="24"/>
          <w:highlight w:val="none"/>
        </w:rPr>
        <w:t xml:space="preserve">21.1 </w:t>
      </w:r>
      <w:r>
        <w:rPr>
          <w:rFonts w:hint="eastAsia" w:ascii="宋体" w:hAnsi="宋体"/>
          <w:bCs/>
          <w:color w:val="auto"/>
          <w:sz w:val="24"/>
          <w:highlight w:val="none"/>
        </w:rPr>
        <w:t>不可抗力的确认</w:t>
      </w:r>
    </w:p>
    <w:p w14:paraId="7238835E">
      <w:pPr>
        <w:spacing w:line="400" w:lineRule="exact"/>
        <w:jc w:val="left"/>
        <w:rPr>
          <w:rFonts w:ascii="宋体" w:hAnsi="Calibri"/>
          <w:bCs/>
          <w:color w:val="auto"/>
          <w:sz w:val="24"/>
          <w:highlight w:val="none"/>
        </w:rPr>
      </w:pPr>
    </w:p>
    <w:p w14:paraId="3F5308D8">
      <w:pPr>
        <w:spacing w:line="400" w:lineRule="exact"/>
        <w:jc w:val="left"/>
        <w:rPr>
          <w:rFonts w:ascii="宋体" w:hAnsi="Calibri"/>
          <w:bCs/>
          <w:color w:val="auto"/>
          <w:sz w:val="24"/>
          <w:highlight w:val="none"/>
        </w:rPr>
      </w:pPr>
    </w:p>
    <w:p w14:paraId="7C4AF34F">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21.1.1  </w:t>
      </w:r>
      <w:r>
        <w:rPr>
          <w:rFonts w:hint="eastAsia" w:ascii="宋体" w:hAnsi="宋体"/>
          <w:bCs/>
          <w:color w:val="auto"/>
          <w:sz w:val="24"/>
          <w:highlight w:val="none"/>
        </w:rPr>
        <w:t>项细化为：</w:t>
      </w:r>
    </w:p>
    <w:p w14:paraId="031674E8">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不可抗力是指承包人和发包人在订立合同时不可预见，在工程施工过程中不可避免发生并不能克服的自然灾害和社会性突发事件。包括但不限于：</w:t>
      </w:r>
    </w:p>
    <w:p w14:paraId="3C03F5FB">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）地震、海啸、火山爆发、泥石流、暴雨（雪、）台风、龙卷风、水灾等自然灾害；</w:t>
      </w:r>
    </w:p>
    <w:p w14:paraId="0C99415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）战争、骚乱、暴动，但纯属承包人或其分包人派遣与雇用的人员由于本合同工程施工原因引起者除外；</w:t>
      </w:r>
    </w:p>
    <w:p w14:paraId="7D4AD47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）核反应、辐射或放射性污染；</w:t>
      </w:r>
    </w:p>
    <w:p w14:paraId="243DCF7D">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）空中飞行物体坠落或非发包人或承包人责任造成的爆炸、火灾；</w:t>
      </w:r>
    </w:p>
    <w:p w14:paraId="576E173D">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）瘟疫；</w:t>
      </w:r>
    </w:p>
    <w:p w14:paraId="2ECF8E90">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）项目专用合同条款约定的其他情形。</w:t>
      </w:r>
    </w:p>
    <w:p w14:paraId="0BBA49FD">
      <w:pPr>
        <w:spacing w:line="400" w:lineRule="exact"/>
        <w:jc w:val="left"/>
        <w:rPr>
          <w:rFonts w:ascii="宋体" w:hAnsi="Calibri"/>
          <w:bCs/>
          <w:color w:val="auto"/>
          <w:sz w:val="24"/>
          <w:highlight w:val="none"/>
        </w:rPr>
      </w:pPr>
      <w:r>
        <w:rPr>
          <w:rFonts w:ascii="宋体" w:hAnsi="宋体"/>
          <w:bCs/>
          <w:color w:val="auto"/>
          <w:sz w:val="24"/>
          <w:highlight w:val="none"/>
        </w:rPr>
        <w:t xml:space="preserve">21.3 </w:t>
      </w:r>
      <w:r>
        <w:rPr>
          <w:rFonts w:hint="eastAsia" w:ascii="宋体" w:hAnsi="宋体"/>
          <w:bCs/>
          <w:color w:val="auto"/>
          <w:sz w:val="24"/>
          <w:highlight w:val="none"/>
        </w:rPr>
        <w:t>不可抗力后果及其处理</w:t>
      </w:r>
    </w:p>
    <w:p w14:paraId="72149BEF">
      <w:pPr>
        <w:spacing w:line="400" w:lineRule="exact"/>
        <w:jc w:val="left"/>
        <w:rPr>
          <w:rFonts w:ascii="宋体" w:hAnsi="Calibri"/>
          <w:bCs/>
          <w:color w:val="auto"/>
          <w:sz w:val="24"/>
          <w:highlight w:val="none"/>
        </w:rPr>
      </w:pPr>
      <w:r>
        <w:rPr>
          <w:rFonts w:ascii="宋体" w:hAnsi="宋体"/>
          <w:bCs/>
          <w:color w:val="auto"/>
          <w:sz w:val="24"/>
          <w:highlight w:val="none"/>
        </w:rPr>
        <w:t>21.3.4</w:t>
      </w:r>
      <w:r>
        <w:rPr>
          <w:rFonts w:ascii="宋体" w:hAnsi="宋体"/>
          <w:bCs/>
          <w:color w:val="auto"/>
          <w:sz w:val="24"/>
          <w:highlight w:val="none"/>
        </w:rPr>
        <w:tab/>
      </w:r>
      <w:r>
        <w:rPr>
          <w:rFonts w:hint="eastAsia" w:ascii="宋体" w:hAnsi="宋体"/>
          <w:bCs/>
          <w:color w:val="auto"/>
          <w:sz w:val="24"/>
          <w:highlight w:val="none"/>
        </w:rPr>
        <w:t>因不可抗力解除合同</w:t>
      </w:r>
    </w:p>
    <w:p w14:paraId="1EBB1C1C">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090B9BE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合同一方当事人因不可抗力不能履行合同的，应当及时通知对方解除合同。合同解除后，承包人应按照第</w:t>
      </w:r>
      <w:r>
        <w:rPr>
          <w:rFonts w:ascii="宋体" w:hAnsi="宋体"/>
          <w:bCs/>
          <w:color w:val="auto"/>
          <w:sz w:val="24"/>
          <w:highlight w:val="none"/>
        </w:rPr>
        <w:t xml:space="preserve"> 22.2.5 </w:t>
      </w:r>
      <w:r>
        <w:rPr>
          <w:rFonts w:hint="eastAsia" w:ascii="宋体" w:hAnsi="宋体"/>
          <w:bCs/>
          <w:color w:val="auto"/>
          <w:sz w:val="24"/>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bCs/>
          <w:color w:val="auto"/>
          <w:sz w:val="24"/>
          <w:highlight w:val="none"/>
        </w:rPr>
        <w:t xml:space="preserve"> 22.2.4 </w:t>
      </w:r>
      <w:r>
        <w:rPr>
          <w:rFonts w:hint="eastAsia" w:ascii="宋体" w:hAnsi="宋体"/>
          <w:bCs/>
          <w:color w:val="auto"/>
          <w:sz w:val="24"/>
          <w:highlight w:val="none"/>
        </w:rPr>
        <w:t>项约定，由监理人按第</w:t>
      </w:r>
      <w:r>
        <w:rPr>
          <w:rFonts w:ascii="宋体" w:hAnsi="宋体"/>
          <w:bCs/>
          <w:color w:val="auto"/>
          <w:sz w:val="24"/>
          <w:highlight w:val="none"/>
        </w:rPr>
        <w:t xml:space="preserve"> 3.5 </w:t>
      </w:r>
      <w:r>
        <w:rPr>
          <w:rFonts w:hint="eastAsia" w:ascii="宋体" w:hAnsi="宋体"/>
          <w:bCs/>
          <w:color w:val="auto"/>
          <w:sz w:val="24"/>
          <w:highlight w:val="none"/>
        </w:rPr>
        <w:t>款商定或确定，但由于解除合同应赔偿的承包人损失不予考虑。</w:t>
      </w:r>
    </w:p>
    <w:p w14:paraId="04410390">
      <w:pPr>
        <w:spacing w:line="400" w:lineRule="exact"/>
        <w:jc w:val="left"/>
        <w:rPr>
          <w:rFonts w:ascii="宋体" w:hAnsi="Calibri"/>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违约</w:t>
      </w:r>
    </w:p>
    <w:p w14:paraId="3740BC80">
      <w:pPr>
        <w:spacing w:line="400" w:lineRule="exact"/>
        <w:jc w:val="left"/>
        <w:rPr>
          <w:rFonts w:ascii="宋体" w:hAnsi="Calibri"/>
          <w:bCs/>
          <w:color w:val="auto"/>
          <w:sz w:val="24"/>
          <w:highlight w:val="none"/>
        </w:rPr>
      </w:pPr>
      <w:r>
        <w:rPr>
          <w:rFonts w:ascii="宋体" w:hAnsi="宋体"/>
          <w:bCs/>
          <w:color w:val="auto"/>
          <w:sz w:val="24"/>
          <w:highlight w:val="none"/>
        </w:rPr>
        <w:t xml:space="preserve">22.1 </w:t>
      </w:r>
      <w:r>
        <w:rPr>
          <w:rFonts w:hint="eastAsia" w:ascii="宋体" w:hAnsi="宋体"/>
          <w:bCs/>
          <w:color w:val="auto"/>
          <w:sz w:val="24"/>
          <w:highlight w:val="none"/>
        </w:rPr>
        <w:t>承包人违约</w:t>
      </w:r>
    </w:p>
    <w:p w14:paraId="6DF1621F">
      <w:pPr>
        <w:spacing w:line="400" w:lineRule="exact"/>
        <w:jc w:val="left"/>
        <w:rPr>
          <w:rFonts w:ascii="宋体" w:hAnsi="Calibri"/>
          <w:bCs/>
          <w:color w:val="auto"/>
          <w:sz w:val="24"/>
          <w:highlight w:val="none"/>
        </w:rPr>
      </w:pPr>
      <w:r>
        <w:rPr>
          <w:rFonts w:ascii="宋体" w:hAnsi="宋体"/>
          <w:bCs/>
          <w:color w:val="auto"/>
          <w:sz w:val="24"/>
          <w:highlight w:val="none"/>
        </w:rPr>
        <w:t xml:space="preserve">22.1.1  </w:t>
      </w:r>
      <w:r>
        <w:rPr>
          <w:rFonts w:hint="eastAsia" w:ascii="宋体" w:hAnsi="宋体"/>
          <w:bCs/>
          <w:color w:val="auto"/>
          <w:sz w:val="24"/>
          <w:highlight w:val="none"/>
        </w:rPr>
        <w:t>承包人违约的情形</w:t>
      </w:r>
    </w:p>
    <w:p w14:paraId="484A61FE">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2</w:t>
      </w:r>
      <w:r>
        <w:rPr>
          <w:rFonts w:hint="eastAsia" w:ascii="宋体" w:hAnsi="宋体"/>
          <w:bCs/>
          <w:color w:val="auto"/>
          <w:sz w:val="24"/>
          <w:highlight w:val="none"/>
        </w:rPr>
        <w:t>）目细化为：</w:t>
      </w:r>
    </w:p>
    <w:p w14:paraId="35107BD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）承包人违反第</w:t>
      </w:r>
      <w:r>
        <w:rPr>
          <w:rFonts w:ascii="宋体" w:hAnsi="宋体"/>
          <w:bCs/>
          <w:color w:val="auto"/>
          <w:sz w:val="24"/>
          <w:highlight w:val="none"/>
        </w:rPr>
        <w:t xml:space="preserve"> 5.3 </w:t>
      </w:r>
      <w:r>
        <w:rPr>
          <w:rFonts w:hint="eastAsia" w:ascii="宋体" w:hAnsi="宋体"/>
          <w:bCs/>
          <w:color w:val="auto"/>
          <w:sz w:val="24"/>
          <w:highlight w:val="none"/>
        </w:rPr>
        <w:t>款或第</w:t>
      </w:r>
      <w:r>
        <w:rPr>
          <w:rFonts w:ascii="宋体" w:hAnsi="宋体"/>
          <w:bCs/>
          <w:color w:val="auto"/>
          <w:sz w:val="24"/>
          <w:highlight w:val="none"/>
        </w:rPr>
        <w:t xml:space="preserve"> 6.4 </w:t>
      </w:r>
      <w:r>
        <w:rPr>
          <w:rFonts w:hint="eastAsia" w:ascii="宋体" w:hAnsi="宋体"/>
          <w:bCs/>
          <w:color w:val="auto"/>
          <w:sz w:val="24"/>
          <w:highlight w:val="none"/>
        </w:rPr>
        <w:t>款的约定，未经监理人批准，私自将已按合同约定进入施工场地的施工设备、临时设施、材料或工程设备撤离施工场地；</w:t>
      </w:r>
    </w:p>
    <w:p w14:paraId="1776D9B8">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7</w:t>
      </w:r>
      <w:r>
        <w:rPr>
          <w:rFonts w:hint="eastAsia" w:ascii="宋体" w:hAnsi="宋体"/>
          <w:bCs/>
          <w:color w:val="auto"/>
          <w:sz w:val="24"/>
          <w:highlight w:val="none"/>
        </w:rPr>
        <w:t>）目细化为：</w:t>
      </w:r>
    </w:p>
    <w:p w14:paraId="4ADA535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w:t>
      </w:r>
      <w:r>
        <w:rPr>
          <w:rFonts w:hint="eastAsia" w:ascii="宋体" w:hAnsi="宋体"/>
          <w:bCs/>
          <w:color w:val="auto"/>
          <w:sz w:val="24"/>
          <w:highlight w:val="none"/>
        </w:rPr>
        <w:t>）承包人未能按期开工；</w:t>
      </w:r>
    </w:p>
    <w:p w14:paraId="7DB638AF">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8</w:t>
      </w:r>
      <w:r>
        <w:rPr>
          <w:rFonts w:hint="eastAsia" w:ascii="宋体" w:hAnsi="宋体"/>
          <w:bCs/>
          <w:color w:val="auto"/>
          <w:sz w:val="24"/>
          <w:highlight w:val="none"/>
        </w:rPr>
        <w:t>）承包人违反第</w:t>
      </w:r>
      <w:r>
        <w:rPr>
          <w:rFonts w:ascii="宋体" w:hAnsi="宋体"/>
          <w:bCs/>
          <w:color w:val="auto"/>
          <w:sz w:val="24"/>
          <w:highlight w:val="none"/>
        </w:rPr>
        <w:t xml:space="preserve"> 4.6 </w:t>
      </w:r>
      <w:r>
        <w:rPr>
          <w:rFonts w:hint="eastAsia" w:ascii="宋体" w:hAnsi="宋体"/>
          <w:bCs/>
          <w:color w:val="auto"/>
          <w:sz w:val="24"/>
          <w:highlight w:val="none"/>
        </w:rPr>
        <w:t>款或第</w:t>
      </w:r>
      <w:r>
        <w:rPr>
          <w:rFonts w:ascii="宋体" w:hAnsi="宋体"/>
          <w:bCs/>
          <w:color w:val="auto"/>
          <w:sz w:val="24"/>
          <w:highlight w:val="none"/>
        </w:rPr>
        <w:t xml:space="preserve"> 6.3 </w:t>
      </w:r>
      <w:r>
        <w:rPr>
          <w:rFonts w:hint="eastAsia" w:ascii="宋体" w:hAnsi="宋体"/>
          <w:bCs/>
          <w:color w:val="auto"/>
          <w:sz w:val="24"/>
          <w:highlight w:val="none"/>
        </w:rPr>
        <w:t>款的规定，未按承诺或未按监理人的要求及时配备称职的主要管理人员、技术骨干或关键施工设备；</w:t>
      </w:r>
    </w:p>
    <w:p w14:paraId="79DAA799">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9</w:t>
      </w:r>
      <w:r>
        <w:rPr>
          <w:rFonts w:hint="eastAsia" w:ascii="宋体" w:hAnsi="宋体"/>
          <w:bCs/>
          <w:color w:val="auto"/>
          <w:sz w:val="24"/>
          <w:highlight w:val="none"/>
        </w:rPr>
        <w:t>）经监理人和发包人检查，发现承包人有安全问题或有违反安全管理规章制度的情况；</w:t>
      </w:r>
    </w:p>
    <w:p w14:paraId="460231C2">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10</w:t>
      </w:r>
      <w:r>
        <w:rPr>
          <w:rFonts w:hint="eastAsia" w:ascii="宋体" w:hAnsi="宋体"/>
          <w:bCs/>
          <w:color w:val="auto"/>
          <w:sz w:val="24"/>
          <w:highlight w:val="none"/>
        </w:rPr>
        <w:t>）承包人不按合同约定履行义务的其他情况。</w:t>
      </w:r>
    </w:p>
    <w:p w14:paraId="7F63D1B1">
      <w:pPr>
        <w:spacing w:line="400" w:lineRule="exact"/>
        <w:jc w:val="left"/>
        <w:rPr>
          <w:rFonts w:ascii="宋体" w:hAnsi="Calibri"/>
          <w:bCs/>
          <w:color w:val="auto"/>
          <w:sz w:val="24"/>
          <w:highlight w:val="none"/>
        </w:rPr>
      </w:pPr>
      <w:r>
        <w:rPr>
          <w:rFonts w:ascii="宋体" w:hAnsi="宋体"/>
          <w:bCs/>
          <w:color w:val="auto"/>
          <w:sz w:val="24"/>
          <w:highlight w:val="none"/>
        </w:rPr>
        <w:t xml:space="preserve">22.1.2 </w:t>
      </w:r>
      <w:r>
        <w:rPr>
          <w:rFonts w:hint="eastAsia" w:ascii="宋体" w:hAnsi="宋体"/>
          <w:bCs/>
          <w:color w:val="auto"/>
          <w:sz w:val="24"/>
          <w:highlight w:val="none"/>
        </w:rPr>
        <w:t>对承包人违约的处理</w:t>
      </w:r>
    </w:p>
    <w:p w14:paraId="107427EC">
      <w:pPr>
        <w:spacing w:line="400" w:lineRule="exact"/>
        <w:jc w:val="left"/>
        <w:rPr>
          <w:rFonts w:ascii="宋体" w:hAnsi="Calibri"/>
          <w:bCs/>
          <w:color w:val="auto"/>
          <w:sz w:val="24"/>
          <w:highlight w:val="none"/>
        </w:rPr>
      </w:pPr>
      <w:r>
        <w:rPr>
          <w:rFonts w:hint="eastAsia" w:ascii="宋体" w:hAnsi="宋体"/>
          <w:bCs/>
          <w:color w:val="auto"/>
          <w:sz w:val="24"/>
          <w:highlight w:val="none"/>
        </w:rPr>
        <w:t>本项补充：</w:t>
      </w:r>
    </w:p>
    <w:p w14:paraId="6003AF9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）承包人发生第</w:t>
      </w:r>
      <w:r>
        <w:rPr>
          <w:rFonts w:ascii="宋体" w:hAnsi="宋体"/>
          <w:bCs/>
          <w:color w:val="auto"/>
          <w:sz w:val="24"/>
          <w:highlight w:val="none"/>
        </w:rPr>
        <w:t xml:space="preserve"> 22.1.1 </w:t>
      </w:r>
      <w:r>
        <w:rPr>
          <w:rFonts w:hint="eastAsia" w:ascii="宋体" w:hAnsi="宋体"/>
          <w:bCs/>
          <w:color w:val="auto"/>
          <w:sz w:val="24"/>
          <w:highlight w:val="none"/>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72CBC3E2">
      <w:pPr>
        <w:spacing w:line="400" w:lineRule="exact"/>
        <w:jc w:val="left"/>
        <w:rPr>
          <w:rFonts w:ascii="宋体" w:hAnsi="Calibri"/>
          <w:bCs/>
          <w:color w:val="auto"/>
          <w:sz w:val="24"/>
          <w:highlight w:val="none"/>
        </w:rPr>
      </w:pPr>
      <w:r>
        <w:rPr>
          <w:rFonts w:ascii="宋体" w:hAnsi="宋体"/>
          <w:bCs/>
          <w:color w:val="auto"/>
          <w:sz w:val="24"/>
          <w:highlight w:val="none"/>
        </w:rPr>
        <w:t xml:space="preserve">22.2 </w:t>
      </w:r>
      <w:r>
        <w:rPr>
          <w:rFonts w:hint="eastAsia" w:ascii="宋体" w:hAnsi="宋体"/>
          <w:bCs/>
          <w:color w:val="auto"/>
          <w:sz w:val="24"/>
          <w:highlight w:val="none"/>
        </w:rPr>
        <w:t>发包人违约</w:t>
      </w:r>
    </w:p>
    <w:p w14:paraId="3C057062">
      <w:pPr>
        <w:spacing w:line="400" w:lineRule="exact"/>
        <w:jc w:val="left"/>
        <w:rPr>
          <w:rFonts w:ascii="宋体" w:hAnsi="Calibri"/>
          <w:bCs/>
          <w:color w:val="auto"/>
          <w:sz w:val="24"/>
          <w:highlight w:val="none"/>
        </w:rPr>
      </w:pPr>
      <w:r>
        <w:rPr>
          <w:rFonts w:ascii="宋体" w:hAnsi="宋体"/>
          <w:bCs/>
          <w:color w:val="auto"/>
          <w:sz w:val="24"/>
          <w:highlight w:val="none"/>
        </w:rPr>
        <w:t xml:space="preserve">22.2.1 </w:t>
      </w:r>
      <w:r>
        <w:rPr>
          <w:rFonts w:hint="eastAsia" w:ascii="宋体" w:hAnsi="宋体"/>
          <w:bCs/>
          <w:color w:val="auto"/>
          <w:sz w:val="24"/>
          <w:highlight w:val="none"/>
        </w:rPr>
        <w:t>发包人违约的情形</w:t>
      </w:r>
    </w:p>
    <w:p w14:paraId="3508EA0E">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5</w:t>
      </w:r>
      <w:r>
        <w:rPr>
          <w:rFonts w:hint="eastAsia" w:ascii="宋体" w:hAnsi="宋体"/>
          <w:bCs/>
          <w:color w:val="auto"/>
          <w:sz w:val="24"/>
          <w:highlight w:val="none"/>
        </w:rPr>
        <w:t>）目细化为：</w:t>
      </w:r>
    </w:p>
    <w:p w14:paraId="1A114876">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）发包人无正当理由不按时返还履约保证金、质量保证金或农民工工资保证金的；（</w:t>
      </w:r>
      <w:r>
        <w:rPr>
          <w:rFonts w:ascii="宋体" w:hAnsi="宋体"/>
          <w:bCs/>
          <w:color w:val="auto"/>
          <w:sz w:val="24"/>
          <w:highlight w:val="none"/>
        </w:rPr>
        <w:t>6</w:t>
      </w:r>
      <w:r>
        <w:rPr>
          <w:rFonts w:hint="eastAsia" w:ascii="宋体" w:hAnsi="宋体"/>
          <w:bCs/>
          <w:color w:val="auto"/>
          <w:sz w:val="24"/>
          <w:highlight w:val="none"/>
        </w:rPr>
        <w:t>）发包人不履行合同约定其他义务的。</w:t>
      </w:r>
    </w:p>
    <w:p w14:paraId="1FC779D0">
      <w:pPr>
        <w:spacing w:line="400" w:lineRule="exact"/>
        <w:jc w:val="left"/>
        <w:rPr>
          <w:rFonts w:ascii="宋体" w:hAnsi="Calibri"/>
          <w:bCs/>
          <w:color w:val="auto"/>
          <w:sz w:val="24"/>
          <w:highlight w:val="none"/>
        </w:rPr>
      </w:pPr>
      <w:r>
        <w:rPr>
          <w:rFonts w:ascii="宋体" w:hAnsi="宋体"/>
          <w:bCs/>
          <w:color w:val="auto"/>
          <w:sz w:val="24"/>
          <w:highlight w:val="none"/>
        </w:rPr>
        <w:t xml:space="preserve">22.2.2 </w:t>
      </w:r>
      <w:r>
        <w:rPr>
          <w:rFonts w:hint="eastAsia" w:ascii="宋体" w:hAnsi="宋体"/>
          <w:bCs/>
          <w:color w:val="auto"/>
          <w:sz w:val="24"/>
          <w:highlight w:val="none"/>
        </w:rPr>
        <w:t>承包人有权暂停施工</w:t>
      </w:r>
    </w:p>
    <w:p w14:paraId="5846F927">
      <w:pPr>
        <w:spacing w:line="400" w:lineRule="exact"/>
        <w:jc w:val="left"/>
        <w:rPr>
          <w:rFonts w:ascii="宋体" w:hAnsi="Calibri"/>
          <w:bCs/>
          <w:color w:val="auto"/>
          <w:sz w:val="24"/>
          <w:highlight w:val="none"/>
        </w:rPr>
      </w:pPr>
      <w:r>
        <w:rPr>
          <w:rFonts w:hint="eastAsia" w:ascii="宋体" w:hAnsi="宋体"/>
          <w:bCs/>
          <w:color w:val="auto"/>
          <w:sz w:val="24"/>
          <w:highlight w:val="none"/>
        </w:rPr>
        <w:t>本项细化为：</w:t>
      </w:r>
    </w:p>
    <w:p w14:paraId="59F6620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发包人发生除第</w:t>
      </w:r>
      <w:r>
        <w:rPr>
          <w:rFonts w:ascii="宋体" w:hAnsi="宋体"/>
          <w:bCs/>
          <w:color w:val="auto"/>
          <w:sz w:val="24"/>
          <w:highlight w:val="none"/>
        </w:rPr>
        <w:t xml:space="preserve"> 22.2.1</w:t>
      </w: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）目以外的违约情况时，承包人可向发包人发出通知，要求发包人采取有效措施纠正违约行为。发包人收到承包人通知后的</w:t>
      </w:r>
      <w:r>
        <w:rPr>
          <w:rFonts w:ascii="宋体" w:hAnsi="宋体"/>
          <w:bCs/>
          <w:color w:val="auto"/>
          <w:sz w:val="24"/>
          <w:highlight w:val="none"/>
        </w:rPr>
        <w:t xml:space="preserve"> 28 </w:t>
      </w:r>
      <w:r>
        <w:rPr>
          <w:rFonts w:hint="eastAsia" w:ascii="宋体" w:hAnsi="宋体"/>
          <w:bCs/>
          <w:color w:val="auto"/>
          <w:sz w:val="24"/>
          <w:highlight w:val="none"/>
        </w:rPr>
        <w:t>天内仍不履行合同义务，承包人有权暂停施工，并通知监理人，发包人应承担由此增加的费用和（或）工期延误，并支付承包人合理利润。</w:t>
      </w:r>
    </w:p>
    <w:p w14:paraId="3234A71D">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发包人发生第</w:t>
      </w:r>
      <w:r>
        <w:rPr>
          <w:rFonts w:ascii="宋体" w:hAnsi="宋体"/>
          <w:bCs/>
          <w:color w:val="auto"/>
          <w:sz w:val="24"/>
          <w:highlight w:val="none"/>
        </w:rPr>
        <w:t xml:space="preserve"> 22.2.1</w:t>
      </w: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）目的违约情况时，承包人可向发包人发出通知，要求发包人采取有效措施纠正违约行为。发包人收到承包人通知后的</w:t>
      </w:r>
      <w:r>
        <w:rPr>
          <w:rFonts w:ascii="宋体" w:hAnsi="宋体"/>
          <w:bCs/>
          <w:color w:val="auto"/>
          <w:sz w:val="24"/>
          <w:highlight w:val="none"/>
        </w:rPr>
        <w:t xml:space="preserve"> 28 </w:t>
      </w:r>
      <w:r>
        <w:rPr>
          <w:rFonts w:hint="eastAsia" w:ascii="宋体" w:hAnsi="宋体"/>
          <w:bCs/>
          <w:color w:val="auto"/>
          <w:sz w:val="24"/>
          <w:highlight w:val="none"/>
        </w:rPr>
        <w:t>天内仍不返还履约保证金、质量保证金或农民工工资保证金的，发包人应按项目专用合同条款的约定向承包人支付逾期返还保证金的违约金。</w:t>
      </w:r>
    </w:p>
    <w:p w14:paraId="5C8E9DC1">
      <w:pPr>
        <w:spacing w:line="400" w:lineRule="exact"/>
        <w:jc w:val="left"/>
        <w:rPr>
          <w:rFonts w:ascii="宋体" w:hAnsi="Calibri"/>
          <w:bCs/>
          <w:color w:val="auto"/>
          <w:sz w:val="24"/>
          <w:highlight w:val="none"/>
        </w:rPr>
      </w:pPr>
      <w:r>
        <w:rPr>
          <w:rFonts w:ascii="宋体" w:hAnsi="宋体"/>
          <w:bCs/>
          <w:color w:val="auto"/>
          <w:sz w:val="24"/>
          <w:highlight w:val="none"/>
        </w:rPr>
        <w:t>22.2.4</w:t>
      </w:r>
      <w:r>
        <w:rPr>
          <w:rFonts w:ascii="宋体" w:hAnsi="宋体"/>
          <w:bCs/>
          <w:color w:val="auto"/>
          <w:sz w:val="24"/>
          <w:highlight w:val="none"/>
        </w:rPr>
        <w:tab/>
      </w:r>
      <w:r>
        <w:rPr>
          <w:rFonts w:hint="eastAsia" w:ascii="宋体" w:hAnsi="宋体"/>
          <w:bCs/>
          <w:color w:val="auto"/>
          <w:sz w:val="24"/>
          <w:highlight w:val="none"/>
        </w:rPr>
        <w:t>解除合同后的付款</w:t>
      </w:r>
    </w:p>
    <w:p w14:paraId="6889826A">
      <w:pPr>
        <w:spacing w:line="400" w:lineRule="exact"/>
        <w:jc w:val="left"/>
        <w:rPr>
          <w:rFonts w:ascii="宋体" w:hAnsi="Calibri"/>
          <w:bCs/>
          <w:color w:val="auto"/>
          <w:sz w:val="24"/>
          <w:highlight w:val="none"/>
        </w:rPr>
      </w:pPr>
      <w:r>
        <w:rPr>
          <w:rFonts w:hint="eastAsia" w:ascii="宋体" w:hAnsi="宋体"/>
          <w:bCs/>
          <w:color w:val="auto"/>
          <w:sz w:val="24"/>
          <w:highlight w:val="none"/>
        </w:rPr>
        <w:t>本项（</w:t>
      </w:r>
      <w:r>
        <w:rPr>
          <w:rFonts w:ascii="宋体" w:hAnsi="宋体"/>
          <w:bCs/>
          <w:color w:val="auto"/>
          <w:sz w:val="24"/>
          <w:highlight w:val="none"/>
        </w:rPr>
        <w:t>2</w:t>
      </w:r>
      <w:r>
        <w:rPr>
          <w:rFonts w:hint="eastAsia" w:ascii="宋体" w:hAnsi="宋体"/>
          <w:bCs/>
          <w:color w:val="auto"/>
          <w:sz w:val="24"/>
          <w:highlight w:val="none"/>
        </w:rPr>
        <w:t>）目细化为：</w:t>
      </w:r>
    </w:p>
    <w:p w14:paraId="4BFE0CD1">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）承包人为该工程施工订购并已付款的材料、工程设备和其他物品的金额。发包人付款后，该材料、工程设备和其他物品归发包人所有；</w:t>
      </w:r>
    </w:p>
    <w:p w14:paraId="21CE4DC9">
      <w:pPr>
        <w:spacing w:line="400" w:lineRule="exact"/>
        <w:jc w:val="left"/>
        <w:rPr>
          <w:rFonts w:ascii="宋体" w:hAnsi="Calibri"/>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索赔</w:t>
      </w:r>
    </w:p>
    <w:p w14:paraId="006106D4">
      <w:pPr>
        <w:spacing w:line="400" w:lineRule="exact"/>
        <w:jc w:val="left"/>
        <w:rPr>
          <w:rFonts w:ascii="宋体" w:hAnsi="Calibri"/>
          <w:bCs/>
          <w:color w:val="auto"/>
          <w:sz w:val="24"/>
          <w:highlight w:val="none"/>
        </w:rPr>
      </w:pPr>
      <w:r>
        <w:rPr>
          <w:rFonts w:ascii="宋体" w:hAnsi="宋体"/>
          <w:bCs/>
          <w:color w:val="auto"/>
          <w:sz w:val="24"/>
          <w:highlight w:val="none"/>
        </w:rPr>
        <w:t xml:space="preserve">23.1 </w:t>
      </w:r>
      <w:r>
        <w:rPr>
          <w:rFonts w:hint="eastAsia" w:ascii="宋体" w:hAnsi="宋体"/>
          <w:bCs/>
          <w:color w:val="auto"/>
          <w:sz w:val="24"/>
          <w:highlight w:val="none"/>
        </w:rPr>
        <w:t>承包人索赔的提出</w:t>
      </w:r>
    </w:p>
    <w:p w14:paraId="7AEACD6A">
      <w:pPr>
        <w:spacing w:line="400" w:lineRule="exact"/>
        <w:jc w:val="left"/>
        <w:rPr>
          <w:rFonts w:ascii="宋体" w:hAnsi="Calibri"/>
          <w:bCs/>
          <w:color w:val="auto"/>
          <w:sz w:val="24"/>
          <w:highlight w:val="none"/>
        </w:rPr>
      </w:pPr>
      <w:r>
        <w:rPr>
          <w:rFonts w:hint="eastAsia" w:ascii="宋体" w:hAnsi="宋体"/>
          <w:bCs/>
          <w:color w:val="auto"/>
          <w:sz w:val="24"/>
          <w:highlight w:val="none"/>
        </w:rPr>
        <w:t>本款第（</w:t>
      </w:r>
      <w:r>
        <w:rPr>
          <w:rFonts w:ascii="宋体" w:hAnsi="宋体"/>
          <w:bCs/>
          <w:color w:val="auto"/>
          <w:sz w:val="24"/>
          <w:highlight w:val="none"/>
        </w:rPr>
        <w:t>4</w:t>
      </w:r>
      <w:r>
        <w:rPr>
          <w:rFonts w:hint="eastAsia" w:ascii="宋体" w:hAnsi="宋体"/>
          <w:bCs/>
          <w:color w:val="auto"/>
          <w:sz w:val="24"/>
          <w:highlight w:val="none"/>
        </w:rPr>
        <w:t>）项细化为：</w:t>
      </w:r>
    </w:p>
    <w:p w14:paraId="573BE45A">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）在索赔事件影响结束后的</w:t>
      </w:r>
      <w:r>
        <w:rPr>
          <w:rFonts w:ascii="宋体" w:hAnsi="宋体"/>
          <w:bCs/>
          <w:color w:val="auto"/>
          <w:sz w:val="24"/>
          <w:highlight w:val="none"/>
        </w:rPr>
        <w:t xml:space="preserve"> 28 </w:t>
      </w:r>
      <w:r>
        <w:rPr>
          <w:rFonts w:hint="eastAsia" w:ascii="宋体" w:hAnsi="宋体"/>
          <w:bCs/>
          <w:color w:val="auto"/>
          <w:sz w:val="24"/>
          <w:highlight w:val="none"/>
        </w:rPr>
        <w:t>天内，承包人应向监理人递交最终索赔通知书，说明最终要求索赔的追加付款金额和（或）延长的工期，并附必要的记录和证明材料。</w:t>
      </w:r>
    </w:p>
    <w:p w14:paraId="056E9243">
      <w:pPr>
        <w:spacing w:line="400" w:lineRule="exact"/>
        <w:jc w:val="left"/>
        <w:rPr>
          <w:rFonts w:ascii="宋体" w:hAnsi="Calibri"/>
          <w:bCs/>
          <w:color w:val="auto"/>
          <w:sz w:val="24"/>
          <w:highlight w:val="none"/>
        </w:rPr>
      </w:pPr>
      <w:r>
        <w:rPr>
          <w:rFonts w:ascii="宋体" w:hAnsi="宋体"/>
          <w:bCs/>
          <w:color w:val="auto"/>
          <w:sz w:val="24"/>
          <w:highlight w:val="none"/>
        </w:rPr>
        <w:t xml:space="preserve">23.2 </w:t>
      </w:r>
      <w:r>
        <w:rPr>
          <w:rFonts w:hint="eastAsia" w:ascii="宋体" w:hAnsi="宋体"/>
          <w:bCs/>
          <w:color w:val="auto"/>
          <w:sz w:val="24"/>
          <w:highlight w:val="none"/>
        </w:rPr>
        <w:t>承包人索赔处理程序</w:t>
      </w:r>
    </w:p>
    <w:p w14:paraId="61D1A3C2">
      <w:pPr>
        <w:spacing w:line="400" w:lineRule="exact"/>
        <w:jc w:val="left"/>
        <w:rPr>
          <w:rFonts w:ascii="宋体" w:hAnsi="Calibri"/>
          <w:bCs/>
          <w:color w:val="auto"/>
          <w:sz w:val="24"/>
          <w:highlight w:val="none"/>
        </w:rPr>
      </w:pPr>
      <w:r>
        <w:rPr>
          <w:rFonts w:hint="eastAsia" w:ascii="宋体" w:hAnsi="宋体"/>
          <w:bCs/>
          <w:color w:val="auto"/>
          <w:sz w:val="24"/>
          <w:highlight w:val="none"/>
        </w:rPr>
        <w:t>本款第（</w:t>
      </w:r>
      <w:r>
        <w:rPr>
          <w:rFonts w:ascii="宋体" w:hAnsi="宋体"/>
          <w:bCs/>
          <w:color w:val="auto"/>
          <w:sz w:val="24"/>
          <w:highlight w:val="none"/>
        </w:rPr>
        <w:t>2</w:t>
      </w:r>
      <w:r>
        <w:rPr>
          <w:rFonts w:hint="eastAsia" w:ascii="宋体" w:hAnsi="宋体"/>
          <w:bCs/>
          <w:color w:val="auto"/>
          <w:sz w:val="24"/>
          <w:highlight w:val="none"/>
        </w:rPr>
        <w:t>）项细化为：</w:t>
      </w:r>
    </w:p>
    <w:p w14:paraId="425E033E">
      <w:pPr>
        <w:spacing w:line="400" w:lineRule="exact"/>
        <w:ind w:firstLine="240" w:firstLineChars="100"/>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）监理人应按第</w:t>
      </w:r>
      <w:r>
        <w:rPr>
          <w:rFonts w:ascii="宋体" w:hAnsi="宋体"/>
          <w:bCs/>
          <w:color w:val="auto"/>
          <w:sz w:val="24"/>
          <w:highlight w:val="none"/>
        </w:rPr>
        <w:t xml:space="preserve"> 3.5 </w:t>
      </w:r>
      <w:r>
        <w:rPr>
          <w:rFonts w:hint="eastAsia" w:ascii="宋体" w:hAnsi="宋体"/>
          <w:bCs/>
          <w:color w:val="auto"/>
          <w:sz w:val="24"/>
          <w:highlight w:val="none"/>
        </w:rPr>
        <w:t>款商定或确定追加的付款和（或）延长的工期，并在收到上述索赔通知书或有关索赔的进一步证明材料后的</w:t>
      </w:r>
      <w:r>
        <w:rPr>
          <w:rFonts w:ascii="宋体" w:hAnsi="宋体"/>
          <w:bCs/>
          <w:color w:val="auto"/>
          <w:sz w:val="24"/>
          <w:highlight w:val="none"/>
        </w:rPr>
        <w:t xml:space="preserve"> 42 </w:t>
      </w:r>
      <w:r>
        <w:rPr>
          <w:rFonts w:hint="eastAsia" w:ascii="宋体" w:hAnsi="宋体"/>
          <w:bCs/>
          <w:color w:val="auto"/>
          <w:sz w:val="24"/>
          <w:highlight w:val="none"/>
        </w:rPr>
        <w:t>天内，将索赔处理结果报发包人批准后答复承包人。如果承包人提出的索赔要求未能遵守第</w:t>
      </w:r>
      <w:r>
        <w:rPr>
          <w:rFonts w:ascii="宋体" w:hAnsi="宋体"/>
          <w:bCs/>
          <w:color w:val="auto"/>
          <w:sz w:val="24"/>
          <w:highlight w:val="none"/>
        </w:rPr>
        <w:t xml:space="preserve"> 23.1</w:t>
      </w: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w:t>
      </w: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）项的规定，则承包人只限于索赔由监理人按当时记录予以核实的那部分款额和（或）工期延长天数。</w:t>
      </w:r>
    </w:p>
    <w:p w14:paraId="7A2E30EA">
      <w:pPr>
        <w:spacing w:line="400" w:lineRule="exact"/>
        <w:jc w:val="left"/>
        <w:rPr>
          <w:rFonts w:ascii="宋体" w:hAnsi="Calibri"/>
          <w:bCs/>
          <w:color w:val="auto"/>
          <w:sz w:val="24"/>
          <w:highlight w:val="none"/>
        </w:rPr>
      </w:pPr>
      <w:r>
        <w:rPr>
          <w:rFonts w:ascii="宋体" w:hAnsi="宋体"/>
          <w:bCs/>
          <w:color w:val="auto"/>
          <w:sz w:val="24"/>
          <w:highlight w:val="none"/>
        </w:rPr>
        <w:t>23.3</w:t>
      </w:r>
      <w:r>
        <w:rPr>
          <w:rFonts w:hint="eastAsia" w:ascii="宋体" w:hAnsi="宋体"/>
          <w:bCs/>
          <w:color w:val="auto"/>
          <w:sz w:val="24"/>
          <w:highlight w:val="none"/>
        </w:rPr>
        <w:t>发包人索赔的权利</w:t>
      </w:r>
    </w:p>
    <w:p w14:paraId="5E8B188E">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承包人没按时完工，发包人有权利提出索赔。</w:t>
      </w:r>
    </w:p>
    <w:p w14:paraId="27BB92CF">
      <w:pPr>
        <w:spacing w:line="400" w:lineRule="exact"/>
        <w:jc w:val="left"/>
        <w:rPr>
          <w:rFonts w:ascii="宋体" w:hAnsi="Calibri"/>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争议的解决</w:t>
      </w:r>
    </w:p>
    <w:p w14:paraId="6C989709">
      <w:pPr>
        <w:spacing w:line="400" w:lineRule="exact"/>
        <w:jc w:val="left"/>
        <w:rPr>
          <w:rFonts w:ascii="宋体" w:hAnsi="Calibri"/>
          <w:bCs/>
          <w:color w:val="auto"/>
          <w:sz w:val="24"/>
          <w:highlight w:val="none"/>
        </w:rPr>
      </w:pPr>
      <w:r>
        <w:rPr>
          <w:rFonts w:ascii="宋体" w:hAnsi="宋体"/>
          <w:bCs/>
          <w:color w:val="auto"/>
          <w:sz w:val="24"/>
          <w:highlight w:val="none"/>
        </w:rPr>
        <w:t>24.3</w:t>
      </w:r>
      <w:r>
        <w:rPr>
          <w:rFonts w:ascii="宋体" w:hAnsi="宋体"/>
          <w:bCs/>
          <w:color w:val="auto"/>
          <w:sz w:val="24"/>
          <w:highlight w:val="none"/>
        </w:rPr>
        <w:tab/>
      </w:r>
      <w:r>
        <w:rPr>
          <w:rFonts w:hint="eastAsia" w:ascii="宋体" w:hAnsi="宋体"/>
          <w:bCs/>
          <w:color w:val="auto"/>
          <w:sz w:val="24"/>
          <w:highlight w:val="none"/>
        </w:rPr>
        <w:t>争议评审</w:t>
      </w:r>
    </w:p>
    <w:p w14:paraId="036EAFC1">
      <w:pPr>
        <w:spacing w:line="400" w:lineRule="exact"/>
        <w:jc w:val="left"/>
        <w:rPr>
          <w:rFonts w:ascii="宋体" w:hAnsi="Calibri"/>
          <w:bCs/>
          <w:color w:val="auto"/>
          <w:sz w:val="24"/>
          <w:highlight w:val="none"/>
        </w:rPr>
      </w:pPr>
      <w:r>
        <w:rPr>
          <w:rFonts w:hint="eastAsia" w:ascii="宋体" w:hAnsi="宋体"/>
          <w:bCs/>
          <w:color w:val="auto"/>
          <w:sz w:val="24"/>
          <w:highlight w:val="none"/>
        </w:rPr>
        <w:t>第</w:t>
      </w:r>
      <w:r>
        <w:rPr>
          <w:rFonts w:ascii="宋体" w:hAnsi="宋体"/>
          <w:bCs/>
          <w:color w:val="auto"/>
          <w:sz w:val="24"/>
          <w:highlight w:val="none"/>
        </w:rPr>
        <w:t xml:space="preserve"> 24.3.1 </w:t>
      </w:r>
      <w:r>
        <w:rPr>
          <w:rFonts w:hint="eastAsia" w:ascii="宋体" w:hAnsi="宋体"/>
          <w:bCs/>
          <w:color w:val="auto"/>
          <w:sz w:val="24"/>
          <w:highlight w:val="none"/>
        </w:rPr>
        <w:t>项补充：</w:t>
      </w:r>
    </w:p>
    <w:p w14:paraId="6AE656AA">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争议评审组由</w:t>
      </w:r>
      <w:r>
        <w:rPr>
          <w:rFonts w:ascii="宋体" w:hAnsi="宋体"/>
          <w:bCs/>
          <w:color w:val="auto"/>
          <w:sz w:val="24"/>
          <w:highlight w:val="none"/>
        </w:rPr>
        <w:t xml:space="preserve"> 3 </w:t>
      </w:r>
      <w:r>
        <w:rPr>
          <w:rFonts w:hint="eastAsia" w:ascii="宋体" w:hAnsi="宋体"/>
          <w:bCs/>
          <w:color w:val="auto"/>
          <w:sz w:val="24"/>
          <w:highlight w:val="none"/>
        </w:rPr>
        <w:t>人或</w:t>
      </w:r>
      <w:r>
        <w:rPr>
          <w:rFonts w:ascii="宋体" w:hAnsi="宋体"/>
          <w:bCs/>
          <w:color w:val="auto"/>
          <w:sz w:val="24"/>
          <w:highlight w:val="none"/>
        </w:rPr>
        <w:t xml:space="preserve"> 5 </w:t>
      </w:r>
      <w:r>
        <w:rPr>
          <w:rFonts w:hint="eastAsia" w:ascii="宋体" w:hAnsi="宋体"/>
          <w:bCs/>
          <w:color w:val="auto"/>
          <w:sz w:val="24"/>
          <w:highlight w:val="none"/>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2369D903">
      <w:pPr>
        <w:spacing w:line="400" w:lineRule="exact"/>
        <w:ind w:firstLine="480" w:firstLineChars="200"/>
        <w:jc w:val="left"/>
        <w:rPr>
          <w:rFonts w:ascii="宋体" w:hAnsi="Calibri"/>
          <w:bCs/>
          <w:color w:val="auto"/>
          <w:sz w:val="24"/>
          <w:highlight w:val="none"/>
        </w:rPr>
      </w:pPr>
      <w:r>
        <w:rPr>
          <w:rFonts w:hint="eastAsia" w:ascii="宋体" w:hAnsi="宋体"/>
          <w:bCs/>
          <w:color w:val="auto"/>
          <w:sz w:val="24"/>
          <w:highlight w:val="none"/>
        </w:rPr>
        <w:t>本条补充第</w:t>
      </w:r>
      <w:r>
        <w:rPr>
          <w:rFonts w:ascii="宋体" w:hAnsi="宋体"/>
          <w:bCs/>
          <w:color w:val="auto"/>
          <w:sz w:val="24"/>
          <w:highlight w:val="none"/>
        </w:rPr>
        <w:t xml:space="preserve"> 24.4 </w:t>
      </w:r>
      <w:r>
        <w:rPr>
          <w:rFonts w:hint="eastAsia" w:ascii="宋体" w:hAnsi="宋体"/>
          <w:bCs/>
          <w:color w:val="auto"/>
          <w:sz w:val="24"/>
          <w:highlight w:val="none"/>
        </w:rPr>
        <w:t>款、第</w:t>
      </w:r>
      <w:r>
        <w:rPr>
          <w:rFonts w:ascii="宋体" w:hAnsi="宋体"/>
          <w:bCs/>
          <w:color w:val="auto"/>
          <w:sz w:val="24"/>
          <w:highlight w:val="none"/>
        </w:rPr>
        <w:t xml:space="preserve"> 24.5 </w:t>
      </w:r>
      <w:r>
        <w:rPr>
          <w:rFonts w:hint="eastAsia" w:ascii="宋体" w:hAnsi="宋体"/>
          <w:bCs/>
          <w:color w:val="auto"/>
          <w:sz w:val="24"/>
          <w:highlight w:val="none"/>
        </w:rPr>
        <w:t>款（适用于采用仲裁方式最终解决争议的项目。）</w:t>
      </w:r>
    </w:p>
    <w:p w14:paraId="62A0A13F">
      <w:pPr>
        <w:spacing w:line="400" w:lineRule="exact"/>
        <w:jc w:val="left"/>
        <w:rPr>
          <w:rFonts w:ascii="宋体" w:hAnsi="Calibri"/>
          <w:bCs/>
          <w:color w:val="auto"/>
          <w:sz w:val="24"/>
          <w:highlight w:val="none"/>
        </w:rPr>
      </w:pPr>
      <w:r>
        <w:rPr>
          <w:rFonts w:ascii="宋体" w:hAnsi="宋体"/>
          <w:bCs/>
          <w:color w:val="auto"/>
          <w:sz w:val="24"/>
          <w:highlight w:val="none"/>
        </w:rPr>
        <w:t xml:space="preserve">24.4 </w:t>
      </w:r>
      <w:r>
        <w:rPr>
          <w:rFonts w:hint="eastAsia" w:ascii="宋体" w:hAnsi="宋体"/>
          <w:bCs/>
          <w:color w:val="auto"/>
          <w:sz w:val="24"/>
          <w:highlight w:val="none"/>
        </w:rPr>
        <w:t>仲裁</w:t>
      </w:r>
    </w:p>
    <w:p w14:paraId="29707BD9">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）对于未能友好解决或未能通过争议评审解决的争议，发包人或承包人任一方均有权提交给第</w:t>
      </w:r>
      <w:r>
        <w:rPr>
          <w:rFonts w:ascii="宋体" w:hAnsi="宋体"/>
          <w:bCs/>
          <w:color w:val="auto"/>
          <w:sz w:val="24"/>
          <w:highlight w:val="none"/>
        </w:rPr>
        <w:t xml:space="preserve"> 24.1 </w:t>
      </w:r>
      <w:r>
        <w:rPr>
          <w:rFonts w:hint="eastAsia" w:ascii="宋体" w:hAnsi="宋体"/>
          <w:bCs/>
          <w:color w:val="auto"/>
          <w:sz w:val="24"/>
          <w:highlight w:val="none"/>
        </w:rPr>
        <w:t>款约定的仲裁委员会仲裁。</w:t>
      </w:r>
    </w:p>
    <w:p w14:paraId="3332612F">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62C6A56">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）仲裁裁决是终局性的并对发包人和承包人双方具有约束力。</w:t>
      </w:r>
    </w:p>
    <w:p w14:paraId="1C35070A">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）全部仲裁费用应由败诉方承担；或按仲裁委员会裁决的比例分担。</w:t>
      </w:r>
    </w:p>
    <w:p w14:paraId="6616F9F7">
      <w:pPr>
        <w:spacing w:line="400" w:lineRule="exact"/>
        <w:jc w:val="left"/>
        <w:rPr>
          <w:rFonts w:ascii="宋体" w:hAnsi="Calibri"/>
          <w:bCs/>
          <w:color w:val="auto"/>
          <w:sz w:val="24"/>
          <w:highlight w:val="none"/>
        </w:rPr>
      </w:pPr>
      <w:r>
        <w:rPr>
          <w:rFonts w:ascii="宋体" w:hAnsi="宋体"/>
          <w:bCs/>
          <w:color w:val="auto"/>
          <w:sz w:val="24"/>
          <w:highlight w:val="none"/>
        </w:rPr>
        <w:t>24.4</w:t>
      </w:r>
      <w:r>
        <w:rPr>
          <w:rFonts w:hint="eastAsia" w:ascii="宋体" w:hAnsi="宋体"/>
          <w:bCs/>
          <w:color w:val="auto"/>
          <w:sz w:val="24"/>
          <w:highlight w:val="none"/>
        </w:rPr>
        <w:t>仲裁的执行</w:t>
      </w:r>
    </w:p>
    <w:p w14:paraId="74127EF3">
      <w:pPr>
        <w:spacing w:line="400" w:lineRule="exact"/>
        <w:jc w:val="left"/>
        <w:rPr>
          <w:rFonts w:ascii="宋体" w:hAnsi="Calibri"/>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）任何一方不履行仲裁机构的裁决的，对方可以向有管辖权的人民法院申请执行。</w:t>
      </w:r>
    </w:p>
    <w:p w14:paraId="1CEBDC6D">
      <w:pPr>
        <w:spacing w:line="400" w:lineRule="exact"/>
        <w:jc w:val="left"/>
        <w:rPr>
          <w:rFonts w:ascii="宋体" w:hAnsi="Calibri"/>
          <w:color w:val="auto"/>
          <w:sz w:val="32"/>
          <w:szCs w:val="32"/>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44C59E64">
      <w:pPr>
        <w:jc w:val="center"/>
        <w:rPr>
          <w:rFonts w:ascii="宋体" w:hAnsi="Calibri"/>
          <w:color w:val="auto"/>
          <w:sz w:val="32"/>
          <w:szCs w:val="32"/>
          <w:highlight w:val="none"/>
        </w:rPr>
      </w:pPr>
    </w:p>
    <w:p w14:paraId="038E25FA">
      <w:pPr>
        <w:jc w:val="center"/>
        <w:rPr>
          <w:rFonts w:ascii="宋体" w:hAnsi="Calibri"/>
          <w:color w:val="auto"/>
          <w:sz w:val="32"/>
          <w:szCs w:val="32"/>
          <w:highlight w:val="none"/>
        </w:rPr>
      </w:pPr>
    </w:p>
    <w:p w14:paraId="47CB8F61">
      <w:pPr>
        <w:jc w:val="center"/>
        <w:rPr>
          <w:rFonts w:ascii="宋体" w:hAnsi="Calibri"/>
          <w:color w:val="auto"/>
          <w:sz w:val="32"/>
          <w:szCs w:val="32"/>
          <w:highlight w:val="none"/>
        </w:rPr>
      </w:pPr>
    </w:p>
    <w:p w14:paraId="5B1DA99B">
      <w:pPr>
        <w:jc w:val="center"/>
        <w:rPr>
          <w:rFonts w:hint="eastAsia" w:ascii="宋体" w:hAnsi="Calibri"/>
          <w:color w:val="auto"/>
          <w:sz w:val="32"/>
          <w:szCs w:val="32"/>
          <w:highlight w:val="none"/>
        </w:rPr>
      </w:pPr>
    </w:p>
    <w:p w14:paraId="61095170">
      <w:pPr>
        <w:pStyle w:val="7"/>
        <w:rPr>
          <w:rFonts w:hint="eastAsia"/>
          <w:color w:val="auto"/>
          <w:highlight w:val="none"/>
        </w:rPr>
      </w:pPr>
    </w:p>
    <w:p w14:paraId="66FFD69A">
      <w:pPr>
        <w:pStyle w:val="7"/>
        <w:rPr>
          <w:rFonts w:hint="eastAsia"/>
          <w:color w:val="auto"/>
          <w:highlight w:val="none"/>
        </w:rPr>
      </w:pPr>
    </w:p>
    <w:p w14:paraId="199884EA">
      <w:pPr>
        <w:pStyle w:val="7"/>
        <w:rPr>
          <w:rFonts w:hint="eastAsia"/>
          <w:color w:val="auto"/>
          <w:highlight w:val="none"/>
        </w:rPr>
      </w:pPr>
    </w:p>
    <w:p w14:paraId="4E299A27">
      <w:pPr>
        <w:jc w:val="both"/>
        <w:rPr>
          <w:rFonts w:ascii="宋体" w:hAnsi="Calibri"/>
          <w:color w:val="auto"/>
          <w:sz w:val="32"/>
          <w:szCs w:val="32"/>
          <w:highlight w:val="none"/>
        </w:rPr>
      </w:pPr>
    </w:p>
    <w:p w14:paraId="23D62B55">
      <w:pPr>
        <w:jc w:val="center"/>
        <w:rPr>
          <w:rFonts w:ascii="宋体" w:hAnsi="Calibri"/>
          <w:color w:val="auto"/>
          <w:sz w:val="32"/>
          <w:szCs w:val="32"/>
          <w:highlight w:val="none"/>
        </w:rPr>
      </w:pPr>
      <w:r>
        <w:rPr>
          <w:rFonts w:ascii="宋体" w:hAnsi="宋体"/>
          <w:color w:val="auto"/>
          <w:sz w:val="32"/>
          <w:szCs w:val="32"/>
          <w:highlight w:val="none"/>
        </w:rPr>
        <w:t>B.</w:t>
      </w:r>
      <w:r>
        <w:rPr>
          <w:rFonts w:hint="eastAsia" w:ascii="宋体" w:hAnsi="宋体"/>
          <w:color w:val="auto"/>
          <w:sz w:val="32"/>
          <w:szCs w:val="32"/>
          <w:highlight w:val="none"/>
        </w:rPr>
        <w:t>项目专用合同条款</w:t>
      </w:r>
    </w:p>
    <w:p w14:paraId="108E6A65">
      <w:pPr>
        <w:spacing w:line="400" w:lineRule="exact"/>
        <w:ind w:firstLine="480" w:firstLineChars="200"/>
        <w:rPr>
          <w:rFonts w:ascii="宋体" w:hAnsi="Calibri"/>
          <w:b/>
          <w:color w:val="auto"/>
          <w:sz w:val="24"/>
          <w:highlight w:val="none"/>
        </w:rPr>
      </w:pPr>
      <w:r>
        <w:rPr>
          <w:rFonts w:hint="eastAsia" w:ascii="宋体" w:hAnsi="宋体"/>
          <w:b/>
          <w:color w:val="auto"/>
          <w:sz w:val="24"/>
          <w:highlight w:val="none"/>
        </w:rPr>
        <w:t>说明：</w:t>
      </w:r>
    </w:p>
    <w:p w14:paraId="35CF8031">
      <w:pPr>
        <w:spacing w:line="480" w:lineRule="exact"/>
        <w:ind w:firstLine="480" w:firstLineChars="200"/>
        <w:rPr>
          <w:rFonts w:ascii="宋体" w:hAnsi="Calibri"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采购人在根据《公路工程标准施工竞争性磋商文件》编制项目竞争性磋商文件中的“项目专用合同条款”时，可根据采购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14:paraId="1D16B96E">
      <w:pPr>
        <w:spacing w:line="480" w:lineRule="exact"/>
        <w:ind w:firstLine="480" w:firstLineChars="200"/>
        <w:rPr>
          <w:rFonts w:ascii="宋体" w:hAnsi="Calibri" w:cs="宋体"/>
          <w:color w:val="auto"/>
          <w:sz w:val="24"/>
          <w:highlight w:val="none"/>
          <w:lang w:val="zh-CN"/>
        </w:rPr>
      </w:pPr>
      <w:r>
        <w:rPr>
          <w:rFonts w:ascii="宋体" w:hAnsi="宋体" w:cs="宋体"/>
          <w:color w:val="auto"/>
          <w:sz w:val="24"/>
          <w:highlight w:val="none"/>
          <w:lang w:val="zh-CN"/>
        </w:rPr>
        <w:t>2.</w:t>
      </w:r>
      <w:r>
        <w:rPr>
          <w:rFonts w:hint="eastAsia" w:ascii="宋体" w:hAnsi="宋体" w:cs="宋体"/>
          <w:color w:val="auto"/>
          <w:sz w:val="24"/>
          <w:highlight w:val="none"/>
          <w:lang w:val="zh-CN"/>
        </w:rPr>
        <w:t>项目专用合同条款的编号应与通用合同条款和公路工程专用合同条款一致。</w:t>
      </w:r>
    </w:p>
    <w:p w14:paraId="42DF7315">
      <w:pPr>
        <w:spacing w:line="480" w:lineRule="exact"/>
        <w:ind w:firstLine="480" w:firstLineChars="200"/>
        <w:rPr>
          <w:rFonts w:ascii="宋体" w:hAnsi="Calibri" w:cs="宋体"/>
          <w:color w:val="auto"/>
          <w:sz w:val="24"/>
          <w:highlight w:val="none"/>
          <w:lang w:val="zh-CN"/>
        </w:rPr>
      </w:pPr>
      <w:r>
        <w:rPr>
          <w:rFonts w:ascii="宋体" w:hAnsi="宋体" w:cs="宋体"/>
          <w:color w:val="auto"/>
          <w:sz w:val="24"/>
          <w:highlight w:val="none"/>
          <w:lang w:val="zh-CN"/>
        </w:rPr>
        <w:t>3.</w:t>
      </w:r>
      <w:r>
        <w:rPr>
          <w:rFonts w:hint="eastAsia" w:ascii="宋体" w:hAnsi="宋体" w:cs="宋体"/>
          <w:color w:val="auto"/>
          <w:sz w:val="24"/>
          <w:highlight w:val="none"/>
          <w:lang w:val="zh-CN"/>
        </w:rPr>
        <w:t>项目专用合同条款可对下列内容进行补充和细化：</w:t>
      </w:r>
    </w:p>
    <w:p w14:paraId="3DAE12BA">
      <w:pPr>
        <w:spacing w:line="480" w:lineRule="exact"/>
        <w:ind w:firstLine="480" w:firstLineChars="200"/>
        <w:rPr>
          <w:rFonts w:ascii="宋体" w:hAnsi="Calibri"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w:t>
      </w:r>
      <w:r>
        <w:rPr>
          <w:rFonts w:hint="eastAsia" w:ascii="宋体" w:hAnsi="宋体" w:cs="宋体"/>
          <w:color w:val="auto"/>
          <w:sz w:val="24"/>
          <w:highlight w:val="none"/>
          <w:lang w:val="zh-CN"/>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0B9778C">
      <w:pPr>
        <w:spacing w:line="480" w:lineRule="exact"/>
        <w:ind w:firstLine="480" w:firstLineChars="200"/>
        <w:rPr>
          <w:rFonts w:ascii="宋体" w:hAnsi="Calibri"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w:t>
      </w:r>
      <w:r>
        <w:rPr>
          <w:rFonts w:hint="eastAsia" w:ascii="宋体" w:hAnsi="宋体" w:cs="宋体"/>
          <w:color w:val="auto"/>
          <w:sz w:val="24"/>
          <w:highlight w:val="none"/>
          <w:lang w:val="zh-CN"/>
        </w:rPr>
        <w:t>）“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14:paraId="6D8D60D4">
      <w:pPr>
        <w:spacing w:line="480" w:lineRule="exact"/>
        <w:ind w:firstLine="480" w:firstLineChars="200"/>
        <w:rPr>
          <w:rFonts w:ascii="宋体" w:hAnsi="Calibri"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w:t>
      </w:r>
      <w:r>
        <w:rPr>
          <w:rFonts w:hint="eastAsia" w:ascii="宋体" w:hAnsi="宋体" w:cs="宋体"/>
          <w:color w:val="auto"/>
          <w:sz w:val="24"/>
          <w:highlight w:val="none"/>
          <w:lang w:val="zh-CN"/>
        </w:rPr>
        <w:t>）其他需要补充、细化的内容。</w:t>
      </w:r>
    </w:p>
    <w:p w14:paraId="0F52FF04">
      <w:pPr>
        <w:jc w:val="center"/>
        <w:rPr>
          <w:rFonts w:ascii="宋体" w:hAnsi="Calibri"/>
          <w:b/>
          <w:color w:val="auto"/>
          <w:kern w:val="44"/>
          <w:sz w:val="24"/>
          <w:highlight w:val="none"/>
        </w:rPr>
      </w:pPr>
    </w:p>
    <w:p w14:paraId="2F574763">
      <w:pPr>
        <w:jc w:val="center"/>
        <w:rPr>
          <w:rFonts w:ascii="宋体" w:hAnsi="Calibri"/>
          <w:b/>
          <w:color w:val="auto"/>
          <w:kern w:val="44"/>
          <w:sz w:val="24"/>
          <w:highlight w:val="none"/>
        </w:rPr>
      </w:pPr>
    </w:p>
    <w:p w14:paraId="5E6FECB9">
      <w:pPr>
        <w:jc w:val="center"/>
        <w:rPr>
          <w:rFonts w:ascii="宋体" w:hAnsi="Calibri"/>
          <w:b/>
          <w:color w:val="auto"/>
          <w:kern w:val="44"/>
          <w:sz w:val="24"/>
          <w:highlight w:val="none"/>
        </w:rPr>
      </w:pPr>
    </w:p>
    <w:p w14:paraId="4FD9E2B0">
      <w:pPr>
        <w:jc w:val="center"/>
        <w:rPr>
          <w:rFonts w:ascii="宋体" w:hAnsi="Calibri"/>
          <w:b/>
          <w:color w:val="auto"/>
          <w:kern w:val="44"/>
          <w:sz w:val="24"/>
          <w:highlight w:val="none"/>
        </w:rPr>
      </w:pPr>
    </w:p>
    <w:p w14:paraId="3AB203E6">
      <w:pPr>
        <w:jc w:val="center"/>
        <w:rPr>
          <w:rFonts w:ascii="宋体" w:hAnsi="Calibri"/>
          <w:b/>
          <w:color w:val="auto"/>
          <w:kern w:val="44"/>
          <w:sz w:val="24"/>
          <w:highlight w:val="none"/>
        </w:rPr>
      </w:pPr>
    </w:p>
    <w:p w14:paraId="7940BEBF">
      <w:pPr>
        <w:jc w:val="center"/>
        <w:rPr>
          <w:rFonts w:ascii="宋体" w:hAnsi="Calibri"/>
          <w:b/>
          <w:color w:val="auto"/>
          <w:kern w:val="44"/>
          <w:sz w:val="24"/>
          <w:highlight w:val="none"/>
        </w:rPr>
      </w:pPr>
    </w:p>
    <w:p w14:paraId="1F24FEFF">
      <w:pPr>
        <w:jc w:val="center"/>
        <w:rPr>
          <w:rFonts w:ascii="宋体" w:hAnsi="Calibri"/>
          <w:b/>
          <w:color w:val="auto"/>
          <w:kern w:val="44"/>
          <w:sz w:val="24"/>
          <w:highlight w:val="none"/>
        </w:rPr>
      </w:pPr>
    </w:p>
    <w:p w14:paraId="40CF7A99">
      <w:pPr>
        <w:jc w:val="center"/>
        <w:rPr>
          <w:rFonts w:ascii="宋体" w:hAnsi="Calibri"/>
          <w:b/>
          <w:color w:val="auto"/>
          <w:kern w:val="44"/>
          <w:sz w:val="24"/>
          <w:highlight w:val="none"/>
        </w:rPr>
      </w:pPr>
    </w:p>
    <w:p w14:paraId="3BEAADF0">
      <w:pPr>
        <w:jc w:val="center"/>
        <w:rPr>
          <w:rFonts w:ascii="宋体" w:hAnsi="Calibri"/>
          <w:b/>
          <w:color w:val="auto"/>
          <w:kern w:val="44"/>
          <w:sz w:val="24"/>
          <w:highlight w:val="none"/>
        </w:rPr>
      </w:pPr>
    </w:p>
    <w:p w14:paraId="07C683D9">
      <w:pPr>
        <w:jc w:val="center"/>
        <w:rPr>
          <w:rFonts w:ascii="宋体" w:hAnsi="Calibri"/>
          <w:b/>
          <w:color w:val="auto"/>
          <w:kern w:val="44"/>
          <w:sz w:val="24"/>
          <w:highlight w:val="none"/>
        </w:rPr>
      </w:pPr>
    </w:p>
    <w:p w14:paraId="0BEB731A">
      <w:pPr>
        <w:jc w:val="center"/>
        <w:rPr>
          <w:rFonts w:ascii="宋体" w:hAnsi="Calibri"/>
          <w:b/>
          <w:color w:val="auto"/>
          <w:kern w:val="44"/>
          <w:sz w:val="24"/>
          <w:highlight w:val="none"/>
        </w:rPr>
      </w:pPr>
    </w:p>
    <w:p w14:paraId="6209F458">
      <w:pPr>
        <w:jc w:val="center"/>
        <w:rPr>
          <w:rFonts w:ascii="宋体" w:hAnsi="Calibri"/>
          <w:b/>
          <w:color w:val="auto"/>
          <w:kern w:val="44"/>
          <w:sz w:val="24"/>
          <w:highlight w:val="none"/>
        </w:rPr>
      </w:pPr>
    </w:p>
    <w:p w14:paraId="2FD906B5">
      <w:pPr>
        <w:jc w:val="center"/>
        <w:rPr>
          <w:rFonts w:ascii="宋体" w:hAnsi="Calibri"/>
          <w:b/>
          <w:color w:val="auto"/>
          <w:kern w:val="44"/>
          <w:sz w:val="24"/>
          <w:highlight w:val="none"/>
        </w:rPr>
      </w:pPr>
    </w:p>
    <w:p w14:paraId="2360EA12">
      <w:pPr>
        <w:pStyle w:val="7"/>
        <w:rPr>
          <w:color w:val="auto"/>
          <w:highlight w:val="none"/>
        </w:rPr>
      </w:pPr>
    </w:p>
    <w:p w14:paraId="34673B3A">
      <w:pPr>
        <w:rPr>
          <w:rFonts w:ascii="宋体" w:hAnsi="Calibri"/>
          <w:b/>
          <w:color w:val="auto"/>
          <w:kern w:val="44"/>
          <w:sz w:val="24"/>
          <w:highlight w:val="none"/>
        </w:rPr>
      </w:pPr>
    </w:p>
    <w:p w14:paraId="29DF5710">
      <w:pPr>
        <w:jc w:val="center"/>
        <w:rPr>
          <w:rFonts w:ascii="宋体" w:hAnsi="Calibri"/>
          <w:b/>
          <w:color w:val="auto"/>
          <w:kern w:val="44"/>
          <w:sz w:val="24"/>
          <w:highlight w:val="none"/>
        </w:rPr>
      </w:pPr>
      <w:r>
        <w:rPr>
          <w:rFonts w:hint="eastAsia" w:ascii="宋体" w:hAnsi="宋体"/>
          <w:b/>
          <w:color w:val="auto"/>
          <w:kern w:val="44"/>
          <w:sz w:val="24"/>
          <w:highlight w:val="none"/>
        </w:rPr>
        <w:t>项目专用合同条款数据表</w:t>
      </w:r>
    </w:p>
    <w:p w14:paraId="56FEA7B5">
      <w:pPr>
        <w:spacing w:line="400" w:lineRule="exact"/>
        <w:rPr>
          <w:rFonts w:ascii="宋体" w:hAnsi="Calibri" w:cs="宋体"/>
          <w:color w:val="auto"/>
          <w:sz w:val="24"/>
          <w:highlight w:val="none"/>
          <w:lang w:val="zh-CN"/>
        </w:rPr>
      </w:pPr>
      <w:r>
        <w:rPr>
          <w:rFonts w:hint="eastAsia" w:ascii="宋体" w:hAnsi="宋体" w:cs="宋体"/>
          <w:color w:val="auto"/>
          <w:sz w:val="24"/>
          <w:highlight w:val="none"/>
          <w:lang w:val="zh-CN"/>
        </w:rPr>
        <w:t>说明：本数据表是项目专用合同条款中适用于本项目的信息和数据的归纳与提示，是项目专用合同条款的组成部分</w:t>
      </w:r>
    </w:p>
    <w:tbl>
      <w:tblPr>
        <w:tblStyle w:val="19"/>
        <w:tblW w:w="8940" w:type="dxa"/>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1444"/>
        <w:gridCol w:w="6990"/>
      </w:tblGrid>
      <w:tr w14:paraId="3845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506" w:type="dxa"/>
            <w:tcBorders>
              <w:top w:val="single" w:color="auto" w:sz="4" w:space="0"/>
              <w:bottom w:val="single" w:color="auto" w:sz="4" w:space="0"/>
              <w:right w:val="single" w:color="auto" w:sz="4" w:space="0"/>
            </w:tcBorders>
            <w:noWrap w:val="0"/>
            <w:vAlign w:val="center"/>
          </w:tcPr>
          <w:p w14:paraId="238C8589">
            <w:pPr>
              <w:autoSpaceDE w:val="0"/>
              <w:autoSpaceDN w:val="0"/>
              <w:adjustRightInd w:val="0"/>
              <w:spacing w:line="360" w:lineRule="auto"/>
              <w:jc w:val="center"/>
              <w:rPr>
                <w:rFonts w:ascii="宋体" w:hAnsi="Calibri" w:cs="宋体"/>
                <w:b/>
                <w:color w:val="auto"/>
                <w:sz w:val="24"/>
                <w:highlight w:val="none"/>
                <w:lang w:val="zh-CN"/>
              </w:rPr>
            </w:pPr>
            <w:r>
              <w:rPr>
                <w:rFonts w:hint="eastAsia" w:ascii="宋体" w:hAnsi="宋体" w:cs="宋体"/>
                <w:b/>
                <w:color w:val="auto"/>
                <w:sz w:val="24"/>
                <w:highlight w:val="none"/>
                <w:lang w:val="zh-CN"/>
              </w:rPr>
              <w:t>序号</w:t>
            </w:r>
          </w:p>
        </w:tc>
        <w:tc>
          <w:tcPr>
            <w:tcW w:w="1444" w:type="dxa"/>
            <w:tcBorders>
              <w:top w:val="single" w:color="auto" w:sz="4" w:space="0"/>
              <w:bottom w:val="single" w:color="auto" w:sz="4" w:space="0"/>
              <w:right w:val="single" w:color="auto" w:sz="4" w:space="0"/>
            </w:tcBorders>
            <w:noWrap w:val="0"/>
            <w:vAlign w:val="center"/>
          </w:tcPr>
          <w:p w14:paraId="349FD15A">
            <w:pPr>
              <w:autoSpaceDE w:val="0"/>
              <w:autoSpaceDN w:val="0"/>
              <w:adjustRightInd w:val="0"/>
              <w:spacing w:line="360" w:lineRule="auto"/>
              <w:jc w:val="center"/>
              <w:rPr>
                <w:rFonts w:ascii="宋体" w:hAnsi="Calibri" w:cs="宋体"/>
                <w:b/>
                <w:color w:val="auto"/>
                <w:sz w:val="24"/>
                <w:highlight w:val="none"/>
                <w:lang w:val="zh-CN"/>
              </w:rPr>
            </w:pPr>
            <w:r>
              <w:rPr>
                <w:rFonts w:hint="eastAsia" w:ascii="宋体" w:hAnsi="宋体" w:cs="宋体"/>
                <w:b/>
                <w:color w:val="auto"/>
                <w:sz w:val="24"/>
                <w:highlight w:val="none"/>
                <w:lang w:val="zh-CN"/>
              </w:rPr>
              <w:t>条款号</w:t>
            </w:r>
          </w:p>
        </w:tc>
        <w:tc>
          <w:tcPr>
            <w:tcW w:w="6990" w:type="dxa"/>
            <w:tcBorders>
              <w:top w:val="single" w:color="auto" w:sz="4" w:space="0"/>
              <w:left w:val="single" w:color="auto" w:sz="4" w:space="0"/>
              <w:bottom w:val="single" w:color="auto" w:sz="4" w:space="0"/>
            </w:tcBorders>
            <w:noWrap w:val="0"/>
            <w:vAlign w:val="center"/>
          </w:tcPr>
          <w:p w14:paraId="13B5652D">
            <w:pPr>
              <w:autoSpaceDE w:val="0"/>
              <w:autoSpaceDN w:val="0"/>
              <w:adjustRightInd w:val="0"/>
              <w:spacing w:line="360" w:lineRule="auto"/>
              <w:jc w:val="center"/>
              <w:rPr>
                <w:rFonts w:ascii="宋体" w:hAnsi="Calibri" w:cs="宋体"/>
                <w:b/>
                <w:color w:val="auto"/>
                <w:sz w:val="24"/>
                <w:highlight w:val="none"/>
                <w:lang w:val="zh-CN"/>
              </w:rPr>
            </w:pPr>
            <w:r>
              <w:rPr>
                <w:rFonts w:hint="eastAsia" w:ascii="宋体" w:hAnsi="宋体" w:cs="宋体"/>
                <w:b/>
                <w:color w:val="auto"/>
                <w:sz w:val="24"/>
                <w:highlight w:val="none"/>
                <w:lang w:val="zh-CN"/>
              </w:rPr>
              <w:t>信息或数据</w:t>
            </w:r>
          </w:p>
        </w:tc>
      </w:tr>
      <w:tr w14:paraId="6E7D5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6" w:type="dxa"/>
            <w:tcBorders>
              <w:top w:val="single" w:color="auto" w:sz="4" w:space="0"/>
              <w:bottom w:val="single" w:color="auto" w:sz="4" w:space="0"/>
              <w:right w:val="single" w:color="auto" w:sz="4" w:space="0"/>
            </w:tcBorders>
            <w:noWrap w:val="0"/>
            <w:vAlign w:val="center"/>
          </w:tcPr>
          <w:p w14:paraId="73F9E2F5">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w:t>
            </w:r>
          </w:p>
        </w:tc>
        <w:tc>
          <w:tcPr>
            <w:tcW w:w="1444" w:type="dxa"/>
            <w:tcBorders>
              <w:top w:val="single" w:color="auto" w:sz="4" w:space="0"/>
              <w:bottom w:val="single" w:color="auto" w:sz="4" w:space="0"/>
              <w:right w:val="single" w:color="auto" w:sz="4" w:space="0"/>
            </w:tcBorders>
            <w:noWrap w:val="0"/>
            <w:vAlign w:val="center"/>
          </w:tcPr>
          <w:p w14:paraId="02C24CEF">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1.1.1.2</w:t>
            </w:r>
          </w:p>
        </w:tc>
        <w:tc>
          <w:tcPr>
            <w:tcW w:w="6990" w:type="dxa"/>
            <w:tcBorders>
              <w:top w:val="single" w:color="auto" w:sz="4" w:space="0"/>
              <w:left w:val="single" w:color="auto" w:sz="4" w:space="0"/>
              <w:bottom w:val="single" w:color="auto" w:sz="4" w:space="0"/>
            </w:tcBorders>
            <w:noWrap w:val="0"/>
            <w:vAlign w:val="center"/>
          </w:tcPr>
          <w:p w14:paraId="5B5FAE0A">
            <w:pPr>
              <w:autoSpaceDE w:val="0"/>
              <w:autoSpaceDN w:val="0"/>
              <w:adjustRightInd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zh-CN"/>
              </w:rPr>
              <w:t>发包人：</w:t>
            </w:r>
            <w:r>
              <w:rPr>
                <w:rFonts w:hint="eastAsia" w:ascii="宋体" w:hAnsi="宋体" w:cs="宋体"/>
                <w:color w:val="auto"/>
                <w:sz w:val="24"/>
                <w:highlight w:val="none"/>
              </w:rPr>
              <w:t>德保县农村公路建设办公室</w:t>
            </w:r>
          </w:p>
          <w:p w14:paraId="5A419E60">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地址：广西壮族自治区德保县境内</w:t>
            </w:r>
          </w:p>
        </w:tc>
      </w:tr>
      <w:tr w14:paraId="6084F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06" w:type="dxa"/>
            <w:tcBorders>
              <w:top w:val="single" w:color="auto" w:sz="4" w:space="0"/>
              <w:bottom w:val="single" w:color="auto" w:sz="4" w:space="0"/>
              <w:right w:val="single" w:color="auto" w:sz="4" w:space="0"/>
            </w:tcBorders>
            <w:noWrap w:val="0"/>
            <w:vAlign w:val="center"/>
          </w:tcPr>
          <w:p w14:paraId="10A9CACE">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2</w:t>
            </w:r>
          </w:p>
        </w:tc>
        <w:tc>
          <w:tcPr>
            <w:tcW w:w="1444" w:type="dxa"/>
            <w:tcBorders>
              <w:top w:val="single" w:color="auto" w:sz="4" w:space="0"/>
              <w:bottom w:val="single" w:color="auto" w:sz="4" w:space="0"/>
              <w:right w:val="single" w:color="auto" w:sz="4" w:space="0"/>
            </w:tcBorders>
            <w:noWrap w:val="0"/>
            <w:vAlign w:val="center"/>
          </w:tcPr>
          <w:p w14:paraId="036EC2F0">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1.1.2</w:t>
            </w:r>
            <w:r>
              <w:rPr>
                <w:rFonts w:hint="eastAsia" w:ascii="宋体" w:hAnsi="宋体" w:cs="宋体"/>
                <w:color w:val="auto"/>
                <w:sz w:val="24"/>
                <w:highlight w:val="none"/>
                <w:lang w:val="zh-CN"/>
              </w:rPr>
              <w:t>．</w:t>
            </w:r>
            <w:r>
              <w:rPr>
                <w:rFonts w:ascii="宋体" w:hAnsi="宋体" w:cs="宋体"/>
                <w:color w:val="auto"/>
                <w:sz w:val="24"/>
                <w:highlight w:val="none"/>
                <w:lang w:val="zh-CN"/>
              </w:rPr>
              <w:t>6</w:t>
            </w:r>
          </w:p>
        </w:tc>
        <w:tc>
          <w:tcPr>
            <w:tcW w:w="6990" w:type="dxa"/>
            <w:tcBorders>
              <w:top w:val="single" w:color="auto" w:sz="4" w:space="0"/>
              <w:left w:val="single" w:color="auto" w:sz="4" w:space="0"/>
              <w:bottom w:val="single" w:color="auto" w:sz="4" w:space="0"/>
            </w:tcBorders>
            <w:noWrap w:val="0"/>
            <w:vAlign w:val="center"/>
          </w:tcPr>
          <w:p w14:paraId="4A5247FC">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监理人：待定地址：待定邮政编码：待定</w:t>
            </w:r>
          </w:p>
        </w:tc>
      </w:tr>
      <w:tr w14:paraId="3847F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10F68B3E">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3</w:t>
            </w:r>
          </w:p>
        </w:tc>
        <w:tc>
          <w:tcPr>
            <w:tcW w:w="1444" w:type="dxa"/>
            <w:tcBorders>
              <w:top w:val="single" w:color="auto" w:sz="4" w:space="0"/>
              <w:bottom w:val="single" w:color="auto" w:sz="4" w:space="0"/>
              <w:right w:val="single" w:color="auto" w:sz="4" w:space="0"/>
            </w:tcBorders>
            <w:noWrap w:val="0"/>
            <w:vAlign w:val="center"/>
          </w:tcPr>
          <w:p w14:paraId="7BF8904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1.1.4.5</w:t>
            </w:r>
          </w:p>
        </w:tc>
        <w:tc>
          <w:tcPr>
            <w:tcW w:w="6990" w:type="dxa"/>
            <w:tcBorders>
              <w:top w:val="single" w:color="auto" w:sz="4" w:space="0"/>
              <w:left w:val="single" w:color="auto" w:sz="4" w:space="0"/>
              <w:bottom w:val="single" w:color="auto" w:sz="4" w:space="0"/>
            </w:tcBorders>
            <w:noWrap w:val="0"/>
            <w:vAlign w:val="center"/>
          </w:tcPr>
          <w:p w14:paraId="52D2118A">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缺陷责任期：自实际交工日期起计算</w:t>
            </w:r>
            <w:r>
              <w:rPr>
                <w:rFonts w:ascii="宋体" w:hAnsi="宋体" w:cs="宋体"/>
                <w:color w:val="auto"/>
                <w:sz w:val="24"/>
                <w:highlight w:val="none"/>
                <w:lang w:val="zh-CN"/>
              </w:rPr>
              <w:t>1</w:t>
            </w:r>
            <w:r>
              <w:rPr>
                <w:rFonts w:hint="eastAsia" w:ascii="宋体" w:hAnsi="宋体" w:cs="宋体"/>
                <w:color w:val="auto"/>
                <w:sz w:val="24"/>
                <w:highlight w:val="none"/>
                <w:lang w:val="zh-CN"/>
              </w:rPr>
              <w:t>年</w:t>
            </w:r>
          </w:p>
        </w:tc>
      </w:tr>
      <w:tr w14:paraId="2AD0C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6" w:type="dxa"/>
            <w:tcBorders>
              <w:top w:val="single" w:color="auto" w:sz="4" w:space="0"/>
              <w:bottom w:val="single" w:color="auto" w:sz="4" w:space="0"/>
              <w:right w:val="single" w:color="auto" w:sz="4" w:space="0"/>
            </w:tcBorders>
            <w:noWrap w:val="0"/>
            <w:vAlign w:val="center"/>
          </w:tcPr>
          <w:p w14:paraId="6E85C494">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4</w:t>
            </w:r>
          </w:p>
        </w:tc>
        <w:tc>
          <w:tcPr>
            <w:tcW w:w="1444" w:type="dxa"/>
            <w:tcBorders>
              <w:top w:val="single" w:color="auto" w:sz="4" w:space="0"/>
              <w:bottom w:val="single" w:color="auto" w:sz="4" w:space="0"/>
              <w:right w:val="single" w:color="auto" w:sz="4" w:space="0"/>
            </w:tcBorders>
            <w:noWrap w:val="0"/>
            <w:vAlign w:val="center"/>
          </w:tcPr>
          <w:p w14:paraId="03C99008">
            <w:pPr>
              <w:autoSpaceDE w:val="0"/>
              <w:autoSpaceDN w:val="0"/>
              <w:adjustRightInd w:val="0"/>
              <w:spacing w:line="360" w:lineRule="auto"/>
              <w:rPr>
                <w:rFonts w:ascii="宋体" w:hAnsi="宋体" w:cs="宋体"/>
                <w:color w:val="auto"/>
                <w:sz w:val="24"/>
                <w:highlight w:val="none"/>
                <w:lang w:val="zh-CN"/>
              </w:rPr>
            </w:pPr>
            <w:r>
              <w:rPr>
                <w:rFonts w:ascii="宋体" w:hAnsi="宋体" w:cs="宋体"/>
                <w:color w:val="auto"/>
                <w:sz w:val="24"/>
                <w:highlight w:val="none"/>
                <w:lang w:val="zh-CN"/>
              </w:rPr>
              <w:t>1.6.3</w:t>
            </w:r>
          </w:p>
        </w:tc>
        <w:tc>
          <w:tcPr>
            <w:tcW w:w="6990" w:type="dxa"/>
            <w:tcBorders>
              <w:top w:val="single" w:color="auto" w:sz="4" w:space="0"/>
              <w:left w:val="single" w:color="auto" w:sz="4" w:space="0"/>
              <w:bottom w:val="single" w:color="auto" w:sz="4" w:space="0"/>
            </w:tcBorders>
            <w:noWrap w:val="0"/>
            <w:vAlign w:val="center"/>
          </w:tcPr>
          <w:p w14:paraId="14CCE27C">
            <w:pPr>
              <w:rPr>
                <w:rFonts w:ascii="宋体" w:hAnsi="Calibri" w:cs="宋体"/>
                <w:color w:val="auto"/>
                <w:sz w:val="24"/>
                <w:highlight w:val="none"/>
                <w:lang w:val="zh-CN"/>
              </w:rPr>
            </w:pPr>
            <w:r>
              <w:rPr>
                <w:rFonts w:hint="eastAsia" w:ascii="宋体" w:hAnsi="宋体" w:cs="宋体"/>
                <w:color w:val="auto"/>
                <w:sz w:val="24"/>
                <w:highlight w:val="none"/>
                <w:lang w:val="zh-CN"/>
              </w:rPr>
              <w:t>图纸需要修改和补充的，应由监理人取得发包人同意后，在该项工程或工程相应部位施工前</w:t>
            </w:r>
            <w:r>
              <w:rPr>
                <w:rFonts w:ascii="宋体" w:hAnsi="宋体" w:cs="宋体"/>
                <w:color w:val="auto"/>
                <w:sz w:val="24"/>
                <w:highlight w:val="none"/>
                <w:lang w:val="zh-CN"/>
              </w:rPr>
              <w:t xml:space="preserve"> 5 </w:t>
            </w:r>
            <w:r>
              <w:rPr>
                <w:rFonts w:hint="eastAsia" w:ascii="宋体" w:hAnsi="宋体" w:cs="宋体"/>
                <w:color w:val="auto"/>
                <w:sz w:val="24"/>
                <w:highlight w:val="none"/>
                <w:lang w:val="zh-CN"/>
              </w:rPr>
              <w:t>天签发图纸修改图给承包人</w:t>
            </w:r>
          </w:p>
        </w:tc>
      </w:tr>
      <w:tr w14:paraId="37C1B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506" w:type="dxa"/>
            <w:tcBorders>
              <w:top w:val="single" w:color="auto" w:sz="4" w:space="0"/>
              <w:bottom w:val="single" w:color="auto" w:sz="4" w:space="0"/>
              <w:right w:val="single" w:color="auto" w:sz="4" w:space="0"/>
            </w:tcBorders>
            <w:noWrap w:val="0"/>
            <w:vAlign w:val="center"/>
          </w:tcPr>
          <w:p w14:paraId="009B6F57">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5</w:t>
            </w:r>
          </w:p>
        </w:tc>
        <w:tc>
          <w:tcPr>
            <w:tcW w:w="1444" w:type="dxa"/>
            <w:tcBorders>
              <w:top w:val="single" w:color="auto" w:sz="4" w:space="0"/>
              <w:bottom w:val="single" w:color="auto" w:sz="4" w:space="0"/>
              <w:right w:val="single" w:color="auto" w:sz="4" w:space="0"/>
            </w:tcBorders>
            <w:noWrap w:val="0"/>
            <w:vAlign w:val="center"/>
          </w:tcPr>
          <w:p w14:paraId="0C998D29">
            <w:pPr>
              <w:autoSpaceDE w:val="0"/>
              <w:autoSpaceDN w:val="0"/>
              <w:adjustRightInd w:val="0"/>
              <w:spacing w:line="360" w:lineRule="auto"/>
              <w:rPr>
                <w:rFonts w:ascii="宋体" w:hAnsi="宋体" w:cs="宋体"/>
                <w:color w:val="auto"/>
                <w:sz w:val="24"/>
                <w:highlight w:val="none"/>
                <w:lang w:val="zh-CN"/>
              </w:rPr>
            </w:pPr>
            <w:r>
              <w:rPr>
                <w:rFonts w:ascii="宋体" w:hAnsi="宋体" w:cs="宋体"/>
                <w:color w:val="auto"/>
                <w:sz w:val="24"/>
                <w:highlight w:val="none"/>
                <w:lang w:val="zh-CN"/>
              </w:rPr>
              <w:t>3.1.1</w:t>
            </w:r>
          </w:p>
        </w:tc>
        <w:tc>
          <w:tcPr>
            <w:tcW w:w="6990" w:type="dxa"/>
            <w:tcBorders>
              <w:top w:val="single" w:color="auto" w:sz="4" w:space="0"/>
              <w:left w:val="single" w:color="auto" w:sz="4" w:space="0"/>
              <w:bottom w:val="single" w:color="auto" w:sz="4" w:space="0"/>
            </w:tcBorders>
            <w:noWrap w:val="0"/>
            <w:vAlign w:val="center"/>
          </w:tcPr>
          <w:p w14:paraId="4D635ED1">
            <w:pPr>
              <w:rPr>
                <w:rFonts w:ascii="宋体" w:hAnsi="Calibri" w:cs="宋体"/>
                <w:color w:val="auto"/>
                <w:sz w:val="24"/>
                <w:highlight w:val="none"/>
                <w:lang w:val="zh-CN"/>
              </w:rPr>
            </w:pPr>
            <w:r>
              <w:rPr>
                <w:rFonts w:hint="eastAsia" w:ascii="宋体" w:hAnsi="宋体" w:cs="宋体"/>
                <w:color w:val="auto"/>
                <w:sz w:val="24"/>
                <w:highlight w:val="none"/>
                <w:lang w:val="zh-CN"/>
              </w:rPr>
              <w:t>监理人在行使下列权利前需要经发包人事先批准：</w:t>
            </w:r>
          </w:p>
          <w:p w14:paraId="0D4AE989">
            <w:pPr>
              <w:tabs>
                <w:tab w:val="left" w:pos="6582"/>
              </w:tabs>
              <w:ind w:right="649" w:rightChars="309" w:firstLine="72" w:firstLineChars="3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6</w:t>
            </w:r>
            <w:r>
              <w:rPr>
                <w:rFonts w:hint="eastAsia" w:ascii="宋体" w:hAnsi="宋体" w:cs="宋体"/>
                <w:color w:val="auto"/>
                <w:sz w:val="24"/>
                <w:highlight w:val="none"/>
                <w:lang w:val="zh-CN"/>
              </w:rPr>
              <w:t>）根据第</w:t>
            </w:r>
            <w:r>
              <w:rPr>
                <w:rFonts w:ascii="宋体" w:hAnsi="宋体" w:cs="宋体"/>
                <w:color w:val="auto"/>
                <w:sz w:val="24"/>
                <w:highlight w:val="none"/>
                <w:lang w:val="zh-CN"/>
              </w:rPr>
              <w:t>15.3</w:t>
            </w:r>
            <w:r>
              <w:rPr>
                <w:rFonts w:hint="eastAsia" w:ascii="宋体" w:hAnsi="宋体" w:cs="宋体"/>
                <w:color w:val="auto"/>
                <w:sz w:val="24"/>
                <w:highlight w:val="none"/>
                <w:lang w:val="zh-CN"/>
              </w:rPr>
              <w:t>款发出的变更指示，其单项工程变更涉及的金额超过了该单项工程签约时合同价的</w:t>
            </w:r>
            <w:r>
              <w:rPr>
                <w:rFonts w:ascii="宋体" w:hAnsi="宋体" w:cs="宋体"/>
                <w:color w:val="auto"/>
                <w:sz w:val="24"/>
                <w:highlight w:val="none"/>
                <w:lang w:val="zh-CN"/>
              </w:rPr>
              <w:t xml:space="preserve"> 0.5 %</w:t>
            </w:r>
            <w:r>
              <w:rPr>
                <w:rFonts w:hint="eastAsia" w:ascii="宋体" w:hAnsi="宋体" w:cs="宋体"/>
                <w:color w:val="auto"/>
                <w:sz w:val="24"/>
                <w:highlight w:val="none"/>
                <w:lang w:val="zh-CN"/>
              </w:rPr>
              <w:t>或累计变更超过了签约合同价的</w:t>
            </w:r>
            <w:r>
              <w:rPr>
                <w:rFonts w:ascii="宋体" w:hAnsi="宋体" w:cs="宋体"/>
                <w:color w:val="auto"/>
                <w:sz w:val="24"/>
                <w:highlight w:val="none"/>
                <w:lang w:val="zh-CN"/>
              </w:rPr>
              <w:t xml:space="preserve"> 2 %</w:t>
            </w:r>
          </w:p>
        </w:tc>
      </w:tr>
      <w:tr w14:paraId="3063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286358D9">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6</w:t>
            </w:r>
          </w:p>
        </w:tc>
        <w:tc>
          <w:tcPr>
            <w:tcW w:w="1444" w:type="dxa"/>
            <w:tcBorders>
              <w:top w:val="single" w:color="auto" w:sz="4" w:space="0"/>
              <w:bottom w:val="single" w:color="auto" w:sz="4" w:space="0"/>
              <w:right w:val="single" w:color="auto" w:sz="4" w:space="0"/>
            </w:tcBorders>
            <w:noWrap w:val="0"/>
            <w:vAlign w:val="center"/>
          </w:tcPr>
          <w:p w14:paraId="27CDE3F4">
            <w:pPr>
              <w:keepNext/>
              <w:keepLines/>
              <w:autoSpaceDE w:val="0"/>
              <w:autoSpaceDN w:val="0"/>
              <w:adjustRightInd w:val="0"/>
              <w:spacing w:line="360" w:lineRule="auto"/>
              <w:rPr>
                <w:rFonts w:ascii="宋体" w:hAnsi="宋体" w:cs="宋体"/>
                <w:color w:val="auto"/>
                <w:sz w:val="24"/>
                <w:highlight w:val="none"/>
                <w:lang w:val="zh-CN"/>
              </w:rPr>
            </w:pPr>
            <w:r>
              <w:rPr>
                <w:rFonts w:ascii="宋体" w:hAnsi="宋体" w:cs="宋体"/>
                <w:color w:val="auto"/>
                <w:sz w:val="24"/>
                <w:highlight w:val="none"/>
                <w:lang w:val="zh-CN"/>
              </w:rPr>
              <w:t>5.2.1</w:t>
            </w:r>
          </w:p>
        </w:tc>
        <w:tc>
          <w:tcPr>
            <w:tcW w:w="6990" w:type="dxa"/>
            <w:tcBorders>
              <w:top w:val="single" w:color="auto" w:sz="4" w:space="0"/>
              <w:left w:val="single" w:color="auto" w:sz="4" w:space="0"/>
              <w:bottom w:val="single" w:color="auto" w:sz="4" w:space="0"/>
            </w:tcBorders>
            <w:noWrap w:val="0"/>
            <w:vAlign w:val="center"/>
          </w:tcPr>
          <w:p w14:paraId="13F00305">
            <w:pPr>
              <w:tabs>
                <w:tab w:val="left" w:pos="6582"/>
              </w:tabs>
              <w:ind w:right="649" w:rightChars="309" w:firstLine="72" w:firstLineChars="30"/>
              <w:rPr>
                <w:rFonts w:ascii="宋体" w:hAnsi="Calibri" w:cs="宋体"/>
                <w:color w:val="auto"/>
                <w:sz w:val="24"/>
                <w:highlight w:val="none"/>
                <w:lang w:val="zh-CN"/>
              </w:rPr>
            </w:pPr>
            <w:r>
              <w:rPr>
                <w:rFonts w:hint="eastAsia" w:ascii="宋体" w:hAnsi="宋体" w:cs="宋体"/>
                <w:color w:val="auto"/>
                <w:sz w:val="24"/>
                <w:highlight w:val="none"/>
                <w:lang w:val="zh-CN"/>
              </w:rPr>
              <w:t>发包人是否提供材料或工程设备：否</w:t>
            </w:r>
          </w:p>
        </w:tc>
      </w:tr>
      <w:tr w14:paraId="0D9BF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72FD3B22">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7</w:t>
            </w:r>
          </w:p>
        </w:tc>
        <w:tc>
          <w:tcPr>
            <w:tcW w:w="1444" w:type="dxa"/>
            <w:tcBorders>
              <w:top w:val="single" w:color="auto" w:sz="4" w:space="0"/>
              <w:bottom w:val="single" w:color="auto" w:sz="4" w:space="0"/>
              <w:right w:val="single" w:color="auto" w:sz="4" w:space="0"/>
            </w:tcBorders>
            <w:noWrap w:val="0"/>
            <w:vAlign w:val="center"/>
          </w:tcPr>
          <w:p w14:paraId="024DC824">
            <w:pPr>
              <w:keepNext/>
              <w:keepLines/>
              <w:autoSpaceDE w:val="0"/>
              <w:autoSpaceDN w:val="0"/>
              <w:adjustRightInd w:val="0"/>
              <w:spacing w:line="360" w:lineRule="auto"/>
              <w:rPr>
                <w:rFonts w:ascii="宋体" w:hAnsi="宋体" w:cs="宋体"/>
                <w:color w:val="auto"/>
                <w:sz w:val="24"/>
                <w:highlight w:val="none"/>
                <w:lang w:val="zh-CN"/>
              </w:rPr>
            </w:pPr>
            <w:r>
              <w:rPr>
                <w:rFonts w:ascii="宋体" w:hAnsi="宋体" w:cs="宋体"/>
                <w:color w:val="auto"/>
                <w:sz w:val="24"/>
                <w:highlight w:val="none"/>
                <w:lang w:val="zh-CN"/>
              </w:rPr>
              <w:t>6.2</w:t>
            </w:r>
          </w:p>
        </w:tc>
        <w:tc>
          <w:tcPr>
            <w:tcW w:w="6990" w:type="dxa"/>
            <w:tcBorders>
              <w:top w:val="single" w:color="auto" w:sz="4" w:space="0"/>
              <w:left w:val="single" w:color="auto" w:sz="4" w:space="0"/>
              <w:bottom w:val="single" w:color="auto" w:sz="4" w:space="0"/>
            </w:tcBorders>
            <w:noWrap w:val="0"/>
            <w:vAlign w:val="center"/>
          </w:tcPr>
          <w:p w14:paraId="52337A41">
            <w:pPr>
              <w:tabs>
                <w:tab w:val="left" w:pos="6582"/>
              </w:tabs>
              <w:ind w:right="649" w:rightChars="309" w:firstLine="72" w:firstLineChars="30"/>
              <w:rPr>
                <w:rFonts w:ascii="宋体" w:hAnsi="Calibri" w:cs="宋体"/>
                <w:color w:val="auto"/>
                <w:sz w:val="24"/>
                <w:highlight w:val="none"/>
                <w:lang w:val="zh-CN"/>
              </w:rPr>
            </w:pPr>
            <w:r>
              <w:rPr>
                <w:rFonts w:hint="eastAsia" w:ascii="宋体" w:hAnsi="宋体" w:cs="宋体"/>
                <w:color w:val="auto"/>
                <w:sz w:val="24"/>
                <w:highlight w:val="none"/>
                <w:lang w:val="zh-CN"/>
              </w:rPr>
              <w:t>发包人是否提供施工设备和临时设施：否</w:t>
            </w:r>
          </w:p>
        </w:tc>
      </w:tr>
      <w:tr w14:paraId="6B74C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506" w:type="dxa"/>
            <w:tcBorders>
              <w:top w:val="single" w:color="auto" w:sz="4" w:space="0"/>
              <w:bottom w:val="single" w:color="auto" w:sz="4" w:space="0"/>
              <w:right w:val="single" w:color="auto" w:sz="4" w:space="0"/>
            </w:tcBorders>
            <w:noWrap w:val="0"/>
            <w:vAlign w:val="center"/>
          </w:tcPr>
          <w:p w14:paraId="0A87CFB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8</w:t>
            </w:r>
          </w:p>
        </w:tc>
        <w:tc>
          <w:tcPr>
            <w:tcW w:w="1444" w:type="dxa"/>
            <w:tcBorders>
              <w:top w:val="single" w:color="auto" w:sz="4" w:space="0"/>
              <w:bottom w:val="single" w:color="auto" w:sz="4" w:space="0"/>
              <w:right w:val="single" w:color="auto" w:sz="4" w:space="0"/>
            </w:tcBorders>
            <w:noWrap w:val="0"/>
            <w:vAlign w:val="center"/>
          </w:tcPr>
          <w:p w14:paraId="15327CA3">
            <w:pPr>
              <w:keepNext/>
              <w:keepLines/>
              <w:autoSpaceDE w:val="0"/>
              <w:autoSpaceDN w:val="0"/>
              <w:adjustRightInd w:val="0"/>
              <w:spacing w:line="360" w:lineRule="auto"/>
              <w:rPr>
                <w:rFonts w:ascii="宋体" w:hAnsi="宋体" w:cs="宋体"/>
                <w:color w:val="auto"/>
                <w:sz w:val="24"/>
                <w:highlight w:val="none"/>
                <w:lang w:val="zh-CN"/>
              </w:rPr>
            </w:pPr>
            <w:r>
              <w:rPr>
                <w:rFonts w:ascii="宋体" w:hAnsi="宋体" w:cs="宋体"/>
                <w:color w:val="auto"/>
                <w:sz w:val="24"/>
                <w:highlight w:val="none"/>
                <w:lang w:val="zh-CN"/>
              </w:rPr>
              <w:t>8.1 .1</w:t>
            </w:r>
          </w:p>
        </w:tc>
        <w:tc>
          <w:tcPr>
            <w:tcW w:w="6990" w:type="dxa"/>
            <w:tcBorders>
              <w:top w:val="single" w:color="auto" w:sz="4" w:space="0"/>
              <w:left w:val="single" w:color="auto" w:sz="4" w:space="0"/>
              <w:bottom w:val="single" w:color="auto" w:sz="4" w:space="0"/>
            </w:tcBorders>
            <w:noWrap w:val="0"/>
            <w:vAlign w:val="center"/>
          </w:tcPr>
          <w:p w14:paraId="4B6BFF51">
            <w:pPr>
              <w:rPr>
                <w:rFonts w:ascii="宋体" w:hAnsi="宋体" w:cs="宋体"/>
                <w:color w:val="auto"/>
                <w:sz w:val="24"/>
                <w:highlight w:val="none"/>
                <w:lang w:val="zh-CN"/>
              </w:rPr>
            </w:pPr>
            <w:r>
              <w:rPr>
                <w:rFonts w:hint="eastAsia" w:ascii="宋体" w:hAnsi="宋体" w:cs="宋体"/>
                <w:color w:val="auto"/>
                <w:sz w:val="24"/>
                <w:highlight w:val="none"/>
                <w:lang w:val="zh-CN"/>
              </w:rPr>
              <w:t>发包人提供测量基准点、基准线和水准点及其书面资料的期限：开工后</w:t>
            </w:r>
            <w:r>
              <w:rPr>
                <w:rFonts w:ascii="宋体" w:hAnsi="宋体" w:cs="宋体"/>
                <w:color w:val="auto"/>
                <w:sz w:val="24"/>
                <w:highlight w:val="none"/>
                <w:lang w:val="zh-CN"/>
              </w:rPr>
              <w:t>1</w:t>
            </w:r>
            <w:r>
              <w:rPr>
                <w:rFonts w:hint="eastAsia" w:ascii="宋体" w:hAnsi="宋体" w:cs="宋体"/>
                <w:color w:val="auto"/>
                <w:sz w:val="24"/>
                <w:highlight w:val="none"/>
                <w:lang w:val="zh-CN"/>
              </w:rPr>
              <w:t>周内承包人将施工控制网资料报送监理人审批的期限：开工后</w:t>
            </w:r>
            <w:r>
              <w:rPr>
                <w:rFonts w:ascii="宋体" w:hAnsi="宋体" w:cs="宋体"/>
                <w:color w:val="auto"/>
                <w:sz w:val="24"/>
                <w:highlight w:val="none"/>
                <w:lang w:val="zh-CN"/>
              </w:rPr>
              <w:t>3</w:t>
            </w:r>
            <w:r>
              <w:rPr>
                <w:rFonts w:hint="eastAsia" w:ascii="宋体" w:hAnsi="宋体" w:cs="宋体"/>
                <w:color w:val="auto"/>
                <w:sz w:val="24"/>
                <w:highlight w:val="none"/>
                <w:lang w:val="zh-CN"/>
              </w:rPr>
              <w:t>周内</w:t>
            </w:r>
          </w:p>
        </w:tc>
      </w:tr>
      <w:tr w14:paraId="0887A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303FFCF2">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9</w:t>
            </w:r>
          </w:p>
        </w:tc>
        <w:tc>
          <w:tcPr>
            <w:tcW w:w="1444" w:type="dxa"/>
            <w:tcBorders>
              <w:top w:val="single" w:color="auto" w:sz="4" w:space="0"/>
              <w:bottom w:val="single" w:color="auto" w:sz="4" w:space="0"/>
              <w:right w:val="single" w:color="auto" w:sz="4" w:space="0"/>
            </w:tcBorders>
            <w:noWrap w:val="0"/>
            <w:vAlign w:val="center"/>
          </w:tcPr>
          <w:p w14:paraId="0213D63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11</w:t>
            </w:r>
            <w:r>
              <w:rPr>
                <w:rFonts w:hint="eastAsia" w:ascii="宋体" w:hAnsi="宋体" w:cs="宋体"/>
                <w:color w:val="auto"/>
                <w:sz w:val="24"/>
                <w:highlight w:val="none"/>
                <w:lang w:val="zh-CN"/>
              </w:rPr>
              <w:t>．</w:t>
            </w:r>
            <w:r>
              <w:rPr>
                <w:rFonts w:ascii="宋体" w:hAnsi="宋体" w:cs="宋体"/>
                <w:color w:val="auto"/>
                <w:sz w:val="24"/>
                <w:highlight w:val="none"/>
                <w:lang w:val="zh-CN"/>
              </w:rPr>
              <w:t>5</w:t>
            </w:r>
          </w:p>
        </w:tc>
        <w:tc>
          <w:tcPr>
            <w:tcW w:w="6990" w:type="dxa"/>
            <w:tcBorders>
              <w:top w:val="single" w:color="auto" w:sz="4" w:space="0"/>
              <w:left w:val="single" w:color="auto" w:sz="4" w:space="0"/>
              <w:bottom w:val="single" w:color="auto" w:sz="4" w:space="0"/>
            </w:tcBorders>
            <w:noWrap w:val="0"/>
            <w:vAlign w:val="center"/>
          </w:tcPr>
          <w:p w14:paraId="2FFAA760">
            <w:pPr>
              <w:rPr>
                <w:rFonts w:ascii="宋体" w:hAnsi="Calibri" w:cs="宋体"/>
                <w:color w:val="auto"/>
                <w:sz w:val="24"/>
                <w:highlight w:val="none"/>
                <w:lang w:val="zh-CN"/>
              </w:rPr>
            </w:pPr>
            <w:r>
              <w:rPr>
                <w:rFonts w:hint="eastAsia" w:ascii="宋体" w:hAnsi="宋体" w:cs="宋体"/>
                <w:color w:val="auto"/>
                <w:sz w:val="24"/>
                <w:highlight w:val="none"/>
                <w:lang w:val="zh-CN"/>
              </w:rPr>
              <w:t>逾期交工违约金</w:t>
            </w:r>
            <w:r>
              <w:rPr>
                <w:rFonts w:ascii="宋体" w:hAnsi="宋体" w:cs="宋体"/>
                <w:color w:val="auto"/>
                <w:sz w:val="24"/>
                <w:highlight w:val="none"/>
                <w:lang w:val="zh-CN"/>
              </w:rPr>
              <w:t xml:space="preserve">500 </w:t>
            </w:r>
            <w:r>
              <w:rPr>
                <w:rFonts w:hint="eastAsia" w:ascii="宋体" w:hAnsi="宋体" w:cs="宋体"/>
                <w:color w:val="auto"/>
                <w:sz w:val="24"/>
                <w:highlight w:val="none"/>
                <w:lang w:val="zh-CN"/>
              </w:rPr>
              <w:t>元</w:t>
            </w:r>
            <w:r>
              <w:rPr>
                <w:rFonts w:ascii="宋体" w:hAnsi="宋体" w:cs="宋体"/>
                <w:color w:val="auto"/>
                <w:sz w:val="24"/>
                <w:highlight w:val="none"/>
                <w:lang w:val="zh-CN"/>
              </w:rPr>
              <w:t>/</w:t>
            </w:r>
            <w:r>
              <w:rPr>
                <w:rFonts w:hint="eastAsia" w:ascii="宋体" w:hAnsi="宋体" w:cs="宋体"/>
                <w:color w:val="auto"/>
                <w:sz w:val="24"/>
                <w:highlight w:val="none"/>
                <w:lang w:val="zh-CN"/>
              </w:rPr>
              <w:t>天，限额</w:t>
            </w:r>
            <w:r>
              <w:rPr>
                <w:rFonts w:ascii="宋体" w:hAnsi="宋体" w:cs="宋体"/>
                <w:color w:val="auto"/>
                <w:sz w:val="24"/>
                <w:highlight w:val="none"/>
                <w:lang w:val="zh-CN"/>
              </w:rPr>
              <w:t xml:space="preserve"> 10 %</w:t>
            </w:r>
            <w:r>
              <w:rPr>
                <w:rFonts w:hint="eastAsia" w:ascii="宋体" w:hAnsi="宋体" w:cs="宋体"/>
                <w:color w:val="auto"/>
                <w:sz w:val="24"/>
                <w:highlight w:val="none"/>
                <w:lang w:val="zh-CN"/>
              </w:rPr>
              <w:t>签约合同价</w:t>
            </w:r>
          </w:p>
        </w:tc>
      </w:tr>
      <w:tr w14:paraId="7F292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32B2575B">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10</w:t>
            </w:r>
          </w:p>
        </w:tc>
        <w:tc>
          <w:tcPr>
            <w:tcW w:w="1444" w:type="dxa"/>
            <w:tcBorders>
              <w:top w:val="single" w:color="auto" w:sz="4" w:space="0"/>
              <w:bottom w:val="single" w:color="auto" w:sz="4" w:space="0"/>
              <w:right w:val="single" w:color="auto" w:sz="4" w:space="0"/>
            </w:tcBorders>
            <w:noWrap w:val="0"/>
            <w:vAlign w:val="center"/>
          </w:tcPr>
          <w:p w14:paraId="6E18683D">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16</w:t>
            </w:r>
            <w:r>
              <w:rPr>
                <w:rFonts w:hint="eastAsia" w:ascii="宋体" w:hAnsi="宋体" w:cs="宋体"/>
                <w:color w:val="auto"/>
                <w:sz w:val="24"/>
                <w:highlight w:val="none"/>
                <w:lang w:val="zh-CN"/>
              </w:rPr>
              <w:t>．</w:t>
            </w:r>
            <w:r>
              <w:rPr>
                <w:rFonts w:ascii="宋体" w:hAnsi="宋体" w:cs="宋体"/>
                <w:color w:val="auto"/>
                <w:sz w:val="24"/>
                <w:highlight w:val="none"/>
                <w:lang w:val="zh-CN"/>
              </w:rPr>
              <w:t>1</w:t>
            </w:r>
          </w:p>
        </w:tc>
        <w:tc>
          <w:tcPr>
            <w:tcW w:w="6990" w:type="dxa"/>
            <w:tcBorders>
              <w:top w:val="single" w:color="auto" w:sz="4" w:space="0"/>
              <w:left w:val="single" w:color="auto" w:sz="4" w:space="0"/>
              <w:bottom w:val="single" w:color="auto" w:sz="4" w:space="0"/>
            </w:tcBorders>
            <w:noWrap w:val="0"/>
            <w:vAlign w:val="center"/>
          </w:tcPr>
          <w:p w14:paraId="6DF439F3">
            <w:pPr>
              <w:rPr>
                <w:rFonts w:ascii="宋体" w:hAnsi="Calibri" w:cs="宋体"/>
                <w:color w:val="auto"/>
                <w:sz w:val="24"/>
                <w:highlight w:val="none"/>
                <w:lang w:val="zh-CN"/>
              </w:rPr>
            </w:pPr>
            <w:r>
              <w:rPr>
                <w:rFonts w:hint="eastAsia" w:ascii="宋体" w:hAnsi="宋体" w:cs="宋体"/>
                <w:color w:val="auto"/>
                <w:sz w:val="24"/>
                <w:highlight w:val="none"/>
                <w:lang w:val="zh-CN"/>
              </w:rPr>
              <w:t>价格调整：</w:t>
            </w:r>
            <w:r>
              <w:rPr>
                <w:rFonts w:hint="eastAsia" w:ascii="Calibri" w:hAnsi="Calibri"/>
                <w:color w:val="auto"/>
                <w:sz w:val="24"/>
                <w:highlight w:val="none"/>
              </w:rPr>
              <w:t>本项目</w:t>
            </w:r>
            <w:r>
              <w:rPr>
                <w:rFonts w:hint="eastAsia" w:ascii="宋体" w:hAnsi="宋体" w:cs="宋体"/>
                <w:color w:val="auto"/>
                <w:sz w:val="24"/>
                <w:highlight w:val="none"/>
                <w:lang w:val="zh-CN"/>
              </w:rPr>
              <w:t>无价格调整</w:t>
            </w:r>
          </w:p>
        </w:tc>
      </w:tr>
      <w:tr w14:paraId="1BBC8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4987A1D4">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11</w:t>
            </w:r>
          </w:p>
        </w:tc>
        <w:tc>
          <w:tcPr>
            <w:tcW w:w="1444" w:type="dxa"/>
            <w:tcBorders>
              <w:top w:val="single" w:color="auto" w:sz="4" w:space="0"/>
              <w:bottom w:val="single" w:color="auto" w:sz="4" w:space="0"/>
              <w:right w:val="single" w:color="auto" w:sz="4" w:space="0"/>
            </w:tcBorders>
            <w:noWrap w:val="0"/>
            <w:vAlign w:val="center"/>
          </w:tcPr>
          <w:p w14:paraId="7C3D012E">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17.2.1</w:t>
            </w:r>
          </w:p>
        </w:tc>
        <w:tc>
          <w:tcPr>
            <w:tcW w:w="6990" w:type="dxa"/>
            <w:tcBorders>
              <w:top w:val="single" w:color="auto" w:sz="4" w:space="0"/>
              <w:left w:val="single" w:color="auto" w:sz="4" w:space="0"/>
              <w:bottom w:val="single" w:color="auto" w:sz="4" w:space="0"/>
            </w:tcBorders>
            <w:noWrap w:val="0"/>
            <w:vAlign w:val="center"/>
          </w:tcPr>
          <w:p w14:paraId="204AE9EF">
            <w:pPr>
              <w:rPr>
                <w:rFonts w:hint="eastAsia" w:ascii="宋体" w:hAnsi="Calibri" w:eastAsia="宋体" w:cs="宋体"/>
                <w:color w:val="auto"/>
                <w:sz w:val="24"/>
                <w:highlight w:val="none"/>
                <w:lang w:val="zh-CN" w:eastAsia="zh-CN"/>
              </w:rPr>
            </w:pPr>
            <w:r>
              <w:rPr>
                <w:rFonts w:hint="eastAsia" w:ascii="宋体" w:hAnsi="宋体" w:cs="宋体"/>
                <w:color w:val="auto"/>
                <w:sz w:val="24"/>
                <w:highlight w:val="none"/>
                <w:lang w:val="zh-CN"/>
              </w:rPr>
              <w:t>开工预付款金额：</w:t>
            </w:r>
            <w:r>
              <w:rPr>
                <w:rFonts w:hint="eastAsia" w:ascii="Calibri" w:hAnsi="Calibri"/>
                <w:color w:val="auto"/>
                <w:sz w:val="24"/>
                <w:highlight w:val="none"/>
              </w:rPr>
              <w:t>签订合同时约定</w:t>
            </w:r>
          </w:p>
        </w:tc>
      </w:tr>
      <w:tr w14:paraId="0BBE0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619EBA2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12</w:t>
            </w:r>
          </w:p>
        </w:tc>
        <w:tc>
          <w:tcPr>
            <w:tcW w:w="1444" w:type="dxa"/>
            <w:tcBorders>
              <w:top w:val="single" w:color="auto" w:sz="4" w:space="0"/>
              <w:bottom w:val="single" w:color="auto" w:sz="4" w:space="0"/>
              <w:right w:val="single" w:color="auto" w:sz="4" w:space="0"/>
            </w:tcBorders>
            <w:noWrap w:val="0"/>
            <w:vAlign w:val="center"/>
          </w:tcPr>
          <w:p w14:paraId="38AED1AE">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17.2.1</w:t>
            </w:r>
          </w:p>
        </w:tc>
        <w:tc>
          <w:tcPr>
            <w:tcW w:w="6990" w:type="dxa"/>
            <w:tcBorders>
              <w:top w:val="single" w:color="auto" w:sz="4" w:space="0"/>
              <w:left w:val="single" w:color="auto" w:sz="4" w:space="0"/>
              <w:bottom w:val="single" w:color="auto" w:sz="4" w:space="0"/>
            </w:tcBorders>
            <w:noWrap w:val="0"/>
            <w:vAlign w:val="center"/>
          </w:tcPr>
          <w:p w14:paraId="50B772FC">
            <w:pPr>
              <w:rPr>
                <w:rFonts w:ascii="宋体" w:hAnsi="Calibri" w:cs="宋体"/>
                <w:color w:val="auto"/>
                <w:sz w:val="24"/>
                <w:highlight w:val="none"/>
                <w:lang w:val="zh-CN"/>
              </w:rPr>
            </w:pPr>
            <w:r>
              <w:rPr>
                <w:rFonts w:hint="eastAsia" w:ascii="宋体" w:hAnsi="宋体" w:cs="宋体"/>
                <w:color w:val="auto"/>
                <w:sz w:val="24"/>
                <w:highlight w:val="none"/>
                <w:lang w:val="zh-CN"/>
              </w:rPr>
              <w:t>材料、设备预付款比例：</w:t>
            </w:r>
            <w:r>
              <w:rPr>
                <w:rFonts w:hint="eastAsia" w:ascii="Calibri" w:hAnsi="Calibri"/>
                <w:color w:val="auto"/>
                <w:sz w:val="24"/>
                <w:highlight w:val="none"/>
              </w:rPr>
              <w:t>签订合同时约定</w:t>
            </w:r>
          </w:p>
        </w:tc>
      </w:tr>
      <w:tr w14:paraId="6B744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6" w:type="dxa"/>
            <w:tcBorders>
              <w:top w:val="single" w:color="auto" w:sz="4" w:space="0"/>
              <w:bottom w:val="single" w:color="auto" w:sz="4" w:space="0"/>
              <w:right w:val="single" w:color="auto" w:sz="4" w:space="0"/>
            </w:tcBorders>
            <w:noWrap w:val="0"/>
            <w:vAlign w:val="center"/>
          </w:tcPr>
          <w:p w14:paraId="410A0678">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13</w:t>
            </w:r>
          </w:p>
        </w:tc>
        <w:tc>
          <w:tcPr>
            <w:tcW w:w="1444" w:type="dxa"/>
            <w:tcBorders>
              <w:top w:val="single" w:color="auto" w:sz="4" w:space="0"/>
              <w:bottom w:val="single" w:color="auto" w:sz="4" w:space="0"/>
              <w:right w:val="single" w:color="auto" w:sz="4" w:space="0"/>
            </w:tcBorders>
            <w:noWrap w:val="0"/>
            <w:vAlign w:val="center"/>
          </w:tcPr>
          <w:p w14:paraId="66720F9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17.3.2</w:t>
            </w:r>
          </w:p>
        </w:tc>
        <w:tc>
          <w:tcPr>
            <w:tcW w:w="6990" w:type="dxa"/>
            <w:tcBorders>
              <w:top w:val="single" w:color="auto" w:sz="4" w:space="0"/>
              <w:left w:val="single" w:color="auto" w:sz="4" w:space="0"/>
              <w:bottom w:val="single" w:color="auto" w:sz="4" w:space="0"/>
            </w:tcBorders>
            <w:noWrap w:val="0"/>
            <w:vAlign w:val="center"/>
          </w:tcPr>
          <w:p w14:paraId="4572E648">
            <w:pPr>
              <w:ind w:firstLine="240" w:firstLineChars="100"/>
              <w:rPr>
                <w:rFonts w:ascii="宋体" w:hAnsi="Calibri" w:cs="宋体"/>
                <w:color w:val="auto"/>
                <w:sz w:val="24"/>
                <w:highlight w:val="none"/>
                <w:lang w:val="zh-CN"/>
              </w:rPr>
            </w:pPr>
            <w:r>
              <w:rPr>
                <w:rFonts w:hint="eastAsia" w:ascii="宋体" w:hAnsi="宋体" w:cs="宋体"/>
                <w:color w:val="auto"/>
                <w:sz w:val="24"/>
                <w:highlight w:val="none"/>
                <w:lang w:val="zh-CN"/>
              </w:rPr>
              <w:t>承包人在每个付款周期末向监理人提交进度付款申请单的份数：</w:t>
            </w:r>
            <w:r>
              <w:rPr>
                <w:rFonts w:ascii="宋体" w:hAnsi="宋体" w:cs="宋体"/>
                <w:color w:val="auto"/>
                <w:sz w:val="24"/>
                <w:highlight w:val="none"/>
                <w:lang w:val="zh-CN"/>
              </w:rPr>
              <w:t xml:space="preserve"> 3   </w:t>
            </w:r>
            <w:r>
              <w:rPr>
                <w:rFonts w:hint="eastAsia" w:ascii="宋体" w:hAnsi="宋体" w:cs="宋体"/>
                <w:color w:val="auto"/>
                <w:sz w:val="24"/>
                <w:highlight w:val="none"/>
                <w:lang w:val="zh-CN"/>
              </w:rPr>
              <w:t>份</w:t>
            </w:r>
          </w:p>
        </w:tc>
      </w:tr>
      <w:tr w14:paraId="50345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06" w:type="dxa"/>
            <w:tcBorders>
              <w:top w:val="single" w:color="auto" w:sz="4" w:space="0"/>
              <w:bottom w:val="single" w:color="auto" w:sz="4" w:space="0"/>
              <w:right w:val="single" w:color="auto" w:sz="4" w:space="0"/>
            </w:tcBorders>
            <w:noWrap w:val="0"/>
            <w:vAlign w:val="center"/>
          </w:tcPr>
          <w:p w14:paraId="6F0506DD">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14</w:t>
            </w:r>
          </w:p>
        </w:tc>
        <w:tc>
          <w:tcPr>
            <w:tcW w:w="1444" w:type="dxa"/>
            <w:tcBorders>
              <w:top w:val="single" w:color="auto" w:sz="4" w:space="0"/>
              <w:bottom w:val="single" w:color="auto" w:sz="4" w:space="0"/>
              <w:right w:val="single" w:color="auto" w:sz="4" w:space="0"/>
            </w:tcBorders>
            <w:noWrap w:val="0"/>
            <w:vAlign w:val="center"/>
          </w:tcPr>
          <w:p w14:paraId="5DD44CC6">
            <w:pPr>
              <w:rPr>
                <w:rFonts w:ascii="宋体" w:hAnsi="宋体" w:cs="宋体"/>
                <w:color w:val="auto"/>
                <w:sz w:val="24"/>
                <w:highlight w:val="none"/>
                <w:lang w:val="zh-CN"/>
              </w:rPr>
            </w:pPr>
            <w:r>
              <w:rPr>
                <w:rFonts w:ascii="宋体" w:hAnsi="宋体" w:cs="宋体"/>
                <w:color w:val="auto"/>
                <w:sz w:val="24"/>
                <w:highlight w:val="none"/>
                <w:lang w:val="zh-CN"/>
              </w:rPr>
              <w:t>17.3.5</w:t>
            </w:r>
          </w:p>
        </w:tc>
        <w:tc>
          <w:tcPr>
            <w:tcW w:w="6990" w:type="dxa"/>
            <w:tcBorders>
              <w:top w:val="single" w:color="auto" w:sz="4" w:space="0"/>
              <w:left w:val="single" w:color="auto" w:sz="4" w:space="0"/>
              <w:bottom w:val="single" w:color="auto" w:sz="4" w:space="0"/>
            </w:tcBorders>
            <w:noWrap w:val="0"/>
            <w:vAlign w:val="center"/>
          </w:tcPr>
          <w:p w14:paraId="2B39B002">
            <w:pPr>
              <w:rPr>
                <w:rFonts w:ascii="宋体" w:hAnsi="Calibri" w:cs="宋体"/>
                <w:color w:val="auto"/>
                <w:sz w:val="24"/>
                <w:highlight w:val="none"/>
              </w:rPr>
            </w:pPr>
            <w:r>
              <w:rPr>
                <w:rFonts w:hint="eastAsia" w:ascii="宋体" w:hAnsi="宋体" w:cs="宋体"/>
                <w:color w:val="auto"/>
                <w:sz w:val="24"/>
                <w:highlight w:val="none"/>
                <w:lang w:val="zh-CN"/>
              </w:rPr>
              <w:t>农民工工资保障金</w:t>
            </w:r>
            <w:r>
              <w:rPr>
                <w:rFonts w:ascii="宋体" w:hAnsi="宋体" w:cs="宋体"/>
                <w:color w:val="auto"/>
                <w:sz w:val="24"/>
                <w:highlight w:val="none"/>
              </w:rPr>
              <w:t xml:space="preserve"> 2 </w:t>
            </w:r>
            <w:r>
              <w:rPr>
                <w:rFonts w:ascii="宋体" w:hAnsi="宋体" w:cs="宋体"/>
                <w:color w:val="auto"/>
                <w:sz w:val="24"/>
                <w:highlight w:val="none"/>
                <w:lang w:val="zh-CN"/>
              </w:rPr>
              <w:t>%</w:t>
            </w:r>
            <w:r>
              <w:rPr>
                <w:rFonts w:hint="eastAsia" w:ascii="宋体" w:hAnsi="宋体" w:cs="宋体"/>
                <w:color w:val="auto"/>
                <w:sz w:val="24"/>
                <w:highlight w:val="none"/>
                <w:lang w:val="zh-CN"/>
              </w:rPr>
              <w:t>签约合同价格（不计息）</w:t>
            </w:r>
          </w:p>
        </w:tc>
      </w:tr>
      <w:tr w14:paraId="7C1E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6" w:type="dxa"/>
            <w:tcBorders>
              <w:top w:val="single" w:color="auto" w:sz="4" w:space="0"/>
              <w:bottom w:val="single" w:color="auto" w:sz="4" w:space="0"/>
              <w:right w:val="single" w:color="auto" w:sz="4" w:space="0"/>
            </w:tcBorders>
            <w:noWrap w:val="0"/>
            <w:vAlign w:val="center"/>
          </w:tcPr>
          <w:p w14:paraId="7B0F2BA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15</w:t>
            </w:r>
          </w:p>
        </w:tc>
        <w:tc>
          <w:tcPr>
            <w:tcW w:w="1444" w:type="dxa"/>
            <w:tcBorders>
              <w:top w:val="single" w:color="auto" w:sz="4" w:space="0"/>
              <w:bottom w:val="single" w:color="auto" w:sz="4" w:space="0"/>
              <w:right w:val="single" w:color="auto" w:sz="4" w:space="0"/>
            </w:tcBorders>
            <w:noWrap w:val="0"/>
            <w:vAlign w:val="center"/>
          </w:tcPr>
          <w:p w14:paraId="729FD718">
            <w:pPr>
              <w:autoSpaceDE w:val="0"/>
              <w:autoSpaceDN w:val="0"/>
              <w:adjustRightInd w:val="0"/>
              <w:spacing w:line="360" w:lineRule="auto"/>
              <w:jc w:val="left"/>
              <w:rPr>
                <w:rFonts w:ascii="宋体" w:hAnsi="Calibri" w:cs="宋体"/>
                <w:color w:val="auto"/>
                <w:sz w:val="24"/>
                <w:highlight w:val="none"/>
              </w:rPr>
            </w:pPr>
            <w:r>
              <w:rPr>
                <w:rFonts w:ascii="宋体" w:hAnsi="宋体" w:cs="宋体"/>
                <w:color w:val="auto"/>
                <w:sz w:val="24"/>
                <w:highlight w:val="none"/>
                <w:lang w:val="zh-CN"/>
              </w:rPr>
              <w:t>17</w:t>
            </w:r>
            <w:r>
              <w:rPr>
                <w:rFonts w:hint="eastAsia" w:ascii="宋体" w:hAnsi="宋体" w:cs="宋体"/>
                <w:color w:val="auto"/>
                <w:sz w:val="24"/>
                <w:highlight w:val="none"/>
                <w:lang w:val="zh-CN"/>
              </w:rPr>
              <w:t>．</w:t>
            </w: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ascii="宋体" w:hAnsi="宋体" w:cs="宋体"/>
                <w:color w:val="auto"/>
                <w:sz w:val="24"/>
                <w:highlight w:val="none"/>
                <w:lang w:val="zh-CN"/>
              </w:rPr>
              <w:t>1</w:t>
            </w:r>
          </w:p>
        </w:tc>
        <w:tc>
          <w:tcPr>
            <w:tcW w:w="6990" w:type="dxa"/>
            <w:tcBorders>
              <w:top w:val="single" w:color="auto" w:sz="4" w:space="0"/>
              <w:left w:val="single" w:color="auto" w:sz="4" w:space="0"/>
              <w:bottom w:val="single" w:color="auto" w:sz="4" w:space="0"/>
            </w:tcBorders>
            <w:noWrap w:val="0"/>
            <w:vAlign w:val="center"/>
          </w:tcPr>
          <w:p w14:paraId="62514AB5">
            <w:pPr>
              <w:rPr>
                <w:rFonts w:ascii="宋体" w:hAnsi="Calibri" w:cs="宋体"/>
                <w:color w:val="auto"/>
                <w:sz w:val="24"/>
                <w:highlight w:val="none"/>
              </w:rPr>
            </w:pPr>
            <w:r>
              <w:rPr>
                <w:rFonts w:hint="eastAsia" w:ascii="宋体" w:hAnsi="宋体" w:cs="宋体"/>
                <w:color w:val="auto"/>
                <w:sz w:val="24"/>
                <w:highlight w:val="none"/>
                <w:lang w:val="zh-CN"/>
              </w:rPr>
              <w:t>质量保证金限额</w:t>
            </w:r>
            <w:r>
              <w:rPr>
                <w:rFonts w:ascii="宋体" w:hAnsi="宋体" w:cs="宋体"/>
                <w:color w:val="auto"/>
                <w:sz w:val="24"/>
                <w:highlight w:val="none"/>
                <w:u w:val="single"/>
              </w:rPr>
              <w:t xml:space="preserve"> 3 </w:t>
            </w:r>
            <w:r>
              <w:rPr>
                <w:rFonts w:ascii="宋体" w:hAnsi="宋体" w:cs="宋体"/>
                <w:color w:val="auto"/>
                <w:sz w:val="24"/>
                <w:highlight w:val="none"/>
                <w:lang w:val="zh-CN"/>
              </w:rPr>
              <w:t>%</w:t>
            </w:r>
            <w:r>
              <w:rPr>
                <w:rFonts w:hint="eastAsia" w:ascii="宋体" w:hAnsi="宋体" w:cs="宋体"/>
                <w:color w:val="auto"/>
                <w:sz w:val="24"/>
                <w:highlight w:val="none"/>
                <w:lang w:val="zh-CN"/>
              </w:rPr>
              <w:t>签约合同价格（不计息）</w:t>
            </w:r>
          </w:p>
        </w:tc>
      </w:tr>
      <w:tr w14:paraId="5D246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6" w:type="dxa"/>
            <w:tcBorders>
              <w:top w:val="single" w:color="auto" w:sz="4" w:space="0"/>
              <w:bottom w:val="single" w:color="auto" w:sz="4" w:space="0"/>
              <w:right w:val="single" w:color="auto" w:sz="4" w:space="0"/>
            </w:tcBorders>
            <w:noWrap w:val="0"/>
            <w:vAlign w:val="center"/>
          </w:tcPr>
          <w:p w14:paraId="1A4FD4F1">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w:t>
            </w:r>
          </w:p>
        </w:tc>
        <w:tc>
          <w:tcPr>
            <w:tcW w:w="1444" w:type="dxa"/>
            <w:tcBorders>
              <w:top w:val="single" w:color="auto" w:sz="4" w:space="0"/>
              <w:bottom w:val="single" w:color="auto" w:sz="4" w:space="0"/>
              <w:right w:val="single" w:color="auto" w:sz="4" w:space="0"/>
            </w:tcBorders>
            <w:noWrap w:val="0"/>
            <w:vAlign w:val="center"/>
          </w:tcPr>
          <w:p w14:paraId="10BCE2AE">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17.5.1</w:t>
            </w:r>
          </w:p>
        </w:tc>
        <w:tc>
          <w:tcPr>
            <w:tcW w:w="6990" w:type="dxa"/>
            <w:tcBorders>
              <w:top w:val="single" w:color="auto" w:sz="4" w:space="0"/>
              <w:left w:val="single" w:color="auto" w:sz="4" w:space="0"/>
              <w:bottom w:val="single" w:color="auto" w:sz="4" w:space="0"/>
            </w:tcBorders>
            <w:noWrap w:val="0"/>
            <w:vAlign w:val="center"/>
          </w:tcPr>
          <w:p w14:paraId="753C5DF1">
            <w:pPr>
              <w:rPr>
                <w:rFonts w:ascii="宋体" w:hAnsi="Calibri" w:cs="宋体"/>
                <w:color w:val="auto"/>
                <w:sz w:val="24"/>
                <w:highlight w:val="none"/>
                <w:lang w:val="zh-CN"/>
              </w:rPr>
            </w:pPr>
            <w:r>
              <w:rPr>
                <w:rFonts w:hint="eastAsia" w:ascii="宋体" w:hAnsi="宋体" w:cs="宋体"/>
                <w:color w:val="auto"/>
                <w:sz w:val="24"/>
                <w:highlight w:val="none"/>
                <w:lang w:val="zh-CN"/>
              </w:rPr>
              <w:t>承包人向监理人提交交工付款申请单（包括相关证明材料）的份数：</w:t>
            </w:r>
            <w:r>
              <w:rPr>
                <w:rFonts w:ascii="宋体" w:hAnsi="宋体" w:cs="宋体"/>
                <w:color w:val="auto"/>
                <w:sz w:val="24"/>
                <w:highlight w:val="none"/>
                <w:lang w:val="zh-CN"/>
              </w:rPr>
              <w:t xml:space="preserve"> 5 </w:t>
            </w:r>
            <w:r>
              <w:rPr>
                <w:rFonts w:hint="eastAsia" w:ascii="宋体" w:hAnsi="宋体" w:cs="宋体"/>
                <w:color w:val="auto"/>
                <w:sz w:val="24"/>
                <w:highlight w:val="none"/>
                <w:lang w:val="zh-CN"/>
              </w:rPr>
              <w:t>份</w:t>
            </w:r>
          </w:p>
        </w:tc>
      </w:tr>
      <w:tr w14:paraId="5DF3D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6" w:type="dxa"/>
            <w:tcBorders>
              <w:top w:val="single" w:color="auto" w:sz="4" w:space="0"/>
              <w:bottom w:val="single" w:color="auto" w:sz="4" w:space="0"/>
              <w:right w:val="single" w:color="auto" w:sz="4" w:space="0"/>
            </w:tcBorders>
            <w:noWrap w:val="0"/>
            <w:vAlign w:val="center"/>
          </w:tcPr>
          <w:p w14:paraId="24E14379">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18</w:t>
            </w:r>
          </w:p>
        </w:tc>
        <w:tc>
          <w:tcPr>
            <w:tcW w:w="1444" w:type="dxa"/>
            <w:tcBorders>
              <w:top w:val="single" w:color="auto" w:sz="4" w:space="0"/>
              <w:bottom w:val="single" w:color="auto" w:sz="4" w:space="0"/>
              <w:right w:val="single" w:color="auto" w:sz="4" w:space="0"/>
            </w:tcBorders>
            <w:noWrap w:val="0"/>
            <w:vAlign w:val="center"/>
          </w:tcPr>
          <w:p w14:paraId="4CF98EB9">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17.6.1</w:t>
            </w:r>
          </w:p>
        </w:tc>
        <w:tc>
          <w:tcPr>
            <w:tcW w:w="6990" w:type="dxa"/>
            <w:tcBorders>
              <w:top w:val="single" w:color="auto" w:sz="4" w:space="0"/>
              <w:left w:val="single" w:color="auto" w:sz="4" w:space="0"/>
              <w:bottom w:val="single" w:color="auto" w:sz="4" w:space="0"/>
            </w:tcBorders>
            <w:noWrap w:val="0"/>
            <w:vAlign w:val="center"/>
          </w:tcPr>
          <w:p w14:paraId="543EB305">
            <w:pPr>
              <w:rPr>
                <w:rFonts w:ascii="宋体" w:hAnsi="Calibri" w:cs="宋体"/>
                <w:color w:val="auto"/>
                <w:sz w:val="24"/>
                <w:highlight w:val="none"/>
                <w:lang w:val="zh-CN"/>
              </w:rPr>
            </w:pPr>
            <w:r>
              <w:rPr>
                <w:rFonts w:hint="eastAsia" w:ascii="宋体" w:hAnsi="宋体" w:cs="宋体"/>
                <w:color w:val="auto"/>
                <w:sz w:val="24"/>
                <w:highlight w:val="none"/>
                <w:lang w:val="zh-CN"/>
              </w:rPr>
              <w:t>承包人向监理人提交最终结清申请单（包括相关证明材料）的份数：</w:t>
            </w:r>
            <w:r>
              <w:rPr>
                <w:rFonts w:ascii="宋体" w:hAnsi="宋体" w:cs="宋体"/>
                <w:color w:val="auto"/>
                <w:sz w:val="24"/>
                <w:highlight w:val="none"/>
                <w:lang w:val="zh-CN"/>
              </w:rPr>
              <w:t xml:space="preserve"> 5 </w:t>
            </w:r>
            <w:r>
              <w:rPr>
                <w:rFonts w:hint="eastAsia" w:ascii="宋体" w:hAnsi="宋体" w:cs="宋体"/>
                <w:color w:val="auto"/>
                <w:sz w:val="24"/>
                <w:highlight w:val="none"/>
                <w:lang w:val="zh-CN"/>
              </w:rPr>
              <w:t>份</w:t>
            </w:r>
          </w:p>
        </w:tc>
      </w:tr>
      <w:tr w14:paraId="7E51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6" w:type="dxa"/>
            <w:tcBorders>
              <w:top w:val="single" w:color="auto" w:sz="4" w:space="0"/>
              <w:bottom w:val="single" w:color="auto" w:sz="4" w:space="0"/>
              <w:right w:val="single" w:color="auto" w:sz="4" w:space="0"/>
            </w:tcBorders>
            <w:noWrap w:val="0"/>
            <w:vAlign w:val="center"/>
          </w:tcPr>
          <w:p w14:paraId="50BB566F">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19</w:t>
            </w:r>
          </w:p>
        </w:tc>
        <w:tc>
          <w:tcPr>
            <w:tcW w:w="1444" w:type="dxa"/>
            <w:tcBorders>
              <w:top w:val="single" w:color="auto" w:sz="4" w:space="0"/>
              <w:bottom w:val="single" w:color="auto" w:sz="4" w:space="0"/>
              <w:right w:val="single" w:color="auto" w:sz="4" w:space="0"/>
            </w:tcBorders>
            <w:noWrap w:val="0"/>
            <w:vAlign w:val="center"/>
          </w:tcPr>
          <w:p w14:paraId="6D2D52CC">
            <w:pPr>
              <w:autoSpaceDE w:val="0"/>
              <w:autoSpaceDN w:val="0"/>
              <w:adjustRightInd w:val="0"/>
              <w:spacing w:line="360" w:lineRule="auto"/>
              <w:jc w:val="center"/>
              <w:rPr>
                <w:rFonts w:ascii="宋体" w:hAnsi="宋体" w:cs="宋体"/>
                <w:color w:val="auto"/>
                <w:sz w:val="24"/>
                <w:highlight w:val="none"/>
                <w:lang w:val="zh-CN"/>
              </w:rPr>
            </w:pPr>
            <w:r>
              <w:rPr>
                <w:rFonts w:ascii="宋体" w:hAnsi="宋体" w:cs="宋体"/>
                <w:color w:val="auto"/>
                <w:sz w:val="24"/>
                <w:highlight w:val="none"/>
                <w:lang w:val="zh-CN"/>
              </w:rPr>
              <w:t>18.2</w:t>
            </w:r>
          </w:p>
        </w:tc>
        <w:tc>
          <w:tcPr>
            <w:tcW w:w="6990" w:type="dxa"/>
            <w:tcBorders>
              <w:top w:val="single" w:color="auto" w:sz="4" w:space="0"/>
              <w:left w:val="single" w:color="auto" w:sz="4" w:space="0"/>
              <w:bottom w:val="single" w:color="auto" w:sz="4" w:space="0"/>
            </w:tcBorders>
            <w:noWrap w:val="0"/>
            <w:vAlign w:val="center"/>
          </w:tcPr>
          <w:p w14:paraId="09508CE4">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竣工资料的份数：</w:t>
            </w:r>
            <w:r>
              <w:rPr>
                <w:rFonts w:ascii="宋体" w:hAnsi="宋体" w:cs="宋体"/>
                <w:color w:val="auto"/>
                <w:sz w:val="24"/>
                <w:highlight w:val="none"/>
                <w:lang w:val="zh-CN"/>
              </w:rPr>
              <w:t>4</w:t>
            </w:r>
            <w:r>
              <w:rPr>
                <w:rFonts w:hint="eastAsia" w:ascii="宋体" w:hAnsi="宋体" w:cs="宋体"/>
                <w:color w:val="auto"/>
                <w:sz w:val="24"/>
                <w:highlight w:val="none"/>
                <w:lang w:val="zh-CN"/>
              </w:rPr>
              <w:t>份</w:t>
            </w:r>
          </w:p>
        </w:tc>
      </w:tr>
      <w:tr w14:paraId="1CA66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6" w:type="dxa"/>
            <w:tcBorders>
              <w:top w:val="single" w:color="auto" w:sz="4" w:space="0"/>
              <w:bottom w:val="single" w:color="auto" w:sz="4" w:space="0"/>
              <w:right w:val="single" w:color="auto" w:sz="4" w:space="0"/>
            </w:tcBorders>
            <w:noWrap w:val="0"/>
            <w:vAlign w:val="center"/>
          </w:tcPr>
          <w:p w14:paraId="5A178AFD">
            <w:pPr>
              <w:autoSpaceDE w:val="0"/>
              <w:autoSpaceDN w:val="0"/>
              <w:adjustRightInd w:val="0"/>
              <w:spacing w:line="360" w:lineRule="auto"/>
              <w:jc w:val="center"/>
              <w:rPr>
                <w:rFonts w:ascii="宋体" w:hAnsi="宋体" w:cs="宋体"/>
                <w:color w:val="auto"/>
                <w:sz w:val="24"/>
                <w:highlight w:val="none"/>
              </w:rPr>
            </w:pPr>
            <w:r>
              <w:rPr>
                <w:rFonts w:ascii="宋体" w:hAnsi="宋体" w:cs="宋体"/>
                <w:color w:val="auto"/>
                <w:sz w:val="24"/>
                <w:highlight w:val="none"/>
              </w:rPr>
              <w:t>20</w:t>
            </w:r>
          </w:p>
        </w:tc>
        <w:tc>
          <w:tcPr>
            <w:tcW w:w="1444" w:type="dxa"/>
            <w:tcBorders>
              <w:top w:val="single" w:color="auto" w:sz="4" w:space="0"/>
              <w:bottom w:val="single" w:color="auto" w:sz="4" w:space="0"/>
              <w:right w:val="single" w:color="auto" w:sz="4" w:space="0"/>
            </w:tcBorders>
            <w:noWrap w:val="0"/>
            <w:vAlign w:val="center"/>
          </w:tcPr>
          <w:p w14:paraId="3E1A1538">
            <w:pPr>
              <w:autoSpaceDE w:val="0"/>
              <w:autoSpaceDN w:val="0"/>
              <w:adjustRightInd w:val="0"/>
              <w:spacing w:line="360" w:lineRule="auto"/>
              <w:jc w:val="center"/>
              <w:rPr>
                <w:rFonts w:ascii="宋体" w:hAnsi="宋体" w:cs="宋体"/>
                <w:color w:val="auto"/>
                <w:sz w:val="24"/>
                <w:highlight w:val="none"/>
              </w:rPr>
            </w:pPr>
            <w:r>
              <w:rPr>
                <w:rFonts w:ascii="宋体" w:hAnsi="宋体" w:cs="宋体"/>
                <w:color w:val="auto"/>
                <w:sz w:val="24"/>
                <w:highlight w:val="none"/>
              </w:rPr>
              <w:t>19.7</w:t>
            </w:r>
          </w:p>
        </w:tc>
        <w:tc>
          <w:tcPr>
            <w:tcW w:w="6990" w:type="dxa"/>
            <w:tcBorders>
              <w:top w:val="single" w:color="auto" w:sz="4" w:space="0"/>
              <w:left w:val="single" w:color="auto" w:sz="4" w:space="0"/>
              <w:bottom w:val="single" w:color="auto" w:sz="4" w:space="0"/>
            </w:tcBorders>
            <w:noWrap w:val="0"/>
            <w:vAlign w:val="center"/>
          </w:tcPr>
          <w:p w14:paraId="624E22F6">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保修期</w:t>
            </w:r>
            <w:r>
              <w:rPr>
                <w:rFonts w:ascii="宋体" w:hAnsi="宋体" w:cs="宋体"/>
                <w:color w:val="auto"/>
                <w:sz w:val="24"/>
                <w:highlight w:val="none"/>
                <w:u w:val="single"/>
              </w:rPr>
              <w:t xml:space="preserve">  1  </w:t>
            </w:r>
            <w:r>
              <w:rPr>
                <w:rFonts w:hint="eastAsia" w:ascii="宋体" w:hAnsi="宋体" w:cs="宋体"/>
                <w:color w:val="auto"/>
                <w:sz w:val="24"/>
                <w:highlight w:val="none"/>
              </w:rPr>
              <w:t>年</w:t>
            </w:r>
          </w:p>
        </w:tc>
      </w:tr>
    </w:tbl>
    <w:p w14:paraId="185CED60">
      <w:pPr>
        <w:rPr>
          <w:rFonts w:ascii="宋体" w:hAnsi="Calibri"/>
          <w:b/>
          <w:color w:val="auto"/>
          <w:kern w:val="44"/>
          <w:sz w:val="24"/>
          <w:highlight w:val="none"/>
        </w:rPr>
      </w:pPr>
    </w:p>
    <w:p w14:paraId="24F8EF76">
      <w:pPr>
        <w:ind w:firstLine="3842" w:firstLineChars="1600"/>
        <w:rPr>
          <w:rFonts w:ascii="宋体" w:hAnsi="Calibri"/>
          <w:b/>
          <w:color w:val="auto"/>
          <w:kern w:val="44"/>
          <w:sz w:val="24"/>
          <w:highlight w:val="none"/>
        </w:rPr>
      </w:pPr>
    </w:p>
    <w:p w14:paraId="7F4E9349">
      <w:pPr>
        <w:ind w:firstLine="3842" w:firstLineChars="1600"/>
        <w:rPr>
          <w:rFonts w:ascii="宋体" w:hAnsi="Calibri"/>
          <w:b/>
          <w:color w:val="auto"/>
          <w:kern w:val="44"/>
          <w:sz w:val="24"/>
          <w:highlight w:val="none"/>
        </w:rPr>
      </w:pPr>
    </w:p>
    <w:p w14:paraId="5A6BDB75">
      <w:pPr>
        <w:ind w:firstLine="3842" w:firstLineChars="1600"/>
        <w:rPr>
          <w:rFonts w:ascii="宋体" w:hAnsi="Calibri"/>
          <w:b/>
          <w:color w:val="auto"/>
          <w:kern w:val="44"/>
          <w:sz w:val="24"/>
          <w:highlight w:val="none"/>
        </w:rPr>
      </w:pPr>
    </w:p>
    <w:p w14:paraId="2748E85E">
      <w:pPr>
        <w:ind w:firstLine="3842" w:firstLineChars="1600"/>
        <w:rPr>
          <w:rFonts w:ascii="宋体" w:hAnsi="Calibri"/>
          <w:b/>
          <w:color w:val="auto"/>
          <w:kern w:val="44"/>
          <w:sz w:val="24"/>
          <w:highlight w:val="none"/>
        </w:rPr>
      </w:pPr>
    </w:p>
    <w:p w14:paraId="334DB808">
      <w:pPr>
        <w:pStyle w:val="7"/>
        <w:rPr>
          <w:color w:val="auto"/>
          <w:highlight w:val="none"/>
        </w:rPr>
      </w:pPr>
    </w:p>
    <w:p w14:paraId="58764400">
      <w:pPr>
        <w:ind w:firstLine="3842" w:firstLineChars="1600"/>
        <w:rPr>
          <w:rFonts w:ascii="宋体" w:hAnsi="Calibri"/>
          <w:b/>
          <w:color w:val="auto"/>
          <w:kern w:val="44"/>
          <w:sz w:val="24"/>
          <w:highlight w:val="none"/>
        </w:rPr>
      </w:pPr>
      <w:r>
        <w:rPr>
          <w:rFonts w:hint="eastAsia" w:ascii="宋体" w:hAnsi="宋体"/>
          <w:b/>
          <w:color w:val="auto"/>
          <w:kern w:val="44"/>
          <w:sz w:val="24"/>
          <w:highlight w:val="none"/>
        </w:rPr>
        <w:t>项目专用合同条款</w:t>
      </w:r>
    </w:p>
    <w:p w14:paraId="1903CE8D">
      <w:pPr>
        <w:ind w:firstLine="3842" w:firstLineChars="1600"/>
        <w:rPr>
          <w:rFonts w:ascii="宋体" w:hAnsi="Calibri"/>
          <w:b/>
          <w:color w:val="auto"/>
          <w:kern w:val="44"/>
          <w:sz w:val="24"/>
          <w:highlight w:val="none"/>
        </w:rPr>
      </w:pPr>
    </w:p>
    <w:p w14:paraId="2417B715">
      <w:pPr>
        <w:rPr>
          <w:rFonts w:ascii="宋体" w:hAnsi="Calibri"/>
          <w:b/>
          <w:color w:val="auto"/>
          <w:kern w:val="44"/>
          <w:sz w:val="24"/>
          <w:highlight w:val="none"/>
        </w:rPr>
      </w:pPr>
      <w:r>
        <w:rPr>
          <w:rFonts w:hint="eastAsia" w:ascii="宋体" w:hAnsi="宋体" w:cs="黑体"/>
          <w:color w:val="auto"/>
          <w:sz w:val="24"/>
          <w:highlight w:val="none"/>
          <w:lang w:val="zh-CN"/>
        </w:rPr>
        <w:t>说明：本部分所列的项目专用合同条款是对“公路工程专用合同条款”中规定必须在项目专用合同条款中明确的内容的集中，采购人编制的“项目专用合同条款”不限于本部分所列内容。</w:t>
      </w:r>
    </w:p>
    <w:p w14:paraId="5812E1E5">
      <w:pPr>
        <w:spacing w:line="40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履约担保</w:t>
      </w:r>
    </w:p>
    <w:p w14:paraId="11AECF54">
      <w:pPr>
        <w:spacing w:line="400" w:lineRule="exact"/>
        <w:ind w:firstLine="480" w:firstLineChars="200"/>
        <w:jc w:val="left"/>
        <w:rPr>
          <w:rFonts w:ascii="宋体" w:hAnsi="Calibri"/>
          <w:bCs/>
          <w:color w:val="auto"/>
          <w:sz w:val="24"/>
          <w:highlight w:val="none"/>
          <w:lang w:val="zh-CN"/>
        </w:rPr>
      </w:pPr>
      <w:r>
        <w:rPr>
          <w:rFonts w:hint="eastAsia" w:ascii="Calibri" w:hAnsi="Calibri"/>
          <w:color w:val="auto"/>
          <w:sz w:val="24"/>
          <w:highlight w:val="none"/>
        </w:rPr>
        <w:t>本工程履约担保采用</w:t>
      </w:r>
      <w:r>
        <w:rPr>
          <w:rFonts w:hint="eastAsia" w:ascii="宋体" w:hAnsi="宋体"/>
          <w:bCs/>
          <w:color w:val="auto"/>
          <w:sz w:val="24"/>
          <w:highlight w:val="none"/>
        </w:rPr>
        <w:t>基本帐户以转账或电汇方式支付，担保金额为中标金额的</w:t>
      </w:r>
      <w:r>
        <w:rPr>
          <w:rFonts w:ascii="宋体" w:hAnsi="宋体"/>
          <w:bCs/>
          <w:color w:val="auto"/>
          <w:sz w:val="24"/>
          <w:highlight w:val="none"/>
        </w:rPr>
        <w:t>5%</w:t>
      </w:r>
      <w:r>
        <w:rPr>
          <w:rFonts w:hint="eastAsia" w:ascii="宋体" w:hAnsi="宋体"/>
          <w:bCs/>
          <w:color w:val="auto"/>
          <w:sz w:val="24"/>
          <w:highlight w:val="none"/>
        </w:rPr>
        <w:t>，发包人在工程竣工验收合格并签发</w:t>
      </w:r>
      <w:r>
        <w:rPr>
          <w:rFonts w:hint="eastAsia" w:ascii="宋体" w:hAnsi="宋体"/>
          <w:color w:val="auto"/>
          <w:sz w:val="24"/>
          <w:highlight w:val="none"/>
        </w:rPr>
        <w:t>工程接收交工验收证书之日</w:t>
      </w:r>
      <w:r>
        <w:rPr>
          <w:rFonts w:hint="eastAsia" w:ascii="宋体" w:hAnsi="宋体"/>
          <w:bCs/>
          <w:color w:val="auto"/>
          <w:sz w:val="24"/>
          <w:highlight w:val="none"/>
        </w:rPr>
        <w:t>起</w:t>
      </w:r>
      <w:r>
        <w:rPr>
          <w:rFonts w:ascii="宋体" w:hAnsi="宋体"/>
          <w:bCs/>
          <w:color w:val="auto"/>
          <w:sz w:val="24"/>
          <w:highlight w:val="none"/>
        </w:rPr>
        <w:t>28</w:t>
      </w:r>
      <w:r>
        <w:rPr>
          <w:rFonts w:hint="eastAsia" w:ascii="宋体" w:hAnsi="宋体"/>
          <w:bCs/>
          <w:color w:val="auto"/>
          <w:sz w:val="24"/>
          <w:highlight w:val="none"/>
        </w:rPr>
        <w:t>天内把履约保证金退还承包人</w:t>
      </w:r>
      <w:r>
        <w:rPr>
          <w:rFonts w:hint="eastAsia" w:ascii="宋体" w:hAnsi="宋体"/>
          <w:bCs/>
          <w:color w:val="auto"/>
          <w:sz w:val="24"/>
          <w:highlight w:val="none"/>
          <w:lang w:val="zh-CN"/>
        </w:rPr>
        <w:t>。</w:t>
      </w:r>
    </w:p>
    <w:p w14:paraId="2219ACF9">
      <w:pPr>
        <w:spacing w:line="400" w:lineRule="exact"/>
        <w:ind w:firstLine="465" w:firstLineChars="194"/>
        <w:rPr>
          <w:rFonts w:ascii="宋体" w:hAnsi="Calibri" w:cs="黑体"/>
          <w:color w:val="auto"/>
          <w:sz w:val="24"/>
          <w:highlight w:val="none"/>
          <w:lang w:val="zh-CN"/>
        </w:rPr>
      </w:pPr>
      <w:r>
        <w:rPr>
          <w:rFonts w:ascii="宋体" w:hAnsi="宋体" w:cs="黑体"/>
          <w:color w:val="auto"/>
          <w:sz w:val="24"/>
          <w:highlight w:val="none"/>
          <w:lang w:val="zh-CN"/>
        </w:rPr>
        <w:t>4.3</w:t>
      </w:r>
      <w:r>
        <w:rPr>
          <w:rFonts w:hint="eastAsia" w:ascii="宋体" w:hAnsi="宋体" w:cs="黑体"/>
          <w:color w:val="auto"/>
          <w:sz w:val="24"/>
          <w:highlight w:val="none"/>
          <w:lang w:val="zh-CN"/>
        </w:rPr>
        <w:t>删去公路工程专用合同条款原文</w:t>
      </w:r>
      <w:r>
        <w:rPr>
          <w:rFonts w:ascii="宋体" w:hAnsi="Calibri" w:cs="黑体"/>
          <w:color w:val="auto"/>
          <w:sz w:val="24"/>
          <w:highlight w:val="none"/>
          <w:lang w:val="zh-CN"/>
        </w:rPr>
        <w:t>,</w:t>
      </w:r>
      <w:r>
        <w:rPr>
          <w:rFonts w:hint="eastAsia" w:ascii="宋体" w:hAnsi="宋体" w:cs="黑体"/>
          <w:color w:val="auto"/>
          <w:sz w:val="24"/>
          <w:highlight w:val="none"/>
          <w:lang w:val="zh-CN"/>
        </w:rPr>
        <w:t>以下文代替</w:t>
      </w:r>
      <w:r>
        <w:rPr>
          <w:rFonts w:ascii="宋体" w:hAnsi="宋体" w:cs="黑体"/>
          <w:color w:val="auto"/>
          <w:sz w:val="24"/>
          <w:highlight w:val="none"/>
          <w:lang w:val="zh-CN"/>
        </w:rPr>
        <w:t>:</w:t>
      </w:r>
      <w:r>
        <w:rPr>
          <w:rFonts w:hint="eastAsia" w:ascii="宋体" w:hAnsi="宋体" w:cs="黑体"/>
          <w:color w:val="auto"/>
          <w:sz w:val="24"/>
          <w:highlight w:val="none"/>
          <w:lang w:val="zh-CN"/>
        </w:rPr>
        <w:t>本合同工程不准分包</w:t>
      </w:r>
      <w:r>
        <w:rPr>
          <w:rFonts w:ascii="宋体" w:hAnsi="Calibri" w:cs="黑体"/>
          <w:color w:val="auto"/>
          <w:sz w:val="24"/>
          <w:highlight w:val="none"/>
          <w:lang w:val="zh-CN"/>
        </w:rPr>
        <w:t>.</w:t>
      </w:r>
    </w:p>
    <w:p w14:paraId="0F2108AF">
      <w:pPr>
        <w:spacing w:line="400" w:lineRule="exact"/>
        <w:ind w:firstLine="465" w:firstLineChars="194"/>
        <w:rPr>
          <w:rFonts w:ascii="宋体" w:hAnsi="Calibri" w:cs="黑体"/>
          <w:color w:val="auto"/>
          <w:sz w:val="24"/>
          <w:highlight w:val="none"/>
          <w:lang w:val="zh-CN"/>
        </w:rPr>
      </w:pPr>
      <w:r>
        <w:rPr>
          <w:rFonts w:hint="eastAsia" w:ascii="宋体" w:hAnsi="宋体" w:cs="黑体"/>
          <w:color w:val="auto"/>
          <w:sz w:val="24"/>
          <w:highlight w:val="none"/>
          <w:lang w:val="zh-CN"/>
        </w:rPr>
        <w:t>保证承包人人员的合法权益</w:t>
      </w:r>
    </w:p>
    <w:p w14:paraId="34300A92">
      <w:pPr>
        <w:spacing w:line="400" w:lineRule="exact"/>
        <w:ind w:firstLine="465" w:firstLineChars="194"/>
        <w:rPr>
          <w:rFonts w:ascii="宋体" w:hAnsi="Calibri" w:cs="黑体"/>
          <w:color w:val="auto"/>
          <w:sz w:val="24"/>
          <w:highlight w:val="none"/>
          <w:lang w:val="zh-CN"/>
        </w:rPr>
      </w:pPr>
      <w:r>
        <w:rPr>
          <w:rFonts w:ascii="宋体" w:hAnsi="宋体" w:cs="黑体"/>
          <w:color w:val="auto"/>
          <w:sz w:val="24"/>
          <w:highlight w:val="none"/>
          <w:lang w:val="zh-CN"/>
        </w:rPr>
        <w:t>4.8.7(</w:t>
      </w:r>
      <w:r>
        <w:rPr>
          <w:rFonts w:hint="eastAsia" w:ascii="宋体" w:hAnsi="宋体" w:cs="黑体"/>
          <w:color w:val="auto"/>
          <w:sz w:val="24"/>
          <w:highlight w:val="none"/>
          <w:lang w:val="zh-CN"/>
        </w:rPr>
        <w:t>增加</w:t>
      </w:r>
      <w:r>
        <w:rPr>
          <w:rFonts w:ascii="宋体" w:hAnsi="宋体" w:cs="黑体"/>
          <w:color w:val="auto"/>
          <w:sz w:val="24"/>
          <w:highlight w:val="none"/>
          <w:lang w:val="zh-CN"/>
        </w:rPr>
        <w:t>)</w:t>
      </w:r>
      <w:r>
        <w:rPr>
          <w:rFonts w:hint="eastAsia" w:ascii="宋体" w:hAnsi="宋体" w:cs="黑体"/>
          <w:color w:val="auto"/>
          <w:sz w:val="24"/>
          <w:highlight w:val="none"/>
          <w:lang w:val="zh-CN"/>
        </w:rPr>
        <w:t>：严格劳动用工制度，切实维护农民工的合法权益。加强配合交通主管部门和发包人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发包人将依法予以严肃处理。</w:t>
      </w:r>
    </w:p>
    <w:p w14:paraId="74416B78">
      <w:pPr>
        <w:spacing w:line="400" w:lineRule="exact"/>
        <w:ind w:firstLine="465" w:firstLineChars="194"/>
        <w:rPr>
          <w:rFonts w:ascii="宋体" w:hAnsi="Calibri" w:cs="黑体"/>
          <w:color w:val="auto"/>
          <w:sz w:val="24"/>
          <w:highlight w:val="none"/>
          <w:lang w:val="zh-CN"/>
        </w:rPr>
      </w:pPr>
      <w:r>
        <w:rPr>
          <w:rFonts w:hint="eastAsia" w:ascii="宋体" w:hAnsi="宋体" w:cs="黑体"/>
          <w:color w:val="auto"/>
          <w:sz w:val="24"/>
          <w:highlight w:val="none"/>
          <w:lang w:val="zh-CN"/>
        </w:rPr>
        <w:t>承包人必须实行工资支付担保制度、工资支付公示制度等措施，由交通主管部门和发包人对承包人进行监管，确保农民工工资按时足额发放。</w:t>
      </w:r>
      <w:r>
        <w:rPr>
          <w:rFonts w:hint="eastAsia" w:ascii="宋体" w:hAnsi="宋体" w:cs="黑体"/>
          <w:color w:val="auto"/>
          <w:sz w:val="24"/>
          <w:highlight w:val="none"/>
        </w:rPr>
        <w:t>施工单位应在签订合同10日内，开设农民工工资保障金专用账户，按合同中标金额2%存入农民工保障金专用账户，并与项目业主、项目所在地劳动监察大队及开户银行签订三方监管协议</w:t>
      </w:r>
      <w:r>
        <w:rPr>
          <w:rFonts w:hint="eastAsia" w:ascii="宋体" w:hAnsi="宋体" w:cs="黑体"/>
          <w:color w:val="auto"/>
          <w:sz w:val="24"/>
          <w:highlight w:val="none"/>
          <w:lang w:val="zh-CN"/>
        </w:rPr>
        <w:t>，等工程完工后进行完工公示</w:t>
      </w:r>
      <w:r>
        <w:rPr>
          <w:rFonts w:ascii="宋体" w:hAnsi="宋体" w:cs="黑体"/>
          <w:color w:val="auto"/>
          <w:sz w:val="24"/>
          <w:highlight w:val="none"/>
          <w:lang w:val="zh-CN"/>
        </w:rPr>
        <w:t>15</w:t>
      </w:r>
      <w:r>
        <w:rPr>
          <w:rFonts w:hint="eastAsia" w:ascii="宋体" w:hAnsi="宋体" w:cs="黑体"/>
          <w:color w:val="auto"/>
          <w:sz w:val="24"/>
          <w:highlight w:val="none"/>
          <w:lang w:val="zh-CN"/>
        </w:rPr>
        <w:t>天，确定无拖欠民工工资后，一次性退还承包人。</w:t>
      </w:r>
    </w:p>
    <w:p w14:paraId="30432FFE">
      <w:pPr>
        <w:spacing w:line="400" w:lineRule="exact"/>
        <w:ind w:firstLine="200"/>
        <w:rPr>
          <w:rFonts w:ascii="宋体" w:hAnsi="Calibri" w:cs="黑体"/>
          <w:color w:val="auto"/>
          <w:sz w:val="24"/>
          <w:highlight w:val="none"/>
          <w:lang w:val="zh-CN"/>
        </w:rPr>
      </w:pPr>
      <w:r>
        <w:rPr>
          <w:rFonts w:hint="eastAsia" w:ascii="宋体" w:hAnsi="宋体" w:cs="黑体"/>
          <w:color w:val="auto"/>
          <w:sz w:val="24"/>
          <w:highlight w:val="none"/>
          <w:lang w:val="zh-CN"/>
        </w:rPr>
        <w:t>规范劳务用工行为。严禁无劳务资质的分包人承接劳务分包作业。承包人不得招用零散的劳务人员或使用无资质的劳务队伍。承包人进行劳务作业分包，须经监理工程师批准，劳务合同及农民工名册必须报发包人备案。</w:t>
      </w:r>
    </w:p>
    <w:p w14:paraId="6CAB844D">
      <w:pPr>
        <w:spacing w:line="400" w:lineRule="exact"/>
        <w:ind w:firstLine="200"/>
        <w:rPr>
          <w:rFonts w:ascii="宋体" w:hAnsi="Calibri" w:cs="黑体"/>
          <w:color w:val="auto"/>
          <w:sz w:val="24"/>
          <w:highlight w:val="none"/>
          <w:lang w:val="zh-CN"/>
        </w:rPr>
      </w:pPr>
      <w:r>
        <w:rPr>
          <w:rFonts w:hint="eastAsia" w:ascii="宋体" w:hAnsi="宋体" w:cs="黑体"/>
          <w:color w:val="auto"/>
          <w:sz w:val="24"/>
          <w:highlight w:val="none"/>
          <w:lang w:val="zh-CN"/>
        </w:rPr>
        <w:t>承包人应确保劳务人员的合法收入及时、足额发放，以避免由于承包人与其直接或间接雇佣的劳务人员的经济纠纷引起工程部分或全部进度受阻、质量受影响。承包人对此表现出管理力度不足时，监理工程师有权干预，对承包人提出警告、部分或全部停工整顿等，避免事态进一步发展，并提出处理意见报发包人，发包人有权依据其劳务人员提供的有效证明代支付相关劳务费，并在当月的计量支付中扣回相关费用。</w:t>
      </w:r>
    </w:p>
    <w:p w14:paraId="38C0375B">
      <w:pPr>
        <w:spacing w:line="400" w:lineRule="exact"/>
        <w:ind w:left="1440" w:leftChars="57" w:hanging="1320" w:hangingChars="550"/>
        <w:rPr>
          <w:rFonts w:ascii="宋体" w:hAnsi="Calibri" w:cs="黑体"/>
          <w:color w:val="auto"/>
          <w:sz w:val="24"/>
          <w:highlight w:val="none"/>
          <w:lang w:val="zh-CN"/>
        </w:rPr>
      </w:pPr>
      <w:r>
        <w:rPr>
          <w:rFonts w:hint="eastAsia" w:ascii="宋体" w:hAnsi="宋体" w:cs="黑体"/>
          <w:color w:val="auto"/>
          <w:sz w:val="24"/>
          <w:highlight w:val="none"/>
          <w:lang w:val="zh-CN"/>
        </w:rPr>
        <w:t>工程资金应专款专用</w:t>
      </w:r>
    </w:p>
    <w:p w14:paraId="2C869597">
      <w:pPr>
        <w:spacing w:line="400" w:lineRule="exact"/>
        <w:ind w:left="900" w:hanging="900" w:hangingChars="375"/>
        <w:rPr>
          <w:rFonts w:ascii="宋体" w:hAnsi="Calibri" w:cs="黑体"/>
          <w:color w:val="auto"/>
          <w:sz w:val="24"/>
          <w:highlight w:val="none"/>
          <w:lang w:val="zh-CN"/>
        </w:rPr>
      </w:pPr>
      <w:r>
        <w:rPr>
          <w:rFonts w:ascii="宋体" w:hAnsi="宋体" w:cs="黑体"/>
          <w:color w:val="auto"/>
          <w:sz w:val="24"/>
          <w:highlight w:val="none"/>
          <w:lang w:val="zh-CN"/>
        </w:rPr>
        <w:t>4.9</w:t>
      </w:r>
      <w:r>
        <w:rPr>
          <w:rFonts w:hint="eastAsia" w:ascii="宋体" w:hAnsi="宋体" w:cs="黑体"/>
          <w:color w:val="auto"/>
          <w:sz w:val="24"/>
          <w:highlight w:val="none"/>
          <w:lang w:val="zh-CN"/>
        </w:rPr>
        <w:t>在原条款末增加：</w:t>
      </w:r>
    </w:p>
    <w:p w14:paraId="7C014EB2">
      <w:pPr>
        <w:spacing w:line="360" w:lineRule="exact"/>
        <w:ind w:firstLine="200"/>
        <w:rPr>
          <w:rFonts w:ascii="宋体" w:hAnsi="Calibri" w:cs="黑体"/>
          <w:color w:val="auto"/>
          <w:sz w:val="24"/>
          <w:highlight w:val="none"/>
          <w:lang w:val="zh-CN"/>
        </w:rPr>
      </w:pPr>
      <w:r>
        <w:rPr>
          <w:rFonts w:hint="eastAsia" w:ascii="宋体" w:hAnsi="宋体" w:cs="黑体"/>
          <w:color w:val="auto"/>
          <w:sz w:val="24"/>
          <w:highlight w:val="none"/>
          <w:lang w:val="zh-CN"/>
        </w:rPr>
        <w:t>（</w:t>
      </w:r>
      <w:r>
        <w:rPr>
          <w:rFonts w:ascii="宋体" w:hAnsi="宋体" w:cs="黑体"/>
          <w:color w:val="auto"/>
          <w:sz w:val="24"/>
          <w:highlight w:val="none"/>
          <w:lang w:val="zh-CN"/>
        </w:rPr>
        <w:t>1</w:t>
      </w:r>
      <w:r>
        <w:rPr>
          <w:rFonts w:hint="eastAsia" w:ascii="宋体" w:hAnsi="宋体" w:cs="黑体"/>
          <w:color w:val="auto"/>
          <w:sz w:val="24"/>
          <w:highlight w:val="none"/>
          <w:lang w:val="zh-CN"/>
        </w:rPr>
        <w:t>）凡不在发包人指定银行开户的承包人，发包人将不对其支付任何款项。根据中国人民银行有关规定，每个承包人只能在发包人指定的银行开立一个结算帐户，不允许多头开户。</w:t>
      </w:r>
    </w:p>
    <w:p w14:paraId="79CDDF69">
      <w:pPr>
        <w:autoSpaceDE w:val="0"/>
        <w:autoSpaceDN w:val="0"/>
        <w:adjustRightInd w:val="0"/>
        <w:spacing w:line="360" w:lineRule="auto"/>
        <w:rPr>
          <w:rFonts w:ascii="宋体" w:hAnsi="Calibri" w:cs="宋体"/>
          <w:color w:val="auto"/>
          <w:sz w:val="24"/>
          <w:highlight w:val="none"/>
          <w:lang w:val="zh-CN"/>
        </w:rPr>
      </w:pPr>
      <w:r>
        <w:rPr>
          <w:rFonts w:ascii="宋体" w:hAnsi="宋体" w:cs="宋体"/>
          <w:color w:val="auto"/>
          <w:sz w:val="24"/>
          <w:highlight w:val="none"/>
          <w:lang w:val="zh-CN"/>
        </w:rPr>
        <w:t>6.3</w:t>
      </w:r>
      <w:r>
        <w:rPr>
          <w:rFonts w:hint="eastAsia" w:ascii="宋体" w:hAnsi="宋体" w:cs="宋体"/>
          <w:color w:val="auto"/>
          <w:sz w:val="24"/>
          <w:highlight w:val="none"/>
          <w:lang w:val="zh-CN"/>
        </w:rPr>
        <w:t>要求承包人增加或更换施工设备</w:t>
      </w:r>
    </w:p>
    <w:p w14:paraId="1440B629">
      <w:pPr>
        <w:autoSpaceDE w:val="0"/>
        <w:autoSpaceDN w:val="0"/>
        <w:adjustRightInd w:val="0"/>
        <w:spacing w:line="360" w:lineRule="auto"/>
        <w:rPr>
          <w:rFonts w:ascii="宋体" w:hAnsi="Calibri" w:cs="宋体"/>
          <w:color w:val="auto"/>
          <w:sz w:val="24"/>
          <w:highlight w:val="none"/>
          <w:lang w:val="zh-CN"/>
        </w:rPr>
      </w:pPr>
      <w:r>
        <w:rPr>
          <w:rFonts w:hint="eastAsia" w:ascii="宋体" w:hAnsi="宋体" w:cs="宋体"/>
          <w:color w:val="auto"/>
          <w:sz w:val="24"/>
          <w:highlight w:val="none"/>
          <w:lang w:val="zh-CN"/>
        </w:rPr>
        <w:t>本款细化为：</w:t>
      </w:r>
    </w:p>
    <w:p w14:paraId="604CA923">
      <w:pPr>
        <w:autoSpaceDE w:val="0"/>
        <w:autoSpaceDN w:val="0"/>
        <w:adjustRightInd w:val="0"/>
        <w:spacing w:line="360" w:lineRule="auto"/>
        <w:ind w:firstLine="420"/>
        <w:rPr>
          <w:rFonts w:ascii="宋体" w:hAnsi="Calibri" w:cs="宋体"/>
          <w:color w:val="auto"/>
          <w:sz w:val="24"/>
          <w:highlight w:val="none"/>
          <w:lang w:val="zh-CN"/>
        </w:rPr>
      </w:pPr>
      <w:r>
        <w:rPr>
          <w:rFonts w:hint="eastAsia" w:ascii="宋体" w:hAnsi="宋体" w:cs="宋体"/>
          <w:color w:val="auto"/>
          <w:sz w:val="24"/>
          <w:highlight w:val="none"/>
          <w:lang w:val="zh-CN"/>
        </w:rPr>
        <w:t>承包人应按合同进度计划的要求，及时配置施工设备和修建临时设施。进入施工场地的承包人设备需经监理人核查后才能投入使用。承包人更换合同约定的承包人设备的，应报监理人批准。承包人承诺的施工设备必须按时到达现场，不得拖延、缺短或任意更换。尽管承包人已按承诺提供了上述设备，但若承包人使用的施工设备不能满足合同进度计划和（或）质量要求时，发包人及监理人有权要求承包人增加或更换施工设备，承包人应及时增加或更换，由此增加的费用和（或）工期延误由承包人承担。若承包人拒不执行发包人或监理人指令，发包人有权按合同条约对承包人进行处罚。</w:t>
      </w:r>
    </w:p>
    <w:p w14:paraId="4C33C242">
      <w:pPr>
        <w:spacing w:line="360" w:lineRule="exact"/>
        <w:ind w:firstLine="200"/>
        <w:rPr>
          <w:rFonts w:ascii="宋体" w:hAnsi="Calibri" w:cs="黑体"/>
          <w:color w:val="auto"/>
          <w:sz w:val="24"/>
          <w:highlight w:val="none"/>
          <w:lang w:val="zh-CN"/>
        </w:rPr>
      </w:pPr>
      <w:r>
        <w:rPr>
          <w:rFonts w:hint="eastAsia" w:ascii="宋体" w:hAnsi="宋体" w:cs="黑体"/>
          <w:color w:val="auto"/>
          <w:sz w:val="24"/>
          <w:highlight w:val="none"/>
          <w:lang w:val="zh-CN"/>
        </w:rPr>
        <w:t>交通运输</w:t>
      </w:r>
    </w:p>
    <w:p w14:paraId="4D19B131">
      <w:pPr>
        <w:spacing w:line="360" w:lineRule="exact"/>
        <w:rPr>
          <w:rFonts w:ascii="宋体" w:hAnsi="Calibri" w:cs="黑体"/>
          <w:color w:val="auto"/>
          <w:sz w:val="24"/>
          <w:highlight w:val="none"/>
          <w:lang w:val="zh-CN"/>
        </w:rPr>
      </w:pPr>
      <w:r>
        <w:rPr>
          <w:rFonts w:ascii="宋体" w:hAnsi="宋体" w:cs="黑体"/>
          <w:color w:val="auto"/>
          <w:sz w:val="24"/>
          <w:highlight w:val="none"/>
          <w:lang w:val="zh-CN"/>
        </w:rPr>
        <w:t xml:space="preserve">7.4.1  </w:t>
      </w:r>
      <w:r>
        <w:rPr>
          <w:rFonts w:hint="eastAsia" w:ascii="宋体" w:hAnsi="宋体" w:cs="黑体"/>
          <w:color w:val="auto"/>
          <w:sz w:val="24"/>
          <w:highlight w:val="none"/>
          <w:lang w:val="zh-CN"/>
        </w:rPr>
        <w:t>交通堵塞的处罚（增加）</w:t>
      </w:r>
    </w:p>
    <w:p w14:paraId="0A6A3680">
      <w:pPr>
        <w:spacing w:line="36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w:t>
      </w:r>
      <w:r>
        <w:rPr>
          <w:rFonts w:ascii="宋体" w:hAnsi="宋体" w:cs="黑体"/>
          <w:color w:val="auto"/>
          <w:sz w:val="24"/>
          <w:highlight w:val="none"/>
          <w:lang w:val="zh-CN"/>
        </w:rPr>
        <w:t>1</w:t>
      </w:r>
      <w:r>
        <w:rPr>
          <w:rFonts w:hint="eastAsia" w:ascii="宋体" w:hAnsi="宋体" w:cs="黑体"/>
          <w:color w:val="auto"/>
          <w:sz w:val="24"/>
          <w:highlight w:val="none"/>
          <w:lang w:val="zh-CN"/>
        </w:rPr>
        <w:t>）承包人在施工过程中应对出现交通堵塞及时采取措施进行排除，对堵车采取措施不力的，由发包人和监理工程师采取措施所涉及的费用由承包人承担。</w:t>
      </w:r>
    </w:p>
    <w:p w14:paraId="04AA1F53">
      <w:pPr>
        <w:spacing w:line="36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w:t>
      </w:r>
      <w:r>
        <w:rPr>
          <w:rFonts w:ascii="宋体" w:hAnsi="宋体" w:cs="黑体"/>
          <w:color w:val="auto"/>
          <w:sz w:val="24"/>
          <w:highlight w:val="none"/>
          <w:lang w:val="zh-CN"/>
        </w:rPr>
        <w:t>2</w:t>
      </w:r>
      <w:r>
        <w:rPr>
          <w:rFonts w:hint="eastAsia" w:ascii="宋体" w:hAnsi="宋体" w:cs="黑体"/>
          <w:color w:val="auto"/>
          <w:sz w:val="24"/>
          <w:highlight w:val="none"/>
          <w:lang w:val="zh-CN"/>
        </w:rPr>
        <w:t>）对未经批准进行旧路开挖或填筑的，承包人应向发包人支付违约金，违约金每项次</w:t>
      </w:r>
      <w:r>
        <w:rPr>
          <w:rFonts w:ascii="宋体" w:hAnsi="宋体" w:cs="黑体"/>
          <w:color w:val="auto"/>
          <w:sz w:val="24"/>
          <w:highlight w:val="none"/>
          <w:lang w:val="zh-CN"/>
        </w:rPr>
        <w:t>2000</w:t>
      </w:r>
      <w:r>
        <w:rPr>
          <w:rFonts w:hint="eastAsia" w:ascii="宋体" w:hAnsi="宋体" w:cs="黑体"/>
          <w:color w:val="auto"/>
          <w:sz w:val="24"/>
          <w:highlight w:val="none"/>
          <w:lang w:val="zh-CN"/>
        </w:rPr>
        <w:t>元，并且发包人和监理工程师有权责令停工，恢复原良好的通车条件。</w:t>
      </w:r>
    </w:p>
    <w:p w14:paraId="5375AD57">
      <w:pPr>
        <w:spacing w:line="36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w:t>
      </w:r>
      <w:r>
        <w:rPr>
          <w:rFonts w:ascii="宋体" w:hAnsi="宋体" w:cs="黑体"/>
          <w:color w:val="auto"/>
          <w:sz w:val="24"/>
          <w:highlight w:val="none"/>
          <w:lang w:val="zh-CN"/>
        </w:rPr>
        <w:t>3</w:t>
      </w:r>
      <w:r>
        <w:rPr>
          <w:rFonts w:hint="eastAsia" w:ascii="宋体" w:hAnsi="宋体" w:cs="黑体"/>
          <w:color w:val="auto"/>
          <w:sz w:val="24"/>
          <w:highlight w:val="none"/>
          <w:lang w:val="zh-CN"/>
        </w:rPr>
        <w:t>）承包人在路基及路面基层施工过程中，必须保持交通畅通，如因承包人原因造成交通堵塞的损失由承包人承担。</w:t>
      </w:r>
    </w:p>
    <w:p w14:paraId="181EA2B6">
      <w:pPr>
        <w:spacing w:line="360" w:lineRule="exact"/>
        <w:ind w:firstLine="360" w:firstLineChars="150"/>
        <w:rPr>
          <w:rFonts w:ascii="宋体" w:hAnsi="Calibri" w:cs="黑体"/>
          <w:color w:val="auto"/>
          <w:sz w:val="24"/>
          <w:highlight w:val="none"/>
          <w:lang w:val="zh-CN"/>
        </w:rPr>
      </w:pPr>
      <w:r>
        <w:rPr>
          <w:rFonts w:hint="eastAsia" w:ascii="宋体" w:hAnsi="宋体" w:cs="黑体"/>
          <w:color w:val="auto"/>
          <w:sz w:val="24"/>
          <w:highlight w:val="none"/>
          <w:lang w:val="zh-CN"/>
        </w:rPr>
        <w:t>（</w:t>
      </w:r>
      <w:r>
        <w:rPr>
          <w:rFonts w:ascii="宋体" w:hAnsi="宋体" w:cs="黑体"/>
          <w:color w:val="auto"/>
          <w:sz w:val="24"/>
          <w:highlight w:val="none"/>
          <w:lang w:val="zh-CN"/>
        </w:rPr>
        <w:t>4</w:t>
      </w:r>
      <w:r>
        <w:rPr>
          <w:rFonts w:hint="eastAsia" w:ascii="宋体" w:hAnsi="宋体" w:cs="黑体"/>
          <w:color w:val="auto"/>
          <w:sz w:val="24"/>
          <w:highlight w:val="none"/>
          <w:lang w:val="zh-CN"/>
        </w:rPr>
        <w:t>）水泥混凝土面板封闭交通施工，须提前</w:t>
      </w:r>
      <w:r>
        <w:rPr>
          <w:rFonts w:ascii="宋体" w:hAnsi="宋体" w:cs="黑体"/>
          <w:color w:val="auto"/>
          <w:sz w:val="24"/>
          <w:highlight w:val="none"/>
          <w:lang w:val="zh-CN"/>
        </w:rPr>
        <w:t>7</w:t>
      </w:r>
      <w:r>
        <w:rPr>
          <w:rFonts w:hint="eastAsia" w:ascii="宋体" w:hAnsi="宋体" w:cs="黑体"/>
          <w:color w:val="auto"/>
          <w:sz w:val="24"/>
          <w:highlight w:val="none"/>
          <w:lang w:val="zh-CN"/>
        </w:rPr>
        <w:t>天报发包人和总监理工程师批准同意。</w:t>
      </w:r>
    </w:p>
    <w:p w14:paraId="5712FF6A">
      <w:pPr>
        <w:spacing w:line="360" w:lineRule="exact"/>
        <w:ind w:firstLine="460" w:firstLineChars="192"/>
        <w:rPr>
          <w:rFonts w:ascii="宋体" w:hAnsi="Calibri" w:cs="黑体"/>
          <w:color w:val="auto"/>
          <w:sz w:val="24"/>
          <w:highlight w:val="none"/>
          <w:lang w:val="zh-CN"/>
        </w:rPr>
      </w:pPr>
      <w:r>
        <w:rPr>
          <w:rFonts w:hint="eastAsia" w:ascii="宋体" w:hAnsi="宋体" w:cs="黑体"/>
          <w:color w:val="auto"/>
          <w:sz w:val="24"/>
          <w:highlight w:val="none"/>
          <w:lang w:val="zh-CN"/>
        </w:rPr>
        <w:t>价格调整</w:t>
      </w:r>
    </w:p>
    <w:p w14:paraId="3EF91C3B">
      <w:pPr>
        <w:spacing w:line="360" w:lineRule="exact"/>
        <w:ind w:firstLine="466" w:firstLineChars="194"/>
        <w:rPr>
          <w:rFonts w:ascii="宋体" w:hAnsi="Calibri" w:cs="黑体"/>
          <w:b/>
          <w:bCs/>
          <w:color w:val="auto"/>
          <w:sz w:val="24"/>
          <w:highlight w:val="none"/>
          <w:lang w:val="zh-CN"/>
        </w:rPr>
      </w:pPr>
      <w:r>
        <w:rPr>
          <w:rFonts w:ascii="宋体" w:hAnsi="宋体" w:cs="黑体"/>
          <w:b/>
          <w:bCs/>
          <w:color w:val="auto"/>
          <w:sz w:val="24"/>
          <w:highlight w:val="none"/>
          <w:lang w:val="zh-CN"/>
        </w:rPr>
        <w:t>17</w:t>
      </w:r>
      <w:r>
        <w:rPr>
          <w:rFonts w:hint="eastAsia" w:ascii="宋体" w:hAnsi="宋体" w:cs="黑体"/>
          <w:b/>
          <w:bCs/>
          <w:color w:val="auto"/>
          <w:sz w:val="24"/>
          <w:highlight w:val="none"/>
          <w:lang w:val="zh-CN"/>
        </w:rPr>
        <w:t>．</w:t>
      </w:r>
      <w:r>
        <w:rPr>
          <w:rFonts w:ascii="宋体" w:hAnsi="宋体" w:cs="黑体"/>
          <w:b/>
          <w:bCs/>
          <w:color w:val="auto"/>
          <w:sz w:val="24"/>
          <w:highlight w:val="none"/>
          <w:lang w:val="zh-CN"/>
        </w:rPr>
        <w:t>3</w:t>
      </w:r>
      <w:r>
        <w:rPr>
          <w:rFonts w:hint="eastAsia" w:ascii="宋体" w:hAnsi="宋体" w:cs="黑体"/>
          <w:b/>
          <w:bCs/>
          <w:color w:val="auto"/>
          <w:sz w:val="24"/>
          <w:highlight w:val="none"/>
          <w:lang w:val="zh-CN"/>
        </w:rPr>
        <w:t>工程进度付款</w:t>
      </w:r>
    </w:p>
    <w:p w14:paraId="61AD76D0">
      <w:pPr>
        <w:spacing w:line="360" w:lineRule="exact"/>
        <w:ind w:firstLine="466" w:firstLineChars="194"/>
        <w:rPr>
          <w:rFonts w:ascii="宋体" w:hAnsi="Calibri" w:cs="黑体"/>
          <w:b/>
          <w:bCs/>
          <w:color w:val="auto"/>
          <w:sz w:val="24"/>
          <w:highlight w:val="none"/>
          <w:lang w:val="zh-CN"/>
        </w:rPr>
      </w:pPr>
      <w:r>
        <w:rPr>
          <w:rFonts w:hint="eastAsia" w:ascii="宋体" w:hAnsi="宋体" w:cs="黑体"/>
          <w:b/>
          <w:bCs/>
          <w:color w:val="auto"/>
          <w:sz w:val="24"/>
          <w:highlight w:val="none"/>
          <w:lang w:val="zh-CN"/>
        </w:rPr>
        <w:t>（</w:t>
      </w:r>
      <w:r>
        <w:rPr>
          <w:rFonts w:hint="eastAsia" w:ascii="宋体" w:hAnsi="宋体" w:cs="黑体"/>
          <w:b/>
          <w:bCs/>
          <w:color w:val="auto"/>
          <w:sz w:val="24"/>
          <w:highlight w:val="none"/>
          <w:lang w:val="en-US" w:eastAsia="zh-CN"/>
        </w:rPr>
        <w:t>1</w:t>
      </w:r>
      <w:r>
        <w:rPr>
          <w:rFonts w:hint="eastAsia" w:ascii="宋体" w:hAnsi="宋体" w:cs="黑体"/>
          <w:b/>
          <w:bCs/>
          <w:color w:val="auto"/>
          <w:sz w:val="24"/>
          <w:highlight w:val="none"/>
          <w:lang w:val="zh-CN"/>
        </w:rPr>
        <w:t>）本工程按工程进度支付进度款，合同内进度款支付限额为已完成合格工程量的80%（提供完税证明），工程变更签证部分进度款待完工审计后一并支付，工程质量评定验收合格后支付至90%，结算经审计部门审定后，工程款支付至结算总价的97%，发包人扣除每期工程价款结算总额的3%作为质量保证金，待缺陷责任期届满后再清算（不计利息）。</w:t>
      </w:r>
    </w:p>
    <w:p w14:paraId="180F8BD3">
      <w:pPr>
        <w:spacing w:line="360" w:lineRule="exact"/>
        <w:ind w:firstLine="466" w:firstLineChars="194"/>
        <w:rPr>
          <w:rFonts w:ascii="宋体" w:hAnsi="Calibri" w:cs="黑体"/>
          <w:b/>
          <w:bCs/>
          <w:color w:val="auto"/>
          <w:sz w:val="24"/>
          <w:highlight w:val="none"/>
        </w:rPr>
      </w:pPr>
      <w:r>
        <w:rPr>
          <w:rFonts w:ascii="宋体" w:hAnsi="宋体" w:cs="黑体"/>
          <w:b/>
          <w:bCs/>
          <w:color w:val="auto"/>
          <w:sz w:val="24"/>
          <w:highlight w:val="none"/>
        </w:rPr>
        <w:t xml:space="preserve">19.7 </w:t>
      </w:r>
      <w:r>
        <w:rPr>
          <w:rFonts w:hint="eastAsia" w:ascii="宋体" w:hAnsi="宋体" w:cs="黑体"/>
          <w:b/>
          <w:bCs/>
          <w:color w:val="auto"/>
          <w:sz w:val="24"/>
          <w:highlight w:val="none"/>
        </w:rPr>
        <w:t>本工程保修期为1年。</w:t>
      </w:r>
    </w:p>
    <w:p w14:paraId="5EC20914">
      <w:pPr>
        <w:spacing w:line="360" w:lineRule="exact"/>
        <w:ind w:firstLine="465" w:firstLineChars="194"/>
        <w:rPr>
          <w:rFonts w:ascii="宋体" w:hAnsi="Calibri" w:cs="黑体"/>
          <w:color w:val="auto"/>
          <w:sz w:val="24"/>
          <w:highlight w:val="none"/>
          <w:lang w:val="zh-CN"/>
        </w:rPr>
      </w:pPr>
      <w:r>
        <w:rPr>
          <w:rFonts w:ascii="宋体" w:hAnsi="宋体" w:cs="黑体"/>
          <w:color w:val="auto"/>
          <w:sz w:val="24"/>
          <w:highlight w:val="none"/>
          <w:lang w:val="zh-CN"/>
        </w:rPr>
        <w:t xml:space="preserve">22.1.2  </w:t>
      </w:r>
      <w:r>
        <w:rPr>
          <w:rFonts w:hint="eastAsia" w:ascii="宋体" w:hAnsi="宋体" w:cs="黑体"/>
          <w:color w:val="auto"/>
          <w:sz w:val="24"/>
          <w:highlight w:val="none"/>
          <w:lang w:val="zh-CN"/>
        </w:rPr>
        <w:t>承包人的违约，增加以下内容：</w:t>
      </w:r>
    </w:p>
    <w:p w14:paraId="53C50ECA">
      <w:pPr>
        <w:tabs>
          <w:tab w:val="left" w:pos="3193"/>
        </w:tabs>
        <w:spacing w:line="360" w:lineRule="exact"/>
        <w:ind w:firstLine="360" w:firstLineChars="150"/>
        <w:rPr>
          <w:rFonts w:ascii="宋体" w:hAnsi="Calibri" w:cs="黑体"/>
          <w:b/>
          <w:bCs/>
          <w:color w:val="auto"/>
          <w:sz w:val="24"/>
          <w:highlight w:val="none"/>
          <w:lang w:val="zh-CN"/>
        </w:rPr>
      </w:pPr>
      <w:r>
        <w:rPr>
          <w:rFonts w:hint="eastAsia" w:ascii="宋体" w:hAnsi="宋体" w:cs="黑体"/>
          <w:b/>
          <w:bCs/>
          <w:color w:val="auto"/>
          <w:sz w:val="24"/>
          <w:highlight w:val="none"/>
          <w:lang w:val="zh-CN"/>
        </w:rPr>
        <w:t>（</w:t>
      </w:r>
      <w:r>
        <w:rPr>
          <w:rFonts w:ascii="宋体" w:hAnsi="宋体" w:cs="黑体"/>
          <w:b/>
          <w:bCs/>
          <w:color w:val="auto"/>
          <w:sz w:val="24"/>
          <w:highlight w:val="none"/>
          <w:lang w:val="zh-CN"/>
        </w:rPr>
        <w:t>5</w:t>
      </w:r>
      <w:r>
        <w:rPr>
          <w:rFonts w:hint="eastAsia" w:ascii="宋体" w:hAnsi="宋体" w:cs="黑体"/>
          <w:b/>
          <w:bCs/>
          <w:color w:val="auto"/>
          <w:sz w:val="24"/>
          <w:highlight w:val="none"/>
          <w:lang w:val="zh-CN"/>
        </w:rPr>
        <w:t>）违反</w:t>
      </w:r>
      <w:r>
        <w:rPr>
          <w:rFonts w:ascii="宋体" w:hAnsi="宋体" w:cs="黑体"/>
          <w:b/>
          <w:bCs/>
          <w:color w:val="auto"/>
          <w:sz w:val="24"/>
          <w:highlight w:val="none"/>
          <w:lang w:val="zh-CN"/>
        </w:rPr>
        <w:t>22.1.1</w:t>
      </w:r>
      <w:r>
        <w:rPr>
          <w:rFonts w:hint="eastAsia" w:ascii="宋体" w:hAnsi="宋体" w:cs="黑体"/>
          <w:b/>
          <w:bCs/>
          <w:color w:val="auto"/>
          <w:sz w:val="24"/>
          <w:highlight w:val="none"/>
          <w:lang w:val="zh-CN"/>
        </w:rPr>
        <w:t>（</w:t>
      </w:r>
      <w:r>
        <w:rPr>
          <w:rFonts w:ascii="宋体" w:hAnsi="宋体" w:cs="黑体"/>
          <w:b/>
          <w:bCs/>
          <w:color w:val="auto"/>
          <w:sz w:val="24"/>
          <w:highlight w:val="none"/>
          <w:lang w:val="zh-CN"/>
        </w:rPr>
        <w:t>1</w:t>
      </w:r>
      <w:r>
        <w:rPr>
          <w:rFonts w:hint="eastAsia" w:ascii="宋体" w:hAnsi="宋体" w:cs="黑体"/>
          <w:b/>
          <w:bCs/>
          <w:color w:val="auto"/>
          <w:sz w:val="24"/>
          <w:highlight w:val="none"/>
          <w:lang w:val="zh-CN"/>
        </w:rPr>
        <w:t>）</w:t>
      </w:r>
      <w:r>
        <w:rPr>
          <w:rFonts w:ascii="宋体" w:hAnsi="宋体" w:cs="黑体"/>
          <w:b/>
          <w:bCs/>
          <w:color w:val="auto"/>
          <w:sz w:val="24"/>
          <w:highlight w:val="none"/>
          <w:lang w:val="zh-CN"/>
        </w:rPr>
        <w:t>(2)(3)(4)</w:t>
      </w:r>
      <w:r>
        <w:rPr>
          <w:rFonts w:hint="eastAsia" w:ascii="宋体" w:hAnsi="宋体" w:cs="黑体"/>
          <w:b/>
          <w:bCs/>
          <w:color w:val="auto"/>
          <w:sz w:val="24"/>
          <w:highlight w:val="none"/>
          <w:lang w:val="zh-CN"/>
        </w:rPr>
        <w:t>子款规定，可以向承包人收取签约合同价款</w:t>
      </w:r>
      <w:r>
        <w:rPr>
          <w:rFonts w:ascii="宋体" w:hAnsi="宋体" w:cs="黑体"/>
          <w:b/>
          <w:bCs/>
          <w:color w:val="auto"/>
          <w:sz w:val="24"/>
          <w:highlight w:val="none"/>
        </w:rPr>
        <w:t>5—</w:t>
      </w:r>
      <w:r>
        <w:rPr>
          <w:rFonts w:ascii="宋体" w:hAnsi="宋体" w:cs="黑体"/>
          <w:b/>
          <w:bCs/>
          <w:color w:val="auto"/>
          <w:sz w:val="24"/>
          <w:highlight w:val="none"/>
          <w:lang w:val="zh-CN"/>
        </w:rPr>
        <w:t>15%</w:t>
      </w:r>
      <w:r>
        <w:rPr>
          <w:rFonts w:hint="eastAsia" w:ascii="宋体" w:hAnsi="宋体" w:cs="黑体"/>
          <w:b/>
          <w:bCs/>
          <w:color w:val="auto"/>
          <w:sz w:val="24"/>
          <w:highlight w:val="none"/>
          <w:lang w:val="zh-CN"/>
        </w:rPr>
        <w:t>的违约金（视严重情况而定）。</w:t>
      </w:r>
    </w:p>
    <w:p w14:paraId="0F54EB8E">
      <w:pPr>
        <w:tabs>
          <w:tab w:val="left" w:pos="3193"/>
        </w:tabs>
        <w:spacing w:line="36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增加以下条款：</w:t>
      </w:r>
    </w:p>
    <w:p w14:paraId="12E9E18F">
      <w:pPr>
        <w:tabs>
          <w:tab w:val="left" w:pos="3193"/>
        </w:tabs>
        <w:spacing w:line="360" w:lineRule="exact"/>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在项目实施工过程中，承包人对发包人或监理合理的整改意见拒不执行的，发包人有权委托其他单位或个人执行，所发生的费用由承包人承担。</w:t>
      </w:r>
    </w:p>
    <w:p w14:paraId="41F720CF">
      <w:pPr>
        <w:spacing w:line="336" w:lineRule="auto"/>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承包人管理（增加）</w:t>
      </w:r>
    </w:p>
    <w:p w14:paraId="159A7368">
      <w:pPr>
        <w:spacing w:line="336" w:lineRule="auto"/>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竞标人在竞标书中列明的项目负责人和总工必须是能够具体在本工程服务的人员，并且能在本工程服务合同工期内（除非是该名人员被总监或发包人驱逐，或经申请被总监及发包人特殊批准外）。</w:t>
      </w:r>
    </w:p>
    <w:p w14:paraId="0EB33CCC">
      <w:pPr>
        <w:spacing w:line="336" w:lineRule="auto"/>
        <w:ind w:firstLine="480" w:firstLineChars="200"/>
        <w:rPr>
          <w:rFonts w:ascii="宋体" w:hAnsi="Calibri" w:cs="黑体"/>
          <w:color w:val="auto"/>
          <w:sz w:val="24"/>
          <w:highlight w:val="none"/>
          <w:lang w:val="zh-CN"/>
        </w:rPr>
      </w:pPr>
      <w:r>
        <w:rPr>
          <w:rFonts w:hint="eastAsia" w:ascii="宋体" w:hAnsi="宋体" w:cs="黑体"/>
          <w:color w:val="auto"/>
          <w:sz w:val="24"/>
          <w:highlight w:val="none"/>
          <w:lang w:val="zh-CN"/>
        </w:rPr>
        <w:t>若竞标人中标后更换项目负责人和总工两人或其中一人，属中标人违约，除在开工前</w:t>
      </w:r>
      <w:r>
        <w:rPr>
          <w:rFonts w:ascii="宋体" w:hAnsi="宋体" w:cs="黑体"/>
          <w:color w:val="auto"/>
          <w:sz w:val="24"/>
          <w:highlight w:val="none"/>
          <w:lang w:val="zh-CN"/>
        </w:rPr>
        <w:t>15</w:t>
      </w:r>
      <w:r>
        <w:rPr>
          <w:rFonts w:hint="eastAsia" w:ascii="宋体" w:hAnsi="宋体" w:cs="黑体"/>
          <w:color w:val="auto"/>
          <w:sz w:val="24"/>
          <w:highlight w:val="none"/>
          <w:lang w:val="zh-CN"/>
        </w:rPr>
        <w:t>天内更换补充发包人和总监满意的合格的人员外，还应向发包人支付违约金，违约金按项目负责人</w:t>
      </w:r>
      <w:r>
        <w:rPr>
          <w:rFonts w:ascii="宋体" w:hAnsi="宋体" w:cs="黑体"/>
          <w:color w:val="auto"/>
          <w:sz w:val="24"/>
          <w:highlight w:val="none"/>
          <w:lang w:val="zh-CN"/>
        </w:rPr>
        <w:t>2</w:t>
      </w:r>
      <w:r>
        <w:rPr>
          <w:rFonts w:hint="eastAsia" w:ascii="宋体" w:hAnsi="宋体" w:cs="黑体"/>
          <w:color w:val="auto"/>
          <w:sz w:val="24"/>
          <w:highlight w:val="none"/>
          <w:lang w:val="zh-CN"/>
        </w:rPr>
        <w:t>万元</w:t>
      </w:r>
      <w:r>
        <w:rPr>
          <w:rFonts w:ascii="宋体" w:hAnsi="宋体" w:cs="黑体"/>
          <w:color w:val="auto"/>
          <w:sz w:val="24"/>
          <w:highlight w:val="none"/>
          <w:lang w:val="zh-CN"/>
        </w:rPr>
        <w:t>/</w:t>
      </w:r>
      <w:r>
        <w:rPr>
          <w:rFonts w:hint="eastAsia" w:ascii="宋体" w:hAnsi="宋体" w:cs="黑体"/>
          <w:color w:val="auto"/>
          <w:sz w:val="24"/>
          <w:highlight w:val="none"/>
          <w:lang w:val="zh-CN"/>
        </w:rPr>
        <w:t>人，总工</w:t>
      </w:r>
      <w:r>
        <w:rPr>
          <w:rFonts w:ascii="宋体" w:hAnsi="宋体" w:cs="黑体"/>
          <w:color w:val="auto"/>
          <w:sz w:val="24"/>
          <w:highlight w:val="none"/>
          <w:lang w:val="zh-CN"/>
        </w:rPr>
        <w:t>1</w:t>
      </w:r>
      <w:r>
        <w:rPr>
          <w:rFonts w:hint="eastAsia" w:ascii="宋体" w:hAnsi="宋体" w:cs="黑体"/>
          <w:color w:val="auto"/>
          <w:sz w:val="24"/>
          <w:highlight w:val="none"/>
          <w:lang w:val="zh-CN"/>
        </w:rPr>
        <w:t>万元</w:t>
      </w:r>
      <w:r>
        <w:rPr>
          <w:rFonts w:ascii="宋体" w:hAnsi="宋体" w:cs="黑体"/>
          <w:color w:val="auto"/>
          <w:sz w:val="24"/>
          <w:highlight w:val="none"/>
          <w:lang w:val="zh-CN"/>
        </w:rPr>
        <w:t>/</w:t>
      </w:r>
      <w:r>
        <w:rPr>
          <w:rFonts w:hint="eastAsia" w:ascii="宋体" w:hAnsi="宋体" w:cs="黑体"/>
          <w:color w:val="auto"/>
          <w:sz w:val="24"/>
          <w:highlight w:val="none"/>
          <w:lang w:val="zh-CN"/>
        </w:rPr>
        <w:t>人计算。</w:t>
      </w:r>
    </w:p>
    <w:p w14:paraId="7723A935">
      <w:pPr>
        <w:spacing w:line="336" w:lineRule="auto"/>
        <w:ind w:firstLine="480" w:firstLineChars="200"/>
        <w:rPr>
          <w:rFonts w:hint="eastAsia" w:ascii="宋体" w:hAnsi="宋体" w:cs="黑体"/>
          <w:color w:val="auto"/>
          <w:sz w:val="24"/>
          <w:highlight w:val="none"/>
          <w:lang w:val="zh-CN"/>
        </w:rPr>
      </w:pPr>
      <w:r>
        <w:rPr>
          <w:rFonts w:hint="eastAsia" w:ascii="宋体" w:hAnsi="宋体" w:cs="黑体"/>
          <w:color w:val="auto"/>
          <w:sz w:val="24"/>
          <w:highlight w:val="none"/>
          <w:lang w:val="zh-CN"/>
        </w:rPr>
        <w:t>竞标人列明的项目负责人和总工以及其他主要人员每年驻现场的时间应不少于</w:t>
      </w:r>
      <w:r>
        <w:rPr>
          <w:rFonts w:ascii="宋体" w:hAnsi="宋体" w:cs="黑体"/>
          <w:color w:val="auto"/>
          <w:sz w:val="24"/>
          <w:highlight w:val="none"/>
          <w:lang w:val="zh-CN"/>
        </w:rPr>
        <w:t>300</w:t>
      </w:r>
      <w:r>
        <w:rPr>
          <w:rFonts w:hint="eastAsia" w:ascii="宋体" w:hAnsi="宋体" w:cs="黑体"/>
          <w:color w:val="auto"/>
          <w:sz w:val="24"/>
          <w:highlight w:val="none"/>
          <w:lang w:val="zh-CN"/>
        </w:rPr>
        <w:t>天，除非经总监的批准并获发包人的同意除外，项目经理或总工缺勤</w:t>
      </w:r>
      <w:r>
        <w:rPr>
          <w:rFonts w:ascii="宋体" w:hAnsi="宋体" w:cs="黑体"/>
          <w:color w:val="auto"/>
          <w:sz w:val="24"/>
          <w:highlight w:val="none"/>
          <w:lang w:val="zh-CN"/>
        </w:rPr>
        <w:t>10</w:t>
      </w:r>
      <w:r>
        <w:rPr>
          <w:rFonts w:hint="eastAsia" w:ascii="宋体" w:hAnsi="宋体" w:cs="黑体"/>
          <w:color w:val="auto"/>
          <w:sz w:val="24"/>
          <w:highlight w:val="none"/>
          <w:lang w:val="zh-CN"/>
        </w:rPr>
        <w:t>天以上，每人每缺勤</w:t>
      </w:r>
      <w:r>
        <w:rPr>
          <w:rFonts w:ascii="宋体" w:hAnsi="宋体" w:cs="黑体"/>
          <w:color w:val="auto"/>
          <w:sz w:val="24"/>
          <w:highlight w:val="none"/>
          <w:lang w:val="zh-CN"/>
        </w:rPr>
        <w:t>10</w:t>
      </w:r>
      <w:r>
        <w:rPr>
          <w:rFonts w:hint="eastAsia" w:ascii="宋体" w:hAnsi="宋体" w:cs="黑体"/>
          <w:color w:val="auto"/>
          <w:sz w:val="24"/>
          <w:highlight w:val="none"/>
          <w:lang w:val="zh-CN"/>
        </w:rPr>
        <w:t>天，承包人应向发包人支付违约金</w:t>
      </w:r>
      <w:r>
        <w:rPr>
          <w:rFonts w:ascii="宋体" w:hAnsi="宋体" w:cs="黑体"/>
          <w:color w:val="auto"/>
          <w:sz w:val="24"/>
          <w:highlight w:val="none"/>
          <w:lang w:val="zh-CN"/>
        </w:rPr>
        <w:t>4000</w:t>
      </w:r>
      <w:r>
        <w:rPr>
          <w:rFonts w:hint="eastAsia" w:ascii="宋体" w:hAnsi="宋体" w:cs="黑体"/>
          <w:color w:val="auto"/>
          <w:sz w:val="24"/>
          <w:highlight w:val="none"/>
          <w:lang w:val="zh-CN"/>
        </w:rPr>
        <w:t>元</w:t>
      </w:r>
      <w:r>
        <w:rPr>
          <w:rFonts w:ascii="宋体" w:hAnsi="宋体" w:cs="黑体"/>
          <w:color w:val="auto"/>
          <w:sz w:val="24"/>
          <w:highlight w:val="none"/>
          <w:lang w:val="zh-CN"/>
        </w:rPr>
        <w:t>/</w:t>
      </w:r>
      <w:r>
        <w:rPr>
          <w:rFonts w:hint="eastAsia" w:ascii="宋体" w:hAnsi="宋体" w:cs="黑体"/>
          <w:color w:val="auto"/>
          <w:sz w:val="24"/>
          <w:highlight w:val="none"/>
          <w:lang w:val="zh-CN"/>
        </w:rPr>
        <w:t>人。其他主要人员亦要按此酌情处理。</w:t>
      </w:r>
    </w:p>
    <w:p w14:paraId="695BE54A">
      <w:pPr>
        <w:pStyle w:val="7"/>
        <w:ind w:left="0" w:leftChars="0" w:firstLine="0" w:firstLineChars="0"/>
        <w:rPr>
          <w:color w:val="auto"/>
          <w:highlight w:val="none"/>
          <w:lang w:val="zh-CN"/>
        </w:rPr>
      </w:pPr>
    </w:p>
    <w:p w14:paraId="556B5729">
      <w:pPr>
        <w:spacing w:line="336" w:lineRule="auto"/>
        <w:rPr>
          <w:rFonts w:ascii="宋体" w:hAnsi="Calibri" w:cs="黑体"/>
          <w:color w:val="auto"/>
          <w:sz w:val="24"/>
          <w:highlight w:val="none"/>
          <w:lang w:val="zh-CN"/>
        </w:rPr>
      </w:pPr>
    </w:p>
    <w:p w14:paraId="1DFBBB6A">
      <w:pPr>
        <w:keepNext/>
        <w:keepLines/>
        <w:numPr>
          <w:ilvl w:val="0"/>
          <w:numId w:val="2"/>
        </w:numPr>
        <w:spacing w:after="120"/>
        <w:jc w:val="center"/>
        <w:outlineLvl w:val="0"/>
        <w:rPr>
          <w:rFonts w:ascii="宋体" w:hAnsi="Calibri"/>
          <w:b/>
          <w:bCs/>
          <w:color w:val="auto"/>
          <w:kern w:val="44"/>
          <w:sz w:val="24"/>
          <w:highlight w:val="none"/>
        </w:rPr>
      </w:pPr>
      <w:bookmarkStart w:id="1022" w:name="_Toc9461"/>
      <w:bookmarkStart w:id="1023" w:name="_Toc445202863"/>
      <w:r>
        <w:rPr>
          <w:rFonts w:hint="eastAsia" w:ascii="宋体" w:hAnsi="宋体"/>
          <w:b/>
          <w:bCs/>
          <w:color w:val="auto"/>
          <w:kern w:val="44"/>
          <w:sz w:val="24"/>
          <w:highlight w:val="none"/>
        </w:rPr>
        <w:t>合同附件格式</w:t>
      </w:r>
      <w:bookmarkEnd w:id="1022"/>
      <w:bookmarkEnd w:id="1023"/>
    </w:p>
    <w:p w14:paraId="54128034">
      <w:pPr>
        <w:keepNext/>
        <w:keepLines/>
        <w:outlineLvl w:val="0"/>
        <w:rPr>
          <w:rFonts w:ascii="宋体" w:hAnsi="Calibri"/>
          <w:b/>
          <w:bCs/>
          <w:color w:val="auto"/>
          <w:kern w:val="44"/>
          <w:sz w:val="24"/>
          <w:highlight w:val="none"/>
        </w:rPr>
      </w:pPr>
      <w:bookmarkStart w:id="1024" w:name="_Toc10259"/>
      <w:bookmarkStart w:id="1025" w:name="_Toc445202864"/>
      <w:r>
        <w:rPr>
          <w:rFonts w:hint="eastAsia" w:ascii="宋体" w:hAnsi="宋体"/>
          <w:b/>
          <w:bCs/>
          <w:color w:val="auto"/>
          <w:kern w:val="44"/>
          <w:sz w:val="24"/>
          <w:highlight w:val="none"/>
        </w:rPr>
        <w:t>附件一合同协议书</w:t>
      </w:r>
      <w:bookmarkEnd w:id="1024"/>
      <w:bookmarkEnd w:id="1025"/>
    </w:p>
    <w:p w14:paraId="78DE8C98">
      <w:pPr>
        <w:jc w:val="center"/>
        <w:rPr>
          <w:rFonts w:ascii="宋体" w:hAnsi="Calibri"/>
          <w:b/>
          <w:color w:val="auto"/>
          <w:sz w:val="24"/>
          <w:highlight w:val="none"/>
        </w:rPr>
      </w:pPr>
      <w:r>
        <w:rPr>
          <w:rFonts w:hint="eastAsia" w:ascii="宋体" w:hAnsi="宋体"/>
          <w:b/>
          <w:color w:val="auto"/>
          <w:sz w:val="24"/>
          <w:highlight w:val="none"/>
        </w:rPr>
        <w:t>合同协议书</w:t>
      </w:r>
    </w:p>
    <w:p w14:paraId="24B9A2F5">
      <w:pPr>
        <w:rPr>
          <w:rFonts w:ascii="宋体" w:hAnsi="Calibri"/>
          <w:color w:val="auto"/>
          <w:sz w:val="24"/>
          <w:highlight w:val="none"/>
        </w:rPr>
      </w:pPr>
    </w:p>
    <w:p w14:paraId="5BDB1AE9">
      <w:pPr>
        <w:spacing w:line="400" w:lineRule="exact"/>
        <w:ind w:firstLine="480" w:firstLineChars="200"/>
        <w:rPr>
          <w:rFonts w:ascii="宋体" w:hAnsi="Calibri"/>
          <w:color w:val="auto"/>
          <w:sz w:val="24"/>
          <w:highlight w:val="none"/>
          <w:u w:val="single"/>
        </w:rPr>
      </w:pPr>
      <w:r>
        <w:rPr>
          <w:rFonts w:hint="eastAsia" w:ascii="宋体" w:hAnsi="宋体"/>
          <w:color w:val="auto"/>
          <w:sz w:val="24"/>
          <w:highlight w:val="none"/>
        </w:rPr>
        <w:t>发包人：</w:t>
      </w:r>
    </w:p>
    <w:p w14:paraId="50486C2C">
      <w:pPr>
        <w:spacing w:line="400" w:lineRule="exact"/>
        <w:ind w:firstLine="480" w:firstLineChars="200"/>
        <w:rPr>
          <w:rFonts w:ascii="宋体" w:hAnsi="Calibri"/>
          <w:color w:val="auto"/>
          <w:sz w:val="24"/>
          <w:highlight w:val="none"/>
          <w:u w:val="single"/>
        </w:rPr>
      </w:pPr>
      <w:r>
        <w:rPr>
          <w:rFonts w:hint="eastAsia" w:ascii="宋体" w:hAnsi="宋体"/>
          <w:color w:val="auto"/>
          <w:sz w:val="24"/>
          <w:highlight w:val="none"/>
        </w:rPr>
        <w:t>承包人：</w:t>
      </w:r>
    </w:p>
    <w:p w14:paraId="58321AA2">
      <w:pPr>
        <w:spacing w:line="400" w:lineRule="exact"/>
        <w:ind w:firstLine="480" w:firstLineChars="200"/>
        <w:rPr>
          <w:rFonts w:ascii="宋体" w:hAnsi="Calibri"/>
          <w:color w:val="auto"/>
          <w:sz w:val="24"/>
          <w:highlight w:val="none"/>
        </w:rPr>
      </w:pPr>
    </w:p>
    <w:p w14:paraId="514DA0CD">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（以下简称“发包人”为实施工程，已接受（以下简称“承包人”）对该项目施工的竞标，为进一步明确发包人、承包人相关权利义务，经双方协商，共同达成如下协议。</w:t>
      </w:r>
    </w:p>
    <w:p w14:paraId="43B5913E">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第标段由</w:t>
      </w:r>
      <w:r>
        <w:rPr>
          <w:rFonts w:ascii="宋体" w:hAnsi="宋体"/>
          <w:color w:val="auto"/>
          <w:sz w:val="24"/>
          <w:highlight w:val="none"/>
        </w:rPr>
        <w:t>K+</w:t>
      </w:r>
      <w:r>
        <w:rPr>
          <w:rFonts w:hint="eastAsia" w:ascii="宋体" w:hAnsi="宋体"/>
          <w:color w:val="auto"/>
          <w:sz w:val="24"/>
          <w:highlight w:val="none"/>
        </w:rPr>
        <w:t>至</w:t>
      </w:r>
      <w:r>
        <w:rPr>
          <w:rFonts w:ascii="宋体" w:hAnsi="宋体"/>
          <w:color w:val="auto"/>
          <w:sz w:val="24"/>
          <w:highlight w:val="none"/>
        </w:rPr>
        <w:t>K+</w:t>
      </w:r>
      <w:r>
        <w:rPr>
          <w:rFonts w:hint="eastAsia" w:ascii="宋体" w:hAnsi="宋体"/>
          <w:color w:val="auto"/>
          <w:sz w:val="24"/>
          <w:highlight w:val="none"/>
        </w:rPr>
        <w:t>，长约</w:t>
      </w:r>
      <w:r>
        <w:rPr>
          <w:rFonts w:ascii="宋体" w:hAnsi="宋体"/>
          <w:color w:val="auto"/>
          <w:sz w:val="24"/>
          <w:highlight w:val="none"/>
        </w:rPr>
        <w:t>km</w:t>
      </w:r>
      <w:r>
        <w:rPr>
          <w:rFonts w:hint="eastAsia" w:ascii="宋体" w:hAnsi="宋体"/>
          <w:color w:val="auto"/>
          <w:sz w:val="24"/>
          <w:highlight w:val="none"/>
        </w:rPr>
        <w:t>，公路等级为，设计时速为，路面，有立交处；特大桥座，计长</w:t>
      </w:r>
      <w:r>
        <w:rPr>
          <w:rFonts w:ascii="宋体" w:hAnsi="宋体"/>
          <w:color w:val="auto"/>
          <w:sz w:val="24"/>
          <w:highlight w:val="none"/>
        </w:rPr>
        <w:t>m</w:t>
      </w:r>
      <w:r>
        <w:rPr>
          <w:rFonts w:hint="eastAsia" w:ascii="宋体" w:hAnsi="宋体"/>
          <w:color w:val="auto"/>
          <w:sz w:val="24"/>
          <w:highlight w:val="none"/>
        </w:rPr>
        <w:t>；大中桥座，计长</w:t>
      </w:r>
      <w:r>
        <w:rPr>
          <w:rFonts w:ascii="宋体" w:hAnsi="宋体"/>
          <w:color w:val="auto"/>
          <w:sz w:val="24"/>
          <w:highlight w:val="none"/>
        </w:rPr>
        <w:t>m</w:t>
      </w:r>
      <w:r>
        <w:rPr>
          <w:rFonts w:hint="eastAsia" w:ascii="宋体" w:hAnsi="宋体"/>
          <w:color w:val="auto"/>
          <w:sz w:val="24"/>
          <w:highlight w:val="none"/>
        </w:rPr>
        <w:t>；隧道座，计长</w:t>
      </w:r>
      <w:r>
        <w:rPr>
          <w:rFonts w:ascii="宋体" w:hAnsi="宋体"/>
          <w:color w:val="auto"/>
          <w:sz w:val="24"/>
          <w:highlight w:val="none"/>
        </w:rPr>
        <w:t>m</w:t>
      </w:r>
      <w:r>
        <w:rPr>
          <w:rFonts w:hint="eastAsia" w:ascii="宋体" w:hAnsi="宋体"/>
          <w:color w:val="auto"/>
          <w:sz w:val="24"/>
          <w:highlight w:val="none"/>
        </w:rPr>
        <w:t>以及其他构造物工程等（各项技术指标以采购文件载明的工程项目设计图纸及工程量清单等为准）。。</w:t>
      </w:r>
    </w:p>
    <w:p w14:paraId="5CAEEEFC">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下列文件应视为构成合同文件的组成部分：</w:t>
      </w:r>
    </w:p>
    <w:p w14:paraId="2A1A24A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）本协议书及各种合同附件（含评标期间和合同谈判过程中的澄清文件和补充资料）；</w:t>
      </w:r>
    </w:p>
    <w:p w14:paraId="20F2E87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）成交通知书；</w:t>
      </w:r>
    </w:p>
    <w:p w14:paraId="2AAA5517">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）补遗书；</w:t>
      </w:r>
    </w:p>
    <w:p w14:paraId="2E9F530D">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）竞标函及竞标函附录；</w:t>
      </w:r>
    </w:p>
    <w:p w14:paraId="4246A56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）项目专用合同条款；</w:t>
      </w:r>
    </w:p>
    <w:p w14:paraId="03BBD8B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）公路工程专用合同条款；</w:t>
      </w:r>
    </w:p>
    <w:p w14:paraId="2B3D56F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）通用合同条款；</w:t>
      </w:r>
    </w:p>
    <w:p w14:paraId="77977C87">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）技术规范和工程量清单计量规则；</w:t>
      </w:r>
    </w:p>
    <w:p w14:paraId="11EB7CF2">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）图纸；</w:t>
      </w:r>
    </w:p>
    <w:p w14:paraId="7D880ACE">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）已标价工程量清单；</w:t>
      </w:r>
    </w:p>
    <w:p w14:paraId="1DE102F0">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）承包人有关人员、设备投入的承诺及竞标文件中的施工组织设计；</w:t>
      </w:r>
    </w:p>
    <w:p w14:paraId="0F65D5AF">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12</w:t>
      </w:r>
      <w:r>
        <w:rPr>
          <w:rFonts w:hint="eastAsia" w:ascii="宋体" w:hAnsi="宋体"/>
          <w:color w:val="auto"/>
          <w:sz w:val="24"/>
          <w:highlight w:val="none"/>
        </w:rPr>
        <w:t>）其他合同文件</w:t>
      </w:r>
      <w:r>
        <w:rPr>
          <w:rFonts w:ascii="宋体" w:hAnsi="宋体"/>
          <w:color w:val="auto"/>
          <w:sz w:val="24"/>
          <w:highlight w:val="none"/>
        </w:rPr>
        <w:t>(</w:t>
      </w:r>
      <w:r>
        <w:rPr>
          <w:rFonts w:hint="eastAsia" w:ascii="宋体" w:hAnsi="宋体"/>
          <w:color w:val="auto"/>
          <w:sz w:val="24"/>
          <w:highlight w:val="none"/>
        </w:rPr>
        <w:t>包括但不限于农民工工资支付承诺书、监理合同及其他合同文件）。</w:t>
      </w:r>
    </w:p>
    <w:p w14:paraId="75C6884F">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上述文件互相补充和解释，如有不明确或不一致之处，以合同约定次序在先者为准。</w:t>
      </w:r>
    </w:p>
    <w:p w14:paraId="421EBA95">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4. </w:t>
      </w:r>
      <w:r>
        <w:rPr>
          <w:rFonts w:hint="eastAsia" w:ascii="宋体" w:hAnsi="宋体"/>
          <w:color w:val="auto"/>
          <w:sz w:val="24"/>
          <w:highlight w:val="none"/>
        </w:rPr>
        <w:t>根据工程量清单所列的预计数量和单价或总额价计算的签约合同价：人民币（大写）元（</w:t>
      </w:r>
      <w:r>
        <w:rPr>
          <w:rFonts w:ascii="宋体" w:hAnsi="Calibri"/>
          <w:color w:val="auto"/>
          <w:sz w:val="24"/>
          <w:highlight w:val="none"/>
        </w:rPr>
        <w:t>¥</w:t>
      </w:r>
      <w:r>
        <w:rPr>
          <w:rFonts w:hint="eastAsia" w:ascii="宋体" w:hAnsi="宋体"/>
          <w:color w:val="auto"/>
          <w:sz w:val="24"/>
          <w:highlight w:val="none"/>
        </w:rPr>
        <w:t>）。</w:t>
      </w:r>
    </w:p>
    <w:p w14:paraId="59C5A02C">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承包人项目经理：</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 </w:t>
      </w:r>
      <w:r>
        <w:rPr>
          <w:rFonts w:hint="eastAsia" w:ascii="宋体" w:hAnsi="宋体"/>
          <w:color w:val="auto"/>
          <w:sz w:val="24"/>
          <w:highlight w:val="none"/>
        </w:rPr>
        <w:t>承包人项目总工：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54DD928E">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6. </w:t>
      </w:r>
      <w:r>
        <w:rPr>
          <w:rFonts w:hint="eastAsia" w:ascii="宋体" w:hAnsi="宋体"/>
          <w:color w:val="auto"/>
          <w:sz w:val="24"/>
          <w:highlight w:val="none"/>
        </w:rPr>
        <w:t>工程质量：符合国家及行业现行工程施工质量验收规范合格标准。</w:t>
      </w:r>
    </w:p>
    <w:p w14:paraId="366910F9">
      <w:pPr>
        <w:spacing w:line="400" w:lineRule="exact"/>
        <w:ind w:firstLine="480" w:firstLineChars="200"/>
        <w:rPr>
          <w:rFonts w:ascii="仿宋_GB2312" w:hAnsi="仿宋_GB2312" w:eastAsia="仿宋_GB2312" w:cs="仿宋_GB2312"/>
          <w:color w:val="auto"/>
          <w:sz w:val="28"/>
          <w:szCs w:val="28"/>
          <w:highlight w:val="none"/>
        </w:rPr>
      </w:pPr>
      <w:r>
        <w:rPr>
          <w:rFonts w:hint="eastAsia" w:ascii="宋体" w:hAnsi="宋体"/>
          <w:color w:val="auto"/>
          <w:sz w:val="24"/>
          <w:highlight w:val="none"/>
        </w:rPr>
        <w:t>工程安全目标：</w:t>
      </w:r>
      <w:r>
        <w:rPr>
          <w:rFonts w:hint="eastAsia" w:ascii="宋体" w:hAnsi="宋体"/>
          <w:color w:val="auto"/>
          <w:sz w:val="24"/>
          <w:highlight w:val="none"/>
          <w:u w:val="single"/>
        </w:rPr>
        <w:t>杜绝重特大事故的发生，减少一般事故的发生，力争零事故</w:t>
      </w:r>
      <w:r>
        <w:rPr>
          <w:rFonts w:hint="eastAsia" w:ascii="宋体" w:hAnsi="宋体"/>
          <w:color w:val="auto"/>
          <w:sz w:val="24"/>
          <w:highlight w:val="none"/>
        </w:rPr>
        <w:t>。</w:t>
      </w:r>
    </w:p>
    <w:p w14:paraId="07C1EA84">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7. </w:t>
      </w:r>
      <w:r>
        <w:rPr>
          <w:rFonts w:hint="eastAsia" w:ascii="宋体" w:hAnsi="宋体"/>
          <w:color w:val="auto"/>
          <w:sz w:val="24"/>
          <w:highlight w:val="none"/>
        </w:rPr>
        <w:t>承包人承诺按合同约定承担工程的实施、完成及缺陷修复、保修。</w:t>
      </w:r>
    </w:p>
    <w:p w14:paraId="5B3875D6">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发包人承诺按合同约定的条件、时间和方式向承包人支付合同价款。</w:t>
      </w:r>
    </w:p>
    <w:p w14:paraId="0D124ABE">
      <w:pPr>
        <w:spacing w:line="400" w:lineRule="exact"/>
        <w:ind w:firstLine="480" w:firstLineChars="200"/>
        <w:rPr>
          <w:rFonts w:ascii="宋体" w:hAnsi="Calibri" w:cs="宋体"/>
          <w:color w:val="auto"/>
          <w:sz w:val="24"/>
          <w:highlight w:val="none"/>
        </w:rPr>
      </w:pPr>
      <w:r>
        <w:rPr>
          <w:rFonts w:ascii="宋体" w:hAnsi="宋体"/>
          <w:color w:val="auto"/>
          <w:sz w:val="24"/>
          <w:highlight w:val="none"/>
        </w:rPr>
        <w:t xml:space="preserve">9. </w:t>
      </w:r>
      <w:r>
        <w:rPr>
          <w:rFonts w:hint="eastAsia" w:ascii="宋体" w:hAnsi="宋体"/>
          <w:color w:val="auto"/>
          <w:sz w:val="24"/>
          <w:highlight w:val="none"/>
        </w:rPr>
        <w:t>承包人应按照监理人指示开工，接受监理人监督，工程期限为日历天，即自</w:t>
      </w:r>
      <w:r>
        <w:rPr>
          <w:rFonts w:ascii="宋体" w:hAnsi="宋体" w:cs="宋体"/>
          <w:color w:val="auto"/>
          <w:sz w:val="24"/>
          <w:highlight w:val="none"/>
          <w:u w:val="single"/>
        </w:rPr>
        <w:t>2020</w:t>
      </w:r>
      <w:r>
        <w:rPr>
          <w:rFonts w:hint="eastAsia" w:ascii="宋体" w:hAnsi="宋体" w:cs="宋体"/>
          <w:color w:val="auto"/>
          <w:sz w:val="24"/>
          <w:highlight w:val="none"/>
        </w:rPr>
        <w:t>年月日至年月日止。</w:t>
      </w:r>
    </w:p>
    <w:p w14:paraId="793D7CD7">
      <w:pPr>
        <w:spacing w:line="400" w:lineRule="exact"/>
        <w:ind w:firstLine="480" w:firstLineChars="200"/>
        <w:rPr>
          <w:rFonts w:ascii="宋体" w:hAnsi="Calibri"/>
          <w:color w:val="auto"/>
          <w:sz w:val="24"/>
          <w:highlight w:val="none"/>
        </w:rPr>
      </w:pPr>
      <w:r>
        <w:rPr>
          <w:rFonts w:ascii="宋体" w:hAnsi="宋体"/>
          <w:color w:val="auto"/>
          <w:sz w:val="24"/>
          <w:highlight w:val="none"/>
        </w:rPr>
        <w:t>10.</w:t>
      </w:r>
      <w:r>
        <w:rPr>
          <w:rFonts w:hint="eastAsia" w:ascii="宋体" w:hAnsi="宋体"/>
          <w:color w:val="auto"/>
          <w:sz w:val="24"/>
          <w:highlight w:val="none"/>
        </w:rPr>
        <w:t>承包人、监理单位、发包人三方都可以提出优化设计方案，最终以发包人审定同意为准。如承包人不按发包人规定的程序擅自变更的，发包人有权不予承认，并可追究承包人的相关责任。</w:t>
      </w:r>
    </w:p>
    <w:p w14:paraId="414EE17E">
      <w:pPr>
        <w:spacing w:line="400" w:lineRule="exact"/>
        <w:ind w:firstLine="480" w:firstLineChars="200"/>
        <w:rPr>
          <w:rFonts w:ascii="宋体" w:hAnsi="Calibri"/>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在施工过程中，如遇到进行必须工艺改变的情形，必须经发包人审核并书面同意后方可实施，因工艺改变增加或减少的工程量，需增加或减少工程价格的，由双方协商确定，双方应签订工程价款增加或减少确认书。</w:t>
      </w:r>
    </w:p>
    <w:p w14:paraId="13779BF5">
      <w:pPr>
        <w:spacing w:line="400" w:lineRule="exact"/>
        <w:ind w:firstLine="480" w:firstLineChars="200"/>
        <w:rPr>
          <w:rFonts w:ascii="宋体" w:hAnsi="Calibri"/>
          <w:color w:val="auto"/>
          <w:sz w:val="24"/>
          <w:highlight w:val="none"/>
        </w:rPr>
      </w:pPr>
      <w:r>
        <w:rPr>
          <w:rFonts w:ascii="宋体" w:hAnsi="宋体"/>
          <w:color w:val="auto"/>
          <w:sz w:val="24"/>
          <w:highlight w:val="none"/>
        </w:rPr>
        <w:t>12.</w:t>
      </w:r>
      <w:r>
        <w:rPr>
          <w:rFonts w:hint="eastAsia" w:ascii="宋体" w:hAnsi="宋体"/>
          <w:color w:val="auto"/>
          <w:sz w:val="24"/>
          <w:highlight w:val="none"/>
        </w:rPr>
        <w:t>承包人应当按照合同文件和本合同第</w:t>
      </w:r>
      <w:r>
        <w:rPr>
          <w:rFonts w:ascii="宋体" w:hAnsi="宋体"/>
          <w:color w:val="auto"/>
          <w:sz w:val="24"/>
          <w:highlight w:val="none"/>
        </w:rPr>
        <w:t>2</w:t>
      </w:r>
      <w:r>
        <w:rPr>
          <w:rFonts w:hint="eastAsia" w:ascii="宋体" w:hAnsi="宋体"/>
          <w:color w:val="auto"/>
          <w:sz w:val="24"/>
          <w:highlight w:val="none"/>
        </w:rPr>
        <w:t>条所列的其他合同文件规定完成施工进度，不能按期完成施工进度的属于承包人违约的情形，发包人有权在每一期支付进度款额度内收取</w:t>
      </w:r>
      <w:r>
        <w:rPr>
          <w:rFonts w:hint="eastAsia" w:ascii="宋体" w:hAnsi="宋体"/>
          <w:color w:val="auto"/>
          <w:sz w:val="24"/>
          <w:highlight w:val="none"/>
          <w:lang w:val="zh-CN"/>
        </w:rPr>
        <w:t>签约合同价款</w:t>
      </w:r>
      <w:r>
        <w:rPr>
          <w:rFonts w:ascii="宋体" w:hAnsi="宋体"/>
          <w:color w:val="auto"/>
          <w:sz w:val="24"/>
          <w:highlight w:val="none"/>
        </w:rPr>
        <w:t>5—</w:t>
      </w:r>
      <w:r>
        <w:rPr>
          <w:rFonts w:ascii="宋体" w:hAnsi="宋体"/>
          <w:color w:val="auto"/>
          <w:sz w:val="24"/>
          <w:highlight w:val="none"/>
          <w:lang w:val="zh-CN"/>
        </w:rPr>
        <w:t>15%</w:t>
      </w:r>
      <w:r>
        <w:rPr>
          <w:rFonts w:hint="eastAsia" w:ascii="宋体" w:hAnsi="宋体"/>
          <w:color w:val="auto"/>
          <w:sz w:val="24"/>
          <w:highlight w:val="none"/>
          <w:lang w:val="zh-CN"/>
        </w:rPr>
        <w:t>的违约金（视情节严重程度而定）</w:t>
      </w:r>
      <w:r>
        <w:rPr>
          <w:rFonts w:hint="eastAsia" w:ascii="宋体" w:hAnsi="宋体"/>
          <w:color w:val="auto"/>
          <w:sz w:val="24"/>
          <w:highlight w:val="none"/>
        </w:rPr>
        <w:t>。</w:t>
      </w:r>
    </w:p>
    <w:p w14:paraId="02CA1A6A">
      <w:pPr>
        <w:spacing w:line="400" w:lineRule="exact"/>
        <w:ind w:firstLine="480" w:firstLineChars="200"/>
        <w:rPr>
          <w:rFonts w:ascii="宋体" w:hAnsi="Calibri"/>
          <w:color w:val="auto"/>
          <w:sz w:val="24"/>
          <w:highlight w:val="none"/>
        </w:rPr>
      </w:pPr>
      <w:r>
        <w:rPr>
          <w:rFonts w:ascii="宋体" w:hAnsi="宋体"/>
          <w:color w:val="auto"/>
          <w:sz w:val="24"/>
          <w:highlight w:val="none"/>
        </w:rPr>
        <w:t>13.</w:t>
      </w:r>
      <w:r>
        <w:rPr>
          <w:rFonts w:hint="eastAsia" w:ascii="宋体" w:hAnsi="宋体"/>
          <w:color w:val="auto"/>
          <w:sz w:val="24"/>
          <w:highlight w:val="none"/>
        </w:rPr>
        <w:t>发包人按照承包人施工进度支付工程款，但在支付每一期进度款时发包人有权扣除百分之三（</w:t>
      </w:r>
      <w:r>
        <w:rPr>
          <w:rFonts w:ascii="宋体" w:hAnsi="宋体"/>
          <w:color w:val="auto"/>
          <w:sz w:val="24"/>
          <w:highlight w:val="none"/>
        </w:rPr>
        <w:t>3%</w:t>
      </w:r>
      <w:r>
        <w:rPr>
          <w:rFonts w:hint="eastAsia" w:ascii="宋体" w:hAnsi="宋体"/>
          <w:color w:val="auto"/>
          <w:sz w:val="24"/>
          <w:highlight w:val="none"/>
        </w:rPr>
        <w:t>）作为承包人质量保证金。质保期内，该工程出现的质量问题，由承包人负责修复，如承包人拒不履行修复义务的，发包人有权将质量保证金用于该工程的修复，质量保证金不足已完工工程价款的</w:t>
      </w:r>
      <w:r>
        <w:rPr>
          <w:rFonts w:ascii="宋体" w:hAnsi="宋体"/>
          <w:color w:val="auto"/>
          <w:sz w:val="24"/>
          <w:highlight w:val="none"/>
        </w:rPr>
        <w:t>3%</w:t>
      </w:r>
      <w:r>
        <w:rPr>
          <w:rFonts w:hint="eastAsia" w:ascii="宋体" w:hAnsi="宋体"/>
          <w:color w:val="auto"/>
          <w:sz w:val="24"/>
          <w:highlight w:val="none"/>
        </w:rPr>
        <w:t>时，发包人有权自下一期进度款中扣除或通知承包人补缴。</w:t>
      </w:r>
    </w:p>
    <w:p w14:paraId="5359ECBA">
      <w:pPr>
        <w:spacing w:line="400" w:lineRule="exact"/>
        <w:ind w:firstLine="480" w:firstLineChars="200"/>
        <w:rPr>
          <w:rFonts w:ascii="宋体" w:hAnsi="Calibri"/>
          <w:color w:val="auto"/>
          <w:sz w:val="24"/>
          <w:highlight w:val="none"/>
        </w:rPr>
      </w:pPr>
      <w:r>
        <w:rPr>
          <w:rFonts w:ascii="宋体" w:hAnsi="宋体"/>
          <w:color w:val="auto"/>
          <w:sz w:val="24"/>
          <w:highlight w:val="none"/>
        </w:rPr>
        <w:t>14.</w:t>
      </w:r>
      <w:r>
        <w:rPr>
          <w:rFonts w:hint="eastAsia" w:ascii="宋体" w:hAnsi="宋体"/>
          <w:color w:val="auto"/>
          <w:sz w:val="24"/>
          <w:highlight w:val="none"/>
          <w:lang w:val="zh-CN"/>
        </w:rPr>
        <w:t>本工程按工程进度支付进度款，合同内进度款支付限额为已完成合格工程量的</w:t>
      </w:r>
      <w:r>
        <w:rPr>
          <w:rFonts w:ascii="宋体" w:hAnsi="宋体"/>
          <w:color w:val="auto"/>
          <w:sz w:val="24"/>
          <w:highlight w:val="none"/>
          <w:lang w:val="zh-CN"/>
        </w:rPr>
        <w:t>80%</w:t>
      </w:r>
      <w:r>
        <w:rPr>
          <w:rFonts w:hint="eastAsia" w:ascii="宋体" w:hAnsi="宋体"/>
          <w:color w:val="auto"/>
          <w:sz w:val="24"/>
          <w:highlight w:val="none"/>
          <w:lang w:val="zh-CN"/>
        </w:rPr>
        <w:t>（提供完税证明），工程变更部分进度款待完工审计后一并支付，工程</w:t>
      </w:r>
      <w:r>
        <w:rPr>
          <w:rFonts w:hint="eastAsia" w:ascii="宋体" w:hAnsi="宋体" w:cs="黑体"/>
          <w:color w:val="auto"/>
          <w:sz w:val="24"/>
          <w:highlight w:val="none"/>
        </w:rPr>
        <w:t>质量评定验收</w:t>
      </w:r>
      <w:r>
        <w:rPr>
          <w:rFonts w:hint="eastAsia" w:ascii="宋体" w:hAnsi="宋体"/>
          <w:color w:val="auto"/>
          <w:sz w:val="24"/>
          <w:highlight w:val="none"/>
          <w:lang w:val="zh-CN"/>
        </w:rPr>
        <w:t>合格后支付至</w:t>
      </w:r>
      <w:r>
        <w:rPr>
          <w:rFonts w:ascii="宋体" w:hAnsi="宋体"/>
          <w:color w:val="auto"/>
          <w:sz w:val="24"/>
          <w:highlight w:val="none"/>
          <w:lang w:val="zh-CN"/>
        </w:rPr>
        <w:t>90%</w:t>
      </w:r>
      <w:r>
        <w:rPr>
          <w:rFonts w:hint="eastAsia" w:ascii="宋体" w:hAnsi="宋体"/>
          <w:color w:val="auto"/>
          <w:sz w:val="24"/>
          <w:highlight w:val="none"/>
          <w:lang w:val="zh-CN"/>
        </w:rPr>
        <w:t>，结算经审计部门审定后，工程款支付至结算总价的</w:t>
      </w:r>
      <w:r>
        <w:rPr>
          <w:rFonts w:ascii="宋体" w:hAnsi="宋体"/>
          <w:color w:val="auto"/>
          <w:sz w:val="24"/>
          <w:highlight w:val="none"/>
        </w:rPr>
        <w:t>97</w:t>
      </w:r>
      <w:r>
        <w:rPr>
          <w:rFonts w:ascii="宋体" w:hAnsi="宋体"/>
          <w:color w:val="auto"/>
          <w:sz w:val="24"/>
          <w:highlight w:val="none"/>
          <w:lang w:val="zh-CN"/>
        </w:rPr>
        <w:t>%</w:t>
      </w:r>
      <w:r>
        <w:rPr>
          <w:rFonts w:hint="eastAsia" w:ascii="宋体" w:hAnsi="宋体"/>
          <w:color w:val="auto"/>
          <w:sz w:val="24"/>
          <w:highlight w:val="none"/>
          <w:lang w:val="zh-CN"/>
        </w:rPr>
        <w:t>。剩余的</w:t>
      </w:r>
      <w:r>
        <w:rPr>
          <w:rFonts w:ascii="宋体" w:hAnsi="宋体"/>
          <w:color w:val="auto"/>
          <w:sz w:val="24"/>
          <w:highlight w:val="none"/>
        </w:rPr>
        <w:t>3%</w:t>
      </w:r>
      <w:r>
        <w:rPr>
          <w:rFonts w:hint="eastAsia" w:ascii="宋体" w:hAnsi="宋体"/>
          <w:color w:val="auto"/>
          <w:sz w:val="24"/>
          <w:highlight w:val="none"/>
        </w:rPr>
        <w:t>作为质量保证金，在扣除由承包人支付的相关费用后，发包人应自缺陷责任期届满之日起三十日内一次性付清。发包人因财政拨款延期，未能按时支付进度款的情形不构成发包人违约。</w:t>
      </w:r>
    </w:p>
    <w:p w14:paraId="1B6E31A0">
      <w:pPr>
        <w:spacing w:line="400" w:lineRule="exact"/>
        <w:ind w:firstLine="480" w:firstLineChars="200"/>
        <w:rPr>
          <w:rFonts w:ascii="宋体" w:hAnsi="Calibri"/>
          <w:color w:val="auto"/>
          <w:sz w:val="24"/>
          <w:highlight w:val="none"/>
        </w:rPr>
      </w:pPr>
      <w:r>
        <w:rPr>
          <w:rFonts w:ascii="宋体" w:hAnsi="宋体"/>
          <w:color w:val="auto"/>
          <w:sz w:val="24"/>
          <w:highlight w:val="none"/>
        </w:rPr>
        <w:t>15.</w:t>
      </w:r>
      <w:r>
        <w:rPr>
          <w:rFonts w:hint="eastAsia" w:ascii="宋体" w:hAnsi="宋体"/>
          <w:color w:val="auto"/>
          <w:sz w:val="24"/>
          <w:highlight w:val="none"/>
        </w:rPr>
        <w:t xml:space="preserve"> 本工程承包人应提供履约担保，履约担保为签约合同价款（中标价）的%，</w:t>
      </w:r>
      <w:r>
        <w:rPr>
          <w:rFonts w:hint="eastAsia" w:ascii="Calibri" w:hAnsi="Calibri"/>
          <w:color w:val="auto"/>
          <w:sz w:val="24"/>
          <w:highlight w:val="none"/>
        </w:rPr>
        <w:t>履约保证金期至项目质量评定合格</w:t>
      </w:r>
      <w:r>
        <w:rPr>
          <w:rFonts w:hint="eastAsia" w:ascii="宋体" w:hAnsi="宋体"/>
          <w:color w:val="auto"/>
          <w:sz w:val="24"/>
          <w:highlight w:val="none"/>
        </w:rPr>
        <w:t>之日止。</w:t>
      </w:r>
    </w:p>
    <w:p w14:paraId="1C0E72B2">
      <w:pPr>
        <w:spacing w:line="400" w:lineRule="exact"/>
        <w:ind w:firstLine="480" w:firstLineChars="200"/>
        <w:rPr>
          <w:rFonts w:ascii="宋体" w:hAnsi="Calibri"/>
          <w:color w:val="auto"/>
          <w:sz w:val="24"/>
          <w:highlight w:val="none"/>
        </w:rPr>
      </w:pPr>
      <w:r>
        <w:rPr>
          <w:rFonts w:ascii="宋体" w:hAnsi="宋体"/>
          <w:color w:val="auto"/>
          <w:sz w:val="24"/>
          <w:highlight w:val="none"/>
        </w:rPr>
        <w:t>16</w:t>
      </w:r>
      <w:r>
        <w:rPr>
          <w:rFonts w:hint="eastAsia" w:ascii="宋体" w:hAnsi="宋体"/>
          <w:color w:val="auto"/>
          <w:sz w:val="24"/>
          <w:highlight w:val="none"/>
        </w:rPr>
        <w:t>．本协议自双方法定代表人或其委托代理人签署并加盖单位章后生效，正本二份、副本二分份，合同双方各执正本一份，副本一份，当正本与副本的内容不一致时，以正本为准。全部工程完工并经竣交工验收合格、缺陷责任期满签发缺陷责任终止证书、保修期限届满后失效。</w:t>
      </w:r>
    </w:p>
    <w:p w14:paraId="26DA8F0D">
      <w:pPr>
        <w:spacing w:line="400" w:lineRule="exact"/>
        <w:ind w:firstLine="480" w:firstLineChars="200"/>
        <w:rPr>
          <w:rFonts w:ascii="宋体" w:hAnsi="Calibri"/>
          <w:color w:val="auto"/>
          <w:sz w:val="24"/>
          <w:highlight w:val="none"/>
        </w:rPr>
      </w:pPr>
      <w:r>
        <w:rPr>
          <w:rFonts w:ascii="宋体" w:hAnsi="宋体"/>
          <w:color w:val="auto"/>
          <w:sz w:val="24"/>
          <w:highlight w:val="none"/>
        </w:rPr>
        <w:t>17.</w:t>
      </w:r>
      <w:r>
        <w:rPr>
          <w:rFonts w:hint="eastAsia" w:ascii="宋体" w:hAnsi="宋体"/>
          <w:color w:val="auto"/>
          <w:sz w:val="24"/>
          <w:highlight w:val="none"/>
        </w:rPr>
        <w:t>合同未尽事宜，双方可另行签订补充协议。补充协议是合同的组成部分。因履行本协议发生的纠纷，双方均可以向合同签订地或合同履行地人民法院提起诉讼。</w:t>
      </w:r>
    </w:p>
    <w:p w14:paraId="41B41E76">
      <w:pPr>
        <w:spacing w:line="400" w:lineRule="exact"/>
        <w:ind w:firstLine="480" w:firstLineChars="200"/>
        <w:rPr>
          <w:rFonts w:ascii="宋体" w:hAnsi="Calibri"/>
          <w:color w:val="auto"/>
          <w:sz w:val="24"/>
          <w:highlight w:val="none"/>
        </w:rPr>
      </w:pPr>
    </w:p>
    <w:p w14:paraId="3CBABD5E">
      <w:pPr>
        <w:spacing w:line="400" w:lineRule="exact"/>
        <w:rPr>
          <w:rFonts w:ascii="宋体" w:hAnsi="Calibri"/>
          <w:color w:val="auto"/>
          <w:sz w:val="24"/>
          <w:highlight w:val="none"/>
        </w:rPr>
      </w:pPr>
    </w:p>
    <w:p w14:paraId="29494F52">
      <w:pPr>
        <w:spacing w:line="400" w:lineRule="exact"/>
        <w:rPr>
          <w:rFonts w:ascii="宋体" w:hAnsi="Calibri"/>
          <w:color w:val="auto"/>
          <w:sz w:val="24"/>
          <w:highlight w:val="none"/>
        </w:rPr>
      </w:pPr>
      <w:r>
        <w:rPr>
          <w:rFonts w:hint="eastAsia" w:ascii="宋体" w:hAnsi="宋体"/>
          <w:color w:val="auto"/>
          <w:sz w:val="24"/>
          <w:highlight w:val="none"/>
        </w:rPr>
        <w:t>发包人：（盖单位章）　　　　　承包人：（盖单位章）</w:t>
      </w:r>
    </w:p>
    <w:p w14:paraId="7FE9AA5A">
      <w:pPr>
        <w:spacing w:line="400" w:lineRule="exact"/>
        <w:rPr>
          <w:rFonts w:ascii="宋体" w:hAnsi="Calibri"/>
          <w:color w:val="auto"/>
          <w:sz w:val="24"/>
          <w:highlight w:val="none"/>
        </w:rPr>
      </w:pPr>
      <w:r>
        <w:rPr>
          <w:rFonts w:hint="eastAsia" w:ascii="宋体" w:hAnsi="宋体"/>
          <w:color w:val="auto"/>
          <w:sz w:val="24"/>
          <w:highlight w:val="none"/>
        </w:rPr>
        <w:t>法定代表人或其委托代理人：（签字）　　法定代表人或其委托代理人：（签字）</w:t>
      </w:r>
    </w:p>
    <w:p w14:paraId="1287E7BC">
      <w:pPr>
        <w:spacing w:line="400" w:lineRule="exact"/>
        <w:ind w:firstLine="840"/>
        <w:rPr>
          <w:rFonts w:hint="eastAsia" w:ascii="宋体" w:hAnsi="宋体"/>
          <w:color w:val="auto"/>
          <w:sz w:val="24"/>
          <w:highlight w:val="none"/>
        </w:rPr>
      </w:pPr>
      <w:r>
        <w:rPr>
          <w:rFonts w:hint="eastAsia" w:ascii="宋体" w:hAnsi="宋体"/>
          <w:color w:val="auto"/>
          <w:sz w:val="24"/>
          <w:highlight w:val="none"/>
        </w:rPr>
        <w:t>年月日年月日</w:t>
      </w:r>
      <w:bookmarkStart w:id="1026" w:name="_Toc445202865"/>
    </w:p>
    <w:p w14:paraId="516AE2E0">
      <w:pPr>
        <w:pStyle w:val="7"/>
        <w:rPr>
          <w:rFonts w:hint="eastAsia"/>
          <w:color w:val="auto"/>
          <w:highlight w:val="none"/>
        </w:rPr>
      </w:pPr>
    </w:p>
    <w:p w14:paraId="1EA98C73">
      <w:pPr>
        <w:keepNext/>
        <w:keepLines/>
        <w:spacing w:before="120" w:beforeLines="50" w:after="120" w:afterLines="50" w:line="400" w:lineRule="exact"/>
        <w:outlineLvl w:val="0"/>
        <w:rPr>
          <w:rFonts w:ascii="宋体" w:hAnsi="Calibri"/>
          <w:b/>
          <w:bCs/>
          <w:color w:val="auto"/>
          <w:kern w:val="44"/>
          <w:sz w:val="24"/>
          <w:highlight w:val="none"/>
        </w:rPr>
      </w:pPr>
      <w:bookmarkStart w:id="1027" w:name="_Toc22009"/>
      <w:r>
        <w:rPr>
          <w:rFonts w:hint="eastAsia" w:ascii="宋体" w:hAnsi="宋体"/>
          <w:b/>
          <w:bCs/>
          <w:color w:val="auto"/>
          <w:kern w:val="44"/>
          <w:sz w:val="24"/>
          <w:highlight w:val="none"/>
        </w:rPr>
        <w:t>附件二廉政合同</w:t>
      </w:r>
      <w:bookmarkEnd w:id="1026"/>
      <w:bookmarkEnd w:id="1027"/>
    </w:p>
    <w:p w14:paraId="1F39A432">
      <w:pPr>
        <w:spacing w:before="120" w:after="120"/>
        <w:jc w:val="center"/>
        <w:rPr>
          <w:rFonts w:ascii="宋体" w:hAnsi="Calibri"/>
          <w:b/>
          <w:color w:val="auto"/>
          <w:sz w:val="24"/>
          <w:highlight w:val="none"/>
        </w:rPr>
      </w:pPr>
      <w:r>
        <w:rPr>
          <w:rFonts w:hint="eastAsia" w:ascii="宋体" w:hAnsi="宋体"/>
          <w:b/>
          <w:color w:val="auto"/>
          <w:sz w:val="24"/>
          <w:highlight w:val="none"/>
        </w:rPr>
        <w:t>廉政合同</w:t>
      </w:r>
    </w:p>
    <w:p w14:paraId="1C423517">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采购项目名称）项目法人（项目法人名称，以下简称“发包人”）与该项目标段的施工单位（施工单位名称，以下简称“承包人”），特订立如下合同。</w:t>
      </w:r>
    </w:p>
    <w:p w14:paraId="75BE5B1A">
      <w:pPr>
        <w:spacing w:line="400" w:lineRule="exact"/>
        <w:ind w:firstLine="480" w:firstLineChars="20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．发包人和承包人双方的权利和义务</w:t>
      </w:r>
    </w:p>
    <w:p w14:paraId="30BC6E1B">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）严格遵守党的政策规定和国家有关法律法规及交通运输部的有关规定。</w:t>
      </w:r>
    </w:p>
    <w:p w14:paraId="3B394E4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）严格执行（采购项目名称）施工合同文件，自觉按合同办事。</w:t>
      </w:r>
    </w:p>
    <w:p w14:paraId="6417A5B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）双方的业务活动坚持公开、公正、诚信、透明的原则（法律认定的商业秘密和合同文件另有规定除外），不得损害国家和集体利益，不得违反工程建设管理规章制度。</w:t>
      </w:r>
    </w:p>
    <w:p w14:paraId="77A2E92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）建立健全廉政制度，开展廉政教育，设立廉政告示牌，公布举报电话，监督并认真查处违法违纪行为。</w:t>
      </w:r>
    </w:p>
    <w:p w14:paraId="3E0A69E5">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）发现对方在业务活动中有违反廉政规定的行为，有及时提醒对方纠正的权利和义务。</w:t>
      </w:r>
    </w:p>
    <w:p w14:paraId="1F42196A">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）发现对方严重违反本合同义务条款的行为，有向其上级有关部门举报、建议给予处理并要求告知处理结果的权利。</w:t>
      </w:r>
    </w:p>
    <w:p w14:paraId="3DEC4A42">
      <w:pPr>
        <w:spacing w:line="400" w:lineRule="exact"/>
        <w:ind w:firstLine="480" w:firstLineChars="20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．发包人的义务</w:t>
      </w:r>
    </w:p>
    <w:p w14:paraId="125C28A9">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）发包人及其工作人员不得索要或接受承包人的礼金、有价证券和贵重物品，不得让承包人报销任何应由发包人或发包人工作人员个人支付的费用等。</w:t>
      </w:r>
    </w:p>
    <w:p w14:paraId="1F9B8A8D">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）发包人工作人员不得参加承包人安排的超标准宴请和娱乐活动；不得接受承包人提供的通讯工具、交通工具和高档办公用品等。</w:t>
      </w:r>
    </w:p>
    <w:p w14:paraId="050A3B55">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）发包人及其工作人员不利要求或者接受承包人为其住房装修、婚丧嫁娶活动、配偶子女的工作安排以及出国出境、旅游等提供方便等。</w:t>
      </w:r>
    </w:p>
    <w:p w14:paraId="7C612EE3">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）发包人工作人员及其配偶、子女不得从事与发包人工作有关的材料设备供应、工程分包、劳务等经济活动等。</w:t>
      </w:r>
    </w:p>
    <w:p w14:paraId="2B79339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）发包人及期工作人员不得以任何理由向承包人推荐分包单位或推销材料，不得要求承包人购买合同规定外的材料和设备。</w:t>
      </w:r>
    </w:p>
    <w:p w14:paraId="6B03132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）发包人工作人员要秉公办事，不准营私舞弊，不准利用职权从事各种个人有偿中介活动和安排个人施工队伍。</w:t>
      </w:r>
    </w:p>
    <w:p w14:paraId="1994359A">
      <w:pPr>
        <w:spacing w:line="400" w:lineRule="exact"/>
        <w:ind w:firstLine="480" w:firstLineChars="20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．承包人的义务</w:t>
      </w:r>
    </w:p>
    <w:p w14:paraId="175788B9">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）承包人不得以任何理由向发包人及其工作人员行贿或馈赠礼金、有价证券、贵重礼品。</w:t>
      </w:r>
    </w:p>
    <w:p w14:paraId="22ADCE22">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）承包人不得以任何名义为发包人及其工作人员报销应由发包人单位或个人支付的任何费用。</w:t>
      </w:r>
    </w:p>
    <w:p w14:paraId="7F7BFAB4">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）承包人不得以任何理由安排发包人工作人员参加超标准宴请及娱乐活动。</w:t>
      </w:r>
    </w:p>
    <w:p w14:paraId="01A40F0A">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）承包人不得为发包人单位和个人购置或提供通讯工具、交通工具和高档办公用品等。</w:t>
      </w:r>
    </w:p>
    <w:p w14:paraId="41D2581C">
      <w:pPr>
        <w:spacing w:line="400" w:lineRule="exact"/>
        <w:ind w:firstLine="480" w:firstLineChars="20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．违约责任</w:t>
      </w:r>
    </w:p>
    <w:p w14:paraId="44F17DCB">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）发包人及其工作人员违反本合同第</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条，按管理权限，依据有关规定给予党纪、政纪或组织处理；涉嫌犯罪的，移交司法机关追究刑事责任；给承包人单位造成经济损失的，应予以赔偿。</w:t>
      </w:r>
    </w:p>
    <w:p w14:paraId="69174AC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）承包人及其工作人员违反本合同第</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条，按管理权限，依据有关规定给予党纪、政纪或组织处理；给发包人单位造成经济损失的，应予以赔偿；情节严重的，发包人建议交通主管部门给予承包人一至三年内不得进入其主管的公路建设市场的处罚。</w:t>
      </w:r>
    </w:p>
    <w:p w14:paraId="1557551B">
      <w:pPr>
        <w:spacing w:line="400" w:lineRule="exact"/>
        <w:ind w:firstLine="480" w:firstLineChars="200"/>
        <w:rPr>
          <w:rFonts w:ascii="宋体" w:hAnsi="Calibri"/>
          <w:color w:val="auto"/>
          <w:sz w:val="24"/>
          <w:highlight w:val="none"/>
        </w:rPr>
      </w:pPr>
      <w:r>
        <w:rPr>
          <w:rFonts w:ascii="宋体" w:hAnsi="宋体"/>
          <w:color w:val="auto"/>
          <w:sz w:val="24"/>
          <w:highlight w:val="none"/>
        </w:rPr>
        <w:t>5.</w:t>
      </w:r>
      <w:r>
        <w:rPr>
          <w:rFonts w:hint="eastAsia" w:ascii="宋体" w:hAnsi="宋体"/>
          <w:color w:val="auto"/>
          <w:sz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51D69C9">
      <w:pPr>
        <w:spacing w:line="400" w:lineRule="exact"/>
        <w:ind w:firstLine="480" w:firstLineChars="200"/>
        <w:rPr>
          <w:rFonts w:ascii="宋体" w:hAnsi="Calibri"/>
          <w:color w:val="auto"/>
          <w:sz w:val="24"/>
          <w:highlight w:val="none"/>
        </w:rPr>
      </w:pPr>
      <w:r>
        <w:rPr>
          <w:rFonts w:ascii="宋体" w:hAnsi="宋体"/>
          <w:color w:val="auto"/>
          <w:sz w:val="24"/>
          <w:highlight w:val="none"/>
        </w:rPr>
        <w:t>6.</w:t>
      </w:r>
      <w:r>
        <w:rPr>
          <w:rFonts w:hint="eastAsia" w:ascii="宋体" w:hAnsi="宋体"/>
          <w:color w:val="auto"/>
          <w:sz w:val="24"/>
          <w:highlight w:val="none"/>
        </w:rPr>
        <w:t>本合同有效期为发包人和承包人签署之日起至该工程项目竣工验收后止。</w:t>
      </w:r>
    </w:p>
    <w:p w14:paraId="4F7D6159">
      <w:pPr>
        <w:spacing w:line="400" w:lineRule="exact"/>
        <w:ind w:firstLine="480" w:firstLineChars="200"/>
        <w:rPr>
          <w:rFonts w:ascii="宋体" w:hAnsi="Calibri"/>
          <w:color w:val="auto"/>
          <w:sz w:val="24"/>
          <w:highlight w:val="none"/>
        </w:rPr>
      </w:pPr>
      <w:r>
        <w:rPr>
          <w:rFonts w:ascii="宋体" w:hAnsi="宋体"/>
          <w:color w:val="auto"/>
          <w:sz w:val="24"/>
          <w:highlight w:val="none"/>
        </w:rPr>
        <w:t>7</w:t>
      </w:r>
      <w:r>
        <w:rPr>
          <w:rFonts w:hint="eastAsia" w:ascii="宋体" w:hAnsi="宋体"/>
          <w:color w:val="auto"/>
          <w:sz w:val="24"/>
          <w:highlight w:val="none"/>
        </w:rPr>
        <w:t>．本合同作为（采购项目名称）施工合同的附件，与工程施工合同具有同等的法律效力，经合同双方签署后立即生效。</w:t>
      </w:r>
    </w:p>
    <w:p w14:paraId="16F5455E">
      <w:pPr>
        <w:spacing w:line="400" w:lineRule="exact"/>
        <w:ind w:firstLine="480" w:firstLineChars="200"/>
        <w:rPr>
          <w:rFonts w:ascii="宋体" w:hAnsi="Calibri"/>
          <w:color w:val="auto"/>
          <w:sz w:val="24"/>
          <w:highlight w:val="none"/>
        </w:rPr>
      </w:pPr>
      <w:r>
        <w:rPr>
          <w:rFonts w:ascii="宋体" w:hAnsi="宋体"/>
          <w:color w:val="auto"/>
          <w:sz w:val="24"/>
          <w:highlight w:val="none"/>
        </w:rPr>
        <w:t>8</w:t>
      </w:r>
      <w:r>
        <w:rPr>
          <w:rFonts w:hint="eastAsia" w:ascii="宋体" w:hAnsi="宋体"/>
          <w:color w:val="auto"/>
          <w:sz w:val="24"/>
          <w:highlight w:val="none"/>
        </w:rPr>
        <w:t>．本合同一式四份，由发包人和承包人各执</w:t>
      </w:r>
      <w:r>
        <w:rPr>
          <w:rFonts w:ascii="宋体" w:hAnsi="宋体"/>
          <w:color w:val="auto"/>
          <w:sz w:val="24"/>
          <w:highlight w:val="none"/>
        </w:rPr>
        <w:t>—</w:t>
      </w:r>
      <w:r>
        <w:rPr>
          <w:rFonts w:hint="eastAsia" w:ascii="宋体" w:hAnsi="宋体"/>
          <w:color w:val="auto"/>
          <w:sz w:val="24"/>
          <w:highlight w:val="none"/>
        </w:rPr>
        <w:t>份，送交发包人和承包人的监督单位各一份</w:t>
      </w:r>
    </w:p>
    <w:p w14:paraId="07D52B74">
      <w:pPr>
        <w:spacing w:line="400" w:lineRule="exact"/>
        <w:rPr>
          <w:rFonts w:ascii="宋体" w:hAnsi="Calibri"/>
          <w:color w:val="auto"/>
          <w:sz w:val="24"/>
          <w:highlight w:val="none"/>
        </w:rPr>
      </w:pPr>
    </w:p>
    <w:p w14:paraId="0C15A4DF">
      <w:pPr>
        <w:spacing w:line="400" w:lineRule="exact"/>
        <w:rPr>
          <w:rFonts w:ascii="宋体" w:hAnsi="Calibri"/>
          <w:color w:val="auto"/>
          <w:sz w:val="24"/>
          <w:highlight w:val="none"/>
        </w:rPr>
      </w:pPr>
      <w:r>
        <w:rPr>
          <w:rFonts w:hint="eastAsia" w:ascii="宋体" w:hAnsi="宋体"/>
          <w:color w:val="auto"/>
          <w:sz w:val="24"/>
          <w:highlight w:val="none"/>
        </w:rPr>
        <w:t>发包人：（盖单位章）承包人：（盖单位章）</w:t>
      </w:r>
    </w:p>
    <w:p w14:paraId="4445C098">
      <w:pPr>
        <w:spacing w:line="400" w:lineRule="exact"/>
        <w:rPr>
          <w:rFonts w:ascii="宋体" w:hAnsi="Calibri"/>
          <w:color w:val="auto"/>
          <w:sz w:val="24"/>
          <w:highlight w:val="none"/>
        </w:rPr>
      </w:pPr>
      <w:r>
        <w:rPr>
          <w:rFonts w:hint="eastAsia" w:ascii="宋体" w:hAnsi="宋体"/>
          <w:color w:val="auto"/>
          <w:sz w:val="24"/>
          <w:highlight w:val="none"/>
        </w:rPr>
        <w:t>法定代表人或其委托代理人：（签字）法定代表人或其委托代理人：（签字）</w:t>
      </w:r>
    </w:p>
    <w:p w14:paraId="7269F586">
      <w:pPr>
        <w:spacing w:line="400" w:lineRule="exact"/>
        <w:ind w:firstLine="840"/>
        <w:rPr>
          <w:rFonts w:ascii="宋体" w:hAnsi="Calibri"/>
          <w:color w:val="auto"/>
          <w:sz w:val="24"/>
          <w:highlight w:val="none"/>
        </w:rPr>
      </w:pPr>
      <w:r>
        <w:rPr>
          <w:rFonts w:hint="eastAsia" w:ascii="宋体" w:hAnsi="宋体"/>
          <w:color w:val="auto"/>
          <w:sz w:val="24"/>
          <w:highlight w:val="none"/>
        </w:rPr>
        <w:t>年月日年月日</w:t>
      </w:r>
    </w:p>
    <w:p w14:paraId="0D48B94F">
      <w:pPr>
        <w:spacing w:line="400" w:lineRule="exact"/>
        <w:rPr>
          <w:rFonts w:ascii="宋体" w:hAnsi="Calibri"/>
          <w:color w:val="auto"/>
          <w:sz w:val="24"/>
          <w:highlight w:val="none"/>
        </w:rPr>
      </w:pPr>
      <w:r>
        <w:rPr>
          <w:rFonts w:hint="eastAsia" w:ascii="宋体" w:hAnsi="宋体"/>
          <w:color w:val="auto"/>
          <w:sz w:val="24"/>
          <w:highlight w:val="none"/>
        </w:rPr>
        <w:t>发包人监督单位：</w:t>
      </w:r>
      <w:r>
        <w:rPr>
          <w:rFonts w:hint="eastAsia" w:ascii="宋体" w:hAnsi="宋体"/>
          <w:color w:val="auto"/>
          <w:sz w:val="24"/>
          <w:highlight w:val="none"/>
          <w:u w:val="single"/>
        </w:rPr>
        <w:t>（全称）（盖单位章）</w:t>
      </w:r>
      <w:r>
        <w:rPr>
          <w:rFonts w:hint="eastAsia" w:ascii="宋体" w:hAnsi="宋体"/>
          <w:color w:val="auto"/>
          <w:sz w:val="24"/>
          <w:highlight w:val="none"/>
        </w:rPr>
        <w:t>承包人监督单位：</w:t>
      </w:r>
      <w:r>
        <w:rPr>
          <w:rFonts w:hint="eastAsia" w:ascii="宋体" w:hAnsi="宋体"/>
          <w:color w:val="auto"/>
          <w:sz w:val="24"/>
          <w:highlight w:val="none"/>
          <w:u w:val="single"/>
        </w:rPr>
        <w:t>（全称）（盖单位章）</w:t>
      </w:r>
    </w:p>
    <w:p w14:paraId="42B35262">
      <w:pPr>
        <w:rPr>
          <w:rFonts w:ascii="宋体" w:hAnsi="Calibri"/>
          <w:color w:val="auto"/>
          <w:sz w:val="24"/>
          <w:highlight w:val="none"/>
        </w:rPr>
      </w:pPr>
    </w:p>
    <w:p w14:paraId="4CE6A97E">
      <w:pPr>
        <w:rPr>
          <w:rFonts w:ascii="宋体" w:hAnsi="Calibri"/>
          <w:color w:val="auto"/>
          <w:sz w:val="24"/>
          <w:highlight w:val="none"/>
        </w:rPr>
      </w:pPr>
    </w:p>
    <w:p w14:paraId="06659546">
      <w:pPr>
        <w:rPr>
          <w:rFonts w:ascii="宋体" w:hAnsi="Calibri"/>
          <w:color w:val="auto"/>
          <w:sz w:val="24"/>
          <w:highlight w:val="none"/>
        </w:rPr>
      </w:pPr>
    </w:p>
    <w:p w14:paraId="5E491F98">
      <w:pPr>
        <w:rPr>
          <w:rFonts w:ascii="宋体" w:hAnsi="Calibri"/>
          <w:color w:val="auto"/>
          <w:sz w:val="24"/>
          <w:highlight w:val="none"/>
        </w:rPr>
      </w:pPr>
    </w:p>
    <w:p w14:paraId="3EA01AE7">
      <w:pPr>
        <w:rPr>
          <w:rFonts w:ascii="宋体" w:hAnsi="Calibri"/>
          <w:color w:val="auto"/>
          <w:sz w:val="24"/>
          <w:highlight w:val="none"/>
        </w:rPr>
      </w:pPr>
    </w:p>
    <w:p w14:paraId="7653E383">
      <w:pPr>
        <w:rPr>
          <w:rFonts w:ascii="宋体" w:hAnsi="Calibri"/>
          <w:color w:val="auto"/>
          <w:sz w:val="24"/>
          <w:highlight w:val="none"/>
        </w:rPr>
      </w:pPr>
    </w:p>
    <w:p w14:paraId="26F2A5D3">
      <w:pPr>
        <w:rPr>
          <w:rFonts w:ascii="宋体" w:hAnsi="Calibri"/>
          <w:color w:val="auto"/>
          <w:sz w:val="24"/>
          <w:highlight w:val="none"/>
        </w:rPr>
      </w:pPr>
    </w:p>
    <w:p w14:paraId="5E0CAC2C">
      <w:pPr>
        <w:rPr>
          <w:rFonts w:ascii="宋体" w:hAnsi="Calibri"/>
          <w:color w:val="auto"/>
          <w:sz w:val="24"/>
          <w:highlight w:val="none"/>
        </w:rPr>
      </w:pPr>
    </w:p>
    <w:p w14:paraId="4F19134E">
      <w:pPr>
        <w:rPr>
          <w:rFonts w:ascii="宋体" w:hAnsi="Calibri"/>
          <w:color w:val="auto"/>
          <w:sz w:val="24"/>
          <w:highlight w:val="none"/>
        </w:rPr>
      </w:pPr>
    </w:p>
    <w:p w14:paraId="0D32DAD7">
      <w:pPr>
        <w:rPr>
          <w:rFonts w:ascii="宋体" w:hAnsi="Calibri"/>
          <w:color w:val="auto"/>
          <w:sz w:val="24"/>
          <w:highlight w:val="none"/>
        </w:rPr>
      </w:pPr>
    </w:p>
    <w:p w14:paraId="2E7DA29B">
      <w:pPr>
        <w:rPr>
          <w:rFonts w:ascii="宋体" w:hAnsi="Calibri"/>
          <w:color w:val="auto"/>
          <w:sz w:val="24"/>
          <w:highlight w:val="none"/>
        </w:rPr>
      </w:pPr>
    </w:p>
    <w:p w14:paraId="447EC105">
      <w:pPr>
        <w:rPr>
          <w:rFonts w:ascii="宋体" w:hAnsi="Calibri"/>
          <w:color w:val="auto"/>
          <w:sz w:val="24"/>
          <w:highlight w:val="none"/>
        </w:rPr>
      </w:pPr>
    </w:p>
    <w:p w14:paraId="644AF361">
      <w:pPr>
        <w:rPr>
          <w:rFonts w:ascii="宋体" w:hAnsi="Calibri"/>
          <w:color w:val="auto"/>
          <w:sz w:val="24"/>
          <w:highlight w:val="none"/>
        </w:rPr>
      </w:pPr>
    </w:p>
    <w:p w14:paraId="36A5AA1B">
      <w:pPr>
        <w:rPr>
          <w:rFonts w:ascii="宋体" w:hAnsi="Calibri"/>
          <w:color w:val="auto"/>
          <w:sz w:val="24"/>
          <w:highlight w:val="none"/>
        </w:rPr>
      </w:pPr>
    </w:p>
    <w:p w14:paraId="45778DCC">
      <w:pPr>
        <w:rPr>
          <w:rFonts w:ascii="宋体" w:hAnsi="Calibri"/>
          <w:color w:val="auto"/>
          <w:sz w:val="24"/>
          <w:highlight w:val="none"/>
        </w:rPr>
      </w:pPr>
    </w:p>
    <w:p w14:paraId="61B893E5">
      <w:pPr>
        <w:rPr>
          <w:rFonts w:ascii="宋体" w:hAnsi="Calibri"/>
          <w:color w:val="auto"/>
          <w:sz w:val="24"/>
          <w:highlight w:val="none"/>
        </w:rPr>
      </w:pPr>
    </w:p>
    <w:p w14:paraId="13579E70">
      <w:pPr>
        <w:rPr>
          <w:rFonts w:ascii="宋体" w:hAnsi="Calibri"/>
          <w:color w:val="auto"/>
          <w:sz w:val="24"/>
          <w:highlight w:val="none"/>
        </w:rPr>
      </w:pPr>
    </w:p>
    <w:p w14:paraId="0FE09DAB">
      <w:pPr>
        <w:keepNext/>
        <w:keepLines/>
        <w:spacing w:before="120" w:beforeLines="50" w:after="120" w:afterLines="50" w:line="400" w:lineRule="exact"/>
        <w:outlineLvl w:val="0"/>
        <w:rPr>
          <w:rFonts w:ascii="宋体" w:hAnsi="Calibri"/>
          <w:b/>
          <w:bCs/>
          <w:color w:val="auto"/>
          <w:kern w:val="44"/>
          <w:sz w:val="24"/>
          <w:highlight w:val="none"/>
        </w:rPr>
      </w:pPr>
      <w:bookmarkStart w:id="1028" w:name="_Toc16565"/>
      <w:bookmarkStart w:id="1029" w:name="_Toc445202866"/>
      <w:r>
        <w:rPr>
          <w:rFonts w:hint="eastAsia" w:ascii="宋体" w:hAnsi="宋体"/>
          <w:b/>
          <w:bCs/>
          <w:color w:val="auto"/>
          <w:kern w:val="44"/>
          <w:sz w:val="24"/>
          <w:highlight w:val="none"/>
        </w:rPr>
        <w:t>附件三安全生产合同</w:t>
      </w:r>
      <w:bookmarkEnd w:id="1028"/>
      <w:bookmarkEnd w:id="1029"/>
    </w:p>
    <w:p w14:paraId="4D696B37">
      <w:pPr>
        <w:spacing w:before="120" w:after="120"/>
        <w:jc w:val="center"/>
        <w:rPr>
          <w:rFonts w:ascii="宋体" w:hAnsi="Calibri"/>
          <w:b/>
          <w:color w:val="auto"/>
          <w:sz w:val="24"/>
          <w:highlight w:val="none"/>
        </w:rPr>
      </w:pPr>
      <w:r>
        <w:rPr>
          <w:rFonts w:hint="eastAsia" w:ascii="宋体" w:hAnsi="宋体"/>
          <w:b/>
          <w:color w:val="auto"/>
          <w:sz w:val="24"/>
          <w:highlight w:val="none"/>
        </w:rPr>
        <w:t>安全生产合同</w:t>
      </w:r>
    </w:p>
    <w:p w14:paraId="30475DAB">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为在（采购项目名称）（标段）施工合同的实施过程中创造安全、高效的施工环境，切实搞好本项目的安全管理工作，本项目发包人（发包人名称，以下简称“发包人”）与承包人（承包人名称，以下简称“承包人”）特此签订安全生产合同：</w:t>
      </w:r>
    </w:p>
    <w:p w14:paraId="525EF693">
      <w:pPr>
        <w:spacing w:line="400" w:lineRule="exact"/>
        <w:ind w:firstLine="480" w:firstLineChars="20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发包人职责</w:t>
      </w:r>
    </w:p>
    <w:p w14:paraId="70D9E29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）严格遵守国家有关安全生产的法律法规，认真执行工程承包合同中的有关安全要求。</w:t>
      </w:r>
    </w:p>
    <w:p w14:paraId="4FD5E7F5">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）按照“安全第一、预防为主”和坚持“管生产必须管安全”的原则进行安全生产管理，做到生产与安全工作同时计划、布置、检查、总结和评比。</w:t>
      </w:r>
    </w:p>
    <w:p w14:paraId="57551370">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）重要的安全设施必须坚持与主体工程“三同时”的原则，即：同时设计、审批，同时施工，同时验收，投入使用。</w:t>
      </w:r>
    </w:p>
    <w:p w14:paraId="2BB178B4">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）定期召开安全生产调度会，及时传达中央及地方有关安全生产的精神。</w:t>
      </w:r>
    </w:p>
    <w:p w14:paraId="0F31387A">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）组织对承包人施工现场安全生产检查，监督承包人及时处理发现的各种安全隐患。</w:t>
      </w:r>
    </w:p>
    <w:p w14:paraId="71FCF9C9">
      <w:pPr>
        <w:spacing w:line="400" w:lineRule="exact"/>
        <w:ind w:firstLine="480" w:firstLineChars="20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承包人职责</w:t>
      </w:r>
    </w:p>
    <w:p w14:paraId="22E3EAB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44FEA62">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9B5CCE2">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）建立健全安全生产责任制。从派往项目实施的项目经理到生产工人（包括临时雇请的民工）的安全生产管理系统必须做到纵向到底，</w:t>
      </w:r>
      <w:r>
        <w:rPr>
          <w:rFonts w:ascii="宋体" w:hAnsi="宋体"/>
          <w:color w:val="auto"/>
          <w:sz w:val="24"/>
          <w:highlight w:val="none"/>
        </w:rPr>
        <w:t>—</w:t>
      </w:r>
      <w:r>
        <w:rPr>
          <w:rFonts w:hint="eastAsia" w:ascii="宋体" w:hAnsi="宋体"/>
          <w:color w:val="auto"/>
          <w:sz w:val="24"/>
          <w:highlight w:val="none"/>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2EF48FD">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）承包人在任何时候都应采取各种合理的预防措施，防止其员工发生任何违法、违禁、暴力或妨碍治安的行为。</w:t>
      </w:r>
    </w:p>
    <w:p w14:paraId="6D1A825A">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F96CEC9">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B40CA92">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）操作人员上岗，必须按规定穿戴防护用品。施工负责人和安全检查员应随时检查劳动防护用品的穿戴情况，不按规定穿戴防护用品的人员不得上岗。</w:t>
      </w:r>
    </w:p>
    <w:p w14:paraId="7A6DB75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）所有施工机具设备和高空作业的设备均应定期检查，并有安全员的签字记录，保证其经常处于完好状态；不合格的机具、设备和劳动保护用品严禁使用：</w:t>
      </w:r>
    </w:p>
    <w:p w14:paraId="1B8D846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）施工中采用新技术、新工艺、新设备、新材料时，必须制定相应的安全技术措施，施工现场必须具有相关的安全标志牌。</w:t>
      </w:r>
    </w:p>
    <w:p w14:paraId="6283CAB4">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EF6E234">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）安全生产费用按照《公路水运工程安全生产监督管理办法》的相关规定使用和管理。</w:t>
      </w:r>
    </w:p>
    <w:p w14:paraId="008866CE">
      <w:pPr>
        <w:spacing w:line="400" w:lineRule="exact"/>
        <w:ind w:firstLine="600" w:firstLineChars="250"/>
        <w:rPr>
          <w:rFonts w:ascii="宋体" w:hAnsi="Calibri"/>
          <w:color w:val="auto"/>
          <w:sz w:val="24"/>
          <w:highlight w:val="none"/>
        </w:rPr>
      </w:pPr>
      <w:r>
        <w:rPr>
          <w:rFonts w:ascii="宋体" w:hAnsi="宋体"/>
          <w:color w:val="auto"/>
          <w:sz w:val="24"/>
          <w:highlight w:val="none"/>
        </w:rPr>
        <w:t xml:space="preserve">(12) </w:t>
      </w:r>
      <w:r>
        <w:rPr>
          <w:rFonts w:hint="eastAsia" w:ascii="宋体" w:hAnsi="宋体"/>
          <w:color w:val="auto"/>
          <w:sz w:val="24"/>
          <w:highlight w:val="none"/>
        </w:rPr>
        <w:t>安全生产严格按照《公路水运工程“平安工地”达标项目监督管理办法》的规定和管理。</w:t>
      </w:r>
    </w:p>
    <w:p w14:paraId="3B633BE7">
      <w:pPr>
        <w:spacing w:line="400" w:lineRule="exact"/>
        <w:ind w:firstLine="480" w:firstLineChars="20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违约责任</w:t>
      </w:r>
    </w:p>
    <w:p w14:paraId="7F0F3D7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如因发包人或承包人违约造成安全事故，将依法追究责任。</w:t>
      </w:r>
    </w:p>
    <w:p w14:paraId="5B0DD1EE">
      <w:pPr>
        <w:spacing w:line="400" w:lineRule="exact"/>
        <w:ind w:firstLine="480" w:firstLineChars="20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本合同由双方法定代表人或其授权的代理人签署并加盖单位章后生效，全部工程竣工验收后失效。</w:t>
      </w:r>
    </w:p>
    <w:p w14:paraId="54042240">
      <w:pPr>
        <w:spacing w:line="400" w:lineRule="exact"/>
        <w:ind w:firstLine="480" w:firstLineChars="200"/>
        <w:rPr>
          <w:rFonts w:ascii="宋体" w:hAnsi="Calibri"/>
          <w:color w:val="auto"/>
          <w:sz w:val="24"/>
          <w:highlight w:val="none"/>
        </w:rPr>
      </w:pPr>
      <w:r>
        <w:rPr>
          <w:rFonts w:ascii="宋体" w:hAnsi="宋体"/>
          <w:color w:val="auto"/>
          <w:sz w:val="24"/>
          <w:highlight w:val="none"/>
        </w:rPr>
        <w:t>5.</w:t>
      </w:r>
      <w:r>
        <w:rPr>
          <w:rFonts w:hint="eastAsia" w:ascii="宋体" w:hAnsi="宋体"/>
          <w:color w:val="auto"/>
          <w:sz w:val="24"/>
          <w:highlight w:val="none"/>
        </w:rPr>
        <w:t>本合同正本</w:t>
      </w:r>
      <w:r>
        <w:rPr>
          <w:rFonts w:ascii="宋体" w:hAnsi="宋体"/>
          <w:color w:val="auto"/>
          <w:sz w:val="24"/>
          <w:highlight w:val="none"/>
        </w:rPr>
        <w:t>—</w:t>
      </w:r>
      <w:r>
        <w:rPr>
          <w:rFonts w:hint="eastAsia" w:ascii="宋体" w:hAnsi="宋体"/>
          <w:color w:val="auto"/>
          <w:sz w:val="24"/>
          <w:highlight w:val="none"/>
        </w:rPr>
        <w:t>式二份，副本份，合同双方各执正本</w:t>
      </w:r>
      <w:r>
        <w:rPr>
          <w:rFonts w:ascii="宋体" w:hAnsi="宋体"/>
          <w:color w:val="auto"/>
          <w:sz w:val="24"/>
          <w:highlight w:val="none"/>
        </w:rPr>
        <w:t>—</w:t>
      </w:r>
      <w:r>
        <w:rPr>
          <w:rFonts w:hint="eastAsia" w:ascii="宋体" w:hAnsi="宋体"/>
          <w:color w:val="auto"/>
          <w:sz w:val="24"/>
          <w:highlight w:val="none"/>
        </w:rPr>
        <w:t>份，副本份，当正本与副本的内容不一致时，以正本为准。</w:t>
      </w:r>
    </w:p>
    <w:p w14:paraId="4628C991">
      <w:pPr>
        <w:rPr>
          <w:rFonts w:ascii="宋体" w:hAnsi="Calibri"/>
          <w:color w:val="auto"/>
          <w:sz w:val="24"/>
          <w:highlight w:val="none"/>
        </w:rPr>
      </w:pPr>
    </w:p>
    <w:p w14:paraId="281122C4">
      <w:pPr>
        <w:spacing w:line="400" w:lineRule="exact"/>
        <w:rPr>
          <w:rFonts w:ascii="宋体" w:hAnsi="Calibri"/>
          <w:color w:val="auto"/>
          <w:sz w:val="24"/>
          <w:highlight w:val="none"/>
        </w:rPr>
      </w:pPr>
      <w:r>
        <w:rPr>
          <w:rFonts w:hint="eastAsia" w:ascii="宋体" w:hAnsi="宋体"/>
          <w:color w:val="auto"/>
          <w:sz w:val="24"/>
          <w:highlight w:val="none"/>
        </w:rPr>
        <w:t>发包人：（盖单位章）承包人：（盖单位章）</w:t>
      </w:r>
    </w:p>
    <w:p w14:paraId="11034338">
      <w:pPr>
        <w:spacing w:line="400" w:lineRule="exact"/>
        <w:rPr>
          <w:rFonts w:ascii="宋体" w:hAnsi="Calibri"/>
          <w:color w:val="auto"/>
          <w:sz w:val="24"/>
          <w:highlight w:val="none"/>
        </w:rPr>
      </w:pPr>
      <w:r>
        <w:rPr>
          <w:rFonts w:hint="eastAsia" w:ascii="宋体" w:hAnsi="宋体"/>
          <w:color w:val="auto"/>
          <w:sz w:val="24"/>
          <w:highlight w:val="none"/>
        </w:rPr>
        <w:t>法定代表人或其委托代理人：（签字）法定代表人或其委托代理人：（签字）</w:t>
      </w:r>
    </w:p>
    <w:p w14:paraId="30E18EBE">
      <w:pPr>
        <w:spacing w:line="400" w:lineRule="exact"/>
        <w:ind w:firstLine="840"/>
        <w:rPr>
          <w:rFonts w:ascii="宋体" w:hAnsi="Calibri"/>
          <w:color w:val="auto"/>
          <w:sz w:val="24"/>
          <w:highlight w:val="none"/>
        </w:rPr>
      </w:pPr>
      <w:r>
        <w:rPr>
          <w:rFonts w:hint="eastAsia" w:ascii="宋体" w:hAnsi="宋体"/>
          <w:color w:val="auto"/>
          <w:sz w:val="24"/>
          <w:highlight w:val="none"/>
        </w:rPr>
        <w:t>年月日年月日</w:t>
      </w:r>
    </w:p>
    <w:p w14:paraId="1323B279">
      <w:pPr>
        <w:spacing w:line="400" w:lineRule="exact"/>
        <w:ind w:firstLine="840"/>
        <w:rPr>
          <w:rFonts w:ascii="宋体" w:hAnsi="Calibri"/>
          <w:color w:val="auto"/>
          <w:sz w:val="24"/>
          <w:highlight w:val="none"/>
        </w:rPr>
      </w:pPr>
    </w:p>
    <w:p w14:paraId="128F769D">
      <w:pPr>
        <w:spacing w:line="400" w:lineRule="exact"/>
        <w:ind w:firstLine="840"/>
        <w:rPr>
          <w:rFonts w:ascii="宋体" w:hAnsi="Calibri"/>
          <w:color w:val="auto"/>
          <w:sz w:val="24"/>
          <w:highlight w:val="none"/>
        </w:rPr>
      </w:pPr>
    </w:p>
    <w:p w14:paraId="5B236EB3">
      <w:pPr>
        <w:spacing w:line="400" w:lineRule="exact"/>
        <w:ind w:firstLine="840"/>
        <w:rPr>
          <w:rFonts w:ascii="宋体" w:hAnsi="Calibri"/>
          <w:color w:val="auto"/>
          <w:sz w:val="24"/>
          <w:highlight w:val="none"/>
        </w:rPr>
      </w:pPr>
    </w:p>
    <w:p w14:paraId="3A3B50DE">
      <w:pPr>
        <w:spacing w:line="400" w:lineRule="exact"/>
        <w:ind w:firstLine="840"/>
        <w:rPr>
          <w:rFonts w:ascii="宋体" w:hAnsi="Calibri"/>
          <w:color w:val="auto"/>
          <w:sz w:val="24"/>
          <w:highlight w:val="none"/>
        </w:rPr>
      </w:pPr>
    </w:p>
    <w:p w14:paraId="1AE61922">
      <w:pPr>
        <w:spacing w:line="400" w:lineRule="exact"/>
        <w:ind w:firstLine="840"/>
        <w:rPr>
          <w:rFonts w:ascii="宋体" w:hAnsi="Calibri"/>
          <w:color w:val="auto"/>
          <w:sz w:val="24"/>
          <w:highlight w:val="none"/>
        </w:rPr>
      </w:pPr>
    </w:p>
    <w:p w14:paraId="053BD722">
      <w:pPr>
        <w:spacing w:line="400" w:lineRule="exact"/>
        <w:ind w:firstLine="840"/>
        <w:rPr>
          <w:rFonts w:ascii="宋体" w:hAnsi="Calibri"/>
          <w:color w:val="auto"/>
          <w:sz w:val="24"/>
          <w:highlight w:val="none"/>
        </w:rPr>
      </w:pPr>
    </w:p>
    <w:p w14:paraId="0A256928">
      <w:pPr>
        <w:rPr>
          <w:rFonts w:ascii="Calibri" w:hAnsi="Calibri"/>
          <w:color w:val="auto"/>
          <w:highlight w:val="none"/>
        </w:rPr>
      </w:pPr>
      <w:bookmarkStart w:id="1030" w:name="_Toc445202867"/>
      <w:bookmarkStart w:id="1031" w:name="_Toc335573743"/>
    </w:p>
    <w:p w14:paraId="43693C3F">
      <w:pPr>
        <w:keepNext/>
        <w:keepLines/>
        <w:spacing w:before="120" w:beforeLines="50" w:after="120" w:afterLines="50" w:line="480" w:lineRule="exact"/>
        <w:outlineLvl w:val="0"/>
        <w:rPr>
          <w:rFonts w:ascii="宋体" w:hAnsi="Calibri"/>
          <w:b/>
          <w:bCs/>
          <w:color w:val="auto"/>
          <w:kern w:val="44"/>
          <w:sz w:val="24"/>
          <w:highlight w:val="none"/>
        </w:rPr>
      </w:pPr>
      <w:bookmarkStart w:id="1032" w:name="_Toc5287"/>
      <w:r>
        <w:rPr>
          <w:rFonts w:hint="eastAsia" w:ascii="宋体" w:hAnsi="宋体"/>
          <w:b/>
          <w:bCs/>
          <w:color w:val="auto"/>
          <w:kern w:val="44"/>
          <w:sz w:val="24"/>
          <w:highlight w:val="none"/>
        </w:rPr>
        <w:t>附件四项目经理委托书</w:t>
      </w:r>
      <w:bookmarkEnd w:id="1030"/>
      <w:bookmarkEnd w:id="1031"/>
      <w:bookmarkEnd w:id="1032"/>
    </w:p>
    <w:p w14:paraId="68819034">
      <w:pPr>
        <w:spacing w:line="400" w:lineRule="exact"/>
        <w:rPr>
          <w:rFonts w:ascii="宋体" w:hAnsi="Calibri"/>
          <w:color w:val="auto"/>
          <w:sz w:val="24"/>
          <w:highlight w:val="none"/>
        </w:rPr>
      </w:pPr>
    </w:p>
    <w:p w14:paraId="01AA8D8E">
      <w:pPr>
        <w:spacing w:line="400" w:lineRule="exact"/>
        <w:jc w:val="center"/>
        <w:rPr>
          <w:rFonts w:ascii="宋体" w:hAnsi="Calibri"/>
          <w:color w:val="auto"/>
          <w:sz w:val="24"/>
          <w:highlight w:val="none"/>
          <w:u w:val="single"/>
        </w:rPr>
      </w:pPr>
      <w:r>
        <w:rPr>
          <w:rFonts w:hint="eastAsia" w:ascii="宋体" w:hAnsi="宋体"/>
          <w:color w:val="auto"/>
          <w:sz w:val="24"/>
          <w:highlight w:val="none"/>
          <w:u w:val="single"/>
        </w:rPr>
        <w:t>（承包人全称）</w:t>
      </w:r>
    </w:p>
    <w:p w14:paraId="228CE5B6">
      <w:pPr>
        <w:spacing w:line="400" w:lineRule="exact"/>
        <w:jc w:val="center"/>
        <w:rPr>
          <w:rFonts w:ascii="宋体" w:hAnsi="Calibri"/>
          <w:color w:val="auto"/>
          <w:sz w:val="24"/>
          <w:highlight w:val="none"/>
          <w:u w:val="single"/>
        </w:rPr>
      </w:pPr>
      <w:r>
        <w:rPr>
          <w:rFonts w:hint="eastAsia" w:ascii="宋体" w:hAnsi="宋体"/>
          <w:color w:val="auto"/>
          <w:sz w:val="24"/>
          <w:highlight w:val="none"/>
          <w:u w:val="single"/>
        </w:rPr>
        <w:t>（合同工程名称）项目经理委任书</w:t>
      </w:r>
    </w:p>
    <w:p w14:paraId="0DA1D31B">
      <w:pPr>
        <w:spacing w:line="400" w:lineRule="exact"/>
        <w:rPr>
          <w:rFonts w:ascii="宋体" w:hAnsi="Calibri"/>
          <w:color w:val="auto"/>
          <w:sz w:val="24"/>
          <w:highlight w:val="none"/>
        </w:rPr>
      </w:pPr>
    </w:p>
    <w:p w14:paraId="3F044B54">
      <w:pPr>
        <w:spacing w:line="400" w:lineRule="exact"/>
        <w:rPr>
          <w:rFonts w:ascii="宋体" w:hAnsi="Calibri"/>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（发包人全称</w:t>
      </w:r>
      <w:r>
        <w:rPr>
          <w:rFonts w:hint="eastAsia" w:ascii="宋体" w:hAnsi="宋体"/>
          <w:color w:val="auto"/>
          <w:sz w:val="24"/>
          <w:highlight w:val="none"/>
        </w:rPr>
        <w:t>）</w:t>
      </w:r>
    </w:p>
    <w:p w14:paraId="2753C9B2">
      <w:pPr>
        <w:spacing w:line="400" w:lineRule="exact"/>
        <w:ind w:firstLine="480" w:firstLineChars="200"/>
        <w:rPr>
          <w:rFonts w:ascii="宋体" w:hAnsi="Calibri"/>
          <w:color w:val="auto"/>
          <w:sz w:val="24"/>
          <w:highlight w:val="none"/>
        </w:rPr>
      </w:pPr>
      <w:r>
        <w:rPr>
          <w:rFonts w:hint="eastAsia" w:ascii="宋体" w:hAnsi="宋体"/>
          <w:color w:val="auto"/>
          <w:sz w:val="24"/>
          <w:highlight w:val="none"/>
          <w:u w:val="single"/>
        </w:rPr>
        <w:t>（承包人全称）</w:t>
      </w:r>
      <w:r>
        <w:rPr>
          <w:rFonts w:hint="eastAsia" w:ascii="宋体" w:hAnsi="宋体"/>
          <w:color w:val="auto"/>
          <w:sz w:val="24"/>
          <w:highlight w:val="none"/>
        </w:rPr>
        <w:t>法定代表人</w:t>
      </w:r>
      <w:r>
        <w:rPr>
          <w:rFonts w:hint="eastAsia" w:ascii="宋体" w:hAnsi="宋体"/>
          <w:color w:val="auto"/>
          <w:sz w:val="24"/>
          <w:highlight w:val="none"/>
          <w:u w:val="single"/>
        </w:rPr>
        <w:t>（职务、姓名）</w:t>
      </w:r>
      <w:r>
        <w:rPr>
          <w:rFonts w:hint="eastAsia" w:ascii="宋体" w:hAnsi="宋体"/>
          <w:color w:val="auto"/>
          <w:sz w:val="24"/>
          <w:highlight w:val="none"/>
        </w:rPr>
        <w:t>代表本单位委任</w:t>
      </w:r>
      <w:r>
        <w:rPr>
          <w:rFonts w:hint="eastAsia" w:ascii="宋体" w:hAnsi="宋体"/>
          <w:color w:val="auto"/>
          <w:sz w:val="24"/>
          <w:highlight w:val="none"/>
          <w:u w:val="single"/>
        </w:rPr>
        <w:t>（职务、姓名）</w:t>
      </w:r>
      <w:r>
        <w:rPr>
          <w:rFonts w:hint="eastAsia" w:ascii="宋体" w:hAnsi="宋体"/>
          <w:color w:val="auto"/>
          <w:sz w:val="24"/>
          <w:highlight w:val="none"/>
        </w:rPr>
        <w:t>为</w:t>
      </w:r>
      <w:r>
        <w:rPr>
          <w:rFonts w:hint="eastAsia" w:ascii="宋体" w:hAnsi="宋体"/>
          <w:color w:val="auto"/>
          <w:sz w:val="24"/>
          <w:highlight w:val="none"/>
          <w:u w:val="single"/>
        </w:rPr>
        <w:t>（合同工程名称）</w:t>
      </w:r>
      <w:r>
        <w:rPr>
          <w:rFonts w:hint="eastAsia" w:ascii="宋体" w:hAnsi="宋体"/>
          <w:color w:val="auto"/>
          <w:sz w:val="24"/>
          <w:highlight w:val="none"/>
        </w:rPr>
        <w:t>的项目经理。凡本合同执行中的有关技术、工程进度、现场管理、质量检验、结算与支付等方面工作，由</w:t>
      </w:r>
      <w:r>
        <w:rPr>
          <w:rFonts w:hint="eastAsia" w:ascii="宋体" w:hAnsi="宋体"/>
          <w:color w:val="auto"/>
          <w:sz w:val="24"/>
          <w:highlight w:val="none"/>
          <w:u w:val="single"/>
        </w:rPr>
        <w:t>（姓名）</w:t>
      </w:r>
      <w:r>
        <w:rPr>
          <w:rFonts w:hint="eastAsia" w:ascii="宋体" w:hAnsi="宋体"/>
          <w:color w:val="auto"/>
          <w:sz w:val="24"/>
          <w:highlight w:val="none"/>
        </w:rPr>
        <w:t>代表本单位全面负责。</w:t>
      </w:r>
    </w:p>
    <w:p w14:paraId="331815D8">
      <w:pPr>
        <w:spacing w:line="400" w:lineRule="exact"/>
        <w:rPr>
          <w:rFonts w:ascii="宋体" w:hAnsi="Calibri"/>
          <w:color w:val="auto"/>
          <w:sz w:val="24"/>
          <w:highlight w:val="none"/>
        </w:rPr>
      </w:pPr>
    </w:p>
    <w:p w14:paraId="143DC6D7">
      <w:pPr>
        <w:wordWrap w:val="0"/>
        <w:spacing w:line="400" w:lineRule="exact"/>
        <w:jc w:val="right"/>
        <w:rPr>
          <w:rFonts w:ascii="宋体" w:hAnsi="Calibri"/>
          <w:color w:val="auto"/>
          <w:sz w:val="24"/>
          <w:highlight w:val="none"/>
        </w:rPr>
      </w:pPr>
      <w:r>
        <w:rPr>
          <w:rFonts w:hint="eastAsia" w:ascii="宋体" w:hAnsi="宋体"/>
          <w:color w:val="auto"/>
          <w:sz w:val="24"/>
          <w:highlight w:val="none"/>
        </w:rPr>
        <w:t>承包人：（盖单位章）</w:t>
      </w:r>
    </w:p>
    <w:p w14:paraId="28D2347C">
      <w:pPr>
        <w:wordWrap w:val="0"/>
        <w:spacing w:line="400" w:lineRule="exact"/>
        <w:jc w:val="right"/>
        <w:rPr>
          <w:rFonts w:ascii="宋体" w:hAnsi="Calibri"/>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（职务）</w:t>
      </w:r>
    </w:p>
    <w:p w14:paraId="3F2ADEA1">
      <w:pPr>
        <w:wordWrap w:val="0"/>
        <w:spacing w:line="400" w:lineRule="exact"/>
        <w:ind w:firstLine="1800" w:firstLineChars="750"/>
        <w:jc w:val="right"/>
        <w:rPr>
          <w:rFonts w:ascii="宋体" w:hAnsi="Calibri"/>
          <w:color w:val="auto"/>
          <w:sz w:val="24"/>
          <w:highlight w:val="none"/>
          <w:u w:val="single"/>
        </w:rPr>
      </w:pPr>
      <w:r>
        <w:rPr>
          <w:rFonts w:hint="eastAsia" w:ascii="宋体" w:hAnsi="宋体"/>
          <w:color w:val="auto"/>
          <w:sz w:val="24"/>
          <w:highlight w:val="none"/>
          <w:u w:val="single"/>
        </w:rPr>
        <w:t>（姓名）</w:t>
      </w:r>
    </w:p>
    <w:p w14:paraId="63030651">
      <w:pPr>
        <w:wordWrap w:val="0"/>
        <w:spacing w:line="400" w:lineRule="exact"/>
        <w:ind w:firstLine="1800" w:firstLineChars="750"/>
        <w:jc w:val="right"/>
        <w:rPr>
          <w:rFonts w:ascii="宋体" w:hAnsi="Calibri"/>
          <w:color w:val="auto"/>
          <w:sz w:val="24"/>
          <w:highlight w:val="none"/>
          <w:u w:val="single"/>
        </w:rPr>
      </w:pPr>
      <w:r>
        <w:rPr>
          <w:rFonts w:hint="eastAsia" w:ascii="宋体" w:hAnsi="宋体"/>
          <w:color w:val="auto"/>
          <w:sz w:val="24"/>
          <w:highlight w:val="none"/>
          <w:u w:val="single"/>
        </w:rPr>
        <w:t>（签字）</w:t>
      </w:r>
    </w:p>
    <w:p w14:paraId="61378DB7">
      <w:pPr>
        <w:spacing w:line="400" w:lineRule="exact"/>
        <w:rPr>
          <w:rFonts w:ascii="宋体" w:hAnsi="Calibri"/>
          <w:color w:val="auto"/>
          <w:sz w:val="24"/>
          <w:highlight w:val="none"/>
        </w:rPr>
      </w:pPr>
    </w:p>
    <w:p w14:paraId="37E54DA0">
      <w:pPr>
        <w:wordWrap w:val="0"/>
        <w:spacing w:line="400" w:lineRule="exact"/>
        <w:jc w:val="right"/>
        <w:rPr>
          <w:rFonts w:ascii="宋体" w:hAnsi="Calibri"/>
          <w:color w:val="auto"/>
          <w:sz w:val="24"/>
          <w:highlight w:val="none"/>
        </w:rPr>
      </w:pPr>
      <w:r>
        <w:rPr>
          <w:rFonts w:hint="eastAsia" w:ascii="宋体" w:hAnsi="宋体"/>
          <w:color w:val="auto"/>
          <w:sz w:val="24"/>
          <w:highlight w:val="none"/>
        </w:rPr>
        <w:t>年月日</w:t>
      </w:r>
    </w:p>
    <w:p w14:paraId="55D990F7">
      <w:pPr>
        <w:spacing w:line="400" w:lineRule="exact"/>
        <w:rPr>
          <w:rFonts w:ascii="宋体" w:hAnsi="Calibri"/>
          <w:color w:val="auto"/>
          <w:sz w:val="24"/>
          <w:highlight w:val="none"/>
        </w:rPr>
      </w:pPr>
    </w:p>
    <w:p w14:paraId="3152E0AE">
      <w:pPr>
        <w:spacing w:line="400" w:lineRule="exact"/>
        <w:rPr>
          <w:rFonts w:ascii="宋体" w:hAnsi="Calibri"/>
          <w:color w:val="auto"/>
          <w:sz w:val="24"/>
          <w:highlight w:val="none"/>
        </w:rPr>
      </w:pPr>
      <w:r>
        <w:rPr>
          <w:rFonts w:hint="eastAsia" w:ascii="宋体" w:hAnsi="宋体"/>
          <w:color w:val="auto"/>
          <w:sz w:val="24"/>
          <w:highlight w:val="none"/>
        </w:rPr>
        <w:t>抄送：（监理人）</w:t>
      </w:r>
    </w:p>
    <w:p w14:paraId="065F0CE8">
      <w:pPr>
        <w:rPr>
          <w:rFonts w:ascii="宋体" w:hAnsi="Calibri"/>
          <w:color w:val="auto"/>
          <w:sz w:val="24"/>
          <w:highlight w:val="none"/>
        </w:rPr>
      </w:pPr>
    </w:p>
    <w:p w14:paraId="5D174458">
      <w:pPr>
        <w:rPr>
          <w:rFonts w:ascii="宋体" w:hAnsi="Calibri"/>
          <w:color w:val="auto"/>
          <w:sz w:val="24"/>
          <w:highlight w:val="none"/>
        </w:rPr>
      </w:pPr>
    </w:p>
    <w:p w14:paraId="797165C0">
      <w:pPr>
        <w:rPr>
          <w:rFonts w:ascii="宋体" w:hAnsi="Calibri"/>
          <w:color w:val="auto"/>
          <w:sz w:val="24"/>
          <w:highlight w:val="none"/>
        </w:rPr>
      </w:pPr>
    </w:p>
    <w:p w14:paraId="6DF8E406">
      <w:pPr>
        <w:rPr>
          <w:rFonts w:ascii="宋体" w:hAnsi="Calibri"/>
          <w:color w:val="auto"/>
          <w:sz w:val="24"/>
          <w:highlight w:val="none"/>
        </w:rPr>
      </w:pPr>
    </w:p>
    <w:p w14:paraId="2B0A61DD">
      <w:pPr>
        <w:rPr>
          <w:rFonts w:ascii="宋体" w:hAnsi="Calibri"/>
          <w:color w:val="auto"/>
          <w:sz w:val="24"/>
          <w:highlight w:val="none"/>
        </w:rPr>
      </w:pPr>
    </w:p>
    <w:p w14:paraId="26E88193">
      <w:pPr>
        <w:rPr>
          <w:rFonts w:ascii="宋体" w:hAnsi="Calibri"/>
          <w:color w:val="auto"/>
          <w:sz w:val="24"/>
          <w:highlight w:val="none"/>
        </w:rPr>
      </w:pPr>
    </w:p>
    <w:p w14:paraId="551D38FF">
      <w:pPr>
        <w:rPr>
          <w:rFonts w:ascii="宋体" w:hAnsi="Calibri"/>
          <w:color w:val="auto"/>
          <w:sz w:val="24"/>
          <w:highlight w:val="none"/>
        </w:rPr>
      </w:pPr>
    </w:p>
    <w:p w14:paraId="195B2707">
      <w:pPr>
        <w:rPr>
          <w:rFonts w:ascii="宋体" w:hAnsi="Calibri"/>
          <w:color w:val="auto"/>
          <w:sz w:val="24"/>
          <w:highlight w:val="none"/>
        </w:rPr>
      </w:pPr>
    </w:p>
    <w:p w14:paraId="4B6CAB7C">
      <w:pPr>
        <w:rPr>
          <w:rFonts w:ascii="宋体" w:hAnsi="Calibri"/>
          <w:color w:val="auto"/>
          <w:sz w:val="24"/>
          <w:highlight w:val="none"/>
        </w:rPr>
      </w:pPr>
    </w:p>
    <w:p w14:paraId="6EB2B5A0">
      <w:pPr>
        <w:rPr>
          <w:rFonts w:ascii="宋体" w:hAnsi="Calibri"/>
          <w:color w:val="auto"/>
          <w:sz w:val="24"/>
          <w:highlight w:val="none"/>
        </w:rPr>
      </w:pPr>
    </w:p>
    <w:p w14:paraId="18E36037">
      <w:pPr>
        <w:rPr>
          <w:rFonts w:ascii="宋体" w:hAnsi="Calibri"/>
          <w:color w:val="auto"/>
          <w:sz w:val="24"/>
          <w:highlight w:val="none"/>
        </w:rPr>
      </w:pPr>
    </w:p>
    <w:p w14:paraId="2CEEDF8B">
      <w:pPr>
        <w:rPr>
          <w:rFonts w:ascii="宋体" w:hAnsi="Calibri"/>
          <w:color w:val="auto"/>
          <w:sz w:val="24"/>
          <w:highlight w:val="none"/>
        </w:rPr>
      </w:pPr>
    </w:p>
    <w:p w14:paraId="44CE394A">
      <w:pPr>
        <w:rPr>
          <w:rFonts w:ascii="宋体" w:hAnsi="Calibri"/>
          <w:color w:val="auto"/>
          <w:sz w:val="24"/>
          <w:highlight w:val="none"/>
        </w:rPr>
      </w:pPr>
    </w:p>
    <w:p w14:paraId="44FD6D81">
      <w:pPr>
        <w:rPr>
          <w:rFonts w:ascii="宋体" w:hAnsi="Calibri"/>
          <w:color w:val="auto"/>
          <w:sz w:val="24"/>
          <w:highlight w:val="none"/>
        </w:rPr>
      </w:pPr>
    </w:p>
    <w:p w14:paraId="113B37FC">
      <w:pPr>
        <w:rPr>
          <w:rFonts w:ascii="宋体" w:hAnsi="Calibri"/>
          <w:color w:val="auto"/>
          <w:sz w:val="24"/>
          <w:highlight w:val="none"/>
        </w:rPr>
      </w:pPr>
    </w:p>
    <w:p w14:paraId="6A7666CC">
      <w:pPr>
        <w:rPr>
          <w:rFonts w:ascii="宋体" w:hAnsi="Calibri"/>
          <w:color w:val="auto"/>
          <w:sz w:val="24"/>
          <w:highlight w:val="none"/>
        </w:rPr>
      </w:pPr>
    </w:p>
    <w:p w14:paraId="7C51DAEA">
      <w:pPr>
        <w:rPr>
          <w:rFonts w:ascii="宋体" w:hAnsi="Calibri"/>
          <w:color w:val="auto"/>
          <w:sz w:val="24"/>
          <w:highlight w:val="none"/>
        </w:rPr>
      </w:pPr>
    </w:p>
    <w:p w14:paraId="0F4AC053">
      <w:pPr>
        <w:rPr>
          <w:rFonts w:ascii="宋体" w:hAnsi="Calibri"/>
          <w:color w:val="auto"/>
          <w:sz w:val="24"/>
          <w:highlight w:val="none"/>
        </w:rPr>
      </w:pPr>
    </w:p>
    <w:p w14:paraId="16155313">
      <w:pPr>
        <w:tabs>
          <w:tab w:val="right" w:leader="dot" w:pos="9174"/>
        </w:tabs>
        <w:spacing w:line="480" w:lineRule="exact"/>
        <w:rPr>
          <w:rFonts w:ascii="黑体" w:hAnsi="宋体" w:eastAsia="黑体"/>
          <w:color w:val="auto"/>
          <w:highlight w:val="none"/>
        </w:rPr>
      </w:pPr>
    </w:p>
    <w:p w14:paraId="36C37BBA">
      <w:pPr>
        <w:rPr>
          <w:rFonts w:ascii="宋体" w:hAnsi="Calibri"/>
          <w:color w:val="auto"/>
          <w:sz w:val="24"/>
          <w:highlight w:val="none"/>
        </w:rPr>
      </w:pPr>
    </w:p>
    <w:p w14:paraId="67FA7EB2">
      <w:pPr>
        <w:keepNext/>
        <w:keepLines/>
        <w:spacing w:before="120" w:beforeLines="50" w:after="120" w:afterLines="50" w:line="480" w:lineRule="exact"/>
        <w:outlineLvl w:val="0"/>
        <w:rPr>
          <w:rFonts w:ascii="宋体" w:hAnsi="Calibri"/>
          <w:b/>
          <w:bCs/>
          <w:color w:val="auto"/>
          <w:kern w:val="44"/>
          <w:sz w:val="24"/>
          <w:highlight w:val="none"/>
        </w:rPr>
      </w:pPr>
      <w:bookmarkStart w:id="1033" w:name="_Toc445202868"/>
      <w:bookmarkStart w:id="1034" w:name="_Toc335573744"/>
      <w:bookmarkStart w:id="1035" w:name="_Toc18446"/>
      <w:r>
        <w:rPr>
          <w:rFonts w:hint="eastAsia" w:ascii="宋体" w:hAnsi="宋体"/>
          <w:b/>
          <w:bCs/>
          <w:color w:val="auto"/>
          <w:kern w:val="44"/>
          <w:sz w:val="24"/>
          <w:highlight w:val="none"/>
        </w:rPr>
        <w:t>附件五履约担保格式</w:t>
      </w:r>
      <w:bookmarkEnd w:id="1033"/>
      <w:bookmarkEnd w:id="1034"/>
      <w:bookmarkEnd w:id="1035"/>
    </w:p>
    <w:p w14:paraId="536F2439">
      <w:pPr>
        <w:jc w:val="center"/>
        <w:rPr>
          <w:rFonts w:ascii="宋体" w:hAnsi="Calibri"/>
          <w:b/>
          <w:color w:val="auto"/>
          <w:sz w:val="24"/>
          <w:highlight w:val="none"/>
        </w:rPr>
      </w:pPr>
      <w:r>
        <w:rPr>
          <w:rFonts w:hint="eastAsia" w:ascii="宋体" w:hAnsi="宋体"/>
          <w:b/>
          <w:color w:val="auto"/>
          <w:sz w:val="24"/>
          <w:highlight w:val="none"/>
        </w:rPr>
        <w:t>履约担保</w:t>
      </w:r>
    </w:p>
    <w:p w14:paraId="76FE2DB7">
      <w:pPr>
        <w:rPr>
          <w:rFonts w:ascii="宋体" w:hAnsi="Calibri"/>
          <w:color w:val="auto"/>
          <w:sz w:val="24"/>
          <w:highlight w:val="none"/>
        </w:rPr>
      </w:pPr>
    </w:p>
    <w:p w14:paraId="0566B390">
      <w:pPr>
        <w:rPr>
          <w:rFonts w:ascii="宋体" w:hAnsi="Calibri"/>
          <w:color w:val="auto"/>
          <w:sz w:val="24"/>
          <w:highlight w:val="none"/>
        </w:rPr>
      </w:pPr>
      <w:r>
        <w:rPr>
          <w:rFonts w:hint="eastAsia" w:ascii="宋体" w:hAnsi="宋体"/>
          <w:color w:val="auto"/>
          <w:sz w:val="24"/>
          <w:highlight w:val="none"/>
        </w:rPr>
        <w:t>（发包人名称）：</w:t>
      </w:r>
    </w:p>
    <w:p w14:paraId="0A7260EB">
      <w:pPr>
        <w:rPr>
          <w:rFonts w:ascii="宋体" w:hAnsi="Calibri"/>
          <w:color w:val="auto"/>
          <w:sz w:val="24"/>
          <w:highlight w:val="none"/>
        </w:rPr>
      </w:pPr>
    </w:p>
    <w:p w14:paraId="0F951E0F">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鉴于（发包人名称，以下简称“发包人”）接受（承包人名称）（以下称“承包人”）于年月日参加（采购项目名称）施工的竞标。我方愿意无条件地、不可撤销地就承包人履行与你方订立的合同，向你方提供担保。</w:t>
      </w:r>
    </w:p>
    <w:p w14:paraId="56C1B54C">
      <w:pPr>
        <w:spacing w:line="400" w:lineRule="exact"/>
        <w:ind w:firstLine="480" w:firstLineChars="20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担保金额人民币（大写）元（</w:t>
      </w:r>
      <w:r>
        <w:rPr>
          <w:rFonts w:ascii="宋体" w:hAnsi="Calibri"/>
          <w:color w:val="auto"/>
          <w:sz w:val="24"/>
          <w:highlight w:val="none"/>
        </w:rPr>
        <w:t>¥</w:t>
      </w:r>
      <w:r>
        <w:rPr>
          <w:rFonts w:hint="eastAsia" w:ascii="宋体" w:hAnsi="宋体"/>
          <w:color w:val="auto"/>
          <w:sz w:val="24"/>
          <w:highlight w:val="none"/>
        </w:rPr>
        <w:t>）。</w:t>
      </w:r>
    </w:p>
    <w:p w14:paraId="50E9F5B1">
      <w:pPr>
        <w:spacing w:line="400" w:lineRule="exact"/>
        <w:ind w:firstLine="480" w:firstLineChars="20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担保有效期自发包人与承包人签订的合同生效之日起至发包人签发工程接收交工验收证书之日止。</w:t>
      </w:r>
    </w:p>
    <w:p w14:paraId="2D4FFA09">
      <w:pPr>
        <w:spacing w:line="400" w:lineRule="exact"/>
        <w:ind w:firstLine="480" w:firstLineChars="20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在本担保有效期内，因承包人违反合同约定的义务给你方造成经济损失时，我方在收到你方以书面形式提出的在担保金额内的赔偿要求后，在</w:t>
      </w:r>
      <w:r>
        <w:rPr>
          <w:rFonts w:ascii="宋体" w:hAnsi="宋体"/>
          <w:color w:val="auto"/>
          <w:sz w:val="24"/>
          <w:highlight w:val="none"/>
        </w:rPr>
        <w:t>7</w:t>
      </w:r>
      <w:r>
        <w:rPr>
          <w:rFonts w:hint="eastAsia" w:ascii="宋体" w:hAnsi="宋体"/>
          <w:color w:val="auto"/>
          <w:sz w:val="24"/>
          <w:highlight w:val="none"/>
        </w:rPr>
        <w:t>天内无条件支付，无须你方出具证明或陈述理由。</w:t>
      </w:r>
    </w:p>
    <w:p w14:paraId="1C9DA1AA">
      <w:pPr>
        <w:spacing w:line="400" w:lineRule="exact"/>
        <w:ind w:firstLine="480" w:firstLineChars="20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发包人和承包人按合同条款第</w:t>
      </w:r>
      <w:r>
        <w:rPr>
          <w:rFonts w:ascii="宋体" w:hAnsi="宋体"/>
          <w:color w:val="auto"/>
          <w:sz w:val="24"/>
          <w:highlight w:val="none"/>
        </w:rPr>
        <w:t>15</w:t>
      </w:r>
      <w:r>
        <w:rPr>
          <w:rFonts w:hint="eastAsia" w:ascii="宋体" w:hAnsi="宋体"/>
          <w:color w:val="auto"/>
          <w:sz w:val="24"/>
          <w:highlight w:val="none"/>
        </w:rPr>
        <w:t>条变更合同时，我方承担本担保规定的义务不变。</w:t>
      </w:r>
    </w:p>
    <w:p w14:paraId="0BC6C40F">
      <w:pPr>
        <w:rPr>
          <w:rFonts w:ascii="宋体" w:hAnsi="Calibri"/>
          <w:color w:val="auto"/>
          <w:sz w:val="24"/>
          <w:highlight w:val="none"/>
        </w:rPr>
      </w:pPr>
    </w:p>
    <w:p w14:paraId="68193AB2">
      <w:pPr>
        <w:rPr>
          <w:rFonts w:ascii="宋体" w:hAnsi="Calibri"/>
          <w:color w:val="auto"/>
          <w:sz w:val="24"/>
          <w:highlight w:val="none"/>
        </w:rPr>
      </w:pPr>
    </w:p>
    <w:p w14:paraId="6AB7ED8E">
      <w:pPr>
        <w:rPr>
          <w:rFonts w:ascii="宋体" w:hAnsi="Calibri"/>
          <w:color w:val="auto"/>
          <w:sz w:val="24"/>
          <w:highlight w:val="none"/>
        </w:rPr>
      </w:pPr>
    </w:p>
    <w:p w14:paraId="05635D55">
      <w:pPr>
        <w:rPr>
          <w:rFonts w:ascii="宋体" w:hAnsi="Calibri"/>
          <w:color w:val="auto"/>
          <w:sz w:val="24"/>
          <w:highlight w:val="none"/>
        </w:rPr>
      </w:pPr>
    </w:p>
    <w:p w14:paraId="724F6603">
      <w:pPr>
        <w:spacing w:line="440" w:lineRule="exact"/>
        <w:rPr>
          <w:rFonts w:ascii="宋体" w:hAnsi="Calibri"/>
          <w:color w:val="auto"/>
          <w:sz w:val="24"/>
          <w:highlight w:val="none"/>
        </w:rPr>
      </w:pPr>
      <w:r>
        <w:rPr>
          <w:rFonts w:hint="eastAsia" w:ascii="宋体" w:hAnsi="宋体"/>
          <w:color w:val="auto"/>
          <w:sz w:val="24"/>
          <w:highlight w:val="none"/>
        </w:rPr>
        <w:t>担保人：（盖单位章）</w:t>
      </w:r>
    </w:p>
    <w:p w14:paraId="3B729647">
      <w:pPr>
        <w:spacing w:line="440" w:lineRule="exact"/>
        <w:rPr>
          <w:rFonts w:ascii="宋体" w:hAnsi="Calibri"/>
          <w:color w:val="auto"/>
          <w:sz w:val="24"/>
          <w:highlight w:val="none"/>
        </w:rPr>
      </w:pPr>
      <w:r>
        <w:rPr>
          <w:rFonts w:hint="eastAsia" w:ascii="宋体" w:hAnsi="宋体"/>
          <w:color w:val="auto"/>
          <w:sz w:val="24"/>
          <w:highlight w:val="none"/>
        </w:rPr>
        <w:t>法定代表人或其委托代理人：（签字）</w:t>
      </w:r>
    </w:p>
    <w:p w14:paraId="4638EEC2">
      <w:pPr>
        <w:spacing w:line="440" w:lineRule="exact"/>
        <w:rPr>
          <w:rFonts w:ascii="宋体" w:hAnsi="Calibri"/>
          <w:color w:val="auto"/>
          <w:sz w:val="24"/>
          <w:highlight w:val="none"/>
        </w:rPr>
      </w:pPr>
      <w:r>
        <w:rPr>
          <w:rFonts w:hint="eastAsia" w:ascii="宋体" w:hAnsi="宋体"/>
          <w:color w:val="auto"/>
          <w:sz w:val="24"/>
          <w:highlight w:val="none"/>
        </w:rPr>
        <w:t>地址：</w:t>
      </w:r>
    </w:p>
    <w:p w14:paraId="6B2C787A">
      <w:pPr>
        <w:spacing w:line="440" w:lineRule="exact"/>
        <w:rPr>
          <w:rFonts w:ascii="宋体" w:hAnsi="Calibri"/>
          <w:color w:val="auto"/>
          <w:sz w:val="24"/>
          <w:highlight w:val="none"/>
        </w:rPr>
      </w:pPr>
      <w:r>
        <w:rPr>
          <w:rFonts w:hint="eastAsia" w:ascii="宋体" w:hAnsi="宋体"/>
          <w:color w:val="auto"/>
          <w:sz w:val="24"/>
          <w:highlight w:val="none"/>
        </w:rPr>
        <w:t>邮政编码：</w:t>
      </w:r>
    </w:p>
    <w:p w14:paraId="43713C47">
      <w:pPr>
        <w:spacing w:line="440" w:lineRule="exact"/>
        <w:rPr>
          <w:rFonts w:ascii="宋体" w:hAnsi="Calibri"/>
          <w:color w:val="auto"/>
          <w:sz w:val="24"/>
          <w:highlight w:val="none"/>
        </w:rPr>
      </w:pPr>
      <w:r>
        <w:rPr>
          <w:rFonts w:hint="eastAsia" w:ascii="宋体" w:hAnsi="宋体"/>
          <w:color w:val="auto"/>
          <w:sz w:val="24"/>
          <w:highlight w:val="none"/>
        </w:rPr>
        <w:t>电话：</w:t>
      </w:r>
    </w:p>
    <w:p w14:paraId="5EFD2CE1">
      <w:pPr>
        <w:spacing w:line="440" w:lineRule="exact"/>
        <w:rPr>
          <w:rFonts w:ascii="宋体" w:hAnsi="Calibri"/>
          <w:color w:val="auto"/>
          <w:sz w:val="24"/>
          <w:highlight w:val="none"/>
        </w:rPr>
      </w:pPr>
      <w:r>
        <w:rPr>
          <w:rFonts w:hint="eastAsia" w:ascii="宋体" w:hAnsi="宋体"/>
          <w:color w:val="auto"/>
          <w:sz w:val="24"/>
          <w:highlight w:val="none"/>
        </w:rPr>
        <w:t>传真：</w:t>
      </w:r>
    </w:p>
    <w:p w14:paraId="356B579C">
      <w:pPr>
        <w:rPr>
          <w:rFonts w:ascii="宋体" w:hAnsi="Calibri"/>
          <w:color w:val="auto"/>
          <w:sz w:val="24"/>
          <w:highlight w:val="none"/>
        </w:rPr>
      </w:pPr>
    </w:p>
    <w:p w14:paraId="18D7E7C3">
      <w:pPr>
        <w:rPr>
          <w:rFonts w:ascii="宋体" w:hAnsi="Calibri"/>
          <w:color w:val="auto"/>
          <w:sz w:val="24"/>
          <w:highlight w:val="none"/>
        </w:rPr>
      </w:pPr>
    </w:p>
    <w:p w14:paraId="62BD3542">
      <w:pPr>
        <w:rPr>
          <w:rFonts w:ascii="宋体" w:hAnsi="Calibri"/>
          <w:color w:val="auto"/>
          <w:sz w:val="24"/>
          <w:highlight w:val="none"/>
        </w:rPr>
      </w:pPr>
      <w:r>
        <w:rPr>
          <w:rFonts w:hint="eastAsia" w:ascii="宋体" w:hAnsi="宋体"/>
          <w:color w:val="auto"/>
          <w:sz w:val="24"/>
          <w:highlight w:val="none"/>
        </w:rPr>
        <w:t>年月日</w:t>
      </w:r>
    </w:p>
    <w:p w14:paraId="76DCDD12">
      <w:pPr>
        <w:autoSpaceDE w:val="0"/>
        <w:autoSpaceDN w:val="0"/>
        <w:adjustRightInd w:val="0"/>
        <w:spacing w:line="240" w:lineRule="atLeast"/>
        <w:rPr>
          <w:rFonts w:ascii="宋体" w:hAnsi="Calibri"/>
          <w:b/>
          <w:bCs/>
          <w:color w:val="auto"/>
          <w:sz w:val="24"/>
          <w:highlight w:val="none"/>
        </w:rPr>
      </w:pPr>
    </w:p>
    <w:p w14:paraId="4D42F635">
      <w:pPr>
        <w:autoSpaceDE w:val="0"/>
        <w:autoSpaceDN w:val="0"/>
        <w:adjustRightInd w:val="0"/>
        <w:spacing w:line="240" w:lineRule="atLeast"/>
        <w:ind w:firstLine="1530" w:firstLineChars="637"/>
        <w:rPr>
          <w:rFonts w:ascii="宋体" w:hAnsi="Calibri" w:cs="宋体"/>
          <w:b/>
          <w:bCs/>
          <w:color w:val="auto"/>
          <w:sz w:val="24"/>
          <w:highlight w:val="none"/>
          <w:lang w:val="zh-CN"/>
        </w:rPr>
      </w:pPr>
    </w:p>
    <w:p w14:paraId="1FE65321">
      <w:pPr>
        <w:snapToGrid w:val="0"/>
        <w:spacing w:line="320" w:lineRule="exact"/>
        <w:jc w:val="left"/>
        <w:rPr>
          <w:rFonts w:ascii="宋体" w:hAnsi="Calibri"/>
          <w:color w:val="auto"/>
          <w:sz w:val="24"/>
          <w:highlight w:val="none"/>
        </w:rPr>
      </w:pPr>
      <w:r>
        <w:rPr>
          <w:rFonts w:ascii="宋体" w:hAnsi="宋体"/>
          <w:color w:val="auto"/>
          <w:sz w:val="24"/>
          <w:highlight w:val="none"/>
        </w:rPr>
        <w:t>a.</w:t>
      </w:r>
      <w:r>
        <w:rPr>
          <w:rFonts w:hint="eastAsia" w:ascii="宋体" w:hAnsi="宋体"/>
          <w:color w:val="auto"/>
          <w:sz w:val="24"/>
          <w:highlight w:val="none"/>
        </w:rPr>
        <w:t>采购人应在</w:t>
      </w:r>
      <w:r>
        <w:rPr>
          <w:rFonts w:hint="eastAsia" w:ascii="宋体" w:hAnsi="宋体"/>
          <w:color w:val="auto"/>
          <w:sz w:val="24"/>
          <w:highlight w:val="none"/>
          <w:lang w:eastAsia="zh-CN"/>
        </w:rPr>
        <w:t>竞争性磋商文件</w:t>
      </w:r>
      <w:r>
        <w:rPr>
          <w:rFonts w:hint="eastAsia" w:ascii="宋体" w:hAnsi="宋体"/>
          <w:color w:val="auto"/>
          <w:sz w:val="24"/>
          <w:highlight w:val="none"/>
        </w:rPr>
        <w:t>中规定若竞标人在所竞标项目成交需提供的主要机械设备和试验检测设备。采购人将在发出成交通知书之前要求成交人按照本表的最低要求填报为本项目配备的主要设备，在经采购人审批后作为投入本项目的主要设备且不允许更换。</w:t>
      </w:r>
    </w:p>
    <w:p w14:paraId="38903447">
      <w:pPr>
        <w:spacing w:line="320" w:lineRule="exact"/>
        <w:rPr>
          <w:rFonts w:ascii="宋体" w:hAnsi="Calibri"/>
          <w:color w:val="auto"/>
          <w:sz w:val="24"/>
          <w:highlight w:val="none"/>
        </w:rPr>
      </w:pPr>
      <w:r>
        <w:rPr>
          <w:rFonts w:ascii="宋体" w:hAnsi="宋体"/>
          <w:color w:val="auto"/>
          <w:sz w:val="24"/>
          <w:highlight w:val="none"/>
        </w:rPr>
        <w:t>b.</w:t>
      </w:r>
      <w:r>
        <w:rPr>
          <w:rFonts w:hint="eastAsia" w:ascii="宋体" w:hAnsi="宋体"/>
          <w:color w:val="auto"/>
          <w:sz w:val="24"/>
          <w:highlight w:val="none"/>
        </w:rPr>
        <w:t>本表不适用于已按资格预审文件或</w:t>
      </w:r>
      <w:r>
        <w:rPr>
          <w:rFonts w:hint="eastAsia" w:ascii="宋体" w:hAnsi="宋体"/>
          <w:color w:val="auto"/>
          <w:sz w:val="24"/>
          <w:highlight w:val="none"/>
          <w:lang w:eastAsia="zh-CN"/>
        </w:rPr>
        <w:t>竞争性磋商文件</w:t>
      </w:r>
      <w:r>
        <w:rPr>
          <w:rFonts w:hint="eastAsia" w:ascii="宋体" w:hAnsi="宋体"/>
          <w:color w:val="auto"/>
          <w:sz w:val="24"/>
          <w:highlight w:val="none"/>
        </w:rPr>
        <w:t>要求提供了主要机械设备和试验检测设备的技术特别复杂的特大桥梁和长大隧道工程。</w:t>
      </w:r>
    </w:p>
    <w:p w14:paraId="58A314F9">
      <w:pPr>
        <w:spacing w:line="320" w:lineRule="exact"/>
        <w:rPr>
          <w:rFonts w:ascii="宋体" w:hAnsi="Calibri"/>
          <w:color w:val="auto"/>
          <w:sz w:val="24"/>
          <w:highlight w:val="none"/>
        </w:rPr>
      </w:pPr>
    </w:p>
    <w:p w14:paraId="7BA88972">
      <w:pPr>
        <w:spacing w:line="320" w:lineRule="exact"/>
        <w:rPr>
          <w:rFonts w:ascii="宋体" w:hAnsi="Calibri"/>
          <w:color w:val="auto"/>
          <w:sz w:val="24"/>
          <w:highlight w:val="none"/>
        </w:rPr>
      </w:pPr>
    </w:p>
    <w:p w14:paraId="36536607">
      <w:pPr>
        <w:spacing w:line="320" w:lineRule="exact"/>
        <w:rPr>
          <w:rFonts w:ascii="宋体" w:hAnsi="Calibri"/>
          <w:color w:val="auto"/>
          <w:sz w:val="24"/>
          <w:highlight w:val="none"/>
        </w:rPr>
      </w:pPr>
    </w:p>
    <w:p w14:paraId="6BA10FBA">
      <w:pPr>
        <w:keepNext/>
        <w:keepLines/>
        <w:spacing w:before="120" w:beforeLines="50" w:after="120" w:afterLines="50" w:line="480" w:lineRule="exact"/>
        <w:outlineLvl w:val="0"/>
        <w:rPr>
          <w:rFonts w:ascii="宋体" w:hAnsi="Calibri"/>
          <w:b/>
          <w:bCs/>
          <w:color w:val="auto"/>
          <w:kern w:val="44"/>
          <w:sz w:val="24"/>
          <w:highlight w:val="none"/>
        </w:rPr>
      </w:pPr>
      <w:bookmarkStart w:id="1036" w:name="_Toc335573745"/>
      <w:bookmarkStart w:id="1037" w:name="_Toc7450"/>
      <w:bookmarkStart w:id="1038" w:name="_Toc445202869"/>
      <w:r>
        <w:rPr>
          <w:rFonts w:hint="eastAsia" w:ascii="宋体" w:hAnsi="宋体"/>
          <w:b/>
          <w:bCs/>
          <w:color w:val="auto"/>
          <w:kern w:val="44"/>
          <w:sz w:val="24"/>
          <w:highlight w:val="none"/>
        </w:rPr>
        <w:t>附件六预付款担保格式</w:t>
      </w:r>
      <w:bookmarkEnd w:id="1036"/>
      <w:bookmarkEnd w:id="1037"/>
      <w:bookmarkEnd w:id="1038"/>
    </w:p>
    <w:p w14:paraId="2A4248A1">
      <w:pPr>
        <w:rPr>
          <w:rFonts w:ascii="宋体" w:hAnsi="Calibri"/>
          <w:color w:val="auto"/>
          <w:sz w:val="24"/>
          <w:highlight w:val="none"/>
        </w:rPr>
      </w:pPr>
    </w:p>
    <w:p w14:paraId="3784F47E">
      <w:pPr>
        <w:jc w:val="center"/>
        <w:rPr>
          <w:rFonts w:ascii="宋体" w:hAnsi="Calibri"/>
          <w:b/>
          <w:color w:val="auto"/>
          <w:sz w:val="24"/>
          <w:highlight w:val="none"/>
        </w:rPr>
      </w:pPr>
      <w:r>
        <w:rPr>
          <w:rFonts w:hint="eastAsia" w:ascii="宋体" w:hAnsi="宋体"/>
          <w:b/>
          <w:color w:val="auto"/>
          <w:sz w:val="24"/>
          <w:highlight w:val="none"/>
        </w:rPr>
        <w:t>预付款担保</w:t>
      </w:r>
    </w:p>
    <w:p w14:paraId="4577BD68">
      <w:pPr>
        <w:rPr>
          <w:rFonts w:ascii="宋体" w:hAnsi="Calibri"/>
          <w:color w:val="auto"/>
          <w:sz w:val="24"/>
          <w:highlight w:val="none"/>
        </w:rPr>
      </w:pPr>
    </w:p>
    <w:p w14:paraId="047698A2">
      <w:pPr>
        <w:rPr>
          <w:rFonts w:ascii="宋体" w:hAnsi="Calibri"/>
          <w:color w:val="auto"/>
          <w:sz w:val="24"/>
          <w:highlight w:val="none"/>
        </w:rPr>
      </w:pPr>
      <w:r>
        <w:rPr>
          <w:rFonts w:hint="eastAsia" w:ascii="宋体" w:hAnsi="宋体"/>
          <w:color w:val="auto"/>
          <w:sz w:val="24"/>
          <w:highlight w:val="none"/>
        </w:rPr>
        <w:t>（发包人名称）：</w:t>
      </w:r>
    </w:p>
    <w:p w14:paraId="4DBB9C27">
      <w:pPr>
        <w:rPr>
          <w:rFonts w:ascii="宋体" w:hAnsi="Calibri"/>
          <w:color w:val="auto"/>
          <w:sz w:val="24"/>
          <w:highlight w:val="none"/>
        </w:rPr>
      </w:pPr>
    </w:p>
    <w:p w14:paraId="2A2BC42D">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根据（承包人名称）（以下称“承包人”）与（发包人名称）（以下简称“发包人”）于年月日签订的（采购项目名称）施工承包合同，承包人按约定的金额向发包人提交一份预付款担保，即有权得到发包人支付相等金额的预付款。我方愿意就你方提供给承包人的预付款提供担保。</w:t>
      </w:r>
    </w:p>
    <w:p w14:paraId="65AAA77B">
      <w:pPr>
        <w:spacing w:line="400" w:lineRule="exact"/>
        <w:ind w:firstLine="480" w:firstLineChars="20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担保金额人民币（大写）元（</w:t>
      </w:r>
      <w:r>
        <w:rPr>
          <w:rFonts w:ascii="宋体" w:hAnsi="Calibri"/>
          <w:color w:val="auto"/>
          <w:sz w:val="24"/>
          <w:highlight w:val="none"/>
        </w:rPr>
        <w:t>¥</w:t>
      </w:r>
      <w:r>
        <w:rPr>
          <w:rFonts w:hint="eastAsia" w:ascii="宋体" w:hAnsi="宋体"/>
          <w:color w:val="auto"/>
          <w:sz w:val="24"/>
          <w:highlight w:val="none"/>
        </w:rPr>
        <w:t>）。</w:t>
      </w:r>
    </w:p>
    <w:p w14:paraId="24193490">
      <w:pPr>
        <w:spacing w:line="400" w:lineRule="exact"/>
        <w:ind w:firstLine="480" w:firstLineChars="20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担保有效期自预付款支付给承包人起生效，至发包人签发的进度付款证书说明已完全扣清止。</w:t>
      </w:r>
    </w:p>
    <w:p w14:paraId="45B31B92">
      <w:pPr>
        <w:spacing w:line="400" w:lineRule="exact"/>
        <w:ind w:firstLine="480" w:firstLineChars="20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在本保函有效期内，因承包人违反合同约定的义务而要求收回预付款时，我方在收到你方的书面通知后，在</w:t>
      </w:r>
      <w:r>
        <w:rPr>
          <w:rFonts w:ascii="宋体" w:hAnsi="宋体"/>
          <w:color w:val="auto"/>
          <w:sz w:val="24"/>
          <w:highlight w:val="none"/>
        </w:rPr>
        <w:t>7</w:t>
      </w:r>
      <w:r>
        <w:rPr>
          <w:rFonts w:hint="eastAsia" w:ascii="宋体" w:hAnsi="宋体"/>
          <w:color w:val="auto"/>
          <w:sz w:val="24"/>
          <w:highlight w:val="none"/>
        </w:rPr>
        <w:t>天内无条件支付，无须你方出具证明或陈述理由。但本保函的担保金额，在任何时候不应超过预付款金额减去发包人按合同约定在向承包人签发的进度付款证书中扣除的金额。</w:t>
      </w:r>
    </w:p>
    <w:p w14:paraId="781734ED">
      <w:pPr>
        <w:spacing w:line="400" w:lineRule="exact"/>
        <w:ind w:firstLine="480" w:firstLineChars="20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发包人和承包人按合同条款第</w:t>
      </w:r>
      <w:r>
        <w:rPr>
          <w:rFonts w:ascii="宋体" w:hAnsi="宋体"/>
          <w:color w:val="auto"/>
          <w:sz w:val="24"/>
          <w:highlight w:val="none"/>
        </w:rPr>
        <w:t xml:space="preserve"> 15 </w:t>
      </w:r>
      <w:r>
        <w:rPr>
          <w:rFonts w:hint="eastAsia" w:ascii="宋体" w:hAnsi="宋体"/>
          <w:color w:val="auto"/>
          <w:sz w:val="24"/>
          <w:highlight w:val="none"/>
        </w:rPr>
        <w:t>条变更合同时，我方承担本保函规定的义务不变。</w:t>
      </w:r>
    </w:p>
    <w:p w14:paraId="4465DB9E">
      <w:pPr>
        <w:rPr>
          <w:rFonts w:ascii="宋体" w:hAnsi="Calibri"/>
          <w:color w:val="auto"/>
          <w:sz w:val="24"/>
          <w:highlight w:val="none"/>
        </w:rPr>
      </w:pPr>
    </w:p>
    <w:p w14:paraId="733C9790">
      <w:pPr>
        <w:rPr>
          <w:rFonts w:ascii="宋体" w:hAnsi="Calibri"/>
          <w:color w:val="auto"/>
          <w:sz w:val="24"/>
          <w:highlight w:val="none"/>
        </w:rPr>
      </w:pPr>
    </w:p>
    <w:p w14:paraId="0D1929EA">
      <w:pPr>
        <w:rPr>
          <w:rFonts w:ascii="宋体" w:hAnsi="Calibri"/>
          <w:color w:val="auto"/>
          <w:sz w:val="24"/>
          <w:highlight w:val="none"/>
        </w:rPr>
      </w:pPr>
    </w:p>
    <w:p w14:paraId="3D24736F">
      <w:pPr>
        <w:spacing w:line="440" w:lineRule="exact"/>
        <w:rPr>
          <w:rFonts w:ascii="宋体" w:hAnsi="Calibri"/>
          <w:color w:val="auto"/>
          <w:sz w:val="24"/>
          <w:highlight w:val="none"/>
        </w:rPr>
      </w:pPr>
      <w:r>
        <w:rPr>
          <w:rFonts w:hint="eastAsia" w:ascii="宋体" w:hAnsi="宋体"/>
          <w:color w:val="auto"/>
          <w:sz w:val="24"/>
          <w:highlight w:val="none"/>
        </w:rPr>
        <w:t>担保人：（盖单位章）</w:t>
      </w:r>
    </w:p>
    <w:p w14:paraId="6659CE61">
      <w:pPr>
        <w:spacing w:line="440" w:lineRule="exact"/>
        <w:rPr>
          <w:rFonts w:ascii="宋体" w:hAnsi="Calibri"/>
          <w:color w:val="auto"/>
          <w:sz w:val="24"/>
          <w:highlight w:val="none"/>
        </w:rPr>
      </w:pPr>
      <w:r>
        <w:rPr>
          <w:rFonts w:hint="eastAsia" w:ascii="宋体" w:hAnsi="宋体"/>
          <w:color w:val="auto"/>
          <w:sz w:val="24"/>
          <w:highlight w:val="none"/>
        </w:rPr>
        <w:t>法定代表人或其委托代理人：（签字）</w:t>
      </w:r>
    </w:p>
    <w:p w14:paraId="1CA4CAE0">
      <w:pPr>
        <w:spacing w:line="440" w:lineRule="exact"/>
        <w:rPr>
          <w:rFonts w:ascii="宋体" w:hAnsi="Calibri"/>
          <w:color w:val="auto"/>
          <w:sz w:val="24"/>
          <w:highlight w:val="none"/>
        </w:rPr>
      </w:pPr>
      <w:r>
        <w:rPr>
          <w:rFonts w:hint="eastAsia" w:ascii="宋体" w:hAnsi="宋体"/>
          <w:color w:val="auto"/>
          <w:sz w:val="24"/>
          <w:highlight w:val="none"/>
        </w:rPr>
        <w:t>地址：</w:t>
      </w:r>
    </w:p>
    <w:p w14:paraId="15E7721A">
      <w:pPr>
        <w:spacing w:line="440" w:lineRule="exact"/>
        <w:rPr>
          <w:rFonts w:ascii="宋体" w:hAnsi="Calibri"/>
          <w:color w:val="auto"/>
          <w:sz w:val="24"/>
          <w:highlight w:val="none"/>
        </w:rPr>
      </w:pPr>
      <w:r>
        <w:rPr>
          <w:rFonts w:hint="eastAsia" w:ascii="宋体" w:hAnsi="宋体"/>
          <w:color w:val="auto"/>
          <w:sz w:val="24"/>
          <w:highlight w:val="none"/>
        </w:rPr>
        <w:t>邮政编码：</w:t>
      </w:r>
    </w:p>
    <w:p w14:paraId="082DB12A">
      <w:pPr>
        <w:spacing w:line="440" w:lineRule="exact"/>
        <w:rPr>
          <w:rFonts w:ascii="宋体" w:hAnsi="Calibri"/>
          <w:color w:val="auto"/>
          <w:sz w:val="24"/>
          <w:highlight w:val="none"/>
        </w:rPr>
      </w:pPr>
      <w:r>
        <w:rPr>
          <w:rFonts w:hint="eastAsia" w:ascii="宋体" w:hAnsi="宋体"/>
          <w:color w:val="auto"/>
          <w:sz w:val="24"/>
          <w:highlight w:val="none"/>
        </w:rPr>
        <w:t>电话：</w:t>
      </w:r>
    </w:p>
    <w:p w14:paraId="250309A6">
      <w:pPr>
        <w:spacing w:line="440" w:lineRule="exact"/>
        <w:rPr>
          <w:rFonts w:ascii="宋体" w:hAnsi="Calibri"/>
          <w:color w:val="auto"/>
          <w:sz w:val="24"/>
          <w:highlight w:val="none"/>
        </w:rPr>
      </w:pPr>
      <w:r>
        <w:rPr>
          <w:rFonts w:hint="eastAsia" w:ascii="宋体" w:hAnsi="宋体"/>
          <w:color w:val="auto"/>
          <w:sz w:val="24"/>
          <w:highlight w:val="none"/>
        </w:rPr>
        <w:t>传真：</w:t>
      </w:r>
    </w:p>
    <w:p w14:paraId="54292F5A">
      <w:pPr>
        <w:rPr>
          <w:rFonts w:ascii="宋体" w:hAnsi="Calibri"/>
          <w:color w:val="auto"/>
          <w:sz w:val="24"/>
          <w:highlight w:val="none"/>
        </w:rPr>
      </w:pPr>
    </w:p>
    <w:p w14:paraId="51C4972D">
      <w:pPr>
        <w:rPr>
          <w:rFonts w:ascii="宋体" w:hAnsi="Calibri"/>
          <w:color w:val="auto"/>
          <w:sz w:val="24"/>
          <w:highlight w:val="none"/>
        </w:rPr>
      </w:pPr>
      <w:r>
        <w:rPr>
          <w:rFonts w:hint="eastAsia" w:ascii="宋体" w:hAnsi="宋体"/>
          <w:color w:val="auto"/>
          <w:sz w:val="24"/>
          <w:highlight w:val="none"/>
        </w:rPr>
        <w:t>年月日</w:t>
      </w:r>
    </w:p>
    <w:p w14:paraId="1A52F144">
      <w:pPr>
        <w:rPr>
          <w:rFonts w:ascii="宋体" w:hAnsi="Calibri"/>
          <w:color w:val="auto"/>
          <w:sz w:val="24"/>
          <w:highlight w:val="none"/>
        </w:rPr>
      </w:pPr>
    </w:p>
    <w:p w14:paraId="3D38077F">
      <w:pPr>
        <w:rPr>
          <w:rFonts w:ascii="宋体" w:hAnsi="Calibri"/>
          <w:color w:val="auto"/>
          <w:sz w:val="24"/>
          <w:highlight w:val="none"/>
        </w:rPr>
      </w:pPr>
    </w:p>
    <w:p w14:paraId="73EB13A9">
      <w:pPr>
        <w:rPr>
          <w:rFonts w:ascii="宋体" w:hAnsi="Calibri"/>
          <w:color w:val="auto"/>
          <w:sz w:val="24"/>
          <w:highlight w:val="none"/>
        </w:rPr>
      </w:pPr>
    </w:p>
    <w:p w14:paraId="5AE16D97">
      <w:pPr>
        <w:rPr>
          <w:rFonts w:ascii="宋体" w:hAnsi="Calibri"/>
          <w:color w:val="auto"/>
          <w:sz w:val="24"/>
          <w:highlight w:val="none"/>
        </w:rPr>
      </w:pPr>
    </w:p>
    <w:p w14:paraId="59E66D5A">
      <w:pPr>
        <w:rPr>
          <w:rFonts w:ascii="宋体" w:hAnsi="Calibri"/>
          <w:color w:val="auto"/>
          <w:sz w:val="24"/>
          <w:highlight w:val="none"/>
        </w:rPr>
      </w:pPr>
    </w:p>
    <w:p w14:paraId="3ACBE745">
      <w:pPr>
        <w:rPr>
          <w:rFonts w:ascii="宋体" w:hAnsi="Calibri"/>
          <w:color w:val="auto"/>
          <w:sz w:val="24"/>
          <w:highlight w:val="none"/>
        </w:rPr>
      </w:pPr>
    </w:p>
    <w:p w14:paraId="5EA8E295">
      <w:pPr>
        <w:rPr>
          <w:rFonts w:ascii="Calibri" w:hAnsi="Calibri"/>
          <w:color w:val="auto"/>
          <w:highlight w:val="none"/>
        </w:rPr>
      </w:pPr>
      <w:bookmarkStart w:id="1039" w:name="_Toc335573746"/>
      <w:bookmarkStart w:id="1040" w:name="_Toc445202870"/>
    </w:p>
    <w:p w14:paraId="11A924B1">
      <w:pPr>
        <w:keepNext/>
        <w:keepLines/>
        <w:spacing w:before="120" w:beforeLines="50" w:after="120" w:afterLines="50" w:line="480" w:lineRule="exact"/>
        <w:outlineLvl w:val="0"/>
        <w:rPr>
          <w:rFonts w:ascii="宋体" w:hAnsi="Calibri"/>
          <w:b/>
          <w:bCs/>
          <w:color w:val="auto"/>
          <w:kern w:val="44"/>
          <w:sz w:val="24"/>
          <w:highlight w:val="none"/>
        </w:rPr>
      </w:pPr>
      <w:bookmarkStart w:id="1041" w:name="_Toc6500"/>
      <w:r>
        <w:rPr>
          <w:rFonts w:hint="eastAsia" w:ascii="宋体" w:hAnsi="宋体"/>
          <w:b/>
          <w:bCs/>
          <w:color w:val="auto"/>
          <w:kern w:val="44"/>
          <w:sz w:val="24"/>
          <w:highlight w:val="none"/>
        </w:rPr>
        <w:t>附件七工程资金监管协议格式</w:t>
      </w:r>
      <w:bookmarkEnd w:id="1039"/>
      <w:bookmarkEnd w:id="1040"/>
      <w:bookmarkEnd w:id="1041"/>
    </w:p>
    <w:p w14:paraId="3D24C33D">
      <w:pPr>
        <w:ind w:firstLine="480" w:firstLineChars="200"/>
        <w:rPr>
          <w:rFonts w:ascii="宋体" w:hAnsi="Calibri"/>
          <w:color w:val="auto"/>
          <w:sz w:val="24"/>
          <w:highlight w:val="none"/>
        </w:rPr>
      </w:pPr>
      <w:r>
        <w:rPr>
          <w:rFonts w:hint="eastAsia" w:ascii="宋体" w:hAnsi="宋体"/>
          <w:color w:val="auto"/>
          <w:sz w:val="24"/>
          <w:highlight w:val="none"/>
        </w:rPr>
        <w:t>（发包人与承包人签订合同协议书时应与发包人制订的银行签署工程资金监管协议，工程资金监管协议内容在保证本项目资金有效监管的前提下由三方共同商定）</w:t>
      </w:r>
    </w:p>
    <w:p w14:paraId="0793FE81">
      <w:pPr>
        <w:spacing w:before="240" w:after="240"/>
        <w:jc w:val="center"/>
        <w:rPr>
          <w:rFonts w:ascii="宋体" w:hAnsi="Calibri"/>
          <w:b/>
          <w:color w:val="auto"/>
          <w:sz w:val="24"/>
          <w:highlight w:val="none"/>
        </w:rPr>
      </w:pPr>
      <w:r>
        <w:rPr>
          <w:rFonts w:hint="eastAsia" w:ascii="宋体" w:hAnsi="宋体"/>
          <w:b/>
          <w:color w:val="auto"/>
          <w:sz w:val="24"/>
          <w:highlight w:val="none"/>
        </w:rPr>
        <w:t>工程资金监管协议</w:t>
      </w:r>
    </w:p>
    <w:p w14:paraId="330A4ABE">
      <w:pPr>
        <w:rPr>
          <w:rFonts w:ascii="宋体" w:hAnsi="Calibri"/>
          <w:color w:val="auto"/>
          <w:sz w:val="24"/>
          <w:highlight w:val="none"/>
        </w:rPr>
      </w:pPr>
      <w:r>
        <w:rPr>
          <w:rFonts w:hint="eastAsia" w:ascii="宋体" w:hAnsi="宋体"/>
          <w:color w:val="auto"/>
          <w:sz w:val="24"/>
          <w:highlight w:val="none"/>
        </w:rPr>
        <w:t>发包人：（以下简称“甲方”）</w:t>
      </w:r>
    </w:p>
    <w:p w14:paraId="0C0D2A4C">
      <w:pPr>
        <w:rPr>
          <w:rFonts w:ascii="宋体" w:hAnsi="Calibri"/>
          <w:color w:val="auto"/>
          <w:sz w:val="24"/>
          <w:highlight w:val="none"/>
        </w:rPr>
      </w:pPr>
      <w:r>
        <w:rPr>
          <w:rFonts w:hint="eastAsia" w:ascii="宋体" w:hAnsi="宋体"/>
          <w:color w:val="auto"/>
          <w:sz w:val="24"/>
          <w:highlight w:val="none"/>
        </w:rPr>
        <w:t>承包人：（以下简称“乙方”）</w:t>
      </w:r>
    </w:p>
    <w:p w14:paraId="55182A77">
      <w:pPr>
        <w:rPr>
          <w:rFonts w:ascii="宋体" w:hAnsi="Calibri"/>
          <w:color w:val="auto"/>
          <w:sz w:val="24"/>
          <w:highlight w:val="none"/>
        </w:rPr>
      </w:pPr>
      <w:r>
        <w:rPr>
          <w:rFonts w:hint="eastAsia" w:ascii="宋体" w:hAnsi="宋体"/>
          <w:color w:val="auto"/>
          <w:sz w:val="24"/>
          <w:highlight w:val="none"/>
        </w:rPr>
        <w:t>经办银行：（以下简称“丙方”）</w:t>
      </w:r>
    </w:p>
    <w:p w14:paraId="4C381FC8">
      <w:pPr>
        <w:rPr>
          <w:rFonts w:ascii="宋体" w:hAnsi="Calibri"/>
          <w:color w:val="auto"/>
          <w:sz w:val="24"/>
          <w:highlight w:val="none"/>
        </w:rPr>
      </w:pPr>
    </w:p>
    <w:p w14:paraId="1273DC8C">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为了促进（采购项目名称）的顺利实施，管好用好建设资金，确保工程资金专款专用，同时为承包人提供便捷有效的银行业务服务，根据（采购项目名称）合同条款有关规定，经甲、乙、丙三方协商，达成协议如下：</w:t>
      </w:r>
    </w:p>
    <w:p w14:paraId="001AE48E">
      <w:pPr>
        <w:spacing w:line="400" w:lineRule="exact"/>
        <w:ind w:firstLine="480" w:firstLineChars="20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资金管理的内容</w:t>
      </w:r>
    </w:p>
    <w:p w14:paraId="26FBB22E">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）乙方为完成（采购项目名称）工程成立的项目经理部在丙方开设基本结算户；</w:t>
      </w:r>
    </w:p>
    <w:p w14:paraId="2E8B3BB3">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）甲方应将按合同规定将工程款（质量保证金除外）汇入乙方在丙方开设的账户；</w:t>
      </w:r>
    </w:p>
    <w:p w14:paraId="2B9F3986">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）乙方应将流动资金及甲方所拨付资金专项用于（采购项目名称）；</w:t>
      </w:r>
    </w:p>
    <w:p w14:paraId="21D95569">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）丙方应为乙方提供便捷有效的银行业务服务，并接受甲方委托对乙方在丙方开设的基本结算户资金使用情况进行监督。</w:t>
      </w:r>
    </w:p>
    <w:p w14:paraId="285005DD">
      <w:pPr>
        <w:spacing w:line="400" w:lineRule="exact"/>
        <w:ind w:firstLine="480" w:firstLineChars="20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甲方的权责</w:t>
      </w:r>
    </w:p>
    <w:p w14:paraId="716E428F">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）按照（采购项目名称）合同有关条款规定的时间和方式，向乙方支付工程款；</w:t>
      </w:r>
    </w:p>
    <w:p w14:paraId="3D7EDE40">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）在发现乙方将本项目资金挪用、转移时，甲方有权中止工程支付，直至乙方改正为止；</w:t>
      </w:r>
    </w:p>
    <w:p w14:paraId="77F8F89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）不定期审查丙方对乙方的资金使用监督情况，如丙方不能履行其责任，甲方有权随时终止本协议；</w:t>
      </w:r>
    </w:p>
    <w:p w14:paraId="3CBD12BA">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）在乙、丙双方发生争议时，甲方应负责协调、解决。</w:t>
      </w:r>
    </w:p>
    <w:p w14:paraId="06134977">
      <w:pPr>
        <w:spacing w:line="400" w:lineRule="exact"/>
        <w:ind w:firstLine="480" w:firstLineChars="20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乙方的权责</w:t>
      </w:r>
    </w:p>
    <w:p w14:paraId="047E181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）项目经理部成立以后，乙方应尽快在丙方开设基本结算户；</w:t>
      </w:r>
    </w:p>
    <w:p w14:paraId="5CE98C85">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）确保本项目资金专款专用，不发生挪用、转移资金的现象；保证不通过权益转让、抵押、担保承担债务等任何其他方式使用基本结算户的资金；</w:t>
      </w:r>
    </w:p>
    <w:p w14:paraId="1B73B67B">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14:paraId="26079AC3">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）用银行转账支票办理支付款项时，必须将转账支票送交丙方，由丙方负责办理支票转付手续；</w:t>
      </w:r>
    </w:p>
    <w:p w14:paraId="6B6A4FC1">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）向分包单位支付工程进度款时，应附甲方批准分包的文件；</w:t>
      </w:r>
    </w:p>
    <w:p w14:paraId="0F262D67">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）向上级单位缴纳管理费、机械设备及周转材料租赁摊销费等款项时，应附上级单位出具的转账通知等有关资料，以确保资金专款专用。</w:t>
      </w:r>
    </w:p>
    <w:p w14:paraId="7DE2F485">
      <w:pPr>
        <w:spacing w:line="400" w:lineRule="exact"/>
        <w:ind w:firstLine="480" w:firstLineChars="20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丙方的权责</w:t>
      </w:r>
    </w:p>
    <w:p w14:paraId="54FBFF38">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）成立（采购项目名称）工程资金管理服务小组，明确业务流程，提高工作效率，杜绝“压票”现象；</w:t>
      </w:r>
    </w:p>
    <w:p w14:paraId="57127C6C">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）根据乙方提供的购货合同、协议和发票，检查其所购材料、设备是否用于（采购项目名称）工程建设，对本标段以外的购货款项，有权拒绝办理，并及时报告甲方；</w:t>
      </w:r>
    </w:p>
    <w:p w14:paraId="1CED5647">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）根据乙方与分包单位签订的合同及支付文件，检查其支付款项是否符合有关条件，向分包单位以外单位的支付有权拒绝办理，并及时报告甲方；</w:t>
      </w:r>
    </w:p>
    <w:p w14:paraId="4D860A9E">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）根据乙方提供的上级单位出具的转账通知等有关资料，办理管理费、机械设备及周转材料租赁摊销费等款项的支付；对超出转账通知等有关资料以外的支付，有权拒绝办理，并及时转告甲方；</w:t>
      </w:r>
    </w:p>
    <w:p w14:paraId="0BE6290E">
      <w:pPr>
        <w:spacing w:line="400" w:lineRule="exact"/>
        <w:ind w:firstLine="480" w:firstLineChars="200"/>
        <w:rPr>
          <w:rFonts w:ascii="宋体" w:hAnsi="Calibri"/>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）定期将乙方前一个周期的支付情况，整理后书面报送甲方；乙方复印备案的材料一并送甲方。</w:t>
      </w:r>
    </w:p>
    <w:p w14:paraId="4ABB7785">
      <w:pPr>
        <w:spacing w:line="400" w:lineRule="exact"/>
        <w:ind w:firstLine="480" w:firstLineChars="200"/>
        <w:rPr>
          <w:rFonts w:ascii="宋体" w:hAnsi="Calibri"/>
          <w:color w:val="auto"/>
          <w:sz w:val="24"/>
          <w:highlight w:val="none"/>
        </w:rPr>
      </w:pPr>
      <w:r>
        <w:rPr>
          <w:rFonts w:ascii="宋体" w:hAnsi="宋体"/>
          <w:color w:val="auto"/>
          <w:sz w:val="24"/>
          <w:highlight w:val="none"/>
        </w:rPr>
        <w:t>5.</w:t>
      </w:r>
      <w:r>
        <w:rPr>
          <w:rFonts w:hint="eastAsia" w:ascii="宋体" w:hAnsi="宋体"/>
          <w:color w:val="auto"/>
          <w:sz w:val="24"/>
          <w:highlight w:val="none"/>
        </w:rPr>
        <w:t>甲、乙、丙三方都应履行保密责任，不得将其他两方的业务情况透露给三方以外的其他单位或个人。</w:t>
      </w:r>
    </w:p>
    <w:p w14:paraId="5785FD00">
      <w:pPr>
        <w:spacing w:line="400" w:lineRule="exact"/>
        <w:ind w:firstLine="480" w:firstLineChars="200"/>
        <w:rPr>
          <w:rFonts w:ascii="宋体" w:hAnsi="Calibri"/>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本协议有效期自乙方在丙方开户起，至工程交工验收甲方向乙方颁发交工验收证书后结束。</w:t>
      </w:r>
    </w:p>
    <w:p w14:paraId="190F8B4E">
      <w:pPr>
        <w:spacing w:line="400" w:lineRule="exact"/>
        <w:ind w:firstLine="480" w:firstLineChars="200"/>
        <w:rPr>
          <w:rFonts w:ascii="宋体" w:hAnsi="Calibri"/>
          <w:color w:val="auto"/>
          <w:sz w:val="24"/>
          <w:highlight w:val="none"/>
        </w:rPr>
      </w:pPr>
      <w:r>
        <w:rPr>
          <w:rFonts w:ascii="宋体" w:hAnsi="宋体"/>
          <w:color w:val="auto"/>
          <w:sz w:val="24"/>
          <w:highlight w:val="none"/>
        </w:rPr>
        <w:t>7.</w:t>
      </w:r>
      <w:r>
        <w:rPr>
          <w:rFonts w:hint="eastAsia" w:ascii="宋体" w:hAnsi="宋体"/>
          <w:color w:val="auto"/>
          <w:sz w:val="24"/>
          <w:highlight w:val="none"/>
        </w:rPr>
        <w:t>本协议未尽事宜，由甲方牵头，三方协商解决。</w:t>
      </w:r>
    </w:p>
    <w:p w14:paraId="00760E83">
      <w:pPr>
        <w:spacing w:line="400" w:lineRule="exact"/>
        <w:ind w:firstLine="480" w:firstLineChars="200"/>
        <w:rPr>
          <w:rFonts w:ascii="宋体" w:hAnsi="Calibri"/>
          <w:color w:val="auto"/>
          <w:sz w:val="24"/>
          <w:highlight w:val="none"/>
        </w:rPr>
      </w:pPr>
      <w:r>
        <w:rPr>
          <w:rFonts w:ascii="宋体" w:hAnsi="宋体"/>
          <w:color w:val="auto"/>
          <w:sz w:val="24"/>
          <w:highlight w:val="none"/>
        </w:rPr>
        <w:t>8.</w:t>
      </w:r>
      <w:r>
        <w:rPr>
          <w:rFonts w:hint="eastAsia" w:ascii="宋体" w:hAnsi="宋体"/>
          <w:color w:val="auto"/>
          <w:sz w:val="24"/>
          <w:highlight w:val="none"/>
        </w:rPr>
        <w:t>本协议正本三份、副本份。合同三方各执正本一份、副本份，当正本与副本内容不一致时，以正本为准。</w:t>
      </w:r>
    </w:p>
    <w:p w14:paraId="417DE6B5">
      <w:pPr>
        <w:rPr>
          <w:rFonts w:ascii="宋体" w:hAnsi="Calibri"/>
          <w:color w:val="auto"/>
          <w:sz w:val="24"/>
          <w:highlight w:val="none"/>
        </w:rPr>
      </w:pPr>
    </w:p>
    <w:p w14:paraId="180BE4E6">
      <w:pPr>
        <w:spacing w:line="360" w:lineRule="exact"/>
        <w:ind w:firstLine="465"/>
        <w:rPr>
          <w:rFonts w:ascii="宋体" w:hAnsi="Calibri"/>
          <w:color w:val="auto"/>
          <w:sz w:val="24"/>
          <w:highlight w:val="none"/>
        </w:rPr>
      </w:pPr>
      <w:r>
        <w:rPr>
          <w:rFonts w:hint="eastAsia" w:ascii="宋体" w:hAnsi="宋体"/>
          <w:color w:val="auto"/>
          <w:sz w:val="24"/>
          <w:highlight w:val="none"/>
        </w:rPr>
        <w:t>发包人：（盖单位章）</w:t>
      </w:r>
    </w:p>
    <w:p w14:paraId="080FF595">
      <w:pPr>
        <w:spacing w:line="360" w:lineRule="exact"/>
        <w:ind w:firstLine="465"/>
        <w:rPr>
          <w:rFonts w:ascii="宋体" w:hAnsi="Calibri"/>
          <w:color w:val="auto"/>
          <w:sz w:val="24"/>
          <w:highlight w:val="none"/>
        </w:rPr>
      </w:pPr>
      <w:r>
        <w:rPr>
          <w:rFonts w:hint="eastAsia" w:ascii="宋体" w:hAnsi="宋体"/>
          <w:color w:val="auto"/>
          <w:sz w:val="24"/>
          <w:highlight w:val="none"/>
        </w:rPr>
        <w:t>法定人或代表其委托代理人：（签字）</w:t>
      </w:r>
    </w:p>
    <w:p w14:paraId="382E6B6F">
      <w:pPr>
        <w:spacing w:line="360" w:lineRule="exact"/>
        <w:ind w:firstLine="465"/>
        <w:rPr>
          <w:rFonts w:ascii="宋体" w:hAnsi="Calibri"/>
          <w:color w:val="auto"/>
          <w:sz w:val="24"/>
          <w:highlight w:val="none"/>
        </w:rPr>
      </w:pPr>
      <w:r>
        <w:rPr>
          <w:rFonts w:hint="eastAsia" w:ascii="宋体" w:hAnsi="宋体"/>
          <w:color w:val="auto"/>
          <w:sz w:val="24"/>
          <w:highlight w:val="none"/>
        </w:rPr>
        <w:t>年月日</w:t>
      </w:r>
    </w:p>
    <w:p w14:paraId="0173370C">
      <w:pPr>
        <w:spacing w:line="360" w:lineRule="exact"/>
        <w:rPr>
          <w:rFonts w:ascii="宋体" w:hAnsi="Calibri"/>
          <w:color w:val="auto"/>
          <w:sz w:val="24"/>
          <w:highlight w:val="none"/>
        </w:rPr>
      </w:pPr>
    </w:p>
    <w:p w14:paraId="210B47B9">
      <w:pPr>
        <w:spacing w:line="360" w:lineRule="exact"/>
        <w:ind w:firstLine="465"/>
        <w:rPr>
          <w:rFonts w:ascii="宋体" w:hAnsi="Calibri"/>
          <w:color w:val="auto"/>
          <w:sz w:val="24"/>
          <w:highlight w:val="none"/>
        </w:rPr>
      </w:pPr>
      <w:r>
        <w:rPr>
          <w:rFonts w:hint="eastAsia" w:ascii="宋体" w:hAnsi="宋体"/>
          <w:color w:val="auto"/>
          <w:sz w:val="24"/>
          <w:highlight w:val="none"/>
        </w:rPr>
        <w:t>承包人：（盖单位章）</w:t>
      </w:r>
    </w:p>
    <w:p w14:paraId="38ACF996">
      <w:pPr>
        <w:spacing w:line="360" w:lineRule="exact"/>
        <w:ind w:firstLine="465"/>
        <w:rPr>
          <w:rFonts w:ascii="宋体" w:hAnsi="Calibri"/>
          <w:color w:val="auto"/>
          <w:sz w:val="24"/>
          <w:highlight w:val="none"/>
        </w:rPr>
      </w:pPr>
      <w:r>
        <w:rPr>
          <w:rFonts w:hint="eastAsia" w:ascii="宋体" w:hAnsi="宋体"/>
          <w:color w:val="auto"/>
          <w:sz w:val="24"/>
          <w:highlight w:val="none"/>
        </w:rPr>
        <w:t>法定人或代表其委托代理人：（签字）</w:t>
      </w:r>
    </w:p>
    <w:p w14:paraId="3072FF9A">
      <w:pPr>
        <w:spacing w:line="360" w:lineRule="exact"/>
        <w:ind w:firstLine="465"/>
        <w:rPr>
          <w:rFonts w:ascii="宋体" w:hAnsi="Calibri"/>
          <w:color w:val="auto"/>
          <w:sz w:val="24"/>
          <w:highlight w:val="none"/>
        </w:rPr>
      </w:pPr>
      <w:r>
        <w:rPr>
          <w:rFonts w:hint="eastAsia" w:ascii="宋体" w:hAnsi="宋体"/>
          <w:color w:val="auto"/>
          <w:sz w:val="24"/>
          <w:highlight w:val="none"/>
        </w:rPr>
        <w:t>年月日</w:t>
      </w:r>
    </w:p>
    <w:p w14:paraId="3D792F70">
      <w:pPr>
        <w:spacing w:line="360" w:lineRule="exact"/>
        <w:rPr>
          <w:rFonts w:ascii="宋体" w:hAnsi="Calibri"/>
          <w:color w:val="auto"/>
          <w:sz w:val="24"/>
          <w:highlight w:val="none"/>
        </w:rPr>
      </w:pPr>
    </w:p>
    <w:p w14:paraId="031C4922">
      <w:pPr>
        <w:spacing w:line="360" w:lineRule="exact"/>
        <w:ind w:firstLine="465"/>
        <w:rPr>
          <w:rFonts w:ascii="宋体" w:hAnsi="Calibri"/>
          <w:color w:val="auto"/>
          <w:sz w:val="24"/>
          <w:highlight w:val="none"/>
        </w:rPr>
      </w:pPr>
      <w:r>
        <w:rPr>
          <w:rFonts w:hint="eastAsia" w:ascii="宋体" w:hAnsi="宋体"/>
          <w:color w:val="auto"/>
          <w:sz w:val="24"/>
          <w:highlight w:val="none"/>
        </w:rPr>
        <w:t>经办银行：（盖单位章）</w:t>
      </w:r>
    </w:p>
    <w:p w14:paraId="5D0094FE">
      <w:pPr>
        <w:spacing w:line="360" w:lineRule="exact"/>
        <w:ind w:firstLine="465"/>
        <w:rPr>
          <w:rFonts w:ascii="宋体" w:hAnsi="Calibri"/>
          <w:color w:val="auto"/>
          <w:sz w:val="24"/>
          <w:highlight w:val="none"/>
        </w:rPr>
      </w:pPr>
      <w:r>
        <w:rPr>
          <w:rFonts w:hint="eastAsia" w:ascii="宋体" w:hAnsi="宋体"/>
          <w:color w:val="auto"/>
          <w:sz w:val="24"/>
          <w:highlight w:val="none"/>
        </w:rPr>
        <w:t>法定人或代表其委托代理人：（签字）</w:t>
      </w:r>
    </w:p>
    <w:p w14:paraId="0B8AF810">
      <w:pPr>
        <w:spacing w:line="360" w:lineRule="exact"/>
        <w:ind w:firstLine="465"/>
        <w:rPr>
          <w:rFonts w:ascii="宋体" w:hAnsi="Calibri"/>
          <w:color w:val="auto"/>
          <w:sz w:val="24"/>
          <w:highlight w:val="none"/>
        </w:rPr>
      </w:pPr>
      <w:r>
        <w:rPr>
          <w:rFonts w:hint="eastAsia" w:ascii="宋体" w:hAnsi="宋体"/>
          <w:color w:val="auto"/>
          <w:sz w:val="24"/>
          <w:highlight w:val="none"/>
        </w:rPr>
        <w:t>年月日</w:t>
      </w:r>
    </w:p>
    <w:p w14:paraId="0CE108A5">
      <w:pPr>
        <w:pStyle w:val="11"/>
        <w:rPr>
          <w:rFonts w:hint="eastAsia" w:ascii="宋体" w:hAnsi="宋体" w:cs="宋体"/>
          <w:color w:val="auto"/>
          <w:sz w:val="24"/>
          <w:highlight w:val="none"/>
        </w:rPr>
      </w:pPr>
    </w:p>
    <w:p w14:paraId="2313D689">
      <w:pPr>
        <w:rPr>
          <w:rFonts w:hint="eastAsia" w:ascii="宋体" w:hAnsi="宋体" w:cs="宋体"/>
          <w:color w:val="auto"/>
          <w:sz w:val="24"/>
          <w:highlight w:val="none"/>
        </w:rPr>
      </w:pPr>
    </w:p>
    <w:p w14:paraId="1B02C4D8">
      <w:pPr>
        <w:pStyle w:val="11"/>
        <w:rPr>
          <w:rFonts w:hint="eastAsia" w:ascii="宋体" w:hAnsi="宋体" w:cs="宋体"/>
          <w:color w:val="auto"/>
          <w:sz w:val="24"/>
          <w:highlight w:val="none"/>
        </w:rPr>
      </w:pPr>
    </w:p>
    <w:p w14:paraId="11F512A7">
      <w:pPr>
        <w:rPr>
          <w:rFonts w:hint="eastAsia"/>
          <w:color w:val="auto"/>
          <w:highlight w:val="none"/>
        </w:rPr>
      </w:pPr>
    </w:p>
    <w:p w14:paraId="6404C86B">
      <w:pPr>
        <w:rPr>
          <w:rFonts w:hint="eastAsia" w:ascii="宋体" w:hAnsi="宋体" w:cs="宋体"/>
          <w:color w:val="auto"/>
          <w:sz w:val="24"/>
          <w:highlight w:val="none"/>
        </w:rPr>
      </w:pPr>
    </w:p>
    <w:p w14:paraId="4C90E87C">
      <w:pPr>
        <w:spacing w:line="400" w:lineRule="exact"/>
        <w:rPr>
          <w:rFonts w:hint="eastAsia" w:ascii="宋体" w:hAnsi="宋体" w:cs="宋体"/>
          <w:b/>
          <w:color w:val="auto"/>
          <w:kern w:val="1"/>
          <w:szCs w:val="21"/>
          <w:highlight w:val="none"/>
        </w:rPr>
      </w:pPr>
      <w:bookmarkStart w:id="1042" w:name="_Toc101237568"/>
      <w:bookmarkEnd w:id="1042"/>
      <w:bookmarkStart w:id="1043" w:name="_Toc239659123"/>
      <w:bookmarkEnd w:id="1043"/>
      <w:bookmarkStart w:id="1044" w:name="_Toc68452841"/>
      <w:bookmarkEnd w:id="1044"/>
      <w:bookmarkStart w:id="1045" w:name="_Toc68547805"/>
      <w:bookmarkEnd w:id="1045"/>
    </w:p>
    <w:p w14:paraId="0438A7D7">
      <w:pPr>
        <w:spacing w:line="360" w:lineRule="auto"/>
        <w:ind w:firstLine="480" w:firstLineChars="200"/>
        <w:rPr>
          <w:rFonts w:hint="eastAsia" w:ascii="宋体" w:hAnsi="宋体" w:cs="宋体"/>
          <w:color w:val="auto"/>
          <w:sz w:val="24"/>
          <w:highlight w:val="none"/>
          <w:u w:val="single"/>
        </w:rPr>
      </w:pPr>
    </w:p>
    <w:p w14:paraId="4391D3FB">
      <w:pPr>
        <w:widowControl/>
        <w:shd w:val="clear" w:color="auto" w:fill="FFFFFF"/>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广西壮族自治区政府采购项目合同验收书（格式）</w:t>
      </w:r>
    </w:p>
    <w:p w14:paraId="78B56297">
      <w:pPr>
        <w:widowControl/>
        <w:snapToGrid w:val="0"/>
        <w:spacing w:before="100" w:beforeAutospacing="1" w:after="100" w:afterAutospacing="1" w:line="320" w:lineRule="exact"/>
        <w:ind w:left="-359" w:leftChars="-17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根据政府采购项目（</w:t>
      </w:r>
      <w:r>
        <w:rPr>
          <w:rFonts w:hint="eastAsia" w:ascii="宋体" w:hAnsi="宋体" w:cs="宋体"/>
          <w:color w:val="auto"/>
          <w:szCs w:val="21"/>
          <w:highlight w:val="none"/>
          <w:u w:val="single"/>
        </w:rPr>
        <w:t xml:space="preserve">采购合同编号：    </w:t>
      </w:r>
      <w:r>
        <w:rPr>
          <w:rFonts w:hint="eastAsia" w:ascii="宋体" w:hAnsi="宋体" w:cs="宋体"/>
          <w:color w:val="auto"/>
          <w:szCs w:val="21"/>
          <w:highlight w:val="none"/>
        </w:rPr>
        <w:t>）的约定，我单位对（</w:t>
      </w:r>
      <w:r>
        <w:rPr>
          <w:rFonts w:hint="eastAsia" w:ascii="宋体" w:hAnsi="宋体" w:cs="宋体"/>
          <w:color w:val="auto"/>
          <w:szCs w:val="21"/>
          <w:highlight w:val="none"/>
          <w:u w:val="single"/>
        </w:rPr>
        <w:t xml:space="preserve">  项目名称   ）       </w:t>
      </w:r>
      <w:r>
        <w:rPr>
          <w:rFonts w:hint="eastAsia" w:ascii="宋体" w:hAnsi="宋体" w:cs="宋体"/>
          <w:color w:val="auto"/>
          <w:szCs w:val="21"/>
          <w:highlight w:val="none"/>
        </w:rPr>
        <w:t>政府采购项目中标（或成交）供应商</w:t>
      </w:r>
      <w:r>
        <w:rPr>
          <w:rFonts w:hint="eastAsia" w:ascii="宋体" w:hAnsi="宋体" w:cs="宋体"/>
          <w:color w:val="auto"/>
          <w:szCs w:val="21"/>
          <w:highlight w:val="none"/>
          <w:u w:val="single"/>
        </w:rPr>
        <w:t xml:space="preserve">（            公司名称              ）       </w:t>
      </w:r>
      <w:r>
        <w:rPr>
          <w:rFonts w:hint="eastAsia" w:ascii="宋体" w:hAnsi="宋体" w:cs="宋体"/>
          <w:color w:val="auto"/>
          <w:szCs w:val="21"/>
          <w:highlight w:val="none"/>
        </w:rPr>
        <w:t>提供的工程进行了验收，验收情况如下：</w:t>
      </w:r>
    </w:p>
    <w:tbl>
      <w:tblPr>
        <w:tblStyle w:val="19"/>
        <w:tblW w:w="0" w:type="auto"/>
        <w:jc w:val="center"/>
        <w:tblLayout w:type="fixed"/>
        <w:tblCellMar>
          <w:top w:w="0" w:type="dxa"/>
          <w:left w:w="0" w:type="dxa"/>
          <w:bottom w:w="0" w:type="dxa"/>
          <w:right w:w="0" w:type="dxa"/>
        </w:tblCellMar>
      </w:tblPr>
      <w:tblGrid>
        <w:gridCol w:w="1527"/>
        <w:gridCol w:w="2294"/>
        <w:gridCol w:w="946"/>
        <w:gridCol w:w="2495"/>
        <w:gridCol w:w="205"/>
        <w:gridCol w:w="793"/>
        <w:gridCol w:w="1367"/>
      </w:tblGrid>
      <w:tr w14:paraId="771627D7">
        <w:tblPrEx>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2835E102">
            <w:pPr>
              <w:widowControl/>
              <w:snapToGrid w:val="0"/>
              <w:spacing w:before="100" w:beforeAutospacing="1" w:after="100" w:afterAutospacing="1" w:line="320" w:lineRule="exact"/>
              <w:ind w:left="-3" w:firstLine="4" w:firstLineChars="2"/>
              <w:jc w:val="center"/>
              <w:rPr>
                <w:rFonts w:hint="eastAsia" w:ascii="宋体" w:hAnsi="宋体" w:cs="宋体"/>
                <w:color w:val="auto"/>
                <w:szCs w:val="21"/>
                <w:highlight w:val="none"/>
              </w:rPr>
            </w:pPr>
            <w:r>
              <w:rPr>
                <w:rFonts w:hint="eastAsia" w:ascii="宋体" w:hAnsi="宋体" w:cs="宋体"/>
                <w:color w:val="auto"/>
                <w:szCs w:val="21"/>
                <w:highlight w:val="none"/>
              </w:rPr>
              <w:t>验收方式：</w:t>
            </w:r>
          </w:p>
        </w:tc>
        <w:tc>
          <w:tcPr>
            <w:tcW w:w="5806" w:type="dxa"/>
            <w:gridSpan w:val="5"/>
            <w:tcBorders>
              <w:top w:val="single" w:color="auto" w:sz="8" w:space="0"/>
              <w:left w:val="nil"/>
              <w:bottom w:val="single" w:color="auto" w:sz="8" w:space="0"/>
              <w:right w:val="single" w:color="auto" w:sz="8" w:space="0"/>
            </w:tcBorders>
            <w:noWrap w:val="0"/>
            <w:vAlign w:val="center"/>
          </w:tcPr>
          <w:p w14:paraId="472B9EC5">
            <w:pPr>
              <w:widowControl/>
              <w:snapToGrid w:val="0"/>
              <w:spacing w:before="100" w:beforeAutospacing="1" w:after="100" w:afterAutospacing="1" w:line="320" w:lineRule="exact"/>
              <w:ind w:left="-3"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□自行验收         □委托验收</w:t>
            </w:r>
          </w:p>
        </w:tc>
      </w:tr>
      <w:tr w14:paraId="7A7F24EA">
        <w:tblPrEx>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339D32F">
            <w:pPr>
              <w:widowControl/>
              <w:snapToGrid w:val="0"/>
              <w:spacing w:before="100" w:beforeAutospacing="1" w:after="100" w:afterAutospacing="1" w:line="320" w:lineRule="exact"/>
              <w:ind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94" w:type="dxa"/>
            <w:tcBorders>
              <w:top w:val="single" w:color="auto" w:sz="8" w:space="0"/>
              <w:left w:val="nil"/>
              <w:bottom w:val="single" w:color="auto" w:sz="8" w:space="0"/>
              <w:right w:val="single" w:color="auto" w:sz="8" w:space="0"/>
            </w:tcBorders>
            <w:noWrap w:val="0"/>
            <w:vAlign w:val="center"/>
          </w:tcPr>
          <w:p w14:paraId="025B3F86">
            <w:pPr>
              <w:widowControl/>
              <w:snapToGrid w:val="0"/>
              <w:spacing w:before="100" w:beforeAutospacing="1" w:after="100" w:afterAutospacing="1" w:line="32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3441" w:type="dxa"/>
            <w:gridSpan w:val="2"/>
            <w:tcBorders>
              <w:top w:val="single" w:color="auto" w:sz="8" w:space="0"/>
              <w:left w:val="nil"/>
              <w:bottom w:val="single" w:color="auto" w:sz="8" w:space="0"/>
              <w:right w:val="single" w:color="auto" w:sz="8" w:space="0"/>
            </w:tcBorders>
            <w:noWrap w:val="0"/>
            <w:vAlign w:val="center"/>
          </w:tcPr>
          <w:p w14:paraId="1FDB5F8A">
            <w:pPr>
              <w:widowControl/>
              <w:snapToGrid w:val="0"/>
              <w:spacing w:before="100" w:beforeAutospacing="1" w:after="100" w:afterAutospacing="1" w:line="32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工程内容、标准</w:t>
            </w:r>
          </w:p>
        </w:tc>
        <w:tc>
          <w:tcPr>
            <w:tcW w:w="998" w:type="dxa"/>
            <w:gridSpan w:val="2"/>
            <w:tcBorders>
              <w:top w:val="single" w:color="auto" w:sz="8" w:space="0"/>
              <w:left w:val="nil"/>
              <w:bottom w:val="single" w:color="auto" w:sz="8" w:space="0"/>
              <w:right w:val="single" w:color="auto" w:sz="8" w:space="0"/>
            </w:tcBorders>
            <w:noWrap w:val="0"/>
            <w:vAlign w:val="center"/>
          </w:tcPr>
          <w:p w14:paraId="76E4066A">
            <w:pPr>
              <w:widowControl/>
              <w:snapToGrid w:val="0"/>
              <w:spacing w:before="100" w:beforeAutospacing="1" w:after="100" w:afterAutospacing="1"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67" w:type="dxa"/>
            <w:tcBorders>
              <w:top w:val="single" w:color="auto" w:sz="8" w:space="0"/>
              <w:left w:val="nil"/>
              <w:bottom w:val="single" w:color="auto" w:sz="8" w:space="0"/>
              <w:right w:val="single" w:color="auto" w:sz="8" w:space="0"/>
            </w:tcBorders>
            <w:noWrap w:val="0"/>
            <w:vAlign w:val="center"/>
          </w:tcPr>
          <w:p w14:paraId="6EEC6DC2">
            <w:pPr>
              <w:widowControl/>
              <w:snapToGrid w:val="0"/>
              <w:spacing w:before="100" w:beforeAutospacing="1" w:after="100" w:afterAutospacing="1" w:line="320" w:lineRule="exact"/>
              <w:ind w:left="-3" w:firstLine="2" w:firstLineChars="1"/>
              <w:jc w:val="center"/>
              <w:rPr>
                <w:rFonts w:hint="eastAsia" w:ascii="宋体" w:hAnsi="宋体" w:cs="宋体"/>
                <w:color w:val="auto"/>
                <w:szCs w:val="21"/>
                <w:highlight w:val="none"/>
              </w:rPr>
            </w:pPr>
            <w:r>
              <w:rPr>
                <w:rFonts w:hint="eastAsia" w:ascii="宋体" w:hAnsi="宋体" w:cs="宋体"/>
                <w:color w:val="auto"/>
                <w:szCs w:val="21"/>
                <w:highlight w:val="none"/>
              </w:rPr>
              <w:t>金  额</w:t>
            </w:r>
          </w:p>
        </w:tc>
      </w:tr>
      <w:tr w14:paraId="5D1FB515">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C63F8A">
            <w:pPr>
              <w:widowControl/>
              <w:snapToGrid w:val="0"/>
              <w:spacing w:before="100" w:beforeAutospacing="1" w:after="100" w:afterAutospacing="1" w:line="320" w:lineRule="exact"/>
              <w:ind w:left="-3" w:firstLine="4" w:firstLineChars="2"/>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294" w:type="dxa"/>
            <w:tcBorders>
              <w:top w:val="single" w:color="auto" w:sz="8" w:space="0"/>
              <w:left w:val="nil"/>
              <w:bottom w:val="single" w:color="auto" w:sz="8" w:space="0"/>
              <w:right w:val="single" w:color="auto" w:sz="8" w:space="0"/>
            </w:tcBorders>
            <w:noWrap w:val="0"/>
            <w:vAlign w:val="center"/>
          </w:tcPr>
          <w:p w14:paraId="6908B134">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4154597">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67218A15">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67" w:type="dxa"/>
            <w:tcBorders>
              <w:top w:val="single" w:color="auto" w:sz="8" w:space="0"/>
              <w:left w:val="nil"/>
              <w:bottom w:val="single" w:color="auto" w:sz="8" w:space="0"/>
              <w:right w:val="single" w:color="auto" w:sz="8" w:space="0"/>
            </w:tcBorders>
            <w:noWrap w:val="0"/>
            <w:vAlign w:val="center"/>
          </w:tcPr>
          <w:p w14:paraId="5A1AE59F">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23175AB1">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933DC5B">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294" w:type="dxa"/>
            <w:tcBorders>
              <w:top w:val="single" w:color="auto" w:sz="8" w:space="0"/>
              <w:left w:val="nil"/>
              <w:bottom w:val="single" w:color="auto" w:sz="8" w:space="0"/>
              <w:right w:val="single" w:color="auto" w:sz="8" w:space="0"/>
            </w:tcBorders>
            <w:noWrap w:val="0"/>
            <w:vAlign w:val="center"/>
          </w:tcPr>
          <w:p w14:paraId="3AAB642F">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7317879">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430B5C96">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67" w:type="dxa"/>
            <w:tcBorders>
              <w:top w:val="single" w:color="auto" w:sz="8" w:space="0"/>
              <w:left w:val="nil"/>
              <w:bottom w:val="single" w:color="auto" w:sz="8" w:space="0"/>
              <w:right w:val="single" w:color="auto" w:sz="8" w:space="0"/>
            </w:tcBorders>
            <w:noWrap w:val="0"/>
            <w:vAlign w:val="center"/>
          </w:tcPr>
          <w:p w14:paraId="042E3CFE">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5561D200">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BCC688">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2294" w:type="dxa"/>
            <w:tcBorders>
              <w:top w:val="single" w:color="auto" w:sz="8" w:space="0"/>
              <w:left w:val="nil"/>
              <w:bottom w:val="single" w:color="auto" w:sz="8" w:space="0"/>
              <w:right w:val="single" w:color="auto" w:sz="8" w:space="0"/>
            </w:tcBorders>
            <w:noWrap w:val="0"/>
            <w:vAlign w:val="center"/>
          </w:tcPr>
          <w:p w14:paraId="67FA2988">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20171040">
            <w:pPr>
              <w:widowControl/>
              <w:snapToGrid w:val="0"/>
              <w:spacing w:before="100" w:beforeAutospacing="1" w:after="100" w:afterAutospacing="1" w:line="320" w:lineRule="exact"/>
              <w:ind w:left="-3"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08944272">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67" w:type="dxa"/>
            <w:tcBorders>
              <w:top w:val="single" w:color="auto" w:sz="8" w:space="0"/>
              <w:left w:val="nil"/>
              <w:bottom w:val="single" w:color="auto" w:sz="8" w:space="0"/>
              <w:right w:val="single" w:color="auto" w:sz="8" w:space="0"/>
            </w:tcBorders>
            <w:noWrap w:val="0"/>
            <w:vAlign w:val="center"/>
          </w:tcPr>
          <w:p w14:paraId="4DAC6D14">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1C699FF2">
        <w:tblPrEx>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21720FE2">
            <w:pPr>
              <w:widowControl/>
              <w:snapToGrid w:val="0"/>
              <w:spacing w:before="100" w:beforeAutospacing="1" w:after="100" w:afterAutospacing="1" w:line="320" w:lineRule="exact"/>
              <w:ind w:left="-3" w:firstLine="4" w:firstLineChars="2"/>
              <w:jc w:val="left"/>
              <w:rPr>
                <w:rFonts w:hint="eastAsia" w:ascii="宋体" w:hAnsi="宋体" w:cs="宋体"/>
                <w:color w:val="auto"/>
                <w:szCs w:val="21"/>
                <w:highlight w:val="none"/>
              </w:rPr>
            </w:pPr>
            <w:r>
              <w:rPr>
                <w:rFonts w:hint="eastAsia" w:ascii="宋体" w:hAnsi="宋体" w:cs="宋体"/>
                <w:color w:val="auto"/>
                <w:szCs w:val="21"/>
                <w:highlight w:val="none"/>
              </w:rPr>
              <w:t>合        计</w:t>
            </w:r>
          </w:p>
        </w:tc>
        <w:tc>
          <w:tcPr>
            <w:tcW w:w="998" w:type="dxa"/>
            <w:gridSpan w:val="2"/>
            <w:tcBorders>
              <w:top w:val="single" w:color="auto" w:sz="8" w:space="0"/>
              <w:left w:val="nil"/>
              <w:bottom w:val="single" w:color="auto" w:sz="8" w:space="0"/>
              <w:right w:val="single" w:color="auto" w:sz="8" w:space="0"/>
            </w:tcBorders>
            <w:noWrap w:val="0"/>
            <w:vAlign w:val="center"/>
          </w:tcPr>
          <w:p w14:paraId="6E97B09C">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c>
          <w:tcPr>
            <w:tcW w:w="1367" w:type="dxa"/>
            <w:tcBorders>
              <w:top w:val="single" w:color="auto" w:sz="8" w:space="0"/>
              <w:left w:val="nil"/>
              <w:bottom w:val="single" w:color="auto" w:sz="8" w:space="0"/>
              <w:right w:val="single" w:color="auto" w:sz="8" w:space="0"/>
            </w:tcBorders>
            <w:noWrap w:val="0"/>
            <w:vAlign w:val="center"/>
          </w:tcPr>
          <w:p w14:paraId="6300C3D0">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w:t>
            </w:r>
          </w:p>
        </w:tc>
      </w:tr>
      <w:tr w14:paraId="363B2A63">
        <w:tblPrEx>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4B7695CD">
            <w:pPr>
              <w:widowControl/>
              <w:snapToGrid w:val="0"/>
              <w:spacing w:before="100" w:beforeAutospacing="1" w:after="100" w:afterAutospacing="1" w:line="32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合计大写金额：  仟  佰  拾  万  仟  佰  拾  元</w:t>
            </w:r>
          </w:p>
        </w:tc>
      </w:tr>
      <w:tr w14:paraId="4A2DC690">
        <w:tblPrEx>
          <w:tblCellMar>
            <w:top w:w="0" w:type="dxa"/>
            <w:left w:w="0" w:type="dxa"/>
            <w:bottom w:w="0" w:type="dxa"/>
            <w:right w:w="0" w:type="dxa"/>
          </w:tblCellMar>
        </w:tblPrEx>
        <w:trPr>
          <w:trHeight w:val="516"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8C9ED21">
            <w:pPr>
              <w:widowControl/>
              <w:snapToGrid w:val="0"/>
              <w:spacing w:before="100" w:beforeAutospacing="1" w:after="100" w:afterAutospacing="1" w:line="320" w:lineRule="exact"/>
              <w:ind w:firstLine="2" w:firstLineChars="1"/>
              <w:jc w:val="left"/>
              <w:rPr>
                <w:rFonts w:hint="eastAsia" w:ascii="宋体" w:hAnsi="宋体" w:cs="宋体"/>
                <w:color w:val="auto"/>
                <w:szCs w:val="21"/>
                <w:highlight w:val="none"/>
              </w:rPr>
            </w:pPr>
            <w:r>
              <w:rPr>
                <w:rFonts w:hint="eastAsia" w:ascii="宋体" w:hAnsi="宋体" w:cs="宋体"/>
                <w:color w:val="auto"/>
                <w:szCs w:val="21"/>
                <w:highlight w:val="none"/>
              </w:rPr>
              <w:t>实际供货日期</w:t>
            </w:r>
          </w:p>
        </w:tc>
        <w:tc>
          <w:tcPr>
            <w:tcW w:w="3240" w:type="dxa"/>
            <w:gridSpan w:val="2"/>
            <w:tcBorders>
              <w:top w:val="single" w:color="auto" w:sz="8" w:space="0"/>
              <w:left w:val="nil"/>
              <w:bottom w:val="single" w:color="auto" w:sz="8" w:space="0"/>
              <w:right w:val="single" w:color="auto" w:sz="8" w:space="0"/>
            </w:tcBorders>
            <w:noWrap w:val="0"/>
            <w:vAlign w:val="center"/>
          </w:tcPr>
          <w:p w14:paraId="0553C768">
            <w:pPr>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p>
        </w:tc>
        <w:tc>
          <w:tcPr>
            <w:tcW w:w="2700" w:type="dxa"/>
            <w:gridSpan w:val="2"/>
            <w:tcBorders>
              <w:top w:val="single" w:color="auto" w:sz="8" w:space="0"/>
              <w:left w:val="nil"/>
              <w:bottom w:val="single" w:color="auto" w:sz="8" w:space="0"/>
              <w:right w:val="single" w:color="auto" w:sz="8" w:space="0"/>
            </w:tcBorders>
            <w:noWrap w:val="0"/>
            <w:vAlign w:val="center"/>
          </w:tcPr>
          <w:p w14:paraId="4E5593D3">
            <w:pPr>
              <w:snapToGrid w:val="0"/>
              <w:spacing w:before="100" w:beforeAutospacing="1" w:after="100" w:afterAutospacing="1" w:line="320" w:lineRule="exact"/>
              <w:ind w:firstLine="39" w:firstLineChars="19"/>
              <w:jc w:val="center"/>
              <w:rPr>
                <w:rFonts w:hint="eastAsia" w:ascii="宋体" w:hAnsi="宋体" w:cs="宋体"/>
                <w:color w:val="auto"/>
                <w:szCs w:val="21"/>
                <w:highlight w:val="none"/>
              </w:rPr>
            </w:pPr>
            <w:r>
              <w:rPr>
                <w:rFonts w:hint="eastAsia" w:ascii="宋体" w:hAnsi="宋体" w:cs="宋体"/>
                <w:color w:val="auto"/>
                <w:szCs w:val="21"/>
                <w:highlight w:val="none"/>
              </w:rPr>
              <w:t>合同交货验收日期</w:t>
            </w:r>
          </w:p>
        </w:tc>
        <w:tc>
          <w:tcPr>
            <w:tcW w:w="2160" w:type="dxa"/>
            <w:gridSpan w:val="2"/>
            <w:tcBorders>
              <w:top w:val="single" w:color="auto" w:sz="8" w:space="0"/>
              <w:left w:val="nil"/>
              <w:bottom w:val="single" w:color="auto" w:sz="8" w:space="0"/>
              <w:right w:val="single" w:color="auto" w:sz="8" w:space="0"/>
            </w:tcBorders>
            <w:noWrap w:val="0"/>
            <w:vAlign w:val="center"/>
          </w:tcPr>
          <w:p w14:paraId="1BADBA25">
            <w:pPr>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p>
        </w:tc>
      </w:tr>
      <w:tr w14:paraId="09D3F9B0">
        <w:tblPrEx>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0DDD2C1">
            <w:pPr>
              <w:widowControl/>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p>
        </w:tc>
        <w:tc>
          <w:tcPr>
            <w:tcW w:w="3240" w:type="dxa"/>
            <w:gridSpan w:val="2"/>
            <w:tcBorders>
              <w:top w:val="single" w:color="auto" w:sz="8" w:space="0"/>
              <w:left w:val="nil"/>
              <w:bottom w:val="single" w:color="auto" w:sz="8" w:space="0"/>
              <w:right w:val="single" w:color="auto" w:sz="8" w:space="0"/>
            </w:tcBorders>
            <w:noWrap w:val="0"/>
            <w:vAlign w:val="center"/>
          </w:tcPr>
          <w:p w14:paraId="237A95E0">
            <w:pPr>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p>
        </w:tc>
        <w:tc>
          <w:tcPr>
            <w:tcW w:w="2700" w:type="dxa"/>
            <w:gridSpan w:val="2"/>
            <w:tcBorders>
              <w:top w:val="single" w:color="auto" w:sz="8" w:space="0"/>
              <w:left w:val="nil"/>
              <w:bottom w:val="single" w:color="auto" w:sz="8" w:space="0"/>
              <w:right w:val="single" w:color="auto" w:sz="8" w:space="0"/>
            </w:tcBorders>
            <w:noWrap w:val="0"/>
            <w:vAlign w:val="center"/>
          </w:tcPr>
          <w:p w14:paraId="681F0CD8">
            <w:pPr>
              <w:snapToGrid w:val="0"/>
              <w:spacing w:before="100" w:beforeAutospacing="1" w:after="100" w:afterAutospacing="1" w:line="320" w:lineRule="exact"/>
              <w:ind w:left="590" w:firstLine="420" w:firstLineChars="200"/>
              <w:jc w:val="left"/>
              <w:rPr>
                <w:rFonts w:hint="eastAsia" w:ascii="宋体" w:hAnsi="宋体" w:cs="宋体"/>
                <w:color w:val="auto"/>
                <w:szCs w:val="21"/>
                <w:highlight w:val="none"/>
              </w:rPr>
            </w:pPr>
          </w:p>
        </w:tc>
        <w:tc>
          <w:tcPr>
            <w:tcW w:w="2160" w:type="dxa"/>
            <w:gridSpan w:val="2"/>
            <w:tcBorders>
              <w:top w:val="single" w:color="auto" w:sz="8" w:space="0"/>
              <w:left w:val="nil"/>
              <w:bottom w:val="single" w:color="auto" w:sz="8" w:space="0"/>
              <w:right w:val="single" w:color="auto" w:sz="8" w:space="0"/>
            </w:tcBorders>
            <w:noWrap w:val="0"/>
            <w:vAlign w:val="center"/>
          </w:tcPr>
          <w:p w14:paraId="4A437971">
            <w:pPr>
              <w:snapToGrid w:val="0"/>
              <w:spacing w:before="100" w:beforeAutospacing="1" w:after="100" w:afterAutospacing="1" w:line="320" w:lineRule="exact"/>
              <w:ind w:firstLine="420" w:firstLineChars="200"/>
              <w:jc w:val="left"/>
              <w:rPr>
                <w:rFonts w:hint="eastAsia" w:ascii="宋体" w:hAnsi="宋体" w:cs="宋体"/>
                <w:color w:val="auto"/>
                <w:szCs w:val="21"/>
                <w:highlight w:val="none"/>
              </w:rPr>
            </w:pPr>
          </w:p>
        </w:tc>
      </w:tr>
      <w:tr w14:paraId="05F00013">
        <w:tblPrEx>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6B8B4E">
            <w:pPr>
              <w:widowControl/>
              <w:snapToGrid w:val="0"/>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验收具体内容</w:t>
            </w:r>
          </w:p>
        </w:tc>
        <w:tc>
          <w:tcPr>
            <w:tcW w:w="810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7AA379">
            <w:pPr>
              <w:widowControl/>
              <w:snapToGrid w:val="0"/>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应按采购合同、采购文件、竞标响应文件及验收方案等进行验收；并核对中标或者成交供应商在工程质量等方面是否违反合同约定或服务规范要求、提供的质量保证证明材料是否齐全、应有的配件及附件是否达到合同约定等。可附件)</w:t>
            </w:r>
          </w:p>
        </w:tc>
      </w:tr>
      <w:tr w14:paraId="34AAC56C">
        <w:tblPrEx>
          <w:tblCellMar>
            <w:top w:w="0" w:type="dxa"/>
            <w:left w:w="0" w:type="dxa"/>
            <w:bottom w:w="0" w:type="dxa"/>
            <w:right w:w="0" w:type="dxa"/>
          </w:tblCellMar>
        </w:tblPrEx>
        <w:trPr>
          <w:trHeight w:val="1080" w:hRule="atLeast"/>
          <w:jc w:val="center"/>
        </w:trPr>
        <w:tc>
          <w:tcPr>
            <w:tcW w:w="152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CFDF4F">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验收小组意见</w:t>
            </w:r>
          </w:p>
        </w:tc>
        <w:tc>
          <w:tcPr>
            <w:tcW w:w="8100" w:type="dxa"/>
            <w:gridSpan w:val="6"/>
            <w:tcBorders>
              <w:top w:val="single" w:color="auto" w:sz="8" w:space="0"/>
              <w:left w:val="nil"/>
              <w:bottom w:val="single" w:color="auto" w:sz="4" w:space="0"/>
              <w:right w:val="single" w:color="auto" w:sz="8" w:space="0"/>
            </w:tcBorders>
            <w:noWrap w:val="0"/>
            <w:vAlign w:val="center"/>
          </w:tcPr>
          <w:p w14:paraId="7C6832BB">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验收结论性意见：</w:t>
            </w:r>
          </w:p>
          <w:p w14:paraId="3F9FA107">
            <w:pPr>
              <w:widowControl/>
              <w:spacing w:before="100" w:beforeAutospacing="1" w:after="100" w:afterAutospacing="1" w:line="320" w:lineRule="exact"/>
              <w:jc w:val="left"/>
              <w:rPr>
                <w:rFonts w:hint="eastAsia" w:ascii="宋体" w:hAnsi="宋体" w:cs="宋体"/>
                <w:color w:val="auto"/>
                <w:szCs w:val="21"/>
                <w:highlight w:val="none"/>
              </w:rPr>
            </w:pPr>
          </w:p>
        </w:tc>
      </w:tr>
      <w:tr w14:paraId="7DF65515">
        <w:tblPrEx>
          <w:tblCellMar>
            <w:top w:w="0" w:type="dxa"/>
            <w:left w:w="0" w:type="dxa"/>
            <w:bottom w:w="0" w:type="dxa"/>
            <w:right w:w="0" w:type="dxa"/>
          </w:tblCellMar>
        </w:tblPrEx>
        <w:trPr>
          <w:trHeight w:val="1080" w:hRule="atLeast"/>
          <w:jc w:val="center"/>
        </w:trPr>
        <w:tc>
          <w:tcPr>
            <w:tcW w:w="1527" w:type="dxa"/>
            <w:vMerge w:val="continue"/>
            <w:tcBorders>
              <w:top w:val="nil"/>
              <w:left w:val="single" w:color="auto" w:sz="8" w:space="0"/>
              <w:bottom w:val="single" w:color="auto" w:sz="8" w:space="0"/>
              <w:right w:val="single" w:color="auto" w:sz="8" w:space="0"/>
            </w:tcBorders>
            <w:noWrap w:val="0"/>
            <w:vAlign w:val="center"/>
          </w:tcPr>
          <w:p w14:paraId="3D380CA4">
            <w:pPr>
              <w:widowControl/>
              <w:jc w:val="left"/>
              <w:rPr>
                <w:rFonts w:hint="eastAsia" w:ascii="宋体" w:hAnsi="宋体" w:cs="宋体"/>
                <w:color w:val="auto"/>
                <w:szCs w:val="21"/>
                <w:highlight w:val="none"/>
              </w:rPr>
            </w:pPr>
          </w:p>
        </w:tc>
        <w:tc>
          <w:tcPr>
            <w:tcW w:w="8100" w:type="dxa"/>
            <w:gridSpan w:val="6"/>
            <w:tcBorders>
              <w:top w:val="single" w:color="auto" w:sz="4" w:space="0"/>
              <w:left w:val="nil"/>
              <w:bottom w:val="single" w:color="auto" w:sz="8" w:space="0"/>
              <w:right w:val="single" w:color="auto" w:sz="8" w:space="0"/>
            </w:tcBorders>
            <w:noWrap w:val="0"/>
            <w:vAlign w:val="center"/>
          </w:tcPr>
          <w:p w14:paraId="3D1A8A81">
            <w:pPr>
              <w:spacing w:before="100" w:beforeAutospacing="1" w:after="100" w:afterAutospacing="1" w:line="320" w:lineRule="exact"/>
              <w:ind w:firstLine="84" w:firstLineChars="40"/>
              <w:jc w:val="left"/>
              <w:rPr>
                <w:rFonts w:hint="eastAsia" w:ascii="宋体" w:hAnsi="宋体" w:cs="宋体"/>
                <w:color w:val="auto"/>
                <w:szCs w:val="21"/>
                <w:highlight w:val="none"/>
              </w:rPr>
            </w:pPr>
            <w:r>
              <w:rPr>
                <w:rFonts w:hint="eastAsia" w:ascii="宋体" w:hAnsi="宋体" w:cs="宋体"/>
                <w:color w:val="auto"/>
                <w:szCs w:val="21"/>
                <w:highlight w:val="none"/>
              </w:rPr>
              <w:t>有异议的意见和说明理由：</w:t>
            </w:r>
          </w:p>
          <w:p w14:paraId="1869149D">
            <w:pPr>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签字：</w:t>
            </w:r>
          </w:p>
        </w:tc>
      </w:tr>
      <w:tr w14:paraId="2909157A">
        <w:tblPrEx>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22B0D">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验收小组成员签字：</w:t>
            </w:r>
          </w:p>
        </w:tc>
      </w:tr>
      <w:tr w14:paraId="1105E1E0">
        <w:tblPrEx>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F1389B">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监督人员或其他相关人员签字：</w:t>
            </w:r>
          </w:p>
          <w:p w14:paraId="3F3B6A29">
            <w:pPr>
              <w:widowControl/>
              <w:spacing w:before="100" w:beforeAutospacing="1" w:after="100" w:afterAutospacing="1" w:line="320" w:lineRule="exact"/>
              <w:ind w:firstLine="65" w:firstLineChars="31"/>
              <w:jc w:val="left"/>
              <w:rPr>
                <w:rFonts w:hint="eastAsia" w:ascii="宋体" w:hAnsi="宋体" w:cs="宋体"/>
                <w:color w:val="auto"/>
                <w:szCs w:val="21"/>
                <w:highlight w:val="none"/>
              </w:rPr>
            </w:pPr>
            <w:r>
              <w:rPr>
                <w:rFonts w:hint="eastAsia" w:ascii="宋体" w:hAnsi="宋体" w:cs="宋体"/>
                <w:color w:val="auto"/>
                <w:szCs w:val="21"/>
                <w:highlight w:val="none"/>
              </w:rPr>
              <w:t>或受邀机构的意见（盖章）：</w:t>
            </w:r>
          </w:p>
        </w:tc>
      </w:tr>
      <w:tr w14:paraId="11038C48">
        <w:tblPrEx>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487D6C1C">
            <w:pPr>
              <w:widowControl/>
              <w:spacing w:before="100" w:beforeAutospacing="1" w:after="100" w:afterAutospacing="1" w:line="320" w:lineRule="exact"/>
              <w:ind w:firstLine="65" w:firstLineChars="31"/>
              <w:jc w:val="left"/>
              <w:rPr>
                <w:rFonts w:hint="eastAsia" w:ascii="宋体" w:hAnsi="宋体" w:cs="宋体"/>
                <w:color w:val="auto"/>
                <w:szCs w:val="21"/>
                <w:highlight w:val="none"/>
              </w:rPr>
            </w:pPr>
            <w:r>
              <w:rPr>
                <w:rFonts w:hint="eastAsia" w:ascii="宋体" w:hAnsi="宋体" w:cs="宋体"/>
                <w:color w:val="auto"/>
                <w:szCs w:val="21"/>
                <w:highlight w:val="none"/>
              </w:rPr>
              <w:t>中标或者成交供应商负责人签字或盖章：</w:t>
            </w:r>
          </w:p>
          <w:p w14:paraId="156EA50B">
            <w:pPr>
              <w:widowControl/>
              <w:spacing w:before="100" w:beforeAutospacing="1" w:after="100" w:afterAutospacing="1" w:line="320" w:lineRule="exact"/>
              <w:jc w:val="left"/>
              <w:rPr>
                <w:rFonts w:hint="eastAsia" w:ascii="宋体" w:hAnsi="宋体" w:cs="宋体"/>
                <w:color w:val="auto"/>
                <w:szCs w:val="21"/>
                <w:highlight w:val="none"/>
              </w:rPr>
            </w:pPr>
          </w:p>
          <w:p w14:paraId="1263DD06">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2D6FC668">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采购单位或受托机构的意见（盖章）：</w:t>
            </w:r>
          </w:p>
          <w:p w14:paraId="2F10B1D2">
            <w:pPr>
              <w:widowControl/>
              <w:spacing w:before="100" w:beforeAutospacing="1" w:after="100" w:afterAutospacing="1" w:line="320" w:lineRule="exact"/>
              <w:jc w:val="left"/>
              <w:rPr>
                <w:rFonts w:hint="eastAsia" w:ascii="宋体" w:hAnsi="宋体" w:cs="宋体"/>
                <w:color w:val="auto"/>
                <w:szCs w:val="21"/>
                <w:highlight w:val="none"/>
              </w:rPr>
            </w:pPr>
          </w:p>
          <w:p w14:paraId="637D7807">
            <w:pPr>
              <w:widowControl/>
              <w:spacing w:before="100" w:beforeAutospacing="1" w:after="100" w:afterAutospacing="1"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联系电话：                   年   月  日</w:t>
            </w:r>
          </w:p>
        </w:tc>
      </w:tr>
    </w:tbl>
    <w:p w14:paraId="5D36D113">
      <w:pPr>
        <w:spacing w:line="528" w:lineRule="exact"/>
        <w:ind w:firstLine="2800" w:firstLineChars="700"/>
        <w:rPr>
          <w:rFonts w:hint="eastAsia" w:ascii="宋体" w:hAnsi="宋体" w:cs="宋体"/>
          <w:color w:val="auto"/>
          <w:sz w:val="40"/>
          <w:szCs w:val="40"/>
          <w:highlight w:val="none"/>
        </w:rPr>
      </w:pPr>
    </w:p>
    <w:p w14:paraId="1BED904A">
      <w:pPr>
        <w:spacing w:line="528" w:lineRule="exact"/>
        <w:ind w:firstLine="2800" w:firstLineChars="700"/>
        <w:rPr>
          <w:rFonts w:hint="eastAsia" w:ascii="宋体" w:hAnsi="宋体" w:cs="宋体"/>
          <w:color w:val="auto"/>
          <w:sz w:val="40"/>
          <w:szCs w:val="40"/>
          <w:highlight w:val="none"/>
        </w:rPr>
      </w:pPr>
    </w:p>
    <w:p w14:paraId="5327351A">
      <w:pPr>
        <w:spacing w:line="528" w:lineRule="exact"/>
        <w:ind w:firstLine="3200" w:firstLineChars="800"/>
        <w:rPr>
          <w:rFonts w:hint="eastAsia" w:ascii="宋体" w:hAnsi="宋体" w:cs="宋体"/>
          <w:color w:val="auto"/>
          <w:sz w:val="40"/>
          <w:szCs w:val="40"/>
          <w:highlight w:val="none"/>
        </w:rPr>
      </w:pPr>
    </w:p>
    <w:p w14:paraId="4EB22F79">
      <w:pPr>
        <w:spacing w:line="528" w:lineRule="exact"/>
        <w:ind w:firstLine="3200" w:firstLineChars="800"/>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9"/>
        <w:tblpPr w:leftFromText="180" w:rightFromText="180" w:vertAnchor="text" w:horzAnchor="page" w:tblpX="1612" w:tblpY="528"/>
        <w:tblOverlap w:val="never"/>
        <w:tblW w:w="0" w:type="auto"/>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4B13E9C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01FA43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35F756BB">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6CBC2F1">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6E5B7A5">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7C70883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4A81DB2">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2D0DEC7A">
        <w:tblPrEx>
          <w:tblCellMar>
            <w:top w:w="0" w:type="dxa"/>
            <w:left w:w="108" w:type="dxa"/>
            <w:bottom w:w="0" w:type="dxa"/>
            <w:right w:w="108" w:type="dxa"/>
          </w:tblCellMar>
        </w:tblPrEx>
        <w:trPr>
          <w:trHeight w:val="346" w:hRule="atLeast"/>
        </w:trPr>
        <w:tc>
          <w:tcPr>
            <w:tcW w:w="1985" w:type="dxa"/>
            <w:tcBorders>
              <w:top w:val="nil"/>
              <w:left w:val="single" w:color="auto" w:sz="4" w:space="0"/>
              <w:bottom w:val="single" w:color="auto" w:sz="4" w:space="0"/>
              <w:right w:val="single" w:color="auto" w:sz="4" w:space="0"/>
            </w:tcBorders>
            <w:noWrap w:val="0"/>
            <w:vAlign w:val="bottom"/>
          </w:tcPr>
          <w:p w14:paraId="46E4736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44F4D3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36002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11CC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6077B3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5F4F4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3C0478F">
        <w:tblPrEx>
          <w:tblCellMar>
            <w:top w:w="0" w:type="dxa"/>
            <w:left w:w="108" w:type="dxa"/>
            <w:bottom w:w="0" w:type="dxa"/>
            <w:right w:w="108" w:type="dxa"/>
          </w:tblCellMar>
        </w:tblPrEx>
        <w:trPr>
          <w:trHeight w:val="374"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F027B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B4CDC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12F0B2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9293C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C07D9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98845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0EEB47">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477663">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8534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A593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B341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1982DE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59DA73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5BCA92B">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5DBA7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525F76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0AA1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3DEB5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2CC5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7EE7E8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0DBADB">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730B55">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A39C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1FCAA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0FB18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5144E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261B81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D3E127D">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B21BB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7B4CDD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DFB67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70D03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14B870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F43CB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99DB2B5">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648321C">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7A2F5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A6CC8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AD3FD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794E9C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356C6E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7E59F08">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FD93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EA828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66C88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D2F6A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D3957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A36B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1324AE">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06745A">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85E3D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31DA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A77F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C333C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6528F9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251A9E">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07F83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0BF30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5D0D5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E9F9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9F1D1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53ABE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00E588D">
        <w:tblPrEx>
          <w:tblCellMar>
            <w:top w:w="0" w:type="dxa"/>
            <w:left w:w="108" w:type="dxa"/>
            <w:bottom w:w="0" w:type="dxa"/>
            <w:right w:w="108" w:type="dxa"/>
          </w:tblCellMar>
        </w:tblPrEx>
        <w:trPr>
          <w:trHeight w:val="34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33A888">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6D32C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E435E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4CEDC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7E622C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4118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F4E1919">
        <w:tblPrEx>
          <w:tblCellMar>
            <w:top w:w="0" w:type="dxa"/>
            <w:left w:w="108" w:type="dxa"/>
            <w:bottom w:w="0" w:type="dxa"/>
            <w:right w:w="108" w:type="dxa"/>
          </w:tblCellMar>
        </w:tblPrEx>
        <w:trPr>
          <w:trHeight w:val="29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D620E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297CD2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E0AF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2CFC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0FAFA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4D955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4DBEF15">
        <w:tblPrEx>
          <w:tblCellMar>
            <w:top w:w="0" w:type="dxa"/>
            <w:left w:w="108" w:type="dxa"/>
            <w:bottom w:w="0" w:type="dxa"/>
            <w:right w:w="108" w:type="dxa"/>
          </w:tblCellMar>
        </w:tblPrEx>
        <w:trPr>
          <w:trHeight w:val="326"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1D6B32">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A881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BFFA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900B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0B705C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4F7F6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2DD2BF">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FE803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49B615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5737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68441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1FB22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FFB2F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83211A">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3C68BE">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B874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3216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5A71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3741B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E9631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5319DE">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464C0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02A3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3F6B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30372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FD581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A2E3C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473D78">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874659">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7A948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F693A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66AEB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5B224B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052EF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FD9AB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FB0A5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FAAFA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A9750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B15A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5C283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74D20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6D9EBA">
        <w:tblPrEx>
          <w:tblCellMar>
            <w:top w:w="0" w:type="dxa"/>
            <w:left w:w="108" w:type="dxa"/>
            <w:bottom w:w="0" w:type="dxa"/>
            <w:right w:w="108" w:type="dxa"/>
          </w:tblCellMar>
        </w:tblPrEx>
        <w:trPr>
          <w:trHeight w:val="28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3F0850">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5CC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901E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65D7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AC327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E22BE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2E9775">
        <w:tblPrEx>
          <w:tblCellMar>
            <w:top w:w="0" w:type="dxa"/>
            <w:left w:w="108" w:type="dxa"/>
            <w:bottom w:w="0" w:type="dxa"/>
            <w:right w:w="108" w:type="dxa"/>
          </w:tblCellMar>
        </w:tblPrEx>
        <w:trPr>
          <w:trHeight w:val="317"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B873B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3ADF6E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8B893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F62D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3C77C8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48103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1E4EDB4">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07624A">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8FAD6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0B1E4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4971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C52DD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33BE1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861EF3">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6EF0C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18618E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2AE4F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B155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25662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B1086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44B187">
        <w:tblPrEx>
          <w:tblCellMar>
            <w:top w:w="0" w:type="dxa"/>
            <w:left w:w="108" w:type="dxa"/>
            <w:bottom w:w="0" w:type="dxa"/>
            <w:right w:w="108" w:type="dxa"/>
          </w:tblCellMar>
        </w:tblPrEx>
        <w:trPr>
          <w:trHeight w:val="29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5F30C0">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71F3E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44C1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3421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0EC4EC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2DCE8C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8FEC25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B3D2E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2D3F56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5026D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EFFC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3C5170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6E8608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3A41D98">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A17A51">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00B1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41F2C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0760D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59595D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096D6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A9E1B41">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9873D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8BA3B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300A0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1BCF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3C84F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79C7B1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5BD7C09">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02FAAE">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904C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0DDB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F2B45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9CBDD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47427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F1AE18A">
        <w:tblPrEx>
          <w:tblCellMar>
            <w:top w:w="0" w:type="dxa"/>
            <w:left w:w="108" w:type="dxa"/>
            <w:bottom w:w="0" w:type="dxa"/>
            <w:right w:w="108" w:type="dxa"/>
          </w:tblCellMar>
        </w:tblPrEx>
        <w:trPr>
          <w:trHeight w:val="28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C6E3D4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4281D4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3EF9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9FBA0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A86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41E20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91B741">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799D23">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B259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A96C4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61262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54E9FB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63571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1D9FEA">
        <w:tblPrEx>
          <w:tblCellMar>
            <w:top w:w="0" w:type="dxa"/>
            <w:left w:w="108" w:type="dxa"/>
            <w:bottom w:w="0" w:type="dxa"/>
            <w:right w:w="108" w:type="dxa"/>
          </w:tblCellMar>
        </w:tblPrEx>
        <w:trPr>
          <w:trHeight w:val="338" w:hRule="atLeast"/>
        </w:trPr>
        <w:tc>
          <w:tcPr>
            <w:tcW w:w="1985" w:type="dxa"/>
            <w:tcBorders>
              <w:top w:val="nil"/>
              <w:left w:val="single" w:color="auto" w:sz="4" w:space="0"/>
              <w:bottom w:val="single" w:color="auto" w:sz="4" w:space="0"/>
              <w:right w:val="single" w:color="auto" w:sz="4" w:space="0"/>
            </w:tcBorders>
            <w:noWrap w:val="0"/>
            <w:vAlign w:val="bottom"/>
          </w:tcPr>
          <w:p w14:paraId="07354FC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70DB7A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056A3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47C46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ADE6B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EC0D0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B5C1444">
      <w:pPr>
        <w:spacing w:line="400" w:lineRule="exact"/>
        <w:rPr>
          <w:rFonts w:hint="eastAsia" w:ascii="宋体" w:hAnsi="宋体" w:cs="宋体"/>
          <w:color w:val="auto"/>
          <w:szCs w:val="21"/>
          <w:highlight w:val="none"/>
        </w:rPr>
      </w:pPr>
    </w:p>
    <w:p w14:paraId="7CEA7A4D">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E4214C">
      <w:pPr>
        <w:spacing w:line="360" w:lineRule="auto"/>
        <w:rPr>
          <w:rFonts w:hint="eastAsia" w:ascii="宋体" w:hAnsi="宋体" w:cs="宋体"/>
          <w:color w:val="auto"/>
          <w:sz w:val="24"/>
          <w:highlight w:val="none"/>
          <w:u w:val="single"/>
        </w:rPr>
      </w:pPr>
    </w:p>
    <w:p w14:paraId="435407C6">
      <w:pPr>
        <w:pStyle w:val="7"/>
        <w:rPr>
          <w:rFonts w:hint="eastAsia" w:ascii="宋体" w:hAnsi="宋体" w:cs="宋体"/>
          <w:color w:val="auto"/>
          <w:sz w:val="24"/>
          <w:highlight w:val="none"/>
          <w:u w:val="single"/>
          <w:lang w:eastAsia="zh-CN"/>
        </w:rPr>
      </w:pPr>
    </w:p>
    <w:p w14:paraId="2F35FDCC">
      <w:pPr>
        <w:rPr>
          <w:color w:val="auto"/>
          <w:highlight w:val="none"/>
        </w:rPr>
        <w:sectPr>
          <w:footerReference r:id="rId13" w:type="default"/>
          <w:pgSz w:w="11905" w:h="16838"/>
          <w:pgMar w:top="1134" w:right="1134" w:bottom="1134" w:left="1134" w:header="0" w:footer="992" w:gutter="0"/>
          <w:pgNumType w:fmt="decimal"/>
          <w:cols w:space="0" w:num="1"/>
          <w:rtlGutter w:val="0"/>
          <w:docGrid w:linePitch="0" w:charSpace="0"/>
        </w:sectPr>
      </w:pPr>
    </w:p>
    <w:p w14:paraId="0C868ABF">
      <w:pPr>
        <w:pStyle w:val="8"/>
        <w:spacing w:line="319" w:lineRule="auto"/>
        <w:rPr>
          <w:color w:val="auto"/>
          <w:highlight w:val="none"/>
        </w:rPr>
      </w:pPr>
    </w:p>
    <w:p w14:paraId="13267742">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1046" w:name="bookmark5"/>
      <w:bookmarkEnd w:id="1046"/>
      <w:bookmarkStart w:id="1047" w:name="_Toc14540"/>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第五章 工程量清单</w:t>
      </w:r>
      <w:bookmarkEnd w:id="1047"/>
    </w:p>
    <w:p w14:paraId="6C8EA1F8">
      <w:pPr>
        <w:pStyle w:val="8"/>
        <w:spacing w:line="347" w:lineRule="auto"/>
        <w:rPr>
          <w:color w:val="auto"/>
          <w:highlight w:val="none"/>
        </w:rPr>
      </w:pPr>
    </w:p>
    <w:p w14:paraId="5C4E16E7">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一、工程量清单说明</w:t>
      </w:r>
    </w:p>
    <w:p w14:paraId="213F42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工程量清单说明</w:t>
      </w:r>
    </w:p>
    <w:p w14:paraId="3775B8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本工程量清单是根据采购文件中包括的、有合同约束力的图纸以及有关工程量清单的国 家标准、行业标准、合同条款中约定的工程量计算规则编制。约定计量规则中没有的子目，其工 程量按照有合同约束力的图纸所标示尺寸的理论净量计算。计量采用中华人民共和国法定计量单位。</w:t>
      </w:r>
    </w:p>
    <w:p w14:paraId="3E3D3F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本工程量清单应与采购文件中的供应商须知、通用合同条款、专用合同条款、技术标准</w:t>
      </w:r>
    </w:p>
    <w:p w14:paraId="0028C2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和要求及图纸等一起阅读和理解。</w:t>
      </w:r>
    </w:p>
    <w:p w14:paraId="69954A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本工程量清单仅是竞标报价的共同基础，实际工程计量和工程价款的支付应遵循合同条</w:t>
      </w:r>
    </w:p>
    <w:p w14:paraId="2C9915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款的约定和第七章“技术标准及要求 ”的有关规定。</w:t>
      </w:r>
    </w:p>
    <w:p w14:paraId="050270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补充子目工程量计算规则及子目工作内容说明：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F3EA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磋商报价说明</w:t>
      </w:r>
    </w:p>
    <w:p w14:paraId="2B96D1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工程量清单中的每一子目须填入单价或价格，且只允许有一个报价。</w:t>
      </w:r>
    </w:p>
    <w:p w14:paraId="0526DC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工程量清单中标价的单价或金额，应包括所需人工费、施工机械使用费、材料费、其他  （运杂费、质检费、安装费、缺陷修复费、保险费，以及合同明示或暗示的风险、责任和义务等），以及管理费、利润等。</w:t>
      </w:r>
    </w:p>
    <w:p w14:paraId="179A0D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工程量清单中竞标人没有填入单价或价格的子目，其费用视为已分摊在工程量清单中其</w:t>
      </w:r>
    </w:p>
    <w:p w14:paraId="7B42E6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他相关子目的单价或价格之中。</w:t>
      </w:r>
    </w:p>
    <w:p w14:paraId="032D4B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暂列金额的数量及拟用子目的说明：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637C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暂估价的数量及拟用子目的说明：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3248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3.其他说明</w:t>
      </w:r>
    </w:p>
    <w:p w14:paraId="0A20EB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材料价格计取依据：</w:t>
      </w:r>
      <w:r>
        <w:rPr>
          <w:rFonts w:hint="eastAsia" w:ascii="宋体" w:hAnsi="宋体" w:eastAsia="宋体" w:cs="宋体"/>
          <w:color w:val="auto"/>
          <w:sz w:val="24"/>
          <w:szCs w:val="24"/>
          <w:highlight w:val="none"/>
        </w:rPr>
        <w:t>主要材料价格参照2025年《百色市建设工程造价信息》第2期发布的德保县信息除税价计取,其中德保县没有发布材料信息价的材料，则参照右江区的价格或市场询价。</w:t>
      </w:r>
    </w:p>
    <w:p w14:paraId="6B8B11F5">
      <w:pPr>
        <w:spacing w:line="228" w:lineRule="auto"/>
        <w:rPr>
          <w:rFonts w:ascii="宋体" w:hAnsi="宋体" w:eastAsia="宋体" w:cs="宋体"/>
          <w:color w:val="auto"/>
          <w:sz w:val="20"/>
          <w:szCs w:val="20"/>
          <w:highlight w:val="none"/>
        </w:rPr>
        <w:sectPr>
          <w:footerReference r:id="rId14" w:type="default"/>
          <w:pgSz w:w="11905" w:h="16838"/>
          <w:pgMar w:top="1134" w:right="1134" w:bottom="1134" w:left="1134" w:header="0" w:footer="992" w:gutter="0"/>
          <w:pgNumType w:fmt="decimal"/>
          <w:cols w:space="0" w:num="1"/>
          <w:rtlGutter w:val="0"/>
          <w:docGrid w:linePitch="0" w:charSpace="0"/>
        </w:sectPr>
      </w:pPr>
    </w:p>
    <w:p w14:paraId="0D95C027">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1048" w:name="bookmark6"/>
      <w:bookmarkEnd w:id="1048"/>
      <w:bookmarkStart w:id="1049" w:name="_Toc9709"/>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第六章图纸</w:t>
      </w:r>
      <w:bookmarkEnd w:id="1049"/>
    </w:p>
    <w:p w14:paraId="76BB5DEC">
      <w:pPr>
        <w:pStyle w:val="8"/>
        <w:spacing w:line="323" w:lineRule="auto"/>
        <w:rPr>
          <w:color w:val="auto"/>
          <w:highlight w:val="none"/>
        </w:rPr>
      </w:pPr>
    </w:p>
    <w:p w14:paraId="48813993">
      <w:pPr>
        <w:pStyle w:val="8"/>
        <w:spacing w:line="324" w:lineRule="auto"/>
        <w:rPr>
          <w:color w:val="auto"/>
          <w:highlight w:val="none"/>
        </w:rPr>
      </w:pPr>
    </w:p>
    <w:p w14:paraId="19CACEA6">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（如有，另附）</w:t>
      </w:r>
    </w:p>
    <w:p w14:paraId="58274A8C">
      <w:pPr>
        <w:spacing w:line="227" w:lineRule="auto"/>
        <w:rPr>
          <w:rFonts w:ascii="宋体" w:hAnsi="宋体" w:eastAsia="宋体" w:cs="宋体"/>
          <w:color w:val="auto"/>
          <w:sz w:val="20"/>
          <w:szCs w:val="20"/>
          <w:highlight w:val="none"/>
        </w:rPr>
        <w:sectPr>
          <w:footerReference r:id="rId15" w:type="default"/>
          <w:pgSz w:w="11905" w:h="16838"/>
          <w:pgMar w:top="1134" w:right="1134" w:bottom="1134" w:left="1134" w:header="0" w:footer="992" w:gutter="0"/>
          <w:pgNumType w:fmt="decimal"/>
          <w:cols w:space="0" w:num="1"/>
          <w:rtlGutter w:val="0"/>
          <w:docGrid w:linePitch="0" w:charSpace="0"/>
        </w:sectPr>
      </w:pPr>
    </w:p>
    <w:p w14:paraId="394EF2BA">
      <w:pPr>
        <w:pStyle w:val="8"/>
        <w:spacing w:line="464" w:lineRule="auto"/>
        <w:rPr>
          <w:color w:val="auto"/>
          <w:highlight w:val="none"/>
        </w:rPr>
      </w:pPr>
    </w:p>
    <w:p w14:paraId="755A0C20">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1050" w:name="bookmark7"/>
      <w:bookmarkEnd w:id="1050"/>
      <w:bookmarkStart w:id="1051" w:name="_Toc23751"/>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第七章技术标准及要求</w:t>
      </w:r>
      <w:bookmarkEnd w:id="1051"/>
    </w:p>
    <w:p w14:paraId="37083B96">
      <w:pPr>
        <w:pStyle w:val="8"/>
        <w:spacing w:line="250" w:lineRule="auto"/>
        <w:rPr>
          <w:color w:val="auto"/>
          <w:highlight w:val="none"/>
        </w:rPr>
      </w:pPr>
    </w:p>
    <w:p w14:paraId="699F424E">
      <w:pPr>
        <w:pStyle w:val="8"/>
        <w:spacing w:line="250" w:lineRule="auto"/>
        <w:rPr>
          <w:color w:val="auto"/>
          <w:highlight w:val="none"/>
        </w:rPr>
      </w:pPr>
    </w:p>
    <w:p w14:paraId="2FC59361">
      <w:pPr>
        <w:spacing w:before="91" w:line="221" w:lineRule="auto"/>
        <w:ind w:left="166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现行的国家标准、规范，行业标准、规范。</w:t>
      </w:r>
    </w:p>
    <w:p w14:paraId="65FC9CE1">
      <w:pPr>
        <w:spacing w:line="221" w:lineRule="auto"/>
        <w:rPr>
          <w:rFonts w:ascii="宋体" w:hAnsi="宋体" w:eastAsia="宋体" w:cs="宋体"/>
          <w:color w:val="auto"/>
          <w:sz w:val="28"/>
          <w:szCs w:val="28"/>
          <w:highlight w:val="none"/>
        </w:rPr>
        <w:sectPr>
          <w:footerReference r:id="rId16" w:type="default"/>
          <w:pgSz w:w="11905" w:h="16838"/>
          <w:pgMar w:top="1134" w:right="1134" w:bottom="1134" w:left="1134" w:header="0" w:footer="992" w:gutter="0"/>
          <w:pgNumType w:fmt="decimal"/>
          <w:cols w:space="0" w:num="1"/>
          <w:rtlGutter w:val="0"/>
          <w:docGrid w:linePitch="0" w:charSpace="0"/>
        </w:sectPr>
      </w:pPr>
    </w:p>
    <w:p w14:paraId="10224196">
      <w:pPr>
        <w:pStyle w:val="8"/>
        <w:spacing w:line="314" w:lineRule="auto"/>
        <w:rPr>
          <w:color w:val="auto"/>
          <w:highlight w:val="none"/>
        </w:rPr>
      </w:pPr>
    </w:p>
    <w:p w14:paraId="30AEFCF5">
      <w:pPr>
        <w:pStyle w:val="8"/>
        <w:spacing w:line="315" w:lineRule="auto"/>
        <w:rPr>
          <w:color w:val="auto"/>
          <w:highlight w:val="none"/>
        </w:rPr>
      </w:pPr>
    </w:p>
    <w:p w14:paraId="0B2C2087">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bookmarkStart w:id="1052" w:name="bookmark8"/>
      <w:bookmarkEnd w:id="1052"/>
      <w:bookmarkStart w:id="1053" w:name="_Toc9653"/>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第八章 响应文件格式</w:t>
      </w:r>
      <w:bookmarkEnd w:id="1053"/>
    </w:p>
    <w:p w14:paraId="492C28BC">
      <w:pPr>
        <w:spacing w:before="101" w:line="360" w:lineRule="auto"/>
        <w:jc w:val="center"/>
        <w:outlineLvl w:val="1"/>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pPr>
    </w:p>
    <w:p w14:paraId="29DEBFA8">
      <w:pPr>
        <w:spacing w:before="101" w:line="225" w:lineRule="auto"/>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（响应文件封面格式）</w:t>
      </w:r>
    </w:p>
    <w:p w14:paraId="47684AA1">
      <w:pPr>
        <w:pStyle w:val="8"/>
        <w:spacing w:line="272" w:lineRule="auto"/>
        <w:rPr>
          <w:color w:val="auto"/>
          <w:highlight w:val="none"/>
        </w:rPr>
      </w:pPr>
    </w:p>
    <w:p w14:paraId="6A4422DE">
      <w:pPr>
        <w:pStyle w:val="8"/>
        <w:spacing w:line="272" w:lineRule="auto"/>
        <w:rPr>
          <w:color w:val="auto"/>
          <w:highlight w:val="none"/>
        </w:rPr>
      </w:pPr>
    </w:p>
    <w:p w14:paraId="29309A75">
      <w:pPr>
        <w:pStyle w:val="8"/>
        <w:spacing w:line="272" w:lineRule="auto"/>
        <w:rPr>
          <w:color w:val="auto"/>
          <w:highlight w:val="none"/>
        </w:rPr>
      </w:pPr>
    </w:p>
    <w:p w14:paraId="1C5A8711">
      <w:pPr>
        <w:pStyle w:val="8"/>
        <w:spacing w:line="272" w:lineRule="auto"/>
        <w:rPr>
          <w:color w:val="auto"/>
          <w:highlight w:val="none"/>
        </w:rPr>
      </w:pPr>
    </w:p>
    <w:p w14:paraId="334C26A6">
      <w:pPr>
        <w:pStyle w:val="8"/>
        <w:spacing w:line="272" w:lineRule="auto"/>
        <w:rPr>
          <w:color w:val="auto"/>
          <w:highlight w:val="none"/>
        </w:rPr>
      </w:pPr>
    </w:p>
    <w:p w14:paraId="5A609079">
      <w:pPr>
        <w:pStyle w:val="8"/>
        <w:spacing w:line="272" w:lineRule="auto"/>
        <w:rPr>
          <w:color w:val="auto"/>
          <w:highlight w:val="none"/>
        </w:rPr>
      </w:pPr>
    </w:p>
    <w:p w14:paraId="74C87CA3">
      <w:pPr>
        <w:pStyle w:val="8"/>
        <w:spacing w:line="273" w:lineRule="auto"/>
        <w:rPr>
          <w:color w:val="auto"/>
          <w:highlight w:val="none"/>
        </w:rPr>
      </w:pPr>
    </w:p>
    <w:p w14:paraId="5CA3FFD5">
      <w:pPr>
        <w:spacing w:before="140" w:line="223" w:lineRule="auto"/>
        <w:ind w:left="2598"/>
        <w:rPr>
          <w:rFonts w:ascii="宋体" w:hAnsi="宋体" w:eastAsia="宋体" w:cs="宋体"/>
          <w:color w:val="auto"/>
          <w:sz w:val="20"/>
          <w:szCs w:val="20"/>
          <w:highlight w:val="none"/>
        </w:rPr>
      </w:pPr>
      <w:r>
        <w:rPr>
          <w:rFonts w:ascii="宋体" w:hAnsi="宋体" w:eastAsia="宋体" w:cs="宋体"/>
          <w:color w:val="auto"/>
          <w:spacing w:val="-4"/>
          <w:sz w:val="43"/>
          <w:szCs w:val="43"/>
          <w:highlight w:val="none"/>
        </w:rPr>
        <w:t>响</w:t>
      </w:r>
      <w:r>
        <w:rPr>
          <w:rFonts w:ascii="宋体" w:hAnsi="宋体" w:eastAsia="宋体" w:cs="宋体"/>
          <w:color w:val="auto"/>
          <w:spacing w:val="16"/>
          <w:sz w:val="43"/>
          <w:szCs w:val="43"/>
          <w:highlight w:val="none"/>
        </w:rPr>
        <w:t xml:space="preserve">  </w:t>
      </w:r>
      <w:r>
        <w:rPr>
          <w:rFonts w:ascii="宋体" w:hAnsi="宋体" w:eastAsia="宋体" w:cs="宋体"/>
          <w:color w:val="auto"/>
          <w:spacing w:val="-4"/>
          <w:sz w:val="43"/>
          <w:szCs w:val="43"/>
          <w:highlight w:val="none"/>
        </w:rPr>
        <w:t>应</w:t>
      </w:r>
      <w:r>
        <w:rPr>
          <w:rFonts w:ascii="宋体" w:hAnsi="宋体" w:eastAsia="宋体" w:cs="宋体"/>
          <w:color w:val="auto"/>
          <w:spacing w:val="15"/>
          <w:sz w:val="43"/>
          <w:szCs w:val="43"/>
          <w:highlight w:val="none"/>
        </w:rPr>
        <w:t xml:space="preserve">  </w:t>
      </w:r>
      <w:r>
        <w:rPr>
          <w:rFonts w:ascii="宋体" w:hAnsi="宋体" w:eastAsia="宋体" w:cs="宋体"/>
          <w:color w:val="auto"/>
          <w:spacing w:val="-4"/>
          <w:sz w:val="43"/>
          <w:szCs w:val="43"/>
          <w:highlight w:val="none"/>
        </w:rPr>
        <w:t>文</w:t>
      </w:r>
      <w:r>
        <w:rPr>
          <w:rFonts w:ascii="宋体" w:hAnsi="宋体" w:eastAsia="宋体" w:cs="宋体"/>
          <w:color w:val="auto"/>
          <w:spacing w:val="14"/>
          <w:sz w:val="43"/>
          <w:szCs w:val="43"/>
          <w:highlight w:val="none"/>
        </w:rPr>
        <w:t xml:space="preserve">  </w:t>
      </w:r>
      <w:r>
        <w:rPr>
          <w:rFonts w:ascii="宋体" w:hAnsi="宋体" w:eastAsia="宋体" w:cs="宋体"/>
          <w:color w:val="auto"/>
          <w:spacing w:val="-4"/>
          <w:sz w:val="43"/>
          <w:szCs w:val="43"/>
          <w:highlight w:val="none"/>
        </w:rPr>
        <w:t>件</w:t>
      </w:r>
      <w:r>
        <w:rPr>
          <w:rFonts w:ascii="宋体" w:hAnsi="宋体" w:eastAsia="宋体" w:cs="宋体"/>
          <w:color w:val="auto"/>
          <w:spacing w:val="-4"/>
          <w:sz w:val="20"/>
          <w:szCs w:val="20"/>
          <w:highlight w:val="none"/>
        </w:rPr>
        <w:t>(封面)</w:t>
      </w:r>
    </w:p>
    <w:p w14:paraId="2FC39F35">
      <w:pPr>
        <w:pStyle w:val="8"/>
        <w:spacing w:line="248" w:lineRule="auto"/>
        <w:rPr>
          <w:color w:val="auto"/>
          <w:highlight w:val="none"/>
        </w:rPr>
      </w:pPr>
    </w:p>
    <w:p w14:paraId="0C56AA0D">
      <w:pPr>
        <w:pStyle w:val="8"/>
        <w:spacing w:line="249" w:lineRule="auto"/>
        <w:rPr>
          <w:color w:val="auto"/>
          <w:highlight w:val="none"/>
        </w:rPr>
      </w:pPr>
    </w:p>
    <w:p w14:paraId="6235E2DC">
      <w:pPr>
        <w:pStyle w:val="8"/>
        <w:spacing w:line="249" w:lineRule="auto"/>
        <w:rPr>
          <w:color w:val="auto"/>
          <w:highlight w:val="none"/>
        </w:rPr>
      </w:pPr>
    </w:p>
    <w:p w14:paraId="4023D4CD">
      <w:pPr>
        <w:pStyle w:val="8"/>
        <w:spacing w:line="249" w:lineRule="auto"/>
        <w:rPr>
          <w:color w:val="auto"/>
          <w:highlight w:val="none"/>
        </w:rPr>
      </w:pPr>
    </w:p>
    <w:p w14:paraId="65F2A94C">
      <w:pPr>
        <w:spacing w:before="100" w:line="225" w:lineRule="auto"/>
        <w:ind w:left="632"/>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2E4B02F2">
      <w:pPr>
        <w:pStyle w:val="8"/>
        <w:spacing w:line="255" w:lineRule="auto"/>
        <w:rPr>
          <w:color w:val="auto"/>
          <w:highlight w:val="none"/>
        </w:rPr>
      </w:pPr>
    </w:p>
    <w:p w14:paraId="29D56C63">
      <w:pPr>
        <w:pStyle w:val="8"/>
        <w:spacing w:line="255" w:lineRule="auto"/>
        <w:rPr>
          <w:color w:val="auto"/>
          <w:highlight w:val="none"/>
        </w:rPr>
      </w:pPr>
    </w:p>
    <w:p w14:paraId="7C2DE3DC">
      <w:pPr>
        <w:pStyle w:val="8"/>
        <w:spacing w:line="255" w:lineRule="auto"/>
        <w:rPr>
          <w:color w:val="auto"/>
          <w:highlight w:val="none"/>
        </w:rPr>
      </w:pPr>
    </w:p>
    <w:p w14:paraId="242899D0">
      <w:pPr>
        <w:spacing w:before="101" w:line="225" w:lineRule="auto"/>
        <w:ind w:left="632"/>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0D644EA3">
      <w:pPr>
        <w:pStyle w:val="8"/>
        <w:spacing w:line="254" w:lineRule="auto"/>
        <w:rPr>
          <w:color w:val="auto"/>
          <w:highlight w:val="none"/>
        </w:rPr>
      </w:pPr>
    </w:p>
    <w:p w14:paraId="66D8140E">
      <w:pPr>
        <w:pStyle w:val="8"/>
        <w:spacing w:line="255" w:lineRule="auto"/>
        <w:rPr>
          <w:color w:val="auto"/>
          <w:highlight w:val="none"/>
        </w:rPr>
      </w:pPr>
    </w:p>
    <w:p w14:paraId="1DE99625">
      <w:pPr>
        <w:pStyle w:val="8"/>
        <w:spacing w:line="255" w:lineRule="auto"/>
        <w:rPr>
          <w:color w:val="auto"/>
          <w:highlight w:val="none"/>
        </w:rPr>
      </w:pPr>
    </w:p>
    <w:p w14:paraId="5E4E2233">
      <w:pPr>
        <w:spacing w:before="101" w:line="225" w:lineRule="auto"/>
        <w:ind w:left="631"/>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分标（如有则填写，无分标时填写“无</w:t>
      </w:r>
      <w:r>
        <w:rPr>
          <w:rFonts w:ascii="宋体" w:hAnsi="宋体" w:eastAsia="宋体" w:cs="宋体"/>
          <w:color w:val="auto"/>
          <w:spacing w:val="-110"/>
          <w:sz w:val="31"/>
          <w:szCs w:val="31"/>
          <w:highlight w:val="none"/>
        </w:rPr>
        <w:t xml:space="preserve"> </w:t>
      </w:r>
      <w:r>
        <w:rPr>
          <w:rFonts w:ascii="宋体" w:hAnsi="宋体" w:eastAsia="宋体" w:cs="宋体"/>
          <w:color w:val="auto"/>
          <w:spacing w:val="7"/>
          <w:sz w:val="31"/>
          <w:szCs w:val="31"/>
          <w:highlight w:val="none"/>
        </w:rPr>
        <w:t>”或者留空</w:t>
      </w:r>
      <w:r>
        <w:rPr>
          <w:rFonts w:ascii="宋体" w:hAnsi="宋体" w:eastAsia="宋体" w:cs="宋体"/>
          <w:color w:val="auto"/>
          <w:spacing w:val="1"/>
          <w:sz w:val="31"/>
          <w:szCs w:val="31"/>
          <w:highlight w:val="none"/>
        </w:rPr>
        <w:t>）：</w:t>
      </w:r>
    </w:p>
    <w:p w14:paraId="60CB2075">
      <w:pPr>
        <w:pStyle w:val="8"/>
        <w:spacing w:line="254" w:lineRule="auto"/>
        <w:rPr>
          <w:color w:val="auto"/>
          <w:highlight w:val="none"/>
        </w:rPr>
      </w:pPr>
    </w:p>
    <w:p w14:paraId="4A2C0994">
      <w:pPr>
        <w:pStyle w:val="8"/>
        <w:spacing w:line="255" w:lineRule="auto"/>
        <w:rPr>
          <w:color w:val="auto"/>
          <w:highlight w:val="none"/>
        </w:rPr>
      </w:pPr>
    </w:p>
    <w:p w14:paraId="57F9F9CB">
      <w:pPr>
        <w:pStyle w:val="8"/>
        <w:spacing w:line="255" w:lineRule="auto"/>
        <w:rPr>
          <w:color w:val="auto"/>
          <w:highlight w:val="none"/>
        </w:rPr>
      </w:pPr>
    </w:p>
    <w:p w14:paraId="7C75C673">
      <w:pPr>
        <w:spacing w:before="101" w:line="223" w:lineRule="auto"/>
        <w:ind w:firstLine="328" w:firstLineChars="100"/>
        <w:jc w:val="both"/>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响应文件名称：资格证明文件、</w:t>
      </w:r>
      <w:r>
        <w:rPr>
          <w:rFonts w:hint="eastAsia" w:ascii="宋体" w:hAnsi="宋体" w:eastAsia="宋体" w:cs="宋体"/>
          <w:color w:val="auto"/>
          <w:spacing w:val="9"/>
          <w:sz w:val="31"/>
          <w:szCs w:val="31"/>
          <w:highlight w:val="none"/>
        </w:rPr>
        <w:t>商务文件、报价文件</w:t>
      </w:r>
      <w:r>
        <w:rPr>
          <w:rFonts w:ascii="宋体" w:hAnsi="宋体" w:eastAsia="宋体" w:cs="宋体"/>
          <w:color w:val="auto"/>
          <w:spacing w:val="8"/>
          <w:sz w:val="31"/>
          <w:szCs w:val="31"/>
          <w:highlight w:val="none"/>
        </w:rPr>
        <w:t>、技术文件</w:t>
      </w:r>
    </w:p>
    <w:p w14:paraId="03840741">
      <w:pPr>
        <w:pStyle w:val="8"/>
        <w:spacing w:line="255" w:lineRule="auto"/>
        <w:rPr>
          <w:color w:val="auto"/>
          <w:highlight w:val="none"/>
        </w:rPr>
      </w:pPr>
    </w:p>
    <w:p w14:paraId="6F983238">
      <w:pPr>
        <w:pStyle w:val="8"/>
        <w:spacing w:line="256" w:lineRule="auto"/>
        <w:rPr>
          <w:color w:val="auto"/>
          <w:highlight w:val="none"/>
        </w:rPr>
      </w:pPr>
    </w:p>
    <w:p w14:paraId="7220C4F3">
      <w:pPr>
        <w:pStyle w:val="8"/>
        <w:spacing w:line="256" w:lineRule="auto"/>
        <w:rPr>
          <w:color w:val="auto"/>
          <w:highlight w:val="none"/>
        </w:rPr>
      </w:pPr>
    </w:p>
    <w:p w14:paraId="52A36531">
      <w:pPr>
        <w:spacing w:before="102" w:line="224" w:lineRule="auto"/>
        <w:ind w:left="627"/>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79D6EA36">
      <w:pPr>
        <w:spacing w:before="298" w:line="225" w:lineRule="auto"/>
        <w:ind w:left="1592"/>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首次响应文件提交截止时间前不得解密</w:t>
      </w:r>
    </w:p>
    <w:p w14:paraId="0433632A">
      <w:pPr>
        <w:pStyle w:val="8"/>
        <w:spacing w:line="329" w:lineRule="auto"/>
        <w:rPr>
          <w:color w:val="auto"/>
          <w:highlight w:val="none"/>
        </w:rPr>
      </w:pPr>
    </w:p>
    <w:p w14:paraId="5DBB2631">
      <w:pPr>
        <w:pStyle w:val="8"/>
        <w:spacing w:line="330" w:lineRule="auto"/>
        <w:rPr>
          <w:color w:val="auto"/>
          <w:highlight w:val="none"/>
        </w:rPr>
      </w:pPr>
    </w:p>
    <w:p w14:paraId="1352856D">
      <w:pPr>
        <w:spacing w:before="101" w:line="225" w:lineRule="auto"/>
        <w:ind w:left="3307"/>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2E85B26D">
      <w:pPr>
        <w:spacing w:line="225" w:lineRule="auto"/>
        <w:rPr>
          <w:rFonts w:ascii="宋体" w:hAnsi="宋体" w:eastAsia="宋体" w:cs="宋体"/>
          <w:color w:val="auto"/>
          <w:sz w:val="31"/>
          <w:szCs w:val="31"/>
          <w:highlight w:val="none"/>
        </w:rPr>
        <w:sectPr>
          <w:footerReference r:id="rId17" w:type="default"/>
          <w:pgSz w:w="11905" w:h="16838"/>
          <w:pgMar w:top="1134" w:right="1134" w:bottom="1134" w:left="1134" w:header="0" w:footer="992" w:gutter="0"/>
          <w:pgNumType w:fmt="decimal"/>
          <w:cols w:space="0" w:num="1"/>
          <w:rtlGutter w:val="0"/>
          <w:docGrid w:linePitch="0" w:charSpace="0"/>
        </w:sectPr>
      </w:pPr>
    </w:p>
    <w:p w14:paraId="641F6623">
      <w:pPr>
        <w:spacing w:before="169" w:line="222" w:lineRule="auto"/>
        <w:ind w:left="4081"/>
        <w:rPr>
          <w:rFonts w:ascii="宋体" w:hAnsi="宋体" w:eastAsia="宋体" w:cs="宋体"/>
          <w:color w:val="auto"/>
          <w:sz w:val="28"/>
          <w:szCs w:val="28"/>
          <w:highlight w:val="none"/>
        </w:rPr>
      </w:pPr>
      <w:r>
        <w:rPr>
          <w:rFonts w:ascii="宋体" w:hAnsi="宋体" w:eastAsia="宋体" w:cs="宋体"/>
          <w:color w:val="auto"/>
          <w:spacing w:val="-32"/>
          <w:sz w:val="28"/>
          <w:szCs w:val="28"/>
          <w:highlight w:val="none"/>
          <w14:textOutline w14:w="5103" w14:cap="sq" w14:cmpd="sng">
            <w14:solidFill>
              <w14:srgbClr w14:val="000000"/>
            </w14:solidFill>
            <w14:prstDash w14:val="solid"/>
            <w14:bevel/>
          </w14:textOutline>
        </w:rPr>
        <w:t>目录</w:t>
      </w:r>
    </w:p>
    <w:p w14:paraId="5B1AB66A">
      <w:pPr>
        <w:spacing w:before="190" w:line="220" w:lineRule="auto"/>
        <w:ind w:left="35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（应有页码）</w:t>
      </w:r>
    </w:p>
    <w:p w14:paraId="11DA7A62">
      <w:pPr>
        <w:spacing w:line="220" w:lineRule="auto"/>
        <w:rPr>
          <w:rFonts w:ascii="宋体" w:hAnsi="宋体" w:eastAsia="宋体" w:cs="宋体"/>
          <w:color w:val="auto"/>
          <w:sz w:val="24"/>
          <w:szCs w:val="24"/>
          <w:highlight w:val="none"/>
        </w:rPr>
        <w:sectPr>
          <w:footerReference r:id="rId18" w:type="default"/>
          <w:pgSz w:w="11905" w:h="16838"/>
          <w:pgMar w:top="1134" w:right="1134" w:bottom="1134" w:left="1134" w:header="0" w:footer="992" w:gutter="0"/>
          <w:pgNumType w:fmt="decimal"/>
          <w:cols w:space="0" w:num="1"/>
          <w:rtlGutter w:val="0"/>
          <w:docGrid w:linePitch="0" w:charSpace="0"/>
        </w:sectPr>
      </w:pPr>
    </w:p>
    <w:p w14:paraId="637905F6">
      <w:pPr>
        <w:spacing w:before="162" w:line="225" w:lineRule="auto"/>
        <w:ind w:left="2687"/>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第一部分</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资格证明文件</w:t>
      </w:r>
    </w:p>
    <w:p w14:paraId="415E0553">
      <w:pPr>
        <w:pStyle w:val="8"/>
        <w:spacing w:line="317" w:lineRule="auto"/>
        <w:rPr>
          <w:color w:val="auto"/>
          <w:highlight w:val="none"/>
        </w:rPr>
      </w:pPr>
    </w:p>
    <w:p w14:paraId="043D391F">
      <w:pPr>
        <w:spacing w:before="65" w:line="408" w:lineRule="exact"/>
        <w:ind w:right="1"/>
        <w:jc w:val="both"/>
        <w:rPr>
          <w:rFonts w:ascii="宋体" w:hAnsi="宋体" w:eastAsia="宋体" w:cs="宋体"/>
          <w:color w:val="auto"/>
          <w:sz w:val="24"/>
          <w:szCs w:val="24"/>
          <w:highlight w:val="none"/>
        </w:rPr>
      </w:pPr>
      <w:r>
        <w:rPr>
          <w:rFonts w:ascii="宋体" w:hAnsi="宋体" w:eastAsia="宋体" w:cs="宋体"/>
          <w:color w:val="auto"/>
          <w:spacing w:val="9"/>
          <w:position w:val="15"/>
          <w:sz w:val="24"/>
          <w:szCs w:val="24"/>
          <w:highlight w:val="none"/>
        </w:rPr>
        <w:t>（1）供应商为法人或者其他组织的提供其营业执照等证明文件（如营业执照或者事业单位法人</w:t>
      </w:r>
    </w:p>
    <w:p w14:paraId="68385024">
      <w:pPr>
        <w:spacing w:line="226"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证书或者执业许可证等</w:t>
      </w:r>
      <w:r>
        <w:rPr>
          <w:rFonts w:ascii="宋体" w:hAnsi="宋体" w:eastAsia="宋体" w:cs="宋体"/>
          <w:color w:val="auto"/>
          <w:spacing w:val="15"/>
          <w:sz w:val="24"/>
          <w:szCs w:val="24"/>
          <w:highlight w:val="none"/>
        </w:rPr>
        <w:t>），</w:t>
      </w:r>
      <w:r>
        <w:rPr>
          <w:rFonts w:ascii="宋体" w:hAnsi="宋体" w:eastAsia="宋体" w:cs="宋体"/>
          <w:color w:val="auto"/>
          <w:spacing w:val="9"/>
          <w:sz w:val="24"/>
          <w:szCs w:val="24"/>
          <w:highlight w:val="none"/>
        </w:rPr>
        <w:t>供应商为自然人的提供其身份证复</w:t>
      </w:r>
      <w:r>
        <w:rPr>
          <w:rFonts w:ascii="宋体" w:hAnsi="宋体" w:eastAsia="宋体" w:cs="宋体"/>
          <w:color w:val="auto"/>
          <w:spacing w:val="8"/>
          <w:sz w:val="24"/>
          <w:szCs w:val="24"/>
          <w:highlight w:val="none"/>
        </w:rPr>
        <w:t>印件。</w:t>
      </w:r>
    </w:p>
    <w:p w14:paraId="15BB33E0">
      <w:pPr>
        <w:pStyle w:val="8"/>
        <w:spacing w:line="271" w:lineRule="auto"/>
        <w:rPr>
          <w:color w:val="auto"/>
          <w:sz w:val="24"/>
          <w:szCs w:val="24"/>
          <w:highlight w:val="none"/>
        </w:rPr>
      </w:pPr>
    </w:p>
    <w:p w14:paraId="66BED2C0">
      <w:pPr>
        <w:pStyle w:val="8"/>
        <w:spacing w:line="271" w:lineRule="auto"/>
        <w:rPr>
          <w:color w:val="auto"/>
          <w:sz w:val="24"/>
          <w:szCs w:val="24"/>
          <w:highlight w:val="none"/>
        </w:rPr>
      </w:pPr>
    </w:p>
    <w:p w14:paraId="21251AC4">
      <w:pPr>
        <w:pStyle w:val="8"/>
        <w:spacing w:line="272" w:lineRule="auto"/>
        <w:rPr>
          <w:color w:val="auto"/>
          <w:sz w:val="24"/>
          <w:szCs w:val="24"/>
          <w:highlight w:val="none"/>
        </w:rPr>
      </w:pPr>
    </w:p>
    <w:p w14:paraId="3B9E3545">
      <w:pPr>
        <w:spacing w:before="65" w:line="408" w:lineRule="exact"/>
        <w:ind w:right="1"/>
        <w:jc w:val="both"/>
        <w:rPr>
          <w:rFonts w:ascii="宋体" w:hAnsi="宋体" w:eastAsia="宋体" w:cs="宋体"/>
          <w:color w:val="auto"/>
          <w:sz w:val="24"/>
          <w:szCs w:val="24"/>
          <w:highlight w:val="none"/>
        </w:rPr>
      </w:pPr>
      <w:r>
        <w:rPr>
          <w:rFonts w:ascii="宋体" w:hAnsi="宋体" w:eastAsia="宋体" w:cs="宋体"/>
          <w:color w:val="auto"/>
          <w:spacing w:val="9"/>
          <w:position w:val="15"/>
          <w:sz w:val="24"/>
          <w:szCs w:val="24"/>
          <w:highlight w:val="none"/>
        </w:rPr>
        <w:t>（2）供应商财务状况报告（表）复印件或者银行出具的资信证明复印件（根据“第二章供应商</w:t>
      </w:r>
    </w:p>
    <w:p w14:paraId="29B5E992">
      <w:pPr>
        <w:spacing w:before="1" w:line="226"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须知前附表</w:t>
      </w:r>
      <w:r>
        <w:rPr>
          <w:rFonts w:ascii="宋体" w:hAnsi="宋体" w:eastAsia="宋体" w:cs="宋体"/>
          <w:color w:val="auto"/>
          <w:spacing w:val="-70"/>
          <w:sz w:val="24"/>
          <w:szCs w:val="24"/>
          <w:highlight w:val="none"/>
        </w:rPr>
        <w:t xml:space="preserve"> </w:t>
      </w:r>
      <w:r>
        <w:rPr>
          <w:rFonts w:ascii="宋体" w:hAnsi="宋体" w:eastAsia="宋体" w:cs="宋体"/>
          <w:color w:val="auto"/>
          <w:spacing w:val="3"/>
          <w:sz w:val="24"/>
          <w:szCs w:val="24"/>
          <w:highlight w:val="none"/>
        </w:rPr>
        <w:t>”12.1.1</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款</w:t>
      </w:r>
      <w:r>
        <w:rPr>
          <w:rFonts w:ascii="宋体" w:hAnsi="宋体" w:eastAsia="宋体" w:cs="宋体"/>
          <w:color w:val="auto"/>
          <w:spacing w:val="-37"/>
          <w:sz w:val="24"/>
          <w:szCs w:val="24"/>
          <w:highlight w:val="none"/>
        </w:rPr>
        <w:t xml:space="preserve"> </w:t>
      </w:r>
      <w:r>
        <w:rPr>
          <w:rFonts w:ascii="宋体" w:hAnsi="宋体" w:eastAsia="宋体" w:cs="宋体"/>
          <w:color w:val="auto"/>
          <w:spacing w:val="3"/>
          <w:sz w:val="24"/>
          <w:szCs w:val="24"/>
          <w:highlight w:val="none"/>
        </w:rPr>
        <w:t>2</w:t>
      </w:r>
      <w:r>
        <w:rPr>
          <w:rFonts w:ascii="宋体" w:hAnsi="宋体" w:eastAsia="宋体" w:cs="宋体"/>
          <w:color w:val="auto"/>
          <w:spacing w:val="-37"/>
          <w:sz w:val="24"/>
          <w:szCs w:val="24"/>
          <w:highlight w:val="none"/>
        </w:rPr>
        <w:t xml:space="preserve"> </w:t>
      </w:r>
      <w:r>
        <w:rPr>
          <w:rFonts w:ascii="宋体" w:hAnsi="宋体" w:eastAsia="宋体" w:cs="宋体"/>
          <w:color w:val="auto"/>
          <w:spacing w:val="3"/>
          <w:sz w:val="24"/>
          <w:szCs w:val="24"/>
          <w:highlight w:val="none"/>
        </w:rPr>
        <w:t>提供）</w:t>
      </w:r>
    </w:p>
    <w:p w14:paraId="557A8341">
      <w:pPr>
        <w:pStyle w:val="8"/>
        <w:spacing w:line="270" w:lineRule="auto"/>
        <w:rPr>
          <w:color w:val="auto"/>
          <w:sz w:val="24"/>
          <w:szCs w:val="24"/>
          <w:highlight w:val="none"/>
        </w:rPr>
      </w:pPr>
    </w:p>
    <w:p w14:paraId="606BD947">
      <w:pPr>
        <w:pStyle w:val="8"/>
        <w:spacing w:line="271" w:lineRule="auto"/>
        <w:rPr>
          <w:color w:val="auto"/>
          <w:sz w:val="24"/>
          <w:szCs w:val="24"/>
          <w:highlight w:val="none"/>
        </w:rPr>
      </w:pPr>
    </w:p>
    <w:p w14:paraId="0EAAD3D6">
      <w:pPr>
        <w:pStyle w:val="8"/>
        <w:spacing w:line="271" w:lineRule="auto"/>
        <w:rPr>
          <w:color w:val="auto"/>
          <w:sz w:val="24"/>
          <w:szCs w:val="24"/>
          <w:highlight w:val="none"/>
        </w:rPr>
      </w:pPr>
    </w:p>
    <w:p w14:paraId="1E318CDE">
      <w:pPr>
        <w:spacing w:before="65" w:line="227" w:lineRule="auto"/>
        <w:ind w:left="1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（3）供应商依法缴纳税收的相关材料（根据“第二章供应商须知前附表</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”12.1.1</w:t>
      </w:r>
      <w:r>
        <w:rPr>
          <w:rFonts w:ascii="宋体" w:hAnsi="宋体" w:eastAsia="宋体" w:cs="宋体"/>
          <w:color w:val="auto"/>
          <w:spacing w:val="-40"/>
          <w:sz w:val="24"/>
          <w:szCs w:val="24"/>
          <w:highlight w:val="none"/>
        </w:rPr>
        <w:t xml:space="preserve"> </w:t>
      </w:r>
      <w:r>
        <w:rPr>
          <w:rFonts w:ascii="宋体" w:hAnsi="宋体" w:eastAsia="宋体" w:cs="宋体"/>
          <w:color w:val="auto"/>
          <w:spacing w:val="7"/>
          <w:sz w:val="24"/>
          <w:szCs w:val="24"/>
          <w:highlight w:val="none"/>
        </w:rPr>
        <w:t>款</w:t>
      </w:r>
      <w:r>
        <w:rPr>
          <w:rFonts w:ascii="宋体" w:hAnsi="宋体" w:eastAsia="宋体" w:cs="宋体"/>
          <w:color w:val="auto"/>
          <w:spacing w:val="-33"/>
          <w:sz w:val="24"/>
          <w:szCs w:val="24"/>
          <w:highlight w:val="none"/>
        </w:rPr>
        <w:t xml:space="preserve"> </w:t>
      </w:r>
      <w:r>
        <w:rPr>
          <w:rFonts w:ascii="宋体" w:hAnsi="宋体" w:eastAsia="宋体" w:cs="宋体"/>
          <w:color w:val="auto"/>
          <w:spacing w:val="7"/>
          <w:sz w:val="24"/>
          <w:szCs w:val="24"/>
          <w:highlight w:val="none"/>
        </w:rPr>
        <w:t>3</w:t>
      </w:r>
      <w:r>
        <w:rPr>
          <w:rFonts w:ascii="宋体" w:hAnsi="宋体" w:eastAsia="宋体" w:cs="宋体"/>
          <w:color w:val="auto"/>
          <w:spacing w:val="-40"/>
          <w:sz w:val="24"/>
          <w:szCs w:val="24"/>
          <w:highlight w:val="none"/>
        </w:rPr>
        <w:t xml:space="preserve"> </w:t>
      </w:r>
      <w:r>
        <w:rPr>
          <w:rFonts w:ascii="宋体" w:hAnsi="宋体" w:eastAsia="宋体" w:cs="宋体"/>
          <w:color w:val="auto"/>
          <w:spacing w:val="7"/>
          <w:sz w:val="24"/>
          <w:szCs w:val="24"/>
          <w:highlight w:val="none"/>
        </w:rPr>
        <w:t>提供）</w:t>
      </w:r>
    </w:p>
    <w:p w14:paraId="20C9F748">
      <w:pPr>
        <w:pStyle w:val="8"/>
        <w:spacing w:line="270" w:lineRule="auto"/>
        <w:rPr>
          <w:color w:val="auto"/>
          <w:sz w:val="24"/>
          <w:szCs w:val="24"/>
          <w:highlight w:val="none"/>
        </w:rPr>
      </w:pPr>
    </w:p>
    <w:p w14:paraId="5A3A56B6">
      <w:pPr>
        <w:pStyle w:val="8"/>
        <w:spacing w:line="271" w:lineRule="auto"/>
        <w:rPr>
          <w:color w:val="auto"/>
          <w:sz w:val="24"/>
          <w:szCs w:val="24"/>
          <w:highlight w:val="none"/>
        </w:rPr>
      </w:pPr>
    </w:p>
    <w:p w14:paraId="72CCB514">
      <w:pPr>
        <w:pStyle w:val="8"/>
        <w:spacing w:line="271" w:lineRule="auto"/>
        <w:rPr>
          <w:color w:val="auto"/>
          <w:sz w:val="24"/>
          <w:szCs w:val="24"/>
          <w:highlight w:val="none"/>
        </w:rPr>
      </w:pPr>
    </w:p>
    <w:p w14:paraId="3EDC3524">
      <w:pPr>
        <w:spacing w:before="65" w:line="411" w:lineRule="exact"/>
        <w:jc w:val="both"/>
        <w:rPr>
          <w:rFonts w:ascii="宋体" w:hAnsi="宋体" w:eastAsia="宋体" w:cs="宋体"/>
          <w:color w:val="auto"/>
          <w:sz w:val="24"/>
          <w:szCs w:val="24"/>
          <w:highlight w:val="none"/>
        </w:rPr>
      </w:pPr>
      <w:r>
        <w:rPr>
          <w:rFonts w:ascii="宋体" w:hAnsi="宋体" w:eastAsia="宋体" w:cs="宋体"/>
          <w:color w:val="auto"/>
          <w:spacing w:val="8"/>
          <w:position w:val="15"/>
          <w:sz w:val="24"/>
          <w:szCs w:val="24"/>
          <w:highlight w:val="none"/>
        </w:rPr>
        <w:t>（4）供应商依法缴纳社会保障资金的相关材料（根据“第二章</w:t>
      </w:r>
      <w:r>
        <w:rPr>
          <w:rFonts w:ascii="宋体" w:hAnsi="宋体" w:eastAsia="宋体" w:cs="宋体"/>
          <w:color w:val="auto"/>
          <w:spacing w:val="7"/>
          <w:position w:val="15"/>
          <w:sz w:val="24"/>
          <w:szCs w:val="24"/>
          <w:highlight w:val="none"/>
        </w:rPr>
        <w:t>供应商须知前附表</w:t>
      </w:r>
      <w:r>
        <w:rPr>
          <w:rFonts w:ascii="宋体" w:hAnsi="宋体" w:eastAsia="宋体" w:cs="宋体"/>
          <w:color w:val="auto"/>
          <w:spacing w:val="-70"/>
          <w:position w:val="15"/>
          <w:sz w:val="24"/>
          <w:szCs w:val="24"/>
          <w:highlight w:val="none"/>
        </w:rPr>
        <w:t xml:space="preserve"> </w:t>
      </w:r>
      <w:r>
        <w:rPr>
          <w:rFonts w:ascii="宋体" w:hAnsi="宋体" w:eastAsia="宋体" w:cs="宋体"/>
          <w:color w:val="auto"/>
          <w:spacing w:val="7"/>
          <w:position w:val="15"/>
          <w:sz w:val="24"/>
          <w:szCs w:val="24"/>
          <w:highlight w:val="none"/>
        </w:rPr>
        <w:t>”12.1.1</w:t>
      </w:r>
      <w:r>
        <w:rPr>
          <w:rFonts w:ascii="宋体" w:hAnsi="宋体" w:eastAsia="宋体" w:cs="宋体"/>
          <w:color w:val="auto"/>
          <w:spacing w:val="-39"/>
          <w:position w:val="15"/>
          <w:sz w:val="24"/>
          <w:szCs w:val="24"/>
          <w:highlight w:val="none"/>
        </w:rPr>
        <w:t xml:space="preserve"> </w:t>
      </w:r>
      <w:r>
        <w:rPr>
          <w:rFonts w:ascii="宋体" w:hAnsi="宋体" w:eastAsia="宋体" w:cs="宋体"/>
          <w:color w:val="auto"/>
          <w:spacing w:val="7"/>
          <w:position w:val="15"/>
          <w:sz w:val="24"/>
          <w:szCs w:val="24"/>
          <w:highlight w:val="none"/>
        </w:rPr>
        <w:t>款</w:t>
      </w:r>
      <w:r>
        <w:rPr>
          <w:rFonts w:ascii="宋体" w:hAnsi="宋体" w:eastAsia="宋体" w:cs="宋体"/>
          <w:color w:val="auto"/>
          <w:spacing w:val="-38"/>
          <w:position w:val="15"/>
          <w:sz w:val="24"/>
          <w:szCs w:val="24"/>
          <w:highlight w:val="none"/>
        </w:rPr>
        <w:t xml:space="preserve"> </w:t>
      </w:r>
      <w:r>
        <w:rPr>
          <w:rFonts w:ascii="宋体" w:hAnsi="宋体" w:eastAsia="宋体" w:cs="宋体"/>
          <w:color w:val="auto"/>
          <w:spacing w:val="7"/>
          <w:position w:val="15"/>
          <w:sz w:val="24"/>
          <w:szCs w:val="24"/>
          <w:highlight w:val="none"/>
        </w:rPr>
        <w:t>4</w:t>
      </w:r>
    </w:p>
    <w:p w14:paraId="2CCC2DBF">
      <w:pPr>
        <w:spacing w:before="1" w:line="226"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提供）</w:t>
      </w:r>
    </w:p>
    <w:p w14:paraId="4A6C810B">
      <w:pPr>
        <w:spacing w:line="226" w:lineRule="auto"/>
        <w:rPr>
          <w:rFonts w:ascii="宋体" w:hAnsi="宋体" w:eastAsia="宋体" w:cs="宋体"/>
          <w:color w:val="auto"/>
          <w:sz w:val="24"/>
          <w:szCs w:val="24"/>
          <w:highlight w:val="none"/>
        </w:rPr>
        <w:sectPr>
          <w:footerReference r:id="rId19" w:type="default"/>
          <w:pgSz w:w="11905" w:h="16838"/>
          <w:pgMar w:top="1134" w:right="1134" w:bottom="1134" w:left="1134" w:header="0" w:footer="992" w:gutter="0"/>
          <w:pgNumType w:fmt="decimal"/>
          <w:cols w:space="0" w:num="1"/>
          <w:rtlGutter w:val="0"/>
          <w:docGrid w:linePitch="0" w:charSpace="0"/>
        </w:sectPr>
      </w:pPr>
    </w:p>
    <w:p w14:paraId="556165FE">
      <w:pPr>
        <w:spacing w:before="162" w:line="224" w:lineRule="auto"/>
        <w:ind w:left="2293"/>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（5）供应商直接控股、管理关系信息表</w:t>
      </w:r>
    </w:p>
    <w:p w14:paraId="65010018">
      <w:pPr>
        <w:pStyle w:val="8"/>
        <w:spacing w:line="330" w:lineRule="auto"/>
        <w:rPr>
          <w:color w:val="auto"/>
          <w:highlight w:val="none"/>
        </w:rPr>
      </w:pPr>
    </w:p>
    <w:p w14:paraId="277C6C21">
      <w:pPr>
        <w:pStyle w:val="8"/>
        <w:spacing w:line="331" w:lineRule="auto"/>
        <w:rPr>
          <w:color w:val="auto"/>
          <w:highlight w:val="none"/>
        </w:rPr>
      </w:pPr>
    </w:p>
    <w:p w14:paraId="21660B46">
      <w:pPr>
        <w:spacing w:before="101" w:line="224" w:lineRule="auto"/>
        <w:ind w:left="3163"/>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供应商直接控股股东信息表</w:t>
      </w:r>
    </w:p>
    <w:p w14:paraId="5D3C8895">
      <w:pPr>
        <w:spacing w:before="64"/>
        <w:rPr>
          <w:color w:val="auto"/>
          <w:highlight w:val="none"/>
        </w:rPr>
      </w:pPr>
    </w:p>
    <w:p w14:paraId="52A7B688">
      <w:pPr>
        <w:spacing w:before="64"/>
        <w:rPr>
          <w:color w:val="auto"/>
          <w:highlight w:val="none"/>
        </w:rPr>
      </w:pPr>
    </w:p>
    <w:tbl>
      <w:tblPr>
        <w:tblStyle w:val="22"/>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694"/>
        <w:gridCol w:w="1454"/>
        <w:gridCol w:w="4285"/>
        <w:gridCol w:w="874"/>
      </w:tblGrid>
      <w:tr w14:paraId="148F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844" w:type="dxa"/>
            <w:shd w:val="clear" w:color="auto" w:fill="EAE3D8"/>
            <w:vAlign w:val="top"/>
          </w:tcPr>
          <w:p w14:paraId="2B9AF17B">
            <w:pPr>
              <w:spacing w:line="256" w:lineRule="auto"/>
              <w:rPr>
                <w:rFonts w:ascii="Arial"/>
                <w:color w:val="auto"/>
                <w:sz w:val="21"/>
                <w:highlight w:val="none"/>
              </w:rPr>
            </w:pPr>
          </w:p>
          <w:p w14:paraId="6971B0F4">
            <w:pPr>
              <w:spacing w:line="257" w:lineRule="auto"/>
              <w:rPr>
                <w:rFonts w:ascii="Arial"/>
                <w:color w:val="auto"/>
                <w:sz w:val="21"/>
                <w:highlight w:val="none"/>
              </w:rPr>
            </w:pPr>
          </w:p>
          <w:p w14:paraId="4678410F">
            <w:pPr>
              <w:pStyle w:val="23"/>
              <w:spacing w:before="91" w:line="221" w:lineRule="auto"/>
              <w:ind w:left="148"/>
              <w:rPr>
                <w:color w:val="auto"/>
                <w:sz w:val="28"/>
                <w:szCs w:val="28"/>
                <w:highlight w:val="none"/>
              </w:rPr>
            </w:pPr>
            <w:r>
              <w:rPr>
                <w:color w:val="auto"/>
                <w:spacing w:val="-5"/>
                <w:sz w:val="28"/>
                <w:szCs w:val="28"/>
                <w:highlight w:val="none"/>
                <w14:textOutline w14:w="5103" w14:cap="sq" w14:cmpd="sng">
                  <w14:solidFill>
                    <w14:srgbClr w14:val="000000"/>
                  </w14:solidFill>
                  <w14:prstDash w14:val="solid"/>
                  <w14:bevel/>
                </w14:textOutline>
              </w:rPr>
              <w:t>序号</w:t>
            </w:r>
          </w:p>
        </w:tc>
        <w:tc>
          <w:tcPr>
            <w:tcW w:w="2694" w:type="dxa"/>
            <w:shd w:val="clear" w:color="auto" w:fill="EAE3D8"/>
            <w:vAlign w:val="top"/>
          </w:tcPr>
          <w:p w14:paraId="24C18403">
            <w:pPr>
              <w:spacing w:line="256" w:lineRule="auto"/>
              <w:rPr>
                <w:rFonts w:ascii="Arial"/>
                <w:color w:val="auto"/>
                <w:sz w:val="21"/>
                <w:highlight w:val="none"/>
              </w:rPr>
            </w:pPr>
          </w:p>
          <w:p w14:paraId="3E8171D4">
            <w:pPr>
              <w:spacing w:line="257" w:lineRule="auto"/>
              <w:rPr>
                <w:rFonts w:ascii="Arial"/>
                <w:color w:val="auto"/>
                <w:sz w:val="21"/>
                <w:highlight w:val="none"/>
              </w:rPr>
            </w:pPr>
          </w:p>
          <w:p w14:paraId="4C3A17E9">
            <w:pPr>
              <w:pStyle w:val="23"/>
              <w:spacing w:before="91" w:line="220" w:lineRule="auto"/>
              <w:ind w:left="232"/>
              <w:rPr>
                <w:color w:val="auto"/>
                <w:sz w:val="28"/>
                <w:szCs w:val="28"/>
                <w:highlight w:val="none"/>
              </w:rPr>
            </w:pPr>
            <w:r>
              <w:rPr>
                <w:color w:val="auto"/>
                <w:spacing w:val="-1"/>
                <w:sz w:val="28"/>
                <w:szCs w:val="28"/>
                <w:highlight w:val="none"/>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30370C17">
            <w:pPr>
              <w:spacing w:line="256" w:lineRule="auto"/>
              <w:rPr>
                <w:rFonts w:ascii="Arial"/>
                <w:color w:val="auto"/>
                <w:sz w:val="21"/>
                <w:highlight w:val="none"/>
              </w:rPr>
            </w:pPr>
          </w:p>
          <w:p w14:paraId="3A14DCFD">
            <w:pPr>
              <w:spacing w:line="257" w:lineRule="auto"/>
              <w:rPr>
                <w:rFonts w:ascii="Arial"/>
                <w:color w:val="auto"/>
                <w:sz w:val="21"/>
                <w:highlight w:val="none"/>
              </w:rPr>
            </w:pPr>
          </w:p>
          <w:p w14:paraId="18C70247">
            <w:pPr>
              <w:pStyle w:val="23"/>
              <w:spacing w:before="91" w:line="221" w:lineRule="auto"/>
              <w:ind w:left="197"/>
              <w:rPr>
                <w:color w:val="auto"/>
                <w:sz w:val="28"/>
                <w:szCs w:val="28"/>
                <w:highlight w:val="none"/>
              </w:rPr>
            </w:pPr>
            <w:r>
              <w:rPr>
                <w:color w:val="auto"/>
                <w:spacing w:val="-8"/>
                <w:sz w:val="28"/>
                <w:szCs w:val="28"/>
                <w:highlight w:val="none"/>
                <w14:textOutline w14:w="5103" w14:cap="sq" w14:cmpd="sng">
                  <w14:solidFill>
                    <w14:srgbClr w14:val="000000"/>
                  </w14:solidFill>
                  <w14:prstDash w14:val="solid"/>
                  <w14:bevel/>
                </w14:textOutline>
              </w:rPr>
              <w:t>出资比例</w:t>
            </w:r>
          </w:p>
        </w:tc>
        <w:tc>
          <w:tcPr>
            <w:tcW w:w="4285" w:type="dxa"/>
            <w:shd w:val="clear" w:color="auto" w:fill="EAE3D8"/>
            <w:vAlign w:val="top"/>
          </w:tcPr>
          <w:p w14:paraId="7F8DC90D">
            <w:pPr>
              <w:pStyle w:val="23"/>
              <w:spacing w:before="295" w:line="624" w:lineRule="exact"/>
              <w:ind w:left="193"/>
              <w:rPr>
                <w:color w:val="auto"/>
                <w:sz w:val="28"/>
                <w:szCs w:val="28"/>
                <w:highlight w:val="none"/>
              </w:rPr>
            </w:pPr>
            <w:r>
              <w:rPr>
                <w:color w:val="auto"/>
                <w:spacing w:val="-1"/>
                <w:position w:val="26"/>
                <w:sz w:val="28"/>
                <w:szCs w:val="28"/>
                <w:highlight w:val="none"/>
                <w14:textOutline w14:w="5103" w14:cap="sq" w14:cmpd="sng">
                  <w14:solidFill>
                    <w14:srgbClr w14:val="000000"/>
                  </w14:solidFill>
                  <w14:prstDash w14:val="solid"/>
                  <w14:bevel/>
                </w14:textOutline>
              </w:rPr>
              <w:t>身份证号码或者统一社会信用代</w:t>
            </w:r>
          </w:p>
          <w:p w14:paraId="04644BB4">
            <w:pPr>
              <w:pStyle w:val="23"/>
              <w:spacing w:line="223" w:lineRule="auto"/>
              <w:ind w:left="2011"/>
              <w:rPr>
                <w:color w:val="auto"/>
                <w:sz w:val="28"/>
                <w:szCs w:val="28"/>
                <w:highlight w:val="none"/>
              </w:rPr>
            </w:pPr>
            <w:r>
              <w:rPr>
                <w:color w:val="auto"/>
                <w:sz w:val="28"/>
                <w:szCs w:val="28"/>
                <w:highlight w:val="none"/>
                <w14:textOutline w14:w="5103" w14:cap="sq" w14:cmpd="sng">
                  <w14:solidFill>
                    <w14:srgbClr w14:val="000000"/>
                  </w14:solidFill>
                  <w14:prstDash w14:val="solid"/>
                  <w14:bevel/>
                </w14:textOutline>
              </w:rPr>
              <w:t>码</w:t>
            </w:r>
          </w:p>
        </w:tc>
        <w:tc>
          <w:tcPr>
            <w:tcW w:w="874" w:type="dxa"/>
            <w:shd w:val="clear" w:color="auto" w:fill="EAE3D8"/>
            <w:vAlign w:val="top"/>
          </w:tcPr>
          <w:p w14:paraId="168A5210">
            <w:pPr>
              <w:spacing w:line="256" w:lineRule="auto"/>
              <w:rPr>
                <w:rFonts w:ascii="Arial"/>
                <w:color w:val="auto"/>
                <w:sz w:val="21"/>
                <w:highlight w:val="none"/>
              </w:rPr>
            </w:pPr>
          </w:p>
          <w:p w14:paraId="637DDA50">
            <w:pPr>
              <w:spacing w:line="257" w:lineRule="auto"/>
              <w:rPr>
                <w:rFonts w:ascii="Arial"/>
                <w:color w:val="auto"/>
                <w:sz w:val="21"/>
                <w:highlight w:val="none"/>
              </w:rPr>
            </w:pPr>
          </w:p>
          <w:p w14:paraId="766EE618">
            <w:pPr>
              <w:pStyle w:val="23"/>
              <w:spacing w:before="91" w:line="221" w:lineRule="auto"/>
              <w:ind w:left="168"/>
              <w:rPr>
                <w:color w:val="auto"/>
                <w:sz w:val="28"/>
                <w:szCs w:val="28"/>
                <w:highlight w:val="none"/>
              </w:rPr>
            </w:pPr>
            <w:r>
              <w:rPr>
                <w:color w:val="auto"/>
                <w:spacing w:val="-7"/>
                <w:sz w:val="28"/>
                <w:szCs w:val="28"/>
                <w:highlight w:val="none"/>
                <w14:textOutline w14:w="5103" w14:cap="sq" w14:cmpd="sng">
                  <w14:solidFill>
                    <w14:srgbClr w14:val="000000"/>
                  </w14:solidFill>
                  <w14:prstDash w14:val="solid"/>
                  <w14:bevel/>
                </w14:textOutline>
              </w:rPr>
              <w:t>备注</w:t>
            </w:r>
          </w:p>
        </w:tc>
      </w:tr>
      <w:tr w14:paraId="4BE7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4C4FD0BF">
            <w:pPr>
              <w:spacing w:line="245" w:lineRule="auto"/>
              <w:rPr>
                <w:rFonts w:ascii="Arial"/>
                <w:color w:val="auto"/>
                <w:sz w:val="21"/>
                <w:highlight w:val="none"/>
              </w:rPr>
            </w:pPr>
          </w:p>
          <w:p w14:paraId="340FBB34">
            <w:pPr>
              <w:pStyle w:val="23"/>
              <w:spacing w:before="91" w:line="184" w:lineRule="auto"/>
              <w:ind w:left="381"/>
              <w:rPr>
                <w:color w:val="auto"/>
                <w:sz w:val="28"/>
                <w:szCs w:val="28"/>
                <w:highlight w:val="none"/>
              </w:rPr>
            </w:pPr>
            <w:r>
              <w:rPr>
                <w:color w:val="auto"/>
                <w:sz w:val="28"/>
                <w:szCs w:val="28"/>
                <w:highlight w:val="none"/>
              </w:rPr>
              <w:t>1</w:t>
            </w:r>
          </w:p>
        </w:tc>
        <w:tc>
          <w:tcPr>
            <w:tcW w:w="2694" w:type="dxa"/>
            <w:vAlign w:val="top"/>
          </w:tcPr>
          <w:p w14:paraId="4F0AA9F2">
            <w:pPr>
              <w:rPr>
                <w:rFonts w:ascii="Arial"/>
                <w:color w:val="auto"/>
                <w:sz w:val="21"/>
                <w:highlight w:val="none"/>
              </w:rPr>
            </w:pPr>
          </w:p>
        </w:tc>
        <w:tc>
          <w:tcPr>
            <w:tcW w:w="1454" w:type="dxa"/>
            <w:vAlign w:val="top"/>
          </w:tcPr>
          <w:p w14:paraId="08032056">
            <w:pPr>
              <w:rPr>
                <w:rFonts w:ascii="Arial"/>
                <w:color w:val="auto"/>
                <w:sz w:val="21"/>
                <w:highlight w:val="none"/>
              </w:rPr>
            </w:pPr>
          </w:p>
        </w:tc>
        <w:tc>
          <w:tcPr>
            <w:tcW w:w="4285" w:type="dxa"/>
            <w:vAlign w:val="top"/>
          </w:tcPr>
          <w:p w14:paraId="3911B349">
            <w:pPr>
              <w:rPr>
                <w:rFonts w:ascii="Arial"/>
                <w:color w:val="auto"/>
                <w:sz w:val="21"/>
                <w:highlight w:val="none"/>
              </w:rPr>
            </w:pPr>
          </w:p>
        </w:tc>
        <w:tc>
          <w:tcPr>
            <w:tcW w:w="874" w:type="dxa"/>
            <w:vAlign w:val="top"/>
          </w:tcPr>
          <w:p w14:paraId="4FAB8CE6">
            <w:pPr>
              <w:rPr>
                <w:rFonts w:ascii="Arial"/>
                <w:color w:val="auto"/>
                <w:sz w:val="21"/>
                <w:highlight w:val="none"/>
              </w:rPr>
            </w:pPr>
          </w:p>
        </w:tc>
      </w:tr>
      <w:tr w14:paraId="34C44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038DC270">
            <w:pPr>
              <w:spacing w:line="247" w:lineRule="auto"/>
              <w:rPr>
                <w:rFonts w:ascii="Arial"/>
                <w:color w:val="auto"/>
                <w:sz w:val="21"/>
                <w:highlight w:val="none"/>
              </w:rPr>
            </w:pPr>
          </w:p>
          <w:p w14:paraId="4969AC30">
            <w:pPr>
              <w:pStyle w:val="23"/>
              <w:spacing w:before="91" w:line="183" w:lineRule="auto"/>
              <w:ind w:left="364"/>
              <w:rPr>
                <w:color w:val="auto"/>
                <w:sz w:val="28"/>
                <w:szCs w:val="28"/>
                <w:highlight w:val="none"/>
              </w:rPr>
            </w:pPr>
            <w:r>
              <w:rPr>
                <w:color w:val="auto"/>
                <w:sz w:val="28"/>
                <w:szCs w:val="28"/>
                <w:highlight w:val="none"/>
              </w:rPr>
              <w:t>2</w:t>
            </w:r>
          </w:p>
        </w:tc>
        <w:tc>
          <w:tcPr>
            <w:tcW w:w="2694" w:type="dxa"/>
            <w:vAlign w:val="top"/>
          </w:tcPr>
          <w:p w14:paraId="18588D32">
            <w:pPr>
              <w:rPr>
                <w:rFonts w:ascii="Arial"/>
                <w:color w:val="auto"/>
                <w:sz w:val="21"/>
                <w:highlight w:val="none"/>
              </w:rPr>
            </w:pPr>
          </w:p>
        </w:tc>
        <w:tc>
          <w:tcPr>
            <w:tcW w:w="1454" w:type="dxa"/>
            <w:vAlign w:val="top"/>
          </w:tcPr>
          <w:p w14:paraId="56EDE387">
            <w:pPr>
              <w:rPr>
                <w:rFonts w:ascii="Arial"/>
                <w:color w:val="auto"/>
                <w:sz w:val="21"/>
                <w:highlight w:val="none"/>
              </w:rPr>
            </w:pPr>
          </w:p>
        </w:tc>
        <w:tc>
          <w:tcPr>
            <w:tcW w:w="4285" w:type="dxa"/>
            <w:vAlign w:val="top"/>
          </w:tcPr>
          <w:p w14:paraId="68572723">
            <w:pPr>
              <w:rPr>
                <w:rFonts w:ascii="Arial"/>
                <w:color w:val="auto"/>
                <w:sz w:val="21"/>
                <w:highlight w:val="none"/>
              </w:rPr>
            </w:pPr>
          </w:p>
        </w:tc>
        <w:tc>
          <w:tcPr>
            <w:tcW w:w="874" w:type="dxa"/>
            <w:vAlign w:val="top"/>
          </w:tcPr>
          <w:p w14:paraId="64279A23">
            <w:pPr>
              <w:rPr>
                <w:rFonts w:ascii="Arial"/>
                <w:color w:val="auto"/>
                <w:sz w:val="21"/>
                <w:highlight w:val="none"/>
              </w:rPr>
            </w:pPr>
          </w:p>
        </w:tc>
      </w:tr>
      <w:tr w14:paraId="127F9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639446A9">
            <w:pPr>
              <w:spacing w:line="248" w:lineRule="auto"/>
              <w:rPr>
                <w:rFonts w:ascii="Arial"/>
                <w:color w:val="auto"/>
                <w:sz w:val="21"/>
                <w:highlight w:val="none"/>
              </w:rPr>
            </w:pPr>
          </w:p>
          <w:p w14:paraId="48064E0F">
            <w:pPr>
              <w:pStyle w:val="23"/>
              <w:spacing w:before="91" w:line="183" w:lineRule="auto"/>
              <w:ind w:left="366"/>
              <w:rPr>
                <w:color w:val="auto"/>
                <w:sz w:val="28"/>
                <w:szCs w:val="28"/>
                <w:highlight w:val="none"/>
              </w:rPr>
            </w:pPr>
            <w:r>
              <w:rPr>
                <w:color w:val="auto"/>
                <w:sz w:val="28"/>
                <w:szCs w:val="28"/>
                <w:highlight w:val="none"/>
              </w:rPr>
              <w:t>3</w:t>
            </w:r>
          </w:p>
        </w:tc>
        <w:tc>
          <w:tcPr>
            <w:tcW w:w="2694" w:type="dxa"/>
            <w:vAlign w:val="top"/>
          </w:tcPr>
          <w:p w14:paraId="60AFD4A6">
            <w:pPr>
              <w:rPr>
                <w:rFonts w:ascii="Arial"/>
                <w:color w:val="auto"/>
                <w:sz w:val="21"/>
                <w:highlight w:val="none"/>
              </w:rPr>
            </w:pPr>
          </w:p>
        </w:tc>
        <w:tc>
          <w:tcPr>
            <w:tcW w:w="1454" w:type="dxa"/>
            <w:vAlign w:val="top"/>
          </w:tcPr>
          <w:p w14:paraId="504B65F2">
            <w:pPr>
              <w:rPr>
                <w:rFonts w:ascii="Arial"/>
                <w:color w:val="auto"/>
                <w:sz w:val="21"/>
                <w:highlight w:val="none"/>
              </w:rPr>
            </w:pPr>
          </w:p>
        </w:tc>
        <w:tc>
          <w:tcPr>
            <w:tcW w:w="4285" w:type="dxa"/>
            <w:vAlign w:val="top"/>
          </w:tcPr>
          <w:p w14:paraId="5203CC60">
            <w:pPr>
              <w:rPr>
                <w:rFonts w:ascii="Arial"/>
                <w:color w:val="auto"/>
                <w:sz w:val="21"/>
                <w:highlight w:val="none"/>
              </w:rPr>
            </w:pPr>
          </w:p>
        </w:tc>
        <w:tc>
          <w:tcPr>
            <w:tcW w:w="874" w:type="dxa"/>
            <w:vAlign w:val="top"/>
          </w:tcPr>
          <w:p w14:paraId="20A05749">
            <w:pPr>
              <w:rPr>
                <w:rFonts w:ascii="Arial"/>
                <w:color w:val="auto"/>
                <w:sz w:val="21"/>
                <w:highlight w:val="none"/>
              </w:rPr>
            </w:pPr>
          </w:p>
        </w:tc>
      </w:tr>
      <w:tr w14:paraId="6137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44" w:type="dxa"/>
            <w:vAlign w:val="top"/>
          </w:tcPr>
          <w:p w14:paraId="05124F7E">
            <w:pPr>
              <w:pStyle w:val="23"/>
              <w:spacing w:before="296" w:line="442" w:lineRule="exact"/>
              <w:ind w:left="167"/>
              <w:rPr>
                <w:color w:val="auto"/>
                <w:sz w:val="28"/>
                <w:szCs w:val="28"/>
                <w:highlight w:val="none"/>
              </w:rPr>
            </w:pPr>
            <w:r>
              <w:rPr>
                <w:color w:val="auto"/>
                <w:spacing w:val="-14"/>
                <w:position w:val="3"/>
                <w:sz w:val="28"/>
                <w:szCs w:val="28"/>
                <w:highlight w:val="none"/>
              </w:rPr>
              <w:t>……</w:t>
            </w:r>
          </w:p>
        </w:tc>
        <w:tc>
          <w:tcPr>
            <w:tcW w:w="2694" w:type="dxa"/>
            <w:vAlign w:val="top"/>
          </w:tcPr>
          <w:p w14:paraId="5354D108">
            <w:pPr>
              <w:rPr>
                <w:rFonts w:ascii="Arial"/>
                <w:color w:val="auto"/>
                <w:sz w:val="21"/>
                <w:highlight w:val="none"/>
              </w:rPr>
            </w:pPr>
          </w:p>
        </w:tc>
        <w:tc>
          <w:tcPr>
            <w:tcW w:w="1454" w:type="dxa"/>
            <w:vAlign w:val="top"/>
          </w:tcPr>
          <w:p w14:paraId="7ACA985E">
            <w:pPr>
              <w:rPr>
                <w:rFonts w:ascii="Arial"/>
                <w:color w:val="auto"/>
                <w:sz w:val="21"/>
                <w:highlight w:val="none"/>
              </w:rPr>
            </w:pPr>
          </w:p>
        </w:tc>
        <w:tc>
          <w:tcPr>
            <w:tcW w:w="4285" w:type="dxa"/>
            <w:vAlign w:val="top"/>
          </w:tcPr>
          <w:p w14:paraId="3B293BC5">
            <w:pPr>
              <w:rPr>
                <w:rFonts w:ascii="Arial"/>
                <w:color w:val="auto"/>
                <w:sz w:val="21"/>
                <w:highlight w:val="none"/>
              </w:rPr>
            </w:pPr>
          </w:p>
        </w:tc>
        <w:tc>
          <w:tcPr>
            <w:tcW w:w="874" w:type="dxa"/>
            <w:vAlign w:val="top"/>
          </w:tcPr>
          <w:p w14:paraId="7D47E42A">
            <w:pPr>
              <w:rPr>
                <w:rFonts w:ascii="Arial"/>
                <w:color w:val="auto"/>
                <w:sz w:val="21"/>
                <w:highlight w:val="none"/>
              </w:rPr>
            </w:pPr>
          </w:p>
        </w:tc>
      </w:tr>
    </w:tbl>
    <w:p w14:paraId="31AA5887">
      <w:pPr>
        <w:spacing w:before="31" w:line="232" w:lineRule="auto"/>
        <w:ind w:left="646"/>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491012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 占股份有限公司股份总额百分之五十以上的股东；出资额或者持有股份的比例虽然不足百分之五十，但依其出资额或者持有的股份所享有的表决权已足以对股东会、股东大会的决议产生重大影响的股东。</w:t>
      </w:r>
    </w:p>
    <w:p w14:paraId="081ACC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w:t>
      </w:r>
    </w:p>
    <w:p w14:paraId="52D86B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司之间的关系不属于本表所指的直接控股关系。</w:t>
      </w:r>
    </w:p>
    <w:p w14:paraId="54CB78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 ”。</w:t>
      </w:r>
    </w:p>
    <w:p w14:paraId="6B9F8425">
      <w:pPr>
        <w:spacing w:line="360" w:lineRule="auto"/>
        <w:rPr>
          <w:rFonts w:hint="eastAsia" w:ascii="宋体" w:hAnsi="宋体" w:eastAsia="宋体" w:cs="宋体"/>
          <w:color w:val="auto"/>
          <w:sz w:val="24"/>
          <w:szCs w:val="24"/>
          <w:highlight w:val="none"/>
        </w:rPr>
      </w:pPr>
    </w:p>
    <w:p w14:paraId="35977463">
      <w:pPr>
        <w:pStyle w:val="8"/>
        <w:spacing w:line="298" w:lineRule="auto"/>
        <w:rPr>
          <w:color w:val="auto"/>
          <w:highlight w:val="none"/>
        </w:rPr>
      </w:pPr>
    </w:p>
    <w:p w14:paraId="7B796487">
      <w:pPr>
        <w:pStyle w:val="8"/>
        <w:spacing w:line="298" w:lineRule="auto"/>
        <w:rPr>
          <w:color w:val="auto"/>
          <w:highlight w:val="none"/>
        </w:rPr>
      </w:pPr>
    </w:p>
    <w:p w14:paraId="4B8EDFF0">
      <w:pPr>
        <w:pStyle w:val="8"/>
        <w:spacing w:line="299" w:lineRule="auto"/>
        <w:rPr>
          <w:color w:val="auto"/>
          <w:highlight w:val="none"/>
        </w:rPr>
      </w:pPr>
    </w:p>
    <w:p w14:paraId="1A826DE2">
      <w:pPr>
        <w:spacing w:before="78" w:line="219" w:lineRule="auto"/>
        <w:ind w:left="35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z w:val="24"/>
          <w:szCs w:val="24"/>
          <w:highlight w:val="none"/>
          <w:u w:val="single" w:color="auto"/>
        </w:rPr>
        <w:t xml:space="preserve">                </w:t>
      </w:r>
    </w:p>
    <w:p w14:paraId="0B19F7B6">
      <w:pPr>
        <w:pStyle w:val="8"/>
        <w:spacing w:line="256" w:lineRule="auto"/>
        <w:rPr>
          <w:color w:val="auto"/>
          <w:highlight w:val="none"/>
        </w:rPr>
      </w:pPr>
    </w:p>
    <w:p w14:paraId="09452803">
      <w:pPr>
        <w:spacing w:before="79" w:line="480" w:lineRule="auto"/>
        <w:ind w:left="36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35"/>
          <w:sz w:val="24"/>
          <w:szCs w:val="24"/>
          <w:highlight w:val="none"/>
        </w:rPr>
        <w:t xml:space="preserve"> </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 xml:space="preserve">                         </w:t>
      </w:r>
    </w:p>
    <w:p w14:paraId="201F51F1">
      <w:pPr>
        <w:spacing w:before="1" w:line="219" w:lineRule="auto"/>
        <w:ind w:left="592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16B3D9A0">
      <w:pPr>
        <w:spacing w:line="219" w:lineRule="auto"/>
        <w:rPr>
          <w:rFonts w:ascii="宋体" w:hAnsi="宋体" w:eastAsia="宋体" w:cs="宋体"/>
          <w:color w:val="auto"/>
          <w:sz w:val="24"/>
          <w:szCs w:val="24"/>
          <w:highlight w:val="none"/>
        </w:rPr>
        <w:sectPr>
          <w:footerReference r:id="rId20" w:type="default"/>
          <w:pgSz w:w="11905" w:h="16838"/>
          <w:pgMar w:top="1134" w:right="1134" w:bottom="1134" w:left="1134" w:header="0" w:footer="992" w:gutter="0"/>
          <w:pgNumType w:fmt="decimal"/>
          <w:cols w:space="0" w:num="1"/>
          <w:rtlGutter w:val="0"/>
          <w:docGrid w:linePitch="0" w:charSpace="0"/>
        </w:sectPr>
      </w:pPr>
    </w:p>
    <w:p w14:paraId="35A2F7E3">
      <w:pPr>
        <w:pStyle w:val="8"/>
        <w:spacing w:line="316" w:lineRule="auto"/>
        <w:rPr>
          <w:color w:val="auto"/>
          <w:highlight w:val="none"/>
        </w:rPr>
      </w:pPr>
    </w:p>
    <w:p w14:paraId="34C87AB4">
      <w:pPr>
        <w:spacing w:before="101" w:line="224" w:lineRule="auto"/>
        <w:ind w:left="2916"/>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供应商直接管理关系信息表</w:t>
      </w:r>
    </w:p>
    <w:p w14:paraId="0D317D17">
      <w:pPr>
        <w:spacing w:before="164"/>
        <w:rPr>
          <w:color w:val="auto"/>
          <w:highlight w:val="none"/>
        </w:rPr>
      </w:pPr>
    </w:p>
    <w:tbl>
      <w:tblPr>
        <w:tblStyle w:val="22"/>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5F13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12" w:type="dxa"/>
            <w:shd w:val="clear" w:color="auto" w:fill="EAE3D8"/>
            <w:vAlign w:val="top"/>
          </w:tcPr>
          <w:p w14:paraId="4E6F6177">
            <w:pPr>
              <w:pStyle w:val="23"/>
              <w:spacing w:before="297" w:line="221" w:lineRule="auto"/>
              <w:ind w:left="132"/>
              <w:rPr>
                <w:color w:val="auto"/>
                <w:sz w:val="28"/>
                <w:szCs w:val="28"/>
                <w:highlight w:val="none"/>
              </w:rPr>
            </w:pPr>
            <w:r>
              <w:rPr>
                <w:color w:val="auto"/>
                <w:spacing w:val="-5"/>
                <w:sz w:val="28"/>
                <w:szCs w:val="28"/>
                <w:highlight w:val="none"/>
                <w14:textOutline w14:w="5103" w14:cap="sq" w14:cmpd="sng">
                  <w14:solidFill>
                    <w14:srgbClr w14:val="000000"/>
                  </w14:solidFill>
                  <w14:prstDash w14:val="solid"/>
                  <w14:bevel/>
                </w14:textOutline>
              </w:rPr>
              <w:t>序号</w:t>
            </w:r>
          </w:p>
        </w:tc>
        <w:tc>
          <w:tcPr>
            <w:tcW w:w="3598" w:type="dxa"/>
            <w:shd w:val="clear" w:color="auto" w:fill="EAE3D8"/>
            <w:vAlign w:val="top"/>
          </w:tcPr>
          <w:p w14:paraId="51589A76">
            <w:pPr>
              <w:pStyle w:val="23"/>
              <w:spacing w:before="296" w:line="220" w:lineRule="auto"/>
              <w:ind w:left="403"/>
              <w:rPr>
                <w:color w:val="auto"/>
                <w:sz w:val="28"/>
                <w:szCs w:val="28"/>
                <w:highlight w:val="none"/>
              </w:rPr>
            </w:pPr>
            <w:r>
              <w:rPr>
                <w:color w:val="auto"/>
                <w:spacing w:val="-1"/>
                <w:sz w:val="28"/>
                <w:szCs w:val="28"/>
                <w:highlight w:val="none"/>
                <w14:textOutline w14:w="5103" w14:cap="sq" w14:cmpd="sng">
                  <w14:solidFill>
                    <w14:srgbClr w14:val="000000"/>
                  </w14:solidFill>
                  <w14:prstDash w14:val="solid"/>
                  <w14:bevel/>
                </w14:textOutline>
              </w:rPr>
              <w:t>直接管理关系单位名称</w:t>
            </w:r>
          </w:p>
        </w:tc>
        <w:tc>
          <w:tcPr>
            <w:tcW w:w="3553" w:type="dxa"/>
            <w:shd w:val="clear" w:color="auto" w:fill="EAE3D8"/>
            <w:vAlign w:val="top"/>
          </w:tcPr>
          <w:p w14:paraId="18C11FA4">
            <w:pPr>
              <w:pStyle w:val="23"/>
              <w:spacing w:before="297" w:line="219" w:lineRule="auto"/>
              <w:ind w:left="669"/>
              <w:rPr>
                <w:color w:val="auto"/>
                <w:sz w:val="28"/>
                <w:szCs w:val="28"/>
                <w:highlight w:val="none"/>
              </w:rPr>
            </w:pPr>
            <w:r>
              <w:rPr>
                <w:color w:val="auto"/>
                <w:spacing w:val="-2"/>
                <w:sz w:val="28"/>
                <w:szCs w:val="28"/>
                <w:highlight w:val="none"/>
                <w14:textOutline w14:w="5103" w14:cap="sq" w14:cmpd="sng">
                  <w14:solidFill>
                    <w14:srgbClr w14:val="000000"/>
                  </w14:solidFill>
                  <w14:prstDash w14:val="solid"/>
                  <w14:bevel/>
                </w14:textOutline>
              </w:rPr>
              <w:t>统一社会信用代码</w:t>
            </w:r>
          </w:p>
        </w:tc>
        <w:tc>
          <w:tcPr>
            <w:tcW w:w="1693" w:type="dxa"/>
            <w:shd w:val="clear" w:color="auto" w:fill="EAE3D8"/>
            <w:vAlign w:val="top"/>
          </w:tcPr>
          <w:p w14:paraId="26700DD5">
            <w:pPr>
              <w:pStyle w:val="23"/>
              <w:spacing w:before="297" w:line="221" w:lineRule="auto"/>
              <w:ind w:left="575"/>
              <w:rPr>
                <w:color w:val="auto"/>
                <w:sz w:val="28"/>
                <w:szCs w:val="28"/>
                <w:highlight w:val="none"/>
              </w:rPr>
            </w:pPr>
            <w:r>
              <w:rPr>
                <w:color w:val="auto"/>
                <w:spacing w:val="-7"/>
                <w:sz w:val="28"/>
                <w:szCs w:val="28"/>
                <w:highlight w:val="none"/>
                <w14:textOutline w14:w="5103" w14:cap="sq" w14:cmpd="sng">
                  <w14:solidFill>
                    <w14:srgbClr w14:val="000000"/>
                  </w14:solidFill>
                  <w14:prstDash w14:val="solid"/>
                  <w14:bevel/>
                </w14:textOutline>
              </w:rPr>
              <w:t>备注</w:t>
            </w:r>
          </w:p>
        </w:tc>
      </w:tr>
      <w:tr w14:paraId="0C42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422C60F3">
            <w:pPr>
              <w:spacing w:line="244" w:lineRule="auto"/>
              <w:rPr>
                <w:rFonts w:ascii="Arial"/>
                <w:color w:val="auto"/>
                <w:sz w:val="21"/>
                <w:highlight w:val="none"/>
              </w:rPr>
            </w:pPr>
          </w:p>
          <w:p w14:paraId="10CE5799">
            <w:pPr>
              <w:pStyle w:val="23"/>
              <w:spacing w:before="91" w:line="184" w:lineRule="auto"/>
              <w:ind w:left="365"/>
              <w:rPr>
                <w:color w:val="auto"/>
                <w:sz w:val="28"/>
                <w:szCs w:val="28"/>
                <w:highlight w:val="none"/>
              </w:rPr>
            </w:pPr>
            <w:r>
              <w:rPr>
                <w:color w:val="auto"/>
                <w:sz w:val="28"/>
                <w:szCs w:val="28"/>
                <w:highlight w:val="none"/>
              </w:rPr>
              <w:t>1</w:t>
            </w:r>
          </w:p>
        </w:tc>
        <w:tc>
          <w:tcPr>
            <w:tcW w:w="3598" w:type="dxa"/>
            <w:vAlign w:val="top"/>
          </w:tcPr>
          <w:p w14:paraId="42DF6F28">
            <w:pPr>
              <w:rPr>
                <w:rFonts w:ascii="Arial"/>
                <w:color w:val="auto"/>
                <w:sz w:val="21"/>
                <w:highlight w:val="none"/>
              </w:rPr>
            </w:pPr>
          </w:p>
        </w:tc>
        <w:tc>
          <w:tcPr>
            <w:tcW w:w="3553" w:type="dxa"/>
            <w:vAlign w:val="top"/>
          </w:tcPr>
          <w:p w14:paraId="4DAD15BC">
            <w:pPr>
              <w:rPr>
                <w:rFonts w:ascii="Arial"/>
                <w:color w:val="auto"/>
                <w:sz w:val="21"/>
                <w:highlight w:val="none"/>
              </w:rPr>
            </w:pPr>
          </w:p>
        </w:tc>
        <w:tc>
          <w:tcPr>
            <w:tcW w:w="1693" w:type="dxa"/>
            <w:vAlign w:val="top"/>
          </w:tcPr>
          <w:p w14:paraId="6E2B5E19">
            <w:pPr>
              <w:rPr>
                <w:rFonts w:ascii="Arial"/>
                <w:color w:val="auto"/>
                <w:sz w:val="21"/>
                <w:highlight w:val="none"/>
              </w:rPr>
            </w:pPr>
          </w:p>
        </w:tc>
      </w:tr>
      <w:tr w14:paraId="109B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7F06F613">
            <w:pPr>
              <w:spacing w:line="246" w:lineRule="auto"/>
              <w:rPr>
                <w:rFonts w:ascii="Arial"/>
                <w:color w:val="auto"/>
                <w:sz w:val="21"/>
                <w:highlight w:val="none"/>
              </w:rPr>
            </w:pPr>
          </w:p>
          <w:p w14:paraId="32EBF676">
            <w:pPr>
              <w:pStyle w:val="23"/>
              <w:spacing w:before="91" w:line="183" w:lineRule="auto"/>
              <w:ind w:left="347"/>
              <w:rPr>
                <w:color w:val="auto"/>
                <w:sz w:val="28"/>
                <w:szCs w:val="28"/>
                <w:highlight w:val="none"/>
              </w:rPr>
            </w:pPr>
            <w:r>
              <w:rPr>
                <w:color w:val="auto"/>
                <w:sz w:val="28"/>
                <w:szCs w:val="28"/>
                <w:highlight w:val="none"/>
              </w:rPr>
              <w:t>2</w:t>
            </w:r>
          </w:p>
        </w:tc>
        <w:tc>
          <w:tcPr>
            <w:tcW w:w="3598" w:type="dxa"/>
            <w:vAlign w:val="top"/>
          </w:tcPr>
          <w:p w14:paraId="74FEE80A">
            <w:pPr>
              <w:rPr>
                <w:rFonts w:ascii="Arial"/>
                <w:color w:val="auto"/>
                <w:sz w:val="21"/>
                <w:highlight w:val="none"/>
              </w:rPr>
            </w:pPr>
          </w:p>
        </w:tc>
        <w:tc>
          <w:tcPr>
            <w:tcW w:w="3553" w:type="dxa"/>
            <w:vAlign w:val="top"/>
          </w:tcPr>
          <w:p w14:paraId="6DB7D939">
            <w:pPr>
              <w:rPr>
                <w:rFonts w:ascii="Arial"/>
                <w:color w:val="auto"/>
                <w:sz w:val="21"/>
                <w:highlight w:val="none"/>
              </w:rPr>
            </w:pPr>
          </w:p>
        </w:tc>
        <w:tc>
          <w:tcPr>
            <w:tcW w:w="1693" w:type="dxa"/>
            <w:vAlign w:val="top"/>
          </w:tcPr>
          <w:p w14:paraId="0E3A3939">
            <w:pPr>
              <w:rPr>
                <w:rFonts w:ascii="Arial"/>
                <w:color w:val="auto"/>
                <w:sz w:val="21"/>
                <w:highlight w:val="none"/>
              </w:rPr>
            </w:pPr>
          </w:p>
        </w:tc>
      </w:tr>
      <w:tr w14:paraId="34F1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139F5569">
            <w:pPr>
              <w:spacing w:line="247" w:lineRule="auto"/>
              <w:rPr>
                <w:rFonts w:ascii="Arial"/>
                <w:color w:val="auto"/>
                <w:sz w:val="21"/>
                <w:highlight w:val="none"/>
              </w:rPr>
            </w:pPr>
          </w:p>
          <w:p w14:paraId="086FE213">
            <w:pPr>
              <w:pStyle w:val="23"/>
              <w:spacing w:before="91" w:line="183" w:lineRule="auto"/>
              <w:ind w:left="349"/>
              <w:rPr>
                <w:color w:val="auto"/>
                <w:sz w:val="28"/>
                <w:szCs w:val="28"/>
                <w:highlight w:val="none"/>
              </w:rPr>
            </w:pPr>
            <w:r>
              <w:rPr>
                <w:color w:val="auto"/>
                <w:sz w:val="28"/>
                <w:szCs w:val="28"/>
                <w:highlight w:val="none"/>
              </w:rPr>
              <w:t>3</w:t>
            </w:r>
          </w:p>
        </w:tc>
        <w:tc>
          <w:tcPr>
            <w:tcW w:w="3598" w:type="dxa"/>
            <w:vAlign w:val="top"/>
          </w:tcPr>
          <w:p w14:paraId="4FE202DB">
            <w:pPr>
              <w:rPr>
                <w:rFonts w:ascii="Arial"/>
                <w:color w:val="auto"/>
                <w:sz w:val="21"/>
                <w:highlight w:val="none"/>
              </w:rPr>
            </w:pPr>
          </w:p>
        </w:tc>
        <w:tc>
          <w:tcPr>
            <w:tcW w:w="3553" w:type="dxa"/>
            <w:vAlign w:val="top"/>
          </w:tcPr>
          <w:p w14:paraId="44ED9F8B">
            <w:pPr>
              <w:rPr>
                <w:rFonts w:ascii="Arial"/>
                <w:color w:val="auto"/>
                <w:sz w:val="21"/>
                <w:highlight w:val="none"/>
              </w:rPr>
            </w:pPr>
          </w:p>
        </w:tc>
        <w:tc>
          <w:tcPr>
            <w:tcW w:w="1693" w:type="dxa"/>
            <w:vAlign w:val="top"/>
          </w:tcPr>
          <w:p w14:paraId="28FC98BF">
            <w:pPr>
              <w:rPr>
                <w:rFonts w:ascii="Arial"/>
                <w:color w:val="auto"/>
                <w:sz w:val="21"/>
                <w:highlight w:val="none"/>
              </w:rPr>
            </w:pPr>
          </w:p>
        </w:tc>
      </w:tr>
      <w:tr w14:paraId="5372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12" w:type="dxa"/>
            <w:vAlign w:val="top"/>
          </w:tcPr>
          <w:p w14:paraId="1E0F0CEA">
            <w:pPr>
              <w:pStyle w:val="23"/>
              <w:spacing w:before="297" w:line="442" w:lineRule="exact"/>
              <w:ind w:left="153"/>
              <w:rPr>
                <w:color w:val="auto"/>
                <w:sz w:val="28"/>
                <w:szCs w:val="28"/>
                <w:highlight w:val="none"/>
              </w:rPr>
            </w:pPr>
            <w:r>
              <w:rPr>
                <w:color w:val="auto"/>
                <w:spacing w:val="-14"/>
                <w:position w:val="3"/>
                <w:sz w:val="28"/>
                <w:szCs w:val="28"/>
                <w:highlight w:val="none"/>
              </w:rPr>
              <w:t>……</w:t>
            </w:r>
          </w:p>
        </w:tc>
        <w:tc>
          <w:tcPr>
            <w:tcW w:w="3598" w:type="dxa"/>
            <w:vAlign w:val="top"/>
          </w:tcPr>
          <w:p w14:paraId="23F5694B">
            <w:pPr>
              <w:rPr>
                <w:rFonts w:ascii="Arial"/>
                <w:color w:val="auto"/>
                <w:sz w:val="21"/>
                <w:highlight w:val="none"/>
              </w:rPr>
            </w:pPr>
          </w:p>
        </w:tc>
        <w:tc>
          <w:tcPr>
            <w:tcW w:w="3553" w:type="dxa"/>
            <w:vAlign w:val="top"/>
          </w:tcPr>
          <w:p w14:paraId="64CA6C2C">
            <w:pPr>
              <w:rPr>
                <w:rFonts w:ascii="Arial"/>
                <w:color w:val="auto"/>
                <w:sz w:val="21"/>
                <w:highlight w:val="none"/>
              </w:rPr>
            </w:pPr>
          </w:p>
        </w:tc>
        <w:tc>
          <w:tcPr>
            <w:tcW w:w="1693" w:type="dxa"/>
            <w:vAlign w:val="top"/>
          </w:tcPr>
          <w:p w14:paraId="53E3BA25">
            <w:pPr>
              <w:rPr>
                <w:rFonts w:ascii="Arial"/>
                <w:color w:val="auto"/>
                <w:sz w:val="21"/>
                <w:highlight w:val="none"/>
              </w:rPr>
            </w:pPr>
          </w:p>
        </w:tc>
      </w:tr>
    </w:tbl>
    <w:p w14:paraId="089BE40F">
      <w:pPr>
        <w:spacing w:before="32" w:line="232" w:lineRule="auto"/>
        <w:ind w:left="399"/>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06C2D1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w:t>
      </w:r>
    </w:p>
    <w:p w14:paraId="48E89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下级关系的事业单位和团体组织。</w:t>
      </w:r>
    </w:p>
    <w:p w14:paraId="53DE18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2.本表所指的管理关系仅限于直接管理关系，不包括间接的管理关系。</w:t>
      </w:r>
    </w:p>
    <w:p w14:paraId="64EF44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 ”。</w:t>
      </w:r>
    </w:p>
    <w:p w14:paraId="15535914">
      <w:pPr>
        <w:rPr>
          <w:rFonts w:hint="eastAsia" w:ascii="宋体" w:hAnsi="宋体" w:eastAsia="宋体" w:cs="宋体"/>
          <w:color w:val="auto"/>
          <w:sz w:val="24"/>
          <w:szCs w:val="24"/>
          <w:highlight w:val="none"/>
        </w:rPr>
      </w:pPr>
    </w:p>
    <w:p w14:paraId="57706BA8">
      <w:pPr>
        <w:pStyle w:val="8"/>
        <w:spacing w:line="249" w:lineRule="auto"/>
        <w:rPr>
          <w:color w:val="auto"/>
          <w:highlight w:val="none"/>
        </w:rPr>
      </w:pPr>
    </w:p>
    <w:p w14:paraId="15183D53">
      <w:pPr>
        <w:pStyle w:val="8"/>
        <w:spacing w:line="249" w:lineRule="auto"/>
        <w:rPr>
          <w:color w:val="auto"/>
          <w:highlight w:val="none"/>
        </w:rPr>
      </w:pPr>
    </w:p>
    <w:p w14:paraId="394BCD25">
      <w:pPr>
        <w:pStyle w:val="8"/>
        <w:spacing w:line="249" w:lineRule="auto"/>
        <w:rPr>
          <w:color w:val="auto"/>
          <w:highlight w:val="none"/>
        </w:rPr>
      </w:pPr>
    </w:p>
    <w:p w14:paraId="4F0E23CF">
      <w:pPr>
        <w:pStyle w:val="8"/>
        <w:spacing w:line="249" w:lineRule="auto"/>
        <w:rPr>
          <w:color w:val="auto"/>
          <w:highlight w:val="none"/>
        </w:rPr>
      </w:pPr>
    </w:p>
    <w:p w14:paraId="6C00FC5A">
      <w:pPr>
        <w:pStyle w:val="8"/>
        <w:spacing w:line="249" w:lineRule="auto"/>
        <w:rPr>
          <w:color w:val="auto"/>
          <w:highlight w:val="none"/>
        </w:rPr>
      </w:pPr>
    </w:p>
    <w:p w14:paraId="1F69736E">
      <w:pPr>
        <w:pStyle w:val="8"/>
        <w:spacing w:line="249" w:lineRule="auto"/>
        <w:rPr>
          <w:color w:val="auto"/>
          <w:highlight w:val="none"/>
        </w:rPr>
      </w:pPr>
    </w:p>
    <w:p w14:paraId="2CC5504E">
      <w:pPr>
        <w:pStyle w:val="8"/>
        <w:spacing w:line="249" w:lineRule="auto"/>
        <w:rPr>
          <w:color w:val="auto"/>
          <w:highlight w:val="none"/>
        </w:rPr>
      </w:pPr>
    </w:p>
    <w:p w14:paraId="01487E67">
      <w:pPr>
        <w:pStyle w:val="8"/>
        <w:spacing w:line="250" w:lineRule="auto"/>
        <w:rPr>
          <w:color w:val="auto"/>
          <w:highlight w:val="none"/>
        </w:rPr>
      </w:pPr>
    </w:p>
    <w:p w14:paraId="0B043EEF">
      <w:pPr>
        <w:pStyle w:val="8"/>
        <w:spacing w:line="250" w:lineRule="auto"/>
        <w:rPr>
          <w:color w:val="auto"/>
          <w:highlight w:val="none"/>
        </w:rPr>
      </w:pPr>
    </w:p>
    <w:p w14:paraId="4B493110">
      <w:pPr>
        <w:pStyle w:val="8"/>
        <w:spacing w:line="250" w:lineRule="auto"/>
        <w:rPr>
          <w:color w:val="auto"/>
          <w:highlight w:val="none"/>
        </w:rPr>
      </w:pPr>
    </w:p>
    <w:p w14:paraId="4532BC80">
      <w:pPr>
        <w:pStyle w:val="8"/>
        <w:spacing w:line="250" w:lineRule="auto"/>
        <w:rPr>
          <w:color w:val="auto"/>
          <w:highlight w:val="none"/>
        </w:rPr>
      </w:pPr>
    </w:p>
    <w:p w14:paraId="6EE78C85">
      <w:pPr>
        <w:pStyle w:val="8"/>
        <w:spacing w:line="250" w:lineRule="auto"/>
        <w:rPr>
          <w:color w:val="auto"/>
          <w:highlight w:val="none"/>
        </w:rPr>
      </w:pPr>
    </w:p>
    <w:p w14:paraId="452AB4D1">
      <w:pPr>
        <w:pStyle w:val="8"/>
        <w:spacing w:line="250" w:lineRule="auto"/>
        <w:rPr>
          <w:color w:val="auto"/>
          <w:highlight w:val="none"/>
        </w:rPr>
      </w:pPr>
    </w:p>
    <w:p w14:paraId="661A30F6">
      <w:pPr>
        <w:spacing w:before="78" w:line="480" w:lineRule="auto"/>
        <w:ind w:left="36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法定代表人或者委托代理人签字：</w:t>
      </w:r>
      <w:r>
        <w:rPr>
          <w:rFonts w:ascii="宋体" w:hAnsi="宋体" w:eastAsia="宋体" w:cs="宋体"/>
          <w:color w:val="auto"/>
          <w:sz w:val="24"/>
          <w:szCs w:val="24"/>
          <w:highlight w:val="none"/>
          <w:u w:val="single" w:color="auto"/>
        </w:rPr>
        <w:t xml:space="preserve">             </w:t>
      </w:r>
    </w:p>
    <w:p w14:paraId="3D1C26F2">
      <w:pPr>
        <w:spacing w:before="1" w:line="218" w:lineRule="auto"/>
        <w:ind w:left="37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供应商（盖公章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u w:val="single" w:color="auto"/>
        </w:rPr>
        <w:t xml:space="preserve">                </w:t>
      </w:r>
    </w:p>
    <w:p w14:paraId="6970EB19">
      <w:pPr>
        <w:pStyle w:val="8"/>
        <w:spacing w:line="258" w:lineRule="auto"/>
        <w:rPr>
          <w:color w:val="auto"/>
          <w:highlight w:val="none"/>
        </w:rPr>
      </w:pPr>
    </w:p>
    <w:p w14:paraId="49B09BF3">
      <w:pPr>
        <w:spacing w:before="78" w:line="219" w:lineRule="auto"/>
        <w:ind w:left="628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9"/>
          <w:sz w:val="24"/>
          <w:szCs w:val="24"/>
          <w:highlight w:val="none"/>
        </w:rPr>
        <w:t>日</w:t>
      </w:r>
    </w:p>
    <w:p w14:paraId="61F6FB93">
      <w:pPr>
        <w:spacing w:line="219" w:lineRule="auto"/>
        <w:rPr>
          <w:rFonts w:ascii="宋体" w:hAnsi="宋体" w:eastAsia="宋体" w:cs="宋体"/>
          <w:color w:val="auto"/>
          <w:sz w:val="24"/>
          <w:szCs w:val="24"/>
          <w:highlight w:val="none"/>
        </w:rPr>
        <w:sectPr>
          <w:footerReference r:id="rId21" w:type="default"/>
          <w:pgSz w:w="11905" w:h="16838"/>
          <w:pgMar w:top="1134" w:right="1134" w:bottom="1134" w:left="1134" w:header="0" w:footer="992" w:gutter="0"/>
          <w:pgNumType w:fmt="decimal"/>
          <w:cols w:space="0" w:num="1"/>
          <w:rtlGutter w:val="0"/>
          <w:docGrid w:linePitch="0" w:charSpace="0"/>
        </w:sectPr>
      </w:pPr>
    </w:p>
    <w:p w14:paraId="36BCBBB3">
      <w:pPr>
        <w:spacing w:before="63" w:line="225" w:lineRule="auto"/>
        <w:ind w:left="3414"/>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（6）响应声明</w:t>
      </w:r>
    </w:p>
    <w:p w14:paraId="03EF5056">
      <w:pPr>
        <w:pStyle w:val="8"/>
        <w:spacing w:line="341" w:lineRule="auto"/>
        <w:rPr>
          <w:color w:val="auto"/>
          <w:highlight w:val="none"/>
        </w:rPr>
      </w:pPr>
    </w:p>
    <w:p w14:paraId="23CEEAE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64C39D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 方</w:t>
      </w:r>
      <w:r>
        <w:rPr>
          <w:rFonts w:hint="eastAsia" w:ascii="宋体" w:hAnsi="宋体" w:eastAsia="宋体" w:cs="宋体"/>
          <w:color w:val="auto"/>
          <w:sz w:val="24"/>
          <w:szCs w:val="24"/>
          <w:highlight w:val="none"/>
          <w:u w:val="single"/>
        </w:rPr>
        <w:t xml:space="preserve"> （ 供 应 商 名 称 ）  </w:t>
      </w:r>
      <w:r>
        <w:rPr>
          <w:rFonts w:hint="eastAsia" w:ascii="宋体" w:hAnsi="宋体" w:eastAsia="宋体" w:cs="宋体"/>
          <w:color w:val="auto"/>
          <w:sz w:val="24"/>
          <w:szCs w:val="24"/>
          <w:highlight w:val="none"/>
        </w:rPr>
        <w:t xml:space="preserve">系 中 华 人 民 共 和 国 合 法 供 应 商 ， 经 营 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09C0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我方愿意参加贵方组织的（项目名称）项目的磋商，为便于贵方公正、择优地确定成交供应</w:t>
      </w:r>
    </w:p>
    <w:p w14:paraId="7846C4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商及其响应内容，我方就本次磋商有关事项郑重声明如下：</w:t>
      </w:r>
    </w:p>
    <w:p w14:paraId="299126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4B301D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 监理、检测等服务的供应商；在获知本项目采购信息后，与采购人聘请的为此项目提供咨询服务</w:t>
      </w:r>
    </w:p>
    <w:p w14:paraId="29E4EA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的公司及其附属机构没有任何联系。</w:t>
      </w:r>
    </w:p>
    <w:p w14:paraId="0DFD99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443B05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(1)将按竞争性磋商文件的约定履行合同责任和义务；</w:t>
      </w:r>
    </w:p>
    <w:p w14:paraId="13C32D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(2)已详细审查全部竞争性磋商文件，包括补遗文件（如有）；</w:t>
      </w:r>
    </w:p>
    <w:p w14:paraId="3826B8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(3)同意提供按照贵方可能要求的与磋商有关的一切数据或者资料；</w:t>
      </w:r>
    </w:p>
    <w:p w14:paraId="18A964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(4)响应竞争性磋商文件规定的磋商有效期。</w:t>
      </w:r>
    </w:p>
    <w:p w14:paraId="0A515F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4.我方承诺符合《中华人民共和国政府采购法》第二十二条规定：</w:t>
      </w:r>
    </w:p>
    <w:p w14:paraId="2B9FE9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17689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C57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BDCBF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E43B8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832C9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B9942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5.我方在此声明，我方在参加本项目的政府采购活动前三年内，在经营活动中没有重大违法 记录（重大违法记录是指供应商因违法经营受到刑事处罚或者责令停产停业、 吊销许可证或者执 照、较大数额罚款等行政处罚），未被列入失信被执行人、重大税收违法案件当事人名单、政府 采购严重违法失信行为记录名单，完全符合《中华人民共和国政府采购法》第二十二条规定的供</w:t>
      </w:r>
    </w:p>
    <w:p w14:paraId="444E4C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应商资格条件，我方对此声明负全部法律责任。</w:t>
      </w:r>
    </w:p>
    <w:p w14:paraId="3CDB87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6.根据《中华人民共和国政府采购法实施条例》第五十条要求对政府采购合同进行公告，但</w:t>
      </w:r>
    </w:p>
    <w:p w14:paraId="2CEA78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政府采购合同中涉及国家秘密、商业秘密的内容除外。我方就对本次响应文件进行注明如下：（两项内容中必须选择一项）</w:t>
      </w:r>
    </w:p>
    <w:p w14:paraId="4E2D69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□我方本次响应文件内容中未涉及商业秘密；</w:t>
      </w:r>
    </w:p>
    <w:p w14:paraId="799A8E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□我方本次响应文件涉及商业秘密的内容有：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EA46B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512680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AF938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帐号/行号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A7A01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8.以上事项如有虚假或者隐瞒，我方愿意承担一切后果，并不再寻求任何旨在减轻或者免除</w:t>
      </w:r>
    </w:p>
    <w:p w14:paraId="49A3E7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法律责任的辩解。</w:t>
      </w:r>
    </w:p>
    <w:p w14:paraId="2E8056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BD238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注：如为联合体磋商，盖章处须加盖联合体各方公章并由联合体各方法定代表人分别</w:t>
      </w:r>
    </w:p>
    <w:p w14:paraId="031338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签署，否则响应文件作无效处理。</w:t>
      </w:r>
    </w:p>
    <w:p w14:paraId="43845613">
      <w:pPr>
        <w:spacing w:line="360" w:lineRule="auto"/>
        <w:rPr>
          <w:rFonts w:hint="eastAsia" w:ascii="宋体" w:hAnsi="宋体" w:eastAsia="宋体" w:cs="宋体"/>
          <w:color w:val="auto"/>
          <w:sz w:val="24"/>
          <w:szCs w:val="24"/>
          <w:highlight w:val="none"/>
        </w:rPr>
      </w:pPr>
    </w:p>
    <w:p w14:paraId="0F18FAB2">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B9C4AF4">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供应商（盖公章）：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5A02FB">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CF781A7">
      <w:pPr>
        <w:rPr>
          <w:rFonts w:hint="eastAsia" w:ascii="宋体" w:hAnsi="宋体" w:eastAsia="宋体" w:cs="宋体"/>
          <w:color w:val="auto"/>
          <w:sz w:val="24"/>
          <w:szCs w:val="24"/>
          <w:highlight w:val="none"/>
        </w:rPr>
        <w:sectPr>
          <w:footerReference r:id="rId22" w:type="default"/>
          <w:pgSz w:w="11905" w:h="16838"/>
          <w:pgMar w:top="1134" w:right="1134" w:bottom="1134" w:left="1134" w:header="0" w:footer="992" w:gutter="0"/>
          <w:pgNumType w:fmt="decimal"/>
          <w:cols w:space="0" w:num="1"/>
          <w:rtlGutter w:val="0"/>
          <w:docGrid w:linePitch="0" w:charSpace="0"/>
        </w:sectPr>
      </w:pPr>
    </w:p>
    <w:p w14:paraId="1D44F68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（7）中小企业声明函或者残疾人福利性单位声明函或者供应商属于监狱企业的证明材料</w:t>
      </w:r>
    </w:p>
    <w:p w14:paraId="738F85C8">
      <w:pPr>
        <w:spacing w:line="360" w:lineRule="auto"/>
        <w:ind w:firstLine="2891" w:firstLineChars="1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中小企业声明函（工程）</w:t>
      </w:r>
    </w:p>
    <w:p w14:paraId="0DA145F1">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本公司（联合体）郑重声明，根据《政府采购促进中小企业发展管理办法》（财库﹝2020﹞ 46 号）的规定，本公司（联合体）参加（单位名称）的（项目名称）采购活动，服务全部由符合 政策要求的中小企业承接。相关企业（含联合体中的中小企业、签订分包意向协议的中小企业）的具体情况如下：</w:t>
      </w:r>
    </w:p>
    <w:p w14:paraId="4F7FD90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1.（标的名称），属于</w:t>
      </w:r>
      <w:r>
        <w:rPr>
          <w:rFonts w:hint="eastAsia" w:ascii="新宋体" w:hAnsi="新宋体" w:eastAsia="新宋体" w:cs="新宋体"/>
          <w:color w:val="auto"/>
          <w:sz w:val="24"/>
          <w:szCs w:val="24"/>
          <w:highlight w:val="none"/>
          <w:u w:val="single"/>
        </w:rPr>
        <w:t>（采购文件中明确的所属行业）</w:t>
      </w:r>
      <w:r>
        <w:rPr>
          <w:rFonts w:hint="eastAsia" w:ascii="新宋体" w:hAnsi="新宋体" w:eastAsia="新宋体" w:cs="新宋体"/>
          <w:color w:val="auto"/>
          <w:sz w:val="24"/>
          <w:szCs w:val="24"/>
          <w:highlight w:val="none"/>
        </w:rPr>
        <w:t xml:space="preserve">行业；承建（承接）企业为（企业名 称），从业人员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人，营业收入为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万元，资产总额为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万元，属于（中型企业、小型企业、微型企业）；</w:t>
      </w:r>
    </w:p>
    <w:p w14:paraId="30EE761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2.（标的名称），属于（采购文件中明确的所属行业）行业；承建（承接）企业为（企业名 称），从业人员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人，营业收入为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万元，资产总额为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万元，属于（中型企业、小型企业、微型企业）；</w:t>
      </w:r>
    </w:p>
    <w:p w14:paraId="0068E31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p w14:paraId="275770E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以上企业，不属于大企业的分支机构，不存在控股股东为大企业的情形，也不存在与大企业</w:t>
      </w:r>
    </w:p>
    <w:p w14:paraId="6B05D5D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的负责人为同一人的情形。</w:t>
      </w:r>
    </w:p>
    <w:p w14:paraId="236EF94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本企业对上述声明内容的真实性负责。如有虚假，将依法承担相应责任。</w:t>
      </w:r>
    </w:p>
    <w:p w14:paraId="757AF237">
      <w:pPr>
        <w:spacing w:line="360" w:lineRule="auto"/>
        <w:rPr>
          <w:rFonts w:hint="eastAsia" w:ascii="新宋体" w:hAnsi="新宋体" w:eastAsia="新宋体" w:cs="新宋体"/>
          <w:color w:val="auto"/>
          <w:sz w:val="24"/>
          <w:szCs w:val="24"/>
          <w:highlight w:val="none"/>
        </w:rPr>
      </w:pPr>
    </w:p>
    <w:p w14:paraId="78B31B03">
      <w:pPr>
        <w:spacing w:line="360" w:lineRule="auto"/>
        <w:rPr>
          <w:rFonts w:hint="eastAsia" w:ascii="新宋体" w:hAnsi="新宋体" w:eastAsia="新宋体" w:cs="新宋体"/>
          <w:color w:val="auto"/>
          <w:sz w:val="24"/>
          <w:szCs w:val="24"/>
          <w:highlight w:val="none"/>
        </w:rPr>
      </w:pPr>
    </w:p>
    <w:p w14:paraId="4028913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企业名称（盖章）：</w:t>
      </w:r>
    </w:p>
    <w:p w14:paraId="5AFD8A5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日期：</w:t>
      </w:r>
    </w:p>
    <w:p w14:paraId="268EB4D3">
      <w:pPr>
        <w:spacing w:line="360" w:lineRule="auto"/>
        <w:rPr>
          <w:rFonts w:hint="eastAsia" w:ascii="新宋体" w:hAnsi="新宋体" w:eastAsia="新宋体" w:cs="新宋体"/>
          <w:color w:val="auto"/>
          <w:sz w:val="24"/>
          <w:szCs w:val="24"/>
          <w:highlight w:val="none"/>
        </w:rPr>
      </w:pPr>
    </w:p>
    <w:p w14:paraId="1056F748">
      <w:pPr>
        <w:spacing w:line="360" w:lineRule="auto"/>
        <w:rPr>
          <w:rFonts w:hint="eastAsia" w:ascii="新宋体" w:hAnsi="新宋体" w:eastAsia="新宋体" w:cs="新宋体"/>
          <w:color w:val="auto"/>
          <w:sz w:val="24"/>
          <w:szCs w:val="24"/>
          <w:highlight w:val="none"/>
        </w:rPr>
      </w:pPr>
    </w:p>
    <w:p w14:paraId="00BF7ED4">
      <w:pPr>
        <w:spacing w:line="360" w:lineRule="auto"/>
        <w:rPr>
          <w:rFonts w:hint="eastAsia" w:ascii="新宋体" w:hAnsi="新宋体" w:eastAsia="新宋体" w:cs="新宋体"/>
          <w:color w:val="auto"/>
          <w:sz w:val="24"/>
          <w:szCs w:val="24"/>
          <w:highlight w:val="none"/>
        </w:rPr>
      </w:pPr>
    </w:p>
    <w:p w14:paraId="79A6F3BC">
      <w:pPr>
        <w:spacing w:line="360" w:lineRule="auto"/>
        <w:rPr>
          <w:rFonts w:hint="eastAsia" w:ascii="新宋体" w:hAnsi="新宋体" w:eastAsia="新宋体" w:cs="新宋体"/>
          <w:color w:val="auto"/>
          <w:sz w:val="24"/>
          <w:szCs w:val="24"/>
          <w:highlight w:val="none"/>
        </w:rPr>
      </w:pPr>
    </w:p>
    <w:p w14:paraId="1F873BD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注：请根据自己的真实情况出具《中小企业声明函》 。依法享受中小企业优惠政策的，采购人或</w:t>
      </w:r>
    </w:p>
    <w:p w14:paraId="33610993">
      <w:pPr>
        <w:spacing w:line="360" w:lineRule="auto"/>
        <w:rPr>
          <w:rFonts w:ascii="宋体" w:hAnsi="宋体" w:eastAsia="宋体" w:cs="宋体"/>
          <w:color w:val="auto"/>
          <w:sz w:val="20"/>
          <w:szCs w:val="20"/>
          <w:highlight w:val="none"/>
        </w:rPr>
      </w:pPr>
      <w:r>
        <w:rPr>
          <w:rFonts w:hint="eastAsia" w:ascii="新宋体" w:hAnsi="新宋体" w:eastAsia="新宋体" w:cs="新宋体"/>
          <w:color w:val="auto"/>
          <w:sz w:val="24"/>
          <w:szCs w:val="24"/>
          <w:highlight w:val="none"/>
        </w:rPr>
        <w:t>者采购代理机构在公告成交结果时，同时公告其《中小企业声明函》，接受社会监督。</w:t>
      </w:r>
    </w:p>
    <w:p w14:paraId="42ABBF37">
      <w:pPr>
        <w:spacing w:line="226" w:lineRule="auto"/>
        <w:rPr>
          <w:rFonts w:ascii="宋体" w:hAnsi="宋体" w:eastAsia="宋体" w:cs="宋体"/>
          <w:color w:val="auto"/>
          <w:sz w:val="20"/>
          <w:szCs w:val="20"/>
          <w:highlight w:val="none"/>
        </w:rPr>
        <w:sectPr>
          <w:footerReference r:id="rId23" w:type="default"/>
          <w:pgSz w:w="11905" w:h="16838"/>
          <w:pgMar w:top="1134" w:right="1134" w:bottom="1134" w:left="1134" w:header="0" w:footer="992" w:gutter="0"/>
          <w:pgNumType w:fmt="decimal"/>
          <w:cols w:space="0" w:num="1"/>
          <w:rtlGutter w:val="0"/>
          <w:docGrid w:linePitch="0" w:charSpace="0"/>
        </w:sectPr>
      </w:pPr>
    </w:p>
    <w:p w14:paraId="2CBF6784">
      <w:pPr>
        <w:pStyle w:val="8"/>
        <w:spacing w:line="322" w:lineRule="auto"/>
        <w:rPr>
          <w:color w:val="auto"/>
          <w:highlight w:val="none"/>
        </w:rPr>
      </w:pPr>
    </w:p>
    <w:p w14:paraId="094EA426">
      <w:pPr>
        <w:pStyle w:val="8"/>
        <w:spacing w:line="322" w:lineRule="auto"/>
        <w:rPr>
          <w:color w:val="auto"/>
          <w:highlight w:val="none"/>
        </w:rPr>
      </w:pPr>
    </w:p>
    <w:p w14:paraId="48C1D26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w:t>
      </w:r>
    </w:p>
    <w:p w14:paraId="6E02EE46">
      <w:pPr>
        <w:spacing w:line="360" w:lineRule="auto"/>
        <w:rPr>
          <w:rFonts w:hint="eastAsia" w:ascii="宋体" w:hAnsi="宋体" w:eastAsia="宋体" w:cs="宋体"/>
          <w:color w:val="auto"/>
          <w:sz w:val="24"/>
          <w:szCs w:val="24"/>
          <w:highlight w:val="none"/>
        </w:rPr>
      </w:pPr>
    </w:p>
    <w:p w14:paraId="55E5F029">
      <w:pPr>
        <w:spacing w:line="360" w:lineRule="auto"/>
        <w:rPr>
          <w:rFonts w:hint="eastAsia" w:ascii="宋体" w:hAnsi="宋体" w:eastAsia="宋体" w:cs="宋体"/>
          <w:color w:val="auto"/>
          <w:sz w:val="24"/>
          <w:szCs w:val="24"/>
          <w:highlight w:val="none"/>
        </w:rPr>
      </w:pPr>
    </w:p>
    <w:p w14:paraId="1922ED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本单位郑重声明，根据《财政部 民政部 中国残疾人联合会关于促进残疾人就业政府采购政 策的通知》（财库〔2017〕141 号）的规定，本单位为符合条件的残疾人福利性单位，且本单位参加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项目采购活动由本单位承担工程提供服务。</w:t>
      </w:r>
    </w:p>
    <w:p w14:paraId="34E1DC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80767E7">
      <w:pPr>
        <w:spacing w:line="360" w:lineRule="auto"/>
        <w:rPr>
          <w:rFonts w:hint="eastAsia" w:ascii="宋体" w:hAnsi="宋体" w:eastAsia="宋体" w:cs="宋体"/>
          <w:color w:val="auto"/>
          <w:sz w:val="24"/>
          <w:szCs w:val="24"/>
          <w:highlight w:val="none"/>
        </w:rPr>
      </w:pPr>
    </w:p>
    <w:p w14:paraId="77424481">
      <w:pPr>
        <w:spacing w:line="360" w:lineRule="auto"/>
        <w:rPr>
          <w:rFonts w:hint="eastAsia" w:ascii="宋体" w:hAnsi="宋体" w:eastAsia="宋体" w:cs="宋体"/>
          <w:color w:val="auto"/>
          <w:sz w:val="24"/>
          <w:szCs w:val="24"/>
          <w:highlight w:val="none"/>
        </w:rPr>
      </w:pPr>
    </w:p>
    <w:p w14:paraId="2FA16B4D">
      <w:pPr>
        <w:spacing w:line="360" w:lineRule="auto"/>
        <w:rPr>
          <w:rFonts w:hint="eastAsia" w:ascii="宋体" w:hAnsi="宋体" w:eastAsia="宋体" w:cs="宋体"/>
          <w:color w:val="auto"/>
          <w:sz w:val="24"/>
          <w:szCs w:val="24"/>
          <w:highlight w:val="none"/>
        </w:rPr>
      </w:pPr>
    </w:p>
    <w:p w14:paraId="2012EEEB">
      <w:pPr>
        <w:spacing w:line="360" w:lineRule="auto"/>
        <w:rPr>
          <w:rFonts w:hint="eastAsia" w:ascii="宋体" w:hAnsi="宋体" w:eastAsia="宋体" w:cs="宋体"/>
          <w:color w:val="auto"/>
          <w:sz w:val="24"/>
          <w:szCs w:val="24"/>
          <w:highlight w:val="none"/>
        </w:rPr>
      </w:pPr>
    </w:p>
    <w:p w14:paraId="29433C7E">
      <w:pPr>
        <w:spacing w:line="360" w:lineRule="auto"/>
        <w:rPr>
          <w:rFonts w:hint="eastAsia" w:ascii="宋体" w:hAnsi="宋体" w:eastAsia="宋体" w:cs="宋体"/>
          <w:color w:val="auto"/>
          <w:sz w:val="24"/>
          <w:szCs w:val="24"/>
          <w:highlight w:val="none"/>
        </w:rPr>
      </w:pPr>
    </w:p>
    <w:p w14:paraId="61B2C823">
      <w:pPr>
        <w:spacing w:line="360" w:lineRule="auto"/>
        <w:rPr>
          <w:rFonts w:hint="eastAsia" w:ascii="宋体" w:hAnsi="宋体" w:eastAsia="宋体" w:cs="宋体"/>
          <w:color w:val="auto"/>
          <w:sz w:val="24"/>
          <w:szCs w:val="24"/>
          <w:highlight w:val="none"/>
        </w:rPr>
      </w:pPr>
    </w:p>
    <w:p w14:paraId="746D2954">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3F0B14C1">
      <w:pPr>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9DBA72F">
      <w:pPr>
        <w:spacing w:line="360" w:lineRule="auto"/>
        <w:rPr>
          <w:rFonts w:hint="eastAsia" w:ascii="宋体" w:hAnsi="宋体" w:eastAsia="宋体" w:cs="宋体"/>
          <w:color w:val="auto"/>
          <w:sz w:val="24"/>
          <w:szCs w:val="24"/>
          <w:highlight w:val="none"/>
        </w:rPr>
      </w:pPr>
    </w:p>
    <w:p w14:paraId="21B23F5A">
      <w:pPr>
        <w:spacing w:line="360" w:lineRule="auto"/>
        <w:rPr>
          <w:rFonts w:hint="eastAsia" w:ascii="宋体" w:hAnsi="宋体" w:eastAsia="宋体" w:cs="宋体"/>
          <w:color w:val="auto"/>
          <w:sz w:val="24"/>
          <w:szCs w:val="24"/>
          <w:highlight w:val="none"/>
        </w:rPr>
      </w:pPr>
    </w:p>
    <w:p w14:paraId="7D21043D">
      <w:pPr>
        <w:pStyle w:val="8"/>
        <w:spacing w:line="267" w:lineRule="auto"/>
        <w:rPr>
          <w:color w:val="auto"/>
          <w:highlight w:val="none"/>
        </w:rPr>
      </w:pPr>
    </w:p>
    <w:p w14:paraId="46F6D2C6">
      <w:pPr>
        <w:pStyle w:val="8"/>
        <w:spacing w:line="268" w:lineRule="auto"/>
        <w:rPr>
          <w:color w:val="auto"/>
          <w:highlight w:val="none"/>
        </w:rPr>
      </w:pPr>
    </w:p>
    <w:p w14:paraId="4EE24602">
      <w:pPr>
        <w:pStyle w:val="8"/>
        <w:spacing w:line="268" w:lineRule="auto"/>
        <w:rPr>
          <w:color w:val="auto"/>
          <w:highlight w:val="none"/>
        </w:rPr>
      </w:pPr>
    </w:p>
    <w:p w14:paraId="63F3CD81">
      <w:pPr>
        <w:pStyle w:val="8"/>
        <w:spacing w:line="268" w:lineRule="auto"/>
        <w:rPr>
          <w:color w:val="auto"/>
          <w:highlight w:val="none"/>
        </w:rPr>
      </w:pPr>
    </w:p>
    <w:p w14:paraId="2EE17C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 。依法享受中小企业优惠政策的， 采购人或者采购代理机构在公告成交结果时，同时公告其《残疾人福利性单位声明函》，接受社 会监督。</w:t>
      </w:r>
    </w:p>
    <w:p w14:paraId="1F235F23">
      <w:pPr>
        <w:spacing w:line="360" w:lineRule="auto"/>
        <w:rPr>
          <w:rFonts w:hint="eastAsia" w:ascii="宋体" w:hAnsi="宋体" w:eastAsia="宋体" w:cs="宋体"/>
          <w:color w:val="auto"/>
          <w:sz w:val="24"/>
          <w:szCs w:val="24"/>
          <w:highlight w:val="none"/>
        </w:rPr>
      </w:pPr>
    </w:p>
    <w:p w14:paraId="26F880C4">
      <w:pPr>
        <w:spacing w:line="360" w:lineRule="auto"/>
        <w:rPr>
          <w:rFonts w:hint="eastAsia" w:ascii="宋体" w:hAnsi="宋体" w:eastAsia="宋体" w:cs="宋体"/>
          <w:color w:val="auto"/>
          <w:sz w:val="24"/>
          <w:szCs w:val="24"/>
          <w:highlight w:val="none"/>
        </w:rPr>
      </w:pPr>
    </w:p>
    <w:p w14:paraId="6B7E14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监狱企业须提供最新一期《XX 省监狱企业目录》或其他监狱企业证明材料。（非监狱企业无需提</w:t>
      </w:r>
    </w:p>
    <w:p w14:paraId="2F93C2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p>
    <w:p w14:paraId="36039592">
      <w:pPr>
        <w:spacing w:line="227" w:lineRule="auto"/>
        <w:rPr>
          <w:rFonts w:ascii="宋体" w:hAnsi="宋体" w:eastAsia="宋体" w:cs="宋体"/>
          <w:color w:val="auto"/>
          <w:sz w:val="20"/>
          <w:szCs w:val="20"/>
          <w:highlight w:val="none"/>
        </w:rPr>
        <w:sectPr>
          <w:footerReference r:id="rId24" w:type="default"/>
          <w:pgSz w:w="11905" w:h="16838"/>
          <w:pgMar w:top="1134" w:right="1134" w:bottom="1134" w:left="1134" w:header="0" w:footer="992" w:gutter="0"/>
          <w:pgNumType w:fmt="decimal"/>
          <w:cols w:space="0" w:num="1"/>
          <w:rtlGutter w:val="0"/>
          <w:docGrid w:linePitch="0" w:charSpace="0"/>
        </w:sectPr>
      </w:pPr>
    </w:p>
    <w:p w14:paraId="14F7F264">
      <w:pPr>
        <w:pStyle w:val="8"/>
        <w:spacing w:line="270" w:lineRule="auto"/>
        <w:rPr>
          <w:color w:val="auto"/>
          <w:highlight w:val="none"/>
        </w:rPr>
      </w:pPr>
    </w:p>
    <w:p w14:paraId="53B38208">
      <w:pPr>
        <w:pStyle w:val="8"/>
        <w:spacing w:line="271" w:lineRule="auto"/>
        <w:rPr>
          <w:color w:val="auto"/>
          <w:highlight w:val="none"/>
        </w:rPr>
      </w:pPr>
    </w:p>
    <w:p w14:paraId="15BB3D68">
      <w:pPr>
        <w:spacing w:before="65" w:line="227" w:lineRule="auto"/>
        <w:ind w:left="25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(8)满足供应商特定资格条件的其他证明材料</w:t>
      </w:r>
      <w:r>
        <w:rPr>
          <w:rFonts w:ascii="宋体" w:hAnsi="宋体" w:eastAsia="宋体" w:cs="宋体"/>
          <w:color w:val="auto"/>
          <w:spacing w:val="8"/>
          <w:sz w:val="24"/>
          <w:szCs w:val="24"/>
          <w:highlight w:val="none"/>
          <w14:textOutline w14:w="3795" w14:cap="sq" w14:cmpd="sng">
            <w14:solidFill>
              <w14:srgbClr w14:val="000000"/>
            </w14:solidFill>
            <w14:prstDash w14:val="solid"/>
            <w14:bevel/>
          </w14:textOutline>
        </w:rPr>
        <w:t>（如磋商文件有要求时提供）</w:t>
      </w:r>
    </w:p>
    <w:p w14:paraId="0C462024">
      <w:pPr>
        <w:pStyle w:val="8"/>
        <w:spacing w:line="470" w:lineRule="auto"/>
        <w:rPr>
          <w:color w:val="auto"/>
          <w:sz w:val="24"/>
          <w:szCs w:val="24"/>
          <w:highlight w:val="none"/>
        </w:rPr>
      </w:pPr>
    </w:p>
    <w:p w14:paraId="5ED9B775">
      <w:pPr>
        <w:spacing w:before="65" w:line="227" w:lineRule="auto"/>
        <w:ind w:left="23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1)有效的企业资质证书副本、有效的生产许可证复印件加盖供应商单位</w:t>
      </w:r>
      <w:r>
        <w:rPr>
          <w:rFonts w:ascii="宋体" w:hAnsi="宋体" w:eastAsia="宋体" w:cs="宋体"/>
          <w:color w:val="auto"/>
          <w:spacing w:val="8"/>
          <w:sz w:val="24"/>
          <w:szCs w:val="24"/>
          <w:highlight w:val="none"/>
        </w:rPr>
        <w:t>公章</w:t>
      </w:r>
    </w:p>
    <w:p w14:paraId="3A6067B6">
      <w:pPr>
        <w:spacing w:before="62" w:line="227" w:lineRule="auto"/>
        <w:ind w:left="21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2）项目经理简历表</w:t>
      </w:r>
    </w:p>
    <w:p w14:paraId="75D2C466">
      <w:pPr>
        <w:spacing w:line="41" w:lineRule="auto"/>
        <w:rPr>
          <w:rFonts w:ascii="Arial"/>
          <w:color w:val="auto"/>
          <w:sz w:val="2"/>
          <w:highlight w:val="none"/>
        </w:rPr>
      </w:pPr>
    </w:p>
    <w:tbl>
      <w:tblPr>
        <w:tblStyle w:val="22"/>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1CAC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F04F081">
            <w:pPr>
              <w:pStyle w:val="23"/>
              <w:spacing w:before="199" w:line="228" w:lineRule="auto"/>
              <w:ind w:left="339"/>
              <w:rPr>
                <w:color w:val="auto"/>
                <w:sz w:val="24"/>
                <w:szCs w:val="24"/>
                <w:highlight w:val="none"/>
              </w:rPr>
            </w:pPr>
            <w:r>
              <w:rPr>
                <w:color w:val="auto"/>
                <w:spacing w:val="4"/>
                <w:sz w:val="24"/>
                <w:szCs w:val="24"/>
                <w:highlight w:val="none"/>
              </w:rPr>
              <w:t>姓名</w:t>
            </w:r>
          </w:p>
        </w:tc>
        <w:tc>
          <w:tcPr>
            <w:tcW w:w="2339" w:type="dxa"/>
            <w:gridSpan w:val="3"/>
            <w:vAlign w:val="top"/>
          </w:tcPr>
          <w:p w14:paraId="2EB96390">
            <w:pPr>
              <w:rPr>
                <w:rFonts w:ascii="Arial"/>
                <w:color w:val="auto"/>
                <w:sz w:val="24"/>
                <w:szCs w:val="24"/>
                <w:highlight w:val="none"/>
              </w:rPr>
            </w:pPr>
          </w:p>
        </w:tc>
        <w:tc>
          <w:tcPr>
            <w:tcW w:w="1892" w:type="dxa"/>
            <w:gridSpan w:val="2"/>
            <w:vAlign w:val="top"/>
          </w:tcPr>
          <w:p w14:paraId="061E59D6">
            <w:pPr>
              <w:pStyle w:val="23"/>
              <w:spacing w:before="200" w:line="228" w:lineRule="auto"/>
              <w:ind w:left="744"/>
              <w:rPr>
                <w:color w:val="auto"/>
                <w:sz w:val="24"/>
                <w:szCs w:val="24"/>
                <w:highlight w:val="none"/>
              </w:rPr>
            </w:pPr>
            <w:r>
              <w:rPr>
                <w:color w:val="auto"/>
                <w:spacing w:val="3"/>
                <w:sz w:val="24"/>
                <w:szCs w:val="24"/>
                <w:highlight w:val="none"/>
              </w:rPr>
              <w:t>性别</w:t>
            </w:r>
          </w:p>
        </w:tc>
        <w:tc>
          <w:tcPr>
            <w:tcW w:w="1584" w:type="dxa"/>
            <w:gridSpan w:val="2"/>
            <w:vAlign w:val="top"/>
          </w:tcPr>
          <w:p w14:paraId="02E82BA9">
            <w:pPr>
              <w:rPr>
                <w:rFonts w:ascii="Arial"/>
                <w:color w:val="auto"/>
                <w:sz w:val="24"/>
                <w:szCs w:val="24"/>
                <w:highlight w:val="none"/>
              </w:rPr>
            </w:pPr>
          </w:p>
        </w:tc>
        <w:tc>
          <w:tcPr>
            <w:tcW w:w="1107" w:type="dxa"/>
            <w:gridSpan w:val="2"/>
            <w:vAlign w:val="top"/>
          </w:tcPr>
          <w:p w14:paraId="6C3D1AFE">
            <w:pPr>
              <w:pStyle w:val="23"/>
              <w:spacing w:before="199" w:line="228" w:lineRule="auto"/>
              <w:ind w:left="350"/>
              <w:rPr>
                <w:color w:val="auto"/>
                <w:sz w:val="24"/>
                <w:szCs w:val="24"/>
                <w:highlight w:val="none"/>
              </w:rPr>
            </w:pPr>
            <w:r>
              <w:rPr>
                <w:color w:val="auto"/>
                <w:spacing w:val="4"/>
                <w:sz w:val="24"/>
                <w:szCs w:val="24"/>
                <w:highlight w:val="none"/>
              </w:rPr>
              <w:t>年龄</w:t>
            </w:r>
          </w:p>
        </w:tc>
        <w:tc>
          <w:tcPr>
            <w:tcW w:w="1280" w:type="dxa"/>
            <w:vAlign w:val="top"/>
          </w:tcPr>
          <w:p w14:paraId="31B4AC6A">
            <w:pPr>
              <w:rPr>
                <w:rFonts w:ascii="Arial"/>
                <w:color w:val="auto"/>
                <w:sz w:val="24"/>
                <w:szCs w:val="24"/>
                <w:highlight w:val="none"/>
              </w:rPr>
            </w:pPr>
          </w:p>
        </w:tc>
      </w:tr>
      <w:tr w14:paraId="67531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380F724">
            <w:pPr>
              <w:pStyle w:val="23"/>
              <w:spacing w:before="206" w:line="228" w:lineRule="auto"/>
              <w:ind w:left="340"/>
              <w:rPr>
                <w:color w:val="auto"/>
                <w:sz w:val="24"/>
                <w:szCs w:val="24"/>
                <w:highlight w:val="none"/>
              </w:rPr>
            </w:pPr>
            <w:r>
              <w:rPr>
                <w:color w:val="auto"/>
                <w:spacing w:val="4"/>
                <w:sz w:val="24"/>
                <w:szCs w:val="24"/>
                <w:highlight w:val="none"/>
              </w:rPr>
              <w:t>职务</w:t>
            </w:r>
          </w:p>
        </w:tc>
        <w:tc>
          <w:tcPr>
            <w:tcW w:w="2339" w:type="dxa"/>
            <w:gridSpan w:val="3"/>
            <w:vAlign w:val="top"/>
          </w:tcPr>
          <w:p w14:paraId="7266E1BA">
            <w:pPr>
              <w:rPr>
                <w:rFonts w:ascii="Arial"/>
                <w:color w:val="auto"/>
                <w:sz w:val="24"/>
                <w:szCs w:val="24"/>
                <w:highlight w:val="none"/>
              </w:rPr>
            </w:pPr>
          </w:p>
        </w:tc>
        <w:tc>
          <w:tcPr>
            <w:tcW w:w="1892" w:type="dxa"/>
            <w:gridSpan w:val="2"/>
            <w:vAlign w:val="top"/>
          </w:tcPr>
          <w:p w14:paraId="57B21B19">
            <w:pPr>
              <w:pStyle w:val="23"/>
              <w:spacing w:before="207" w:line="230" w:lineRule="auto"/>
              <w:ind w:left="742"/>
              <w:rPr>
                <w:color w:val="auto"/>
                <w:sz w:val="24"/>
                <w:szCs w:val="24"/>
                <w:highlight w:val="none"/>
              </w:rPr>
            </w:pPr>
            <w:r>
              <w:rPr>
                <w:color w:val="auto"/>
                <w:spacing w:val="4"/>
                <w:sz w:val="24"/>
                <w:szCs w:val="24"/>
                <w:highlight w:val="none"/>
              </w:rPr>
              <w:t>职称</w:t>
            </w:r>
          </w:p>
        </w:tc>
        <w:tc>
          <w:tcPr>
            <w:tcW w:w="1584" w:type="dxa"/>
            <w:gridSpan w:val="2"/>
            <w:vAlign w:val="top"/>
          </w:tcPr>
          <w:p w14:paraId="1118A2C3">
            <w:pPr>
              <w:rPr>
                <w:rFonts w:ascii="Arial"/>
                <w:color w:val="auto"/>
                <w:sz w:val="24"/>
                <w:szCs w:val="24"/>
                <w:highlight w:val="none"/>
              </w:rPr>
            </w:pPr>
          </w:p>
        </w:tc>
        <w:tc>
          <w:tcPr>
            <w:tcW w:w="1107" w:type="dxa"/>
            <w:gridSpan w:val="2"/>
            <w:vAlign w:val="top"/>
          </w:tcPr>
          <w:p w14:paraId="27BCD2A9">
            <w:pPr>
              <w:pStyle w:val="23"/>
              <w:spacing w:before="207" w:line="229" w:lineRule="auto"/>
              <w:ind w:left="354"/>
              <w:rPr>
                <w:color w:val="auto"/>
                <w:sz w:val="24"/>
                <w:szCs w:val="24"/>
                <w:highlight w:val="none"/>
              </w:rPr>
            </w:pPr>
            <w:r>
              <w:rPr>
                <w:color w:val="auto"/>
                <w:spacing w:val="2"/>
                <w:sz w:val="24"/>
                <w:szCs w:val="24"/>
                <w:highlight w:val="none"/>
              </w:rPr>
              <w:t>学历</w:t>
            </w:r>
          </w:p>
        </w:tc>
        <w:tc>
          <w:tcPr>
            <w:tcW w:w="1280" w:type="dxa"/>
            <w:vAlign w:val="top"/>
          </w:tcPr>
          <w:p w14:paraId="1CD51AAF">
            <w:pPr>
              <w:rPr>
                <w:rFonts w:ascii="Arial"/>
                <w:color w:val="auto"/>
                <w:sz w:val="24"/>
                <w:szCs w:val="24"/>
                <w:highlight w:val="none"/>
              </w:rPr>
            </w:pPr>
          </w:p>
        </w:tc>
      </w:tr>
      <w:tr w14:paraId="00DC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2E0522BC">
            <w:pPr>
              <w:pStyle w:val="23"/>
              <w:spacing w:before="197" w:line="228" w:lineRule="auto"/>
              <w:ind w:left="1090"/>
              <w:rPr>
                <w:color w:val="auto"/>
                <w:sz w:val="24"/>
                <w:szCs w:val="24"/>
                <w:highlight w:val="none"/>
              </w:rPr>
            </w:pPr>
            <w:r>
              <w:rPr>
                <w:color w:val="auto"/>
                <w:spacing w:val="7"/>
                <w:sz w:val="24"/>
                <w:szCs w:val="24"/>
                <w:highlight w:val="none"/>
              </w:rPr>
              <w:t>参加工作时间</w:t>
            </w:r>
          </w:p>
        </w:tc>
        <w:tc>
          <w:tcPr>
            <w:tcW w:w="1892" w:type="dxa"/>
            <w:gridSpan w:val="2"/>
            <w:vAlign w:val="top"/>
          </w:tcPr>
          <w:p w14:paraId="1E4BEFD8">
            <w:pPr>
              <w:rPr>
                <w:rFonts w:ascii="Arial"/>
                <w:color w:val="auto"/>
                <w:sz w:val="24"/>
                <w:szCs w:val="24"/>
                <w:highlight w:val="none"/>
              </w:rPr>
            </w:pPr>
          </w:p>
        </w:tc>
        <w:tc>
          <w:tcPr>
            <w:tcW w:w="2691" w:type="dxa"/>
            <w:gridSpan w:val="4"/>
            <w:vAlign w:val="top"/>
          </w:tcPr>
          <w:p w14:paraId="47617199">
            <w:pPr>
              <w:pStyle w:val="23"/>
              <w:spacing w:before="196" w:line="228" w:lineRule="auto"/>
              <w:ind w:left="511"/>
              <w:rPr>
                <w:color w:val="auto"/>
                <w:sz w:val="24"/>
                <w:szCs w:val="24"/>
                <w:highlight w:val="none"/>
              </w:rPr>
            </w:pPr>
            <w:r>
              <w:rPr>
                <w:color w:val="auto"/>
                <w:spacing w:val="8"/>
                <w:sz w:val="24"/>
                <w:szCs w:val="24"/>
                <w:highlight w:val="none"/>
              </w:rPr>
              <w:t>担任项目经理年限</w:t>
            </w:r>
          </w:p>
        </w:tc>
        <w:tc>
          <w:tcPr>
            <w:tcW w:w="1280" w:type="dxa"/>
            <w:vAlign w:val="top"/>
          </w:tcPr>
          <w:p w14:paraId="4BBAF79A">
            <w:pPr>
              <w:rPr>
                <w:rFonts w:ascii="Arial"/>
                <w:color w:val="auto"/>
                <w:sz w:val="24"/>
                <w:szCs w:val="24"/>
                <w:highlight w:val="none"/>
              </w:rPr>
            </w:pPr>
          </w:p>
        </w:tc>
      </w:tr>
      <w:tr w14:paraId="6ABA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A58EEEA">
            <w:pPr>
              <w:pStyle w:val="23"/>
              <w:spacing w:before="132" w:line="228" w:lineRule="auto"/>
              <w:ind w:left="985"/>
              <w:rPr>
                <w:color w:val="auto"/>
                <w:sz w:val="24"/>
                <w:szCs w:val="24"/>
                <w:highlight w:val="none"/>
              </w:rPr>
            </w:pPr>
            <w:r>
              <w:rPr>
                <w:color w:val="auto"/>
                <w:spacing w:val="8"/>
                <w:sz w:val="24"/>
                <w:szCs w:val="24"/>
                <w:highlight w:val="none"/>
              </w:rPr>
              <w:t>建造师注册编号</w:t>
            </w:r>
          </w:p>
        </w:tc>
        <w:tc>
          <w:tcPr>
            <w:tcW w:w="5863" w:type="dxa"/>
            <w:gridSpan w:val="7"/>
            <w:vAlign w:val="top"/>
          </w:tcPr>
          <w:p w14:paraId="5519474B">
            <w:pPr>
              <w:rPr>
                <w:rFonts w:ascii="Arial"/>
                <w:color w:val="auto"/>
                <w:sz w:val="24"/>
                <w:szCs w:val="24"/>
                <w:highlight w:val="none"/>
              </w:rPr>
            </w:pPr>
          </w:p>
        </w:tc>
      </w:tr>
      <w:tr w14:paraId="4B31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3890989">
            <w:pPr>
              <w:pStyle w:val="23"/>
              <w:spacing w:before="131" w:line="228" w:lineRule="auto"/>
              <w:ind w:left="983"/>
              <w:rPr>
                <w:color w:val="auto"/>
                <w:sz w:val="24"/>
                <w:szCs w:val="24"/>
                <w:highlight w:val="none"/>
              </w:rPr>
            </w:pPr>
            <w:r>
              <w:rPr>
                <w:color w:val="auto"/>
                <w:spacing w:val="8"/>
                <w:sz w:val="24"/>
                <w:szCs w:val="24"/>
                <w:highlight w:val="none"/>
              </w:rPr>
              <w:t>注册专业、等级</w:t>
            </w:r>
          </w:p>
        </w:tc>
        <w:tc>
          <w:tcPr>
            <w:tcW w:w="5863" w:type="dxa"/>
            <w:gridSpan w:val="7"/>
            <w:vAlign w:val="top"/>
          </w:tcPr>
          <w:p w14:paraId="364B4079">
            <w:pPr>
              <w:rPr>
                <w:rFonts w:ascii="Arial"/>
                <w:color w:val="auto"/>
                <w:sz w:val="24"/>
                <w:szCs w:val="24"/>
                <w:highlight w:val="none"/>
              </w:rPr>
            </w:pPr>
          </w:p>
        </w:tc>
      </w:tr>
      <w:tr w14:paraId="2F54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991CD59">
            <w:pPr>
              <w:pStyle w:val="23"/>
              <w:spacing w:before="208" w:line="228" w:lineRule="auto"/>
              <w:ind w:left="3495"/>
              <w:rPr>
                <w:color w:val="auto"/>
                <w:sz w:val="24"/>
                <w:szCs w:val="24"/>
                <w:highlight w:val="none"/>
              </w:rPr>
            </w:pPr>
            <w:r>
              <w:rPr>
                <w:color w:val="auto"/>
                <w:spacing w:val="9"/>
                <w:sz w:val="24"/>
                <w:szCs w:val="24"/>
                <w:highlight w:val="none"/>
              </w:rPr>
              <w:t>在建和已完工程项目情况</w:t>
            </w:r>
          </w:p>
        </w:tc>
      </w:tr>
      <w:tr w14:paraId="37D8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06DC2025">
            <w:pPr>
              <w:pStyle w:val="23"/>
              <w:spacing w:before="199" w:line="228" w:lineRule="auto"/>
              <w:ind w:left="364"/>
              <w:rPr>
                <w:color w:val="auto"/>
                <w:sz w:val="24"/>
                <w:szCs w:val="24"/>
                <w:highlight w:val="none"/>
              </w:rPr>
            </w:pPr>
            <w:r>
              <w:rPr>
                <w:color w:val="auto"/>
                <w:spacing w:val="6"/>
                <w:sz w:val="24"/>
                <w:szCs w:val="24"/>
                <w:highlight w:val="none"/>
              </w:rPr>
              <w:t>建设单位</w:t>
            </w:r>
          </w:p>
        </w:tc>
        <w:tc>
          <w:tcPr>
            <w:tcW w:w="1547" w:type="dxa"/>
            <w:vAlign w:val="top"/>
          </w:tcPr>
          <w:p w14:paraId="6370B01D">
            <w:pPr>
              <w:pStyle w:val="23"/>
              <w:spacing w:before="199" w:line="228" w:lineRule="auto"/>
              <w:ind w:left="361"/>
              <w:rPr>
                <w:color w:val="auto"/>
                <w:sz w:val="24"/>
                <w:szCs w:val="24"/>
                <w:highlight w:val="none"/>
              </w:rPr>
            </w:pPr>
            <w:r>
              <w:rPr>
                <w:color w:val="auto"/>
                <w:spacing w:val="6"/>
                <w:sz w:val="24"/>
                <w:szCs w:val="24"/>
                <w:highlight w:val="none"/>
              </w:rPr>
              <w:t>项目名称</w:t>
            </w:r>
          </w:p>
        </w:tc>
        <w:tc>
          <w:tcPr>
            <w:tcW w:w="1546" w:type="dxa"/>
            <w:gridSpan w:val="2"/>
            <w:vAlign w:val="top"/>
          </w:tcPr>
          <w:p w14:paraId="22F0D912">
            <w:pPr>
              <w:pStyle w:val="23"/>
              <w:spacing w:before="198" w:line="228" w:lineRule="auto"/>
              <w:ind w:left="359"/>
              <w:rPr>
                <w:color w:val="auto"/>
                <w:sz w:val="24"/>
                <w:szCs w:val="24"/>
                <w:highlight w:val="none"/>
              </w:rPr>
            </w:pPr>
            <w:r>
              <w:rPr>
                <w:color w:val="auto"/>
                <w:spacing w:val="6"/>
                <w:sz w:val="24"/>
                <w:szCs w:val="24"/>
                <w:highlight w:val="none"/>
              </w:rPr>
              <w:t>建设规模</w:t>
            </w:r>
          </w:p>
        </w:tc>
        <w:tc>
          <w:tcPr>
            <w:tcW w:w="1547" w:type="dxa"/>
            <w:gridSpan w:val="2"/>
            <w:vAlign w:val="top"/>
          </w:tcPr>
          <w:p w14:paraId="6CEB3D58">
            <w:pPr>
              <w:pStyle w:val="23"/>
              <w:spacing w:before="198" w:line="228" w:lineRule="auto"/>
              <w:ind w:left="151"/>
              <w:rPr>
                <w:color w:val="auto"/>
                <w:sz w:val="24"/>
                <w:szCs w:val="24"/>
                <w:highlight w:val="none"/>
              </w:rPr>
            </w:pPr>
            <w:r>
              <w:rPr>
                <w:color w:val="auto"/>
                <w:spacing w:val="8"/>
                <w:sz w:val="24"/>
                <w:szCs w:val="24"/>
                <w:highlight w:val="none"/>
              </w:rPr>
              <w:t>开、竣工日期</w:t>
            </w:r>
          </w:p>
        </w:tc>
        <w:tc>
          <w:tcPr>
            <w:tcW w:w="1546" w:type="dxa"/>
            <w:gridSpan w:val="2"/>
            <w:vAlign w:val="top"/>
          </w:tcPr>
          <w:p w14:paraId="42DB1497">
            <w:pPr>
              <w:pStyle w:val="23"/>
              <w:spacing w:before="198" w:line="228" w:lineRule="auto"/>
              <w:ind w:left="253"/>
              <w:rPr>
                <w:color w:val="auto"/>
                <w:sz w:val="24"/>
                <w:szCs w:val="24"/>
                <w:highlight w:val="none"/>
              </w:rPr>
            </w:pPr>
            <w:r>
              <w:rPr>
                <w:color w:val="auto"/>
                <w:spacing w:val="8"/>
                <w:sz w:val="24"/>
                <w:szCs w:val="24"/>
                <w:highlight w:val="none"/>
              </w:rPr>
              <w:t>在建或已完</w:t>
            </w:r>
          </w:p>
        </w:tc>
        <w:tc>
          <w:tcPr>
            <w:tcW w:w="1552" w:type="dxa"/>
            <w:gridSpan w:val="2"/>
            <w:vAlign w:val="top"/>
          </w:tcPr>
          <w:p w14:paraId="788A65F6">
            <w:pPr>
              <w:pStyle w:val="23"/>
              <w:spacing w:before="199" w:line="228" w:lineRule="auto"/>
              <w:ind w:left="364"/>
              <w:rPr>
                <w:color w:val="auto"/>
                <w:sz w:val="24"/>
                <w:szCs w:val="24"/>
                <w:highlight w:val="none"/>
              </w:rPr>
            </w:pPr>
            <w:r>
              <w:rPr>
                <w:color w:val="auto"/>
                <w:spacing w:val="6"/>
                <w:sz w:val="24"/>
                <w:szCs w:val="24"/>
                <w:highlight w:val="none"/>
              </w:rPr>
              <w:t>工程质量</w:t>
            </w:r>
          </w:p>
        </w:tc>
      </w:tr>
      <w:tr w14:paraId="2F46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2610E79">
            <w:pPr>
              <w:rPr>
                <w:rFonts w:ascii="Arial"/>
                <w:color w:val="auto"/>
                <w:sz w:val="24"/>
                <w:szCs w:val="24"/>
                <w:highlight w:val="none"/>
              </w:rPr>
            </w:pPr>
          </w:p>
        </w:tc>
        <w:tc>
          <w:tcPr>
            <w:tcW w:w="1547" w:type="dxa"/>
            <w:vAlign w:val="top"/>
          </w:tcPr>
          <w:p w14:paraId="7A0D2488">
            <w:pPr>
              <w:rPr>
                <w:rFonts w:ascii="Arial"/>
                <w:color w:val="auto"/>
                <w:sz w:val="24"/>
                <w:szCs w:val="24"/>
                <w:highlight w:val="none"/>
              </w:rPr>
            </w:pPr>
          </w:p>
        </w:tc>
        <w:tc>
          <w:tcPr>
            <w:tcW w:w="1546" w:type="dxa"/>
            <w:gridSpan w:val="2"/>
            <w:vAlign w:val="top"/>
          </w:tcPr>
          <w:p w14:paraId="2CC9C731">
            <w:pPr>
              <w:rPr>
                <w:rFonts w:ascii="Arial"/>
                <w:color w:val="auto"/>
                <w:sz w:val="24"/>
                <w:szCs w:val="24"/>
                <w:highlight w:val="none"/>
              </w:rPr>
            </w:pPr>
          </w:p>
        </w:tc>
        <w:tc>
          <w:tcPr>
            <w:tcW w:w="1547" w:type="dxa"/>
            <w:gridSpan w:val="2"/>
            <w:vAlign w:val="top"/>
          </w:tcPr>
          <w:p w14:paraId="45905C6A">
            <w:pPr>
              <w:rPr>
                <w:rFonts w:ascii="Arial"/>
                <w:color w:val="auto"/>
                <w:sz w:val="24"/>
                <w:szCs w:val="24"/>
                <w:highlight w:val="none"/>
              </w:rPr>
            </w:pPr>
          </w:p>
        </w:tc>
        <w:tc>
          <w:tcPr>
            <w:tcW w:w="1546" w:type="dxa"/>
            <w:gridSpan w:val="2"/>
            <w:vAlign w:val="top"/>
          </w:tcPr>
          <w:p w14:paraId="74A267AF">
            <w:pPr>
              <w:rPr>
                <w:rFonts w:ascii="Arial"/>
                <w:color w:val="auto"/>
                <w:sz w:val="24"/>
                <w:szCs w:val="24"/>
                <w:highlight w:val="none"/>
              </w:rPr>
            </w:pPr>
          </w:p>
        </w:tc>
        <w:tc>
          <w:tcPr>
            <w:tcW w:w="1552" w:type="dxa"/>
            <w:gridSpan w:val="2"/>
            <w:vAlign w:val="top"/>
          </w:tcPr>
          <w:p w14:paraId="1DFC135E">
            <w:pPr>
              <w:rPr>
                <w:rFonts w:ascii="Arial"/>
                <w:color w:val="auto"/>
                <w:sz w:val="24"/>
                <w:szCs w:val="24"/>
                <w:highlight w:val="none"/>
              </w:rPr>
            </w:pPr>
          </w:p>
        </w:tc>
      </w:tr>
      <w:tr w14:paraId="1FE0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1BDFDB75">
            <w:pPr>
              <w:rPr>
                <w:rFonts w:ascii="Arial"/>
                <w:color w:val="auto"/>
                <w:sz w:val="24"/>
                <w:szCs w:val="24"/>
                <w:highlight w:val="none"/>
              </w:rPr>
            </w:pPr>
          </w:p>
        </w:tc>
        <w:tc>
          <w:tcPr>
            <w:tcW w:w="1547" w:type="dxa"/>
            <w:vAlign w:val="top"/>
          </w:tcPr>
          <w:p w14:paraId="4CCE1D3A">
            <w:pPr>
              <w:rPr>
                <w:rFonts w:ascii="Arial"/>
                <w:color w:val="auto"/>
                <w:sz w:val="24"/>
                <w:szCs w:val="24"/>
                <w:highlight w:val="none"/>
              </w:rPr>
            </w:pPr>
          </w:p>
        </w:tc>
        <w:tc>
          <w:tcPr>
            <w:tcW w:w="1546" w:type="dxa"/>
            <w:gridSpan w:val="2"/>
            <w:vAlign w:val="top"/>
          </w:tcPr>
          <w:p w14:paraId="4424CF52">
            <w:pPr>
              <w:rPr>
                <w:rFonts w:ascii="Arial"/>
                <w:color w:val="auto"/>
                <w:sz w:val="24"/>
                <w:szCs w:val="24"/>
                <w:highlight w:val="none"/>
              </w:rPr>
            </w:pPr>
          </w:p>
        </w:tc>
        <w:tc>
          <w:tcPr>
            <w:tcW w:w="1547" w:type="dxa"/>
            <w:gridSpan w:val="2"/>
            <w:vAlign w:val="top"/>
          </w:tcPr>
          <w:p w14:paraId="2E18B352">
            <w:pPr>
              <w:rPr>
                <w:rFonts w:ascii="Arial"/>
                <w:color w:val="auto"/>
                <w:sz w:val="24"/>
                <w:szCs w:val="24"/>
                <w:highlight w:val="none"/>
              </w:rPr>
            </w:pPr>
          </w:p>
        </w:tc>
        <w:tc>
          <w:tcPr>
            <w:tcW w:w="1546" w:type="dxa"/>
            <w:gridSpan w:val="2"/>
            <w:vAlign w:val="top"/>
          </w:tcPr>
          <w:p w14:paraId="564875C9">
            <w:pPr>
              <w:rPr>
                <w:rFonts w:ascii="Arial"/>
                <w:color w:val="auto"/>
                <w:sz w:val="24"/>
                <w:szCs w:val="24"/>
                <w:highlight w:val="none"/>
              </w:rPr>
            </w:pPr>
          </w:p>
        </w:tc>
        <w:tc>
          <w:tcPr>
            <w:tcW w:w="1552" w:type="dxa"/>
            <w:gridSpan w:val="2"/>
            <w:vAlign w:val="top"/>
          </w:tcPr>
          <w:p w14:paraId="35CA4B70">
            <w:pPr>
              <w:rPr>
                <w:rFonts w:ascii="Arial"/>
                <w:color w:val="auto"/>
                <w:sz w:val="24"/>
                <w:szCs w:val="24"/>
                <w:highlight w:val="none"/>
              </w:rPr>
            </w:pPr>
          </w:p>
        </w:tc>
      </w:tr>
      <w:tr w14:paraId="6E2A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51" w:type="dxa"/>
            <w:gridSpan w:val="2"/>
            <w:vAlign w:val="top"/>
          </w:tcPr>
          <w:p w14:paraId="1492592A">
            <w:pPr>
              <w:rPr>
                <w:rFonts w:ascii="Arial"/>
                <w:color w:val="auto"/>
                <w:sz w:val="24"/>
                <w:szCs w:val="24"/>
                <w:highlight w:val="none"/>
              </w:rPr>
            </w:pPr>
          </w:p>
        </w:tc>
        <w:tc>
          <w:tcPr>
            <w:tcW w:w="1547" w:type="dxa"/>
            <w:vAlign w:val="top"/>
          </w:tcPr>
          <w:p w14:paraId="47326C9B">
            <w:pPr>
              <w:rPr>
                <w:rFonts w:ascii="Arial"/>
                <w:color w:val="auto"/>
                <w:sz w:val="24"/>
                <w:szCs w:val="24"/>
                <w:highlight w:val="none"/>
              </w:rPr>
            </w:pPr>
          </w:p>
        </w:tc>
        <w:tc>
          <w:tcPr>
            <w:tcW w:w="1546" w:type="dxa"/>
            <w:gridSpan w:val="2"/>
            <w:vAlign w:val="top"/>
          </w:tcPr>
          <w:p w14:paraId="28203162">
            <w:pPr>
              <w:rPr>
                <w:rFonts w:ascii="Arial"/>
                <w:color w:val="auto"/>
                <w:sz w:val="24"/>
                <w:szCs w:val="24"/>
                <w:highlight w:val="none"/>
              </w:rPr>
            </w:pPr>
          </w:p>
        </w:tc>
        <w:tc>
          <w:tcPr>
            <w:tcW w:w="1547" w:type="dxa"/>
            <w:gridSpan w:val="2"/>
            <w:vAlign w:val="top"/>
          </w:tcPr>
          <w:p w14:paraId="2B6C2A0F">
            <w:pPr>
              <w:rPr>
                <w:rFonts w:ascii="Arial"/>
                <w:color w:val="auto"/>
                <w:sz w:val="24"/>
                <w:szCs w:val="24"/>
                <w:highlight w:val="none"/>
              </w:rPr>
            </w:pPr>
          </w:p>
        </w:tc>
        <w:tc>
          <w:tcPr>
            <w:tcW w:w="1546" w:type="dxa"/>
            <w:gridSpan w:val="2"/>
            <w:vAlign w:val="top"/>
          </w:tcPr>
          <w:p w14:paraId="55E4AE75">
            <w:pPr>
              <w:rPr>
                <w:rFonts w:ascii="Arial"/>
                <w:color w:val="auto"/>
                <w:sz w:val="24"/>
                <w:szCs w:val="24"/>
                <w:highlight w:val="none"/>
              </w:rPr>
            </w:pPr>
          </w:p>
        </w:tc>
        <w:tc>
          <w:tcPr>
            <w:tcW w:w="1552" w:type="dxa"/>
            <w:gridSpan w:val="2"/>
            <w:vAlign w:val="top"/>
          </w:tcPr>
          <w:p w14:paraId="043DB08D">
            <w:pPr>
              <w:rPr>
                <w:rFonts w:ascii="Arial"/>
                <w:color w:val="auto"/>
                <w:sz w:val="24"/>
                <w:szCs w:val="24"/>
                <w:highlight w:val="none"/>
              </w:rPr>
            </w:pPr>
          </w:p>
        </w:tc>
      </w:tr>
    </w:tbl>
    <w:p w14:paraId="38DFB98B">
      <w:pPr>
        <w:spacing w:before="50" w:line="268" w:lineRule="auto"/>
        <w:ind w:left="215" w:right="209" w:firstLine="2"/>
        <w:jc w:val="both"/>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备注：附项目经理注册建造师注册证书、安全生产考核合格证书（B</w:t>
      </w:r>
      <w:r>
        <w:rPr>
          <w:rFonts w:ascii="宋体" w:hAnsi="宋体" w:eastAsia="宋体" w:cs="宋体"/>
          <w:color w:val="auto"/>
          <w:spacing w:val="-38"/>
          <w:sz w:val="24"/>
          <w:szCs w:val="24"/>
          <w:highlight w:val="none"/>
        </w:rPr>
        <w:t xml:space="preserve"> </w:t>
      </w:r>
      <w:r>
        <w:rPr>
          <w:rFonts w:ascii="宋体" w:hAnsi="宋体" w:eastAsia="宋体" w:cs="宋体"/>
          <w:color w:val="auto"/>
          <w:spacing w:val="7"/>
          <w:sz w:val="24"/>
          <w:szCs w:val="24"/>
          <w:highlight w:val="none"/>
        </w:rPr>
        <w:t>证）、响应文件递交截止时间</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前</w:t>
      </w:r>
      <w:r>
        <w:rPr>
          <w:rFonts w:ascii="宋体" w:hAnsi="宋体" w:eastAsia="宋体" w:cs="宋体"/>
          <w:color w:val="auto"/>
          <w:spacing w:val="-35"/>
          <w:sz w:val="24"/>
          <w:szCs w:val="24"/>
          <w:highlight w:val="none"/>
        </w:rPr>
        <w:t xml:space="preserve"> </w:t>
      </w:r>
      <w:r>
        <w:rPr>
          <w:rFonts w:ascii="宋体" w:hAnsi="宋体" w:eastAsia="宋体" w:cs="宋体"/>
          <w:color w:val="auto"/>
          <w:spacing w:val="9"/>
          <w:sz w:val="24"/>
          <w:szCs w:val="24"/>
          <w:highlight w:val="none"/>
        </w:rPr>
        <w:t>6</w:t>
      </w:r>
      <w:r>
        <w:rPr>
          <w:rFonts w:ascii="宋体" w:hAnsi="宋体" w:eastAsia="宋体" w:cs="宋体"/>
          <w:color w:val="auto"/>
          <w:spacing w:val="-38"/>
          <w:sz w:val="24"/>
          <w:szCs w:val="24"/>
          <w:highlight w:val="none"/>
        </w:rPr>
        <w:t xml:space="preserve"> </w:t>
      </w:r>
      <w:r>
        <w:rPr>
          <w:rFonts w:ascii="宋体" w:hAnsi="宋体" w:eastAsia="宋体" w:cs="宋体"/>
          <w:color w:val="auto"/>
          <w:spacing w:val="9"/>
          <w:sz w:val="24"/>
          <w:szCs w:val="24"/>
          <w:highlight w:val="none"/>
        </w:rPr>
        <w:t>个月内任意</w:t>
      </w:r>
      <w:r>
        <w:rPr>
          <w:rFonts w:ascii="宋体" w:hAnsi="宋体" w:eastAsia="宋体" w:cs="宋体"/>
          <w:color w:val="auto"/>
          <w:spacing w:val="-31"/>
          <w:sz w:val="24"/>
          <w:szCs w:val="24"/>
          <w:highlight w:val="none"/>
        </w:rPr>
        <w:t xml:space="preserve"> </w:t>
      </w:r>
      <w:r>
        <w:rPr>
          <w:rFonts w:ascii="宋体" w:hAnsi="宋体" w:eastAsia="宋体" w:cs="宋体"/>
          <w:color w:val="auto"/>
          <w:spacing w:val="9"/>
          <w:sz w:val="24"/>
          <w:szCs w:val="24"/>
          <w:highlight w:val="none"/>
        </w:rPr>
        <w:t>3</w:t>
      </w:r>
      <w:r>
        <w:rPr>
          <w:rFonts w:ascii="宋体" w:hAnsi="宋体" w:eastAsia="宋体" w:cs="宋体"/>
          <w:color w:val="auto"/>
          <w:spacing w:val="-38"/>
          <w:sz w:val="24"/>
          <w:szCs w:val="24"/>
          <w:highlight w:val="none"/>
        </w:rPr>
        <w:t xml:space="preserve"> </w:t>
      </w:r>
      <w:r>
        <w:rPr>
          <w:rFonts w:ascii="宋体" w:hAnsi="宋体" w:eastAsia="宋体" w:cs="宋体"/>
          <w:color w:val="auto"/>
          <w:spacing w:val="9"/>
          <w:sz w:val="24"/>
          <w:szCs w:val="24"/>
          <w:highlight w:val="none"/>
        </w:rPr>
        <w:t>个月在现任职单位依法缴纳社会保险的凭证，</w:t>
      </w:r>
      <w:r>
        <w:rPr>
          <w:rFonts w:ascii="宋体" w:hAnsi="宋体" w:eastAsia="宋体" w:cs="宋体"/>
          <w:color w:val="auto"/>
          <w:spacing w:val="-59"/>
          <w:sz w:val="24"/>
          <w:szCs w:val="24"/>
          <w:highlight w:val="none"/>
        </w:rPr>
        <w:t xml:space="preserve"> </w:t>
      </w:r>
      <w:r>
        <w:rPr>
          <w:rFonts w:ascii="宋体" w:hAnsi="宋体" w:eastAsia="宋体" w:cs="宋体"/>
          <w:color w:val="auto"/>
          <w:spacing w:val="9"/>
          <w:sz w:val="24"/>
          <w:szCs w:val="24"/>
          <w:highlight w:val="none"/>
        </w:rPr>
        <w:t>以及供应商</w:t>
      </w:r>
      <w:r>
        <w:rPr>
          <w:rFonts w:ascii="宋体" w:hAnsi="宋体" w:eastAsia="宋体" w:cs="宋体"/>
          <w:color w:val="auto"/>
          <w:spacing w:val="8"/>
          <w:sz w:val="24"/>
          <w:szCs w:val="24"/>
          <w:highlight w:val="none"/>
        </w:rPr>
        <w:t>认为需要增加的其他</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证明材料复印件，</w:t>
      </w:r>
      <w:r>
        <w:rPr>
          <w:rFonts w:ascii="宋体" w:hAnsi="宋体" w:eastAsia="宋体" w:cs="宋体"/>
          <w:color w:val="auto"/>
          <w:spacing w:val="-49"/>
          <w:sz w:val="24"/>
          <w:szCs w:val="24"/>
          <w:highlight w:val="none"/>
        </w:rPr>
        <w:t xml:space="preserve"> </w:t>
      </w:r>
      <w:r>
        <w:rPr>
          <w:rFonts w:ascii="宋体" w:hAnsi="宋体" w:eastAsia="宋体" w:cs="宋体"/>
          <w:color w:val="auto"/>
          <w:spacing w:val="7"/>
          <w:sz w:val="24"/>
          <w:szCs w:val="24"/>
          <w:highlight w:val="none"/>
        </w:rPr>
        <w:t>以上复印件须加盖供应商单位公章。</w:t>
      </w:r>
    </w:p>
    <w:p w14:paraId="35401431">
      <w:pPr>
        <w:spacing w:line="268" w:lineRule="auto"/>
        <w:rPr>
          <w:rFonts w:ascii="宋体" w:hAnsi="宋体" w:eastAsia="宋体" w:cs="宋体"/>
          <w:color w:val="auto"/>
          <w:sz w:val="20"/>
          <w:szCs w:val="20"/>
          <w:highlight w:val="none"/>
        </w:rPr>
        <w:sectPr>
          <w:footerReference r:id="rId25" w:type="default"/>
          <w:pgSz w:w="11905" w:h="16838"/>
          <w:pgMar w:top="1134" w:right="1134" w:bottom="1134" w:left="1134" w:header="0" w:footer="992" w:gutter="0"/>
          <w:pgNumType w:fmt="decimal"/>
          <w:cols w:space="0" w:num="1"/>
          <w:rtlGutter w:val="0"/>
          <w:docGrid w:linePitch="0" w:charSpace="0"/>
        </w:sectPr>
      </w:pPr>
    </w:p>
    <w:p w14:paraId="7E53F42F">
      <w:pPr>
        <w:pStyle w:val="8"/>
        <w:spacing w:line="305" w:lineRule="auto"/>
        <w:rPr>
          <w:color w:val="auto"/>
          <w:highlight w:val="none"/>
        </w:rPr>
      </w:pPr>
    </w:p>
    <w:p w14:paraId="26A3C83C">
      <w:pPr>
        <w:spacing w:before="65" w:line="227" w:lineRule="auto"/>
        <w:ind w:left="25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3）项目管理机构其他人员配备情况表</w:t>
      </w:r>
    </w:p>
    <w:p w14:paraId="500BFA54">
      <w:pPr>
        <w:spacing w:line="14" w:lineRule="exact"/>
        <w:rPr>
          <w:color w:val="auto"/>
          <w:highlight w:val="none"/>
        </w:rPr>
      </w:pPr>
    </w:p>
    <w:tbl>
      <w:tblPr>
        <w:tblStyle w:val="22"/>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280"/>
      </w:tblGrid>
      <w:tr w14:paraId="693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14:paraId="5D04E879">
            <w:pPr>
              <w:spacing w:line="383" w:lineRule="auto"/>
              <w:rPr>
                <w:rFonts w:ascii="Arial"/>
                <w:color w:val="auto"/>
                <w:sz w:val="24"/>
                <w:szCs w:val="24"/>
                <w:highlight w:val="none"/>
              </w:rPr>
            </w:pPr>
          </w:p>
          <w:p w14:paraId="381C069B">
            <w:pPr>
              <w:pStyle w:val="23"/>
              <w:spacing w:before="65" w:line="228" w:lineRule="auto"/>
              <w:ind w:left="317"/>
              <w:rPr>
                <w:color w:val="auto"/>
                <w:sz w:val="24"/>
                <w:szCs w:val="24"/>
                <w:highlight w:val="none"/>
              </w:rPr>
            </w:pPr>
            <w:r>
              <w:rPr>
                <w:color w:val="auto"/>
                <w:spacing w:val="-7"/>
                <w:sz w:val="24"/>
                <w:szCs w:val="24"/>
                <w:highlight w:val="none"/>
              </w:rPr>
              <w:t>岗位</w:t>
            </w:r>
          </w:p>
        </w:tc>
        <w:tc>
          <w:tcPr>
            <w:tcW w:w="829" w:type="dxa"/>
            <w:vMerge w:val="restart"/>
            <w:tcBorders>
              <w:bottom w:val="nil"/>
            </w:tcBorders>
            <w:vAlign w:val="top"/>
          </w:tcPr>
          <w:p w14:paraId="7B6449E5">
            <w:pPr>
              <w:spacing w:line="382" w:lineRule="auto"/>
              <w:rPr>
                <w:rFonts w:ascii="Arial"/>
                <w:color w:val="auto"/>
                <w:sz w:val="24"/>
                <w:szCs w:val="24"/>
                <w:highlight w:val="none"/>
              </w:rPr>
            </w:pPr>
          </w:p>
          <w:p w14:paraId="4D5CCFD4">
            <w:pPr>
              <w:pStyle w:val="23"/>
              <w:spacing w:before="65" w:line="228" w:lineRule="auto"/>
              <w:ind w:left="206"/>
              <w:rPr>
                <w:color w:val="auto"/>
                <w:sz w:val="24"/>
                <w:szCs w:val="24"/>
                <w:highlight w:val="none"/>
              </w:rPr>
            </w:pPr>
            <w:r>
              <w:rPr>
                <w:color w:val="auto"/>
                <w:spacing w:val="4"/>
                <w:sz w:val="24"/>
                <w:szCs w:val="24"/>
                <w:highlight w:val="none"/>
              </w:rPr>
              <w:t>姓名</w:t>
            </w:r>
          </w:p>
        </w:tc>
        <w:tc>
          <w:tcPr>
            <w:tcW w:w="816" w:type="dxa"/>
            <w:vMerge w:val="restart"/>
            <w:tcBorders>
              <w:bottom w:val="nil"/>
            </w:tcBorders>
            <w:vAlign w:val="top"/>
          </w:tcPr>
          <w:p w14:paraId="3A6C6176">
            <w:pPr>
              <w:spacing w:line="382" w:lineRule="auto"/>
              <w:rPr>
                <w:rFonts w:ascii="Arial"/>
                <w:color w:val="auto"/>
                <w:sz w:val="24"/>
                <w:szCs w:val="24"/>
                <w:highlight w:val="none"/>
              </w:rPr>
            </w:pPr>
          </w:p>
          <w:p w14:paraId="7CD29A8A">
            <w:pPr>
              <w:pStyle w:val="23"/>
              <w:spacing w:before="65" w:line="230" w:lineRule="auto"/>
              <w:ind w:left="201"/>
              <w:rPr>
                <w:color w:val="auto"/>
                <w:sz w:val="24"/>
                <w:szCs w:val="24"/>
                <w:highlight w:val="none"/>
              </w:rPr>
            </w:pPr>
            <w:r>
              <w:rPr>
                <w:color w:val="auto"/>
                <w:spacing w:val="4"/>
                <w:sz w:val="24"/>
                <w:szCs w:val="24"/>
                <w:highlight w:val="none"/>
              </w:rPr>
              <w:t>职称</w:t>
            </w:r>
          </w:p>
        </w:tc>
        <w:tc>
          <w:tcPr>
            <w:tcW w:w="4588" w:type="dxa"/>
            <w:gridSpan w:val="4"/>
            <w:vAlign w:val="top"/>
          </w:tcPr>
          <w:p w14:paraId="0E4AD37F">
            <w:pPr>
              <w:pStyle w:val="23"/>
              <w:spacing w:before="132" w:line="228" w:lineRule="auto"/>
              <w:ind w:left="1355"/>
              <w:rPr>
                <w:color w:val="auto"/>
                <w:sz w:val="24"/>
                <w:szCs w:val="24"/>
                <w:highlight w:val="none"/>
              </w:rPr>
            </w:pPr>
            <w:r>
              <w:rPr>
                <w:color w:val="auto"/>
                <w:spacing w:val="8"/>
                <w:sz w:val="24"/>
                <w:szCs w:val="24"/>
                <w:highlight w:val="none"/>
              </w:rPr>
              <w:t>执业或职业资格证明</w:t>
            </w:r>
          </w:p>
        </w:tc>
        <w:tc>
          <w:tcPr>
            <w:tcW w:w="2130" w:type="dxa"/>
            <w:gridSpan w:val="2"/>
            <w:vAlign w:val="top"/>
          </w:tcPr>
          <w:p w14:paraId="78DEBE84">
            <w:pPr>
              <w:pStyle w:val="23"/>
              <w:spacing w:before="132" w:line="228" w:lineRule="auto"/>
              <w:ind w:left="230"/>
              <w:rPr>
                <w:color w:val="auto"/>
                <w:sz w:val="24"/>
                <w:szCs w:val="24"/>
                <w:highlight w:val="none"/>
              </w:rPr>
            </w:pPr>
            <w:r>
              <w:rPr>
                <w:color w:val="auto"/>
                <w:spacing w:val="8"/>
                <w:sz w:val="24"/>
                <w:szCs w:val="24"/>
                <w:highlight w:val="none"/>
              </w:rPr>
              <w:t>承担完工工程情况</w:t>
            </w:r>
          </w:p>
        </w:tc>
      </w:tr>
      <w:tr w14:paraId="7505D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Merge w:val="continue"/>
            <w:tcBorders>
              <w:top w:val="nil"/>
            </w:tcBorders>
            <w:vAlign w:val="top"/>
          </w:tcPr>
          <w:p w14:paraId="13B949FF">
            <w:pPr>
              <w:rPr>
                <w:rFonts w:ascii="Arial"/>
                <w:color w:val="auto"/>
                <w:sz w:val="24"/>
                <w:szCs w:val="24"/>
                <w:highlight w:val="none"/>
              </w:rPr>
            </w:pPr>
          </w:p>
        </w:tc>
        <w:tc>
          <w:tcPr>
            <w:tcW w:w="829" w:type="dxa"/>
            <w:vMerge w:val="continue"/>
            <w:tcBorders>
              <w:top w:val="nil"/>
            </w:tcBorders>
            <w:vAlign w:val="top"/>
          </w:tcPr>
          <w:p w14:paraId="2158D14B">
            <w:pPr>
              <w:rPr>
                <w:rFonts w:ascii="Arial"/>
                <w:color w:val="auto"/>
                <w:sz w:val="24"/>
                <w:szCs w:val="24"/>
                <w:highlight w:val="none"/>
              </w:rPr>
            </w:pPr>
          </w:p>
        </w:tc>
        <w:tc>
          <w:tcPr>
            <w:tcW w:w="816" w:type="dxa"/>
            <w:vMerge w:val="continue"/>
            <w:tcBorders>
              <w:top w:val="nil"/>
            </w:tcBorders>
            <w:vAlign w:val="top"/>
          </w:tcPr>
          <w:p w14:paraId="5C28AECD">
            <w:pPr>
              <w:rPr>
                <w:rFonts w:ascii="Arial"/>
                <w:color w:val="auto"/>
                <w:sz w:val="24"/>
                <w:szCs w:val="24"/>
                <w:highlight w:val="none"/>
              </w:rPr>
            </w:pPr>
          </w:p>
        </w:tc>
        <w:tc>
          <w:tcPr>
            <w:tcW w:w="1147" w:type="dxa"/>
            <w:vAlign w:val="top"/>
          </w:tcPr>
          <w:p w14:paraId="672BFACE">
            <w:pPr>
              <w:pStyle w:val="23"/>
              <w:spacing w:before="208" w:line="227" w:lineRule="auto"/>
              <w:ind w:left="157"/>
              <w:rPr>
                <w:color w:val="auto"/>
                <w:sz w:val="24"/>
                <w:szCs w:val="24"/>
                <w:highlight w:val="none"/>
              </w:rPr>
            </w:pPr>
            <w:r>
              <w:rPr>
                <w:color w:val="auto"/>
                <w:spacing w:val="7"/>
                <w:sz w:val="24"/>
                <w:szCs w:val="24"/>
                <w:highlight w:val="none"/>
              </w:rPr>
              <w:t>证书名称</w:t>
            </w:r>
          </w:p>
        </w:tc>
        <w:tc>
          <w:tcPr>
            <w:tcW w:w="1147" w:type="dxa"/>
            <w:vAlign w:val="top"/>
          </w:tcPr>
          <w:p w14:paraId="0272EEBB">
            <w:pPr>
              <w:pStyle w:val="23"/>
              <w:spacing w:before="209" w:line="228" w:lineRule="auto"/>
              <w:ind w:left="372"/>
              <w:rPr>
                <w:color w:val="auto"/>
                <w:sz w:val="24"/>
                <w:szCs w:val="24"/>
                <w:highlight w:val="none"/>
              </w:rPr>
            </w:pPr>
            <w:r>
              <w:rPr>
                <w:color w:val="auto"/>
                <w:spacing w:val="3"/>
                <w:sz w:val="24"/>
                <w:szCs w:val="24"/>
                <w:highlight w:val="none"/>
              </w:rPr>
              <w:t>级别</w:t>
            </w:r>
          </w:p>
        </w:tc>
        <w:tc>
          <w:tcPr>
            <w:tcW w:w="1147" w:type="dxa"/>
            <w:vAlign w:val="top"/>
          </w:tcPr>
          <w:p w14:paraId="744CCFB6">
            <w:pPr>
              <w:pStyle w:val="23"/>
              <w:spacing w:before="209" w:line="229" w:lineRule="auto"/>
              <w:ind w:left="369"/>
              <w:rPr>
                <w:color w:val="auto"/>
                <w:sz w:val="24"/>
                <w:szCs w:val="24"/>
                <w:highlight w:val="none"/>
              </w:rPr>
            </w:pPr>
            <w:r>
              <w:rPr>
                <w:color w:val="auto"/>
                <w:spacing w:val="4"/>
                <w:sz w:val="24"/>
                <w:szCs w:val="24"/>
                <w:highlight w:val="none"/>
              </w:rPr>
              <w:t>证号</w:t>
            </w:r>
          </w:p>
        </w:tc>
        <w:tc>
          <w:tcPr>
            <w:tcW w:w="1147" w:type="dxa"/>
            <w:vAlign w:val="top"/>
          </w:tcPr>
          <w:p w14:paraId="4882DE9D">
            <w:pPr>
              <w:pStyle w:val="23"/>
              <w:spacing w:before="209" w:line="228" w:lineRule="auto"/>
              <w:ind w:left="370"/>
              <w:rPr>
                <w:color w:val="auto"/>
                <w:sz w:val="24"/>
                <w:szCs w:val="24"/>
                <w:highlight w:val="none"/>
              </w:rPr>
            </w:pPr>
            <w:r>
              <w:rPr>
                <w:color w:val="auto"/>
                <w:spacing w:val="4"/>
                <w:sz w:val="24"/>
                <w:szCs w:val="24"/>
                <w:highlight w:val="none"/>
              </w:rPr>
              <w:t>专业</w:t>
            </w:r>
          </w:p>
        </w:tc>
        <w:tc>
          <w:tcPr>
            <w:tcW w:w="850" w:type="dxa"/>
            <w:vAlign w:val="top"/>
          </w:tcPr>
          <w:p w14:paraId="56CC7627">
            <w:pPr>
              <w:pStyle w:val="23"/>
              <w:spacing w:before="208" w:line="228" w:lineRule="auto"/>
              <w:ind w:left="121"/>
              <w:rPr>
                <w:color w:val="auto"/>
                <w:sz w:val="24"/>
                <w:szCs w:val="24"/>
                <w:highlight w:val="none"/>
              </w:rPr>
            </w:pPr>
            <w:r>
              <w:rPr>
                <w:color w:val="auto"/>
                <w:spacing w:val="5"/>
                <w:sz w:val="24"/>
                <w:szCs w:val="24"/>
                <w:highlight w:val="none"/>
              </w:rPr>
              <w:t>项目数</w:t>
            </w:r>
          </w:p>
        </w:tc>
        <w:tc>
          <w:tcPr>
            <w:tcW w:w="1280" w:type="dxa"/>
            <w:vAlign w:val="top"/>
          </w:tcPr>
          <w:p w14:paraId="342BAC4D">
            <w:pPr>
              <w:pStyle w:val="23"/>
              <w:spacing w:before="52" w:line="259" w:lineRule="auto"/>
              <w:ind w:left="439" w:right="219" w:hanging="212"/>
              <w:rPr>
                <w:color w:val="auto"/>
                <w:sz w:val="24"/>
                <w:szCs w:val="24"/>
                <w:highlight w:val="none"/>
              </w:rPr>
            </w:pPr>
            <w:r>
              <w:rPr>
                <w:color w:val="auto"/>
                <w:spacing w:val="6"/>
                <w:sz w:val="24"/>
                <w:szCs w:val="24"/>
                <w:highlight w:val="none"/>
              </w:rPr>
              <w:t>主要项目</w:t>
            </w:r>
            <w:r>
              <w:rPr>
                <w:color w:val="auto"/>
                <w:spacing w:val="2"/>
                <w:sz w:val="24"/>
                <w:szCs w:val="24"/>
                <w:highlight w:val="none"/>
              </w:rPr>
              <w:t xml:space="preserve"> </w:t>
            </w:r>
            <w:r>
              <w:rPr>
                <w:color w:val="auto"/>
                <w:spacing w:val="3"/>
                <w:sz w:val="24"/>
                <w:szCs w:val="24"/>
                <w:highlight w:val="none"/>
              </w:rPr>
              <w:t>名称</w:t>
            </w:r>
          </w:p>
        </w:tc>
      </w:tr>
      <w:tr w14:paraId="79A7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Align w:val="top"/>
          </w:tcPr>
          <w:p w14:paraId="308B8FB6">
            <w:pPr>
              <w:pStyle w:val="23"/>
              <w:spacing w:before="51" w:line="259" w:lineRule="auto"/>
              <w:ind w:left="411" w:right="177" w:hanging="222"/>
              <w:rPr>
                <w:color w:val="auto"/>
                <w:sz w:val="24"/>
                <w:szCs w:val="24"/>
                <w:highlight w:val="none"/>
              </w:rPr>
            </w:pPr>
            <w:r>
              <w:rPr>
                <w:color w:val="auto"/>
                <w:spacing w:val="6"/>
                <w:sz w:val="24"/>
                <w:szCs w:val="24"/>
                <w:highlight w:val="none"/>
              </w:rPr>
              <w:t>技术负</w:t>
            </w:r>
            <w:r>
              <w:rPr>
                <w:color w:val="auto"/>
                <w:sz w:val="24"/>
                <w:szCs w:val="24"/>
                <w:highlight w:val="none"/>
              </w:rPr>
              <w:t xml:space="preserve"> </w:t>
            </w:r>
            <w:r>
              <w:rPr>
                <w:color w:val="auto"/>
                <w:spacing w:val="1"/>
                <w:sz w:val="24"/>
                <w:szCs w:val="24"/>
                <w:highlight w:val="none"/>
              </w:rPr>
              <w:t>责人</w:t>
            </w:r>
          </w:p>
        </w:tc>
        <w:tc>
          <w:tcPr>
            <w:tcW w:w="829" w:type="dxa"/>
            <w:vAlign w:val="top"/>
          </w:tcPr>
          <w:p w14:paraId="5565EE89">
            <w:pPr>
              <w:rPr>
                <w:rFonts w:ascii="Arial"/>
                <w:color w:val="auto"/>
                <w:sz w:val="24"/>
                <w:szCs w:val="24"/>
                <w:highlight w:val="none"/>
              </w:rPr>
            </w:pPr>
          </w:p>
        </w:tc>
        <w:tc>
          <w:tcPr>
            <w:tcW w:w="816" w:type="dxa"/>
            <w:vAlign w:val="top"/>
          </w:tcPr>
          <w:p w14:paraId="318B4025">
            <w:pPr>
              <w:rPr>
                <w:rFonts w:ascii="Arial"/>
                <w:color w:val="auto"/>
                <w:sz w:val="24"/>
                <w:szCs w:val="24"/>
                <w:highlight w:val="none"/>
              </w:rPr>
            </w:pPr>
          </w:p>
        </w:tc>
        <w:tc>
          <w:tcPr>
            <w:tcW w:w="1147" w:type="dxa"/>
            <w:vAlign w:val="top"/>
          </w:tcPr>
          <w:p w14:paraId="5A4CE962">
            <w:pPr>
              <w:rPr>
                <w:rFonts w:ascii="Arial"/>
                <w:color w:val="auto"/>
                <w:sz w:val="24"/>
                <w:szCs w:val="24"/>
                <w:highlight w:val="none"/>
              </w:rPr>
            </w:pPr>
          </w:p>
        </w:tc>
        <w:tc>
          <w:tcPr>
            <w:tcW w:w="1147" w:type="dxa"/>
            <w:vAlign w:val="top"/>
          </w:tcPr>
          <w:p w14:paraId="7CB7D555">
            <w:pPr>
              <w:rPr>
                <w:rFonts w:ascii="Arial"/>
                <w:color w:val="auto"/>
                <w:sz w:val="24"/>
                <w:szCs w:val="24"/>
                <w:highlight w:val="none"/>
              </w:rPr>
            </w:pPr>
          </w:p>
        </w:tc>
        <w:tc>
          <w:tcPr>
            <w:tcW w:w="1147" w:type="dxa"/>
            <w:vAlign w:val="top"/>
          </w:tcPr>
          <w:p w14:paraId="39363A5C">
            <w:pPr>
              <w:rPr>
                <w:rFonts w:ascii="Arial"/>
                <w:color w:val="auto"/>
                <w:sz w:val="24"/>
                <w:szCs w:val="24"/>
                <w:highlight w:val="none"/>
              </w:rPr>
            </w:pPr>
          </w:p>
        </w:tc>
        <w:tc>
          <w:tcPr>
            <w:tcW w:w="1147" w:type="dxa"/>
            <w:vAlign w:val="top"/>
          </w:tcPr>
          <w:p w14:paraId="4EC793ED">
            <w:pPr>
              <w:rPr>
                <w:rFonts w:ascii="Arial"/>
                <w:color w:val="auto"/>
                <w:sz w:val="24"/>
                <w:szCs w:val="24"/>
                <w:highlight w:val="none"/>
              </w:rPr>
            </w:pPr>
          </w:p>
        </w:tc>
        <w:tc>
          <w:tcPr>
            <w:tcW w:w="850" w:type="dxa"/>
            <w:vAlign w:val="top"/>
          </w:tcPr>
          <w:p w14:paraId="59DE737A">
            <w:pPr>
              <w:rPr>
                <w:rFonts w:ascii="Arial"/>
                <w:color w:val="auto"/>
                <w:sz w:val="24"/>
                <w:szCs w:val="24"/>
                <w:highlight w:val="none"/>
              </w:rPr>
            </w:pPr>
          </w:p>
        </w:tc>
        <w:tc>
          <w:tcPr>
            <w:tcW w:w="1280" w:type="dxa"/>
            <w:vAlign w:val="top"/>
          </w:tcPr>
          <w:p w14:paraId="07A5BC1E">
            <w:pPr>
              <w:rPr>
                <w:rFonts w:ascii="Arial"/>
                <w:color w:val="auto"/>
                <w:sz w:val="24"/>
                <w:szCs w:val="24"/>
                <w:highlight w:val="none"/>
              </w:rPr>
            </w:pPr>
          </w:p>
        </w:tc>
      </w:tr>
      <w:tr w14:paraId="0DE3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271199B">
            <w:pPr>
              <w:pStyle w:val="23"/>
              <w:spacing w:before="227" w:line="229" w:lineRule="auto"/>
              <w:ind w:left="187"/>
              <w:rPr>
                <w:color w:val="auto"/>
                <w:sz w:val="24"/>
                <w:szCs w:val="24"/>
                <w:highlight w:val="none"/>
              </w:rPr>
            </w:pPr>
            <w:r>
              <w:rPr>
                <w:color w:val="auto"/>
                <w:spacing w:val="7"/>
                <w:sz w:val="24"/>
                <w:szCs w:val="24"/>
                <w:highlight w:val="none"/>
              </w:rPr>
              <w:t>施工员</w:t>
            </w:r>
          </w:p>
        </w:tc>
        <w:tc>
          <w:tcPr>
            <w:tcW w:w="829" w:type="dxa"/>
            <w:vAlign w:val="top"/>
          </w:tcPr>
          <w:p w14:paraId="040F451E">
            <w:pPr>
              <w:rPr>
                <w:rFonts w:ascii="Arial"/>
                <w:color w:val="auto"/>
                <w:sz w:val="24"/>
                <w:szCs w:val="24"/>
                <w:highlight w:val="none"/>
              </w:rPr>
            </w:pPr>
          </w:p>
        </w:tc>
        <w:tc>
          <w:tcPr>
            <w:tcW w:w="816" w:type="dxa"/>
            <w:vAlign w:val="top"/>
          </w:tcPr>
          <w:p w14:paraId="68F6CACD">
            <w:pPr>
              <w:rPr>
                <w:rFonts w:ascii="Arial"/>
                <w:color w:val="auto"/>
                <w:sz w:val="24"/>
                <w:szCs w:val="24"/>
                <w:highlight w:val="none"/>
              </w:rPr>
            </w:pPr>
          </w:p>
        </w:tc>
        <w:tc>
          <w:tcPr>
            <w:tcW w:w="1147" w:type="dxa"/>
            <w:vAlign w:val="top"/>
          </w:tcPr>
          <w:p w14:paraId="674283C2">
            <w:pPr>
              <w:rPr>
                <w:rFonts w:ascii="Arial"/>
                <w:color w:val="auto"/>
                <w:sz w:val="24"/>
                <w:szCs w:val="24"/>
                <w:highlight w:val="none"/>
              </w:rPr>
            </w:pPr>
          </w:p>
        </w:tc>
        <w:tc>
          <w:tcPr>
            <w:tcW w:w="1147" w:type="dxa"/>
            <w:vAlign w:val="top"/>
          </w:tcPr>
          <w:p w14:paraId="09899BA2">
            <w:pPr>
              <w:rPr>
                <w:rFonts w:ascii="Arial"/>
                <w:color w:val="auto"/>
                <w:sz w:val="24"/>
                <w:szCs w:val="24"/>
                <w:highlight w:val="none"/>
              </w:rPr>
            </w:pPr>
          </w:p>
        </w:tc>
        <w:tc>
          <w:tcPr>
            <w:tcW w:w="1147" w:type="dxa"/>
            <w:vAlign w:val="top"/>
          </w:tcPr>
          <w:p w14:paraId="64843B8C">
            <w:pPr>
              <w:rPr>
                <w:rFonts w:ascii="Arial"/>
                <w:color w:val="auto"/>
                <w:sz w:val="24"/>
                <w:szCs w:val="24"/>
                <w:highlight w:val="none"/>
              </w:rPr>
            </w:pPr>
          </w:p>
        </w:tc>
        <w:tc>
          <w:tcPr>
            <w:tcW w:w="1147" w:type="dxa"/>
            <w:vAlign w:val="top"/>
          </w:tcPr>
          <w:p w14:paraId="15775CB4">
            <w:pPr>
              <w:rPr>
                <w:rFonts w:ascii="Arial"/>
                <w:color w:val="auto"/>
                <w:sz w:val="24"/>
                <w:szCs w:val="24"/>
                <w:highlight w:val="none"/>
              </w:rPr>
            </w:pPr>
          </w:p>
        </w:tc>
        <w:tc>
          <w:tcPr>
            <w:tcW w:w="850" w:type="dxa"/>
            <w:vAlign w:val="top"/>
          </w:tcPr>
          <w:p w14:paraId="7DCA5D2B">
            <w:pPr>
              <w:rPr>
                <w:rFonts w:ascii="Arial"/>
                <w:color w:val="auto"/>
                <w:sz w:val="24"/>
                <w:szCs w:val="24"/>
                <w:highlight w:val="none"/>
              </w:rPr>
            </w:pPr>
          </w:p>
        </w:tc>
        <w:tc>
          <w:tcPr>
            <w:tcW w:w="1280" w:type="dxa"/>
            <w:vAlign w:val="top"/>
          </w:tcPr>
          <w:p w14:paraId="06EE117E">
            <w:pPr>
              <w:rPr>
                <w:rFonts w:ascii="Arial"/>
                <w:color w:val="auto"/>
                <w:sz w:val="24"/>
                <w:szCs w:val="24"/>
                <w:highlight w:val="none"/>
              </w:rPr>
            </w:pPr>
          </w:p>
        </w:tc>
      </w:tr>
      <w:tr w14:paraId="7FCE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248CF97E">
            <w:pPr>
              <w:pStyle w:val="23"/>
              <w:spacing w:before="228" w:line="228" w:lineRule="auto"/>
              <w:ind w:left="189"/>
              <w:rPr>
                <w:color w:val="auto"/>
                <w:sz w:val="24"/>
                <w:szCs w:val="24"/>
                <w:highlight w:val="none"/>
              </w:rPr>
            </w:pPr>
            <w:r>
              <w:rPr>
                <w:color w:val="auto"/>
                <w:spacing w:val="6"/>
                <w:sz w:val="24"/>
                <w:szCs w:val="24"/>
                <w:highlight w:val="none"/>
              </w:rPr>
              <w:t>质量员</w:t>
            </w:r>
          </w:p>
        </w:tc>
        <w:tc>
          <w:tcPr>
            <w:tcW w:w="829" w:type="dxa"/>
            <w:vAlign w:val="top"/>
          </w:tcPr>
          <w:p w14:paraId="3E96858A">
            <w:pPr>
              <w:rPr>
                <w:rFonts w:ascii="Arial"/>
                <w:color w:val="auto"/>
                <w:sz w:val="24"/>
                <w:szCs w:val="24"/>
                <w:highlight w:val="none"/>
              </w:rPr>
            </w:pPr>
          </w:p>
        </w:tc>
        <w:tc>
          <w:tcPr>
            <w:tcW w:w="816" w:type="dxa"/>
            <w:vAlign w:val="top"/>
          </w:tcPr>
          <w:p w14:paraId="5AAD694D">
            <w:pPr>
              <w:rPr>
                <w:rFonts w:ascii="Arial"/>
                <w:color w:val="auto"/>
                <w:sz w:val="24"/>
                <w:szCs w:val="24"/>
                <w:highlight w:val="none"/>
              </w:rPr>
            </w:pPr>
          </w:p>
        </w:tc>
        <w:tc>
          <w:tcPr>
            <w:tcW w:w="1147" w:type="dxa"/>
            <w:vAlign w:val="top"/>
          </w:tcPr>
          <w:p w14:paraId="69431D85">
            <w:pPr>
              <w:rPr>
                <w:rFonts w:ascii="Arial"/>
                <w:color w:val="auto"/>
                <w:sz w:val="24"/>
                <w:szCs w:val="24"/>
                <w:highlight w:val="none"/>
              </w:rPr>
            </w:pPr>
          </w:p>
        </w:tc>
        <w:tc>
          <w:tcPr>
            <w:tcW w:w="1147" w:type="dxa"/>
            <w:vAlign w:val="top"/>
          </w:tcPr>
          <w:p w14:paraId="4E240FA8">
            <w:pPr>
              <w:rPr>
                <w:rFonts w:ascii="Arial"/>
                <w:color w:val="auto"/>
                <w:sz w:val="24"/>
                <w:szCs w:val="24"/>
                <w:highlight w:val="none"/>
              </w:rPr>
            </w:pPr>
          </w:p>
        </w:tc>
        <w:tc>
          <w:tcPr>
            <w:tcW w:w="1147" w:type="dxa"/>
            <w:vAlign w:val="top"/>
          </w:tcPr>
          <w:p w14:paraId="4A2F9347">
            <w:pPr>
              <w:rPr>
                <w:rFonts w:ascii="Arial"/>
                <w:color w:val="auto"/>
                <w:sz w:val="24"/>
                <w:szCs w:val="24"/>
                <w:highlight w:val="none"/>
              </w:rPr>
            </w:pPr>
          </w:p>
        </w:tc>
        <w:tc>
          <w:tcPr>
            <w:tcW w:w="1147" w:type="dxa"/>
            <w:vAlign w:val="top"/>
          </w:tcPr>
          <w:p w14:paraId="16EF7958">
            <w:pPr>
              <w:rPr>
                <w:rFonts w:ascii="Arial"/>
                <w:color w:val="auto"/>
                <w:sz w:val="24"/>
                <w:szCs w:val="24"/>
                <w:highlight w:val="none"/>
              </w:rPr>
            </w:pPr>
          </w:p>
        </w:tc>
        <w:tc>
          <w:tcPr>
            <w:tcW w:w="850" w:type="dxa"/>
            <w:vAlign w:val="top"/>
          </w:tcPr>
          <w:p w14:paraId="0E2EFFA3">
            <w:pPr>
              <w:rPr>
                <w:rFonts w:ascii="Arial"/>
                <w:color w:val="auto"/>
                <w:sz w:val="24"/>
                <w:szCs w:val="24"/>
                <w:highlight w:val="none"/>
              </w:rPr>
            </w:pPr>
          </w:p>
        </w:tc>
        <w:tc>
          <w:tcPr>
            <w:tcW w:w="1280" w:type="dxa"/>
            <w:vAlign w:val="top"/>
          </w:tcPr>
          <w:p w14:paraId="77E730F5">
            <w:pPr>
              <w:rPr>
                <w:rFonts w:ascii="Arial"/>
                <w:color w:val="auto"/>
                <w:sz w:val="24"/>
                <w:szCs w:val="24"/>
                <w:highlight w:val="none"/>
              </w:rPr>
            </w:pPr>
          </w:p>
        </w:tc>
      </w:tr>
      <w:tr w14:paraId="710F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restart"/>
            <w:tcBorders>
              <w:bottom w:val="nil"/>
            </w:tcBorders>
            <w:vAlign w:val="top"/>
          </w:tcPr>
          <w:p w14:paraId="67F00BFC">
            <w:pPr>
              <w:spacing w:line="276" w:lineRule="auto"/>
              <w:rPr>
                <w:rFonts w:ascii="Arial"/>
                <w:color w:val="auto"/>
                <w:sz w:val="24"/>
                <w:szCs w:val="24"/>
                <w:highlight w:val="none"/>
              </w:rPr>
            </w:pPr>
          </w:p>
          <w:p w14:paraId="60F68F38">
            <w:pPr>
              <w:spacing w:line="276" w:lineRule="auto"/>
              <w:rPr>
                <w:rFonts w:ascii="Arial"/>
                <w:color w:val="auto"/>
                <w:sz w:val="24"/>
                <w:szCs w:val="24"/>
                <w:highlight w:val="none"/>
              </w:rPr>
            </w:pPr>
          </w:p>
          <w:p w14:paraId="4250EDDA">
            <w:pPr>
              <w:spacing w:line="276" w:lineRule="auto"/>
              <w:rPr>
                <w:rFonts w:ascii="Arial"/>
                <w:color w:val="auto"/>
                <w:sz w:val="24"/>
                <w:szCs w:val="24"/>
                <w:highlight w:val="none"/>
              </w:rPr>
            </w:pPr>
          </w:p>
          <w:p w14:paraId="0E16C6FD">
            <w:pPr>
              <w:pStyle w:val="23"/>
              <w:spacing w:before="65" w:line="229" w:lineRule="auto"/>
              <w:ind w:left="192"/>
              <w:rPr>
                <w:color w:val="auto"/>
                <w:sz w:val="24"/>
                <w:szCs w:val="24"/>
                <w:highlight w:val="none"/>
              </w:rPr>
            </w:pPr>
            <w:r>
              <w:rPr>
                <w:color w:val="auto"/>
                <w:spacing w:val="5"/>
                <w:sz w:val="24"/>
                <w:szCs w:val="24"/>
                <w:highlight w:val="none"/>
              </w:rPr>
              <w:t>安全员</w:t>
            </w:r>
          </w:p>
        </w:tc>
        <w:tc>
          <w:tcPr>
            <w:tcW w:w="829" w:type="dxa"/>
            <w:vAlign w:val="top"/>
          </w:tcPr>
          <w:p w14:paraId="43F91CCC">
            <w:pPr>
              <w:rPr>
                <w:rFonts w:ascii="Arial"/>
                <w:color w:val="auto"/>
                <w:sz w:val="24"/>
                <w:szCs w:val="24"/>
                <w:highlight w:val="none"/>
              </w:rPr>
            </w:pPr>
          </w:p>
        </w:tc>
        <w:tc>
          <w:tcPr>
            <w:tcW w:w="816" w:type="dxa"/>
            <w:vAlign w:val="top"/>
          </w:tcPr>
          <w:p w14:paraId="1F57640B">
            <w:pPr>
              <w:rPr>
                <w:rFonts w:ascii="Arial"/>
                <w:color w:val="auto"/>
                <w:sz w:val="24"/>
                <w:szCs w:val="24"/>
                <w:highlight w:val="none"/>
              </w:rPr>
            </w:pPr>
          </w:p>
        </w:tc>
        <w:tc>
          <w:tcPr>
            <w:tcW w:w="1147" w:type="dxa"/>
            <w:vAlign w:val="top"/>
          </w:tcPr>
          <w:p w14:paraId="36887FAB">
            <w:pPr>
              <w:rPr>
                <w:rFonts w:ascii="Arial"/>
                <w:color w:val="auto"/>
                <w:sz w:val="24"/>
                <w:szCs w:val="24"/>
                <w:highlight w:val="none"/>
              </w:rPr>
            </w:pPr>
          </w:p>
        </w:tc>
        <w:tc>
          <w:tcPr>
            <w:tcW w:w="1147" w:type="dxa"/>
            <w:vAlign w:val="top"/>
          </w:tcPr>
          <w:p w14:paraId="280803FB">
            <w:pPr>
              <w:rPr>
                <w:rFonts w:ascii="Arial"/>
                <w:color w:val="auto"/>
                <w:sz w:val="24"/>
                <w:szCs w:val="24"/>
                <w:highlight w:val="none"/>
              </w:rPr>
            </w:pPr>
          </w:p>
        </w:tc>
        <w:tc>
          <w:tcPr>
            <w:tcW w:w="1147" w:type="dxa"/>
            <w:vAlign w:val="top"/>
          </w:tcPr>
          <w:p w14:paraId="5B8C6E7A">
            <w:pPr>
              <w:rPr>
                <w:rFonts w:ascii="Arial"/>
                <w:color w:val="auto"/>
                <w:sz w:val="24"/>
                <w:szCs w:val="24"/>
                <w:highlight w:val="none"/>
              </w:rPr>
            </w:pPr>
          </w:p>
        </w:tc>
        <w:tc>
          <w:tcPr>
            <w:tcW w:w="1147" w:type="dxa"/>
            <w:vAlign w:val="top"/>
          </w:tcPr>
          <w:p w14:paraId="244519B9">
            <w:pPr>
              <w:rPr>
                <w:rFonts w:ascii="Arial"/>
                <w:color w:val="auto"/>
                <w:sz w:val="24"/>
                <w:szCs w:val="24"/>
                <w:highlight w:val="none"/>
              </w:rPr>
            </w:pPr>
          </w:p>
        </w:tc>
        <w:tc>
          <w:tcPr>
            <w:tcW w:w="850" w:type="dxa"/>
            <w:vAlign w:val="top"/>
          </w:tcPr>
          <w:p w14:paraId="18C9FD39">
            <w:pPr>
              <w:rPr>
                <w:rFonts w:ascii="Arial"/>
                <w:color w:val="auto"/>
                <w:sz w:val="24"/>
                <w:szCs w:val="24"/>
                <w:highlight w:val="none"/>
              </w:rPr>
            </w:pPr>
          </w:p>
        </w:tc>
        <w:tc>
          <w:tcPr>
            <w:tcW w:w="1280" w:type="dxa"/>
            <w:vAlign w:val="top"/>
          </w:tcPr>
          <w:p w14:paraId="02723D94">
            <w:pPr>
              <w:rPr>
                <w:rFonts w:ascii="Arial"/>
                <w:color w:val="auto"/>
                <w:sz w:val="24"/>
                <w:szCs w:val="24"/>
                <w:highlight w:val="none"/>
              </w:rPr>
            </w:pPr>
          </w:p>
        </w:tc>
      </w:tr>
      <w:tr w14:paraId="3055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continue"/>
            <w:tcBorders>
              <w:top w:val="nil"/>
              <w:bottom w:val="nil"/>
            </w:tcBorders>
            <w:vAlign w:val="top"/>
          </w:tcPr>
          <w:p w14:paraId="3AF7DA40">
            <w:pPr>
              <w:rPr>
                <w:rFonts w:ascii="Arial"/>
                <w:color w:val="auto"/>
                <w:sz w:val="24"/>
                <w:szCs w:val="24"/>
                <w:highlight w:val="none"/>
              </w:rPr>
            </w:pPr>
          </w:p>
        </w:tc>
        <w:tc>
          <w:tcPr>
            <w:tcW w:w="829" w:type="dxa"/>
            <w:vAlign w:val="top"/>
          </w:tcPr>
          <w:p w14:paraId="0CB7F210">
            <w:pPr>
              <w:rPr>
                <w:rFonts w:ascii="Arial"/>
                <w:color w:val="auto"/>
                <w:sz w:val="24"/>
                <w:szCs w:val="24"/>
                <w:highlight w:val="none"/>
              </w:rPr>
            </w:pPr>
          </w:p>
        </w:tc>
        <w:tc>
          <w:tcPr>
            <w:tcW w:w="816" w:type="dxa"/>
            <w:vAlign w:val="top"/>
          </w:tcPr>
          <w:p w14:paraId="453FF2C7">
            <w:pPr>
              <w:rPr>
                <w:rFonts w:ascii="Arial"/>
                <w:color w:val="auto"/>
                <w:sz w:val="24"/>
                <w:szCs w:val="24"/>
                <w:highlight w:val="none"/>
              </w:rPr>
            </w:pPr>
          </w:p>
        </w:tc>
        <w:tc>
          <w:tcPr>
            <w:tcW w:w="1147" w:type="dxa"/>
            <w:vAlign w:val="top"/>
          </w:tcPr>
          <w:p w14:paraId="7FD60F96">
            <w:pPr>
              <w:rPr>
                <w:rFonts w:ascii="Arial"/>
                <w:color w:val="auto"/>
                <w:sz w:val="24"/>
                <w:szCs w:val="24"/>
                <w:highlight w:val="none"/>
              </w:rPr>
            </w:pPr>
          </w:p>
        </w:tc>
        <w:tc>
          <w:tcPr>
            <w:tcW w:w="1147" w:type="dxa"/>
            <w:vAlign w:val="top"/>
          </w:tcPr>
          <w:p w14:paraId="0ABA237E">
            <w:pPr>
              <w:rPr>
                <w:rFonts w:ascii="Arial"/>
                <w:color w:val="auto"/>
                <w:sz w:val="24"/>
                <w:szCs w:val="24"/>
                <w:highlight w:val="none"/>
              </w:rPr>
            </w:pPr>
          </w:p>
        </w:tc>
        <w:tc>
          <w:tcPr>
            <w:tcW w:w="1147" w:type="dxa"/>
            <w:vAlign w:val="top"/>
          </w:tcPr>
          <w:p w14:paraId="2FB35C33">
            <w:pPr>
              <w:rPr>
                <w:rFonts w:ascii="Arial"/>
                <w:color w:val="auto"/>
                <w:sz w:val="24"/>
                <w:szCs w:val="24"/>
                <w:highlight w:val="none"/>
              </w:rPr>
            </w:pPr>
          </w:p>
        </w:tc>
        <w:tc>
          <w:tcPr>
            <w:tcW w:w="1147" w:type="dxa"/>
            <w:vAlign w:val="top"/>
          </w:tcPr>
          <w:p w14:paraId="50CA1705">
            <w:pPr>
              <w:rPr>
                <w:rFonts w:ascii="Arial"/>
                <w:color w:val="auto"/>
                <w:sz w:val="24"/>
                <w:szCs w:val="24"/>
                <w:highlight w:val="none"/>
              </w:rPr>
            </w:pPr>
          </w:p>
        </w:tc>
        <w:tc>
          <w:tcPr>
            <w:tcW w:w="850" w:type="dxa"/>
            <w:vAlign w:val="top"/>
          </w:tcPr>
          <w:p w14:paraId="47A101F2">
            <w:pPr>
              <w:rPr>
                <w:rFonts w:ascii="Arial"/>
                <w:color w:val="auto"/>
                <w:sz w:val="24"/>
                <w:szCs w:val="24"/>
                <w:highlight w:val="none"/>
              </w:rPr>
            </w:pPr>
          </w:p>
        </w:tc>
        <w:tc>
          <w:tcPr>
            <w:tcW w:w="1280" w:type="dxa"/>
            <w:vAlign w:val="top"/>
          </w:tcPr>
          <w:p w14:paraId="3351B194">
            <w:pPr>
              <w:rPr>
                <w:rFonts w:ascii="Arial"/>
                <w:color w:val="auto"/>
                <w:sz w:val="24"/>
                <w:szCs w:val="24"/>
                <w:highlight w:val="none"/>
              </w:rPr>
            </w:pPr>
          </w:p>
        </w:tc>
      </w:tr>
      <w:tr w14:paraId="5687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continue"/>
            <w:tcBorders>
              <w:top w:val="nil"/>
            </w:tcBorders>
            <w:vAlign w:val="top"/>
          </w:tcPr>
          <w:p w14:paraId="2F126A5D">
            <w:pPr>
              <w:rPr>
                <w:rFonts w:ascii="Arial"/>
                <w:color w:val="auto"/>
                <w:sz w:val="24"/>
                <w:szCs w:val="24"/>
                <w:highlight w:val="none"/>
              </w:rPr>
            </w:pPr>
          </w:p>
        </w:tc>
        <w:tc>
          <w:tcPr>
            <w:tcW w:w="829" w:type="dxa"/>
            <w:vAlign w:val="top"/>
          </w:tcPr>
          <w:p w14:paraId="4F31C058">
            <w:pPr>
              <w:rPr>
                <w:rFonts w:ascii="Arial"/>
                <w:color w:val="auto"/>
                <w:sz w:val="24"/>
                <w:szCs w:val="24"/>
                <w:highlight w:val="none"/>
              </w:rPr>
            </w:pPr>
          </w:p>
        </w:tc>
        <w:tc>
          <w:tcPr>
            <w:tcW w:w="816" w:type="dxa"/>
            <w:vAlign w:val="top"/>
          </w:tcPr>
          <w:p w14:paraId="64C0EC96">
            <w:pPr>
              <w:rPr>
                <w:rFonts w:ascii="Arial"/>
                <w:color w:val="auto"/>
                <w:sz w:val="24"/>
                <w:szCs w:val="24"/>
                <w:highlight w:val="none"/>
              </w:rPr>
            </w:pPr>
          </w:p>
        </w:tc>
        <w:tc>
          <w:tcPr>
            <w:tcW w:w="1147" w:type="dxa"/>
            <w:vAlign w:val="top"/>
          </w:tcPr>
          <w:p w14:paraId="6D503557">
            <w:pPr>
              <w:rPr>
                <w:rFonts w:ascii="Arial"/>
                <w:color w:val="auto"/>
                <w:sz w:val="24"/>
                <w:szCs w:val="24"/>
                <w:highlight w:val="none"/>
              </w:rPr>
            </w:pPr>
          </w:p>
        </w:tc>
        <w:tc>
          <w:tcPr>
            <w:tcW w:w="1147" w:type="dxa"/>
            <w:vAlign w:val="top"/>
          </w:tcPr>
          <w:p w14:paraId="20312165">
            <w:pPr>
              <w:rPr>
                <w:rFonts w:ascii="Arial"/>
                <w:color w:val="auto"/>
                <w:sz w:val="24"/>
                <w:szCs w:val="24"/>
                <w:highlight w:val="none"/>
              </w:rPr>
            </w:pPr>
          </w:p>
        </w:tc>
        <w:tc>
          <w:tcPr>
            <w:tcW w:w="1147" w:type="dxa"/>
            <w:vAlign w:val="top"/>
          </w:tcPr>
          <w:p w14:paraId="7202F7E5">
            <w:pPr>
              <w:rPr>
                <w:rFonts w:ascii="Arial"/>
                <w:color w:val="auto"/>
                <w:sz w:val="24"/>
                <w:szCs w:val="24"/>
                <w:highlight w:val="none"/>
              </w:rPr>
            </w:pPr>
          </w:p>
        </w:tc>
        <w:tc>
          <w:tcPr>
            <w:tcW w:w="1147" w:type="dxa"/>
            <w:vAlign w:val="top"/>
          </w:tcPr>
          <w:p w14:paraId="2528885F">
            <w:pPr>
              <w:rPr>
                <w:rFonts w:ascii="Arial"/>
                <w:color w:val="auto"/>
                <w:sz w:val="24"/>
                <w:szCs w:val="24"/>
                <w:highlight w:val="none"/>
              </w:rPr>
            </w:pPr>
          </w:p>
        </w:tc>
        <w:tc>
          <w:tcPr>
            <w:tcW w:w="850" w:type="dxa"/>
            <w:vAlign w:val="top"/>
          </w:tcPr>
          <w:p w14:paraId="45371F44">
            <w:pPr>
              <w:rPr>
                <w:rFonts w:ascii="Arial"/>
                <w:color w:val="auto"/>
                <w:sz w:val="24"/>
                <w:szCs w:val="24"/>
                <w:highlight w:val="none"/>
              </w:rPr>
            </w:pPr>
          </w:p>
        </w:tc>
        <w:tc>
          <w:tcPr>
            <w:tcW w:w="1280" w:type="dxa"/>
            <w:vAlign w:val="top"/>
          </w:tcPr>
          <w:p w14:paraId="039F1216">
            <w:pPr>
              <w:rPr>
                <w:rFonts w:ascii="Arial"/>
                <w:color w:val="auto"/>
                <w:sz w:val="24"/>
                <w:szCs w:val="24"/>
                <w:highlight w:val="none"/>
              </w:rPr>
            </w:pPr>
          </w:p>
        </w:tc>
      </w:tr>
      <w:tr w14:paraId="1809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EBA537F">
            <w:pPr>
              <w:pStyle w:val="23"/>
              <w:spacing w:before="229" w:line="227" w:lineRule="auto"/>
              <w:ind w:left="188"/>
              <w:rPr>
                <w:color w:val="auto"/>
                <w:sz w:val="24"/>
                <w:szCs w:val="24"/>
                <w:highlight w:val="none"/>
              </w:rPr>
            </w:pPr>
            <w:r>
              <w:rPr>
                <w:color w:val="auto"/>
                <w:spacing w:val="6"/>
                <w:sz w:val="24"/>
                <w:szCs w:val="24"/>
                <w:highlight w:val="none"/>
              </w:rPr>
              <w:t>材料员</w:t>
            </w:r>
          </w:p>
        </w:tc>
        <w:tc>
          <w:tcPr>
            <w:tcW w:w="829" w:type="dxa"/>
            <w:vAlign w:val="top"/>
          </w:tcPr>
          <w:p w14:paraId="2A31919A">
            <w:pPr>
              <w:rPr>
                <w:rFonts w:ascii="Arial"/>
                <w:color w:val="auto"/>
                <w:sz w:val="24"/>
                <w:szCs w:val="24"/>
                <w:highlight w:val="none"/>
              </w:rPr>
            </w:pPr>
          </w:p>
        </w:tc>
        <w:tc>
          <w:tcPr>
            <w:tcW w:w="816" w:type="dxa"/>
            <w:vAlign w:val="top"/>
          </w:tcPr>
          <w:p w14:paraId="678F2BA0">
            <w:pPr>
              <w:rPr>
                <w:rFonts w:ascii="Arial"/>
                <w:color w:val="auto"/>
                <w:sz w:val="24"/>
                <w:szCs w:val="24"/>
                <w:highlight w:val="none"/>
              </w:rPr>
            </w:pPr>
          </w:p>
        </w:tc>
        <w:tc>
          <w:tcPr>
            <w:tcW w:w="1147" w:type="dxa"/>
            <w:vAlign w:val="top"/>
          </w:tcPr>
          <w:p w14:paraId="6818ED29">
            <w:pPr>
              <w:rPr>
                <w:rFonts w:ascii="Arial"/>
                <w:color w:val="auto"/>
                <w:sz w:val="24"/>
                <w:szCs w:val="24"/>
                <w:highlight w:val="none"/>
              </w:rPr>
            </w:pPr>
          </w:p>
        </w:tc>
        <w:tc>
          <w:tcPr>
            <w:tcW w:w="1147" w:type="dxa"/>
            <w:vAlign w:val="top"/>
          </w:tcPr>
          <w:p w14:paraId="248F6A1F">
            <w:pPr>
              <w:rPr>
                <w:rFonts w:ascii="Arial"/>
                <w:color w:val="auto"/>
                <w:sz w:val="24"/>
                <w:szCs w:val="24"/>
                <w:highlight w:val="none"/>
              </w:rPr>
            </w:pPr>
          </w:p>
        </w:tc>
        <w:tc>
          <w:tcPr>
            <w:tcW w:w="1147" w:type="dxa"/>
            <w:vAlign w:val="top"/>
          </w:tcPr>
          <w:p w14:paraId="154EE83E">
            <w:pPr>
              <w:rPr>
                <w:rFonts w:ascii="Arial"/>
                <w:color w:val="auto"/>
                <w:sz w:val="24"/>
                <w:szCs w:val="24"/>
                <w:highlight w:val="none"/>
              </w:rPr>
            </w:pPr>
          </w:p>
        </w:tc>
        <w:tc>
          <w:tcPr>
            <w:tcW w:w="1147" w:type="dxa"/>
            <w:vAlign w:val="top"/>
          </w:tcPr>
          <w:p w14:paraId="4BD57ACF">
            <w:pPr>
              <w:rPr>
                <w:rFonts w:ascii="Arial"/>
                <w:color w:val="auto"/>
                <w:sz w:val="24"/>
                <w:szCs w:val="24"/>
                <w:highlight w:val="none"/>
              </w:rPr>
            </w:pPr>
          </w:p>
        </w:tc>
        <w:tc>
          <w:tcPr>
            <w:tcW w:w="850" w:type="dxa"/>
            <w:vAlign w:val="top"/>
          </w:tcPr>
          <w:p w14:paraId="23EC29F1">
            <w:pPr>
              <w:rPr>
                <w:rFonts w:ascii="Arial"/>
                <w:color w:val="auto"/>
                <w:sz w:val="24"/>
                <w:szCs w:val="24"/>
                <w:highlight w:val="none"/>
              </w:rPr>
            </w:pPr>
          </w:p>
        </w:tc>
        <w:tc>
          <w:tcPr>
            <w:tcW w:w="1280" w:type="dxa"/>
            <w:vAlign w:val="top"/>
          </w:tcPr>
          <w:p w14:paraId="1D4816E0">
            <w:pPr>
              <w:rPr>
                <w:rFonts w:ascii="Arial"/>
                <w:color w:val="auto"/>
                <w:sz w:val="24"/>
                <w:szCs w:val="24"/>
                <w:highlight w:val="none"/>
              </w:rPr>
            </w:pPr>
          </w:p>
        </w:tc>
      </w:tr>
      <w:tr w14:paraId="64D34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18F66A1">
            <w:pPr>
              <w:rPr>
                <w:rFonts w:ascii="Arial"/>
                <w:color w:val="auto"/>
                <w:sz w:val="24"/>
                <w:szCs w:val="24"/>
                <w:highlight w:val="none"/>
              </w:rPr>
            </w:pPr>
          </w:p>
        </w:tc>
        <w:tc>
          <w:tcPr>
            <w:tcW w:w="829" w:type="dxa"/>
            <w:vAlign w:val="top"/>
          </w:tcPr>
          <w:p w14:paraId="1625E28F">
            <w:pPr>
              <w:rPr>
                <w:rFonts w:ascii="Arial"/>
                <w:color w:val="auto"/>
                <w:sz w:val="24"/>
                <w:szCs w:val="24"/>
                <w:highlight w:val="none"/>
              </w:rPr>
            </w:pPr>
          </w:p>
        </w:tc>
        <w:tc>
          <w:tcPr>
            <w:tcW w:w="816" w:type="dxa"/>
            <w:vAlign w:val="top"/>
          </w:tcPr>
          <w:p w14:paraId="37CBB579">
            <w:pPr>
              <w:rPr>
                <w:rFonts w:ascii="Arial"/>
                <w:color w:val="auto"/>
                <w:sz w:val="24"/>
                <w:szCs w:val="24"/>
                <w:highlight w:val="none"/>
              </w:rPr>
            </w:pPr>
          </w:p>
        </w:tc>
        <w:tc>
          <w:tcPr>
            <w:tcW w:w="1147" w:type="dxa"/>
            <w:vAlign w:val="top"/>
          </w:tcPr>
          <w:p w14:paraId="29736F1E">
            <w:pPr>
              <w:rPr>
                <w:rFonts w:ascii="Arial"/>
                <w:color w:val="auto"/>
                <w:sz w:val="24"/>
                <w:szCs w:val="24"/>
                <w:highlight w:val="none"/>
              </w:rPr>
            </w:pPr>
          </w:p>
        </w:tc>
        <w:tc>
          <w:tcPr>
            <w:tcW w:w="1147" w:type="dxa"/>
            <w:vAlign w:val="top"/>
          </w:tcPr>
          <w:p w14:paraId="65FAA394">
            <w:pPr>
              <w:rPr>
                <w:rFonts w:ascii="Arial"/>
                <w:color w:val="auto"/>
                <w:sz w:val="24"/>
                <w:szCs w:val="24"/>
                <w:highlight w:val="none"/>
              </w:rPr>
            </w:pPr>
          </w:p>
        </w:tc>
        <w:tc>
          <w:tcPr>
            <w:tcW w:w="1147" w:type="dxa"/>
            <w:vAlign w:val="top"/>
          </w:tcPr>
          <w:p w14:paraId="6DCA12FF">
            <w:pPr>
              <w:rPr>
                <w:rFonts w:ascii="Arial"/>
                <w:color w:val="auto"/>
                <w:sz w:val="24"/>
                <w:szCs w:val="24"/>
                <w:highlight w:val="none"/>
              </w:rPr>
            </w:pPr>
          </w:p>
        </w:tc>
        <w:tc>
          <w:tcPr>
            <w:tcW w:w="1147" w:type="dxa"/>
            <w:vAlign w:val="top"/>
          </w:tcPr>
          <w:p w14:paraId="7984AE3E">
            <w:pPr>
              <w:rPr>
                <w:rFonts w:ascii="Arial"/>
                <w:color w:val="auto"/>
                <w:sz w:val="24"/>
                <w:szCs w:val="24"/>
                <w:highlight w:val="none"/>
              </w:rPr>
            </w:pPr>
          </w:p>
        </w:tc>
        <w:tc>
          <w:tcPr>
            <w:tcW w:w="850" w:type="dxa"/>
            <w:vAlign w:val="top"/>
          </w:tcPr>
          <w:p w14:paraId="35D311C2">
            <w:pPr>
              <w:rPr>
                <w:rFonts w:ascii="Arial"/>
                <w:color w:val="auto"/>
                <w:sz w:val="24"/>
                <w:szCs w:val="24"/>
                <w:highlight w:val="none"/>
              </w:rPr>
            </w:pPr>
          </w:p>
        </w:tc>
        <w:tc>
          <w:tcPr>
            <w:tcW w:w="1280" w:type="dxa"/>
            <w:vAlign w:val="top"/>
          </w:tcPr>
          <w:p w14:paraId="55234B81">
            <w:pPr>
              <w:rPr>
                <w:rFonts w:ascii="Arial"/>
                <w:color w:val="auto"/>
                <w:sz w:val="24"/>
                <w:szCs w:val="24"/>
                <w:highlight w:val="none"/>
              </w:rPr>
            </w:pPr>
          </w:p>
        </w:tc>
      </w:tr>
      <w:tr w14:paraId="5A95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4A778757">
            <w:pPr>
              <w:pStyle w:val="23"/>
              <w:spacing w:before="231" w:line="324" w:lineRule="exact"/>
              <w:ind w:left="307"/>
              <w:rPr>
                <w:color w:val="auto"/>
                <w:sz w:val="24"/>
                <w:szCs w:val="24"/>
                <w:highlight w:val="none"/>
              </w:rPr>
            </w:pPr>
            <w:r>
              <w:rPr>
                <w:color w:val="auto"/>
                <w:spacing w:val="-2"/>
                <w:position w:val="2"/>
                <w:sz w:val="24"/>
                <w:szCs w:val="24"/>
                <w:highlight w:val="none"/>
              </w:rPr>
              <w:t>……</w:t>
            </w:r>
          </w:p>
        </w:tc>
        <w:tc>
          <w:tcPr>
            <w:tcW w:w="829" w:type="dxa"/>
            <w:vAlign w:val="top"/>
          </w:tcPr>
          <w:p w14:paraId="4D975B29">
            <w:pPr>
              <w:rPr>
                <w:rFonts w:ascii="Arial"/>
                <w:color w:val="auto"/>
                <w:sz w:val="24"/>
                <w:szCs w:val="24"/>
                <w:highlight w:val="none"/>
              </w:rPr>
            </w:pPr>
          </w:p>
        </w:tc>
        <w:tc>
          <w:tcPr>
            <w:tcW w:w="816" w:type="dxa"/>
            <w:vAlign w:val="top"/>
          </w:tcPr>
          <w:p w14:paraId="42169E07">
            <w:pPr>
              <w:rPr>
                <w:rFonts w:ascii="Arial"/>
                <w:color w:val="auto"/>
                <w:sz w:val="24"/>
                <w:szCs w:val="24"/>
                <w:highlight w:val="none"/>
              </w:rPr>
            </w:pPr>
          </w:p>
        </w:tc>
        <w:tc>
          <w:tcPr>
            <w:tcW w:w="1147" w:type="dxa"/>
            <w:vAlign w:val="top"/>
          </w:tcPr>
          <w:p w14:paraId="1087AC88">
            <w:pPr>
              <w:rPr>
                <w:rFonts w:ascii="Arial"/>
                <w:color w:val="auto"/>
                <w:sz w:val="24"/>
                <w:szCs w:val="24"/>
                <w:highlight w:val="none"/>
              </w:rPr>
            </w:pPr>
          </w:p>
        </w:tc>
        <w:tc>
          <w:tcPr>
            <w:tcW w:w="1147" w:type="dxa"/>
            <w:vAlign w:val="top"/>
          </w:tcPr>
          <w:p w14:paraId="2879D325">
            <w:pPr>
              <w:rPr>
                <w:rFonts w:ascii="Arial"/>
                <w:color w:val="auto"/>
                <w:sz w:val="24"/>
                <w:szCs w:val="24"/>
                <w:highlight w:val="none"/>
              </w:rPr>
            </w:pPr>
          </w:p>
        </w:tc>
        <w:tc>
          <w:tcPr>
            <w:tcW w:w="1147" w:type="dxa"/>
            <w:vAlign w:val="top"/>
          </w:tcPr>
          <w:p w14:paraId="4F6192C4">
            <w:pPr>
              <w:rPr>
                <w:rFonts w:ascii="Arial"/>
                <w:color w:val="auto"/>
                <w:sz w:val="24"/>
                <w:szCs w:val="24"/>
                <w:highlight w:val="none"/>
              </w:rPr>
            </w:pPr>
          </w:p>
        </w:tc>
        <w:tc>
          <w:tcPr>
            <w:tcW w:w="1147" w:type="dxa"/>
            <w:vAlign w:val="top"/>
          </w:tcPr>
          <w:p w14:paraId="35959950">
            <w:pPr>
              <w:rPr>
                <w:rFonts w:ascii="Arial"/>
                <w:color w:val="auto"/>
                <w:sz w:val="24"/>
                <w:szCs w:val="24"/>
                <w:highlight w:val="none"/>
              </w:rPr>
            </w:pPr>
          </w:p>
        </w:tc>
        <w:tc>
          <w:tcPr>
            <w:tcW w:w="850" w:type="dxa"/>
            <w:vAlign w:val="top"/>
          </w:tcPr>
          <w:p w14:paraId="531B9B62">
            <w:pPr>
              <w:rPr>
                <w:rFonts w:ascii="Arial"/>
                <w:color w:val="auto"/>
                <w:sz w:val="24"/>
                <w:szCs w:val="24"/>
                <w:highlight w:val="none"/>
              </w:rPr>
            </w:pPr>
          </w:p>
        </w:tc>
        <w:tc>
          <w:tcPr>
            <w:tcW w:w="1280" w:type="dxa"/>
            <w:vAlign w:val="top"/>
          </w:tcPr>
          <w:p w14:paraId="6071428B">
            <w:pPr>
              <w:rPr>
                <w:rFonts w:ascii="Arial"/>
                <w:color w:val="auto"/>
                <w:sz w:val="24"/>
                <w:szCs w:val="24"/>
                <w:highlight w:val="none"/>
              </w:rPr>
            </w:pPr>
          </w:p>
        </w:tc>
      </w:tr>
      <w:tr w14:paraId="09AD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9"/>
            <w:vAlign w:val="top"/>
          </w:tcPr>
          <w:p w14:paraId="2BEA39F9">
            <w:pPr>
              <w:pStyle w:val="23"/>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left"/>
              <w:textAlignment w:val="baseline"/>
              <w:rPr>
                <w:color w:val="auto"/>
                <w:sz w:val="24"/>
                <w:szCs w:val="24"/>
                <w:highlight w:val="none"/>
              </w:rPr>
            </w:pPr>
            <w:r>
              <w:rPr>
                <w:rFonts w:ascii="宋体" w:hAnsi="宋体" w:eastAsia="宋体" w:cs="宋体"/>
                <w:snapToGrid w:val="0"/>
                <w:color w:val="auto"/>
                <w:spacing w:val="10"/>
                <w:kern w:val="0"/>
                <w:sz w:val="24"/>
                <w:szCs w:val="24"/>
                <w:highlight w:val="none"/>
                <w:lang w:val="en-US" w:eastAsia="en-US" w:bidi="ar-SA"/>
              </w:rPr>
              <w:t>一旦我单位成交，将实行项目经理负责制，我方保证并配备上述项目管理机构。上述填报内容真实，若不真实，愿按有关规定接受处理。项目管理班子机构设置、职责分工等情况另附资料说明</w:t>
            </w:r>
          </w:p>
        </w:tc>
      </w:tr>
    </w:tbl>
    <w:p w14:paraId="3800507C">
      <w:pPr>
        <w:spacing w:before="101" w:line="296" w:lineRule="auto"/>
        <w:ind w:left="250" w:right="245" w:hanging="4"/>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【备注：附安全员证件、响应文件递交截止时间前</w:t>
      </w:r>
      <w:r>
        <w:rPr>
          <w:rFonts w:ascii="宋体" w:hAnsi="宋体" w:eastAsia="宋体" w:cs="宋体"/>
          <w:color w:val="auto"/>
          <w:spacing w:val="-18"/>
          <w:sz w:val="24"/>
          <w:szCs w:val="24"/>
          <w:highlight w:val="none"/>
        </w:rPr>
        <w:t xml:space="preserve"> </w:t>
      </w:r>
      <w:r>
        <w:rPr>
          <w:rFonts w:ascii="宋体" w:hAnsi="宋体" w:eastAsia="宋体" w:cs="宋体"/>
          <w:color w:val="auto"/>
          <w:spacing w:val="10"/>
          <w:sz w:val="24"/>
          <w:szCs w:val="24"/>
          <w:highlight w:val="none"/>
        </w:rPr>
        <w:t>6</w:t>
      </w:r>
      <w:r>
        <w:rPr>
          <w:rFonts w:ascii="宋体" w:hAnsi="宋体" w:eastAsia="宋体" w:cs="宋体"/>
          <w:color w:val="auto"/>
          <w:spacing w:val="-36"/>
          <w:sz w:val="24"/>
          <w:szCs w:val="24"/>
          <w:highlight w:val="none"/>
        </w:rPr>
        <w:t xml:space="preserve"> </w:t>
      </w:r>
      <w:r>
        <w:rPr>
          <w:rFonts w:ascii="宋体" w:hAnsi="宋体" w:eastAsia="宋体" w:cs="宋体"/>
          <w:color w:val="auto"/>
          <w:spacing w:val="10"/>
          <w:sz w:val="24"/>
          <w:szCs w:val="24"/>
          <w:highlight w:val="none"/>
        </w:rPr>
        <w:t>个月内任意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0"/>
          <w:sz w:val="24"/>
          <w:szCs w:val="24"/>
          <w:highlight w:val="none"/>
        </w:rPr>
        <w:t>3</w:t>
      </w:r>
      <w:r>
        <w:rPr>
          <w:rFonts w:ascii="宋体" w:hAnsi="宋体" w:eastAsia="宋体" w:cs="宋体"/>
          <w:color w:val="auto"/>
          <w:spacing w:val="-35"/>
          <w:sz w:val="24"/>
          <w:szCs w:val="24"/>
          <w:highlight w:val="none"/>
        </w:rPr>
        <w:t xml:space="preserve"> </w:t>
      </w:r>
      <w:r>
        <w:rPr>
          <w:rFonts w:ascii="宋体" w:hAnsi="宋体" w:eastAsia="宋体" w:cs="宋体"/>
          <w:color w:val="auto"/>
          <w:spacing w:val="10"/>
          <w:sz w:val="24"/>
          <w:szCs w:val="24"/>
          <w:highlight w:val="none"/>
        </w:rPr>
        <w:t>个月在现任职单位依法缴纳社会保险的凭证等相关证明材料的复印件，</w:t>
      </w:r>
      <w:r>
        <w:rPr>
          <w:rFonts w:ascii="宋体" w:hAnsi="宋体" w:eastAsia="宋体" w:cs="宋体"/>
          <w:color w:val="auto"/>
          <w:spacing w:val="-54"/>
          <w:sz w:val="24"/>
          <w:szCs w:val="24"/>
          <w:highlight w:val="none"/>
        </w:rPr>
        <w:t xml:space="preserve"> </w:t>
      </w:r>
      <w:r>
        <w:rPr>
          <w:rFonts w:ascii="宋体" w:hAnsi="宋体" w:eastAsia="宋体" w:cs="宋体"/>
          <w:color w:val="auto"/>
          <w:spacing w:val="10"/>
          <w:sz w:val="24"/>
          <w:szCs w:val="24"/>
          <w:highlight w:val="none"/>
        </w:rPr>
        <w:t>以及供应商认为需要增加的其他证</w:t>
      </w:r>
      <w:r>
        <w:rPr>
          <w:rFonts w:ascii="宋体" w:hAnsi="宋体" w:eastAsia="宋体" w:cs="宋体"/>
          <w:color w:val="auto"/>
          <w:spacing w:val="9"/>
          <w:sz w:val="24"/>
          <w:szCs w:val="24"/>
          <w:highlight w:val="none"/>
        </w:rPr>
        <w:t>明材料复印件，以上复印件须</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加盖供应商单位公章。】</w:t>
      </w:r>
    </w:p>
    <w:p w14:paraId="15022290">
      <w:pPr>
        <w:spacing w:line="296" w:lineRule="auto"/>
        <w:rPr>
          <w:rFonts w:ascii="宋体" w:hAnsi="宋体" w:eastAsia="宋体" w:cs="宋体"/>
          <w:color w:val="auto"/>
          <w:sz w:val="19"/>
          <w:szCs w:val="19"/>
          <w:highlight w:val="none"/>
        </w:rPr>
        <w:sectPr>
          <w:footerReference r:id="rId26" w:type="default"/>
          <w:pgSz w:w="11905" w:h="16838"/>
          <w:pgMar w:top="1134" w:right="1134" w:bottom="1134" w:left="1134" w:header="0" w:footer="992" w:gutter="0"/>
          <w:pgNumType w:fmt="decimal"/>
          <w:cols w:space="0" w:num="1"/>
          <w:rtlGutter w:val="0"/>
          <w:docGrid w:linePitch="0" w:charSpace="0"/>
        </w:sectPr>
      </w:pPr>
    </w:p>
    <w:p w14:paraId="76C31EAE">
      <w:pPr>
        <w:spacing w:before="230" w:line="227" w:lineRule="auto"/>
        <w:jc w:val="both"/>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4）本工程拟投入列入节能产品政府采购品目清单及环境</w:t>
      </w:r>
      <w:r>
        <w:rPr>
          <w:rFonts w:ascii="宋体" w:hAnsi="宋体" w:eastAsia="宋体" w:cs="宋体"/>
          <w:color w:val="auto"/>
          <w:spacing w:val="8"/>
          <w:sz w:val="24"/>
          <w:szCs w:val="24"/>
          <w:highlight w:val="none"/>
        </w:rPr>
        <w:t>标志产品政府采购品目清单的产品。（如</w:t>
      </w:r>
      <w:r>
        <w:rPr>
          <w:rFonts w:ascii="宋体" w:hAnsi="宋体" w:eastAsia="宋体" w:cs="宋体"/>
          <w:color w:val="auto"/>
          <w:sz w:val="24"/>
          <w:szCs w:val="24"/>
          <w:highlight w:val="none"/>
        </w:rPr>
        <w:t>有）</w:t>
      </w:r>
    </w:p>
    <w:p w14:paraId="37409455">
      <w:pPr>
        <w:pStyle w:val="8"/>
        <w:spacing w:line="283" w:lineRule="auto"/>
        <w:rPr>
          <w:color w:val="auto"/>
          <w:sz w:val="24"/>
          <w:szCs w:val="24"/>
          <w:highlight w:val="none"/>
        </w:rPr>
      </w:pPr>
    </w:p>
    <w:p w14:paraId="61E6A272">
      <w:pPr>
        <w:spacing w:before="65" w:line="227" w:lineRule="auto"/>
        <w:ind w:left="1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（9）除磋商文件规定必须提供以外，供应商认为需要提供的其他证明</w:t>
      </w:r>
      <w:r>
        <w:rPr>
          <w:rFonts w:ascii="宋体" w:hAnsi="宋体" w:eastAsia="宋体" w:cs="宋体"/>
          <w:color w:val="auto"/>
          <w:spacing w:val="8"/>
          <w:sz w:val="24"/>
          <w:szCs w:val="24"/>
          <w:highlight w:val="none"/>
        </w:rPr>
        <w:t>材料；</w:t>
      </w:r>
    </w:p>
    <w:p w14:paraId="42044470">
      <w:pPr>
        <w:spacing w:line="227" w:lineRule="auto"/>
        <w:rPr>
          <w:rFonts w:ascii="宋体" w:hAnsi="宋体" w:eastAsia="宋体" w:cs="宋体"/>
          <w:color w:val="auto"/>
          <w:sz w:val="20"/>
          <w:szCs w:val="20"/>
          <w:highlight w:val="none"/>
        </w:rPr>
        <w:sectPr>
          <w:footerReference r:id="rId27" w:type="default"/>
          <w:pgSz w:w="11905" w:h="16838"/>
          <w:pgMar w:top="1134" w:right="1134" w:bottom="1134" w:left="1134" w:header="0" w:footer="992" w:gutter="0"/>
          <w:pgNumType w:fmt="decimal"/>
          <w:cols w:space="0" w:num="1"/>
          <w:rtlGutter w:val="0"/>
          <w:docGrid w:linePitch="0" w:charSpace="0"/>
        </w:sectPr>
      </w:pPr>
    </w:p>
    <w:p w14:paraId="713605DB">
      <w:pPr>
        <w:pStyle w:val="8"/>
        <w:spacing w:line="274" w:lineRule="auto"/>
        <w:rPr>
          <w:color w:val="auto"/>
          <w:highlight w:val="none"/>
        </w:rPr>
      </w:pPr>
    </w:p>
    <w:p w14:paraId="1A5B5F7F">
      <w:pPr>
        <w:pStyle w:val="8"/>
        <w:spacing w:line="274" w:lineRule="auto"/>
        <w:rPr>
          <w:color w:val="auto"/>
          <w:highlight w:val="none"/>
        </w:rPr>
      </w:pPr>
    </w:p>
    <w:p w14:paraId="52C5DA07">
      <w:pPr>
        <w:spacing w:before="101" w:line="223" w:lineRule="auto"/>
        <w:ind w:left="2757"/>
        <w:rPr>
          <w:rFonts w:hint="eastAsia" w:ascii="宋体" w:hAnsi="宋体" w:eastAsia="宋体" w:cs="宋体"/>
          <w:color w:val="auto"/>
          <w:sz w:val="31"/>
          <w:szCs w:val="31"/>
          <w:highlight w:val="none"/>
          <w:lang w:eastAsia="zh-CN"/>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第二部分</w:t>
      </w:r>
      <w:r>
        <w:rPr>
          <w:rFonts w:ascii="宋体" w:hAnsi="宋体" w:eastAsia="宋体" w:cs="宋体"/>
          <w:color w:val="auto"/>
          <w:spacing w:val="9"/>
          <w:sz w:val="31"/>
          <w:szCs w:val="31"/>
          <w:highlight w:val="none"/>
        </w:rPr>
        <w:t xml:space="preserve"> </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商务</w:t>
      </w:r>
      <w:r>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t>文件</w:t>
      </w:r>
    </w:p>
    <w:p w14:paraId="422DD13A">
      <w:pPr>
        <w:pStyle w:val="8"/>
        <w:spacing w:line="332" w:lineRule="auto"/>
        <w:rPr>
          <w:color w:val="auto"/>
          <w:highlight w:val="none"/>
        </w:rPr>
      </w:pPr>
    </w:p>
    <w:p w14:paraId="32BBE036">
      <w:pPr>
        <w:spacing w:before="91" w:line="220" w:lineRule="auto"/>
        <w:ind w:left="2743"/>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(1)无串通磋商行为的承诺函</w:t>
      </w:r>
    </w:p>
    <w:p w14:paraId="072E7358">
      <w:pPr>
        <w:spacing w:line="360" w:lineRule="auto"/>
        <w:rPr>
          <w:rFonts w:hint="eastAsia" w:ascii="宋体" w:hAnsi="宋体" w:eastAsia="宋体" w:cs="宋体"/>
          <w:color w:val="auto"/>
          <w:sz w:val="24"/>
          <w:szCs w:val="24"/>
          <w:highlight w:val="none"/>
        </w:rPr>
      </w:pPr>
    </w:p>
    <w:p w14:paraId="0DB876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一、我公司承诺无下列相互串通磋商的情形：</w:t>
      </w:r>
    </w:p>
    <w:p w14:paraId="663181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1.不同供应商的响应文件由同一单位或者个人编制；或者不同供应商报名的IP地址一致的；</w:t>
      </w:r>
    </w:p>
    <w:p w14:paraId="63345F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2.不同供应商委托同一单位或者个人办理投标事宜；</w:t>
      </w:r>
    </w:p>
    <w:p w14:paraId="3546CE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1DB618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4.不同供应商的响应文件异常一致或者投标报价呈规律性差异；</w:t>
      </w:r>
    </w:p>
    <w:p w14:paraId="1B4855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14:paraId="26F98B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6.不同供应商的磋商保证金从同一单位或者个人账户转出。</w:t>
      </w:r>
    </w:p>
    <w:p w14:paraId="184CEF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二、我公司承诺无下列恶意串通的情形：</w:t>
      </w:r>
    </w:p>
    <w:p w14:paraId="73B469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1.供应商直接或者间接从采购人或者采购代理机构处获得其他供应商的相关信息并修改其响</w:t>
      </w:r>
    </w:p>
    <w:p w14:paraId="10BA3E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应文件；</w:t>
      </w:r>
    </w:p>
    <w:p w14:paraId="527775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2.供应商按照采购人或者采购代理机构的授意撤换、修改响应文件；</w:t>
      </w:r>
    </w:p>
    <w:p w14:paraId="69EBD8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3.供应商之间协商报价、技术方案等响应文件的实质性内容；</w:t>
      </w:r>
    </w:p>
    <w:p w14:paraId="7083E0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4.属于同一集团、协会、商会等组织成员的供应商按照该组织要求协同参加政府采购活动；</w:t>
      </w:r>
    </w:p>
    <w:p w14:paraId="7D013E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5.供应商之间事先约定一致抬高或者压低磋商报价,或者在竞争性磋商项目中事先约定轮流</w:t>
      </w:r>
    </w:p>
    <w:p w14:paraId="5CC3A9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以高价位或者低价位成交,或者事先约定由某一特定供应商成交,然后再参加磋商；</w:t>
      </w:r>
    </w:p>
    <w:p w14:paraId="6B3610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6.供应商之间商定部分供应商放弃参加政府采购活动或者放弃成交；</w:t>
      </w:r>
    </w:p>
    <w:p w14:paraId="03C205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7.供应商与采购人或者采购代理机构之间、供应商相互之间，为谋求特定供应商成交或者排斥其他供应商的其他串通行为。</w:t>
      </w:r>
    </w:p>
    <w:p w14:paraId="3460AB75">
      <w:pPr>
        <w:spacing w:line="360" w:lineRule="auto"/>
        <w:rPr>
          <w:rFonts w:hint="eastAsia" w:ascii="宋体" w:hAnsi="宋体" w:eastAsia="宋体" w:cs="宋体"/>
          <w:color w:val="auto"/>
          <w:sz w:val="24"/>
          <w:szCs w:val="24"/>
          <w:highlight w:val="none"/>
        </w:rPr>
      </w:pPr>
    </w:p>
    <w:p w14:paraId="3E76C0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以上情形一经核查属实，我方愿意承担一切后果，并不再寻求任何旨在减轻或者免除法律责</w:t>
      </w:r>
    </w:p>
    <w:p w14:paraId="4209F4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任的辩解。</w:t>
      </w:r>
    </w:p>
    <w:p w14:paraId="382F0AE5">
      <w:pPr>
        <w:spacing w:line="360" w:lineRule="auto"/>
        <w:rPr>
          <w:rFonts w:hint="eastAsia" w:ascii="宋体" w:hAnsi="宋体" w:eastAsia="宋体" w:cs="宋体"/>
          <w:color w:val="auto"/>
          <w:sz w:val="24"/>
          <w:szCs w:val="24"/>
          <w:highlight w:val="none"/>
        </w:rPr>
      </w:pPr>
    </w:p>
    <w:p w14:paraId="34830BF0">
      <w:pPr>
        <w:spacing w:line="360" w:lineRule="auto"/>
        <w:rPr>
          <w:rFonts w:hint="eastAsia" w:ascii="宋体" w:hAnsi="宋体" w:eastAsia="宋体" w:cs="宋体"/>
          <w:color w:val="auto"/>
          <w:sz w:val="24"/>
          <w:szCs w:val="24"/>
          <w:highlight w:val="none"/>
        </w:rPr>
      </w:pPr>
    </w:p>
    <w:p w14:paraId="137302FE">
      <w:pPr>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供应商（盖公章 ）：</w:t>
      </w:r>
    </w:p>
    <w:p w14:paraId="7740328C">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F7CA446">
      <w:pPr>
        <w:spacing w:line="228" w:lineRule="auto"/>
        <w:rPr>
          <w:rFonts w:ascii="宋体" w:hAnsi="宋体" w:eastAsia="宋体" w:cs="宋体"/>
          <w:color w:val="auto"/>
          <w:sz w:val="20"/>
          <w:szCs w:val="20"/>
          <w:highlight w:val="none"/>
        </w:rPr>
        <w:sectPr>
          <w:footerReference r:id="rId28" w:type="default"/>
          <w:pgSz w:w="11905" w:h="16838"/>
          <w:pgMar w:top="1134" w:right="1134" w:bottom="1134" w:left="1134" w:header="0" w:footer="992" w:gutter="0"/>
          <w:pgNumType w:fmt="decimal"/>
          <w:cols w:space="0" w:num="1"/>
          <w:rtlGutter w:val="0"/>
          <w:docGrid w:linePitch="0" w:charSpace="0"/>
        </w:sectPr>
      </w:pPr>
    </w:p>
    <w:p w14:paraId="07B57629">
      <w:pPr>
        <w:spacing w:before="41" w:line="228" w:lineRule="auto"/>
        <w:ind w:left="243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2</w:t>
      </w:r>
      <w:r>
        <w:rPr>
          <w:rFonts w:ascii="宋体" w:hAnsi="宋体" w:eastAsia="宋体" w:cs="宋体"/>
          <w:color w:val="auto"/>
          <w:spacing w:val="7"/>
          <w:sz w:val="24"/>
          <w:szCs w:val="24"/>
          <w:highlight w:val="none"/>
        </w:rPr>
        <w:t>）法定代表人身份证明</w:t>
      </w:r>
    </w:p>
    <w:p w14:paraId="09245BC9">
      <w:pPr>
        <w:pStyle w:val="8"/>
        <w:spacing w:line="253" w:lineRule="auto"/>
        <w:rPr>
          <w:color w:val="auto"/>
          <w:sz w:val="24"/>
          <w:szCs w:val="24"/>
          <w:highlight w:val="none"/>
        </w:rPr>
      </w:pPr>
    </w:p>
    <w:p w14:paraId="05724292">
      <w:pPr>
        <w:pStyle w:val="8"/>
        <w:spacing w:line="254" w:lineRule="auto"/>
        <w:rPr>
          <w:color w:val="auto"/>
          <w:sz w:val="24"/>
          <w:szCs w:val="24"/>
          <w:highlight w:val="none"/>
        </w:rPr>
      </w:pPr>
    </w:p>
    <w:p w14:paraId="0A55A60A">
      <w:pPr>
        <w:pStyle w:val="8"/>
        <w:spacing w:line="254" w:lineRule="auto"/>
        <w:rPr>
          <w:color w:val="auto"/>
          <w:sz w:val="24"/>
          <w:szCs w:val="24"/>
          <w:highlight w:val="none"/>
        </w:rPr>
      </w:pPr>
    </w:p>
    <w:p w14:paraId="126DDE4C">
      <w:pPr>
        <w:spacing w:before="65" w:line="227" w:lineRule="auto"/>
        <w:ind w:left="54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供应商名称：</w:t>
      </w:r>
      <w:r>
        <w:rPr>
          <w:rFonts w:ascii="宋体" w:hAnsi="宋体" w:eastAsia="宋体" w:cs="宋体"/>
          <w:color w:val="auto"/>
          <w:sz w:val="24"/>
          <w:szCs w:val="24"/>
          <w:highlight w:val="none"/>
          <w:u w:val="single" w:color="auto"/>
        </w:rPr>
        <w:t xml:space="preserve">                                                           </w:t>
      </w:r>
    </w:p>
    <w:p w14:paraId="6F3C249C">
      <w:pPr>
        <w:spacing w:before="222" w:line="237"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p>
    <w:p w14:paraId="5C5A3F81">
      <w:pPr>
        <w:spacing w:before="210" w:line="228"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姓</w:t>
      </w:r>
      <w:r>
        <w:rPr>
          <w:rFonts w:ascii="宋体" w:hAnsi="宋体" w:eastAsia="宋体" w:cs="宋体"/>
          <w:color w:val="auto"/>
          <w:spacing w:val="9"/>
          <w:sz w:val="24"/>
          <w:szCs w:val="24"/>
          <w:highlight w:val="none"/>
        </w:rPr>
        <w:t xml:space="preserve">    </w:t>
      </w:r>
      <w:r>
        <w:rPr>
          <w:rFonts w:ascii="宋体" w:hAnsi="宋体" w:eastAsia="宋体" w:cs="宋体"/>
          <w:color w:val="auto"/>
          <w:spacing w:val="2"/>
          <w:sz w:val="24"/>
          <w:szCs w:val="24"/>
          <w:highlight w:val="none"/>
        </w:rPr>
        <w:t>名：</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89"/>
          <w:sz w:val="24"/>
          <w:szCs w:val="24"/>
          <w:highlight w:val="none"/>
        </w:rPr>
        <w:t xml:space="preserve"> </w:t>
      </w:r>
      <w:r>
        <w:rPr>
          <w:rFonts w:ascii="宋体" w:hAnsi="宋体" w:eastAsia="宋体" w:cs="宋体"/>
          <w:color w:val="auto"/>
          <w:spacing w:val="2"/>
          <w:sz w:val="24"/>
          <w:szCs w:val="24"/>
          <w:highlight w:val="none"/>
        </w:rPr>
        <w:t>性</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别：</w:t>
      </w:r>
      <w:r>
        <w:rPr>
          <w:rFonts w:ascii="宋体" w:hAnsi="宋体" w:eastAsia="宋体" w:cs="宋体"/>
          <w:color w:val="auto"/>
          <w:sz w:val="24"/>
          <w:szCs w:val="24"/>
          <w:highlight w:val="none"/>
          <w:u w:val="single" w:color="auto"/>
        </w:rPr>
        <w:t xml:space="preserve">                 </w:t>
      </w:r>
    </w:p>
    <w:p w14:paraId="7865843B">
      <w:pPr>
        <w:spacing w:before="220" w:line="228" w:lineRule="auto"/>
        <w:ind w:left="54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龄：</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91"/>
          <w:sz w:val="24"/>
          <w:szCs w:val="24"/>
          <w:highlight w:val="none"/>
        </w:rPr>
        <w:t xml:space="preserve"> </w:t>
      </w:r>
      <w:r>
        <w:rPr>
          <w:rFonts w:ascii="宋体" w:hAnsi="宋体" w:eastAsia="宋体" w:cs="宋体"/>
          <w:color w:val="auto"/>
          <w:spacing w:val="3"/>
          <w:sz w:val="24"/>
          <w:szCs w:val="24"/>
          <w:highlight w:val="none"/>
        </w:rPr>
        <w:t>职</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务：</w:t>
      </w:r>
      <w:r>
        <w:rPr>
          <w:rFonts w:ascii="宋体" w:hAnsi="宋体" w:eastAsia="宋体" w:cs="宋体"/>
          <w:color w:val="auto"/>
          <w:sz w:val="24"/>
          <w:szCs w:val="24"/>
          <w:highlight w:val="none"/>
          <w:u w:val="single" w:color="auto"/>
        </w:rPr>
        <w:t xml:space="preserve">                 </w:t>
      </w:r>
    </w:p>
    <w:p w14:paraId="7FE5AC00">
      <w:pPr>
        <w:spacing w:before="222" w:line="432" w:lineRule="auto"/>
        <w:ind w:left="54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身份证号码：</w:t>
      </w:r>
      <w:r>
        <w:rPr>
          <w:rFonts w:ascii="宋体" w:hAnsi="宋体" w:eastAsia="宋体" w:cs="宋体"/>
          <w:color w:val="auto"/>
          <w:sz w:val="24"/>
          <w:szCs w:val="24"/>
          <w:highlight w:val="none"/>
          <w:u w:val="single" w:color="auto"/>
        </w:rPr>
        <w:t xml:space="preserve">                                          </w:t>
      </w:r>
    </w:p>
    <w:p w14:paraId="23316610">
      <w:pPr>
        <w:spacing w:line="226" w:lineRule="auto"/>
        <w:ind w:left="54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系</w:t>
      </w:r>
      <w:r>
        <w:rPr>
          <w:rFonts w:ascii="宋体" w:hAnsi="宋体" w:eastAsia="宋体" w:cs="宋体"/>
          <w:color w:val="auto"/>
          <w:spacing w:val="6"/>
          <w:sz w:val="24"/>
          <w:szCs w:val="24"/>
          <w:highlight w:val="none"/>
          <w:u w:val="single" w:color="auto"/>
        </w:rPr>
        <w:t xml:space="preserve">    （供应商名称）   </w:t>
      </w:r>
      <w:r>
        <w:rPr>
          <w:rFonts w:ascii="宋体" w:hAnsi="宋体" w:eastAsia="宋体" w:cs="宋体"/>
          <w:color w:val="auto"/>
          <w:spacing w:val="-74"/>
          <w:sz w:val="24"/>
          <w:szCs w:val="24"/>
          <w:highlight w:val="none"/>
        </w:rPr>
        <w:t xml:space="preserve"> </w:t>
      </w:r>
      <w:r>
        <w:rPr>
          <w:rFonts w:ascii="宋体" w:hAnsi="宋体" w:eastAsia="宋体" w:cs="宋体"/>
          <w:color w:val="auto"/>
          <w:spacing w:val="6"/>
          <w:sz w:val="24"/>
          <w:szCs w:val="24"/>
          <w:highlight w:val="none"/>
        </w:rPr>
        <w:t>的法定代表人。</w:t>
      </w:r>
    </w:p>
    <w:p w14:paraId="1BFB5C2D">
      <w:pPr>
        <w:spacing w:before="222" w:line="228" w:lineRule="auto"/>
        <w:ind w:left="54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特此证明。</w:t>
      </w:r>
    </w:p>
    <w:p w14:paraId="095D96F2">
      <w:pPr>
        <w:pStyle w:val="8"/>
        <w:spacing w:line="258" w:lineRule="auto"/>
        <w:rPr>
          <w:color w:val="auto"/>
          <w:sz w:val="24"/>
          <w:szCs w:val="24"/>
          <w:highlight w:val="none"/>
        </w:rPr>
      </w:pPr>
    </w:p>
    <w:p w14:paraId="091CC64E">
      <w:pPr>
        <w:pStyle w:val="8"/>
        <w:spacing w:line="258" w:lineRule="auto"/>
        <w:rPr>
          <w:color w:val="auto"/>
          <w:sz w:val="24"/>
          <w:szCs w:val="24"/>
          <w:highlight w:val="none"/>
        </w:rPr>
      </w:pPr>
    </w:p>
    <w:p w14:paraId="53F887DE">
      <w:pPr>
        <w:pStyle w:val="8"/>
        <w:spacing w:line="258" w:lineRule="auto"/>
        <w:rPr>
          <w:color w:val="auto"/>
          <w:sz w:val="24"/>
          <w:szCs w:val="24"/>
          <w:highlight w:val="none"/>
        </w:rPr>
      </w:pPr>
    </w:p>
    <w:p w14:paraId="1BC4BCD1">
      <w:pPr>
        <w:pStyle w:val="8"/>
        <w:spacing w:line="258" w:lineRule="auto"/>
        <w:rPr>
          <w:color w:val="auto"/>
          <w:sz w:val="24"/>
          <w:szCs w:val="24"/>
          <w:highlight w:val="none"/>
        </w:rPr>
      </w:pPr>
    </w:p>
    <w:p w14:paraId="67F62A2E">
      <w:pPr>
        <w:pStyle w:val="8"/>
        <w:spacing w:line="259" w:lineRule="auto"/>
        <w:rPr>
          <w:color w:val="auto"/>
          <w:sz w:val="24"/>
          <w:szCs w:val="24"/>
          <w:highlight w:val="none"/>
        </w:rPr>
      </w:pPr>
    </w:p>
    <w:p w14:paraId="4E3E53D9">
      <w:pPr>
        <w:pStyle w:val="8"/>
        <w:spacing w:line="259" w:lineRule="auto"/>
        <w:rPr>
          <w:color w:val="auto"/>
          <w:sz w:val="24"/>
          <w:szCs w:val="24"/>
          <w:highlight w:val="none"/>
        </w:rPr>
      </w:pPr>
    </w:p>
    <w:p w14:paraId="5FE7AA1F">
      <w:pPr>
        <w:spacing w:before="66" w:line="227" w:lineRule="auto"/>
        <w:ind w:left="55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附件：法定代表人有效身份证正反面复印件</w:t>
      </w:r>
    </w:p>
    <w:p w14:paraId="6093F3C8">
      <w:pPr>
        <w:pStyle w:val="8"/>
        <w:spacing w:line="310" w:lineRule="auto"/>
        <w:rPr>
          <w:color w:val="auto"/>
          <w:sz w:val="24"/>
          <w:szCs w:val="24"/>
          <w:highlight w:val="none"/>
        </w:rPr>
      </w:pPr>
    </w:p>
    <w:p w14:paraId="2839A88D">
      <w:pPr>
        <w:pStyle w:val="8"/>
        <w:spacing w:line="311" w:lineRule="auto"/>
        <w:rPr>
          <w:color w:val="auto"/>
          <w:sz w:val="24"/>
          <w:szCs w:val="24"/>
          <w:highlight w:val="none"/>
        </w:rPr>
      </w:pPr>
    </w:p>
    <w:p w14:paraId="4FB64905">
      <w:pPr>
        <w:spacing w:before="66" w:line="485" w:lineRule="auto"/>
        <w:ind w:left="336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供应商（盖公章</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u w:val="single" w:color="auto"/>
        </w:rPr>
        <w:t xml:space="preserve">                </w:t>
      </w:r>
    </w:p>
    <w:p w14:paraId="2C65A29B">
      <w:pPr>
        <w:tabs>
          <w:tab w:val="left" w:pos="4086"/>
        </w:tabs>
        <w:spacing w:line="227" w:lineRule="auto"/>
        <w:ind w:left="3563"/>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0"/>
          <w:sz w:val="24"/>
          <w:szCs w:val="24"/>
          <w:highlight w:val="none"/>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97"/>
          <w:sz w:val="24"/>
          <w:szCs w:val="24"/>
          <w:highlight w:val="none"/>
        </w:rPr>
        <w:t xml:space="preserve"> </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87"/>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55"/>
          <w:sz w:val="24"/>
          <w:szCs w:val="24"/>
          <w:highlight w:val="none"/>
        </w:rPr>
        <w:t xml:space="preserve"> </w:t>
      </w:r>
      <w:r>
        <w:rPr>
          <w:rFonts w:ascii="宋体" w:hAnsi="宋体" w:eastAsia="宋体" w:cs="宋体"/>
          <w:color w:val="auto"/>
          <w:spacing w:val="-2"/>
          <w:sz w:val="24"/>
          <w:szCs w:val="24"/>
          <w:highlight w:val="none"/>
        </w:rPr>
        <w:t>日</w:t>
      </w:r>
    </w:p>
    <w:p w14:paraId="2DB260DD">
      <w:pPr>
        <w:pStyle w:val="8"/>
        <w:spacing w:line="270" w:lineRule="auto"/>
        <w:rPr>
          <w:color w:val="auto"/>
          <w:sz w:val="24"/>
          <w:szCs w:val="24"/>
          <w:highlight w:val="none"/>
        </w:rPr>
      </w:pPr>
    </w:p>
    <w:p w14:paraId="4A0FEA55">
      <w:pPr>
        <w:pStyle w:val="8"/>
        <w:spacing w:line="270" w:lineRule="auto"/>
        <w:rPr>
          <w:color w:val="auto"/>
          <w:sz w:val="24"/>
          <w:szCs w:val="24"/>
          <w:highlight w:val="none"/>
        </w:rPr>
      </w:pPr>
    </w:p>
    <w:p w14:paraId="6483414E">
      <w:pPr>
        <w:pStyle w:val="8"/>
        <w:spacing w:line="271" w:lineRule="auto"/>
        <w:rPr>
          <w:color w:val="auto"/>
          <w:sz w:val="24"/>
          <w:szCs w:val="24"/>
          <w:highlight w:val="none"/>
        </w:rPr>
      </w:pPr>
    </w:p>
    <w:p w14:paraId="03D11D51">
      <w:pPr>
        <w:spacing w:before="66" w:line="227"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注：1.</w:t>
      </w:r>
      <w:r>
        <w:rPr>
          <w:rFonts w:ascii="宋体" w:hAnsi="宋体" w:eastAsia="宋体" w:cs="宋体"/>
          <w:color w:val="auto"/>
          <w:spacing w:val="-44"/>
          <w:sz w:val="24"/>
          <w:szCs w:val="24"/>
          <w:highlight w:val="none"/>
        </w:rPr>
        <w:t xml:space="preserve"> </w:t>
      </w:r>
      <w:r>
        <w:rPr>
          <w:rFonts w:ascii="宋体" w:hAnsi="宋体" w:eastAsia="宋体" w:cs="宋体"/>
          <w:color w:val="auto"/>
          <w:spacing w:val="7"/>
          <w:sz w:val="24"/>
          <w:szCs w:val="24"/>
          <w:highlight w:val="none"/>
        </w:rPr>
        <w:t>自然人磋商的无需提供，联合体磋商的只需牵头人出具。</w:t>
      </w:r>
    </w:p>
    <w:p w14:paraId="1EA35794">
      <w:pPr>
        <w:pStyle w:val="8"/>
        <w:spacing w:line="253" w:lineRule="auto"/>
        <w:rPr>
          <w:color w:val="auto"/>
          <w:sz w:val="24"/>
          <w:szCs w:val="24"/>
          <w:highlight w:val="none"/>
        </w:rPr>
      </w:pPr>
    </w:p>
    <w:p w14:paraId="25A8D44E">
      <w:pPr>
        <w:spacing w:before="65" w:line="377" w:lineRule="auto"/>
        <w:ind w:firstLine="423"/>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2.供应商为其他组织或者自然人时，本磋</w:t>
      </w:r>
      <w:r>
        <w:rPr>
          <w:rFonts w:ascii="宋体" w:hAnsi="宋体" w:eastAsia="宋体" w:cs="宋体"/>
          <w:color w:val="auto"/>
          <w:spacing w:val="9"/>
          <w:sz w:val="24"/>
          <w:szCs w:val="24"/>
          <w:highlight w:val="none"/>
        </w:rPr>
        <w:t>商文件规定的法定代表人指负责人或者自然人。本</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磋商文件所称负责人是指参加磋商的其他组织营业执照上的负责人，本</w:t>
      </w:r>
      <w:r>
        <w:rPr>
          <w:rFonts w:ascii="宋体" w:hAnsi="宋体" w:eastAsia="宋体" w:cs="宋体"/>
          <w:color w:val="auto"/>
          <w:spacing w:val="9"/>
          <w:sz w:val="24"/>
          <w:szCs w:val="24"/>
          <w:highlight w:val="none"/>
        </w:rPr>
        <w:t>磋商文件所称自然人指参</w:t>
      </w:r>
    </w:p>
    <w:p w14:paraId="4DEF59CA">
      <w:pPr>
        <w:spacing w:before="1" w:line="226" w:lineRule="auto"/>
        <w:ind w:left="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与磋商的自然人本人。</w:t>
      </w:r>
    </w:p>
    <w:p w14:paraId="32D6E346">
      <w:pPr>
        <w:spacing w:line="226" w:lineRule="auto"/>
        <w:rPr>
          <w:rFonts w:ascii="宋体" w:hAnsi="宋体" w:eastAsia="宋体" w:cs="宋体"/>
          <w:color w:val="auto"/>
          <w:sz w:val="20"/>
          <w:szCs w:val="20"/>
          <w:highlight w:val="none"/>
        </w:rPr>
        <w:sectPr>
          <w:footerReference r:id="rId29" w:type="default"/>
          <w:pgSz w:w="11905" w:h="16838"/>
          <w:pgMar w:top="1134" w:right="1134" w:bottom="1134" w:left="1134" w:header="0" w:footer="992" w:gutter="0"/>
          <w:pgNumType w:fmt="decimal"/>
          <w:cols w:space="0" w:num="1"/>
          <w:rtlGutter w:val="0"/>
          <w:docGrid w:linePitch="0" w:charSpace="0"/>
        </w:sectPr>
      </w:pPr>
    </w:p>
    <w:p w14:paraId="0AC4FFF2">
      <w:pPr>
        <w:pStyle w:val="8"/>
        <w:spacing w:line="260" w:lineRule="auto"/>
        <w:rPr>
          <w:color w:val="auto"/>
          <w:highlight w:val="none"/>
        </w:rPr>
      </w:pPr>
    </w:p>
    <w:p w14:paraId="6C0D699A">
      <w:pPr>
        <w:pStyle w:val="8"/>
        <w:spacing w:line="261" w:lineRule="auto"/>
        <w:rPr>
          <w:color w:val="auto"/>
          <w:highlight w:val="none"/>
        </w:rPr>
      </w:pPr>
    </w:p>
    <w:p w14:paraId="64812BAD">
      <w:pPr>
        <w:pStyle w:val="8"/>
        <w:spacing w:line="261" w:lineRule="auto"/>
        <w:rPr>
          <w:color w:val="auto"/>
          <w:highlight w:val="none"/>
        </w:rPr>
      </w:pPr>
    </w:p>
    <w:p w14:paraId="7C5D8D02">
      <w:pPr>
        <w:spacing w:before="65" w:line="502" w:lineRule="exact"/>
        <w:ind w:left="3480"/>
        <w:rPr>
          <w:rFonts w:ascii="宋体" w:hAnsi="宋体" w:eastAsia="宋体" w:cs="宋体"/>
          <w:color w:val="auto"/>
          <w:sz w:val="24"/>
          <w:szCs w:val="24"/>
          <w:highlight w:val="none"/>
        </w:rPr>
      </w:pPr>
      <w:r>
        <w:rPr>
          <w:rFonts w:ascii="宋体" w:hAnsi="宋体" w:eastAsia="宋体" w:cs="宋体"/>
          <w:color w:val="auto"/>
          <w:spacing w:val="5"/>
          <w:position w:val="23"/>
          <w:sz w:val="24"/>
          <w:szCs w:val="24"/>
          <w:highlight w:val="none"/>
        </w:rPr>
        <w:t>(</w:t>
      </w:r>
      <w:r>
        <w:rPr>
          <w:rFonts w:hint="eastAsia" w:ascii="宋体" w:hAnsi="宋体" w:eastAsia="宋体" w:cs="宋体"/>
          <w:color w:val="auto"/>
          <w:spacing w:val="5"/>
          <w:position w:val="23"/>
          <w:sz w:val="24"/>
          <w:szCs w:val="24"/>
          <w:highlight w:val="none"/>
          <w:lang w:val="en-US" w:eastAsia="zh-CN"/>
        </w:rPr>
        <w:t>3</w:t>
      </w:r>
      <w:r>
        <w:rPr>
          <w:rFonts w:ascii="宋体" w:hAnsi="宋体" w:eastAsia="宋体" w:cs="宋体"/>
          <w:color w:val="auto"/>
          <w:spacing w:val="5"/>
          <w:position w:val="23"/>
          <w:sz w:val="24"/>
          <w:szCs w:val="24"/>
          <w:highlight w:val="none"/>
        </w:rPr>
        <w:t>)法定代表人授权委托书</w:t>
      </w:r>
    </w:p>
    <w:p w14:paraId="4FBE0213">
      <w:pPr>
        <w:spacing w:line="228" w:lineRule="auto"/>
        <w:ind w:left="37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（如有委托时）</w:t>
      </w:r>
    </w:p>
    <w:p w14:paraId="54C4E06D">
      <w:pPr>
        <w:pStyle w:val="8"/>
        <w:spacing w:line="295" w:lineRule="auto"/>
        <w:rPr>
          <w:color w:val="auto"/>
          <w:sz w:val="24"/>
          <w:szCs w:val="24"/>
          <w:highlight w:val="none"/>
        </w:rPr>
      </w:pPr>
    </w:p>
    <w:p w14:paraId="5948A88B">
      <w:pPr>
        <w:pStyle w:val="8"/>
        <w:spacing w:line="296" w:lineRule="auto"/>
        <w:rPr>
          <w:color w:val="auto"/>
          <w:sz w:val="24"/>
          <w:szCs w:val="24"/>
          <w:highlight w:val="none"/>
        </w:rPr>
      </w:pPr>
    </w:p>
    <w:p w14:paraId="17FAAB7F">
      <w:pPr>
        <w:spacing w:before="65" w:line="227" w:lineRule="auto"/>
        <w:ind w:left="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致</w:t>
      </w:r>
      <w:r>
        <w:rPr>
          <w:rFonts w:ascii="宋体" w:hAnsi="宋体" w:eastAsia="宋体" w:cs="宋体"/>
          <w:color w:val="auto"/>
          <w:spacing w:val="-3"/>
          <w:sz w:val="24"/>
          <w:szCs w:val="24"/>
          <w:highlight w:val="none"/>
        </w:rPr>
        <w:t>：</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13"/>
          <w:sz w:val="24"/>
          <w:szCs w:val="24"/>
          <w:highlight w:val="none"/>
          <w:u w:val="single" w:color="auto"/>
        </w:rPr>
        <w:t>采购人名称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270DE19B">
      <w:pPr>
        <w:spacing w:before="222" w:line="432" w:lineRule="auto"/>
        <w:ind w:left="25" w:firstLine="39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我</w:t>
      </w:r>
      <w:r>
        <w:rPr>
          <w:rFonts w:ascii="宋体" w:hAnsi="宋体" w:eastAsia="宋体" w:cs="宋体"/>
          <w:color w:val="auto"/>
          <w:spacing w:val="10"/>
          <w:sz w:val="24"/>
          <w:szCs w:val="24"/>
          <w:highlight w:val="none"/>
          <w:u w:val="single" w:color="auto"/>
        </w:rPr>
        <w:t>（姓名）</w:t>
      </w:r>
      <w:r>
        <w:rPr>
          <w:rFonts w:ascii="宋体" w:hAnsi="宋体" w:eastAsia="宋体" w:cs="宋体"/>
          <w:color w:val="auto"/>
          <w:spacing w:val="10"/>
          <w:sz w:val="24"/>
          <w:szCs w:val="24"/>
          <w:highlight w:val="none"/>
        </w:rPr>
        <w:t>系</w:t>
      </w:r>
      <w:r>
        <w:rPr>
          <w:rFonts w:ascii="宋体" w:hAnsi="宋体" w:eastAsia="宋体" w:cs="宋体"/>
          <w:color w:val="auto"/>
          <w:spacing w:val="10"/>
          <w:sz w:val="24"/>
          <w:szCs w:val="24"/>
          <w:highlight w:val="none"/>
          <w:u w:val="single" w:color="auto"/>
        </w:rPr>
        <w:t>（供应商名称）</w:t>
      </w:r>
      <w:r>
        <w:rPr>
          <w:rFonts w:ascii="宋体" w:hAnsi="宋体" w:eastAsia="宋体" w:cs="宋体"/>
          <w:color w:val="auto"/>
          <w:spacing w:val="10"/>
          <w:sz w:val="24"/>
          <w:szCs w:val="24"/>
          <w:highlight w:val="none"/>
        </w:rPr>
        <w:t>的(</w:t>
      </w:r>
      <w:r>
        <w:rPr>
          <w:rFonts w:ascii="宋体" w:hAnsi="宋体" w:eastAsia="宋体" w:cs="宋体"/>
          <w:color w:val="auto"/>
          <w:spacing w:val="10"/>
          <w:sz w:val="24"/>
          <w:szCs w:val="24"/>
          <w:highlight w:val="none"/>
          <w:u w:val="single" w:color="auto"/>
        </w:rPr>
        <w:t>□法定代表人/□负责人/□自然人本人</w:t>
      </w:r>
      <w:r>
        <w:rPr>
          <w:rFonts w:ascii="宋体" w:hAnsi="宋体" w:eastAsia="宋体" w:cs="宋体"/>
          <w:color w:val="auto"/>
          <w:spacing w:val="17"/>
          <w:sz w:val="24"/>
          <w:szCs w:val="24"/>
          <w:highlight w:val="none"/>
        </w:rPr>
        <w:t>），</w:t>
      </w:r>
      <w:r>
        <w:rPr>
          <w:rFonts w:ascii="宋体" w:hAnsi="宋体" w:eastAsia="宋体" w:cs="宋体"/>
          <w:color w:val="auto"/>
          <w:spacing w:val="10"/>
          <w:sz w:val="24"/>
          <w:szCs w:val="24"/>
          <w:highlight w:val="none"/>
        </w:rPr>
        <w:t>现授权</w:t>
      </w:r>
      <w:r>
        <w:rPr>
          <w:rFonts w:ascii="宋体" w:hAnsi="宋体" w:eastAsia="宋体" w:cs="宋体"/>
          <w:color w:val="auto"/>
          <w:spacing w:val="10"/>
          <w:sz w:val="24"/>
          <w:szCs w:val="24"/>
          <w:highlight w:val="none"/>
          <w:u w:val="single" w:color="auto"/>
        </w:rPr>
        <w:t>（姓名）</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以我方的名义参加</w:t>
      </w:r>
      <w:r>
        <w:rPr>
          <w:rFonts w:ascii="宋体" w:hAnsi="宋体" w:eastAsia="宋体" w:cs="宋体"/>
          <w:color w:val="auto"/>
          <w:spacing w:val="-97"/>
          <w:sz w:val="24"/>
          <w:szCs w:val="24"/>
          <w:highlight w:val="none"/>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85"/>
          <w:sz w:val="24"/>
          <w:szCs w:val="24"/>
          <w:highlight w:val="none"/>
        </w:rPr>
        <w:t xml:space="preserve"> </w:t>
      </w:r>
      <w:r>
        <w:rPr>
          <w:rFonts w:ascii="宋体" w:hAnsi="宋体" w:eastAsia="宋体" w:cs="宋体"/>
          <w:color w:val="auto"/>
          <w:spacing w:val="10"/>
          <w:sz w:val="24"/>
          <w:szCs w:val="24"/>
          <w:highlight w:val="none"/>
        </w:rPr>
        <w:t>项目的磋商活动，并代表我方全权办理针对</w:t>
      </w:r>
      <w:r>
        <w:rPr>
          <w:rFonts w:ascii="宋体" w:hAnsi="宋体" w:eastAsia="宋体" w:cs="宋体"/>
          <w:color w:val="auto"/>
          <w:spacing w:val="9"/>
          <w:sz w:val="24"/>
          <w:szCs w:val="24"/>
          <w:highlight w:val="none"/>
        </w:rPr>
        <w:t>上述项目的所有采</w:t>
      </w:r>
    </w:p>
    <w:p w14:paraId="23CDD240">
      <w:pPr>
        <w:spacing w:line="227"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购程序和环节的具体事务和签署相关文件。</w:t>
      </w:r>
    </w:p>
    <w:p w14:paraId="0E590A26">
      <w:pPr>
        <w:spacing w:before="221" w:line="228" w:lineRule="auto"/>
        <w:ind w:left="42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我方对委托代理人的签字事项负全部责任。</w:t>
      </w:r>
    </w:p>
    <w:p w14:paraId="4F06BACD">
      <w:pPr>
        <w:spacing w:before="221" w:line="468" w:lineRule="exact"/>
        <w:ind w:left="422"/>
        <w:rPr>
          <w:rFonts w:ascii="宋体" w:hAnsi="宋体" w:eastAsia="宋体" w:cs="宋体"/>
          <w:color w:val="auto"/>
          <w:sz w:val="24"/>
          <w:szCs w:val="24"/>
          <w:highlight w:val="none"/>
        </w:rPr>
      </w:pPr>
      <w:r>
        <w:rPr>
          <w:rFonts w:ascii="宋体" w:hAnsi="宋体" w:eastAsia="宋体" w:cs="宋体"/>
          <w:color w:val="auto"/>
          <w:spacing w:val="11"/>
          <w:position w:val="20"/>
          <w:sz w:val="24"/>
          <w:szCs w:val="24"/>
          <w:highlight w:val="none"/>
        </w:rPr>
        <w:t>本授权书自签署之日起生效，在撤销授权的书面通知以前，本授权书一直有效。委托代理人</w:t>
      </w:r>
    </w:p>
    <w:p w14:paraId="770E4B94">
      <w:pPr>
        <w:spacing w:before="1" w:line="226"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在授权书有效期内签署的所有文件不因授权的撤销而失效。</w:t>
      </w:r>
    </w:p>
    <w:p w14:paraId="2F10AC46">
      <w:pPr>
        <w:spacing w:before="221" w:line="228" w:lineRule="auto"/>
        <w:ind w:left="4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委托代理人无转委托权，特此委托。</w:t>
      </w:r>
    </w:p>
    <w:p w14:paraId="6E3CAE40">
      <w:pPr>
        <w:spacing w:before="222" w:line="227" w:lineRule="auto"/>
        <w:ind w:left="43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附：法定代表人身份证明书及委托代理人有效身份证正反面复印件</w:t>
      </w:r>
    </w:p>
    <w:p w14:paraId="531BAD63">
      <w:pPr>
        <w:spacing w:before="83"/>
        <w:rPr>
          <w:color w:val="auto"/>
          <w:sz w:val="24"/>
          <w:szCs w:val="24"/>
          <w:highlight w:val="none"/>
        </w:rPr>
      </w:pPr>
    </w:p>
    <w:p w14:paraId="6EFA0523">
      <w:pPr>
        <w:spacing w:before="82"/>
        <w:rPr>
          <w:color w:val="auto"/>
          <w:sz w:val="24"/>
          <w:szCs w:val="24"/>
          <w:highlight w:val="none"/>
        </w:rPr>
      </w:pPr>
    </w:p>
    <w:p w14:paraId="324E156E">
      <w:pPr>
        <w:rPr>
          <w:color w:val="auto"/>
          <w:sz w:val="24"/>
          <w:szCs w:val="24"/>
          <w:highlight w:val="none"/>
        </w:rPr>
        <w:sectPr>
          <w:footerReference r:id="rId30" w:type="default"/>
          <w:pgSz w:w="11905" w:h="16838"/>
          <w:pgMar w:top="1134" w:right="1134" w:bottom="1134" w:left="1134" w:header="0" w:footer="992" w:gutter="0"/>
          <w:pgNumType w:fmt="decimal"/>
          <w:cols w:space="0" w:num="1"/>
          <w:rtlGutter w:val="0"/>
          <w:docGrid w:linePitch="0" w:charSpace="0"/>
        </w:sectPr>
      </w:pPr>
    </w:p>
    <w:p w14:paraId="2F7C3D22">
      <w:pPr>
        <w:spacing w:before="42" w:line="228"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委托代理人（签字</w:t>
      </w:r>
      <w:r>
        <w:rPr>
          <w:rFonts w:ascii="宋体" w:hAnsi="宋体" w:eastAsia="宋体" w:cs="宋体"/>
          <w:color w:val="auto"/>
          <w:spacing w:val="2"/>
          <w:sz w:val="24"/>
          <w:szCs w:val="24"/>
          <w:highlight w:val="none"/>
        </w:rPr>
        <w:t>）：</w:t>
      </w:r>
    </w:p>
    <w:p w14:paraId="444C260E">
      <w:pPr>
        <w:rPr>
          <w:color w:val="auto"/>
          <w:sz w:val="2"/>
          <w:highlight w:val="none"/>
        </w:rPr>
      </w:pPr>
      <w:r>
        <w:rPr>
          <w:color w:val="auto"/>
          <w:highlight w:val="none"/>
        </w:rPr>
        <w:t>委托代理人身份证号码：</w:t>
      </w:r>
    </w:p>
    <w:p w14:paraId="613274B8">
      <w:pPr>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法定代表人（签字</w:t>
      </w:r>
      <w:r>
        <w:rPr>
          <w:rFonts w:ascii="宋体" w:hAnsi="宋体" w:eastAsia="宋体" w:cs="宋体"/>
          <w:color w:val="auto"/>
          <w:spacing w:val="1"/>
          <w:sz w:val="24"/>
          <w:szCs w:val="24"/>
          <w:highlight w:val="none"/>
        </w:rPr>
        <w:t>）：</w:t>
      </w:r>
    </w:p>
    <w:p w14:paraId="05F11133">
      <w:pPr>
        <w:spacing w:line="228" w:lineRule="auto"/>
        <w:rPr>
          <w:rFonts w:ascii="宋体" w:hAnsi="宋体" w:eastAsia="宋体" w:cs="宋体"/>
          <w:color w:val="auto"/>
          <w:sz w:val="24"/>
          <w:szCs w:val="24"/>
          <w:highlight w:val="none"/>
        </w:rPr>
        <w:sectPr>
          <w:type w:val="continuous"/>
          <w:pgSz w:w="11905" w:h="16838"/>
          <w:pgMar w:top="1134" w:right="1134" w:bottom="1134" w:left="1134" w:header="0" w:footer="992" w:gutter="0"/>
          <w:pgNumType w:fmt="decimal"/>
          <w:cols w:space="0" w:num="1"/>
          <w:rtlGutter w:val="0"/>
          <w:docGrid w:linePitch="0" w:charSpace="0"/>
        </w:sectPr>
      </w:pPr>
    </w:p>
    <w:p w14:paraId="09FFFD07">
      <w:pPr>
        <w:pStyle w:val="8"/>
        <w:spacing w:line="329" w:lineRule="auto"/>
        <w:rPr>
          <w:color w:val="auto"/>
          <w:sz w:val="24"/>
          <w:szCs w:val="24"/>
          <w:highlight w:val="none"/>
        </w:rPr>
      </w:pPr>
    </w:p>
    <w:p w14:paraId="6926F738">
      <w:pPr>
        <w:pStyle w:val="8"/>
        <w:spacing w:line="329" w:lineRule="auto"/>
        <w:rPr>
          <w:color w:val="auto"/>
          <w:sz w:val="24"/>
          <w:szCs w:val="24"/>
          <w:highlight w:val="none"/>
        </w:rPr>
      </w:pPr>
    </w:p>
    <w:p w14:paraId="1A874B19">
      <w:pPr>
        <w:spacing w:before="65" w:line="227" w:lineRule="auto"/>
        <w:ind w:left="2627" w:firstLine="1280" w:firstLineChars="50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供应商（盖公章</w:t>
      </w:r>
      <w:r>
        <w:rPr>
          <w:rFonts w:ascii="宋体" w:hAnsi="宋体" w:eastAsia="宋体" w:cs="宋体"/>
          <w:color w:val="auto"/>
          <w:spacing w:val="1"/>
          <w:sz w:val="24"/>
          <w:szCs w:val="24"/>
          <w:highlight w:val="none"/>
        </w:rPr>
        <w:t>）：</w:t>
      </w:r>
    </w:p>
    <w:p w14:paraId="21A56C58">
      <w:pPr>
        <w:spacing w:before="221" w:line="228" w:lineRule="auto"/>
        <w:ind w:left="43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日</w:t>
      </w:r>
    </w:p>
    <w:p w14:paraId="45E831F0">
      <w:pPr>
        <w:spacing w:before="222" w:line="232"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p>
    <w:p w14:paraId="1ECBDBBF">
      <w:pPr>
        <w:spacing w:before="216" w:line="227" w:lineRule="auto"/>
        <w:ind w:firstLine="256" w:firstLineChars="10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1.法定代表人和委托代理人必须在授权委托书上签字。</w:t>
      </w:r>
    </w:p>
    <w:p w14:paraId="1119D8F4">
      <w:pPr>
        <w:spacing w:before="170" w:line="193" w:lineRule="auto"/>
        <w:ind w:firstLine="258" w:firstLineChars="10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2.以联合体磋商的，本授权委托书应由联合体牵头人的法定代表人按上述规定签署。</w:t>
      </w:r>
    </w:p>
    <w:p w14:paraId="4204752F">
      <w:pPr>
        <w:spacing w:line="193" w:lineRule="auto"/>
        <w:rPr>
          <w:rFonts w:ascii="宋体" w:hAnsi="宋体" w:eastAsia="宋体" w:cs="宋体"/>
          <w:color w:val="auto"/>
          <w:sz w:val="20"/>
          <w:szCs w:val="20"/>
          <w:highlight w:val="none"/>
        </w:rPr>
        <w:sectPr>
          <w:type w:val="continuous"/>
          <w:pgSz w:w="11905" w:h="16838"/>
          <w:pgMar w:top="1134" w:right="1134" w:bottom="1134" w:left="1134" w:header="0" w:footer="992" w:gutter="0"/>
          <w:pgNumType w:fmt="decimal"/>
          <w:cols w:space="0" w:num="1"/>
          <w:rtlGutter w:val="0"/>
          <w:docGrid w:linePitch="0" w:charSpace="0"/>
        </w:sectPr>
      </w:pPr>
    </w:p>
    <w:p w14:paraId="255B8BB8">
      <w:pPr>
        <w:spacing w:before="85" w:line="228" w:lineRule="auto"/>
        <w:ind w:left="365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7"/>
          <w:sz w:val="24"/>
          <w:szCs w:val="24"/>
          <w:highlight w:val="none"/>
          <w:lang w:val="en-US" w:eastAsia="zh-CN"/>
          <w14:textOutline w14:w="3795" w14:cap="sq" w14:cmpd="sng">
            <w14:solidFill>
              <w14:srgbClr w14:val="000000"/>
            </w14:solidFill>
            <w14:prstDash w14:val="solid"/>
            <w14:bevel/>
          </w14:textOutline>
        </w:rPr>
        <w:t>4</w:t>
      </w: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）联合体协议</w:t>
      </w:r>
    </w:p>
    <w:p w14:paraId="26F7ED81">
      <w:pPr>
        <w:pStyle w:val="8"/>
        <w:spacing w:line="263" w:lineRule="auto"/>
        <w:rPr>
          <w:color w:val="auto"/>
          <w:sz w:val="24"/>
          <w:szCs w:val="24"/>
          <w:highlight w:val="none"/>
        </w:rPr>
      </w:pPr>
    </w:p>
    <w:p w14:paraId="2282E351">
      <w:pPr>
        <w:pStyle w:val="8"/>
        <w:spacing w:line="263" w:lineRule="auto"/>
        <w:rPr>
          <w:color w:val="auto"/>
          <w:sz w:val="24"/>
          <w:szCs w:val="24"/>
          <w:highlight w:val="none"/>
        </w:rPr>
      </w:pPr>
    </w:p>
    <w:p w14:paraId="66A6650B">
      <w:pPr>
        <w:tabs>
          <w:tab w:val="left" w:pos="1041"/>
        </w:tabs>
        <w:spacing w:before="65" w:line="432" w:lineRule="auto"/>
        <w:ind w:left="411"/>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（所有成员单位名称）</w:t>
      </w:r>
      <w:r>
        <w:rPr>
          <w:rFonts w:ascii="宋体" w:hAnsi="宋体" w:eastAsia="宋体" w:cs="宋体"/>
          <w:color w:val="auto"/>
          <w:spacing w:val="-44"/>
          <w:sz w:val="24"/>
          <w:szCs w:val="24"/>
          <w:highlight w:val="none"/>
        </w:rPr>
        <w:t xml:space="preserve"> </w:t>
      </w:r>
      <w:r>
        <w:rPr>
          <w:rFonts w:ascii="宋体" w:hAnsi="宋体" w:eastAsia="宋体" w:cs="宋体"/>
          <w:color w:val="auto"/>
          <w:spacing w:val="9"/>
          <w:sz w:val="24"/>
          <w:szCs w:val="24"/>
          <w:highlight w:val="none"/>
        </w:rPr>
        <w:t>自愿组成</w:t>
      </w:r>
      <w:r>
        <w:rPr>
          <w:rFonts w:ascii="宋体" w:hAnsi="宋体" w:eastAsia="宋体" w:cs="宋体"/>
          <w:color w:val="auto"/>
          <w:spacing w:val="-99"/>
          <w:sz w:val="24"/>
          <w:szCs w:val="24"/>
          <w:highlight w:val="none"/>
        </w:rPr>
        <w:t xml:space="preserve"> </w:t>
      </w:r>
      <w:r>
        <w:rPr>
          <w:rFonts w:ascii="宋体" w:hAnsi="宋体" w:eastAsia="宋体" w:cs="宋体"/>
          <w:color w:val="auto"/>
          <w:spacing w:val="9"/>
          <w:sz w:val="24"/>
          <w:szCs w:val="24"/>
          <w:highlight w:val="none"/>
          <w:u w:val="single" w:color="auto"/>
        </w:rPr>
        <w:t xml:space="preserve">      </w:t>
      </w:r>
      <w:r>
        <w:rPr>
          <w:rFonts w:ascii="宋体" w:hAnsi="宋体" w:eastAsia="宋体" w:cs="宋体"/>
          <w:color w:val="auto"/>
          <w:spacing w:val="9"/>
          <w:sz w:val="24"/>
          <w:szCs w:val="24"/>
          <w:highlight w:val="none"/>
        </w:rPr>
        <w:t>（联合</w:t>
      </w:r>
      <w:r>
        <w:rPr>
          <w:rFonts w:ascii="宋体" w:hAnsi="宋体" w:eastAsia="宋体" w:cs="宋体"/>
          <w:color w:val="auto"/>
          <w:spacing w:val="8"/>
          <w:sz w:val="24"/>
          <w:szCs w:val="24"/>
          <w:highlight w:val="none"/>
        </w:rPr>
        <w:t>体名称）联合体，共同参加</w:t>
      </w:r>
      <w:r>
        <w:rPr>
          <w:rFonts w:ascii="宋体" w:hAnsi="宋体" w:eastAsia="宋体" w:cs="宋体"/>
          <w:color w:val="auto"/>
          <w:spacing w:val="-98"/>
          <w:sz w:val="24"/>
          <w:szCs w:val="24"/>
          <w:highlight w:val="none"/>
        </w:rPr>
        <w:t xml:space="preserve"> </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8"/>
          <w:sz w:val="24"/>
          <w:szCs w:val="24"/>
          <w:highlight w:val="none"/>
        </w:rPr>
        <w:t>（项目名称）采购项目磋商。现就联合体磋商事</w:t>
      </w:r>
      <w:r>
        <w:rPr>
          <w:rFonts w:ascii="宋体" w:hAnsi="宋体" w:eastAsia="宋体" w:cs="宋体"/>
          <w:color w:val="auto"/>
          <w:spacing w:val="7"/>
          <w:sz w:val="24"/>
          <w:szCs w:val="24"/>
          <w:highlight w:val="none"/>
        </w:rPr>
        <w:t>宜订立如下协议。</w:t>
      </w:r>
    </w:p>
    <w:p w14:paraId="273CF0DE">
      <w:pP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u w:val="single"/>
          <w:lang w:val="en-US" w:eastAsia="zh-CN"/>
        </w:rPr>
        <w:t xml:space="preserve">          </w:t>
      </w:r>
      <w:r>
        <w:rPr>
          <w:rFonts w:ascii="宋体" w:hAnsi="宋体" w:eastAsia="宋体" w:cs="宋体"/>
          <w:color w:val="auto"/>
          <w:spacing w:val="7"/>
          <w:sz w:val="24"/>
          <w:szCs w:val="24"/>
          <w:highlight w:val="none"/>
        </w:rPr>
        <w:t>（某成员单位名称）为</w:t>
      </w:r>
      <w:r>
        <w:rPr>
          <w:rFonts w:ascii="宋体" w:hAnsi="宋体" w:eastAsia="宋体" w:cs="宋体"/>
          <w:color w:val="auto"/>
          <w:spacing w:val="-98"/>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lang w:val="en-US" w:eastAsia="zh-CN"/>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（联合体名称）牵头人。</w:t>
      </w:r>
    </w:p>
    <w:p w14:paraId="276DF406">
      <w:pPr>
        <w:spacing w:before="222" w:line="432" w:lineRule="auto"/>
        <w:ind w:right="1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2.联合体各成员授权牵头人代表联合体参加磋商活动，签署文件及对文件的盖</w:t>
      </w:r>
      <w:r>
        <w:rPr>
          <w:rFonts w:ascii="宋体" w:hAnsi="宋体" w:eastAsia="宋体" w:cs="宋体"/>
          <w:color w:val="auto"/>
          <w:spacing w:val="10"/>
          <w:sz w:val="24"/>
          <w:szCs w:val="24"/>
          <w:highlight w:val="none"/>
        </w:rPr>
        <w:t>章，提交和接</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收相关的资料、信息及指示，进行合同磋商活动，负责合同实施阶段的组织和协调工作，</w:t>
      </w:r>
      <w:r>
        <w:rPr>
          <w:rFonts w:ascii="宋体" w:hAnsi="宋体" w:eastAsia="宋体" w:cs="宋体"/>
          <w:color w:val="auto"/>
          <w:spacing w:val="-60"/>
          <w:sz w:val="24"/>
          <w:szCs w:val="24"/>
          <w:highlight w:val="none"/>
        </w:rPr>
        <w:t xml:space="preserve"> </w:t>
      </w:r>
      <w:r>
        <w:rPr>
          <w:rFonts w:ascii="宋体" w:hAnsi="宋体" w:eastAsia="宋体" w:cs="宋体"/>
          <w:color w:val="auto"/>
          <w:spacing w:val="10"/>
          <w:sz w:val="24"/>
          <w:szCs w:val="24"/>
          <w:highlight w:val="none"/>
        </w:rPr>
        <w:t>以及处</w:t>
      </w:r>
      <w:r>
        <w:rPr>
          <w:rFonts w:ascii="宋体" w:hAnsi="宋体" w:eastAsia="宋体" w:cs="宋体"/>
          <w:color w:val="auto"/>
          <w:spacing w:val="8"/>
          <w:sz w:val="24"/>
          <w:szCs w:val="24"/>
          <w:highlight w:val="none"/>
        </w:rPr>
        <w:t>理与本磋商项目有关的一切事宜。</w:t>
      </w:r>
    </w:p>
    <w:p w14:paraId="4BBE1B56">
      <w:pPr>
        <w:spacing w:before="222" w:line="432" w:lineRule="auto"/>
        <w:ind w:right="1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3.联合体牵头人在本项目中签署和盖章的一切文件和处理的一切事宜，联合</w:t>
      </w:r>
      <w:r>
        <w:rPr>
          <w:rFonts w:ascii="宋体" w:hAnsi="宋体" w:eastAsia="宋体" w:cs="宋体"/>
          <w:color w:val="auto"/>
          <w:spacing w:val="10"/>
          <w:sz w:val="24"/>
          <w:szCs w:val="24"/>
          <w:highlight w:val="none"/>
        </w:rPr>
        <w:t>体各成员均予以</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承认。联合体各成员将严格按照磋商文件、响应文件和合同的要求全面履行义务，并向采购人承</w:t>
      </w:r>
      <w:r>
        <w:rPr>
          <w:rFonts w:ascii="宋体" w:hAnsi="宋体" w:eastAsia="宋体" w:cs="宋体"/>
          <w:color w:val="auto"/>
          <w:spacing w:val="6"/>
          <w:sz w:val="24"/>
          <w:szCs w:val="24"/>
          <w:highlight w:val="none"/>
        </w:rPr>
        <w:t>担连带责任。</w:t>
      </w:r>
    </w:p>
    <w:p w14:paraId="0DD8DA3C">
      <w:pPr>
        <w:spacing w:before="221" w:line="228"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4.联合体各成员单位内部的职责分工如下：</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
          <w:sz w:val="24"/>
          <w:szCs w:val="24"/>
          <w:highlight w:val="none"/>
        </w:rPr>
        <w:t>。</w:t>
      </w:r>
    </w:p>
    <w:p w14:paraId="2E262865">
      <w:pPr>
        <w:rPr>
          <w:rFonts w:ascii="宋体" w:hAnsi="宋体" w:eastAsia="宋体" w:cs="宋体"/>
          <w:color w:val="auto"/>
          <w:sz w:val="24"/>
          <w:szCs w:val="24"/>
          <w:highlight w:val="none"/>
        </w:rPr>
      </w:pPr>
      <w:r>
        <w:rPr>
          <w:rFonts w:ascii="宋体" w:hAnsi="宋体" w:eastAsia="宋体" w:cs="宋体"/>
          <w:color w:val="auto"/>
          <w:spacing w:val="-3"/>
          <w:position w:val="20"/>
          <w:sz w:val="24"/>
          <w:szCs w:val="24"/>
          <w:highlight w:val="none"/>
        </w:rPr>
        <w:t>5.本协议书自所有成员单位法定代表人（单位负责人）或者其委托代理</w:t>
      </w:r>
      <w:r>
        <w:rPr>
          <w:rFonts w:ascii="宋体" w:hAnsi="宋体" w:eastAsia="宋体" w:cs="宋体"/>
          <w:color w:val="auto"/>
          <w:spacing w:val="-4"/>
          <w:position w:val="20"/>
          <w:sz w:val="24"/>
          <w:szCs w:val="24"/>
          <w:highlight w:val="none"/>
        </w:rPr>
        <w:t>人签字或者盖单位章之日起生效，合同履行完毕后自动失效。</w:t>
      </w:r>
    </w:p>
    <w:p w14:paraId="57EED54E">
      <w:pPr>
        <w:spacing w:before="222" w:line="227"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6.本协议书一式</w:t>
      </w:r>
      <w:r>
        <w:rPr>
          <w:rFonts w:ascii="宋体" w:hAnsi="宋体" w:eastAsia="宋体" w:cs="宋体"/>
          <w:color w:val="auto"/>
          <w:spacing w:val="-9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90"/>
          <w:sz w:val="24"/>
          <w:szCs w:val="24"/>
          <w:highlight w:val="none"/>
        </w:rPr>
        <w:t xml:space="preserve"> </w:t>
      </w:r>
      <w:r>
        <w:rPr>
          <w:rFonts w:ascii="宋体" w:hAnsi="宋体" w:eastAsia="宋体" w:cs="宋体"/>
          <w:color w:val="auto"/>
          <w:spacing w:val="8"/>
          <w:sz w:val="24"/>
          <w:szCs w:val="24"/>
          <w:highlight w:val="none"/>
        </w:rPr>
        <w:t>份，联合体成员和采购人各执一份。</w:t>
      </w:r>
    </w:p>
    <w:p w14:paraId="5B03DF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注：本协议书由法定代表人（单位负责人）签字的，应附法定代表人（单位负责人）身份证</w:t>
      </w:r>
    </w:p>
    <w:p w14:paraId="2581E9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明书； 由委托代理人签字的，应附联合体协议签订授权委托书（格式自拟）。</w:t>
      </w:r>
    </w:p>
    <w:p w14:paraId="025E1680">
      <w:pPr>
        <w:pStyle w:val="8"/>
        <w:spacing w:line="310" w:lineRule="auto"/>
        <w:rPr>
          <w:color w:val="auto"/>
          <w:sz w:val="24"/>
          <w:szCs w:val="24"/>
          <w:highlight w:val="none"/>
        </w:rPr>
      </w:pPr>
    </w:p>
    <w:p w14:paraId="080792DD">
      <w:pPr>
        <w:pStyle w:val="8"/>
        <w:spacing w:line="311" w:lineRule="auto"/>
        <w:rPr>
          <w:color w:val="auto"/>
          <w:sz w:val="24"/>
          <w:szCs w:val="24"/>
          <w:highlight w:val="none"/>
        </w:rPr>
      </w:pPr>
    </w:p>
    <w:p w14:paraId="354792A1">
      <w:pPr>
        <w:spacing w:before="65" w:line="227"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联合体牵头人名称（盖公章</w:t>
      </w:r>
      <w:r>
        <w:rPr>
          <w:rFonts w:ascii="宋体" w:hAnsi="宋体" w:eastAsia="宋体" w:cs="宋体"/>
          <w:color w:val="auto"/>
          <w:sz w:val="24"/>
          <w:szCs w:val="24"/>
          <w:highlight w:val="none"/>
        </w:rPr>
        <w:t>）：</w:t>
      </w:r>
    </w:p>
    <w:p w14:paraId="34279D63">
      <w:pPr>
        <w:spacing w:before="222" w:line="228"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法定代表人（单位负责人）或者其委托代理人（签字</w:t>
      </w:r>
      <w:r>
        <w:rPr>
          <w:rFonts w:ascii="宋体" w:hAnsi="宋体" w:eastAsia="宋体" w:cs="宋体"/>
          <w:color w:val="auto"/>
          <w:spacing w:val="5"/>
          <w:sz w:val="24"/>
          <w:szCs w:val="24"/>
          <w:highlight w:val="none"/>
        </w:rPr>
        <w:t>）：</w:t>
      </w:r>
    </w:p>
    <w:p w14:paraId="6755A512">
      <w:pPr>
        <w:pStyle w:val="8"/>
        <w:spacing w:line="310" w:lineRule="auto"/>
        <w:rPr>
          <w:color w:val="auto"/>
          <w:sz w:val="24"/>
          <w:szCs w:val="24"/>
          <w:highlight w:val="none"/>
        </w:rPr>
      </w:pPr>
    </w:p>
    <w:p w14:paraId="5FEFD572">
      <w:pPr>
        <w:spacing w:before="65" w:line="227"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联合体成员名称（盖公章</w:t>
      </w:r>
      <w:r>
        <w:rPr>
          <w:rFonts w:ascii="宋体" w:hAnsi="宋体" w:eastAsia="宋体" w:cs="宋体"/>
          <w:color w:val="auto"/>
          <w:sz w:val="24"/>
          <w:szCs w:val="24"/>
          <w:highlight w:val="none"/>
        </w:rPr>
        <w:t>）：</w:t>
      </w:r>
    </w:p>
    <w:p w14:paraId="7F8C3FAD">
      <w:pPr>
        <w:spacing w:before="222" w:line="228"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法定代表人（单位负责人）或者其委托代理人（签字</w:t>
      </w:r>
      <w:r>
        <w:rPr>
          <w:rFonts w:ascii="宋体" w:hAnsi="宋体" w:eastAsia="宋体" w:cs="宋体"/>
          <w:color w:val="auto"/>
          <w:spacing w:val="5"/>
          <w:sz w:val="24"/>
          <w:szCs w:val="24"/>
          <w:highlight w:val="none"/>
        </w:rPr>
        <w:t>）：</w:t>
      </w:r>
    </w:p>
    <w:p w14:paraId="4715829D">
      <w:pPr>
        <w:pStyle w:val="8"/>
        <w:spacing w:line="310" w:lineRule="auto"/>
        <w:rPr>
          <w:color w:val="auto"/>
          <w:sz w:val="24"/>
          <w:szCs w:val="24"/>
          <w:highlight w:val="none"/>
        </w:rPr>
      </w:pPr>
    </w:p>
    <w:p w14:paraId="624C3994">
      <w:pPr>
        <w:spacing w:before="66" w:line="227"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联合体成员名称（盖公章</w:t>
      </w:r>
      <w:r>
        <w:rPr>
          <w:rFonts w:ascii="宋体" w:hAnsi="宋体" w:eastAsia="宋体" w:cs="宋体"/>
          <w:color w:val="auto"/>
          <w:sz w:val="24"/>
          <w:szCs w:val="24"/>
          <w:highlight w:val="none"/>
        </w:rPr>
        <w:t>）：</w:t>
      </w:r>
    </w:p>
    <w:p w14:paraId="7A9E10C0">
      <w:pPr>
        <w:spacing w:before="222" w:line="468" w:lineRule="exact"/>
        <w:rPr>
          <w:rFonts w:ascii="宋体" w:hAnsi="宋体" w:eastAsia="宋体" w:cs="宋体"/>
          <w:color w:val="auto"/>
          <w:sz w:val="24"/>
          <w:szCs w:val="24"/>
          <w:highlight w:val="none"/>
        </w:rPr>
      </w:pPr>
      <w:r>
        <w:rPr>
          <w:rFonts w:ascii="宋体" w:hAnsi="宋体" w:eastAsia="宋体" w:cs="宋体"/>
          <w:color w:val="auto"/>
          <w:spacing w:val="9"/>
          <w:position w:val="20"/>
          <w:sz w:val="24"/>
          <w:szCs w:val="24"/>
          <w:highlight w:val="none"/>
        </w:rPr>
        <w:t>法定代表人（单位负责人）或者其委托代理人（签字</w:t>
      </w:r>
      <w:r>
        <w:rPr>
          <w:rFonts w:ascii="宋体" w:hAnsi="宋体" w:eastAsia="宋体" w:cs="宋体"/>
          <w:color w:val="auto"/>
          <w:spacing w:val="5"/>
          <w:position w:val="20"/>
          <w:sz w:val="24"/>
          <w:szCs w:val="24"/>
          <w:highlight w:val="none"/>
        </w:rPr>
        <w:t>）：</w:t>
      </w:r>
    </w:p>
    <w:p w14:paraId="0C65CCBC">
      <w:pPr>
        <w:spacing w:line="324" w:lineRule="exact"/>
        <w:ind w:left="13"/>
        <w:rPr>
          <w:rFonts w:ascii="宋体" w:hAnsi="宋体" w:eastAsia="宋体" w:cs="宋体"/>
          <w:color w:val="auto"/>
          <w:sz w:val="24"/>
          <w:szCs w:val="24"/>
          <w:highlight w:val="none"/>
        </w:rPr>
      </w:pPr>
      <w:r>
        <w:rPr>
          <w:rFonts w:ascii="宋体" w:hAnsi="宋体" w:eastAsia="宋体" w:cs="宋体"/>
          <w:color w:val="auto"/>
          <w:spacing w:val="-2"/>
          <w:position w:val="2"/>
          <w:sz w:val="24"/>
          <w:szCs w:val="24"/>
          <w:highlight w:val="none"/>
        </w:rPr>
        <w:t>……</w:t>
      </w:r>
    </w:p>
    <w:p w14:paraId="07461348">
      <w:pPr>
        <w:spacing w:before="144" w:line="228" w:lineRule="auto"/>
        <w:ind w:left="38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日</w:t>
      </w:r>
    </w:p>
    <w:p w14:paraId="61AC1683">
      <w:pPr>
        <w:spacing w:line="228" w:lineRule="auto"/>
        <w:rPr>
          <w:rFonts w:ascii="宋体" w:hAnsi="宋体" w:eastAsia="宋体" w:cs="宋体"/>
          <w:color w:val="auto"/>
          <w:sz w:val="24"/>
          <w:szCs w:val="24"/>
          <w:highlight w:val="none"/>
        </w:rPr>
        <w:sectPr>
          <w:footerReference r:id="rId31" w:type="default"/>
          <w:pgSz w:w="11905" w:h="16838"/>
          <w:pgMar w:top="1134" w:right="1134" w:bottom="1134" w:left="1134" w:header="0" w:footer="992" w:gutter="0"/>
          <w:pgNumType w:fmt="decimal"/>
          <w:cols w:space="0" w:num="1"/>
          <w:rtlGutter w:val="0"/>
          <w:docGrid w:linePitch="0" w:charSpace="0"/>
        </w:sectPr>
      </w:pPr>
    </w:p>
    <w:p w14:paraId="7F3957B6">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联合体磋商授权委托书</w:t>
      </w:r>
    </w:p>
    <w:p w14:paraId="1E4FCB3F">
      <w:pPr>
        <w:spacing w:line="360" w:lineRule="auto"/>
        <w:rPr>
          <w:rFonts w:hint="eastAsia" w:ascii="宋体" w:hAnsi="宋体" w:eastAsia="宋体" w:cs="宋体"/>
          <w:color w:val="auto"/>
          <w:sz w:val="24"/>
          <w:szCs w:val="24"/>
          <w:highlight w:val="none"/>
        </w:rPr>
      </w:pPr>
    </w:p>
    <w:p w14:paraId="195C3CB9">
      <w:pPr>
        <w:spacing w:line="360" w:lineRule="auto"/>
        <w:rPr>
          <w:rFonts w:hint="eastAsia" w:ascii="宋体" w:hAnsi="宋体" w:eastAsia="宋体" w:cs="宋体"/>
          <w:color w:val="auto"/>
          <w:sz w:val="24"/>
          <w:szCs w:val="24"/>
          <w:highlight w:val="none"/>
        </w:rPr>
      </w:pPr>
    </w:p>
    <w:p w14:paraId="5D3A87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本授权委托书声明：根据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（牵头人名称）与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（联合体其他 成员名称）签订的《联合体磋商协议书》的内容，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（牵头人名称）的法 定代表人</w:t>
      </w:r>
      <w:r>
        <w:rPr>
          <w:rFonts w:hint="eastAsia" w:ascii="宋体" w:hAnsi="宋体" w:eastAsia="宋体" w:cs="宋体"/>
          <w:color w:val="auto"/>
          <w:sz w:val="24"/>
          <w:szCs w:val="24"/>
          <w:highlight w:val="none"/>
          <w:u w:val="single"/>
        </w:rPr>
        <w:t xml:space="preserve">       （单位负责人）（姓名）</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 xml:space="preserve"> 为联合委托代理人，并代表我方全权办理针对上述项目的所有采购程序和环节的具体事务和签署相关文件。</w:t>
      </w:r>
    </w:p>
    <w:p w14:paraId="560C88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我方对委托代理人的签字事项负全部责任。</w:t>
      </w:r>
    </w:p>
    <w:p w14:paraId="0ECD79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w:t>
      </w:r>
    </w:p>
    <w:p w14:paraId="29249C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在授权书有效期内签署的所有文件不因授权的撤销而失效。</w:t>
      </w:r>
    </w:p>
    <w:p w14:paraId="10A84C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564646B1">
      <w:pPr>
        <w:spacing w:line="360" w:lineRule="auto"/>
        <w:rPr>
          <w:rFonts w:hint="eastAsia" w:ascii="宋体" w:hAnsi="宋体" w:eastAsia="宋体" w:cs="宋体"/>
          <w:color w:val="auto"/>
          <w:sz w:val="24"/>
          <w:szCs w:val="24"/>
          <w:highlight w:val="none"/>
        </w:rPr>
      </w:pPr>
    </w:p>
    <w:p w14:paraId="7BE7C110">
      <w:pPr>
        <w:spacing w:line="360" w:lineRule="auto"/>
        <w:rPr>
          <w:rFonts w:hint="eastAsia" w:ascii="宋体" w:hAnsi="宋体" w:eastAsia="宋体" w:cs="宋体"/>
          <w:color w:val="auto"/>
          <w:sz w:val="24"/>
          <w:szCs w:val="24"/>
          <w:highlight w:val="none"/>
        </w:rPr>
      </w:pPr>
    </w:p>
    <w:p w14:paraId="499A9BC6">
      <w:pPr>
        <w:spacing w:line="360" w:lineRule="auto"/>
        <w:rPr>
          <w:rFonts w:hint="eastAsia" w:ascii="宋体" w:hAnsi="宋体" w:eastAsia="宋体" w:cs="宋体"/>
          <w:color w:val="auto"/>
          <w:sz w:val="24"/>
          <w:szCs w:val="24"/>
          <w:highlight w:val="none"/>
        </w:rPr>
      </w:pPr>
    </w:p>
    <w:p w14:paraId="15A7B6A3">
      <w:pPr>
        <w:spacing w:line="360" w:lineRule="auto"/>
        <w:rPr>
          <w:rFonts w:hint="eastAsia" w:ascii="宋体" w:hAnsi="宋体" w:eastAsia="宋体" w:cs="宋体"/>
          <w:color w:val="auto"/>
          <w:sz w:val="24"/>
          <w:szCs w:val="24"/>
          <w:highlight w:val="none"/>
        </w:rPr>
      </w:pPr>
    </w:p>
    <w:p w14:paraId="53E81871">
      <w:pPr>
        <w:spacing w:line="360" w:lineRule="auto"/>
        <w:rPr>
          <w:rFonts w:hint="eastAsia" w:ascii="宋体" w:hAnsi="宋体" w:eastAsia="宋体" w:cs="宋体"/>
          <w:color w:val="auto"/>
          <w:sz w:val="24"/>
          <w:szCs w:val="24"/>
          <w:highlight w:val="none"/>
        </w:rPr>
      </w:pPr>
    </w:p>
    <w:p w14:paraId="00BC3372">
      <w:pPr>
        <w:spacing w:line="360" w:lineRule="auto"/>
        <w:rPr>
          <w:rFonts w:hint="eastAsia" w:ascii="宋体" w:hAnsi="宋体" w:eastAsia="宋体" w:cs="宋体"/>
          <w:color w:val="auto"/>
          <w:sz w:val="24"/>
          <w:szCs w:val="24"/>
          <w:highlight w:val="none"/>
        </w:rPr>
      </w:pPr>
    </w:p>
    <w:p w14:paraId="6F974C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牵头人法定代表人（单位负责人）（签字）：</w:t>
      </w:r>
    </w:p>
    <w:p w14:paraId="2F026F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牵头人（盖公章）：</w:t>
      </w:r>
    </w:p>
    <w:p w14:paraId="28E922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3EB7684">
      <w:pPr>
        <w:spacing w:line="360" w:lineRule="auto"/>
        <w:rPr>
          <w:rFonts w:hint="eastAsia" w:ascii="宋体" w:hAnsi="宋体" w:eastAsia="宋体" w:cs="宋体"/>
          <w:color w:val="auto"/>
          <w:sz w:val="24"/>
          <w:szCs w:val="24"/>
          <w:highlight w:val="none"/>
        </w:rPr>
      </w:pPr>
    </w:p>
    <w:p w14:paraId="37E1091B">
      <w:pPr>
        <w:spacing w:line="360" w:lineRule="auto"/>
        <w:rPr>
          <w:rFonts w:hint="eastAsia" w:ascii="宋体" w:hAnsi="宋体" w:eastAsia="宋体" w:cs="宋体"/>
          <w:color w:val="auto"/>
          <w:sz w:val="24"/>
          <w:szCs w:val="24"/>
          <w:highlight w:val="none"/>
        </w:rPr>
      </w:pPr>
    </w:p>
    <w:p w14:paraId="7D5240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p>
    <w:p w14:paraId="7550C0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1B7205">
      <w:pPr>
        <w:spacing w:line="360" w:lineRule="auto"/>
        <w:rPr>
          <w:rFonts w:hint="eastAsia" w:ascii="宋体" w:hAnsi="宋体" w:eastAsia="宋体" w:cs="宋体"/>
          <w:color w:val="auto"/>
          <w:sz w:val="24"/>
          <w:szCs w:val="24"/>
          <w:highlight w:val="none"/>
        </w:rPr>
        <w:sectPr>
          <w:footerReference r:id="rId32" w:type="default"/>
          <w:pgSz w:w="11905" w:h="16838"/>
          <w:pgMar w:top="1134" w:right="1134" w:bottom="1134" w:left="1134" w:header="0" w:footer="992" w:gutter="0"/>
          <w:pgNumType w:fmt="decimal"/>
          <w:cols w:space="0" w:num="1"/>
          <w:rtlGutter w:val="0"/>
          <w:docGrid w:linePitch="0" w:charSpace="0"/>
        </w:sectPr>
      </w:pPr>
    </w:p>
    <w:p w14:paraId="615795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）磋商保证金提交凭证（如磋商文件有要求时提供）</w:t>
      </w:r>
    </w:p>
    <w:p w14:paraId="3DFBD9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以转账、 电汇形式缴纳的，提供转账、电汇凭证扫描件或复印件（网银可提供截图）加盖公章；以其他非现金形式缴纳的，提供原件扫描件或复印件加盖公章。</w:t>
      </w:r>
    </w:p>
    <w:p w14:paraId="343FA888">
      <w:pPr>
        <w:rPr>
          <w:rFonts w:hint="eastAsia" w:ascii="宋体" w:hAnsi="宋体" w:eastAsia="宋体" w:cs="宋体"/>
          <w:color w:val="auto"/>
          <w:sz w:val="24"/>
          <w:szCs w:val="24"/>
          <w:highlight w:val="none"/>
        </w:rPr>
        <w:sectPr>
          <w:footerReference r:id="rId33" w:type="default"/>
          <w:pgSz w:w="11905" w:h="16838"/>
          <w:pgMar w:top="1134" w:right="1134" w:bottom="1134" w:left="1134" w:header="0" w:footer="992" w:gutter="0"/>
          <w:pgNumType w:fmt="decimal"/>
          <w:cols w:space="0" w:num="1"/>
          <w:rtlGutter w:val="0"/>
          <w:docGrid w:linePitch="0" w:charSpace="0"/>
        </w:sectPr>
      </w:pPr>
    </w:p>
    <w:p w14:paraId="243180EC">
      <w:pPr>
        <w:spacing w:before="101" w:line="223" w:lineRule="auto"/>
        <w:ind w:left="2757"/>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t>第三部分</w:t>
      </w:r>
      <w:r>
        <w:rPr>
          <w:rFonts w:hint="eastAsia" w:ascii="宋体" w:hAnsi="宋体" w:eastAsia="宋体" w:cs="宋体"/>
          <w:color w:val="auto"/>
          <w:spacing w:val="9"/>
          <w:sz w:val="31"/>
          <w:szCs w:val="31"/>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color w:val="auto"/>
          <w:spacing w:val="9"/>
          <w:sz w:val="31"/>
          <w:szCs w:val="31"/>
          <w:highlight w:val="none"/>
          <w:lang w:eastAsia="zh-CN"/>
          <w14:textOutline w14:w="5793" w14:cap="sq" w14:cmpd="sng">
            <w14:solidFill>
              <w14:srgbClr w14:val="000000"/>
            </w14:solidFill>
            <w14:prstDash w14:val="solid"/>
            <w14:bevel/>
          </w14:textOutline>
        </w:rPr>
        <w:t>报价文件</w:t>
      </w:r>
    </w:p>
    <w:p w14:paraId="627C8AF2">
      <w:pPr>
        <w:ind w:firstLine="3120" w:firstLineChars="1300"/>
        <w:rPr>
          <w:rFonts w:hint="eastAsia" w:ascii="宋体" w:hAnsi="宋体" w:eastAsia="宋体" w:cs="宋体"/>
          <w:color w:val="auto"/>
          <w:sz w:val="24"/>
          <w:szCs w:val="24"/>
          <w:highlight w:val="none"/>
        </w:rPr>
      </w:pPr>
    </w:p>
    <w:p w14:paraId="0ADB675B">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）响应函</w:t>
      </w:r>
    </w:p>
    <w:p w14:paraId="1936F5E8">
      <w:pPr>
        <w:rPr>
          <w:rFonts w:hint="eastAsia" w:ascii="宋体" w:hAnsi="宋体" w:eastAsia="宋体" w:cs="宋体"/>
          <w:color w:val="auto"/>
          <w:sz w:val="24"/>
          <w:szCs w:val="24"/>
          <w:highlight w:val="none"/>
        </w:rPr>
      </w:pPr>
    </w:p>
    <w:p w14:paraId="638AB602">
      <w:pPr>
        <w:rPr>
          <w:rFonts w:hint="eastAsia" w:ascii="宋体" w:hAnsi="宋体" w:eastAsia="宋体" w:cs="宋体"/>
          <w:color w:val="auto"/>
          <w:sz w:val="24"/>
          <w:szCs w:val="24"/>
          <w:highlight w:val="none"/>
        </w:rPr>
      </w:pPr>
    </w:p>
    <w:p w14:paraId="7E186E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52D04136">
      <w:pPr>
        <w:rPr>
          <w:rFonts w:hint="eastAsia" w:ascii="宋体" w:hAnsi="宋体" w:eastAsia="宋体" w:cs="宋体"/>
          <w:color w:val="auto"/>
          <w:sz w:val="24"/>
          <w:szCs w:val="24"/>
          <w:highlight w:val="none"/>
        </w:rPr>
      </w:pPr>
    </w:p>
    <w:p w14:paraId="706839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 xml:space="preserve"> 工程磋商文件，遵照《中 华人民共和国政府采购法》、《中华人民共和国建筑法》等有关规定，经踏勘项目现场和研究上 述磋商文件的供应商须知、合同条款、图纸、工程建设内容和工程量清单及其他有关文件后，我 方愿以人民币</w:t>
      </w:r>
      <w:r>
        <w:rPr>
          <w:rFonts w:hint="eastAsia" w:ascii="宋体" w:hAnsi="宋体" w:eastAsia="宋体" w:cs="宋体"/>
          <w:color w:val="auto"/>
          <w:sz w:val="24"/>
          <w:szCs w:val="24"/>
          <w:highlight w:val="none"/>
          <w:u w:val="single"/>
        </w:rPr>
        <w:t>（大写）    元（RMB￥    元）</w:t>
      </w:r>
      <w:r>
        <w:rPr>
          <w:rFonts w:hint="eastAsia" w:ascii="宋体" w:hAnsi="宋体" w:eastAsia="宋体" w:cs="宋体"/>
          <w:color w:val="auto"/>
          <w:sz w:val="24"/>
          <w:szCs w:val="24"/>
          <w:highlight w:val="none"/>
        </w:rPr>
        <w:t>的磋商报价并按上述图纸、合同条款、工程建设内容和工程量清单的条件要求承包上述工程的施工、竣工，并承担任何质量缺陷保修责任。我方保证工程质量达到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14:paraId="187A96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2.我方已详细审核全部磋商文件，包括修改文件（如有时）及有关附件。</w:t>
      </w:r>
    </w:p>
    <w:p w14:paraId="51F699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3.我方承认响应函附录是我方响应函的组成部分。</w:t>
      </w:r>
    </w:p>
    <w:p w14:paraId="527900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4.一旦我方成交，我方保证按合同书中规定的工期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日历天内完成并移交全部工程，</w:t>
      </w:r>
    </w:p>
    <w:p w14:paraId="0F8B90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并承诺不分包及转包他人。</w:t>
      </w:r>
    </w:p>
    <w:p w14:paraId="1E2223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5.我方同意所提交的响应文件在磋商文件的“供应商须知 ”中规定的响应有效期内有效，在此期间内如果成交，我方将受此约束。</w:t>
      </w:r>
    </w:p>
    <w:p w14:paraId="38AADE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6.除非另外达成协议并生效，你方的成交通知书和本响应文件将成为约束双方的合同文件的</w:t>
      </w:r>
    </w:p>
    <w:p w14:paraId="39020C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组成部分。</w:t>
      </w:r>
    </w:p>
    <w:p w14:paraId="4826B7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7.我方将与本响应函一起，提交人民币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元作为磋商保证金（如有）。</w:t>
      </w:r>
    </w:p>
    <w:p w14:paraId="250115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8.与本项目有关的一切正式往来信函请寄：</w:t>
      </w:r>
    </w:p>
    <w:p w14:paraId="6E7583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C4BF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5F1B3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3FF361">
      <w:pPr>
        <w:spacing w:line="360" w:lineRule="auto"/>
        <w:rPr>
          <w:rFonts w:hint="eastAsia" w:ascii="宋体" w:hAnsi="宋体" w:eastAsia="宋体" w:cs="宋体"/>
          <w:color w:val="auto"/>
          <w:sz w:val="24"/>
          <w:szCs w:val="24"/>
          <w:highlight w:val="none"/>
        </w:rPr>
      </w:pPr>
    </w:p>
    <w:p w14:paraId="58BB1AEE">
      <w:pPr>
        <w:rPr>
          <w:rFonts w:hint="eastAsia" w:ascii="宋体" w:hAnsi="宋体" w:eastAsia="宋体" w:cs="宋体"/>
          <w:color w:val="auto"/>
          <w:sz w:val="24"/>
          <w:szCs w:val="24"/>
          <w:highlight w:val="none"/>
        </w:rPr>
      </w:pPr>
    </w:p>
    <w:p w14:paraId="7D950EB0">
      <w:pPr>
        <w:rPr>
          <w:rFonts w:hint="eastAsia" w:ascii="宋体" w:hAnsi="宋体" w:eastAsia="宋体" w:cs="宋体"/>
          <w:color w:val="auto"/>
          <w:sz w:val="24"/>
          <w:szCs w:val="24"/>
          <w:highlight w:val="none"/>
        </w:rPr>
      </w:pPr>
    </w:p>
    <w:p w14:paraId="7A60AD87">
      <w:pPr>
        <w:spacing w:line="360" w:lineRule="auto"/>
        <w:rPr>
          <w:rFonts w:hint="eastAsia" w:ascii="宋体" w:hAnsi="宋体" w:eastAsia="宋体" w:cs="宋体"/>
          <w:color w:val="auto"/>
          <w:sz w:val="24"/>
          <w:szCs w:val="24"/>
          <w:highlight w:val="none"/>
        </w:rPr>
      </w:pPr>
    </w:p>
    <w:p w14:paraId="0CAC0F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法定代表人或者委托代理人（签字）：</w:t>
      </w:r>
    </w:p>
    <w:p w14:paraId="76F109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供应商（盖公章）：</w:t>
      </w:r>
    </w:p>
    <w:p w14:paraId="1B116F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06B8990">
      <w:pPr>
        <w:spacing w:line="228" w:lineRule="auto"/>
        <w:rPr>
          <w:rFonts w:ascii="宋体" w:hAnsi="宋体" w:eastAsia="宋体" w:cs="宋体"/>
          <w:color w:val="auto"/>
          <w:sz w:val="20"/>
          <w:szCs w:val="20"/>
          <w:highlight w:val="none"/>
        </w:rPr>
        <w:sectPr>
          <w:footerReference r:id="rId34" w:type="default"/>
          <w:pgSz w:w="11905" w:h="16838"/>
          <w:pgMar w:top="1134" w:right="1134" w:bottom="1134" w:left="1134" w:header="0" w:footer="992" w:gutter="0"/>
          <w:pgNumType w:fmt="decimal"/>
          <w:cols w:space="0" w:num="1"/>
          <w:rtlGutter w:val="0"/>
          <w:docGrid w:linePitch="0" w:charSpace="0"/>
        </w:sectPr>
      </w:pPr>
    </w:p>
    <w:p w14:paraId="4550BCB5">
      <w:pPr>
        <w:spacing w:before="60" w:line="227" w:lineRule="auto"/>
        <w:ind w:left="369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w:t>
      </w:r>
      <w:r>
        <w:rPr>
          <w:rFonts w:hint="eastAsia" w:ascii="新宋体" w:hAnsi="新宋体" w:eastAsia="新宋体" w:cs="新宋体"/>
          <w:color w:val="auto"/>
          <w:spacing w:val="7"/>
          <w:sz w:val="24"/>
          <w:szCs w:val="24"/>
          <w:highlight w:val="none"/>
          <w:lang w:val="en-US" w:eastAsia="zh-CN"/>
        </w:rPr>
        <w:t>2</w:t>
      </w:r>
      <w:r>
        <w:rPr>
          <w:rFonts w:hint="eastAsia" w:ascii="新宋体" w:hAnsi="新宋体" w:eastAsia="新宋体" w:cs="新宋体"/>
          <w:color w:val="auto"/>
          <w:spacing w:val="7"/>
          <w:sz w:val="24"/>
          <w:szCs w:val="24"/>
          <w:highlight w:val="none"/>
        </w:rPr>
        <w:t>）</w:t>
      </w:r>
      <w:r>
        <w:rPr>
          <w:rFonts w:hint="eastAsia" w:ascii="新宋体" w:hAnsi="新宋体" w:eastAsia="新宋体" w:cs="新宋体"/>
          <w:color w:val="auto"/>
          <w:spacing w:val="7"/>
          <w:sz w:val="24"/>
          <w:szCs w:val="24"/>
          <w:highlight w:val="none"/>
          <w14:textOutline w14:w="3795" w14:cap="sq" w14:cmpd="sng">
            <w14:solidFill>
              <w14:srgbClr w14:val="000000"/>
            </w14:solidFill>
            <w14:prstDash w14:val="solid"/>
            <w14:bevel/>
          </w14:textOutline>
        </w:rPr>
        <w:t>响应函附录</w:t>
      </w:r>
    </w:p>
    <w:p w14:paraId="135FDEE5">
      <w:pPr>
        <w:pStyle w:val="8"/>
        <w:spacing w:line="310" w:lineRule="auto"/>
        <w:rPr>
          <w:rFonts w:hint="eastAsia" w:ascii="新宋体" w:hAnsi="新宋体" w:eastAsia="新宋体" w:cs="新宋体"/>
          <w:color w:val="auto"/>
          <w:sz w:val="24"/>
          <w:szCs w:val="24"/>
          <w:highlight w:val="none"/>
        </w:rPr>
      </w:pPr>
    </w:p>
    <w:p w14:paraId="59C89CF8">
      <w:pPr>
        <w:spacing w:before="65" w:line="228" w:lineRule="auto"/>
        <w:ind w:left="55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项目名称：</w:t>
      </w:r>
      <w:r>
        <w:rPr>
          <w:rFonts w:hint="eastAsia" w:ascii="新宋体" w:hAnsi="新宋体" w:eastAsia="新宋体" w:cs="新宋体"/>
          <w:color w:val="auto"/>
          <w:spacing w:val="4"/>
          <w:sz w:val="24"/>
          <w:szCs w:val="24"/>
          <w:highlight w:val="none"/>
          <w:u w:val="single" w:color="auto"/>
        </w:rPr>
        <w:t xml:space="preserve">                         </w:t>
      </w:r>
      <w:r>
        <w:rPr>
          <w:rFonts w:hint="eastAsia" w:ascii="新宋体" w:hAnsi="新宋体" w:eastAsia="新宋体" w:cs="新宋体"/>
          <w:color w:val="auto"/>
          <w:spacing w:val="3"/>
          <w:sz w:val="24"/>
          <w:szCs w:val="24"/>
          <w:highlight w:val="none"/>
          <w:u w:val="single" w:color="auto"/>
        </w:rPr>
        <w:t xml:space="preserve">      </w:t>
      </w:r>
      <w:r>
        <w:rPr>
          <w:rFonts w:hint="eastAsia" w:ascii="新宋体" w:hAnsi="新宋体" w:eastAsia="新宋体" w:cs="新宋体"/>
          <w:color w:val="auto"/>
          <w:spacing w:val="15"/>
          <w:sz w:val="24"/>
          <w:szCs w:val="24"/>
          <w:highlight w:val="none"/>
        </w:rPr>
        <w:t xml:space="preserve"> </w:t>
      </w:r>
      <w:r>
        <w:rPr>
          <w:rFonts w:hint="eastAsia" w:ascii="新宋体" w:hAnsi="新宋体" w:eastAsia="新宋体" w:cs="新宋体"/>
          <w:color w:val="auto"/>
          <w:spacing w:val="3"/>
          <w:sz w:val="24"/>
          <w:szCs w:val="24"/>
          <w:highlight w:val="none"/>
        </w:rPr>
        <w:t>项目编号：</w:t>
      </w:r>
      <w:r>
        <w:rPr>
          <w:rFonts w:hint="eastAsia" w:ascii="新宋体" w:hAnsi="新宋体" w:eastAsia="新宋体" w:cs="新宋体"/>
          <w:color w:val="auto"/>
          <w:spacing w:val="3"/>
          <w:sz w:val="24"/>
          <w:szCs w:val="24"/>
          <w:highlight w:val="none"/>
          <w:u w:val="single" w:color="auto"/>
        </w:rPr>
        <w:t xml:space="preserve">             </w:t>
      </w:r>
    </w:p>
    <w:p w14:paraId="369C4B76">
      <w:pPr>
        <w:spacing w:line="141" w:lineRule="auto"/>
        <w:rPr>
          <w:rFonts w:hint="eastAsia" w:ascii="新宋体" w:hAnsi="新宋体" w:eastAsia="新宋体" w:cs="新宋体"/>
          <w:color w:val="auto"/>
          <w:sz w:val="24"/>
          <w:szCs w:val="24"/>
          <w:highlight w:val="none"/>
        </w:rPr>
      </w:pPr>
    </w:p>
    <w:tbl>
      <w:tblPr>
        <w:tblStyle w:val="22"/>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14:paraId="4EFF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0EA914C2">
            <w:pPr>
              <w:pStyle w:val="23"/>
              <w:spacing w:before="183" w:line="229" w:lineRule="auto"/>
              <w:ind w:left="238"/>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w:t>
            </w:r>
            <w:r>
              <w:rPr>
                <w:rFonts w:hint="eastAsia" w:ascii="新宋体" w:hAnsi="新宋体" w:eastAsia="新宋体" w:cs="新宋体"/>
                <w:color w:val="auto"/>
                <w:spacing w:val="21"/>
                <w:sz w:val="24"/>
                <w:szCs w:val="24"/>
                <w:highlight w:val="none"/>
              </w:rPr>
              <w:t xml:space="preserve"> </w:t>
            </w:r>
            <w:r>
              <w:rPr>
                <w:rFonts w:hint="eastAsia" w:ascii="新宋体" w:hAnsi="新宋体" w:eastAsia="新宋体" w:cs="新宋体"/>
                <w:color w:val="auto"/>
                <w:sz w:val="24"/>
                <w:szCs w:val="24"/>
                <w:highlight w:val="none"/>
              </w:rPr>
              <w:t>号</w:t>
            </w:r>
          </w:p>
        </w:tc>
        <w:tc>
          <w:tcPr>
            <w:tcW w:w="1984" w:type="dxa"/>
            <w:vAlign w:val="top"/>
          </w:tcPr>
          <w:p w14:paraId="42761EE4">
            <w:pPr>
              <w:pStyle w:val="23"/>
              <w:spacing w:before="183" w:line="228" w:lineRule="auto"/>
              <w:ind w:left="57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条款内容</w:t>
            </w:r>
          </w:p>
        </w:tc>
        <w:tc>
          <w:tcPr>
            <w:tcW w:w="2125" w:type="dxa"/>
            <w:vAlign w:val="top"/>
          </w:tcPr>
          <w:p w14:paraId="35A5485A">
            <w:pPr>
              <w:pStyle w:val="23"/>
              <w:spacing w:before="183" w:line="228" w:lineRule="auto"/>
              <w:ind w:left="54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合同条款号</w:t>
            </w:r>
          </w:p>
        </w:tc>
        <w:tc>
          <w:tcPr>
            <w:tcW w:w="1983" w:type="dxa"/>
            <w:vAlign w:val="top"/>
          </w:tcPr>
          <w:p w14:paraId="02350C57">
            <w:pPr>
              <w:pStyle w:val="23"/>
              <w:spacing w:before="183" w:line="228" w:lineRule="auto"/>
              <w:ind w:left="58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约定内容</w:t>
            </w:r>
          </w:p>
        </w:tc>
        <w:tc>
          <w:tcPr>
            <w:tcW w:w="1846" w:type="dxa"/>
            <w:vAlign w:val="top"/>
          </w:tcPr>
          <w:p w14:paraId="358609A6">
            <w:pPr>
              <w:pStyle w:val="23"/>
              <w:spacing w:before="183" w:line="229" w:lineRule="auto"/>
              <w:ind w:left="72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备注</w:t>
            </w:r>
          </w:p>
        </w:tc>
      </w:tr>
      <w:tr w14:paraId="3CF8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9801A22">
            <w:pPr>
              <w:pStyle w:val="23"/>
              <w:spacing w:before="211" w:line="189" w:lineRule="auto"/>
              <w:ind w:left="466"/>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1984" w:type="dxa"/>
            <w:vAlign w:val="top"/>
          </w:tcPr>
          <w:p w14:paraId="2D15F930">
            <w:pPr>
              <w:pStyle w:val="23"/>
              <w:spacing w:before="179" w:line="228"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项目经理</w:t>
            </w:r>
          </w:p>
        </w:tc>
        <w:tc>
          <w:tcPr>
            <w:tcW w:w="2125" w:type="dxa"/>
            <w:vAlign w:val="top"/>
          </w:tcPr>
          <w:p w14:paraId="128AC44A">
            <w:pPr>
              <w:pStyle w:val="23"/>
              <w:spacing w:before="178"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4AFF09E0">
            <w:pPr>
              <w:pStyle w:val="23"/>
              <w:spacing w:before="178" w:line="228"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姓名：</w:t>
            </w:r>
            <w:r>
              <w:rPr>
                <w:rFonts w:hint="eastAsia" w:ascii="新宋体" w:hAnsi="新宋体" w:eastAsia="新宋体" w:cs="新宋体"/>
                <w:color w:val="auto"/>
                <w:sz w:val="24"/>
                <w:szCs w:val="24"/>
                <w:highlight w:val="none"/>
                <w:u w:val="single" w:color="auto"/>
              </w:rPr>
              <w:t xml:space="preserve">           </w:t>
            </w:r>
          </w:p>
        </w:tc>
        <w:tc>
          <w:tcPr>
            <w:tcW w:w="1846" w:type="dxa"/>
            <w:vAlign w:val="top"/>
          </w:tcPr>
          <w:p w14:paraId="403E3FC9">
            <w:pPr>
              <w:rPr>
                <w:rFonts w:hint="eastAsia" w:ascii="新宋体" w:hAnsi="新宋体" w:eastAsia="新宋体" w:cs="新宋体"/>
                <w:color w:val="auto"/>
                <w:sz w:val="24"/>
                <w:szCs w:val="24"/>
                <w:highlight w:val="none"/>
              </w:rPr>
            </w:pPr>
          </w:p>
        </w:tc>
      </w:tr>
      <w:tr w14:paraId="4384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7E5F9E3">
            <w:pPr>
              <w:pStyle w:val="23"/>
              <w:spacing w:before="213" w:line="189" w:lineRule="auto"/>
              <w:ind w:left="45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1984" w:type="dxa"/>
            <w:vAlign w:val="top"/>
          </w:tcPr>
          <w:p w14:paraId="3E1E8303">
            <w:pPr>
              <w:pStyle w:val="23"/>
              <w:spacing w:before="181" w:line="228" w:lineRule="auto"/>
              <w:ind w:left="12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响应有效期</w:t>
            </w:r>
          </w:p>
        </w:tc>
        <w:tc>
          <w:tcPr>
            <w:tcW w:w="2125" w:type="dxa"/>
            <w:vAlign w:val="top"/>
          </w:tcPr>
          <w:p w14:paraId="688EB7A2">
            <w:pPr>
              <w:rPr>
                <w:rFonts w:hint="eastAsia" w:ascii="新宋体" w:hAnsi="新宋体" w:eastAsia="新宋体" w:cs="新宋体"/>
                <w:color w:val="auto"/>
                <w:sz w:val="24"/>
                <w:szCs w:val="24"/>
                <w:highlight w:val="none"/>
              </w:rPr>
            </w:pPr>
          </w:p>
        </w:tc>
        <w:tc>
          <w:tcPr>
            <w:tcW w:w="1983" w:type="dxa"/>
            <w:vAlign w:val="top"/>
          </w:tcPr>
          <w:p w14:paraId="192F75D1">
            <w:pPr>
              <w:pStyle w:val="23"/>
              <w:tabs>
                <w:tab w:val="left" w:pos="1196"/>
              </w:tabs>
              <w:spacing w:before="181" w:line="228" w:lineRule="auto"/>
              <w:ind w:left="14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color="auto"/>
              </w:rPr>
              <w:tab/>
            </w:r>
            <w:r>
              <w:rPr>
                <w:rFonts w:hint="eastAsia" w:ascii="新宋体" w:hAnsi="新宋体" w:eastAsia="新宋体" w:cs="新宋体"/>
                <w:color w:val="auto"/>
                <w:spacing w:val="-53"/>
                <w:sz w:val="24"/>
                <w:szCs w:val="24"/>
                <w:highlight w:val="none"/>
              </w:rPr>
              <w:t xml:space="preserve"> </w:t>
            </w:r>
            <w:r>
              <w:rPr>
                <w:rFonts w:hint="eastAsia" w:ascii="新宋体" w:hAnsi="新宋体" w:eastAsia="新宋体" w:cs="新宋体"/>
                <w:color w:val="auto"/>
                <w:spacing w:val="-6"/>
                <w:sz w:val="24"/>
                <w:szCs w:val="24"/>
                <w:highlight w:val="none"/>
              </w:rPr>
              <w:t>日历天</w:t>
            </w:r>
          </w:p>
        </w:tc>
        <w:tc>
          <w:tcPr>
            <w:tcW w:w="1846" w:type="dxa"/>
            <w:vAlign w:val="top"/>
          </w:tcPr>
          <w:p w14:paraId="430DB0FF">
            <w:pPr>
              <w:rPr>
                <w:rFonts w:hint="eastAsia" w:ascii="新宋体" w:hAnsi="新宋体" w:eastAsia="新宋体" w:cs="新宋体"/>
                <w:color w:val="auto"/>
                <w:sz w:val="24"/>
                <w:szCs w:val="24"/>
                <w:highlight w:val="none"/>
              </w:rPr>
            </w:pPr>
          </w:p>
        </w:tc>
      </w:tr>
      <w:tr w14:paraId="3942F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55846B">
            <w:pPr>
              <w:pStyle w:val="23"/>
              <w:spacing w:before="212" w:line="189" w:lineRule="auto"/>
              <w:ind w:left="45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1984" w:type="dxa"/>
            <w:vAlign w:val="top"/>
          </w:tcPr>
          <w:p w14:paraId="55E84F35">
            <w:pPr>
              <w:pStyle w:val="23"/>
              <w:spacing w:before="180" w:line="228"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工期</w:t>
            </w:r>
          </w:p>
        </w:tc>
        <w:tc>
          <w:tcPr>
            <w:tcW w:w="2125" w:type="dxa"/>
            <w:vAlign w:val="top"/>
          </w:tcPr>
          <w:p w14:paraId="28B0708C">
            <w:pPr>
              <w:rPr>
                <w:rFonts w:hint="eastAsia" w:ascii="新宋体" w:hAnsi="新宋体" w:eastAsia="新宋体" w:cs="新宋体"/>
                <w:color w:val="auto"/>
                <w:sz w:val="24"/>
                <w:szCs w:val="24"/>
                <w:highlight w:val="none"/>
              </w:rPr>
            </w:pPr>
          </w:p>
        </w:tc>
        <w:tc>
          <w:tcPr>
            <w:tcW w:w="1983" w:type="dxa"/>
            <w:vAlign w:val="top"/>
          </w:tcPr>
          <w:p w14:paraId="52858B3C">
            <w:pPr>
              <w:pStyle w:val="23"/>
              <w:tabs>
                <w:tab w:val="left" w:pos="1196"/>
              </w:tabs>
              <w:spacing w:before="180" w:line="228" w:lineRule="auto"/>
              <w:ind w:left="14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color="auto"/>
              </w:rPr>
              <w:tab/>
            </w:r>
            <w:r>
              <w:rPr>
                <w:rFonts w:hint="eastAsia" w:ascii="新宋体" w:hAnsi="新宋体" w:eastAsia="新宋体" w:cs="新宋体"/>
                <w:color w:val="auto"/>
                <w:spacing w:val="-53"/>
                <w:sz w:val="24"/>
                <w:szCs w:val="24"/>
                <w:highlight w:val="none"/>
              </w:rPr>
              <w:t xml:space="preserve"> </w:t>
            </w:r>
            <w:r>
              <w:rPr>
                <w:rFonts w:hint="eastAsia" w:ascii="新宋体" w:hAnsi="新宋体" w:eastAsia="新宋体" w:cs="新宋体"/>
                <w:color w:val="auto"/>
                <w:spacing w:val="-6"/>
                <w:sz w:val="24"/>
                <w:szCs w:val="24"/>
                <w:highlight w:val="none"/>
              </w:rPr>
              <w:t>日历天</w:t>
            </w:r>
          </w:p>
        </w:tc>
        <w:tc>
          <w:tcPr>
            <w:tcW w:w="1846" w:type="dxa"/>
            <w:vAlign w:val="top"/>
          </w:tcPr>
          <w:p w14:paraId="0A071AB6">
            <w:pPr>
              <w:rPr>
                <w:rFonts w:hint="eastAsia" w:ascii="新宋体" w:hAnsi="新宋体" w:eastAsia="新宋体" w:cs="新宋体"/>
                <w:color w:val="auto"/>
                <w:sz w:val="24"/>
                <w:szCs w:val="24"/>
                <w:highlight w:val="none"/>
              </w:rPr>
            </w:pPr>
          </w:p>
        </w:tc>
      </w:tr>
      <w:tr w14:paraId="285B2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954F8A3">
            <w:pPr>
              <w:pStyle w:val="23"/>
              <w:spacing w:before="214" w:line="189" w:lineRule="auto"/>
              <w:ind w:left="4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p>
        </w:tc>
        <w:tc>
          <w:tcPr>
            <w:tcW w:w="1984" w:type="dxa"/>
            <w:vAlign w:val="top"/>
          </w:tcPr>
          <w:p w14:paraId="4FFEBBEA">
            <w:pPr>
              <w:pStyle w:val="23"/>
              <w:spacing w:before="181" w:line="228"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缺陷责任期</w:t>
            </w:r>
          </w:p>
        </w:tc>
        <w:tc>
          <w:tcPr>
            <w:tcW w:w="2125" w:type="dxa"/>
            <w:vAlign w:val="top"/>
          </w:tcPr>
          <w:p w14:paraId="763962FE">
            <w:pPr>
              <w:pStyle w:val="23"/>
              <w:spacing w:before="181"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347043E0">
            <w:pPr>
              <w:rPr>
                <w:rFonts w:hint="eastAsia" w:ascii="新宋体" w:hAnsi="新宋体" w:eastAsia="新宋体" w:cs="新宋体"/>
                <w:color w:val="auto"/>
                <w:sz w:val="24"/>
                <w:szCs w:val="24"/>
                <w:highlight w:val="none"/>
              </w:rPr>
            </w:pPr>
          </w:p>
        </w:tc>
        <w:tc>
          <w:tcPr>
            <w:tcW w:w="1846" w:type="dxa"/>
            <w:vAlign w:val="top"/>
          </w:tcPr>
          <w:p w14:paraId="2DAD04FD">
            <w:pPr>
              <w:rPr>
                <w:rFonts w:hint="eastAsia" w:ascii="新宋体" w:hAnsi="新宋体" w:eastAsia="新宋体" w:cs="新宋体"/>
                <w:color w:val="auto"/>
                <w:sz w:val="24"/>
                <w:szCs w:val="24"/>
                <w:highlight w:val="none"/>
              </w:rPr>
            </w:pPr>
          </w:p>
        </w:tc>
      </w:tr>
      <w:tr w14:paraId="52EE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876E295">
            <w:pPr>
              <w:pStyle w:val="23"/>
              <w:spacing w:before="215" w:line="187" w:lineRule="auto"/>
              <w:ind w:left="45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w:t>
            </w:r>
          </w:p>
        </w:tc>
        <w:tc>
          <w:tcPr>
            <w:tcW w:w="1984" w:type="dxa"/>
            <w:vAlign w:val="top"/>
          </w:tcPr>
          <w:p w14:paraId="42F04993">
            <w:pPr>
              <w:pStyle w:val="23"/>
              <w:spacing w:before="180" w:line="228"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发包人支付担保</w:t>
            </w:r>
          </w:p>
        </w:tc>
        <w:tc>
          <w:tcPr>
            <w:tcW w:w="2125" w:type="dxa"/>
            <w:vAlign w:val="top"/>
          </w:tcPr>
          <w:p w14:paraId="265DD47A">
            <w:pPr>
              <w:pStyle w:val="23"/>
              <w:spacing w:before="180"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2B92B866">
            <w:pPr>
              <w:rPr>
                <w:rFonts w:hint="eastAsia" w:ascii="新宋体" w:hAnsi="新宋体" w:eastAsia="新宋体" w:cs="新宋体"/>
                <w:color w:val="auto"/>
                <w:sz w:val="24"/>
                <w:szCs w:val="24"/>
                <w:highlight w:val="none"/>
              </w:rPr>
            </w:pPr>
          </w:p>
        </w:tc>
        <w:tc>
          <w:tcPr>
            <w:tcW w:w="1846" w:type="dxa"/>
            <w:vAlign w:val="top"/>
          </w:tcPr>
          <w:p w14:paraId="05371F79">
            <w:pPr>
              <w:rPr>
                <w:rFonts w:hint="eastAsia" w:ascii="新宋体" w:hAnsi="新宋体" w:eastAsia="新宋体" w:cs="新宋体"/>
                <w:color w:val="auto"/>
                <w:sz w:val="24"/>
                <w:szCs w:val="24"/>
                <w:highlight w:val="none"/>
              </w:rPr>
            </w:pPr>
          </w:p>
        </w:tc>
      </w:tr>
      <w:tr w14:paraId="033E8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3C38258C">
            <w:pPr>
              <w:pStyle w:val="23"/>
              <w:spacing w:before="241" w:line="189" w:lineRule="auto"/>
              <w:ind w:left="452"/>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w:t>
            </w:r>
          </w:p>
        </w:tc>
        <w:tc>
          <w:tcPr>
            <w:tcW w:w="1984" w:type="dxa"/>
            <w:vAlign w:val="top"/>
          </w:tcPr>
          <w:p w14:paraId="4EB0B14A">
            <w:pPr>
              <w:pStyle w:val="23"/>
              <w:spacing w:before="51" w:line="258" w:lineRule="auto"/>
              <w:ind w:left="112" w:right="10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承包人履约担保金</w:t>
            </w:r>
            <w:r>
              <w:rPr>
                <w:rFonts w:hint="eastAsia" w:ascii="新宋体" w:hAnsi="新宋体" w:eastAsia="新宋体" w:cs="新宋体"/>
                <w:color w:val="auto"/>
                <w:sz w:val="24"/>
                <w:szCs w:val="24"/>
                <w:highlight w:val="none"/>
              </w:rPr>
              <w:t xml:space="preserve"> 额</w:t>
            </w:r>
          </w:p>
        </w:tc>
        <w:tc>
          <w:tcPr>
            <w:tcW w:w="2125" w:type="dxa"/>
            <w:vAlign w:val="top"/>
          </w:tcPr>
          <w:p w14:paraId="2401CC86">
            <w:pPr>
              <w:pStyle w:val="23"/>
              <w:spacing w:before="207"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576E81FF">
            <w:pPr>
              <w:rPr>
                <w:rFonts w:hint="eastAsia" w:ascii="新宋体" w:hAnsi="新宋体" w:eastAsia="新宋体" w:cs="新宋体"/>
                <w:color w:val="auto"/>
                <w:sz w:val="24"/>
                <w:szCs w:val="24"/>
                <w:highlight w:val="none"/>
              </w:rPr>
            </w:pPr>
          </w:p>
        </w:tc>
        <w:tc>
          <w:tcPr>
            <w:tcW w:w="1846" w:type="dxa"/>
            <w:vAlign w:val="top"/>
          </w:tcPr>
          <w:p w14:paraId="36EED7BA">
            <w:pPr>
              <w:rPr>
                <w:rFonts w:hint="eastAsia" w:ascii="新宋体" w:hAnsi="新宋体" w:eastAsia="新宋体" w:cs="新宋体"/>
                <w:color w:val="auto"/>
                <w:sz w:val="24"/>
                <w:szCs w:val="24"/>
                <w:highlight w:val="none"/>
              </w:rPr>
            </w:pPr>
          </w:p>
        </w:tc>
      </w:tr>
      <w:tr w14:paraId="774C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EE90558">
            <w:pPr>
              <w:pStyle w:val="23"/>
              <w:spacing w:before="217" w:line="187" w:lineRule="auto"/>
              <w:ind w:left="45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7</w:t>
            </w:r>
          </w:p>
        </w:tc>
        <w:tc>
          <w:tcPr>
            <w:tcW w:w="1984" w:type="dxa"/>
            <w:vAlign w:val="top"/>
          </w:tcPr>
          <w:p w14:paraId="52D55527">
            <w:pPr>
              <w:pStyle w:val="23"/>
              <w:spacing w:before="182" w:line="228" w:lineRule="auto"/>
              <w:ind w:left="1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逾期竣工违约金</w:t>
            </w:r>
          </w:p>
        </w:tc>
        <w:tc>
          <w:tcPr>
            <w:tcW w:w="2125" w:type="dxa"/>
            <w:vAlign w:val="top"/>
          </w:tcPr>
          <w:p w14:paraId="28432880">
            <w:pPr>
              <w:pStyle w:val="23"/>
              <w:spacing w:before="182"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6268C072">
            <w:pPr>
              <w:pStyle w:val="23"/>
              <w:tabs>
                <w:tab w:val="left" w:pos="1365"/>
              </w:tabs>
              <w:spacing w:before="182" w:line="228" w:lineRule="auto"/>
              <w:ind w:left="94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color="auto"/>
              </w:rPr>
              <w:tab/>
            </w:r>
            <w:r>
              <w:rPr>
                <w:rFonts w:hint="eastAsia" w:ascii="新宋体" w:hAnsi="新宋体" w:eastAsia="新宋体" w:cs="新宋体"/>
                <w:color w:val="auto"/>
                <w:spacing w:val="-96"/>
                <w:sz w:val="24"/>
                <w:szCs w:val="24"/>
                <w:highlight w:val="none"/>
              </w:rPr>
              <w:t xml:space="preserve"> </w:t>
            </w:r>
            <w:r>
              <w:rPr>
                <w:rFonts w:hint="eastAsia" w:ascii="新宋体" w:hAnsi="新宋体" w:eastAsia="新宋体" w:cs="新宋体"/>
                <w:color w:val="auto"/>
                <w:spacing w:val="5"/>
                <w:sz w:val="24"/>
                <w:szCs w:val="24"/>
                <w:highlight w:val="none"/>
              </w:rPr>
              <w:t>%/天</w:t>
            </w:r>
          </w:p>
        </w:tc>
        <w:tc>
          <w:tcPr>
            <w:tcW w:w="1846" w:type="dxa"/>
            <w:vAlign w:val="top"/>
          </w:tcPr>
          <w:p w14:paraId="2929C6DF">
            <w:pPr>
              <w:rPr>
                <w:rFonts w:hint="eastAsia" w:ascii="新宋体" w:hAnsi="新宋体" w:eastAsia="新宋体" w:cs="新宋体"/>
                <w:color w:val="auto"/>
                <w:sz w:val="24"/>
                <w:szCs w:val="24"/>
                <w:highlight w:val="none"/>
              </w:rPr>
            </w:pPr>
          </w:p>
        </w:tc>
      </w:tr>
      <w:tr w14:paraId="780A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62A858AA">
            <w:pPr>
              <w:pStyle w:val="23"/>
              <w:spacing w:before="243" w:line="189" w:lineRule="auto"/>
              <w:ind w:left="45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8</w:t>
            </w:r>
          </w:p>
        </w:tc>
        <w:tc>
          <w:tcPr>
            <w:tcW w:w="1984" w:type="dxa"/>
            <w:vAlign w:val="top"/>
          </w:tcPr>
          <w:p w14:paraId="1B61A909">
            <w:pPr>
              <w:pStyle w:val="23"/>
              <w:spacing w:before="53" w:line="258" w:lineRule="auto"/>
              <w:ind w:left="117" w:right="105" w:hanging="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逾期竣工违约金最</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pacing w:val="5"/>
                <w:sz w:val="24"/>
                <w:szCs w:val="24"/>
                <w:highlight w:val="none"/>
              </w:rPr>
              <w:t>高限额</w:t>
            </w:r>
          </w:p>
        </w:tc>
        <w:tc>
          <w:tcPr>
            <w:tcW w:w="2125" w:type="dxa"/>
            <w:vAlign w:val="top"/>
          </w:tcPr>
          <w:p w14:paraId="4958EAF0">
            <w:pPr>
              <w:pStyle w:val="23"/>
              <w:spacing w:before="209"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421A4715">
            <w:pPr>
              <w:pStyle w:val="23"/>
              <w:tabs>
                <w:tab w:val="left" w:pos="1368"/>
              </w:tabs>
              <w:spacing w:before="210" w:line="248" w:lineRule="auto"/>
              <w:ind w:left="94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color="auto"/>
              </w:rPr>
              <w:tab/>
            </w:r>
            <w:r>
              <w:rPr>
                <w:rFonts w:hint="eastAsia" w:ascii="新宋体" w:hAnsi="新宋体" w:eastAsia="新宋体" w:cs="新宋体"/>
                <w:color w:val="auto"/>
                <w:spacing w:val="2"/>
                <w:sz w:val="24"/>
                <w:szCs w:val="24"/>
                <w:highlight w:val="none"/>
                <w:u w:val="single" w:color="auto"/>
              </w:rPr>
              <w:t>%</w:t>
            </w:r>
          </w:p>
        </w:tc>
        <w:tc>
          <w:tcPr>
            <w:tcW w:w="1846" w:type="dxa"/>
            <w:vAlign w:val="top"/>
          </w:tcPr>
          <w:p w14:paraId="113CF2D7">
            <w:pPr>
              <w:rPr>
                <w:rFonts w:hint="eastAsia" w:ascii="新宋体" w:hAnsi="新宋体" w:eastAsia="新宋体" w:cs="新宋体"/>
                <w:color w:val="auto"/>
                <w:sz w:val="24"/>
                <w:szCs w:val="24"/>
                <w:highlight w:val="none"/>
              </w:rPr>
            </w:pPr>
          </w:p>
        </w:tc>
      </w:tr>
      <w:tr w14:paraId="6AC2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E3C540C">
            <w:pPr>
              <w:pStyle w:val="23"/>
              <w:spacing w:before="214" w:line="189" w:lineRule="auto"/>
              <w:ind w:left="45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9</w:t>
            </w:r>
          </w:p>
        </w:tc>
        <w:tc>
          <w:tcPr>
            <w:tcW w:w="1984" w:type="dxa"/>
            <w:vAlign w:val="top"/>
          </w:tcPr>
          <w:p w14:paraId="37308909">
            <w:pPr>
              <w:pStyle w:val="23"/>
              <w:spacing w:before="182" w:line="228"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质量标准</w:t>
            </w:r>
          </w:p>
        </w:tc>
        <w:tc>
          <w:tcPr>
            <w:tcW w:w="2125" w:type="dxa"/>
            <w:vAlign w:val="top"/>
          </w:tcPr>
          <w:p w14:paraId="1FA7062E">
            <w:pPr>
              <w:pStyle w:val="23"/>
              <w:spacing w:before="181"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5E5A2C19">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630555</wp:posOffset>
                      </wp:positionH>
                      <wp:positionV relativeFrom="page">
                        <wp:posOffset>243840</wp:posOffset>
                      </wp:positionV>
                      <wp:extent cx="466725" cy="6350"/>
                      <wp:effectExtent l="0" t="0" r="0" b="0"/>
                      <wp:wrapNone/>
                      <wp:docPr id="1" name="矩形 1"/>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pt;height:0.5pt;width:36.75pt;mso-position-horizontal-relative:page;mso-position-vertical-relative:page;z-index:251665408;mso-width-relative:page;mso-height-relative:page;" fillcolor="#000000" filled="t" stroked="f" coordsize="21600,21600" o:gfxdata="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XP2eXX&#10;AAAACAEAAA8AAAAAAAAAAQAgAAAAIgAAAGRycy9kb3ducmV2LnhtbFBLAQIUABQAAAAIAIdO4kAo&#10;tY7n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0059EA44">
            <w:pPr>
              <w:rPr>
                <w:rFonts w:hint="eastAsia" w:ascii="新宋体" w:hAnsi="新宋体" w:eastAsia="新宋体" w:cs="新宋体"/>
                <w:color w:val="auto"/>
                <w:sz w:val="24"/>
                <w:szCs w:val="24"/>
                <w:highlight w:val="none"/>
              </w:rPr>
            </w:pPr>
          </w:p>
        </w:tc>
      </w:tr>
      <w:tr w14:paraId="72F49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3A5F189">
            <w:pPr>
              <w:pStyle w:val="23"/>
              <w:spacing w:before="215" w:line="190" w:lineRule="auto"/>
              <w:ind w:left="4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10</w:t>
            </w:r>
          </w:p>
        </w:tc>
        <w:tc>
          <w:tcPr>
            <w:tcW w:w="1984" w:type="dxa"/>
            <w:vAlign w:val="top"/>
          </w:tcPr>
          <w:p w14:paraId="79D97EE6">
            <w:pPr>
              <w:pStyle w:val="23"/>
              <w:spacing w:before="183" w:line="228"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预付款额度</w:t>
            </w:r>
          </w:p>
        </w:tc>
        <w:tc>
          <w:tcPr>
            <w:tcW w:w="2125" w:type="dxa"/>
            <w:vAlign w:val="top"/>
          </w:tcPr>
          <w:p w14:paraId="15E33408">
            <w:pPr>
              <w:pStyle w:val="23"/>
              <w:spacing w:before="183"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2DA36295">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630555</wp:posOffset>
                      </wp:positionH>
                      <wp:positionV relativeFrom="page">
                        <wp:posOffset>245110</wp:posOffset>
                      </wp:positionV>
                      <wp:extent cx="466725" cy="6350"/>
                      <wp:effectExtent l="0" t="0" r="0" b="0"/>
                      <wp:wrapNone/>
                      <wp:docPr id="2" name="矩形 2"/>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3pt;height:0.5pt;width:36.75pt;mso-position-horizontal-relative:page;mso-position-vertical-relative:page;z-index:251666432;mso-width-relative:page;mso-height-relative:page;" fillcolor="#000000" filled="t" stroked="f" coordsize="21600,21600" o:gfxdata="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Zv1g&#10;1wAAAAgBAAAPAAAAAAAAAAEAIAAAACIAAABkcnMvZG93bnJldi54bWxQSwECFAAUAAAACACHTuJA&#10;LAGRH7ABAABcAwAADgAAAAAAAAABACAAAAAmAQAAZHJzL2Uyb0RvYy54bWxQSwUGAAAAAAYABgBZ&#10;AQAASAUAAAAA&#10;">
                      <v:fill on="t" focussize="0,0"/>
                      <v:stroke on="f"/>
                      <v:imagedata o:title=""/>
                      <o:lock v:ext="edit" aspectratio="f"/>
                    </v:rect>
                  </w:pict>
                </mc:Fallback>
              </mc:AlternateContent>
            </w:r>
          </w:p>
        </w:tc>
        <w:tc>
          <w:tcPr>
            <w:tcW w:w="1846" w:type="dxa"/>
            <w:vAlign w:val="top"/>
          </w:tcPr>
          <w:p w14:paraId="2A5C4636">
            <w:pPr>
              <w:rPr>
                <w:rFonts w:hint="eastAsia" w:ascii="新宋体" w:hAnsi="新宋体" w:eastAsia="新宋体" w:cs="新宋体"/>
                <w:color w:val="auto"/>
                <w:sz w:val="24"/>
                <w:szCs w:val="24"/>
                <w:highlight w:val="none"/>
              </w:rPr>
            </w:pPr>
          </w:p>
        </w:tc>
      </w:tr>
      <w:tr w14:paraId="2426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E3329D7">
            <w:pPr>
              <w:pStyle w:val="23"/>
              <w:spacing w:before="215" w:line="189" w:lineRule="auto"/>
              <w:ind w:left="4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11</w:t>
            </w:r>
          </w:p>
        </w:tc>
        <w:tc>
          <w:tcPr>
            <w:tcW w:w="1984" w:type="dxa"/>
            <w:vAlign w:val="top"/>
          </w:tcPr>
          <w:p w14:paraId="112BA937">
            <w:pPr>
              <w:pStyle w:val="23"/>
              <w:spacing w:before="182" w:line="228"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预付款保函金额</w:t>
            </w:r>
          </w:p>
        </w:tc>
        <w:tc>
          <w:tcPr>
            <w:tcW w:w="2125" w:type="dxa"/>
            <w:vAlign w:val="top"/>
          </w:tcPr>
          <w:p w14:paraId="33C62723">
            <w:pPr>
              <w:pStyle w:val="23"/>
              <w:spacing w:before="182"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12B61E8E">
            <w:pP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page">
                        <wp:posOffset>630555</wp:posOffset>
                      </wp:positionH>
                      <wp:positionV relativeFrom="page">
                        <wp:posOffset>244475</wp:posOffset>
                      </wp:positionV>
                      <wp:extent cx="466725" cy="6350"/>
                      <wp:effectExtent l="0" t="0" r="0" b="0"/>
                      <wp:wrapNone/>
                      <wp:docPr id="5" name="矩形 5"/>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5pt;height:0.5pt;width:36.75pt;mso-position-horizontal-relative:page;mso-position-vertical-relative:page;z-index:251664384;mso-width-relative:page;mso-height-relative:page;" fillcolor="#000000" filled="t" stroked="f" coordsize="21600,21600" o:gfxdata="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ibS6fX&#10;AAAACAEAAA8AAAAAAAAAAQAgAAAAIgAAAGRycy9kb3ducmV2LnhtbFBLAQIUABQAAAAIAIdO4kCm&#10;/vrV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28DDDE65">
            <w:pPr>
              <w:rPr>
                <w:rFonts w:hint="eastAsia" w:ascii="新宋体" w:hAnsi="新宋体" w:eastAsia="新宋体" w:cs="新宋体"/>
                <w:color w:val="auto"/>
                <w:sz w:val="24"/>
                <w:szCs w:val="24"/>
                <w:highlight w:val="none"/>
              </w:rPr>
            </w:pPr>
          </w:p>
        </w:tc>
      </w:tr>
      <w:tr w14:paraId="22760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0033DDF">
            <w:pPr>
              <w:pStyle w:val="23"/>
              <w:spacing w:before="214" w:line="189" w:lineRule="auto"/>
              <w:ind w:left="4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w:t>
            </w:r>
          </w:p>
        </w:tc>
        <w:tc>
          <w:tcPr>
            <w:tcW w:w="1984" w:type="dxa"/>
            <w:vAlign w:val="top"/>
          </w:tcPr>
          <w:p w14:paraId="42F1A791">
            <w:pPr>
              <w:pStyle w:val="23"/>
              <w:spacing w:before="181"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2125" w:type="dxa"/>
            <w:vAlign w:val="top"/>
          </w:tcPr>
          <w:p w14:paraId="65C82762">
            <w:pPr>
              <w:pStyle w:val="23"/>
              <w:spacing w:before="181"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1983" w:type="dxa"/>
            <w:vAlign w:val="top"/>
          </w:tcPr>
          <w:p w14:paraId="4DCD2A41">
            <w:pPr>
              <w:pStyle w:val="23"/>
              <w:spacing w:before="181" w:line="226"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结算价的</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 xml:space="preserve">  </w:t>
            </w:r>
          </w:p>
        </w:tc>
        <w:tc>
          <w:tcPr>
            <w:tcW w:w="1846" w:type="dxa"/>
            <w:vAlign w:val="top"/>
          </w:tcPr>
          <w:p w14:paraId="6F496984">
            <w:pPr>
              <w:rPr>
                <w:rFonts w:hint="eastAsia" w:ascii="宋体" w:hAnsi="宋体" w:eastAsia="宋体" w:cs="宋体"/>
                <w:color w:val="auto"/>
                <w:sz w:val="24"/>
                <w:szCs w:val="24"/>
                <w:highlight w:val="none"/>
              </w:rPr>
            </w:pPr>
          </w:p>
        </w:tc>
      </w:tr>
      <w:tr w14:paraId="313A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33C9C5D">
            <w:pPr>
              <w:pStyle w:val="23"/>
              <w:spacing w:before="214" w:line="190" w:lineRule="auto"/>
              <w:ind w:left="4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13</w:t>
            </w:r>
          </w:p>
        </w:tc>
        <w:tc>
          <w:tcPr>
            <w:tcW w:w="1984" w:type="dxa"/>
            <w:vAlign w:val="top"/>
          </w:tcPr>
          <w:p w14:paraId="5E8E6742">
            <w:pPr>
              <w:pStyle w:val="23"/>
              <w:spacing w:before="182" w:line="228" w:lineRule="auto"/>
              <w:ind w:left="15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农民工工资保障金</w:t>
            </w:r>
          </w:p>
        </w:tc>
        <w:tc>
          <w:tcPr>
            <w:tcW w:w="2125" w:type="dxa"/>
            <w:vAlign w:val="top"/>
          </w:tcPr>
          <w:p w14:paraId="0C349BA5">
            <w:pPr>
              <w:pStyle w:val="23"/>
              <w:spacing w:before="182" w:line="228" w:lineRule="auto"/>
              <w:ind w:left="68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专用条款</w:t>
            </w:r>
          </w:p>
        </w:tc>
        <w:tc>
          <w:tcPr>
            <w:tcW w:w="1983" w:type="dxa"/>
            <w:vAlign w:val="top"/>
          </w:tcPr>
          <w:p w14:paraId="62737AC8">
            <w:pPr>
              <w:rPr>
                <w:rFonts w:hint="eastAsia" w:ascii="新宋体" w:hAnsi="新宋体" w:eastAsia="新宋体" w:cs="新宋体"/>
                <w:color w:val="auto"/>
                <w:sz w:val="24"/>
                <w:szCs w:val="24"/>
                <w:highlight w:val="none"/>
              </w:rPr>
            </w:pPr>
          </w:p>
        </w:tc>
        <w:tc>
          <w:tcPr>
            <w:tcW w:w="1846" w:type="dxa"/>
            <w:vAlign w:val="top"/>
          </w:tcPr>
          <w:p w14:paraId="31C1AB0B">
            <w:pPr>
              <w:rPr>
                <w:rFonts w:hint="eastAsia" w:ascii="新宋体" w:hAnsi="新宋体" w:eastAsia="新宋体" w:cs="新宋体"/>
                <w:color w:val="auto"/>
                <w:sz w:val="24"/>
                <w:szCs w:val="24"/>
                <w:highlight w:val="none"/>
              </w:rPr>
            </w:pPr>
          </w:p>
        </w:tc>
      </w:tr>
      <w:tr w14:paraId="360D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87CCB73">
            <w:pPr>
              <w:pStyle w:val="23"/>
              <w:spacing w:before="182" w:line="324" w:lineRule="exact"/>
              <w:ind w:left="411"/>
              <w:rPr>
                <w:rFonts w:hint="eastAsia" w:ascii="新宋体" w:hAnsi="新宋体" w:eastAsia="新宋体" w:cs="新宋体"/>
                <w:color w:val="auto"/>
                <w:sz w:val="24"/>
                <w:szCs w:val="24"/>
                <w:highlight w:val="none"/>
              </w:rPr>
            </w:pPr>
            <w:r>
              <w:rPr>
                <w:rFonts w:hint="eastAsia" w:ascii="新宋体" w:hAnsi="新宋体" w:eastAsia="新宋体" w:cs="新宋体"/>
                <w:color w:val="auto"/>
                <w:position w:val="2"/>
                <w:sz w:val="24"/>
                <w:szCs w:val="24"/>
                <w:highlight w:val="none"/>
              </w:rPr>
              <w:t>…</w:t>
            </w:r>
          </w:p>
        </w:tc>
        <w:tc>
          <w:tcPr>
            <w:tcW w:w="1984" w:type="dxa"/>
            <w:vAlign w:val="top"/>
          </w:tcPr>
          <w:p w14:paraId="17FF3FC1">
            <w:pPr>
              <w:pStyle w:val="23"/>
              <w:spacing w:before="182" w:line="324" w:lineRule="exact"/>
              <w:ind w:left="903"/>
              <w:rPr>
                <w:rFonts w:hint="eastAsia" w:ascii="新宋体" w:hAnsi="新宋体" w:eastAsia="新宋体" w:cs="新宋体"/>
                <w:color w:val="auto"/>
                <w:sz w:val="24"/>
                <w:szCs w:val="24"/>
                <w:highlight w:val="none"/>
              </w:rPr>
            </w:pPr>
            <w:r>
              <w:rPr>
                <w:rFonts w:hint="eastAsia" w:ascii="新宋体" w:hAnsi="新宋体" w:eastAsia="新宋体" w:cs="新宋体"/>
                <w:color w:val="auto"/>
                <w:position w:val="2"/>
                <w:sz w:val="24"/>
                <w:szCs w:val="24"/>
                <w:highlight w:val="none"/>
              </w:rPr>
              <w:t>…</w:t>
            </w:r>
          </w:p>
        </w:tc>
        <w:tc>
          <w:tcPr>
            <w:tcW w:w="2125" w:type="dxa"/>
            <w:vAlign w:val="top"/>
          </w:tcPr>
          <w:p w14:paraId="69E35D18">
            <w:pPr>
              <w:rPr>
                <w:rFonts w:hint="eastAsia" w:ascii="新宋体" w:hAnsi="新宋体" w:eastAsia="新宋体" w:cs="新宋体"/>
                <w:color w:val="auto"/>
                <w:sz w:val="24"/>
                <w:szCs w:val="24"/>
                <w:highlight w:val="none"/>
              </w:rPr>
            </w:pPr>
          </w:p>
        </w:tc>
        <w:tc>
          <w:tcPr>
            <w:tcW w:w="1983" w:type="dxa"/>
            <w:vAlign w:val="top"/>
          </w:tcPr>
          <w:p w14:paraId="1B95DA72">
            <w:pPr>
              <w:rPr>
                <w:rFonts w:hint="eastAsia" w:ascii="新宋体" w:hAnsi="新宋体" w:eastAsia="新宋体" w:cs="新宋体"/>
                <w:color w:val="auto"/>
                <w:sz w:val="24"/>
                <w:szCs w:val="24"/>
                <w:highlight w:val="none"/>
              </w:rPr>
            </w:pPr>
          </w:p>
        </w:tc>
        <w:tc>
          <w:tcPr>
            <w:tcW w:w="1846" w:type="dxa"/>
            <w:vAlign w:val="top"/>
          </w:tcPr>
          <w:p w14:paraId="4A065F4A">
            <w:pPr>
              <w:rPr>
                <w:rFonts w:hint="eastAsia" w:ascii="新宋体" w:hAnsi="新宋体" w:eastAsia="新宋体" w:cs="新宋体"/>
                <w:color w:val="auto"/>
                <w:sz w:val="24"/>
                <w:szCs w:val="24"/>
                <w:highlight w:val="none"/>
              </w:rPr>
            </w:pPr>
          </w:p>
        </w:tc>
      </w:tr>
      <w:tr w14:paraId="6D7E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14:paraId="53A9CA63">
            <w:pPr>
              <w:pStyle w:val="23"/>
              <w:spacing w:before="133" w:line="468" w:lineRule="exact"/>
              <w:ind w:left="117"/>
              <w:rPr>
                <w:rFonts w:hint="eastAsia" w:ascii="新宋体" w:hAnsi="新宋体" w:eastAsia="新宋体" w:cs="新宋体"/>
                <w:color w:val="auto"/>
                <w:sz w:val="24"/>
                <w:szCs w:val="24"/>
                <w:highlight w:val="none"/>
              </w:rPr>
            </w:pPr>
            <w:r>
              <w:rPr>
                <w:rFonts w:hint="eastAsia"/>
                <w:color w:val="auto"/>
                <w:sz w:val="24"/>
                <w:szCs w:val="24"/>
                <w:highlight w:val="none"/>
              </w:rPr>
              <w:t>备注：供应商在响应磋商文件中规定的实质性要求和条件的基础上，可做出其他有利于采购单位的承诺。此类承诺可在本表中予以补充填写。</w:t>
            </w:r>
          </w:p>
        </w:tc>
      </w:tr>
    </w:tbl>
    <w:p w14:paraId="67F16DBB">
      <w:pPr>
        <w:pStyle w:val="8"/>
        <w:spacing w:line="254" w:lineRule="auto"/>
        <w:rPr>
          <w:rFonts w:hint="eastAsia" w:ascii="新宋体" w:hAnsi="新宋体" w:eastAsia="新宋体" w:cs="新宋体"/>
          <w:color w:val="auto"/>
          <w:sz w:val="24"/>
          <w:szCs w:val="24"/>
          <w:highlight w:val="none"/>
        </w:rPr>
      </w:pPr>
    </w:p>
    <w:p w14:paraId="28A03F28">
      <w:pPr>
        <w:spacing w:before="65" w:line="227" w:lineRule="auto"/>
        <w:ind w:left="3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9"/>
          <w:sz w:val="24"/>
          <w:szCs w:val="24"/>
          <w:highlight w:val="none"/>
        </w:rPr>
        <w:t>注：本表可扩展，并逐页签字及盖章</w:t>
      </w:r>
    </w:p>
    <w:p w14:paraId="13929B5B">
      <w:pPr>
        <w:pStyle w:val="8"/>
        <w:spacing w:line="325" w:lineRule="auto"/>
        <w:rPr>
          <w:rFonts w:hint="eastAsia" w:ascii="新宋体" w:hAnsi="新宋体" w:eastAsia="新宋体" w:cs="新宋体"/>
          <w:color w:val="auto"/>
          <w:sz w:val="24"/>
          <w:szCs w:val="24"/>
          <w:highlight w:val="none"/>
        </w:rPr>
      </w:pPr>
    </w:p>
    <w:p w14:paraId="3DD68D49">
      <w:pPr>
        <w:spacing w:before="65" w:line="228" w:lineRule="auto"/>
        <w:ind w:left="34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9"/>
          <w:sz w:val="24"/>
          <w:szCs w:val="24"/>
          <w:highlight w:val="none"/>
        </w:rPr>
        <w:t>法定代表人或者委托代理人（签字</w:t>
      </w:r>
      <w:r>
        <w:rPr>
          <w:rFonts w:hint="eastAsia" w:ascii="新宋体" w:hAnsi="新宋体" w:eastAsia="新宋体" w:cs="新宋体"/>
          <w:color w:val="auto"/>
          <w:spacing w:val="1"/>
          <w:sz w:val="24"/>
          <w:szCs w:val="24"/>
          <w:highlight w:val="none"/>
        </w:rPr>
        <w:t>）：</w:t>
      </w:r>
    </w:p>
    <w:p w14:paraId="40613FA6">
      <w:pPr>
        <w:spacing w:before="274" w:line="227" w:lineRule="auto"/>
        <w:ind w:left="353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供应商（盖公章</w:t>
      </w:r>
      <w:r>
        <w:rPr>
          <w:rFonts w:hint="eastAsia" w:ascii="新宋体" w:hAnsi="新宋体" w:eastAsia="新宋体" w:cs="新宋体"/>
          <w:color w:val="auto"/>
          <w:spacing w:val="1"/>
          <w:sz w:val="24"/>
          <w:szCs w:val="24"/>
          <w:highlight w:val="none"/>
        </w:rPr>
        <w:t>）：</w:t>
      </w:r>
    </w:p>
    <w:p w14:paraId="40F9E451">
      <w:pPr>
        <w:spacing w:before="272" w:line="228" w:lineRule="auto"/>
        <w:ind w:left="34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日期：</w:t>
      </w:r>
      <w:r>
        <w:rPr>
          <w:rFonts w:hint="eastAsia" w:ascii="新宋体" w:hAnsi="新宋体" w:eastAsia="新宋体" w:cs="新宋体"/>
          <w:color w:val="auto"/>
          <w:spacing w:val="12"/>
          <w:sz w:val="24"/>
          <w:szCs w:val="24"/>
          <w:highlight w:val="none"/>
        </w:rPr>
        <w:t xml:space="preserve">   </w:t>
      </w:r>
      <w:r>
        <w:rPr>
          <w:rFonts w:hint="eastAsia" w:ascii="新宋体" w:hAnsi="新宋体" w:eastAsia="新宋体" w:cs="新宋体"/>
          <w:color w:val="auto"/>
          <w:spacing w:val="-6"/>
          <w:sz w:val="24"/>
          <w:szCs w:val="24"/>
          <w:highlight w:val="none"/>
        </w:rPr>
        <w:t>年</w:t>
      </w:r>
      <w:r>
        <w:rPr>
          <w:rFonts w:hint="eastAsia" w:ascii="新宋体" w:hAnsi="新宋体" w:eastAsia="新宋体" w:cs="新宋体"/>
          <w:color w:val="auto"/>
          <w:spacing w:val="10"/>
          <w:sz w:val="24"/>
          <w:szCs w:val="24"/>
          <w:highlight w:val="none"/>
        </w:rPr>
        <w:t xml:space="preserve">   </w:t>
      </w:r>
      <w:r>
        <w:rPr>
          <w:rFonts w:hint="eastAsia" w:ascii="新宋体" w:hAnsi="新宋体" w:eastAsia="新宋体" w:cs="新宋体"/>
          <w:color w:val="auto"/>
          <w:spacing w:val="-6"/>
          <w:sz w:val="24"/>
          <w:szCs w:val="24"/>
          <w:highlight w:val="none"/>
        </w:rPr>
        <w:t>月</w:t>
      </w:r>
      <w:r>
        <w:rPr>
          <w:rFonts w:hint="eastAsia" w:ascii="新宋体" w:hAnsi="新宋体" w:eastAsia="新宋体" w:cs="新宋体"/>
          <w:color w:val="auto"/>
          <w:spacing w:val="21"/>
          <w:sz w:val="24"/>
          <w:szCs w:val="24"/>
          <w:highlight w:val="none"/>
        </w:rPr>
        <w:t xml:space="preserve">   </w:t>
      </w:r>
      <w:r>
        <w:rPr>
          <w:rFonts w:hint="eastAsia" w:ascii="新宋体" w:hAnsi="新宋体" w:eastAsia="新宋体" w:cs="新宋体"/>
          <w:color w:val="auto"/>
          <w:spacing w:val="-6"/>
          <w:sz w:val="24"/>
          <w:szCs w:val="24"/>
          <w:highlight w:val="none"/>
        </w:rPr>
        <w:t>日</w:t>
      </w:r>
    </w:p>
    <w:p w14:paraId="2B8D106C">
      <w:pPr>
        <w:spacing w:line="228" w:lineRule="auto"/>
        <w:rPr>
          <w:rFonts w:hint="eastAsia" w:ascii="新宋体" w:hAnsi="新宋体" w:eastAsia="新宋体" w:cs="新宋体"/>
          <w:color w:val="auto"/>
          <w:sz w:val="24"/>
          <w:szCs w:val="24"/>
          <w:highlight w:val="none"/>
        </w:rPr>
        <w:sectPr>
          <w:footerReference r:id="rId35" w:type="default"/>
          <w:pgSz w:w="11905" w:h="16838"/>
          <w:pgMar w:top="1134" w:right="1134" w:bottom="1134" w:left="1134" w:header="0" w:footer="992" w:gutter="0"/>
          <w:pgNumType w:fmt="decimal"/>
          <w:cols w:space="0" w:num="1"/>
          <w:rtlGutter w:val="0"/>
          <w:docGrid w:linePitch="0" w:charSpace="0"/>
        </w:sectPr>
      </w:pPr>
    </w:p>
    <w:p w14:paraId="459F4504">
      <w:pPr>
        <w:ind w:firstLine="3120" w:firstLineChars="1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）磋商报价表</w:t>
      </w:r>
      <w:r>
        <w:rPr>
          <w:rFonts w:hint="eastAsia" w:ascii="宋体" w:hAnsi="宋体" w:eastAsia="宋体" w:cs="宋体"/>
          <w:color w:val="auto"/>
          <w:sz w:val="24"/>
          <w:szCs w:val="24"/>
          <w:highlight w:val="none"/>
          <w:lang w:eastAsia="zh-CN"/>
        </w:rPr>
        <w:t>（如有）</w:t>
      </w:r>
    </w:p>
    <w:p w14:paraId="511E3BD1">
      <w:pPr>
        <w:rPr>
          <w:rFonts w:hint="eastAsia" w:ascii="宋体" w:hAnsi="宋体" w:eastAsia="宋体" w:cs="宋体"/>
          <w:color w:val="auto"/>
          <w:sz w:val="24"/>
          <w:szCs w:val="24"/>
          <w:highlight w:val="none"/>
        </w:rPr>
      </w:pPr>
    </w:p>
    <w:p w14:paraId="2F4315F5">
      <w:pPr>
        <w:rPr>
          <w:rFonts w:hint="eastAsia" w:ascii="宋体" w:hAnsi="宋体" w:eastAsia="宋体" w:cs="宋体"/>
          <w:color w:val="auto"/>
          <w:sz w:val="24"/>
          <w:szCs w:val="24"/>
          <w:highlight w:val="none"/>
        </w:rPr>
      </w:pPr>
    </w:p>
    <w:p w14:paraId="21A3C82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9E7F3E2">
      <w:pPr>
        <w:rPr>
          <w:rFonts w:hint="eastAsia" w:ascii="宋体" w:hAnsi="宋体" w:eastAsia="宋体" w:cs="宋体"/>
          <w:color w:val="auto"/>
          <w:sz w:val="24"/>
          <w:szCs w:val="24"/>
          <w:highlight w:val="none"/>
        </w:rPr>
      </w:pPr>
    </w:p>
    <w:p w14:paraId="65FAFE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币种：人民币</w:t>
      </w:r>
    </w:p>
    <w:p w14:paraId="2F1D502B">
      <w:pPr>
        <w:rPr>
          <w:rFonts w:hint="eastAsia" w:ascii="宋体" w:hAnsi="宋体" w:eastAsia="宋体" w:cs="宋体"/>
          <w:color w:val="auto"/>
          <w:sz w:val="24"/>
          <w:szCs w:val="24"/>
          <w:highlight w:val="none"/>
        </w:rPr>
      </w:pPr>
    </w:p>
    <w:tbl>
      <w:tblPr>
        <w:tblStyle w:val="22"/>
        <w:tblW w:w="879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114"/>
        <w:gridCol w:w="1986"/>
        <w:gridCol w:w="1706"/>
      </w:tblGrid>
      <w:tr w14:paraId="41A3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1" w:type="dxa"/>
            <w:gridSpan w:val="2"/>
            <w:vAlign w:val="top"/>
          </w:tcPr>
          <w:p w14:paraId="11FD4F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响应总价</w:t>
            </w:r>
          </w:p>
        </w:tc>
        <w:tc>
          <w:tcPr>
            <w:tcW w:w="1986" w:type="dxa"/>
            <w:vAlign w:val="top"/>
          </w:tcPr>
          <w:p w14:paraId="31AB21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706" w:type="dxa"/>
            <w:vAlign w:val="top"/>
          </w:tcPr>
          <w:p w14:paraId="7EB5164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93D7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7" w:type="dxa"/>
            <w:vMerge w:val="restart"/>
            <w:tcBorders>
              <w:bottom w:val="nil"/>
            </w:tcBorders>
            <w:vAlign w:val="top"/>
          </w:tcPr>
          <w:p w14:paraId="7E2F67C3">
            <w:pPr>
              <w:rPr>
                <w:rFonts w:hint="eastAsia" w:ascii="宋体" w:hAnsi="宋体" w:eastAsia="宋体" w:cs="宋体"/>
                <w:color w:val="auto"/>
                <w:sz w:val="24"/>
                <w:szCs w:val="24"/>
                <w:highlight w:val="none"/>
              </w:rPr>
            </w:pPr>
          </w:p>
          <w:p w14:paraId="35C5DE0A">
            <w:pPr>
              <w:rPr>
                <w:rFonts w:hint="eastAsia" w:ascii="宋体" w:hAnsi="宋体" w:eastAsia="宋体" w:cs="宋体"/>
                <w:color w:val="auto"/>
                <w:sz w:val="24"/>
                <w:szCs w:val="24"/>
                <w:highlight w:val="none"/>
              </w:rPr>
            </w:pPr>
          </w:p>
          <w:p w14:paraId="1DCCC420">
            <w:pPr>
              <w:rPr>
                <w:rFonts w:hint="eastAsia" w:ascii="宋体" w:hAnsi="宋体" w:eastAsia="宋体" w:cs="宋体"/>
                <w:color w:val="auto"/>
                <w:sz w:val="24"/>
                <w:szCs w:val="24"/>
                <w:highlight w:val="none"/>
              </w:rPr>
            </w:pPr>
          </w:p>
          <w:p w14:paraId="194C0AB0">
            <w:pPr>
              <w:rPr>
                <w:rFonts w:hint="eastAsia" w:ascii="宋体" w:hAnsi="宋体" w:eastAsia="宋体" w:cs="宋体"/>
                <w:color w:val="auto"/>
                <w:sz w:val="24"/>
                <w:szCs w:val="24"/>
                <w:highlight w:val="none"/>
              </w:rPr>
            </w:pPr>
          </w:p>
          <w:p w14:paraId="00CF88A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3114" w:type="dxa"/>
            <w:vAlign w:val="top"/>
          </w:tcPr>
          <w:p w14:paraId="5D12F9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1986" w:type="dxa"/>
            <w:vAlign w:val="top"/>
          </w:tcPr>
          <w:p w14:paraId="30C87D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706" w:type="dxa"/>
            <w:vAlign w:val="top"/>
          </w:tcPr>
          <w:p w14:paraId="3DB9FAE2">
            <w:pPr>
              <w:rPr>
                <w:rFonts w:hint="eastAsia" w:ascii="宋体" w:hAnsi="宋体" w:eastAsia="宋体" w:cs="宋体"/>
                <w:color w:val="auto"/>
                <w:sz w:val="24"/>
                <w:szCs w:val="24"/>
                <w:highlight w:val="none"/>
              </w:rPr>
            </w:pPr>
          </w:p>
        </w:tc>
      </w:tr>
      <w:tr w14:paraId="065A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87" w:type="dxa"/>
            <w:vMerge w:val="continue"/>
            <w:tcBorders>
              <w:top w:val="nil"/>
              <w:bottom w:val="nil"/>
            </w:tcBorders>
            <w:vAlign w:val="top"/>
          </w:tcPr>
          <w:p w14:paraId="5127F83B">
            <w:pPr>
              <w:rPr>
                <w:rFonts w:hint="eastAsia" w:ascii="宋体" w:hAnsi="宋体" w:eastAsia="宋体" w:cs="宋体"/>
                <w:color w:val="auto"/>
                <w:sz w:val="24"/>
                <w:szCs w:val="24"/>
                <w:highlight w:val="none"/>
              </w:rPr>
            </w:pPr>
          </w:p>
        </w:tc>
        <w:tc>
          <w:tcPr>
            <w:tcW w:w="3114" w:type="dxa"/>
            <w:vAlign w:val="top"/>
          </w:tcPr>
          <w:p w14:paraId="7E8551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1986" w:type="dxa"/>
            <w:vAlign w:val="top"/>
          </w:tcPr>
          <w:p w14:paraId="5E422B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706" w:type="dxa"/>
            <w:vAlign w:val="top"/>
          </w:tcPr>
          <w:p w14:paraId="0235C72E">
            <w:pPr>
              <w:rPr>
                <w:rFonts w:hint="eastAsia" w:ascii="宋体" w:hAnsi="宋体" w:eastAsia="宋体" w:cs="宋体"/>
                <w:color w:val="auto"/>
                <w:sz w:val="24"/>
                <w:szCs w:val="24"/>
                <w:highlight w:val="none"/>
              </w:rPr>
            </w:pPr>
          </w:p>
        </w:tc>
      </w:tr>
      <w:tr w14:paraId="3DFB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14:paraId="7FF87E80">
            <w:pPr>
              <w:rPr>
                <w:rFonts w:hint="eastAsia" w:ascii="宋体" w:hAnsi="宋体" w:eastAsia="宋体" w:cs="宋体"/>
                <w:color w:val="auto"/>
                <w:sz w:val="24"/>
                <w:szCs w:val="24"/>
                <w:highlight w:val="none"/>
              </w:rPr>
            </w:pPr>
          </w:p>
        </w:tc>
        <w:tc>
          <w:tcPr>
            <w:tcW w:w="3114" w:type="dxa"/>
            <w:vAlign w:val="top"/>
          </w:tcPr>
          <w:p w14:paraId="4B7A86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1986" w:type="dxa"/>
            <w:vAlign w:val="top"/>
          </w:tcPr>
          <w:p w14:paraId="5B9173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706" w:type="dxa"/>
            <w:vAlign w:val="top"/>
          </w:tcPr>
          <w:p w14:paraId="5207D1F0">
            <w:pPr>
              <w:rPr>
                <w:rFonts w:hint="eastAsia" w:ascii="宋体" w:hAnsi="宋体" w:eastAsia="宋体" w:cs="宋体"/>
                <w:color w:val="auto"/>
                <w:sz w:val="24"/>
                <w:szCs w:val="24"/>
                <w:highlight w:val="none"/>
              </w:rPr>
            </w:pPr>
          </w:p>
        </w:tc>
      </w:tr>
      <w:tr w14:paraId="0E3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tcBorders>
            <w:vAlign w:val="top"/>
          </w:tcPr>
          <w:p w14:paraId="70B4D7AB">
            <w:pPr>
              <w:rPr>
                <w:rFonts w:hint="eastAsia" w:ascii="宋体" w:hAnsi="宋体" w:eastAsia="宋体" w:cs="宋体"/>
                <w:color w:val="auto"/>
                <w:sz w:val="24"/>
                <w:szCs w:val="24"/>
                <w:highlight w:val="none"/>
              </w:rPr>
            </w:pPr>
          </w:p>
        </w:tc>
        <w:tc>
          <w:tcPr>
            <w:tcW w:w="3114" w:type="dxa"/>
            <w:vAlign w:val="top"/>
          </w:tcPr>
          <w:p w14:paraId="127394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1986" w:type="dxa"/>
            <w:vAlign w:val="top"/>
          </w:tcPr>
          <w:p w14:paraId="658F5B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706" w:type="dxa"/>
            <w:vAlign w:val="top"/>
          </w:tcPr>
          <w:p w14:paraId="05534D82">
            <w:pPr>
              <w:rPr>
                <w:rFonts w:hint="eastAsia" w:ascii="宋体" w:hAnsi="宋体" w:eastAsia="宋体" w:cs="宋体"/>
                <w:color w:val="auto"/>
                <w:sz w:val="24"/>
                <w:szCs w:val="24"/>
                <w:highlight w:val="none"/>
              </w:rPr>
            </w:pPr>
          </w:p>
        </w:tc>
      </w:tr>
      <w:tr w14:paraId="7CC2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87" w:type="dxa"/>
            <w:vMerge w:val="restart"/>
            <w:tcBorders>
              <w:bottom w:val="nil"/>
            </w:tcBorders>
            <w:vAlign w:val="top"/>
          </w:tcPr>
          <w:p w14:paraId="526445BA">
            <w:pPr>
              <w:rPr>
                <w:rFonts w:hint="eastAsia" w:ascii="宋体" w:hAnsi="宋体" w:eastAsia="宋体" w:cs="宋体"/>
                <w:color w:val="auto"/>
                <w:sz w:val="24"/>
                <w:szCs w:val="24"/>
                <w:highlight w:val="none"/>
              </w:rPr>
            </w:pPr>
          </w:p>
          <w:p w14:paraId="37EC8561">
            <w:pPr>
              <w:rPr>
                <w:rFonts w:hint="eastAsia" w:ascii="宋体" w:hAnsi="宋体" w:eastAsia="宋体" w:cs="宋体"/>
                <w:color w:val="auto"/>
                <w:sz w:val="24"/>
                <w:szCs w:val="24"/>
                <w:highlight w:val="none"/>
              </w:rPr>
            </w:pPr>
          </w:p>
          <w:p w14:paraId="3470B3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3114" w:type="dxa"/>
            <w:vAlign w:val="top"/>
          </w:tcPr>
          <w:p w14:paraId="664198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1986" w:type="dxa"/>
            <w:vAlign w:val="top"/>
          </w:tcPr>
          <w:p w14:paraId="3EF08B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706" w:type="dxa"/>
            <w:vAlign w:val="top"/>
          </w:tcPr>
          <w:p w14:paraId="6A30A9AE">
            <w:pPr>
              <w:rPr>
                <w:rFonts w:hint="eastAsia" w:ascii="宋体" w:hAnsi="宋体" w:eastAsia="宋体" w:cs="宋体"/>
                <w:color w:val="auto"/>
                <w:sz w:val="24"/>
                <w:szCs w:val="24"/>
                <w:highlight w:val="none"/>
              </w:rPr>
            </w:pPr>
          </w:p>
        </w:tc>
      </w:tr>
      <w:tr w14:paraId="375B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87" w:type="dxa"/>
            <w:vMerge w:val="continue"/>
            <w:tcBorders>
              <w:top w:val="nil"/>
              <w:bottom w:val="nil"/>
            </w:tcBorders>
            <w:vAlign w:val="top"/>
          </w:tcPr>
          <w:p w14:paraId="36B17ABB">
            <w:pPr>
              <w:rPr>
                <w:rFonts w:hint="eastAsia" w:ascii="宋体" w:hAnsi="宋体" w:eastAsia="宋体" w:cs="宋体"/>
                <w:color w:val="auto"/>
                <w:sz w:val="24"/>
                <w:szCs w:val="24"/>
                <w:highlight w:val="none"/>
              </w:rPr>
            </w:pPr>
          </w:p>
        </w:tc>
        <w:tc>
          <w:tcPr>
            <w:tcW w:w="3114" w:type="dxa"/>
            <w:vAlign w:val="top"/>
          </w:tcPr>
          <w:p w14:paraId="7F0D07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1986" w:type="dxa"/>
            <w:vAlign w:val="top"/>
          </w:tcPr>
          <w:p w14:paraId="18C04C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706" w:type="dxa"/>
            <w:vAlign w:val="top"/>
          </w:tcPr>
          <w:p w14:paraId="3A27A3CF">
            <w:pPr>
              <w:rPr>
                <w:rFonts w:hint="eastAsia" w:ascii="宋体" w:hAnsi="宋体" w:eastAsia="宋体" w:cs="宋体"/>
                <w:color w:val="auto"/>
                <w:sz w:val="24"/>
                <w:szCs w:val="24"/>
                <w:highlight w:val="none"/>
              </w:rPr>
            </w:pPr>
          </w:p>
        </w:tc>
      </w:tr>
      <w:tr w14:paraId="15B7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87" w:type="dxa"/>
            <w:vMerge w:val="continue"/>
            <w:tcBorders>
              <w:top w:val="nil"/>
            </w:tcBorders>
            <w:vAlign w:val="top"/>
          </w:tcPr>
          <w:p w14:paraId="2E4EFDEA">
            <w:pPr>
              <w:rPr>
                <w:rFonts w:hint="eastAsia" w:ascii="宋体" w:hAnsi="宋体" w:eastAsia="宋体" w:cs="宋体"/>
                <w:color w:val="auto"/>
                <w:sz w:val="24"/>
                <w:szCs w:val="24"/>
                <w:highlight w:val="none"/>
              </w:rPr>
            </w:pPr>
          </w:p>
        </w:tc>
        <w:tc>
          <w:tcPr>
            <w:tcW w:w="3114" w:type="dxa"/>
            <w:vAlign w:val="top"/>
          </w:tcPr>
          <w:p w14:paraId="3830395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1986" w:type="dxa"/>
            <w:vAlign w:val="top"/>
          </w:tcPr>
          <w:p w14:paraId="44BAF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m3</w:t>
            </w:r>
          </w:p>
        </w:tc>
        <w:tc>
          <w:tcPr>
            <w:tcW w:w="1706" w:type="dxa"/>
            <w:vAlign w:val="top"/>
          </w:tcPr>
          <w:p w14:paraId="593CBBEA">
            <w:pPr>
              <w:rPr>
                <w:rFonts w:hint="eastAsia" w:ascii="宋体" w:hAnsi="宋体" w:eastAsia="宋体" w:cs="宋体"/>
                <w:color w:val="auto"/>
                <w:sz w:val="24"/>
                <w:szCs w:val="24"/>
                <w:highlight w:val="none"/>
              </w:rPr>
            </w:pPr>
          </w:p>
        </w:tc>
      </w:tr>
    </w:tbl>
    <w:p w14:paraId="0191B329">
      <w:pPr>
        <w:rPr>
          <w:rFonts w:hint="eastAsia" w:ascii="宋体" w:hAnsi="宋体" w:eastAsia="宋体" w:cs="宋体"/>
          <w:color w:val="auto"/>
          <w:sz w:val="24"/>
          <w:szCs w:val="24"/>
          <w:highlight w:val="none"/>
        </w:rPr>
      </w:pPr>
    </w:p>
    <w:p w14:paraId="5C053C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66102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1.供应商的报价表必须加盖供应商公章并由法定代表人或者委托代理人签字，否则其响应文</w:t>
      </w:r>
    </w:p>
    <w:p w14:paraId="1E1AB8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件作无效处理。</w:t>
      </w:r>
    </w:p>
    <w:p w14:paraId="4BA7ED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2.报价一经涂改，应在涂改处加盖供应商公章或者由法定代表人或者授权委托人签字或者盖</w:t>
      </w:r>
    </w:p>
    <w:p w14:paraId="667865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章，否则其响应文件作无效处理。</w:t>
      </w:r>
    </w:p>
    <w:p w14:paraId="3C8220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3.如为联合体磋商,盖章处须加盖联合体各方公章，否则其响应文件作无效处理。</w:t>
      </w:r>
    </w:p>
    <w:p w14:paraId="640F15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6.如有多分标，分别列明各分标的报价表，否则其响应文件作无效处理。</w:t>
      </w:r>
    </w:p>
    <w:p w14:paraId="57EFD0EC">
      <w:pPr>
        <w:spacing w:line="360" w:lineRule="auto"/>
        <w:rPr>
          <w:rFonts w:hint="eastAsia" w:ascii="宋体" w:hAnsi="宋体" w:eastAsia="宋体" w:cs="宋体"/>
          <w:color w:val="auto"/>
          <w:sz w:val="24"/>
          <w:szCs w:val="24"/>
          <w:highlight w:val="none"/>
        </w:rPr>
      </w:pPr>
    </w:p>
    <w:p w14:paraId="0ABF0E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法定代表人或者委托代理人（签字）：</w:t>
      </w:r>
    </w:p>
    <w:p w14:paraId="442CF9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供应商（盖公章）：</w:t>
      </w:r>
    </w:p>
    <w:p w14:paraId="79587C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D623692">
      <w:pPr>
        <w:spacing w:line="228" w:lineRule="auto"/>
        <w:rPr>
          <w:rFonts w:ascii="宋体" w:hAnsi="宋体" w:eastAsia="宋体" w:cs="宋体"/>
          <w:color w:val="auto"/>
          <w:sz w:val="20"/>
          <w:szCs w:val="20"/>
          <w:highlight w:val="none"/>
        </w:rPr>
        <w:sectPr>
          <w:footerReference r:id="rId36" w:type="default"/>
          <w:pgSz w:w="11905" w:h="16838"/>
          <w:pgMar w:top="1134" w:right="1134" w:bottom="1134" w:left="1134" w:header="0" w:footer="992" w:gutter="0"/>
          <w:pgNumType w:fmt="decimal"/>
          <w:cols w:space="0" w:num="1"/>
          <w:rtlGutter w:val="0"/>
          <w:docGrid w:linePitch="0" w:charSpace="0"/>
        </w:sectPr>
      </w:pPr>
    </w:p>
    <w:p w14:paraId="2F3DB3B5">
      <w:pPr>
        <w:pStyle w:val="8"/>
        <w:spacing w:line="305" w:lineRule="auto"/>
        <w:rPr>
          <w:color w:val="auto"/>
          <w:highlight w:val="none"/>
        </w:rPr>
      </w:pPr>
    </w:p>
    <w:p w14:paraId="39CC52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)已标价工程量清单：</w:t>
      </w:r>
    </w:p>
    <w:p w14:paraId="59AFAC68">
      <w:pPr>
        <w:spacing w:line="360" w:lineRule="auto"/>
        <w:rPr>
          <w:rFonts w:hint="eastAsia" w:ascii="宋体" w:hAnsi="宋体" w:eastAsia="宋体" w:cs="宋体"/>
          <w:color w:val="auto"/>
          <w:sz w:val="24"/>
          <w:szCs w:val="24"/>
          <w:highlight w:val="none"/>
        </w:rPr>
      </w:pPr>
    </w:p>
    <w:p w14:paraId="6B650A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（1）已标价工程量清单应按第五章“工程量清单 ”中的相关表格及报价说明填写。构成合同 文件的已标价工程量清单包括第五章“工程量清单 ”有关工程量清单、报价以及其他说明的内容。</w:t>
      </w:r>
    </w:p>
    <w:p w14:paraId="516A36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（2）一般计税法建设工程已标价工程量清单表格按《关于建筑业实施营业税改征增值税后广西壮族自治区建设工程计价依据调整的通知》（桂建标〔2016〕17 号）附件“增值税一般计税方 法工程计价表 ”要求提供，简易计税法表格按《&lt;建设工程工程量清单计价规范&gt;（GB5050-2013）广西壮族自治区实施细则》要求的表格提供，但规费和税费按照《关于建筑业实施营业税改征增值 税后广西壮族自治区建设工程计价依据调整的通知》（桂建标〔2016〕17 号）、《关于调整除税价计算适用增值税税率的通知》（桂造价[2019]10 号）调整。</w:t>
      </w:r>
    </w:p>
    <w:p w14:paraId="054D25C1">
      <w:pPr>
        <w:rPr>
          <w:rFonts w:hint="eastAsia" w:ascii="宋体" w:hAnsi="宋体" w:eastAsia="宋体" w:cs="宋体"/>
          <w:color w:val="auto"/>
          <w:sz w:val="24"/>
          <w:szCs w:val="24"/>
          <w:highlight w:val="none"/>
        </w:rPr>
        <w:sectPr>
          <w:footerReference r:id="rId37" w:type="default"/>
          <w:pgSz w:w="11905" w:h="16838"/>
          <w:pgMar w:top="1134" w:right="1134" w:bottom="1134" w:left="1134" w:header="0" w:footer="992" w:gutter="0"/>
          <w:pgNumType w:fmt="decimal"/>
          <w:cols w:space="0" w:num="1"/>
          <w:rtlGutter w:val="0"/>
          <w:docGrid w:linePitch="0" w:charSpace="0"/>
        </w:sectPr>
      </w:pPr>
    </w:p>
    <w:p w14:paraId="630D645E">
      <w:pPr>
        <w:spacing w:before="204" w:line="219" w:lineRule="auto"/>
        <w:ind w:left="3501"/>
        <w:rPr>
          <w:rFonts w:ascii="宋体" w:hAnsi="宋体" w:eastAsia="宋体" w:cs="宋体"/>
          <w:color w:val="auto"/>
          <w:spacing w:val="-2"/>
          <w:sz w:val="24"/>
          <w:szCs w:val="24"/>
          <w:highlight w:val="none"/>
        </w:rPr>
      </w:pPr>
    </w:p>
    <w:p w14:paraId="25D02FEB">
      <w:pPr>
        <w:spacing w:before="204" w:line="219" w:lineRule="auto"/>
        <w:ind w:left="3501"/>
        <w:rPr>
          <w:rFonts w:ascii="宋体" w:hAnsi="宋体" w:eastAsia="宋体" w:cs="宋体"/>
          <w:b/>
          <w:bCs/>
          <w:color w:val="auto"/>
          <w:sz w:val="32"/>
          <w:szCs w:val="32"/>
          <w:highlight w:val="none"/>
        </w:rPr>
      </w:pPr>
      <w:r>
        <w:rPr>
          <w:rFonts w:ascii="宋体" w:hAnsi="宋体" w:eastAsia="宋体" w:cs="宋体"/>
          <w:b/>
          <w:bCs/>
          <w:color w:val="auto"/>
          <w:spacing w:val="-2"/>
          <w:sz w:val="32"/>
          <w:szCs w:val="32"/>
          <w:highlight w:val="none"/>
        </w:rPr>
        <w:t>第</w:t>
      </w:r>
      <w:r>
        <w:rPr>
          <w:rFonts w:hint="eastAsia" w:ascii="宋体" w:hAnsi="宋体" w:eastAsia="宋体" w:cs="宋体"/>
          <w:b/>
          <w:bCs/>
          <w:color w:val="auto"/>
          <w:spacing w:val="-2"/>
          <w:sz w:val="32"/>
          <w:szCs w:val="32"/>
          <w:highlight w:val="none"/>
          <w:lang w:eastAsia="zh-CN"/>
        </w:rPr>
        <w:t>四</w:t>
      </w:r>
      <w:r>
        <w:rPr>
          <w:rFonts w:ascii="宋体" w:hAnsi="宋体" w:eastAsia="宋体" w:cs="宋体"/>
          <w:b/>
          <w:bCs/>
          <w:color w:val="auto"/>
          <w:spacing w:val="-2"/>
          <w:sz w:val="32"/>
          <w:szCs w:val="32"/>
          <w:highlight w:val="none"/>
        </w:rPr>
        <w:t>部分 技术文件</w:t>
      </w:r>
    </w:p>
    <w:p w14:paraId="28C766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（供应商可根据磋商文件、图纸及对现场的勘察情况，编制施工组织设计，可参考以下提纲，也 可自行编制）施工组织设计编制大纲：</w:t>
      </w:r>
    </w:p>
    <w:p w14:paraId="7EAD8A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（1）概述</w:t>
      </w:r>
    </w:p>
    <w:p w14:paraId="34C3CB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（2）主要施工方法；</w:t>
      </w:r>
    </w:p>
    <w:p w14:paraId="43D1F8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（3）拟投入的主要物资计划</w:t>
      </w:r>
    </w:p>
    <w:p w14:paraId="309103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（4）拟投入的主要施工机械、设备计划</w:t>
      </w:r>
    </w:p>
    <w:p w14:paraId="23656E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（5）劳动力安排计划；</w:t>
      </w:r>
    </w:p>
    <w:p w14:paraId="1749F8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（6）确保工程质量的技术组织措施；</w:t>
      </w:r>
    </w:p>
    <w:p w14:paraId="3B0EFA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（7）确保安全生产的技术组织措施；</w:t>
      </w:r>
    </w:p>
    <w:p w14:paraId="15F336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（8）确保工期的技术组织措施；</w:t>
      </w:r>
    </w:p>
    <w:p w14:paraId="15CC0C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（9）确保文明施工的技术组织措施；</w:t>
      </w:r>
    </w:p>
    <w:p w14:paraId="68141E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（10）工程施工的重点和难点及保证措施；</w:t>
      </w:r>
    </w:p>
    <w:p w14:paraId="4B4194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（11）施工总平面布置图；</w:t>
      </w:r>
    </w:p>
    <w:p w14:paraId="001BD7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（12）其他（如有）</w:t>
      </w:r>
    </w:p>
    <w:p w14:paraId="3AB5F2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1．供应商编制施工组织设计的要求：编制时应采用文字并结合图表形式说明施工方法；拟投入本 工程的主要施工设备情况、拟配备本工程的试验和检测仪器设备情况、劳动力计划等；结合工程 特点提出切实可行的工程质量、安全生产、文明施工、工程进度、技术组织措施，同时应对关键 工序、复杂环节重点提出相应技术措施，如冬雨季施工技术、减少噪音、降低环境污染、地下管 线及其他地上地下设施的保护加固措施等。</w:t>
      </w:r>
    </w:p>
    <w:p w14:paraId="57A1A0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2．施工组织设计除采用文字表述外可附下列图表，图表及格式要求附后。</w:t>
      </w:r>
    </w:p>
    <w:tbl>
      <w:tblPr>
        <w:tblStyle w:val="22"/>
        <w:tblW w:w="6479"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3"/>
        <w:gridCol w:w="5426"/>
      </w:tblGrid>
      <w:tr w14:paraId="4DB5ED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4F154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w:t>
            </w:r>
          </w:p>
        </w:tc>
        <w:tc>
          <w:tcPr>
            <w:tcW w:w="5426" w:type="dxa"/>
            <w:vAlign w:val="top"/>
          </w:tcPr>
          <w:p w14:paraId="6FE66A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拟投入本工程的主要施工设备表</w:t>
            </w:r>
          </w:p>
        </w:tc>
      </w:tr>
      <w:tr w14:paraId="653902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018B19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w:t>
            </w:r>
          </w:p>
        </w:tc>
        <w:tc>
          <w:tcPr>
            <w:tcW w:w="5426" w:type="dxa"/>
            <w:vAlign w:val="top"/>
          </w:tcPr>
          <w:p w14:paraId="2B68D6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拟配备本工程的试验和检测仪器设备表</w:t>
            </w:r>
          </w:p>
        </w:tc>
      </w:tr>
      <w:tr w14:paraId="022B9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B60D5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w:t>
            </w:r>
          </w:p>
        </w:tc>
        <w:tc>
          <w:tcPr>
            <w:tcW w:w="5426" w:type="dxa"/>
            <w:vAlign w:val="top"/>
          </w:tcPr>
          <w:p w14:paraId="3BA322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tc>
      </w:tr>
      <w:tr w14:paraId="66FDA4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16ADD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w:t>
            </w:r>
          </w:p>
        </w:tc>
        <w:tc>
          <w:tcPr>
            <w:tcW w:w="5426" w:type="dxa"/>
            <w:vAlign w:val="top"/>
          </w:tcPr>
          <w:p w14:paraId="222683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tc>
      </w:tr>
      <w:tr w14:paraId="62B2F3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5A123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w:t>
            </w:r>
          </w:p>
        </w:tc>
        <w:tc>
          <w:tcPr>
            <w:tcW w:w="5426" w:type="dxa"/>
            <w:vAlign w:val="top"/>
          </w:tcPr>
          <w:p w14:paraId="346EFD2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施工总平面图</w:t>
            </w:r>
          </w:p>
        </w:tc>
      </w:tr>
      <w:tr w14:paraId="14CEAA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735C1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w:t>
            </w:r>
          </w:p>
        </w:tc>
        <w:tc>
          <w:tcPr>
            <w:tcW w:w="5426" w:type="dxa"/>
            <w:vAlign w:val="top"/>
          </w:tcPr>
          <w:p w14:paraId="195834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临时用地表</w:t>
            </w:r>
          </w:p>
        </w:tc>
      </w:tr>
      <w:tr w14:paraId="137DE6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5B197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附表七</w:t>
            </w:r>
          </w:p>
        </w:tc>
        <w:tc>
          <w:tcPr>
            <w:tcW w:w="5426" w:type="dxa"/>
            <w:vAlign w:val="top"/>
          </w:tcPr>
          <w:p w14:paraId="29C470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拟分包计划表</w:t>
            </w:r>
          </w:p>
        </w:tc>
      </w:tr>
    </w:tbl>
    <w:p w14:paraId="4F2F4A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附表一：拟投入本工程的主要施工设备表</w:t>
      </w:r>
    </w:p>
    <w:p w14:paraId="259754C0">
      <w:pPr>
        <w:spacing w:line="91" w:lineRule="auto"/>
        <w:rPr>
          <w:rFonts w:ascii="Arial"/>
          <w:color w:val="auto"/>
          <w:sz w:val="2"/>
          <w:highlight w:val="none"/>
        </w:rPr>
      </w:pPr>
    </w:p>
    <w:tbl>
      <w:tblPr>
        <w:tblStyle w:val="22"/>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2260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2" w:type="dxa"/>
            <w:vAlign w:val="top"/>
          </w:tcPr>
          <w:p w14:paraId="63511928">
            <w:pPr>
              <w:spacing w:line="292" w:lineRule="auto"/>
              <w:rPr>
                <w:rFonts w:ascii="Arial"/>
                <w:color w:val="auto"/>
                <w:sz w:val="24"/>
                <w:szCs w:val="24"/>
                <w:highlight w:val="none"/>
              </w:rPr>
            </w:pPr>
          </w:p>
          <w:p w14:paraId="0C4114AD">
            <w:pPr>
              <w:pStyle w:val="23"/>
              <w:spacing w:before="65" w:line="229" w:lineRule="auto"/>
              <w:ind w:left="174"/>
              <w:rPr>
                <w:color w:val="auto"/>
                <w:sz w:val="24"/>
                <w:szCs w:val="24"/>
                <w:highlight w:val="none"/>
              </w:rPr>
            </w:pPr>
            <w:r>
              <w:rPr>
                <w:color w:val="auto"/>
                <w:spacing w:val="5"/>
                <w:sz w:val="24"/>
                <w:szCs w:val="24"/>
                <w:highlight w:val="none"/>
              </w:rPr>
              <w:t>序号</w:t>
            </w:r>
          </w:p>
        </w:tc>
        <w:tc>
          <w:tcPr>
            <w:tcW w:w="1225" w:type="dxa"/>
            <w:vAlign w:val="top"/>
          </w:tcPr>
          <w:p w14:paraId="3EE99CFF">
            <w:pPr>
              <w:spacing w:line="292" w:lineRule="auto"/>
              <w:rPr>
                <w:rFonts w:ascii="Arial"/>
                <w:color w:val="auto"/>
                <w:sz w:val="24"/>
                <w:szCs w:val="24"/>
                <w:highlight w:val="none"/>
              </w:rPr>
            </w:pPr>
          </w:p>
          <w:p w14:paraId="48B649CC">
            <w:pPr>
              <w:pStyle w:val="23"/>
              <w:spacing w:before="65" w:line="229" w:lineRule="auto"/>
              <w:ind w:left="199"/>
              <w:rPr>
                <w:color w:val="auto"/>
                <w:sz w:val="24"/>
                <w:szCs w:val="24"/>
                <w:highlight w:val="none"/>
              </w:rPr>
            </w:pPr>
            <w:r>
              <w:rPr>
                <w:color w:val="auto"/>
                <w:spacing w:val="6"/>
                <w:sz w:val="24"/>
                <w:szCs w:val="24"/>
                <w:highlight w:val="none"/>
              </w:rPr>
              <w:t>设备名称</w:t>
            </w:r>
          </w:p>
        </w:tc>
        <w:tc>
          <w:tcPr>
            <w:tcW w:w="851" w:type="dxa"/>
            <w:vAlign w:val="top"/>
          </w:tcPr>
          <w:p w14:paraId="157FCFF7">
            <w:pPr>
              <w:pStyle w:val="23"/>
              <w:spacing w:before="202" w:line="312" w:lineRule="exact"/>
              <w:ind w:left="225"/>
              <w:rPr>
                <w:color w:val="auto"/>
                <w:sz w:val="24"/>
                <w:szCs w:val="24"/>
                <w:highlight w:val="none"/>
              </w:rPr>
            </w:pPr>
            <w:r>
              <w:rPr>
                <w:color w:val="auto"/>
                <w:spacing w:val="1"/>
                <w:position w:val="7"/>
                <w:sz w:val="24"/>
                <w:szCs w:val="24"/>
                <w:highlight w:val="none"/>
              </w:rPr>
              <w:t>型号</w:t>
            </w:r>
          </w:p>
          <w:p w14:paraId="0D8FE8F6">
            <w:pPr>
              <w:pStyle w:val="23"/>
              <w:spacing w:line="227" w:lineRule="auto"/>
              <w:ind w:left="219"/>
              <w:rPr>
                <w:color w:val="auto"/>
                <w:sz w:val="24"/>
                <w:szCs w:val="24"/>
                <w:highlight w:val="none"/>
              </w:rPr>
            </w:pPr>
            <w:r>
              <w:rPr>
                <w:color w:val="auto"/>
                <w:spacing w:val="4"/>
                <w:sz w:val="24"/>
                <w:szCs w:val="24"/>
                <w:highlight w:val="none"/>
              </w:rPr>
              <w:t>规格</w:t>
            </w:r>
          </w:p>
        </w:tc>
        <w:tc>
          <w:tcPr>
            <w:tcW w:w="708" w:type="dxa"/>
            <w:vAlign w:val="top"/>
          </w:tcPr>
          <w:p w14:paraId="48D22CBD">
            <w:pPr>
              <w:spacing w:line="291" w:lineRule="auto"/>
              <w:rPr>
                <w:rFonts w:ascii="Arial"/>
                <w:color w:val="auto"/>
                <w:sz w:val="24"/>
                <w:szCs w:val="24"/>
                <w:highlight w:val="none"/>
              </w:rPr>
            </w:pPr>
          </w:p>
          <w:p w14:paraId="66728377">
            <w:pPr>
              <w:pStyle w:val="23"/>
              <w:spacing w:before="65" w:line="228" w:lineRule="auto"/>
              <w:ind w:left="149"/>
              <w:rPr>
                <w:color w:val="auto"/>
                <w:sz w:val="24"/>
                <w:szCs w:val="24"/>
                <w:highlight w:val="none"/>
              </w:rPr>
            </w:pPr>
            <w:r>
              <w:rPr>
                <w:color w:val="auto"/>
                <w:spacing w:val="3"/>
                <w:sz w:val="24"/>
                <w:szCs w:val="24"/>
                <w:highlight w:val="none"/>
              </w:rPr>
              <w:t>数量</w:t>
            </w:r>
          </w:p>
        </w:tc>
        <w:tc>
          <w:tcPr>
            <w:tcW w:w="709" w:type="dxa"/>
            <w:vAlign w:val="top"/>
          </w:tcPr>
          <w:p w14:paraId="10AA8A4C">
            <w:pPr>
              <w:pStyle w:val="23"/>
              <w:spacing w:before="202" w:line="312" w:lineRule="exact"/>
              <w:ind w:left="168"/>
              <w:rPr>
                <w:color w:val="auto"/>
                <w:sz w:val="24"/>
                <w:szCs w:val="24"/>
                <w:highlight w:val="none"/>
              </w:rPr>
            </w:pPr>
            <w:r>
              <w:rPr>
                <w:color w:val="auto"/>
                <w:spacing w:val="-6"/>
                <w:position w:val="7"/>
                <w:sz w:val="24"/>
                <w:szCs w:val="24"/>
                <w:highlight w:val="none"/>
              </w:rPr>
              <w:t>国别</w:t>
            </w:r>
          </w:p>
          <w:p w14:paraId="7D1F72D5">
            <w:pPr>
              <w:pStyle w:val="23"/>
              <w:spacing w:line="227" w:lineRule="auto"/>
              <w:ind w:left="148"/>
              <w:rPr>
                <w:color w:val="auto"/>
                <w:sz w:val="24"/>
                <w:szCs w:val="24"/>
                <w:highlight w:val="none"/>
              </w:rPr>
            </w:pPr>
            <w:r>
              <w:rPr>
                <w:color w:val="auto"/>
                <w:spacing w:val="4"/>
                <w:sz w:val="24"/>
                <w:szCs w:val="24"/>
                <w:highlight w:val="none"/>
              </w:rPr>
              <w:t>产地</w:t>
            </w:r>
          </w:p>
        </w:tc>
        <w:tc>
          <w:tcPr>
            <w:tcW w:w="851" w:type="dxa"/>
            <w:vAlign w:val="top"/>
          </w:tcPr>
          <w:p w14:paraId="086F6CE4">
            <w:pPr>
              <w:pStyle w:val="23"/>
              <w:spacing w:before="202" w:line="312" w:lineRule="exact"/>
              <w:ind w:left="219"/>
              <w:rPr>
                <w:color w:val="auto"/>
                <w:sz w:val="24"/>
                <w:szCs w:val="24"/>
                <w:highlight w:val="none"/>
              </w:rPr>
            </w:pPr>
            <w:r>
              <w:rPr>
                <w:color w:val="auto"/>
                <w:spacing w:val="4"/>
                <w:position w:val="7"/>
                <w:sz w:val="24"/>
                <w:szCs w:val="24"/>
                <w:highlight w:val="none"/>
              </w:rPr>
              <w:t>制造</w:t>
            </w:r>
          </w:p>
          <w:p w14:paraId="111F296B">
            <w:pPr>
              <w:pStyle w:val="23"/>
              <w:spacing w:line="227" w:lineRule="auto"/>
              <w:ind w:left="219"/>
              <w:rPr>
                <w:color w:val="auto"/>
                <w:sz w:val="24"/>
                <w:szCs w:val="24"/>
                <w:highlight w:val="none"/>
              </w:rPr>
            </w:pPr>
            <w:r>
              <w:rPr>
                <w:color w:val="auto"/>
                <w:spacing w:val="4"/>
                <w:sz w:val="24"/>
                <w:szCs w:val="24"/>
                <w:highlight w:val="none"/>
              </w:rPr>
              <w:t>年份</w:t>
            </w:r>
          </w:p>
        </w:tc>
        <w:tc>
          <w:tcPr>
            <w:tcW w:w="1133" w:type="dxa"/>
            <w:vAlign w:val="top"/>
          </w:tcPr>
          <w:p w14:paraId="1B8CEA91">
            <w:pPr>
              <w:pStyle w:val="23"/>
              <w:spacing w:before="202" w:line="264" w:lineRule="auto"/>
              <w:ind w:left="265" w:right="145" w:hanging="113"/>
              <w:rPr>
                <w:color w:val="auto"/>
                <w:sz w:val="24"/>
                <w:szCs w:val="24"/>
                <w:highlight w:val="none"/>
              </w:rPr>
            </w:pPr>
            <w:r>
              <w:rPr>
                <w:color w:val="auto"/>
                <w:spacing w:val="7"/>
                <w:sz w:val="24"/>
                <w:szCs w:val="24"/>
                <w:highlight w:val="none"/>
              </w:rPr>
              <w:t>额定功率</w:t>
            </w:r>
            <w:r>
              <w:rPr>
                <w:color w:val="auto"/>
                <w:sz w:val="24"/>
                <w:szCs w:val="24"/>
                <w:highlight w:val="none"/>
              </w:rPr>
              <w:t xml:space="preserve"> </w:t>
            </w:r>
            <w:r>
              <w:rPr>
                <w:color w:val="auto"/>
                <w:spacing w:val="1"/>
                <w:sz w:val="24"/>
                <w:szCs w:val="24"/>
                <w:highlight w:val="none"/>
              </w:rPr>
              <w:t>（</w:t>
            </w:r>
            <w:r>
              <w:rPr>
                <w:color w:val="auto"/>
                <w:sz w:val="24"/>
                <w:szCs w:val="24"/>
                <w:highlight w:val="none"/>
              </w:rPr>
              <w:t>kW</w:t>
            </w:r>
            <w:r>
              <w:rPr>
                <w:color w:val="auto"/>
                <w:spacing w:val="1"/>
                <w:sz w:val="24"/>
                <w:szCs w:val="24"/>
                <w:highlight w:val="none"/>
              </w:rPr>
              <w:t>）</w:t>
            </w:r>
          </w:p>
        </w:tc>
        <w:tc>
          <w:tcPr>
            <w:tcW w:w="991" w:type="dxa"/>
            <w:vAlign w:val="top"/>
          </w:tcPr>
          <w:p w14:paraId="432E55C6">
            <w:pPr>
              <w:pStyle w:val="23"/>
              <w:spacing w:before="202" w:line="312" w:lineRule="exact"/>
              <w:ind w:left="293"/>
              <w:rPr>
                <w:color w:val="auto"/>
                <w:sz w:val="24"/>
                <w:szCs w:val="24"/>
                <w:highlight w:val="none"/>
              </w:rPr>
            </w:pPr>
            <w:r>
              <w:rPr>
                <w:color w:val="auto"/>
                <w:spacing w:val="3"/>
                <w:position w:val="7"/>
                <w:sz w:val="24"/>
                <w:szCs w:val="24"/>
                <w:highlight w:val="none"/>
              </w:rPr>
              <w:t>生产</w:t>
            </w:r>
          </w:p>
          <w:p w14:paraId="788478A7">
            <w:pPr>
              <w:pStyle w:val="23"/>
              <w:spacing w:line="227" w:lineRule="auto"/>
              <w:ind w:left="300"/>
              <w:rPr>
                <w:color w:val="auto"/>
                <w:sz w:val="24"/>
                <w:szCs w:val="24"/>
                <w:highlight w:val="none"/>
              </w:rPr>
            </w:pPr>
            <w:r>
              <w:rPr>
                <w:color w:val="auto"/>
                <w:sz w:val="24"/>
                <w:szCs w:val="24"/>
                <w:highlight w:val="none"/>
              </w:rPr>
              <w:t>能力</w:t>
            </w:r>
          </w:p>
        </w:tc>
        <w:tc>
          <w:tcPr>
            <w:tcW w:w="1133" w:type="dxa"/>
            <w:vAlign w:val="top"/>
          </w:tcPr>
          <w:p w14:paraId="0B2210CD">
            <w:pPr>
              <w:pStyle w:val="23"/>
              <w:spacing w:before="202" w:line="312" w:lineRule="exact"/>
              <w:ind w:left="260"/>
              <w:rPr>
                <w:color w:val="auto"/>
                <w:sz w:val="24"/>
                <w:szCs w:val="24"/>
                <w:highlight w:val="none"/>
              </w:rPr>
            </w:pPr>
            <w:r>
              <w:rPr>
                <w:color w:val="auto"/>
                <w:spacing w:val="6"/>
                <w:position w:val="7"/>
                <w:sz w:val="24"/>
                <w:szCs w:val="24"/>
                <w:highlight w:val="none"/>
              </w:rPr>
              <w:t>用于施</w:t>
            </w:r>
          </w:p>
          <w:p w14:paraId="725FE62C">
            <w:pPr>
              <w:pStyle w:val="23"/>
              <w:spacing w:line="227" w:lineRule="auto"/>
              <w:ind w:left="261"/>
              <w:rPr>
                <w:color w:val="auto"/>
                <w:sz w:val="24"/>
                <w:szCs w:val="24"/>
                <w:highlight w:val="none"/>
              </w:rPr>
            </w:pPr>
            <w:r>
              <w:rPr>
                <w:color w:val="auto"/>
                <w:spacing w:val="6"/>
                <w:sz w:val="24"/>
                <w:szCs w:val="24"/>
                <w:highlight w:val="none"/>
              </w:rPr>
              <w:t>工部位</w:t>
            </w:r>
          </w:p>
        </w:tc>
        <w:tc>
          <w:tcPr>
            <w:tcW w:w="996" w:type="dxa"/>
            <w:vAlign w:val="top"/>
          </w:tcPr>
          <w:p w14:paraId="7C228090">
            <w:pPr>
              <w:spacing w:line="292" w:lineRule="auto"/>
              <w:rPr>
                <w:rFonts w:ascii="Arial"/>
                <w:color w:val="auto"/>
                <w:sz w:val="24"/>
                <w:szCs w:val="24"/>
                <w:highlight w:val="none"/>
              </w:rPr>
            </w:pPr>
          </w:p>
          <w:p w14:paraId="2F308269">
            <w:pPr>
              <w:pStyle w:val="23"/>
              <w:spacing w:before="65" w:line="229" w:lineRule="auto"/>
              <w:ind w:left="296"/>
              <w:rPr>
                <w:color w:val="auto"/>
                <w:sz w:val="24"/>
                <w:szCs w:val="24"/>
                <w:highlight w:val="none"/>
              </w:rPr>
            </w:pPr>
            <w:r>
              <w:rPr>
                <w:color w:val="auto"/>
                <w:spacing w:val="3"/>
                <w:sz w:val="24"/>
                <w:szCs w:val="24"/>
                <w:highlight w:val="none"/>
              </w:rPr>
              <w:t>备注</w:t>
            </w:r>
          </w:p>
        </w:tc>
      </w:tr>
      <w:tr w14:paraId="004B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6E7B31B9">
            <w:pPr>
              <w:rPr>
                <w:rFonts w:ascii="Arial"/>
                <w:color w:val="auto"/>
                <w:sz w:val="24"/>
                <w:szCs w:val="24"/>
                <w:highlight w:val="none"/>
              </w:rPr>
            </w:pPr>
          </w:p>
        </w:tc>
        <w:tc>
          <w:tcPr>
            <w:tcW w:w="1225" w:type="dxa"/>
            <w:vAlign w:val="top"/>
          </w:tcPr>
          <w:p w14:paraId="7FC5B003">
            <w:pPr>
              <w:rPr>
                <w:rFonts w:ascii="Arial"/>
                <w:color w:val="auto"/>
                <w:sz w:val="24"/>
                <w:szCs w:val="24"/>
                <w:highlight w:val="none"/>
              </w:rPr>
            </w:pPr>
          </w:p>
        </w:tc>
        <w:tc>
          <w:tcPr>
            <w:tcW w:w="851" w:type="dxa"/>
            <w:vAlign w:val="top"/>
          </w:tcPr>
          <w:p w14:paraId="4B68A87E">
            <w:pPr>
              <w:rPr>
                <w:rFonts w:ascii="Arial"/>
                <w:color w:val="auto"/>
                <w:sz w:val="24"/>
                <w:szCs w:val="24"/>
                <w:highlight w:val="none"/>
              </w:rPr>
            </w:pPr>
          </w:p>
        </w:tc>
        <w:tc>
          <w:tcPr>
            <w:tcW w:w="708" w:type="dxa"/>
            <w:vAlign w:val="top"/>
          </w:tcPr>
          <w:p w14:paraId="6D94ED5D">
            <w:pPr>
              <w:rPr>
                <w:rFonts w:ascii="Arial"/>
                <w:color w:val="auto"/>
                <w:sz w:val="24"/>
                <w:szCs w:val="24"/>
                <w:highlight w:val="none"/>
              </w:rPr>
            </w:pPr>
          </w:p>
        </w:tc>
        <w:tc>
          <w:tcPr>
            <w:tcW w:w="709" w:type="dxa"/>
            <w:vAlign w:val="top"/>
          </w:tcPr>
          <w:p w14:paraId="57C00A9C">
            <w:pPr>
              <w:rPr>
                <w:rFonts w:ascii="Arial"/>
                <w:color w:val="auto"/>
                <w:sz w:val="24"/>
                <w:szCs w:val="24"/>
                <w:highlight w:val="none"/>
              </w:rPr>
            </w:pPr>
          </w:p>
        </w:tc>
        <w:tc>
          <w:tcPr>
            <w:tcW w:w="851" w:type="dxa"/>
            <w:vAlign w:val="top"/>
          </w:tcPr>
          <w:p w14:paraId="64610C13">
            <w:pPr>
              <w:rPr>
                <w:rFonts w:ascii="Arial"/>
                <w:color w:val="auto"/>
                <w:sz w:val="24"/>
                <w:szCs w:val="24"/>
                <w:highlight w:val="none"/>
              </w:rPr>
            </w:pPr>
          </w:p>
        </w:tc>
        <w:tc>
          <w:tcPr>
            <w:tcW w:w="1133" w:type="dxa"/>
            <w:vAlign w:val="top"/>
          </w:tcPr>
          <w:p w14:paraId="51048674">
            <w:pPr>
              <w:rPr>
                <w:rFonts w:ascii="Arial"/>
                <w:color w:val="auto"/>
                <w:sz w:val="24"/>
                <w:szCs w:val="24"/>
                <w:highlight w:val="none"/>
              </w:rPr>
            </w:pPr>
          </w:p>
        </w:tc>
        <w:tc>
          <w:tcPr>
            <w:tcW w:w="991" w:type="dxa"/>
            <w:vAlign w:val="top"/>
          </w:tcPr>
          <w:p w14:paraId="25CCE2A1">
            <w:pPr>
              <w:rPr>
                <w:rFonts w:ascii="Arial"/>
                <w:color w:val="auto"/>
                <w:sz w:val="24"/>
                <w:szCs w:val="24"/>
                <w:highlight w:val="none"/>
              </w:rPr>
            </w:pPr>
          </w:p>
        </w:tc>
        <w:tc>
          <w:tcPr>
            <w:tcW w:w="1133" w:type="dxa"/>
            <w:vAlign w:val="top"/>
          </w:tcPr>
          <w:p w14:paraId="2C335149">
            <w:pPr>
              <w:rPr>
                <w:rFonts w:ascii="Arial"/>
                <w:color w:val="auto"/>
                <w:sz w:val="24"/>
                <w:szCs w:val="24"/>
                <w:highlight w:val="none"/>
              </w:rPr>
            </w:pPr>
          </w:p>
        </w:tc>
        <w:tc>
          <w:tcPr>
            <w:tcW w:w="996" w:type="dxa"/>
            <w:vAlign w:val="top"/>
          </w:tcPr>
          <w:p w14:paraId="66ED8C61">
            <w:pPr>
              <w:rPr>
                <w:rFonts w:ascii="Arial"/>
                <w:color w:val="auto"/>
                <w:sz w:val="24"/>
                <w:szCs w:val="24"/>
                <w:highlight w:val="none"/>
              </w:rPr>
            </w:pPr>
          </w:p>
        </w:tc>
      </w:tr>
      <w:tr w14:paraId="5D46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727644F">
            <w:pPr>
              <w:rPr>
                <w:rFonts w:ascii="Arial"/>
                <w:color w:val="auto"/>
                <w:sz w:val="24"/>
                <w:szCs w:val="24"/>
                <w:highlight w:val="none"/>
              </w:rPr>
            </w:pPr>
          </w:p>
        </w:tc>
        <w:tc>
          <w:tcPr>
            <w:tcW w:w="1225" w:type="dxa"/>
            <w:vAlign w:val="top"/>
          </w:tcPr>
          <w:p w14:paraId="4D0E9261">
            <w:pPr>
              <w:rPr>
                <w:rFonts w:ascii="Arial"/>
                <w:color w:val="auto"/>
                <w:sz w:val="24"/>
                <w:szCs w:val="24"/>
                <w:highlight w:val="none"/>
              </w:rPr>
            </w:pPr>
          </w:p>
        </w:tc>
        <w:tc>
          <w:tcPr>
            <w:tcW w:w="851" w:type="dxa"/>
            <w:vAlign w:val="top"/>
          </w:tcPr>
          <w:p w14:paraId="2C5A22AB">
            <w:pPr>
              <w:rPr>
                <w:rFonts w:ascii="Arial"/>
                <w:color w:val="auto"/>
                <w:sz w:val="24"/>
                <w:szCs w:val="24"/>
                <w:highlight w:val="none"/>
              </w:rPr>
            </w:pPr>
          </w:p>
        </w:tc>
        <w:tc>
          <w:tcPr>
            <w:tcW w:w="708" w:type="dxa"/>
            <w:vAlign w:val="top"/>
          </w:tcPr>
          <w:p w14:paraId="77DA510D">
            <w:pPr>
              <w:rPr>
                <w:rFonts w:ascii="Arial"/>
                <w:color w:val="auto"/>
                <w:sz w:val="24"/>
                <w:szCs w:val="24"/>
                <w:highlight w:val="none"/>
              </w:rPr>
            </w:pPr>
          </w:p>
        </w:tc>
        <w:tc>
          <w:tcPr>
            <w:tcW w:w="709" w:type="dxa"/>
            <w:vAlign w:val="top"/>
          </w:tcPr>
          <w:p w14:paraId="448AE92E">
            <w:pPr>
              <w:rPr>
                <w:rFonts w:ascii="Arial"/>
                <w:color w:val="auto"/>
                <w:sz w:val="24"/>
                <w:szCs w:val="24"/>
                <w:highlight w:val="none"/>
              </w:rPr>
            </w:pPr>
          </w:p>
        </w:tc>
        <w:tc>
          <w:tcPr>
            <w:tcW w:w="851" w:type="dxa"/>
            <w:vAlign w:val="top"/>
          </w:tcPr>
          <w:p w14:paraId="31C21287">
            <w:pPr>
              <w:rPr>
                <w:rFonts w:ascii="Arial"/>
                <w:color w:val="auto"/>
                <w:sz w:val="24"/>
                <w:szCs w:val="24"/>
                <w:highlight w:val="none"/>
              </w:rPr>
            </w:pPr>
          </w:p>
        </w:tc>
        <w:tc>
          <w:tcPr>
            <w:tcW w:w="1133" w:type="dxa"/>
            <w:vAlign w:val="top"/>
          </w:tcPr>
          <w:p w14:paraId="5D29A9DE">
            <w:pPr>
              <w:rPr>
                <w:rFonts w:ascii="Arial"/>
                <w:color w:val="auto"/>
                <w:sz w:val="24"/>
                <w:szCs w:val="24"/>
                <w:highlight w:val="none"/>
              </w:rPr>
            </w:pPr>
          </w:p>
        </w:tc>
        <w:tc>
          <w:tcPr>
            <w:tcW w:w="991" w:type="dxa"/>
            <w:vAlign w:val="top"/>
          </w:tcPr>
          <w:p w14:paraId="0A98687C">
            <w:pPr>
              <w:rPr>
                <w:rFonts w:ascii="Arial"/>
                <w:color w:val="auto"/>
                <w:sz w:val="24"/>
                <w:szCs w:val="24"/>
                <w:highlight w:val="none"/>
              </w:rPr>
            </w:pPr>
          </w:p>
        </w:tc>
        <w:tc>
          <w:tcPr>
            <w:tcW w:w="1133" w:type="dxa"/>
            <w:vAlign w:val="top"/>
          </w:tcPr>
          <w:p w14:paraId="16687895">
            <w:pPr>
              <w:rPr>
                <w:rFonts w:ascii="Arial"/>
                <w:color w:val="auto"/>
                <w:sz w:val="24"/>
                <w:szCs w:val="24"/>
                <w:highlight w:val="none"/>
              </w:rPr>
            </w:pPr>
          </w:p>
        </w:tc>
        <w:tc>
          <w:tcPr>
            <w:tcW w:w="996" w:type="dxa"/>
            <w:vAlign w:val="top"/>
          </w:tcPr>
          <w:p w14:paraId="4DA4680B">
            <w:pPr>
              <w:rPr>
                <w:rFonts w:ascii="Arial"/>
                <w:color w:val="auto"/>
                <w:sz w:val="24"/>
                <w:szCs w:val="24"/>
                <w:highlight w:val="none"/>
              </w:rPr>
            </w:pPr>
          </w:p>
        </w:tc>
      </w:tr>
      <w:tr w14:paraId="1222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203E0A8">
            <w:pPr>
              <w:rPr>
                <w:rFonts w:ascii="Arial"/>
                <w:color w:val="auto"/>
                <w:sz w:val="24"/>
                <w:szCs w:val="24"/>
                <w:highlight w:val="none"/>
              </w:rPr>
            </w:pPr>
          </w:p>
        </w:tc>
        <w:tc>
          <w:tcPr>
            <w:tcW w:w="1225" w:type="dxa"/>
            <w:vAlign w:val="top"/>
          </w:tcPr>
          <w:p w14:paraId="673A6F66">
            <w:pPr>
              <w:rPr>
                <w:rFonts w:ascii="Arial"/>
                <w:color w:val="auto"/>
                <w:sz w:val="24"/>
                <w:szCs w:val="24"/>
                <w:highlight w:val="none"/>
              </w:rPr>
            </w:pPr>
          </w:p>
        </w:tc>
        <w:tc>
          <w:tcPr>
            <w:tcW w:w="851" w:type="dxa"/>
            <w:vAlign w:val="top"/>
          </w:tcPr>
          <w:p w14:paraId="2F063007">
            <w:pPr>
              <w:rPr>
                <w:rFonts w:ascii="Arial"/>
                <w:color w:val="auto"/>
                <w:sz w:val="24"/>
                <w:szCs w:val="24"/>
                <w:highlight w:val="none"/>
              </w:rPr>
            </w:pPr>
          </w:p>
        </w:tc>
        <w:tc>
          <w:tcPr>
            <w:tcW w:w="708" w:type="dxa"/>
            <w:vAlign w:val="top"/>
          </w:tcPr>
          <w:p w14:paraId="2577A85D">
            <w:pPr>
              <w:rPr>
                <w:rFonts w:ascii="Arial"/>
                <w:color w:val="auto"/>
                <w:sz w:val="24"/>
                <w:szCs w:val="24"/>
                <w:highlight w:val="none"/>
              </w:rPr>
            </w:pPr>
          </w:p>
        </w:tc>
        <w:tc>
          <w:tcPr>
            <w:tcW w:w="709" w:type="dxa"/>
            <w:vAlign w:val="top"/>
          </w:tcPr>
          <w:p w14:paraId="5F34E449">
            <w:pPr>
              <w:rPr>
                <w:rFonts w:ascii="Arial"/>
                <w:color w:val="auto"/>
                <w:sz w:val="24"/>
                <w:szCs w:val="24"/>
                <w:highlight w:val="none"/>
              </w:rPr>
            </w:pPr>
          </w:p>
        </w:tc>
        <w:tc>
          <w:tcPr>
            <w:tcW w:w="851" w:type="dxa"/>
            <w:vAlign w:val="top"/>
          </w:tcPr>
          <w:p w14:paraId="4B0F770A">
            <w:pPr>
              <w:rPr>
                <w:rFonts w:ascii="Arial"/>
                <w:color w:val="auto"/>
                <w:sz w:val="24"/>
                <w:szCs w:val="24"/>
                <w:highlight w:val="none"/>
              </w:rPr>
            </w:pPr>
          </w:p>
        </w:tc>
        <w:tc>
          <w:tcPr>
            <w:tcW w:w="1133" w:type="dxa"/>
            <w:vAlign w:val="top"/>
          </w:tcPr>
          <w:p w14:paraId="2A53DAD0">
            <w:pPr>
              <w:rPr>
                <w:rFonts w:ascii="Arial"/>
                <w:color w:val="auto"/>
                <w:sz w:val="24"/>
                <w:szCs w:val="24"/>
                <w:highlight w:val="none"/>
              </w:rPr>
            </w:pPr>
          </w:p>
        </w:tc>
        <w:tc>
          <w:tcPr>
            <w:tcW w:w="991" w:type="dxa"/>
            <w:vAlign w:val="top"/>
          </w:tcPr>
          <w:p w14:paraId="60DD6CB6">
            <w:pPr>
              <w:rPr>
                <w:rFonts w:ascii="Arial"/>
                <w:color w:val="auto"/>
                <w:sz w:val="24"/>
                <w:szCs w:val="24"/>
                <w:highlight w:val="none"/>
              </w:rPr>
            </w:pPr>
          </w:p>
        </w:tc>
        <w:tc>
          <w:tcPr>
            <w:tcW w:w="1133" w:type="dxa"/>
            <w:vAlign w:val="top"/>
          </w:tcPr>
          <w:p w14:paraId="42B25C34">
            <w:pPr>
              <w:rPr>
                <w:rFonts w:ascii="Arial"/>
                <w:color w:val="auto"/>
                <w:sz w:val="24"/>
                <w:szCs w:val="24"/>
                <w:highlight w:val="none"/>
              </w:rPr>
            </w:pPr>
          </w:p>
        </w:tc>
        <w:tc>
          <w:tcPr>
            <w:tcW w:w="996" w:type="dxa"/>
            <w:vAlign w:val="top"/>
          </w:tcPr>
          <w:p w14:paraId="786F1970">
            <w:pPr>
              <w:rPr>
                <w:rFonts w:ascii="Arial"/>
                <w:color w:val="auto"/>
                <w:sz w:val="24"/>
                <w:szCs w:val="24"/>
                <w:highlight w:val="none"/>
              </w:rPr>
            </w:pPr>
          </w:p>
        </w:tc>
      </w:tr>
      <w:tr w14:paraId="47A1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DEED9DC">
            <w:pPr>
              <w:rPr>
                <w:rFonts w:ascii="Arial"/>
                <w:color w:val="auto"/>
                <w:sz w:val="24"/>
                <w:szCs w:val="24"/>
                <w:highlight w:val="none"/>
              </w:rPr>
            </w:pPr>
          </w:p>
        </w:tc>
        <w:tc>
          <w:tcPr>
            <w:tcW w:w="1225" w:type="dxa"/>
            <w:vAlign w:val="top"/>
          </w:tcPr>
          <w:p w14:paraId="46AC1C8D">
            <w:pPr>
              <w:rPr>
                <w:rFonts w:ascii="Arial"/>
                <w:color w:val="auto"/>
                <w:sz w:val="24"/>
                <w:szCs w:val="24"/>
                <w:highlight w:val="none"/>
              </w:rPr>
            </w:pPr>
          </w:p>
        </w:tc>
        <w:tc>
          <w:tcPr>
            <w:tcW w:w="851" w:type="dxa"/>
            <w:vAlign w:val="top"/>
          </w:tcPr>
          <w:p w14:paraId="66853510">
            <w:pPr>
              <w:rPr>
                <w:rFonts w:ascii="Arial"/>
                <w:color w:val="auto"/>
                <w:sz w:val="24"/>
                <w:szCs w:val="24"/>
                <w:highlight w:val="none"/>
              </w:rPr>
            </w:pPr>
          </w:p>
        </w:tc>
        <w:tc>
          <w:tcPr>
            <w:tcW w:w="708" w:type="dxa"/>
            <w:vAlign w:val="top"/>
          </w:tcPr>
          <w:p w14:paraId="07C96DDF">
            <w:pPr>
              <w:rPr>
                <w:rFonts w:ascii="Arial"/>
                <w:color w:val="auto"/>
                <w:sz w:val="24"/>
                <w:szCs w:val="24"/>
                <w:highlight w:val="none"/>
              </w:rPr>
            </w:pPr>
          </w:p>
        </w:tc>
        <w:tc>
          <w:tcPr>
            <w:tcW w:w="709" w:type="dxa"/>
            <w:vAlign w:val="top"/>
          </w:tcPr>
          <w:p w14:paraId="207F90D3">
            <w:pPr>
              <w:rPr>
                <w:rFonts w:ascii="Arial"/>
                <w:color w:val="auto"/>
                <w:sz w:val="24"/>
                <w:szCs w:val="24"/>
                <w:highlight w:val="none"/>
              </w:rPr>
            </w:pPr>
          </w:p>
        </w:tc>
        <w:tc>
          <w:tcPr>
            <w:tcW w:w="851" w:type="dxa"/>
            <w:vAlign w:val="top"/>
          </w:tcPr>
          <w:p w14:paraId="3A45C67F">
            <w:pPr>
              <w:rPr>
                <w:rFonts w:ascii="Arial"/>
                <w:color w:val="auto"/>
                <w:sz w:val="24"/>
                <w:szCs w:val="24"/>
                <w:highlight w:val="none"/>
              </w:rPr>
            </w:pPr>
          </w:p>
        </w:tc>
        <w:tc>
          <w:tcPr>
            <w:tcW w:w="1133" w:type="dxa"/>
            <w:vAlign w:val="top"/>
          </w:tcPr>
          <w:p w14:paraId="4E42A936">
            <w:pPr>
              <w:rPr>
                <w:rFonts w:ascii="Arial"/>
                <w:color w:val="auto"/>
                <w:sz w:val="24"/>
                <w:szCs w:val="24"/>
                <w:highlight w:val="none"/>
              </w:rPr>
            </w:pPr>
          </w:p>
        </w:tc>
        <w:tc>
          <w:tcPr>
            <w:tcW w:w="991" w:type="dxa"/>
            <w:vAlign w:val="top"/>
          </w:tcPr>
          <w:p w14:paraId="6DCE9DA2">
            <w:pPr>
              <w:rPr>
                <w:rFonts w:ascii="Arial"/>
                <w:color w:val="auto"/>
                <w:sz w:val="24"/>
                <w:szCs w:val="24"/>
                <w:highlight w:val="none"/>
              </w:rPr>
            </w:pPr>
          </w:p>
        </w:tc>
        <w:tc>
          <w:tcPr>
            <w:tcW w:w="1133" w:type="dxa"/>
            <w:vAlign w:val="top"/>
          </w:tcPr>
          <w:p w14:paraId="3C59F7EE">
            <w:pPr>
              <w:rPr>
                <w:rFonts w:ascii="Arial"/>
                <w:color w:val="auto"/>
                <w:sz w:val="24"/>
                <w:szCs w:val="24"/>
                <w:highlight w:val="none"/>
              </w:rPr>
            </w:pPr>
          </w:p>
        </w:tc>
        <w:tc>
          <w:tcPr>
            <w:tcW w:w="996" w:type="dxa"/>
            <w:vAlign w:val="top"/>
          </w:tcPr>
          <w:p w14:paraId="5A6445DB">
            <w:pPr>
              <w:rPr>
                <w:rFonts w:ascii="Arial"/>
                <w:color w:val="auto"/>
                <w:sz w:val="24"/>
                <w:szCs w:val="24"/>
                <w:highlight w:val="none"/>
              </w:rPr>
            </w:pPr>
          </w:p>
        </w:tc>
      </w:tr>
      <w:tr w14:paraId="3A7F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46FD9A99">
            <w:pPr>
              <w:rPr>
                <w:rFonts w:ascii="Arial"/>
                <w:color w:val="auto"/>
                <w:sz w:val="24"/>
                <w:szCs w:val="24"/>
                <w:highlight w:val="none"/>
              </w:rPr>
            </w:pPr>
          </w:p>
        </w:tc>
        <w:tc>
          <w:tcPr>
            <w:tcW w:w="1225" w:type="dxa"/>
            <w:vAlign w:val="top"/>
          </w:tcPr>
          <w:p w14:paraId="1B3E0AF5">
            <w:pPr>
              <w:rPr>
                <w:rFonts w:ascii="Arial"/>
                <w:color w:val="auto"/>
                <w:sz w:val="24"/>
                <w:szCs w:val="24"/>
                <w:highlight w:val="none"/>
              </w:rPr>
            </w:pPr>
          </w:p>
        </w:tc>
        <w:tc>
          <w:tcPr>
            <w:tcW w:w="851" w:type="dxa"/>
            <w:vAlign w:val="top"/>
          </w:tcPr>
          <w:p w14:paraId="30839488">
            <w:pPr>
              <w:rPr>
                <w:rFonts w:ascii="Arial"/>
                <w:color w:val="auto"/>
                <w:sz w:val="24"/>
                <w:szCs w:val="24"/>
                <w:highlight w:val="none"/>
              </w:rPr>
            </w:pPr>
          </w:p>
        </w:tc>
        <w:tc>
          <w:tcPr>
            <w:tcW w:w="708" w:type="dxa"/>
            <w:vAlign w:val="top"/>
          </w:tcPr>
          <w:p w14:paraId="379BF37F">
            <w:pPr>
              <w:rPr>
                <w:rFonts w:ascii="Arial"/>
                <w:color w:val="auto"/>
                <w:sz w:val="24"/>
                <w:szCs w:val="24"/>
                <w:highlight w:val="none"/>
              </w:rPr>
            </w:pPr>
          </w:p>
        </w:tc>
        <w:tc>
          <w:tcPr>
            <w:tcW w:w="709" w:type="dxa"/>
            <w:vAlign w:val="top"/>
          </w:tcPr>
          <w:p w14:paraId="1310C290">
            <w:pPr>
              <w:rPr>
                <w:rFonts w:ascii="Arial"/>
                <w:color w:val="auto"/>
                <w:sz w:val="24"/>
                <w:szCs w:val="24"/>
                <w:highlight w:val="none"/>
              </w:rPr>
            </w:pPr>
          </w:p>
        </w:tc>
        <w:tc>
          <w:tcPr>
            <w:tcW w:w="851" w:type="dxa"/>
            <w:vAlign w:val="top"/>
          </w:tcPr>
          <w:p w14:paraId="7311A2D6">
            <w:pPr>
              <w:rPr>
                <w:rFonts w:ascii="Arial"/>
                <w:color w:val="auto"/>
                <w:sz w:val="24"/>
                <w:szCs w:val="24"/>
                <w:highlight w:val="none"/>
              </w:rPr>
            </w:pPr>
          </w:p>
        </w:tc>
        <w:tc>
          <w:tcPr>
            <w:tcW w:w="1133" w:type="dxa"/>
            <w:vAlign w:val="top"/>
          </w:tcPr>
          <w:p w14:paraId="795226DA">
            <w:pPr>
              <w:rPr>
                <w:rFonts w:ascii="Arial"/>
                <w:color w:val="auto"/>
                <w:sz w:val="24"/>
                <w:szCs w:val="24"/>
                <w:highlight w:val="none"/>
              </w:rPr>
            </w:pPr>
          </w:p>
        </w:tc>
        <w:tc>
          <w:tcPr>
            <w:tcW w:w="991" w:type="dxa"/>
            <w:vAlign w:val="top"/>
          </w:tcPr>
          <w:p w14:paraId="4B13F446">
            <w:pPr>
              <w:rPr>
                <w:rFonts w:ascii="Arial"/>
                <w:color w:val="auto"/>
                <w:sz w:val="24"/>
                <w:szCs w:val="24"/>
                <w:highlight w:val="none"/>
              </w:rPr>
            </w:pPr>
          </w:p>
        </w:tc>
        <w:tc>
          <w:tcPr>
            <w:tcW w:w="1133" w:type="dxa"/>
            <w:vAlign w:val="top"/>
          </w:tcPr>
          <w:p w14:paraId="766A5DC7">
            <w:pPr>
              <w:rPr>
                <w:rFonts w:ascii="Arial"/>
                <w:color w:val="auto"/>
                <w:sz w:val="24"/>
                <w:szCs w:val="24"/>
                <w:highlight w:val="none"/>
              </w:rPr>
            </w:pPr>
          </w:p>
        </w:tc>
        <w:tc>
          <w:tcPr>
            <w:tcW w:w="996" w:type="dxa"/>
            <w:vAlign w:val="top"/>
          </w:tcPr>
          <w:p w14:paraId="086C5627">
            <w:pPr>
              <w:rPr>
                <w:rFonts w:ascii="Arial"/>
                <w:color w:val="auto"/>
                <w:sz w:val="24"/>
                <w:szCs w:val="24"/>
                <w:highlight w:val="none"/>
              </w:rPr>
            </w:pPr>
          </w:p>
        </w:tc>
      </w:tr>
    </w:tbl>
    <w:p w14:paraId="1EB0F207">
      <w:pPr>
        <w:pStyle w:val="8"/>
        <w:spacing w:line="303" w:lineRule="auto"/>
        <w:rPr>
          <w:color w:val="auto"/>
          <w:sz w:val="24"/>
          <w:szCs w:val="24"/>
          <w:highlight w:val="none"/>
        </w:rPr>
      </w:pPr>
    </w:p>
    <w:p w14:paraId="490DE207">
      <w:pPr>
        <w:pStyle w:val="8"/>
        <w:spacing w:line="303" w:lineRule="auto"/>
        <w:rPr>
          <w:color w:val="auto"/>
          <w:highlight w:val="none"/>
        </w:rPr>
      </w:pPr>
    </w:p>
    <w:p w14:paraId="74CF0DAC">
      <w:pPr>
        <w:spacing w:before="65" w:line="227" w:lineRule="auto"/>
        <w:ind w:left="26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附表二：拟配备本工程的试验和检测仪器设备表</w:t>
      </w:r>
    </w:p>
    <w:p w14:paraId="2E0E367A">
      <w:pPr>
        <w:spacing w:line="14" w:lineRule="exact"/>
        <w:rPr>
          <w:color w:val="auto"/>
          <w:highlight w:val="none"/>
        </w:rPr>
      </w:pPr>
    </w:p>
    <w:tbl>
      <w:tblPr>
        <w:tblStyle w:val="22"/>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41A0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4196B1F4">
            <w:pPr>
              <w:pStyle w:val="23"/>
              <w:spacing w:before="211" w:line="229" w:lineRule="auto"/>
              <w:ind w:left="174"/>
              <w:rPr>
                <w:color w:val="auto"/>
                <w:sz w:val="24"/>
                <w:szCs w:val="24"/>
                <w:highlight w:val="none"/>
              </w:rPr>
            </w:pPr>
            <w:r>
              <w:rPr>
                <w:color w:val="auto"/>
                <w:spacing w:val="5"/>
                <w:sz w:val="24"/>
                <w:szCs w:val="24"/>
                <w:highlight w:val="none"/>
              </w:rPr>
              <w:t>序号</w:t>
            </w:r>
          </w:p>
        </w:tc>
        <w:tc>
          <w:tcPr>
            <w:tcW w:w="1225" w:type="dxa"/>
            <w:vAlign w:val="top"/>
          </w:tcPr>
          <w:p w14:paraId="38F05845">
            <w:pPr>
              <w:pStyle w:val="23"/>
              <w:spacing w:before="55" w:line="259" w:lineRule="auto"/>
              <w:ind w:left="408" w:right="194" w:hanging="212"/>
              <w:rPr>
                <w:color w:val="auto"/>
                <w:sz w:val="24"/>
                <w:szCs w:val="24"/>
                <w:highlight w:val="none"/>
              </w:rPr>
            </w:pPr>
            <w:r>
              <w:rPr>
                <w:color w:val="auto"/>
                <w:spacing w:val="7"/>
                <w:sz w:val="24"/>
                <w:szCs w:val="24"/>
                <w:highlight w:val="none"/>
              </w:rPr>
              <w:t>仪器设备</w:t>
            </w:r>
            <w:r>
              <w:rPr>
                <w:color w:val="auto"/>
                <w:sz w:val="24"/>
                <w:szCs w:val="24"/>
                <w:highlight w:val="none"/>
              </w:rPr>
              <w:t xml:space="preserve"> </w:t>
            </w:r>
            <w:r>
              <w:rPr>
                <w:color w:val="auto"/>
                <w:spacing w:val="3"/>
                <w:sz w:val="24"/>
                <w:szCs w:val="24"/>
                <w:highlight w:val="none"/>
              </w:rPr>
              <w:t>名称</w:t>
            </w:r>
          </w:p>
        </w:tc>
        <w:tc>
          <w:tcPr>
            <w:tcW w:w="851" w:type="dxa"/>
            <w:vAlign w:val="top"/>
          </w:tcPr>
          <w:p w14:paraId="70C3BCBE">
            <w:pPr>
              <w:pStyle w:val="23"/>
              <w:spacing w:before="55" w:line="312" w:lineRule="exact"/>
              <w:ind w:left="225"/>
              <w:rPr>
                <w:color w:val="auto"/>
                <w:sz w:val="24"/>
                <w:szCs w:val="24"/>
                <w:highlight w:val="none"/>
              </w:rPr>
            </w:pPr>
            <w:r>
              <w:rPr>
                <w:color w:val="auto"/>
                <w:spacing w:val="1"/>
                <w:position w:val="7"/>
                <w:sz w:val="24"/>
                <w:szCs w:val="24"/>
                <w:highlight w:val="none"/>
              </w:rPr>
              <w:t>型号</w:t>
            </w:r>
          </w:p>
          <w:p w14:paraId="41D996C7">
            <w:pPr>
              <w:pStyle w:val="23"/>
              <w:spacing w:line="227" w:lineRule="auto"/>
              <w:ind w:left="219"/>
              <w:rPr>
                <w:color w:val="auto"/>
                <w:sz w:val="24"/>
                <w:szCs w:val="24"/>
                <w:highlight w:val="none"/>
              </w:rPr>
            </w:pPr>
            <w:r>
              <w:rPr>
                <w:color w:val="auto"/>
                <w:spacing w:val="4"/>
                <w:sz w:val="24"/>
                <w:szCs w:val="24"/>
                <w:highlight w:val="none"/>
              </w:rPr>
              <w:t>规格</w:t>
            </w:r>
          </w:p>
        </w:tc>
        <w:tc>
          <w:tcPr>
            <w:tcW w:w="708" w:type="dxa"/>
            <w:vAlign w:val="top"/>
          </w:tcPr>
          <w:p w14:paraId="073F2E02">
            <w:pPr>
              <w:pStyle w:val="23"/>
              <w:spacing w:before="211" w:line="228" w:lineRule="auto"/>
              <w:ind w:left="149"/>
              <w:rPr>
                <w:color w:val="auto"/>
                <w:sz w:val="24"/>
                <w:szCs w:val="24"/>
                <w:highlight w:val="none"/>
              </w:rPr>
            </w:pPr>
            <w:r>
              <w:rPr>
                <w:color w:val="auto"/>
                <w:spacing w:val="3"/>
                <w:sz w:val="24"/>
                <w:szCs w:val="24"/>
                <w:highlight w:val="none"/>
              </w:rPr>
              <w:t>数量</w:t>
            </w:r>
          </w:p>
        </w:tc>
        <w:tc>
          <w:tcPr>
            <w:tcW w:w="709" w:type="dxa"/>
            <w:vAlign w:val="top"/>
          </w:tcPr>
          <w:p w14:paraId="6FF40246">
            <w:pPr>
              <w:pStyle w:val="23"/>
              <w:spacing w:before="55" w:line="312" w:lineRule="exact"/>
              <w:ind w:left="168"/>
              <w:rPr>
                <w:color w:val="auto"/>
                <w:sz w:val="24"/>
                <w:szCs w:val="24"/>
                <w:highlight w:val="none"/>
              </w:rPr>
            </w:pPr>
            <w:r>
              <w:rPr>
                <w:color w:val="auto"/>
                <w:spacing w:val="-6"/>
                <w:position w:val="7"/>
                <w:sz w:val="24"/>
                <w:szCs w:val="24"/>
                <w:highlight w:val="none"/>
              </w:rPr>
              <w:t>国别</w:t>
            </w:r>
          </w:p>
          <w:p w14:paraId="34EC9B8F">
            <w:pPr>
              <w:pStyle w:val="23"/>
              <w:spacing w:line="227" w:lineRule="auto"/>
              <w:ind w:left="148"/>
              <w:rPr>
                <w:color w:val="auto"/>
                <w:sz w:val="24"/>
                <w:szCs w:val="24"/>
                <w:highlight w:val="none"/>
              </w:rPr>
            </w:pPr>
            <w:r>
              <w:rPr>
                <w:color w:val="auto"/>
                <w:spacing w:val="4"/>
                <w:sz w:val="24"/>
                <w:szCs w:val="24"/>
                <w:highlight w:val="none"/>
              </w:rPr>
              <w:t>产地</w:t>
            </w:r>
          </w:p>
        </w:tc>
        <w:tc>
          <w:tcPr>
            <w:tcW w:w="1133" w:type="dxa"/>
            <w:vAlign w:val="top"/>
          </w:tcPr>
          <w:p w14:paraId="1CB07465">
            <w:pPr>
              <w:pStyle w:val="23"/>
              <w:spacing w:before="211" w:line="228" w:lineRule="auto"/>
              <w:ind w:left="152"/>
              <w:rPr>
                <w:color w:val="auto"/>
                <w:sz w:val="24"/>
                <w:szCs w:val="24"/>
                <w:highlight w:val="none"/>
              </w:rPr>
            </w:pPr>
            <w:r>
              <w:rPr>
                <w:color w:val="auto"/>
                <w:spacing w:val="7"/>
                <w:sz w:val="24"/>
                <w:szCs w:val="24"/>
                <w:highlight w:val="none"/>
              </w:rPr>
              <w:t>制造年份</w:t>
            </w:r>
          </w:p>
        </w:tc>
        <w:tc>
          <w:tcPr>
            <w:tcW w:w="1275" w:type="dxa"/>
            <w:vAlign w:val="top"/>
          </w:tcPr>
          <w:p w14:paraId="795439CC">
            <w:pPr>
              <w:pStyle w:val="23"/>
              <w:spacing w:before="55" w:line="312" w:lineRule="exact"/>
              <w:ind w:left="352"/>
              <w:rPr>
                <w:color w:val="auto"/>
                <w:sz w:val="24"/>
                <w:szCs w:val="24"/>
                <w:highlight w:val="none"/>
              </w:rPr>
            </w:pPr>
            <w:r>
              <w:rPr>
                <w:color w:val="auto"/>
                <w:spacing w:val="-1"/>
                <w:position w:val="7"/>
                <w:sz w:val="24"/>
                <w:szCs w:val="24"/>
                <w:highlight w:val="none"/>
              </w:rPr>
              <w:t>已使用</w:t>
            </w:r>
          </w:p>
          <w:p w14:paraId="7C549ABA">
            <w:pPr>
              <w:pStyle w:val="23"/>
              <w:spacing w:line="227" w:lineRule="auto"/>
              <w:ind w:left="345"/>
              <w:rPr>
                <w:color w:val="auto"/>
                <w:sz w:val="24"/>
                <w:szCs w:val="24"/>
                <w:highlight w:val="none"/>
              </w:rPr>
            </w:pPr>
            <w:r>
              <w:rPr>
                <w:color w:val="auto"/>
                <w:spacing w:val="1"/>
                <w:sz w:val="24"/>
                <w:szCs w:val="24"/>
                <w:highlight w:val="none"/>
              </w:rPr>
              <w:t>台时数</w:t>
            </w:r>
          </w:p>
        </w:tc>
        <w:tc>
          <w:tcPr>
            <w:tcW w:w="1133" w:type="dxa"/>
            <w:vAlign w:val="top"/>
          </w:tcPr>
          <w:p w14:paraId="473E2114">
            <w:pPr>
              <w:pStyle w:val="23"/>
              <w:spacing w:before="211" w:line="229" w:lineRule="auto"/>
              <w:ind w:left="366"/>
              <w:rPr>
                <w:color w:val="auto"/>
                <w:sz w:val="24"/>
                <w:szCs w:val="24"/>
                <w:highlight w:val="none"/>
              </w:rPr>
            </w:pPr>
            <w:r>
              <w:rPr>
                <w:color w:val="auto"/>
                <w:spacing w:val="3"/>
                <w:sz w:val="24"/>
                <w:szCs w:val="24"/>
                <w:highlight w:val="none"/>
              </w:rPr>
              <w:t>用途</w:t>
            </w:r>
          </w:p>
        </w:tc>
        <w:tc>
          <w:tcPr>
            <w:tcW w:w="1563" w:type="dxa"/>
            <w:vAlign w:val="top"/>
          </w:tcPr>
          <w:p w14:paraId="43B99FCE">
            <w:pPr>
              <w:pStyle w:val="23"/>
              <w:spacing w:before="211" w:line="229" w:lineRule="auto"/>
              <w:ind w:left="578"/>
              <w:rPr>
                <w:color w:val="auto"/>
                <w:sz w:val="24"/>
                <w:szCs w:val="24"/>
                <w:highlight w:val="none"/>
              </w:rPr>
            </w:pPr>
            <w:r>
              <w:rPr>
                <w:color w:val="auto"/>
                <w:spacing w:val="3"/>
                <w:sz w:val="24"/>
                <w:szCs w:val="24"/>
                <w:highlight w:val="none"/>
              </w:rPr>
              <w:t>备注</w:t>
            </w:r>
          </w:p>
        </w:tc>
      </w:tr>
      <w:tr w14:paraId="1DAA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9F02AE">
            <w:pPr>
              <w:rPr>
                <w:rFonts w:ascii="Arial"/>
                <w:color w:val="auto"/>
                <w:sz w:val="24"/>
                <w:szCs w:val="24"/>
                <w:highlight w:val="none"/>
              </w:rPr>
            </w:pPr>
          </w:p>
        </w:tc>
        <w:tc>
          <w:tcPr>
            <w:tcW w:w="1225" w:type="dxa"/>
            <w:vAlign w:val="top"/>
          </w:tcPr>
          <w:p w14:paraId="2312FA27">
            <w:pPr>
              <w:rPr>
                <w:rFonts w:ascii="Arial"/>
                <w:color w:val="auto"/>
                <w:sz w:val="24"/>
                <w:szCs w:val="24"/>
                <w:highlight w:val="none"/>
              </w:rPr>
            </w:pPr>
          </w:p>
        </w:tc>
        <w:tc>
          <w:tcPr>
            <w:tcW w:w="851" w:type="dxa"/>
            <w:vAlign w:val="top"/>
          </w:tcPr>
          <w:p w14:paraId="0377711F">
            <w:pPr>
              <w:rPr>
                <w:rFonts w:ascii="Arial"/>
                <w:color w:val="auto"/>
                <w:sz w:val="24"/>
                <w:szCs w:val="24"/>
                <w:highlight w:val="none"/>
              </w:rPr>
            </w:pPr>
          </w:p>
        </w:tc>
        <w:tc>
          <w:tcPr>
            <w:tcW w:w="708" w:type="dxa"/>
            <w:vAlign w:val="top"/>
          </w:tcPr>
          <w:p w14:paraId="35966BCC">
            <w:pPr>
              <w:rPr>
                <w:rFonts w:ascii="Arial"/>
                <w:color w:val="auto"/>
                <w:sz w:val="24"/>
                <w:szCs w:val="24"/>
                <w:highlight w:val="none"/>
              </w:rPr>
            </w:pPr>
          </w:p>
        </w:tc>
        <w:tc>
          <w:tcPr>
            <w:tcW w:w="709" w:type="dxa"/>
            <w:vAlign w:val="top"/>
          </w:tcPr>
          <w:p w14:paraId="66F51042">
            <w:pPr>
              <w:rPr>
                <w:rFonts w:ascii="Arial"/>
                <w:color w:val="auto"/>
                <w:sz w:val="24"/>
                <w:szCs w:val="24"/>
                <w:highlight w:val="none"/>
              </w:rPr>
            </w:pPr>
          </w:p>
        </w:tc>
        <w:tc>
          <w:tcPr>
            <w:tcW w:w="1133" w:type="dxa"/>
            <w:vAlign w:val="top"/>
          </w:tcPr>
          <w:p w14:paraId="53BDFBDA">
            <w:pPr>
              <w:rPr>
                <w:rFonts w:ascii="Arial"/>
                <w:color w:val="auto"/>
                <w:sz w:val="24"/>
                <w:szCs w:val="24"/>
                <w:highlight w:val="none"/>
              </w:rPr>
            </w:pPr>
          </w:p>
        </w:tc>
        <w:tc>
          <w:tcPr>
            <w:tcW w:w="1275" w:type="dxa"/>
            <w:vAlign w:val="top"/>
          </w:tcPr>
          <w:p w14:paraId="3B0D7933">
            <w:pPr>
              <w:rPr>
                <w:rFonts w:ascii="Arial"/>
                <w:color w:val="auto"/>
                <w:sz w:val="24"/>
                <w:szCs w:val="24"/>
                <w:highlight w:val="none"/>
              </w:rPr>
            </w:pPr>
          </w:p>
        </w:tc>
        <w:tc>
          <w:tcPr>
            <w:tcW w:w="1133" w:type="dxa"/>
            <w:vAlign w:val="top"/>
          </w:tcPr>
          <w:p w14:paraId="1347E523">
            <w:pPr>
              <w:rPr>
                <w:rFonts w:ascii="Arial"/>
                <w:color w:val="auto"/>
                <w:sz w:val="24"/>
                <w:szCs w:val="24"/>
                <w:highlight w:val="none"/>
              </w:rPr>
            </w:pPr>
          </w:p>
        </w:tc>
        <w:tc>
          <w:tcPr>
            <w:tcW w:w="1563" w:type="dxa"/>
            <w:vAlign w:val="top"/>
          </w:tcPr>
          <w:p w14:paraId="6EF100B8">
            <w:pPr>
              <w:rPr>
                <w:rFonts w:ascii="Arial"/>
                <w:color w:val="auto"/>
                <w:sz w:val="24"/>
                <w:szCs w:val="24"/>
                <w:highlight w:val="none"/>
              </w:rPr>
            </w:pPr>
          </w:p>
        </w:tc>
      </w:tr>
      <w:tr w14:paraId="128B8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677FEC">
            <w:pPr>
              <w:rPr>
                <w:rFonts w:ascii="Arial"/>
                <w:color w:val="auto"/>
                <w:sz w:val="24"/>
                <w:szCs w:val="24"/>
                <w:highlight w:val="none"/>
              </w:rPr>
            </w:pPr>
          </w:p>
        </w:tc>
        <w:tc>
          <w:tcPr>
            <w:tcW w:w="1225" w:type="dxa"/>
            <w:vAlign w:val="top"/>
          </w:tcPr>
          <w:p w14:paraId="03F0DB67">
            <w:pPr>
              <w:rPr>
                <w:rFonts w:ascii="Arial"/>
                <w:color w:val="auto"/>
                <w:sz w:val="24"/>
                <w:szCs w:val="24"/>
                <w:highlight w:val="none"/>
              </w:rPr>
            </w:pPr>
          </w:p>
        </w:tc>
        <w:tc>
          <w:tcPr>
            <w:tcW w:w="851" w:type="dxa"/>
            <w:vAlign w:val="top"/>
          </w:tcPr>
          <w:p w14:paraId="61A704C5">
            <w:pPr>
              <w:rPr>
                <w:rFonts w:ascii="Arial"/>
                <w:color w:val="auto"/>
                <w:sz w:val="24"/>
                <w:szCs w:val="24"/>
                <w:highlight w:val="none"/>
              </w:rPr>
            </w:pPr>
          </w:p>
        </w:tc>
        <w:tc>
          <w:tcPr>
            <w:tcW w:w="708" w:type="dxa"/>
            <w:vAlign w:val="top"/>
          </w:tcPr>
          <w:p w14:paraId="597141A9">
            <w:pPr>
              <w:rPr>
                <w:rFonts w:ascii="Arial"/>
                <w:color w:val="auto"/>
                <w:sz w:val="24"/>
                <w:szCs w:val="24"/>
                <w:highlight w:val="none"/>
              </w:rPr>
            </w:pPr>
          </w:p>
        </w:tc>
        <w:tc>
          <w:tcPr>
            <w:tcW w:w="709" w:type="dxa"/>
            <w:vAlign w:val="top"/>
          </w:tcPr>
          <w:p w14:paraId="08F2C15A">
            <w:pPr>
              <w:rPr>
                <w:rFonts w:ascii="Arial"/>
                <w:color w:val="auto"/>
                <w:sz w:val="24"/>
                <w:szCs w:val="24"/>
                <w:highlight w:val="none"/>
              </w:rPr>
            </w:pPr>
          </w:p>
        </w:tc>
        <w:tc>
          <w:tcPr>
            <w:tcW w:w="1133" w:type="dxa"/>
            <w:vAlign w:val="top"/>
          </w:tcPr>
          <w:p w14:paraId="43118B5E">
            <w:pPr>
              <w:rPr>
                <w:rFonts w:ascii="Arial"/>
                <w:color w:val="auto"/>
                <w:sz w:val="24"/>
                <w:szCs w:val="24"/>
                <w:highlight w:val="none"/>
              </w:rPr>
            </w:pPr>
          </w:p>
        </w:tc>
        <w:tc>
          <w:tcPr>
            <w:tcW w:w="1275" w:type="dxa"/>
            <w:vAlign w:val="top"/>
          </w:tcPr>
          <w:p w14:paraId="54783AEB">
            <w:pPr>
              <w:rPr>
                <w:rFonts w:ascii="Arial"/>
                <w:color w:val="auto"/>
                <w:sz w:val="24"/>
                <w:szCs w:val="24"/>
                <w:highlight w:val="none"/>
              </w:rPr>
            </w:pPr>
          </w:p>
        </w:tc>
        <w:tc>
          <w:tcPr>
            <w:tcW w:w="1133" w:type="dxa"/>
            <w:vAlign w:val="top"/>
          </w:tcPr>
          <w:p w14:paraId="3BA27C9D">
            <w:pPr>
              <w:rPr>
                <w:rFonts w:ascii="Arial"/>
                <w:color w:val="auto"/>
                <w:sz w:val="24"/>
                <w:szCs w:val="24"/>
                <w:highlight w:val="none"/>
              </w:rPr>
            </w:pPr>
          </w:p>
        </w:tc>
        <w:tc>
          <w:tcPr>
            <w:tcW w:w="1563" w:type="dxa"/>
            <w:vAlign w:val="top"/>
          </w:tcPr>
          <w:p w14:paraId="2DD9B03B">
            <w:pPr>
              <w:rPr>
                <w:rFonts w:ascii="Arial"/>
                <w:color w:val="auto"/>
                <w:sz w:val="24"/>
                <w:szCs w:val="24"/>
                <w:highlight w:val="none"/>
              </w:rPr>
            </w:pPr>
          </w:p>
        </w:tc>
      </w:tr>
      <w:tr w14:paraId="4E61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816C5F">
            <w:pPr>
              <w:rPr>
                <w:rFonts w:ascii="Arial"/>
                <w:color w:val="auto"/>
                <w:sz w:val="24"/>
                <w:szCs w:val="24"/>
                <w:highlight w:val="none"/>
              </w:rPr>
            </w:pPr>
          </w:p>
        </w:tc>
        <w:tc>
          <w:tcPr>
            <w:tcW w:w="1225" w:type="dxa"/>
            <w:vAlign w:val="top"/>
          </w:tcPr>
          <w:p w14:paraId="68B36682">
            <w:pPr>
              <w:rPr>
                <w:rFonts w:ascii="Arial"/>
                <w:color w:val="auto"/>
                <w:sz w:val="24"/>
                <w:szCs w:val="24"/>
                <w:highlight w:val="none"/>
              </w:rPr>
            </w:pPr>
          </w:p>
        </w:tc>
        <w:tc>
          <w:tcPr>
            <w:tcW w:w="851" w:type="dxa"/>
            <w:vAlign w:val="top"/>
          </w:tcPr>
          <w:p w14:paraId="6E5F3835">
            <w:pPr>
              <w:rPr>
                <w:rFonts w:ascii="Arial"/>
                <w:color w:val="auto"/>
                <w:sz w:val="24"/>
                <w:szCs w:val="24"/>
                <w:highlight w:val="none"/>
              </w:rPr>
            </w:pPr>
          </w:p>
        </w:tc>
        <w:tc>
          <w:tcPr>
            <w:tcW w:w="708" w:type="dxa"/>
            <w:vAlign w:val="top"/>
          </w:tcPr>
          <w:p w14:paraId="07342263">
            <w:pPr>
              <w:rPr>
                <w:rFonts w:ascii="Arial"/>
                <w:color w:val="auto"/>
                <w:sz w:val="24"/>
                <w:szCs w:val="24"/>
                <w:highlight w:val="none"/>
              </w:rPr>
            </w:pPr>
          </w:p>
        </w:tc>
        <w:tc>
          <w:tcPr>
            <w:tcW w:w="709" w:type="dxa"/>
            <w:vAlign w:val="top"/>
          </w:tcPr>
          <w:p w14:paraId="3DAE7E94">
            <w:pPr>
              <w:rPr>
                <w:rFonts w:ascii="Arial"/>
                <w:color w:val="auto"/>
                <w:sz w:val="24"/>
                <w:szCs w:val="24"/>
                <w:highlight w:val="none"/>
              </w:rPr>
            </w:pPr>
          </w:p>
        </w:tc>
        <w:tc>
          <w:tcPr>
            <w:tcW w:w="1133" w:type="dxa"/>
            <w:vAlign w:val="top"/>
          </w:tcPr>
          <w:p w14:paraId="03082DD5">
            <w:pPr>
              <w:rPr>
                <w:rFonts w:ascii="Arial"/>
                <w:color w:val="auto"/>
                <w:sz w:val="24"/>
                <w:szCs w:val="24"/>
                <w:highlight w:val="none"/>
              </w:rPr>
            </w:pPr>
          </w:p>
        </w:tc>
        <w:tc>
          <w:tcPr>
            <w:tcW w:w="1275" w:type="dxa"/>
            <w:vAlign w:val="top"/>
          </w:tcPr>
          <w:p w14:paraId="64ABD325">
            <w:pPr>
              <w:rPr>
                <w:rFonts w:ascii="Arial"/>
                <w:color w:val="auto"/>
                <w:sz w:val="24"/>
                <w:szCs w:val="24"/>
                <w:highlight w:val="none"/>
              </w:rPr>
            </w:pPr>
          </w:p>
        </w:tc>
        <w:tc>
          <w:tcPr>
            <w:tcW w:w="1133" w:type="dxa"/>
            <w:vAlign w:val="top"/>
          </w:tcPr>
          <w:p w14:paraId="6426084C">
            <w:pPr>
              <w:rPr>
                <w:rFonts w:ascii="Arial"/>
                <w:color w:val="auto"/>
                <w:sz w:val="24"/>
                <w:szCs w:val="24"/>
                <w:highlight w:val="none"/>
              </w:rPr>
            </w:pPr>
          </w:p>
        </w:tc>
        <w:tc>
          <w:tcPr>
            <w:tcW w:w="1563" w:type="dxa"/>
            <w:vAlign w:val="top"/>
          </w:tcPr>
          <w:p w14:paraId="70ED1905">
            <w:pPr>
              <w:rPr>
                <w:rFonts w:ascii="Arial"/>
                <w:color w:val="auto"/>
                <w:sz w:val="24"/>
                <w:szCs w:val="24"/>
                <w:highlight w:val="none"/>
              </w:rPr>
            </w:pPr>
          </w:p>
        </w:tc>
      </w:tr>
      <w:tr w14:paraId="7BC4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E62A0AD">
            <w:pPr>
              <w:rPr>
                <w:rFonts w:ascii="Arial"/>
                <w:color w:val="auto"/>
                <w:sz w:val="24"/>
                <w:szCs w:val="24"/>
                <w:highlight w:val="none"/>
              </w:rPr>
            </w:pPr>
          </w:p>
        </w:tc>
        <w:tc>
          <w:tcPr>
            <w:tcW w:w="1225" w:type="dxa"/>
            <w:vAlign w:val="top"/>
          </w:tcPr>
          <w:p w14:paraId="0365E37A">
            <w:pPr>
              <w:rPr>
                <w:rFonts w:ascii="Arial"/>
                <w:color w:val="auto"/>
                <w:sz w:val="24"/>
                <w:szCs w:val="24"/>
                <w:highlight w:val="none"/>
              </w:rPr>
            </w:pPr>
          </w:p>
        </w:tc>
        <w:tc>
          <w:tcPr>
            <w:tcW w:w="851" w:type="dxa"/>
            <w:vAlign w:val="top"/>
          </w:tcPr>
          <w:p w14:paraId="04B55956">
            <w:pPr>
              <w:rPr>
                <w:rFonts w:ascii="Arial"/>
                <w:color w:val="auto"/>
                <w:sz w:val="24"/>
                <w:szCs w:val="24"/>
                <w:highlight w:val="none"/>
              </w:rPr>
            </w:pPr>
          </w:p>
        </w:tc>
        <w:tc>
          <w:tcPr>
            <w:tcW w:w="708" w:type="dxa"/>
            <w:vAlign w:val="top"/>
          </w:tcPr>
          <w:p w14:paraId="74E3B135">
            <w:pPr>
              <w:rPr>
                <w:rFonts w:ascii="Arial"/>
                <w:color w:val="auto"/>
                <w:sz w:val="24"/>
                <w:szCs w:val="24"/>
                <w:highlight w:val="none"/>
              </w:rPr>
            </w:pPr>
          </w:p>
        </w:tc>
        <w:tc>
          <w:tcPr>
            <w:tcW w:w="709" w:type="dxa"/>
            <w:vAlign w:val="top"/>
          </w:tcPr>
          <w:p w14:paraId="2622511E">
            <w:pPr>
              <w:rPr>
                <w:rFonts w:ascii="Arial"/>
                <w:color w:val="auto"/>
                <w:sz w:val="24"/>
                <w:szCs w:val="24"/>
                <w:highlight w:val="none"/>
              </w:rPr>
            </w:pPr>
          </w:p>
        </w:tc>
        <w:tc>
          <w:tcPr>
            <w:tcW w:w="1133" w:type="dxa"/>
            <w:vAlign w:val="top"/>
          </w:tcPr>
          <w:p w14:paraId="6A0BF942">
            <w:pPr>
              <w:rPr>
                <w:rFonts w:ascii="Arial"/>
                <w:color w:val="auto"/>
                <w:sz w:val="24"/>
                <w:szCs w:val="24"/>
                <w:highlight w:val="none"/>
              </w:rPr>
            </w:pPr>
          </w:p>
        </w:tc>
        <w:tc>
          <w:tcPr>
            <w:tcW w:w="1275" w:type="dxa"/>
            <w:vAlign w:val="top"/>
          </w:tcPr>
          <w:p w14:paraId="5FD5A6D8">
            <w:pPr>
              <w:rPr>
                <w:rFonts w:ascii="Arial"/>
                <w:color w:val="auto"/>
                <w:sz w:val="24"/>
                <w:szCs w:val="24"/>
                <w:highlight w:val="none"/>
              </w:rPr>
            </w:pPr>
          </w:p>
        </w:tc>
        <w:tc>
          <w:tcPr>
            <w:tcW w:w="1133" w:type="dxa"/>
            <w:vAlign w:val="top"/>
          </w:tcPr>
          <w:p w14:paraId="77A799FD">
            <w:pPr>
              <w:rPr>
                <w:rFonts w:ascii="Arial"/>
                <w:color w:val="auto"/>
                <w:sz w:val="24"/>
                <w:szCs w:val="24"/>
                <w:highlight w:val="none"/>
              </w:rPr>
            </w:pPr>
          </w:p>
        </w:tc>
        <w:tc>
          <w:tcPr>
            <w:tcW w:w="1563" w:type="dxa"/>
            <w:vAlign w:val="top"/>
          </w:tcPr>
          <w:p w14:paraId="67F2102A">
            <w:pPr>
              <w:rPr>
                <w:rFonts w:ascii="Arial"/>
                <w:color w:val="auto"/>
                <w:sz w:val="24"/>
                <w:szCs w:val="24"/>
                <w:highlight w:val="none"/>
              </w:rPr>
            </w:pPr>
          </w:p>
        </w:tc>
      </w:tr>
      <w:tr w14:paraId="7F6A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048840F2">
            <w:pPr>
              <w:rPr>
                <w:rFonts w:ascii="Arial"/>
                <w:color w:val="auto"/>
                <w:sz w:val="24"/>
                <w:szCs w:val="24"/>
                <w:highlight w:val="none"/>
              </w:rPr>
            </w:pPr>
          </w:p>
        </w:tc>
        <w:tc>
          <w:tcPr>
            <w:tcW w:w="1225" w:type="dxa"/>
            <w:vAlign w:val="top"/>
          </w:tcPr>
          <w:p w14:paraId="06EF4E34">
            <w:pPr>
              <w:rPr>
                <w:rFonts w:ascii="Arial"/>
                <w:color w:val="auto"/>
                <w:sz w:val="24"/>
                <w:szCs w:val="24"/>
                <w:highlight w:val="none"/>
              </w:rPr>
            </w:pPr>
          </w:p>
        </w:tc>
        <w:tc>
          <w:tcPr>
            <w:tcW w:w="851" w:type="dxa"/>
            <w:vAlign w:val="top"/>
          </w:tcPr>
          <w:p w14:paraId="4C398638">
            <w:pPr>
              <w:rPr>
                <w:rFonts w:ascii="Arial"/>
                <w:color w:val="auto"/>
                <w:sz w:val="24"/>
                <w:szCs w:val="24"/>
                <w:highlight w:val="none"/>
              </w:rPr>
            </w:pPr>
          </w:p>
        </w:tc>
        <w:tc>
          <w:tcPr>
            <w:tcW w:w="708" w:type="dxa"/>
            <w:vAlign w:val="top"/>
          </w:tcPr>
          <w:p w14:paraId="74AE2274">
            <w:pPr>
              <w:rPr>
                <w:rFonts w:ascii="Arial"/>
                <w:color w:val="auto"/>
                <w:sz w:val="24"/>
                <w:szCs w:val="24"/>
                <w:highlight w:val="none"/>
              </w:rPr>
            </w:pPr>
          </w:p>
        </w:tc>
        <w:tc>
          <w:tcPr>
            <w:tcW w:w="709" w:type="dxa"/>
            <w:vAlign w:val="top"/>
          </w:tcPr>
          <w:p w14:paraId="4A106239">
            <w:pPr>
              <w:rPr>
                <w:rFonts w:ascii="Arial"/>
                <w:color w:val="auto"/>
                <w:sz w:val="24"/>
                <w:szCs w:val="24"/>
                <w:highlight w:val="none"/>
              </w:rPr>
            </w:pPr>
          </w:p>
        </w:tc>
        <w:tc>
          <w:tcPr>
            <w:tcW w:w="1133" w:type="dxa"/>
            <w:vAlign w:val="top"/>
          </w:tcPr>
          <w:p w14:paraId="5AEA8A33">
            <w:pPr>
              <w:rPr>
                <w:rFonts w:ascii="Arial"/>
                <w:color w:val="auto"/>
                <w:sz w:val="24"/>
                <w:szCs w:val="24"/>
                <w:highlight w:val="none"/>
              </w:rPr>
            </w:pPr>
          </w:p>
        </w:tc>
        <w:tc>
          <w:tcPr>
            <w:tcW w:w="1275" w:type="dxa"/>
            <w:vAlign w:val="top"/>
          </w:tcPr>
          <w:p w14:paraId="636424D5">
            <w:pPr>
              <w:rPr>
                <w:rFonts w:ascii="Arial"/>
                <w:color w:val="auto"/>
                <w:sz w:val="24"/>
                <w:szCs w:val="24"/>
                <w:highlight w:val="none"/>
              </w:rPr>
            </w:pPr>
          </w:p>
        </w:tc>
        <w:tc>
          <w:tcPr>
            <w:tcW w:w="1133" w:type="dxa"/>
            <w:vAlign w:val="top"/>
          </w:tcPr>
          <w:p w14:paraId="4573705F">
            <w:pPr>
              <w:rPr>
                <w:rFonts w:ascii="Arial"/>
                <w:color w:val="auto"/>
                <w:sz w:val="24"/>
                <w:szCs w:val="24"/>
                <w:highlight w:val="none"/>
              </w:rPr>
            </w:pPr>
          </w:p>
        </w:tc>
        <w:tc>
          <w:tcPr>
            <w:tcW w:w="1563" w:type="dxa"/>
            <w:vAlign w:val="top"/>
          </w:tcPr>
          <w:p w14:paraId="5F42FB9E">
            <w:pPr>
              <w:rPr>
                <w:rFonts w:ascii="Arial"/>
                <w:color w:val="auto"/>
                <w:sz w:val="24"/>
                <w:szCs w:val="24"/>
                <w:highlight w:val="none"/>
              </w:rPr>
            </w:pPr>
          </w:p>
        </w:tc>
      </w:tr>
    </w:tbl>
    <w:p w14:paraId="0B8C85E0">
      <w:pPr>
        <w:pStyle w:val="8"/>
        <w:spacing w:line="303" w:lineRule="auto"/>
        <w:rPr>
          <w:color w:val="auto"/>
          <w:sz w:val="24"/>
          <w:szCs w:val="24"/>
          <w:highlight w:val="none"/>
        </w:rPr>
      </w:pPr>
    </w:p>
    <w:p w14:paraId="056DA590">
      <w:pPr>
        <w:pStyle w:val="8"/>
        <w:spacing w:line="303" w:lineRule="auto"/>
        <w:rPr>
          <w:color w:val="auto"/>
          <w:highlight w:val="none"/>
        </w:rPr>
      </w:pPr>
    </w:p>
    <w:p w14:paraId="63AD7A61">
      <w:pPr>
        <w:spacing w:before="65" w:line="227" w:lineRule="auto"/>
        <w:ind w:left="26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附表三：劳动力计划表</w:t>
      </w:r>
    </w:p>
    <w:p w14:paraId="2F8DBAE9">
      <w:pPr>
        <w:spacing w:before="66" w:line="228" w:lineRule="auto"/>
        <w:ind w:left="791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单位：人</w:t>
      </w:r>
    </w:p>
    <w:p w14:paraId="201C9AF5">
      <w:pPr>
        <w:spacing w:line="14" w:lineRule="exact"/>
        <w:rPr>
          <w:color w:val="auto"/>
          <w:highlight w:val="none"/>
        </w:rPr>
      </w:pPr>
    </w:p>
    <w:tbl>
      <w:tblPr>
        <w:tblStyle w:val="22"/>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EDA7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59AF522">
            <w:pPr>
              <w:pStyle w:val="23"/>
              <w:spacing w:before="135" w:line="228" w:lineRule="auto"/>
              <w:ind w:left="225"/>
              <w:rPr>
                <w:color w:val="auto"/>
                <w:sz w:val="24"/>
                <w:szCs w:val="24"/>
                <w:highlight w:val="none"/>
              </w:rPr>
            </w:pPr>
            <w:r>
              <w:rPr>
                <w:color w:val="auto"/>
                <w:spacing w:val="3"/>
                <w:sz w:val="24"/>
                <w:szCs w:val="24"/>
                <w:highlight w:val="none"/>
              </w:rPr>
              <w:t>工种</w:t>
            </w:r>
          </w:p>
        </w:tc>
        <w:tc>
          <w:tcPr>
            <w:tcW w:w="8505" w:type="dxa"/>
            <w:gridSpan w:val="7"/>
            <w:vAlign w:val="top"/>
          </w:tcPr>
          <w:p w14:paraId="6C3496E3">
            <w:pPr>
              <w:pStyle w:val="23"/>
              <w:spacing w:before="134" w:line="228" w:lineRule="auto"/>
              <w:ind w:left="2787"/>
              <w:rPr>
                <w:color w:val="auto"/>
                <w:sz w:val="24"/>
                <w:szCs w:val="24"/>
                <w:highlight w:val="none"/>
              </w:rPr>
            </w:pPr>
            <w:r>
              <w:rPr>
                <w:color w:val="auto"/>
                <w:spacing w:val="9"/>
                <w:sz w:val="24"/>
                <w:szCs w:val="24"/>
                <w:highlight w:val="none"/>
              </w:rPr>
              <w:t>按工程施工阶段投入劳动力情况</w:t>
            </w:r>
          </w:p>
        </w:tc>
      </w:tr>
      <w:tr w14:paraId="48463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14C7FB6">
            <w:pPr>
              <w:rPr>
                <w:rFonts w:ascii="Arial"/>
                <w:color w:val="auto"/>
                <w:sz w:val="24"/>
                <w:szCs w:val="24"/>
                <w:highlight w:val="none"/>
              </w:rPr>
            </w:pPr>
          </w:p>
        </w:tc>
        <w:tc>
          <w:tcPr>
            <w:tcW w:w="961" w:type="dxa"/>
            <w:vAlign w:val="top"/>
          </w:tcPr>
          <w:p w14:paraId="525550A7">
            <w:pPr>
              <w:rPr>
                <w:rFonts w:ascii="Arial"/>
                <w:color w:val="auto"/>
                <w:sz w:val="24"/>
                <w:szCs w:val="24"/>
                <w:highlight w:val="none"/>
              </w:rPr>
            </w:pPr>
          </w:p>
        </w:tc>
        <w:tc>
          <w:tcPr>
            <w:tcW w:w="1256" w:type="dxa"/>
            <w:vAlign w:val="top"/>
          </w:tcPr>
          <w:p w14:paraId="267FA6C9">
            <w:pPr>
              <w:rPr>
                <w:rFonts w:ascii="Arial"/>
                <w:color w:val="auto"/>
                <w:sz w:val="24"/>
                <w:szCs w:val="24"/>
                <w:highlight w:val="none"/>
              </w:rPr>
            </w:pPr>
          </w:p>
        </w:tc>
        <w:tc>
          <w:tcPr>
            <w:tcW w:w="1257" w:type="dxa"/>
            <w:vAlign w:val="top"/>
          </w:tcPr>
          <w:p w14:paraId="48F61983">
            <w:pPr>
              <w:rPr>
                <w:rFonts w:ascii="Arial"/>
                <w:color w:val="auto"/>
                <w:sz w:val="24"/>
                <w:szCs w:val="24"/>
                <w:highlight w:val="none"/>
              </w:rPr>
            </w:pPr>
          </w:p>
        </w:tc>
        <w:tc>
          <w:tcPr>
            <w:tcW w:w="1256" w:type="dxa"/>
            <w:vAlign w:val="top"/>
          </w:tcPr>
          <w:p w14:paraId="5FE96AB9">
            <w:pPr>
              <w:rPr>
                <w:rFonts w:ascii="Arial"/>
                <w:color w:val="auto"/>
                <w:sz w:val="24"/>
                <w:szCs w:val="24"/>
                <w:highlight w:val="none"/>
              </w:rPr>
            </w:pPr>
          </w:p>
        </w:tc>
        <w:tc>
          <w:tcPr>
            <w:tcW w:w="1257" w:type="dxa"/>
            <w:vAlign w:val="top"/>
          </w:tcPr>
          <w:p w14:paraId="66C99BF4">
            <w:pPr>
              <w:rPr>
                <w:rFonts w:ascii="Arial"/>
                <w:color w:val="auto"/>
                <w:sz w:val="24"/>
                <w:szCs w:val="24"/>
                <w:highlight w:val="none"/>
              </w:rPr>
            </w:pPr>
          </w:p>
        </w:tc>
        <w:tc>
          <w:tcPr>
            <w:tcW w:w="1256" w:type="dxa"/>
            <w:vAlign w:val="top"/>
          </w:tcPr>
          <w:p w14:paraId="1430681C">
            <w:pPr>
              <w:rPr>
                <w:rFonts w:ascii="Arial"/>
                <w:color w:val="auto"/>
                <w:sz w:val="24"/>
                <w:szCs w:val="24"/>
                <w:highlight w:val="none"/>
              </w:rPr>
            </w:pPr>
          </w:p>
        </w:tc>
        <w:tc>
          <w:tcPr>
            <w:tcW w:w="1262" w:type="dxa"/>
            <w:vAlign w:val="top"/>
          </w:tcPr>
          <w:p w14:paraId="2C6BFB87">
            <w:pPr>
              <w:rPr>
                <w:rFonts w:ascii="Arial"/>
                <w:color w:val="auto"/>
                <w:sz w:val="24"/>
                <w:szCs w:val="24"/>
                <w:highlight w:val="none"/>
              </w:rPr>
            </w:pPr>
          </w:p>
        </w:tc>
      </w:tr>
      <w:tr w14:paraId="3533D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7E51D9F">
            <w:pPr>
              <w:rPr>
                <w:rFonts w:ascii="Arial"/>
                <w:color w:val="auto"/>
                <w:sz w:val="24"/>
                <w:szCs w:val="24"/>
                <w:highlight w:val="none"/>
              </w:rPr>
            </w:pPr>
          </w:p>
        </w:tc>
        <w:tc>
          <w:tcPr>
            <w:tcW w:w="961" w:type="dxa"/>
            <w:vAlign w:val="top"/>
          </w:tcPr>
          <w:p w14:paraId="7E0A7D70">
            <w:pPr>
              <w:rPr>
                <w:rFonts w:ascii="Arial"/>
                <w:color w:val="auto"/>
                <w:sz w:val="24"/>
                <w:szCs w:val="24"/>
                <w:highlight w:val="none"/>
              </w:rPr>
            </w:pPr>
          </w:p>
        </w:tc>
        <w:tc>
          <w:tcPr>
            <w:tcW w:w="1256" w:type="dxa"/>
            <w:vAlign w:val="top"/>
          </w:tcPr>
          <w:p w14:paraId="35FF96BF">
            <w:pPr>
              <w:rPr>
                <w:rFonts w:ascii="Arial"/>
                <w:color w:val="auto"/>
                <w:sz w:val="24"/>
                <w:szCs w:val="24"/>
                <w:highlight w:val="none"/>
              </w:rPr>
            </w:pPr>
          </w:p>
        </w:tc>
        <w:tc>
          <w:tcPr>
            <w:tcW w:w="1257" w:type="dxa"/>
            <w:vAlign w:val="top"/>
          </w:tcPr>
          <w:p w14:paraId="5A4676EE">
            <w:pPr>
              <w:rPr>
                <w:rFonts w:ascii="Arial"/>
                <w:color w:val="auto"/>
                <w:sz w:val="24"/>
                <w:szCs w:val="24"/>
                <w:highlight w:val="none"/>
              </w:rPr>
            </w:pPr>
          </w:p>
        </w:tc>
        <w:tc>
          <w:tcPr>
            <w:tcW w:w="1256" w:type="dxa"/>
            <w:vAlign w:val="top"/>
          </w:tcPr>
          <w:p w14:paraId="19E2493F">
            <w:pPr>
              <w:rPr>
                <w:rFonts w:ascii="Arial"/>
                <w:color w:val="auto"/>
                <w:sz w:val="24"/>
                <w:szCs w:val="24"/>
                <w:highlight w:val="none"/>
              </w:rPr>
            </w:pPr>
          </w:p>
        </w:tc>
        <w:tc>
          <w:tcPr>
            <w:tcW w:w="1257" w:type="dxa"/>
            <w:vAlign w:val="top"/>
          </w:tcPr>
          <w:p w14:paraId="7E00E7D2">
            <w:pPr>
              <w:rPr>
                <w:rFonts w:ascii="Arial"/>
                <w:color w:val="auto"/>
                <w:sz w:val="24"/>
                <w:szCs w:val="24"/>
                <w:highlight w:val="none"/>
              </w:rPr>
            </w:pPr>
          </w:p>
        </w:tc>
        <w:tc>
          <w:tcPr>
            <w:tcW w:w="1256" w:type="dxa"/>
            <w:vAlign w:val="top"/>
          </w:tcPr>
          <w:p w14:paraId="013FFAA8">
            <w:pPr>
              <w:rPr>
                <w:rFonts w:ascii="Arial"/>
                <w:color w:val="auto"/>
                <w:sz w:val="24"/>
                <w:szCs w:val="24"/>
                <w:highlight w:val="none"/>
              </w:rPr>
            </w:pPr>
          </w:p>
        </w:tc>
        <w:tc>
          <w:tcPr>
            <w:tcW w:w="1262" w:type="dxa"/>
            <w:vAlign w:val="top"/>
          </w:tcPr>
          <w:p w14:paraId="5DA578F8">
            <w:pPr>
              <w:rPr>
                <w:rFonts w:ascii="Arial"/>
                <w:color w:val="auto"/>
                <w:sz w:val="24"/>
                <w:szCs w:val="24"/>
                <w:highlight w:val="none"/>
              </w:rPr>
            </w:pPr>
          </w:p>
        </w:tc>
      </w:tr>
      <w:tr w14:paraId="1A9B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5D169EA0">
            <w:pPr>
              <w:rPr>
                <w:rFonts w:ascii="Arial"/>
                <w:color w:val="auto"/>
                <w:sz w:val="24"/>
                <w:szCs w:val="24"/>
                <w:highlight w:val="none"/>
              </w:rPr>
            </w:pPr>
          </w:p>
        </w:tc>
        <w:tc>
          <w:tcPr>
            <w:tcW w:w="961" w:type="dxa"/>
            <w:vAlign w:val="top"/>
          </w:tcPr>
          <w:p w14:paraId="31585B26">
            <w:pPr>
              <w:rPr>
                <w:rFonts w:ascii="Arial"/>
                <w:color w:val="auto"/>
                <w:sz w:val="24"/>
                <w:szCs w:val="24"/>
                <w:highlight w:val="none"/>
              </w:rPr>
            </w:pPr>
          </w:p>
        </w:tc>
        <w:tc>
          <w:tcPr>
            <w:tcW w:w="1256" w:type="dxa"/>
            <w:vAlign w:val="top"/>
          </w:tcPr>
          <w:p w14:paraId="073C2E68">
            <w:pPr>
              <w:rPr>
                <w:rFonts w:ascii="Arial"/>
                <w:color w:val="auto"/>
                <w:sz w:val="24"/>
                <w:szCs w:val="24"/>
                <w:highlight w:val="none"/>
              </w:rPr>
            </w:pPr>
          </w:p>
        </w:tc>
        <w:tc>
          <w:tcPr>
            <w:tcW w:w="1257" w:type="dxa"/>
            <w:vAlign w:val="top"/>
          </w:tcPr>
          <w:p w14:paraId="0E3C8C63">
            <w:pPr>
              <w:rPr>
                <w:rFonts w:ascii="Arial"/>
                <w:color w:val="auto"/>
                <w:sz w:val="24"/>
                <w:szCs w:val="24"/>
                <w:highlight w:val="none"/>
              </w:rPr>
            </w:pPr>
          </w:p>
        </w:tc>
        <w:tc>
          <w:tcPr>
            <w:tcW w:w="1256" w:type="dxa"/>
            <w:vAlign w:val="top"/>
          </w:tcPr>
          <w:p w14:paraId="60695500">
            <w:pPr>
              <w:rPr>
                <w:rFonts w:ascii="Arial"/>
                <w:color w:val="auto"/>
                <w:sz w:val="24"/>
                <w:szCs w:val="24"/>
                <w:highlight w:val="none"/>
              </w:rPr>
            </w:pPr>
          </w:p>
        </w:tc>
        <w:tc>
          <w:tcPr>
            <w:tcW w:w="1257" w:type="dxa"/>
            <w:vAlign w:val="top"/>
          </w:tcPr>
          <w:p w14:paraId="3160EBF0">
            <w:pPr>
              <w:rPr>
                <w:rFonts w:ascii="Arial"/>
                <w:color w:val="auto"/>
                <w:sz w:val="24"/>
                <w:szCs w:val="24"/>
                <w:highlight w:val="none"/>
              </w:rPr>
            </w:pPr>
          </w:p>
        </w:tc>
        <w:tc>
          <w:tcPr>
            <w:tcW w:w="1256" w:type="dxa"/>
            <w:vAlign w:val="top"/>
          </w:tcPr>
          <w:p w14:paraId="187A37CF">
            <w:pPr>
              <w:rPr>
                <w:rFonts w:ascii="Arial"/>
                <w:color w:val="auto"/>
                <w:sz w:val="24"/>
                <w:szCs w:val="24"/>
                <w:highlight w:val="none"/>
              </w:rPr>
            </w:pPr>
          </w:p>
        </w:tc>
        <w:tc>
          <w:tcPr>
            <w:tcW w:w="1262" w:type="dxa"/>
            <w:vAlign w:val="top"/>
          </w:tcPr>
          <w:p w14:paraId="379F5007">
            <w:pPr>
              <w:rPr>
                <w:rFonts w:ascii="Arial"/>
                <w:color w:val="auto"/>
                <w:sz w:val="24"/>
                <w:szCs w:val="24"/>
                <w:highlight w:val="none"/>
              </w:rPr>
            </w:pPr>
          </w:p>
        </w:tc>
      </w:tr>
      <w:tr w14:paraId="620E3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7192F372">
            <w:pPr>
              <w:rPr>
                <w:rFonts w:ascii="Arial"/>
                <w:color w:val="auto"/>
                <w:sz w:val="24"/>
                <w:szCs w:val="24"/>
                <w:highlight w:val="none"/>
              </w:rPr>
            </w:pPr>
          </w:p>
        </w:tc>
        <w:tc>
          <w:tcPr>
            <w:tcW w:w="961" w:type="dxa"/>
            <w:vAlign w:val="top"/>
          </w:tcPr>
          <w:p w14:paraId="765DD168">
            <w:pPr>
              <w:rPr>
                <w:rFonts w:ascii="Arial"/>
                <w:color w:val="auto"/>
                <w:sz w:val="24"/>
                <w:szCs w:val="24"/>
                <w:highlight w:val="none"/>
              </w:rPr>
            </w:pPr>
          </w:p>
        </w:tc>
        <w:tc>
          <w:tcPr>
            <w:tcW w:w="1256" w:type="dxa"/>
            <w:vAlign w:val="top"/>
          </w:tcPr>
          <w:p w14:paraId="3E2404C3">
            <w:pPr>
              <w:rPr>
                <w:rFonts w:ascii="Arial"/>
                <w:color w:val="auto"/>
                <w:sz w:val="24"/>
                <w:szCs w:val="24"/>
                <w:highlight w:val="none"/>
              </w:rPr>
            </w:pPr>
          </w:p>
        </w:tc>
        <w:tc>
          <w:tcPr>
            <w:tcW w:w="1257" w:type="dxa"/>
            <w:vAlign w:val="top"/>
          </w:tcPr>
          <w:p w14:paraId="494AFE27">
            <w:pPr>
              <w:rPr>
                <w:rFonts w:ascii="Arial"/>
                <w:color w:val="auto"/>
                <w:sz w:val="24"/>
                <w:szCs w:val="24"/>
                <w:highlight w:val="none"/>
              </w:rPr>
            </w:pPr>
          </w:p>
        </w:tc>
        <w:tc>
          <w:tcPr>
            <w:tcW w:w="1256" w:type="dxa"/>
            <w:vAlign w:val="top"/>
          </w:tcPr>
          <w:p w14:paraId="678182E8">
            <w:pPr>
              <w:rPr>
                <w:rFonts w:ascii="Arial"/>
                <w:color w:val="auto"/>
                <w:sz w:val="24"/>
                <w:szCs w:val="24"/>
                <w:highlight w:val="none"/>
              </w:rPr>
            </w:pPr>
          </w:p>
        </w:tc>
        <w:tc>
          <w:tcPr>
            <w:tcW w:w="1257" w:type="dxa"/>
            <w:vAlign w:val="top"/>
          </w:tcPr>
          <w:p w14:paraId="603C3BB6">
            <w:pPr>
              <w:rPr>
                <w:rFonts w:ascii="Arial"/>
                <w:color w:val="auto"/>
                <w:sz w:val="24"/>
                <w:szCs w:val="24"/>
                <w:highlight w:val="none"/>
              </w:rPr>
            </w:pPr>
          </w:p>
        </w:tc>
        <w:tc>
          <w:tcPr>
            <w:tcW w:w="1256" w:type="dxa"/>
            <w:vAlign w:val="top"/>
          </w:tcPr>
          <w:p w14:paraId="161F948D">
            <w:pPr>
              <w:rPr>
                <w:rFonts w:ascii="Arial"/>
                <w:color w:val="auto"/>
                <w:sz w:val="24"/>
                <w:szCs w:val="24"/>
                <w:highlight w:val="none"/>
              </w:rPr>
            </w:pPr>
          </w:p>
        </w:tc>
        <w:tc>
          <w:tcPr>
            <w:tcW w:w="1262" w:type="dxa"/>
            <w:vAlign w:val="top"/>
          </w:tcPr>
          <w:p w14:paraId="13330DFD">
            <w:pPr>
              <w:rPr>
                <w:rFonts w:ascii="Arial"/>
                <w:color w:val="auto"/>
                <w:sz w:val="24"/>
                <w:szCs w:val="24"/>
                <w:highlight w:val="none"/>
              </w:rPr>
            </w:pPr>
          </w:p>
        </w:tc>
      </w:tr>
      <w:tr w14:paraId="68835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5C9955D">
            <w:pPr>
              <w:rPr>
                <w:rFonts w:ascii="Arial"/>
                <w:color w:val="auto"/>
                <w:sz w:val="24"/>
                <w:szCs w:val="24"/>
                <w:highlight w:val="none"/>
              </w:rPr>
            </w:pPr>
          </w:p>
        </w:tc>
        <w:tc>
          <w:tcPr>
            <w:tcW w:w="961" w:type="dxa"/>
            <w:vAlign w:val="top"/>
          </w:tcPr>
          <w:p w14:paraId="67BCA429">
            <w:pPr>
              <w:rPr>
                <w:rFonts w:ascii="Arial"/>
                <w:color w:val="auto"/>
                <w:sz w:val="24"/>
                <w:szCs w:val="24"/>
                <w:highlight w:val="none"/>
              </w:rPr>
            </w:pPr>
          </w:p>
        </w:tc>
        <w:tc>
          <w:tcPr>
            <w:tcW w:w="1256" w:type="dxa"/>
            <w:vAlign w:val="top"/>
          </w:tcPr>
          <w:p w14:paraId="13F35DD2">
            <w:pPr>
              <w:rPr>
                <w:rFonts w:ascii="Arial"/>
                <w:color w:val="auto"/>
                <w:sz w:val="24"/>
                <w:szCs w:val="24"/>
                <w:highlight w:val="none"/>
              </w:rPr>
            </w:pPr>
          </w:p>
        </w:tc>
        <w:tc>
          <w:tcPr>
            <w:tcW w:w="1257" w:type="dxa"/>
            <w:vAlign w:val="top"/>
          </w:tcPr>
          <w:p w14:paraId="34135827">
            <w:pPr>
              <w:rPr>
                <w:rFonts w:ascii="Arial"/>
                <w:color w:val="auto"/>
                <w:sz w:val="24"/>
                <w:szCs w:val="24"/>
                <w:highlight w:val="none"/>
              </w:rPr>
            </w:pPr>
          </w:p>
        </w:tc>
        <w:tc>
          <w:tcPr>
            <w:tcW w:w="1256" w:type="dxa"/>
            <w:vAlign w:val="top"/>
          </w:tcPr>
          <w:p w14:paraId="79DD41D9">
            <w:pPr>
              <w:rPr>
                <w:rFonts w:ascii="Arial"/>
                <w:color w:val="auto"/>
                <w:sz w:val="24"/>
                <w:szCs w:val="24"/>
                <w:highlight w:val="none"/>
              </w:rPr>
            </w:pPr>
          </w:p>
        </w:tc>
        <w:tc>
          <w:tcPr>
            <w:tcW w:w="1257" w:type="dxa"/>
            <w:vAlign w:val="top"/>
          </w:tcPr>
          <w:p w14:paraId="13805C00">
            <w:pPr>
              <w:rPr>
                <w:rFonts w:ascii="Arial"/>
                <w:color w:val="auto"/>
                <w:sz w:val="24"/>
                <w:szCs w:val="24"/>
                <w:highlight w:val="none"/>
              </w:rPr>
            </w:pPr>
          </w:p>
        </w:tc>
        <w:tc>
          <w:tcPr>
            <w:tcW w:w="1256" w:type="dxa"/>
            <w:vAlign w:val="top"/>
          </w:tcPr>
          <w:p w14:paraId="57F10509">
            <w:pPr>
              <w:rPr>
                <w:rFonts w:ascii="Arial"/>
                <w:color w:val="auto"/>
                <w:sz w:val="24"/>
                <w:szCs w:val="24"/>
                <w:highlight w:val="none"/>
              </w:rPr>
            </w:pPr>
          </w:p>
        </w:tc>
        <w:tc>
          <w:tcPr>
            <w:tcW w:w="1262" w:type="dxa"/>
            <w:vAlign w:val="top"/>
          </w:tcPr>
          <w:p w14:paraId="5D91A67F">
            <w:pPr>
              <w:rPr>
                <w:rFonts w:ascii="Arial"/>
                <w:color w:val="auto"/>
                <w:sz w:val="24"/>
                <w:szCs w:val="24"/>
                <w:highlight w:val="none"/>
              </w:rPr>
            </w:pPr>
          </w:p>
        </w:tc>
      </w:tr>
      <w:tr w14:paraId="2E10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1F5D626">
            <w:pPr>
              <w:rPr>
                <w:rFonts w:ascii="Arial"/>
                <w:color w:val="auto"/>
                <w:sz w:val="24"/>
                <w:szCs w:val="24"/>
                <w:highlight w:val="none"/>
              </w:rPr>
            </w:pPr>
          </w:p>
        </w:tc>
        <w:tc>
          <w:tcPr>
            <w:tcW w:w="961" w:type="dxa"/>
            <w:vAlign w:val="top"/>
          </w:tcPr>
          <w:p w14:paraId="2DC8CF69">
            <w:pPr>
              <w:rPr>
                <w:rFonts w:ascii="Arial"/>
                <w:color w:val="auto"/>
                <w:sz w:val="24"/>
                <w:szCs w:val="24"/>
                <w:highlight w:val="none"/>
              </w:rPr>
            </w:pPr>
          </w:p>
        </w:tc>
        <w:tc>
          <w:tcPr>
            <w:tcW w:w="1256" w:type="dxa"/>
            <w:vAlign w:val="top"/>
          </w:tcPr>
          <w:p w14:paraId="37EEBE9F">
            <w:pPr>
              <w:rPr>
                <w:rFonts w:ascii="Arial"/>
                <w:color w:val="auto"/>
                <w:sz w:val="24"/>
                <w:szCs w:val="24"/>
                <w:highlight w:val="none"/>
              </w:rPr>
            </w:pPr>
          </w:p>
        </w:tc>
        <w:tc>
          <w:tcPr>
            <w:tcW w:w="1257" w:type="dxa"/>
            <w:vAlign w:val="top"/>
          </w:tcPr>
          <w:p w14:paraId="4FCA64C6">
            <w:pPr>
              <w:rPr>
                <w:rFonts w:ascii="Arial"/>
                <w:color w:val="auto"/>
                <w:sz w:val="24"/>
                <w:szCs w:val="24"/>
                <w:highlight w:val="none"/>
              </w:rPr>
            </w:pPr>
          </w:p>
        </w:tc>
        <w:tc>
          <w:tcPr>
            <w:tcW w:w="1256" w:type="dxa"/>
            <w:vAlign w:val="top"/>
          </w:tcPr>
          <w:p w14:paraId="1993A092">
            <w:pPr>
              <w:rPr>
                <w:rFonts w:ascii="Arial"/>
                <w:color w:val="auto"/>
                <w:sz w:val="24"/>
                <w:szCs w:val="24"/>
                <w:highlight w:val="none"/>
              </w:rPr>
            </w:pPr>
          </w:p>
        </w:tc>
        <w:tc>
          <w:tcPr>
            <w:tcW w:w="1257" w:type="dxa"/>
            <w:vAlign w:val="top"/>
          </w:tcPr>
          <w:p w14:paraId="7EFFC0D9">
            <w:pPr>
              <w:rPr>
                <w:rFonts w:ascii="Arial"/>
                <w:color w:val="auto"/>
                <w:sz w:val="24"/>
                <w:szCs w:val="24"/>
                <w:highlight w:val="none"/>
              </w:rPr>
            </w:pPr>
          </w:p>
        </w:tc>
        <w:tc>
          <w:tcPr>
            <w:tcW w:w="1256" w:type="dxa"/>
            <w:vAlign w:val="top"/>
          </w:tcPr>
          <w:p w14:paraId="72113144">
            <w:pPr>
              <w:rPr>
                <w:rFonts w:ascii="Arial"/>
                <w:color w:val="auto"/>
                <w:sz w:val="24"/>
                <w:szCs w:val="24"/>
                <w:highlight w:val="none"/>
              </w:rPr>
            </w:pPr>
          </w:p>
        </w:tc>
        <w:tc>
          <w:tcPr>
            <w:tcW w:w="1262" w:type="dxa"/>
            <w:vAlign w:val="top"/>
          </w:tcPr>
          <w:p w14:paraId="3833BA7D">
            <w:pPr>
              <w:rPr>
                <w:rFonts w:ascii="Arial"/>
                <w:color w:val="auto"/>
                <w:sz w:val="24"/>
                <w:szCs w:val="24"/>
                <w:highlight w:val="none"/>
              </w:rPr>
            </w:pPr>
          </w:p>
        </w:tc>
      </w:tr>
      <w:tr w14:paraId="0050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6A99C7D9">
            <w:pPr>
              <w:rPr>
                <w:rFonts w:ascii="Arial"/>
                <w:color w:val="auto"/>
                <w:sz w:val="24"/>
                <w:szCs w:val="24"/>
                <w:highlight w:val="none"/>
              </w:rPr>
            </w:pPr>
          </w:p>
        </w:tc>
        <w:tc>
          <w:tcPr>
            <w:tcW w:w="961" w:type="dxa"/>
            <w:vAlign w:val="top"/>
          </w:tcPr>
          <w:p w14:paraId="3972EC00">
            <w:pPr>
              <w:rPr>
                <w:rFonts w:ascii="Arial"/>
                <w:color w:val="auto"/>
                <w:sz w:val="24"/>
                <w:szCs w:val="24"/>
                <w:highlight w:val="none"/>
              </w:rPr>
            </w:pPr>
          </w:p>
        </w:tc>
        <w:tc>
          <w:tcPr>
            <w:tcW w:w="1256" w:type="dxa"/>
            <w:vAlign w:val="top"/>
          </w:tcPr>
          <w:p w14:paraId="026A618F">
            <w:pPr>
              <w:rPr>
                <w:rFonts w:ascii="Arial"/>
                <w:color w:val="auto"/>
                <w:sz w:val="24"/>
                <w:szCs w:val="24"/>
                <w:highlight w:val="none"/>
              </w:rPr>
            </w:pPr>
          </w:p>
        </w:tc>
        <w:tc>
          <w:tcPr>
            <w:tcW w:w="1257" w:type="dxa"/>
            <w:vAlign w:val="top"/>
          </w:tcPr>
          <w:p w14:paraId="59D62AD9">
            <w:pPr>
              <w:rPr>
                <w:rFonts w:ascii="Arial"/>
                <w:color w:val="auto"/>
                <w:sz w:val="24"/>
                <w:szCs w:val="24"/>
                <w:highlight w:val="none"/>
              </w:rPr>
            </w:pPr>
          </w:p>
        </w:tc>
        <w:tc>
          <w:tcPr>
            <w:tcW w:w="1256" w:type="dxa"/>
            <w:vAlign w:val="top"/>
          </w:tcPr>
          <w:p w14:paraId="65635759">
            <w:pPr>
              <w:rPr>
                <w:rFonts w:ascii="Arial"/>
                <w:color w:val="auto"/>
                <w:sz w:val="24"/>
                <w:szCs w:val="24"/>
                <w:highlight w:val="none"/>
              </w:rPr>
            </w:pPr>
          </w:p>
        </w:tc>
        <w:tc>
          <w:tcPr>
            <w:tcW w:w="1257" w:type="dxa"/>
            <w:vAlign w:val="top"/>
          </w:tcPr>
          <w:p w14:paraId="1E072DF7">
            <w:pPr>
              <w:rPr>
                <w:rFonts w:ascii="Arial"/>
                <w:color w:val="auto"/>
                <w:sz w:val="24"/>
                <w:szCs w:val="24"/>
                <w:highlight w:val="none"/>
              </w:rPr>
            </w:pPr>
          </w:p>
        </w:tc>
        <w:tc>
          <w:tcPr>
            <w:tcW w:w="1256" w:type="dxa"/>
            <w:vAlign w:val="top"/>
          </w:tcPr>
          <w:p w14:paraId="3FFCFD03">
            <w:pPr>
              <w:rPr>
                <w:rFonts w:ascii="Arial"/>
                <w:color w:val="auto"/>
                <w:sz w:val="24"/>
                <w:szCs w:val="24"/>
                <w:highlight w:val="none"/>
              </w:rPr>
            </w:pPr>
          </w:p>
        </w:tc>
        <w:tc>
          <w:tcPr>
            <w:tcW w:w="1262" w:type="dxa"/>
            <w:vAlign w:val="top"/>
          </w:tcPr>
          <w:p w14:paraId="525712CD">
            <w:pPr>
              <w:rPr>
                <w:rFonts w:ascii="Arial"/>
                <w:color w:val="auto"/>
                <w:sz w:val="24"/>
                <w:szCs w:val="24"/>
                <w:highlight w:val="none"/>
              </w:rPr>
            </w:pPr>
          </w:p>
        </w:tc>
      </w:tr>
    </w:tbl>
    <w:p w14:paraId="04161B94">
      <w:pPr>
        <w:pStyle w:val="8"/>
        <w:spacing w:line="304" w:lineRule="auto"/>
        <w:rPr>
          <w:color w:val="auto"/>
          <w:highlight w:val="none"/>
        </w:rPr>
      </w:pPr>
    </w:p>
    <w:p w14:paraId="685B07B2">
      <w:pPr>
        <w:spacing w:before="66" w:line="227" w:lineRule="auto"/>
        <w:ind w:left="26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附表四：计划开、竣工日期和施工进度计划</w:t>
      </w:r>
      <w:r>
        <w:rPr>
          <w:rFonts w:ascii="宋体" w:hAnsi="宋体" w:eastAsia="宋体" w:cs="宋体"/>
          <w:color w:val="auto"/>
          <w:spacing w:val="8"/>
          <w:sz w:val="24"/>
          <w:szCs w:val="24"/>
          <w:highlight w:val="none"/>
        </w:rPr>
        <w:t>（网络图或横道图）</w:t>
      </w:r>
    </w:p>
    <w:p w14:paraId="6D3FC52C">
      <w:pPr>
        <w:spacing w:before="197" w:line="360" w:lineRule="auto"/>
        <w:ind w:left="1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 供应商应提交施工进度计划，说明按磋商文件要求的工期进行施工的各个关键日期。成交</w:t>
      </w:r>
      <w:r>
        <w:rPr>
          <w:rFonts w:ascii="宋体" w:hAnsi="宋体" w:eastAsia="宋体" w:cs="宋体"/>
          <w:color w:val="auto"/>
          <w:spacing w:val="9"/>
          <w:sz w:val="24"/>
          <w:szCs w:val="24"/>
          <w:highlight w:val="none"/>
        </w:rPr>
        <w:t>的供应商还应按合同条件有关条款的要求提交详细</w:t>
      </w:r>
      <w:r>
        <w:rPr>
          <w:rFonts w:ascii="宋体" w:hAnsi="宋体" w:eastAsia="宋体" w:cs="宋体"/>
          <w:color w:val="auto"/>
          <w:spacing w:val="8"/>
          <w:sz w:val="24"/>
          <w:szCs w:val="24"/>
          <w:highlight w:val="none"/>
        </w:rPr>
        <w:t>的施工进度计划。</w:t>
      </w:r>
    </w:p>
    <w:p w14:paraId="1033D1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施工进度计划可采用网络图（或横道图）表示，说明计划开工日期和各分项工程各阶段的完工日期和分包合同签订的日期。</w:t>
      </w:r>
    </w:p>
    <w:p w14:paraId="7BA68FB0">
      <w:pPr>
        <w:spacing w:before="214" w:line="228"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 施工进度计划应与施工组织设计相适应。</w:t>
      </w:r>
    </w:p>
    <w:p w14:paraId="05FEB9C6">
      <w:pPr>
        <w:pStyle w:val="8"/>
        <w:spacing w:line="319" w:lineRule="auto"/>
        <w:rPr>
          <w:color w:val="auto"/>
          <w:sz w:val="24"/>
          <w:szCs w:val="24"/>
          <w:highlight w:val="none"/>
        </w:rPr>
      </w:pPr>
    </w:p>
    <w:p w14:paraId="61DC1EE3">
      <w:pPr>
        <w:spacing w:before="65" w:line="360" w:lineRule="auto"/>
        <w:ind w:left="1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附表五：施工总平面图</w:t>
      </w:r>
    </w:p>
    <w:p w14:paraId="59A889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614666B6">
      <w:pPr>
        <w:spacing w:before="66" w:line="227" w:lineRule="auto"/>
        <w:ind w:left="1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附表六：临时用地表</w:t>
      </w:r>
    </w:p>
    <w:p w14:paraId="32D91B66">
      <w:pPr>
        <w:spacing w:before="84"/>
        <w:rPr>
          <w:color w:val="auto"/>
          <w:highlight w:val="none"/>
        </w:rPr>
      </w:pPr>
    </w:p>
    <w:tbl>
      <w:tblPr>
        <w:tblStyle w:val="22"/>
        <w:tblW w:w="8366"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2090"/>
        <w:gridCol w:w="2089"/>
        <w:gridCol w:w="2094"/>
      </w:tblGrid>
      <w:tr w14:paraId="4177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93" w:type="dxa"/>
            <w:vAlign w:val="top"/>
          </w:tcPr>
          <w:p w14:paraId="78FD352D">
            <w:pPr>
              <w:pStyle w:val="23"/>
              <w:spacing w:before="205" w:line="229" w:lineRule="auto"/>
              <w:ind w:left="845"/>
              <w:rPr>
                <w:color w:val="auto"/>
                <w:sz w:val="24"/>
                <w:szCs w:val="24"/>
                <w:highlight w:val="none"/>
              </w:rPr>
            </w:pPr>
            <w:r>
              <w:rPr>
                <w:color w:val="auto"/>
                <w:spacing w:val="3"/>
                <w:sz w:val="24"/>
                <w:szCs w:val="24"/>
                <w:highlight w:val="none"/>
              </w:rPr>
              <w:t>用途</w:t>
            </w:r>
          </w:p>
        </w:tc>
        <w:tc>
          <w:tcPr>
            <w:tcW w:w="2090" w:type="dxa"/>
            <w:vAlign w:val="top"/>
          </w:tcPr>
          <w:p w14:paraId="21ED4D2C">
            <w:pPr>
              <w:pStyle w:val="23"/>
              <w:spacing w:before="204" w:line="228" w:lineRule="auto"/>
              <w:ind w:left="316"/>
              <w:rPr>
                <w:color w:val="auto"/>
                <w:sz w:val="24"/>
                <w:szCs w:val="24"/>
                <w:highlight w:val="none"/>
              </w:rPr>
            </w:pPr>
            <w:r>
              <w:rPr>
                <w:color w:val="auto"/>
                <w:spacing w:val="6"/>
                <w:sz w:val="24"/>
                <w:szCs w:val="24"/>
                <w:highlight w:val="none"/>
              </w:rPr>
              <w:t>面积（平方米）</w:t>
            </w:r>
          </w:p>
        </w:tc>
        <w:tc>
          <w:tcPr>
            <w:tcW w:w="2089" w:type="dxa"/>
            <w:vAlign w:val="top"/>
          </w:tcPr>
          <w:p w14:paraId="6BED60FE">
            <w:pPr>
              <w:pStyle w:val="23"/>
              <w:spacing w:before="205" w:line="229" w:lineRule="auto"/>
              <w:ind w:left="841"/>
              <w:rPr>
                <w:color w:val="auto"/>
                <w:sz w:val="24"/>
                <w:szCs w:val="24"/>
                <w:highlight w:val="none"/>
              </w:rPr>
            </w:pPr>
            <w:r>
              <w:rPr>
                <w:color w:val="auto"/>
                <w:spacing w:val="4"/>
                <w:sz w:val="24"/>
                <w:szCs w:val="24"/>
                <w:highlight w:val="none"/>
              </w:rPr>
              <w:t>位置</w:t>
            </w:r>
          </w:p>
        </w:tc>
        <w:tc>
          <w:tcPr>
            <w:tcW w:w="2094" w:type="dxa"/>
            <w:vAlign w:val="top"/>
          </w:tcPr>
          <w:p w14:paraId="1B5F5585">
            <w:pPr>
              <w:pStyle w:val="23"/>
              <w:spacing w:before="205" w:line="228" w:lineRule="auto"/>
              <w:ind w:left="643"/>
              <w:rPr>
                <w:color w:val="auto"/>
                <w:sz w:val="24"/>
                <w:szCs w:val="24"/>
                <w:highlight w:val="none"/>
              </w:rPr>
            </w:pPr>
            <w:r>
              <w:rPr>
                <w:color w:val="auto"/>
                <w:spacing w:val="4"/>
                <w:sz w:val="24"/>
                <w:szCs w:val="24"/>
                <w:highlight w:val="none"/>
              </w:rPr>
              <w:t>需用时间</w:t>
            </w:r>
          </w:p>
        </w:tc>
      </w:tr>
      <w:tr w14:paraId="15E6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6FD9933">
            <w:pPr>
              <w:rPr>
                <w:rFonts w:ascii="Arial"/>
                <w:color w:val="auto"/>
                <w:sz w:val="24"/>
                <w:szCs w:val="24"/>
                <w:highlight w:val="none"/>
              </w:rPr>
            </w:pPr>
          </w:p>
        </w:tc>
        <w:tc>
          <w:tcPr>
            <w:tcW w:w="2090" w:type="dxa"/>
            <w:vAlign w:val="top"/>
          </w:tcPr>
          <w:p w14:paraId="0CE21778">
            <w:pPr>
              <w:rPr>
                <w:rFonts w:ascii="Arial"/>
                <w:color w:val="auto"/>
                <w:sz w:val="24"/>
                <w:szCs w:val="24"/>
                <w:highlight w:val="none"/>
              </w:rPr>
            </w:pPr>
          </w:p>
        </w:tc>
        <w:tc>
          <w:tcPr>
            <w:tcW w:w="2089" w:type="dxa"/>
            <w:vAlign w:val="top"/>
          </w:tcPr>
          <w:p w14:paraId="48FE52A6">
            <w:pPr>
              <w:rPr>
                <w:rFonts w:ascii="Arial"/>
                <w:color w:val="auto"/>
                <w:sz w:val="24"/>
                <w:szCs w:val="24"/>
                <w:highlight w:val="none"/>
              </w:rPr>
            </w:pPr>
          </w:p>
        </w:tc>
        <w:tc>
          <w:tcPr>
            <w:tcW w:w="2094" w:type="dxa"/>
            <w:vAlign w:val="top"/>
          </w:tcPr>
          <w:p w14:paraId="14F7AC33">
            <w:pPr>
              <w:rPr>
                <w:rFonts w:ascii="Arial"/>
                <w:color w:val="auto"/>
                <w:sz w:val="24"/>
                <w:szCs w:val="24"/>
                <w:highlight w:val="none"/>
              </w:rPr>
            </w:pPr>
          </w:p>
        </w:tc>
      </w:tr>
      <w:tr w14:paraId="70F5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47275D34">
            <w:pPr>
              <w:rPr>
                <w:rFonts w:ascii="Arial"/>
                <w:color w:val="auto"/>
                <w:sz w:val="24"/>
                <w:szCs w:val="24"/>
                <w:highlight w:val="none"/>
              </w:rPr>
            </w:pPr>
          </w:p>
        </w:tc>
        <w:tc>
          <w:tcPr>
            <w:tcW w:w="2090" w:type="dxa"/>
            <w:vAlign w:val="top"/>
          </w:tcPr>
          <w:p w14:paraId="2365AFF0">
            <w:pPr>
              <w:rPr>
                <w:rFonts w:ascii="Arial"/>
                <w:color w:val="auto"/>
                <w:sz w:val="24"/>
                <w:szCs w:val="24"/>
                <w:highlight w:val="none"/>
              </w:rPr>
            </w:pPr>
          </w:p>
        </w:tc>
        <w:tc>
          <w:tcPr>
            <w:tcW w:w="2089" w:type="dxa"/>
            <w:vAlign w:val="top"/>
          </w:tcPr>
          <w:p w14:paraId="3A8A257B">
            <w:pPr>
              <w:rPr>
                <w:rFonts w:ascii="Arial"/>
                <w:color w:val="auto"/>
                <w:sz w:val="24"/>
                <w:szCs w:val="24"/>
                <w:highlight w:val="none"/>
              </w:rPr>
            </w:pPr>
          </w:p>
        </w:tc>
        <w:tc>
          <w:tcPr>
            <w:tcW w:w="2094" w:type="dxa"/>
            <w:vAlign w:val="top"/>
          </w:tcPr>
          <w:p w14:paraId="0714D1AA">
            <w:pPr>
              <w:rPr>
                <w:rFonts w:ascii="Arial"/>
                <w:color w:val="auto"/>
                <w:sz w:val="24"/>
                <w:szCs w:val="24"/>
                <w:highlight w:val="none"/>
              </w:rPr>
            </w:pPr>
          </w:p>
        </w:tc>
      </w:tr>
      <w:tr w14:paraId="09F1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93" w:type="dxa"/>
            <w:vAlign w:val="top"/>
          </w:tcPr>
          <w:p w14:paraId="4AD886AF">
            <w:pPr>
              <w:rPr>
                <w:rFonts w:ascii="Arial"/>
                <w:color w:val="auto"/>
                <w:sz w:val="24"/>
                <w:szCs w:val="24"/>
                <w:highlight w:val="none"/>
              </w:rPr>
            </w:pPr>
          </w:p>
        </w:tc>
        <w:tc>
          <w:tcPr>
            <w:tcW w:w="2090" w:type="dxa"/>
            <w:vAlign w:val="top"/>
          </w:tcPr>
          <w:p w14:paraId="4EFEE112">
            <w:pPr>
              <w:rPr>
                <w:rFonts w:ascii="Arial"/>
                <w:color w:val="auto"/>
                <w:sz w:val="24"/>
                <w:szCs w:val="24"/>
                <w:highlight w:val="none"/>
              </w:rPr>
            </w:pPr>
          </w:p>
        </w:tc>
        <w:tc>
          <w:tcPr>
            <w:tcW w:w="2089" w:type="dxa"/>
            <w:vAlign w:val="top"/>
          </w:tcPr>
          <w:p w14:paraId="55870739">
            <w:pPr>
              <w:rPr>
                <w:rFonts w:ascii="Arial"/>
                <w:color w:val="auto"/>
                <w:sz w:val="24"/>
                <w:szCs w:val="24"/>
                <w:highlight w:val="none"/>
              </w:rPr>
            </w:pPr>
          </w:p>
        </w:tc>
        <w:tc>
          <w:tcPr>
            <w:tcW w:w="2094" w:type="dxa"/>
            <w:vAlign w:val="top"/>
          </w:tcPr>
          <w:p w14:paraId="588941BA">
            <w:pPr>
              <w:rPr>
                <w:rFonts w:ascii="Arial"/>
                <w:color w:val="auto"/>
                <w:sz w:val="24"/>
                <w:szCs w:val="24"/>
                <w:highlight w:val="none"/>
              </w:rPr>
            </w:pPr>
          </w:p>
        </w:tc>
      </w:tr>
      <w:tr w14:paraId="7B5A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E310999">
            <w:pPr>
              <w:rPr>
                <w:rFonts w:ascii="Arial"/>
                <w:color w:val="auto"/>
                <w:sz w:val="24"/>
                <w:szCs w:val="24"/>
                <w:highlight w:val="none"/>
              </w:rPr>
            </w:pPr>
          </w:p>
        </w:tc>
        <w:tc>
          <w:tcPr>
            <w:tcW w:w="2090" w:type="dxa"/>
            <w:vAlign w:val="top"/>
          </w:tcPr>
          <w:p w14:paraId="6DC22E1A">
            <w:pPr>
              <w:rPr>
                <w:rFonts w:ascii="Arial"/>
                <w:color w:val="auto"/>
                <w:sz w:val="24"/>
                <w:szCs w:val="24"/>
                <w:highlight w:val="none"/>
              </w:rPr>
            </w:pPr>
          </w:p>
        </w:tc>
        <w:tc>
          <w:tcPr>
            <w:tcW w:w="2089" w:type="dxa"/>
            <w:vAlign w:val="top"/>
          </w:tcPr>
          <w:p w14:paraId="1803652D">
            <w:pPr>
              <w:rPr>
                <w:rFonts w:ascii="Arial"/>
                <w:color w:val="auto"/>
                <w:sz w:val="24"/>
                <w:szCs w:val="24"/>
                <w:highlight w:val="none"/>
              </w:rPr>
            </w:pPr>
          </w:p>
        </w:tc>
        <w:tc>
          <w:tcPr>
            <w:tcW w:w="2094" w:type="dxa"/>
            <w:vAlign w:val="top"/>
          </w:tcPr>
          <w:p w14:paraId="0B7F1A1B">
            <w:pPr>
              <w:rPr>
                <w:rFonts w:ascii="Arial"/>
                <w:color w:val="auto"/>
                <w:sz w:val="24"/>
                <w:szCs w:val="24"/>
                <w:highlight w:val="none"/>
              </w:rPr>
            </w:pPr>
          </w:p>
        </w:tc>
      </w:tr>
      <w:tr w14:paraId="0152A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93" w:type="dxa"/>
            <w:vAlign w:val="top"/>
          </w:tcPr>
          <w:p w14:paraId="24DDB258">
            <w:pPr>
              <w:rPr>
                <w:rFonts w:ascii="Arial"/>
                <w:color w:val="auto"/>
                <w:sz w:val="24"/>
                <w:szCs w:val="24"/>
                <w:highlight w:val="none"/>
              </w:rPr>
            </w:pPr>
          </w:p>
        </w:tc>
        <w:tc>
          <w:tcPr>
            <w:tcW w:w="2090" w:type="dxa"/>
            <w:vAlign w:val="top"/>
          </w:tcPr>
          <w:p w14:paraId="78D0F9F4">
            <w:pPr>
              <w:rPr>
                <w:rFonts w:ascii="Arial"/>
                <w:color w:val="auto"/>
                <w:sz w:val="24"/>
                <w:szCs w:val="24"/>
                <w:highlight w:val="none"/>
              </w:rPr>
            </w:pPr>
          </w:p>
        </w:tc>
        <w:tc>
          <w:tcPr>
            <w:tcW w:w="2089" w:type="dxa"/>
            <w:vAlign w:val="top"/>
          </w:tcPr>
          <w:p w14:paraId="5819F38D">
            <w:pPr>
              <w:rPr>
                <w:rFonts w:ascii="Arial"/>
                <w:color w:val="auto"/>
                <w:sz w:val="24"/>
                <w:szCs w:val="24"/>
                <w:highlight w:val="none"/>
              </w:rPr>
            </w:pPr>
          </w:p>
        </w:tc>
        <w:tc>
          <w:tcPr>
            <w:tcW w:w="2094" w:type="dxa"/>
            <w:vAlign w:val="top"/>
          </w:tcPr>
          <w:p w14:paraId="07D41D14">
            <w:pPr>
              <w:rPr>
                <w:rFonts w:ascii="Arial"/>
                <w:color w:val="auto"/>
                <w:sz w:val="24"/>
                <w:szCs w:val="24"/>
                <w:highlight w:val="none"/>
              </w:rPr>
            </w:pPr>
          </w:p>
        </w:tc>
      </w:tr>
    </w:tbl>
    <w:p w14:paraId="4AC3CD73">
      <w:pPr>
        <w:pStyle w:val="8"/>
        <w:spacing w:line="297" w:lineRule="auto"/>
        <w:rPr>
          <w:color w:val="auto"/>
          <w:sz w:val="24"/>
          <w:szCs w:val="24"/>
          <w:highlight w:val="none"/>
        </w:rPr>
      </w:pPr>
    </w:p>
    <w:p w14:paraId="723A121B">
      <w:pPr>
        <w:spacing w:before="66" w:line="227" w:lineRule="auto"/>
        <w:ind w:left="1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附表七：拟分包计划表</w:t>
      </w:r>
    </w:p>
    <w:p w14:paraId="3C9AE016">
      <w:pPr>
        <w:spacing w:before="65" w:line="227" w:lineRule="auto"/>
        <w:ind w:left="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如供应商须知注明不允许分包，则本表无须提供，反之须提供。</w:t>
      </w:r>
    </w:p>
    <w:p w14:paraId="356E7B3D">
      <w:pPr>
        <w:spacing w:line="14" w:lineRule="exact"/>
        <w:rPr>
          <w:color w:val="auto"/>
          <w:sz w:val="24"/>
          <w:szCs w:val="24"/>
          <w:highlight w:val="none"/>
        </w:rPr>
      </w:pPr>
    </w:p>
    <w:tbl>
      <w:tblPr>
        <w:tblStyle w:val="22"/>
        <w:tblW w:w="8794"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1272"/>
      </w:tblGrid>
      <w:tr w14:paraId="0E440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14:paraId="6AA32EB1">
            <w:pPr>
              <w:pStyle w:val="23"/>
              <w:spacing w:before="180" w:line="218" w:lineRule="auto"/>
              <w:ind w:left="203"/>
              <w:rPr>
                <w:color w:val="auto"/>
                <w:sz w:val="24"/>
                <w:szCs w:val="24"/>
                <w:highlight w:val="none"/>
              </w:rPr>
            </w:pPr>
            <w:r>
              <w:rPr>
                <w:color w:val="auto"/>
                <w:spacing w:val="6"/>
                <w:sz w:val="24"/>
                <w:szCs w:val="24"/>
                <w:highlight w:val="none"/>
              </w:rPr>
              <w:t>序 号</w:t>
            </w:r>
          </w:p>
        </w:tc>
        <w:tc>
          <w:tcPr>
            <w:tcW w:w="1842" w:type="dxa"/>
            <w:vMerge w:val="restart"/>
            <w:tcBorders>
              <w:bottom w:val="nil"/>
            </w:tcBorders>
            <w:vAlign w:val="top"/>
          </w:tcPr>
          <w:p w14:paraId="0DC20D57">
            <w:pPr>
              <w:pStyle w:val="23"/>
              <w:spacing w:before="203" w:line="258" w:lineRule="auto"/>
              <w:ind w:left="403" w:right="89" w:hanging="293"/>
              <w:rPr>
                <w:color w:val="auto"/>
                <w:sz w:val="24"/>
                <w:szCs w:val="24"/>
                <w:highlight w:val="none"/>
              </w:rPr>
            </w:pPr>
            <w:r>
              <w:rPr>
                <w:color w:val="auto"/>
                <w:spacing w:val="4"/>
                <w:sz w:val="24"/>
                <w:szCs w:val="24"/>
                <w:highlight w:val="none"/>
              </w:rPr>
              <w:t xml:space="preserve">拟分包项目名称、 </w:t>
            </w:r>
            <w:r>
              <w:rPr>
                <w:color w:val="auto"/>
                <w:spacing w:val="7"/>
                <w:sz w:val="24"/>
                <w:szCs w:val="24"/>
                <w:highlight w:val="none"/>
              </w:rPr>
              <w:t>范围及理由</w:t>
            </w:r>
          </w:p>
        </w:tc>
        <w:tc>
          <w:tcPr>
            <w:tcW w:w="5107" w:type="dxa"/>
            <w:gridSpan w:val="5"/>
            <w:vAlign w:val="top"/>
          </w:tcPr>
          <w:p w14:paraId="79BF07A6">
            <w:pPr>
              <w:pStyle w:val="23"/>
              <w:spacing w:before="126" w:line="227" w:lineRule="auto"/>
              <w:ind w:left="2033"/>
              <w:rPr>
                <w:color w:val="auto"/>
                <w:sz w:val="24"/>
                <w:szCs w:val="24"/>
                <w:highlight w:val="none"/>
              </w:rPr>
            </w:pPr>
            <w:r>
              <w:rPr>
                <w:color w:val="auto"/>
                <w:spacing w:val="8"/>
                <w:sz w:val="24"/>
                <w:szCs w:val="24"/>
                <w:highlight w:val="none"/>
              </w:rPr>
              <w:t>拟选分包人</w:t>
            </w:r>
          </w:p>
        </w:tc>
        <w:tc>
          <w:tcPr>
            <w:tcW w:w="1272" w:type="dxa"/>
            <w:vMerge w:val="restart"/>
            <w:tcBorders>
              <w:bottom w:val="nil"/>
            </w:tcBorders>
            <w:vAlign w:val="top"/>
          </w:tcPr>
          <w:p w14:paraId="3DA254B3">
            <w:pPr>
              <w:spacing w:line="292" w:lineRule="auto"/>
              <w:rPr>
                <w:rFonts w:ascii="Arial"/>
                <w:color w:val="auto"/>
                <w:sz w:val="24"/>
                <w:szCs w:val="24"/>
                <w:highlight w:val="none"/>
              </w:rPr>
            </w:pPr>
          </w:p>
          <w:p w14:paraId="6E5795CE">
            <w:pPr>
              <w:pStyle w:val="23"/>
              <w:spacing w:before="65" w:line="229" w:lineRule="auto"/>
              <w:ind w:left="433"/>
              <w:rPr>
                <w:color w:val="auto"/>
                <w:sz w:val="24"/>
                <w:szCs w:val="24"/>
                <w:highlight w:val="none"/>
              </w:rPr>
            </w:pPr>
            <w:r>
              <w:rPr>
                <w:color w:val="auto"/>
                <w:spacing w:val="3"/>
                <w:sz w:val="24"/>
                <w:szCs w:val="24"/>
                <w:highlight w:val="none"/>
              </w:rPr>
              <w:t>备注</w:t>
            </w:r>
          </w:p>
        </w:tc>
      </w:tr>
      <w:tr w14:paraId="2A9C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14:paraId="4D4FA840">
            <w:pPr>
              <w:rPr>
                <w:rFonts w:ascii="Arial"/>
                <w:color w:val="auto"/>
                <w:sz w:val="24"/>
                <w:szCs w:val="24"/>
                <w:highlight w:val="none"/>
              </w:rPr>
            </w:pPr>
          </w:p>
        </w:tc>
        <w:tc>
          <w:tcPr>
            <w:tcW w:w="1842" w:type="dxa"/>
            <w:vMerge w:val="continue"/>
            <w:tcBorders>
              <w:top w:val="nil"/>
            </w:tcBorders>
            <w:vAlign w:val="top"/>
          </w:tcPr>
          <w:p w14:paraId="77F9C4F3">
            <w:pPr>
              <w:rPr>
                <w:rFonts w:ascii="Arial"/>
                <w:color w:val="auto"/>
                <w:sz w:val="24"/>
                <w:szCs w:val="24"/>
                <w:highlight w:val="none"/>
              </w:rPr>
            </w:pPr>
          </w:p>
        </w:tc>
        <w:tc>
          <w:tcPr>
            <w:tcW w:w="1700" w:type="dxa"/>
            <w:gridSpan w:val="2"/>
            <w:vAlign w:val="top"/>
          </w:tcPr>
          <w:p w14:paraId="7CB944B4">
            <w:pPr>
              <w:pStyle w:val="23"/>
              <w:spacing w:before="124" w:line="227" w:lineRule="auto"/>
              <w:ind w:left="118"/>
              <w:rPr>
                <w:color w:val="auto"/>
                <w:sz w:val="24"/>
                <w:szCs w:val="24"/>
                <w:highlight w:val="none"/>
              </w:rPr>
            </w:pPr>
            <w:r>
              <w:rPr>
                <w:color w:val="auto"/>
                <w:spacing w:val="8"/>
                <w:sz w:val="24"/>
                <w:szCs w:val="24"/>
                <w:highlight w:val="none"/>
              </w:rPr>
              <w:t>拟选分包人名称</w:t>
            </w:r>
          </w:p>
        </w:tc>
        <w:tc>
          <w:tcPr>
            <w:tcW w:w="1122" w:type="dxa"/>
            <w:vAlign w:val="top"/>
          </w:tcPr>
          <w:p w14:paraId="5EC53C90">
            <w:pPr>
              <w:pStyle w:val="23"/>
              <w:spacing w:before="124" w:line="228" w:lineRule="auto"/>
              <w:ind w:left="146"/>
              <w:rPr>
                <w:color w:val="auto"/>
                <w:sz w:val="24"/>
                <w:szCs w:val="24"/>
                <w:highlight w:val="none"/>
              </w:rPr>
            </w:pPr>
            <w:r>
              <w:rPr>
                <w:color w:val="auto"/>
                <w:spacing w:val="7"/>
                <w:sz w:val="24"/>
                <w:szCs w:val="24"/>
                <w:highlight w:val="none"/>
              </w:rPr>
              <w:t>注册地点</w:t>
            </w:r>
          </w:p>
        </w:tc>
        <w:tc>
          <w:tcPr>
            <w:tcW w:w="1089" w:type="dxa"/>
            <w:vAlign w:val="top"/>
          </w:tcPr>
          <w:p w14:paraId="211E51BE">
            <w:pPr>
              <w:pStyle w:val="23"/>
              <w:spacing w:before="124" w:line="226" w:lineRule="auto"/>
              <w:ind w:left="134"/>
              <w:rPr>
                <w:color w:val="auto"/>
                <w:sz w:val="24"/>
                <w:szCs w:val="24"/>
                <w:highlight w:val="none"/>
              </w:rPr>
            </w:pPr>
            <w:r>
              <w:rPr>
                <w:color w:val="auto"/>
                <w:spacing w:val="6"/>
                <w:sz w:val="24"/>
                <w:szCs w:val="24"/>
                <w:highlight w:val="none"/>
              </w:rPr>
              <w:t>企业资质</w:t>
            </w:r>
          </w:p>
        </w:tc>
        <w:tc>
          <w:tcPr>
            <w:tcW w:w="1196" w:type="dxa"/>
            <w:vAlign w:val="top"/>
          </w:tcPr>
          <w:p w14:paraId="2CF34A1F">
            <w:pPr>
              <w:pStyle w:val="23"/>
              <w:spacing w:before="123" w:line="225" w:lineRule="auto"/>
              <w:ind w:left="185"/>
              <w:rPr>
                <w:color w:val="auto"/>
                <w:sz w:val="24"/>
                <w:szCs w:val="24"/>
                <w:highlight w:val="none"/>
              </w:rPr>
            </w:pPr>
            <w:r>
              <w:rPr>
                <w:color w:val="auto"/>
                <w:spacing w:val="7"/>
                <w:sz w:val="24"/>
                <w:szCs w:val="24"/>
                <w:highlight w:val="none"/>
              </w:rPr>
              <w:t>有关业绩</w:t>
            </w:r>
          </w:p>
        </w:tc>
        <w:tc>
          <w:tcPr>
            <w:tcW w:w="1272" w:type="dxa"/>
            <w:vMerge w:val="continue"/>
            <w:tcBorders>
              <w:top w:val="nil"/>
            </w:tcBorders>
            <w:vAlign w:val="top"/>
          </w:tcPr>
          <w:p w14:paraId="0F4451EA">
            <w:pPr>
              <w:rPr>
                <w:rFonts w:ascii="Arial"/>
                <w:color w:val="auto"/>
                <w:sz w:val="24"/>
                <w:szCs w:val="24"/>
                <w:highlight w:val="none"/>
              </w:rPr>
            </w:pPr>
          </w:p>
        </w:tc>
      </w:tr>
      <w:tr w14:paraId="5BEBE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3B8A05E9">
            <w:pPr>
              <w:rPr>
                <w:rFonts w:ascii="Arial"/>
                <w:color w:val="auto"/>
                <w:sz w:val="24"/>
                <w:szCs w:val="24"/>
                <w:highlight w:val="none"/>
              </w:rPr>
            </w:pPr>
          </w:p>
        </w:tc>
        <w:tc>
          <w:tcPr>
            <w:tcW w:w="1842" w:type="dxa"/>
            <w:vMerge w:val="restart"/>
            <w:tcBorders>
              <w:bottom w:val="nil"/>
            </w:tcBorders>
            <w:vAlign w:val="top"/>
          </w:tcPr>
          <w:p w14:paraId="393DB95C">
            <w:pPr>
              <w:rPr>
                <w:rFonts w:ascii="Arial"/>
                <w:color w:val="auto"/>
                <w:sz w:val="24"/>
                <w:szCs w:val="24"/>
                <w:highlight w:val="none"/>
              </w:rPr>
            </w:pPr>
          </w:p>
        </w:tc>
        <w:tc>
          <w:tcPr>
            <w:tcW w:w="751" w:type="dxa"/>
            <w:vAlign w:val="top"/>
          </w:tcPr>
          <w:p w14:paraId="731E4528">
            <w:pPr>
              <w:pStyle w:val="23"/>
              <w:spacing w:before="157" w:line="189" w:lineRule="auto"/>
              <w:ind w:left="343"/>
              <w:rPr>
                <w:color w:val="auto"/>
                <w:sz w:val="24"/>
                <w:szCs w:val="24"/>
                <w:highlight w:val="none"/>
              </w:rPr>
            </w:pPr>
            <w:r>
              <w:rPr>
                <w:color w:val="auto"/>
                <w:sz w:val="24"/>
                <w:szCs w:val="24"/>
                <w:highlight w:val="none"/>
              </w:rPr>
              <w:t>1</w:t>
            </w:r>
          </w:p>
        </w:tc>
        <w:tc>
          <w:tcPr>
            <w:tcW w:w="949" w:type="dxa"/>
            <w:vAlign w:val="top"/>
          </w:tcPr>
          <w:p w14:paraId="23B60E86">
            <w:pPr>
              <w:rPr>
                <w:rFonts w:ascii="Arial"/>
                <w:color w:val="auto"/>
                <w:sz w:val="24"/>
                <w:szCs w:val="24"/>
                <w:highlight w:val="none"/>
              </w:rPr>
            </w:pPr>
          </w:p>
        </w:tc>
        <w:tc>
          <w:tcPr>
            <w:tcW w:w="1122" w:type="dxa"/>
            <w:vAlign w:val="top"/>
          </w:tcPr>
          <w:p w14:paraId="02FE9E54">
            <w:pPr>
              <w:rPr>
                <w:rFonts w:ascii="Arial"/>
                <w:color w:val="auto"/>
                <w:sz w:val="24"/>
                <w:szCs w:val="24"/>
                <w:highlight w:val="none"/>
              </w:rPr>
            </w:pPr>
          </w:p>
        </w:tc>
        <w:tc>
          <w:tcPr>
            <w:tcW w:w="1089" w:type="dxa"/>
            <w:vAlign w:val="top"/>
          </w:tcPr>
          <w:p w14:paraId="3E01307E">
            <w:pPr>
              <w:rPr>
                <w:rFonts w:ascii="Arial"/>
                <w:color w:val="auto"/>
                <w:sz w:val="24"/>
                <w:szCs w:val="24"/>
                <w:highlight w:val="none"/>
              </w:rPr>
            </w:pPr>
          </w:p>
        </w:tc>
        <w:tc>
          <w:tcPr>
            <w:tcW w:w="1196" w:type="dxa"/>
            <w:vAlign w:val="top"/>
          </w:tcPr>
          <w:p w14:paraId="2E6D9A8A">
            <w:pPr>
              <w:rPr>
                <w:rFonts w:ascii="Arial"/>
                <w:color w:val="auto"/>
                <w:sz w:val="24"/>
                <w:szCs w:val="24"/>
                <w:highlight w:val="none"/>
              </w:rPr>
            </w:pPr>
          </w:p>
        </w:tc>
        <w:tc>
          <w:tcPr>
            <w:tcW w:w="1272" w:type="dxa"/>
            <w:vAlign w:val="top"/>
          </w:tcPr>
          <w:p w14:paraId="374AFD8F">
            <w:pPr>
              <w:rPr>
                <w:rFonts w:ascii="Arial"/>
                <w:color w:val="auto"/>
                <w:sz w:val="24"/>
                <w:szCs w:val="24"/>
                <w:highlight w:val="none"/>
              </w:rPr>
            </w:pPr>
          </w:p>
        </w:tc>
      </w:tr>
      <w:tr w14:paraId="5A7F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7702897A">
            <w:pPr>
              <w:rPr>
                <w:rFonts w:ascii="Arial"/>
                <w:color w:val="auto"/>
                <w:sz w:val="24"/>
                <w:szCs w:val="24"/>
                <w:highlight w:val="none"/>
              </w:rPr>
            </w:pPr>
          </w:p>
        </w:tc>
        <w:tc>
          <w:tcPr>
            <w:tcW w:w="1842" w:type="dxa"/>
            <w:vMerge w:val="continue"/>
            <w:tcBorders>
              <w:top w:val="nil"/>
              <w:bottom w:val="nil"/>
            </w:tcBorders>
            <w:vAlign w:val="top"/>
          </w:tcPr>
          <w:p w14:paraId="500CE88A">
            <w:pPr>
              <w:rPr>
                <w:rFonts w:ascii="Arial"/>
                <w:color w:val="auto"/>
                <w:sz w:val="24"/>
                <w:szCs w:val="24"/>
                <w:highlight w:val="none"/>
              </w:rPr>
            </w:pPr>
          </w:p>
        </w:tc>
        <w:tc>
          <w:tcPr>
            <w:tcW w:w="751" w:type="dxa"/>
            <w:vAlign w:val="top"/>
          </w:tcPr>
          <w:p w14:paraId="52CB9941">
            <w:pPr>
              <w:pStyle w:val="23"/>
              <w:spacing w:before="157" w:line="189" w:lineRule="auto"/>
              <w:ind w:left="330"/>
              <w:rPr>
                <w:color w:val="auto"/>
                <w:sz w:val="24"/>
                <w:szCs w:val="24"/>
                <w:highlight w:val="none"/>
              </w:rPr>
            </w:pPr>
            <w:r>
              <w:rPr>
                <w:color w:val="auto"/>
                <w:sz w:val="24"/>
                <w:szCs w:val="24"/>
                <w:highlight w:val="none"/>
              </w:rPr>
              <w:t>2</w:t>
            </w:r>
          </w:p>
        </w:tc>
        <w:tc>
          <w:tcPr>
            <w:tcW w:w="949" w:type="dxa"/>
            <w:vAlign w:val="top"/>
          </w:tcPr>
          <w:p w14:paraId="6CF7AAEB">
            <w:pPr>
              <w:rPr>
                <w:rFonts w:ascii="Arial"/>
                <w:color w:val="auto"/>
                <w:sz w:val="24"/>
                <w:szCs w:val="24"/>
                <w:highlight w:val="none"/>
              </w:rPr>
            </w:pPr>
          </w:p>
        </w:tc>
        <w:tc>
          <w:tcPr>
            <w:tcW w:w="1122" w:type="dxa"/>
            <w:vAlign w:val="top"/>
          </w:tcPr>
          <w:p w14:paraId="3D246D45">
            <w:pPr>
              <w:rPr>
                <w:rFonts w:ascii="Arial"/>
                <w:color w:val="auto"/>
                <w:sz w:val="24"/>
                <w:szCs w:val="24"/>
                <w:highlight w:val="none"/>
              </w:rPr>
            </w:pPr>
          </w:p>
        </w:tc>
        <w:tc>
          <w:tcPr>
            <w:tcW w:w="1089" w:type="dxa"/>
            <w:vAlign w:val="top"/>
          </w:tcPr>
          <w:p w14:paraId="138E9999">
            <w:pPr>
              <w:rPr>
                <w:rFonts w:ascii="Arial"/>
                <w:color w:val="auto"/>
                <w:sz w:val="24"/>
                <w:szCs w:val="24"/>
                <w:highlight w:val="none"/>
              </w:rPr>
            </w:pPr>
          </w:p>
        </w:tc>
        <w:tc>
          <w:tcPr>
            <w:tcW w:w="1196" w:type="dxa"/>
            <w:vAlign w:val="top"/>
          </w:tcPr>
          <w:p w14:paraId="0DF002D8">
            <w:pPr>
              <w:rPr>
                <w:rFonts w:ascii="Arial"/>
                <w:color w:val="auto"/>
                <w:sz w:val="24"/>
                <w:szCs w:val="24"/>
                <w:highlight w:val="none"/>
              </w:rPr>
            </w:pPr>
          </w:p>
        </w:tc>
        <w:tc>
          <w:tcPr>
            <w:tcW w:w="1272" w:type="dxa"/>
            <w:vAlign w:val="top"/>
          </w:tcPr>
          <w:p w14:paraId="317ADD6F">
            <w:pPr>
              <w:rPr>
                <w:rFonts w:ascii="Arial"/>
                <w:color w:val="auto"/>
                <w:sz w:val="24"/>
                <w:szCs w:val="24"/>
                <w:highlight w:val="none"/>
              </w:rPr>
            </w:pPr>
          </w:p>
        </w:tc>
      </w:tr>
      <w:tr w14:paraId="52F0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vAlign w:val="top"/>
          </w:tcPr>
          <w:p w14:paraId="1F47D784">
            <w:pPr>
              <w:rPr>
                <w:rFonts w:ascii="Arial"/>
                <w:color w:val="auto"/>
                <w:sz w:val="24"/>
                <w:szCs w:val="24"/>
                <w:highlight w:val="none"/>
              </w:rPr>
            </w:pPr>
          </w:p>
        </w:tc>
        <w:tc>
          <w:tcPr>
            <w:tcW w:w="1842" w:type="dxa"/>
            <w:vMerge w:val="continue"/>
            <w:tcBorders>
              <w:top w:val="nil"/>
            </w:tcBorders>
            <w:vAlign w:val="top"/>
          </w:tcPr>
          <w:p w14:paraId="2B14F113">
            <w:pPr>
              <w:rPr>
                <w:rFonts w:ascii="Arial"/>
                <w:color w:val="auto"/>
                <w:sz w:val="24"/>
                <w:szCs w:val="24"/>
                <w:highlight w:val="none"/>
              </w:rPr>
            </w:pPr>
          </w:p>
        </w:tc>
        <w:tc>
          <w:tcPr>
            <w:tcW w:w="751" w:type="dxa"/>
            <w:vAlign w:val="top"/>
          </w:tcPr>
          <w:p w14:paraId="1C126D20">
            <w:pPr>
              <w:pStyle w:val="23"/>
              <w:spacing w:before="160" w:line="189" w:lineRule="auto"/>
              <w:ind w:left="331"/>
              <w:rPr>
                <w:color w:val="auto"/>
                <w:sz w:val="24"/>
                <w:szCs w:val="24"/>
                <w:highlight w:val="none"/>
              </w:rPr>
            </w:pPr>
            <w:r>
              <w:rPr>
                <w:color w:val="auto"/>
                <w:sz w:val="24"/>
                <w:szCs w:val="24"/>
                <w:highlight w:val="none"/>
              </w:rPr>
              <w:t>3</w:t>
            </w:r>
          </w:p>
        </w:tc>
        <w:tc>
          <w:tcPr>
            <w:tcW w:w="949" w:type="dxa"/>
            <w:vAlign w:val="top"/>
          </w:tcPr>
          <w:p w14:paraId="068DE84C">
            <w:pPr>
              <w:rPr>
                <w:rFonts w:ascii="Arial"/>
                <w:color w:val="auto"/>
                <w:sz w:val="24"/>
                <w:szCs w:val="24"/>
                <w:highlight w:val="none"/>
              </w:rPr>
            </w:pPr>
          </w:p>
        </w:tc>
        <w:tc>
          <w:tcPr>
            <w:tcW w:w="1122" w:type="dxa"/>
            <w:vAlign w:val="top"/>
          </w:tcPr>
          <w:p w14:paraId="509B12A9">
            <w:pPr>
              <w:rPr>
                <w:rFonts w:ascii="Arial"/>
                <w:color w:val="auto"/>
                <w:sz w:val="24"/>
                <w:szCs w:val="24"/>
                <w:highlight w:val="none"/>
              </w:rPr>
            </w:pPr>
          </w:p>
        </w:tc>
        <w:tc>
          <w:tcPr>
            <w:tcW w:w="1089" w:type="dxa"/>
            <w:vAlign w:val="top"/>
          </w:tcPr>
          <w:p w14:paraId="0E2AF2DA">
            <w:pPr>
              <w:rPr>
                <w:rFonts w:ascii="Arial"/>
                <w:color w:val="auto"/>
                <w:sz w:val="24"/>
                <w:szCs w:val="24"/>
                <w:highlight w:val="none"/>
              </w:rPr>
            </w:pPr>
          </w:p>
        </w:tc>
        <w:tc>
          <w:tcPr>
            <w:tcW w:w="1196" w:type="dxa"/>
            <w:vAlign w:val="top"/>
          </w:tcPr>
          <w:p w14:paraId="36866BC6">
            <w:pPr>
              <w:rPr>
                <w:rFonts w:ascii="Arial"/>
                <w:color w:val="auto"/>
                <w:sz w:val="24"/>
                <w:szCs w:val="24"/>
                <w:highlight w:val="none"/>
              </w:rPr>
            </w:pPr>
          </w:p>
        </w:tc>
        <w:tc>
          <w:tcPr>
            <w:tcW w:w="1272" w:type="dxa"/>
            <w:vAlign w:val="top"/>
          </w:tcPr>
          <w:p w14:paraId="0AF9707F">
            <w:pPr>
              <w:rPr>
                <w:rFonts w:ascii="Arial"/>
                <w:color w:val="auto"/>
                <w:sz w:val="24"/>
                <w:szCs w:val="24"/>
                <w:highlight w:val="none"/>
              </w:rPr>
            </w:pPr>
          </w:p>
        </w:tc>
      </w:tr>
      <w:tr w14:paraId="6676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14:paraId="220A0196">
            <w:pPr>
              <w:rPr>
                <w:rFonts w:ascii="Arial"/>
                <w:color w:val="auto"/>
                <w:sz w:val="24"/>
                <w:szCs w:val="24"/>
                <w:highlight w:val="none"/>
              </w:rPr>
            </w:pPr>
          </w:p>
        </w:tc>
        <w:tc>
          <w:tcPr>
            <w:tcW w:w="1842" w:type="dxa"/>
            <w:vMerge w:val="restart"/>
            <w:tcBorders>
              <w:bottom w:val="nil"/>
            </w:tcBorders>
            <w:vAlign w:val="top"/>
          </w:tcPr>
          <w:p w14:paraId="24F4FD1C">
            <w:pPr>
              <w:rPr>
                <w:rFonts w:ascii="Arial"/>
                <w:color w:val="auto"/>
                <w:sz w:val="24"/>
                <w:szCs w:val="24"/>
                <w:highlight w:val="none"/>
              </w:rPr>
            </w:pPr>
          </w:p>
        </w:tc>
        <w:tc>
          <w:tcPr>
            <w:tcW w:w="751" w:type="dxa"/>
            <w:vAlign w:val="top"/>
          </w:tcPr>
          <w:p w14:paraId="41CF9CCF">
            <w:pPr>
              <w:pStyle w:val="23"/>
              <w:spacing w:before="102" w:line="189" w:lineRule="auto"/>
              <w:ind w:left="343"/>
              <w:rPr>
                <w:color w:val="auto"/>
                <w:sz w:val="24"/>
                <w:szCs w:val="24"/>
                <w:highlight w:val="none"/>
              </w:rPr>
            </w:pPr>
            <w:r>
              <w:rPr>
                <w:color w:val="auto"/>
                <w:sz w:val="24"/>
                <w:szCs w:val="24"/>
                <w:highlight w:val="none"/>
              </w:rPr>
              <w:t>1</w:t>
            </w:r>
          </w:p>
        </w:tc>
        <w:tc>
          <w:tcPr>
            <w:tcW w:w="949" w:type="dxa"/>
            <w:vAlign w:val="top"/>
          </w:tcPr>
          <w:p w14:paraId="0DD908FC">
            <w:pPr>
              <w:rPr>
                <w:rFonts w:ascii="Arial"/>
                <w:color w:val="auto"/>
                <w:sz w:val="24"/>
                <w:szCs w:val="24"/>
                <w:highlight w:val="none"/>
              </w:rPr>
            </w:pPr>
          </w:p>
        </w:tc>
        <w:tc>
          <w:tcPr>
            <w:tcW w:w="1122" w:type="dxa"/>
            <w:vAlign w:val="top"/>
          </w:tcPr>
          <w:p w14:paraId="0F823AEC">
            <w:pPr>
              <w:rPr>
                <w:rFonts w:ascii="Arial"/>
                <w:color w:val="auto"/>
                <w:sz w:val="24"/>
                <w:szCs w:val="24"/>
                <w:highlight w:val="none"/>
              </w:rPr>
            </w:pPr>
          </w:p>
        </w:tc>
        <w:tc>
          <w:tcPr>
            <w:tcW w:w="1089" w:type="dxa"/>
            <w:vAlign w:val="top"/>
          </w:tcPr>
          <w:p w14:paraId="54CDF4EE">
            <w:pPr>
              <w:rPr>
                <w:rFonts w:ascii="Arial"/>
                <w:color w:val="auto"/>
                <w:sz w:val="24"/>
                <w:szCs w:val="24"/>
                <w:highlight w:val="none"/>
              </w:rPr>
            </w:pPr>
          </w:p>
        </w:tc>
        <w:tc>
          <w:tcPr>
            <w:tcW w:w="1196" w:type="dxa"/>
            <w:vAlign w:val="top"/>
          </w:tcPr>
          <w:p w14:paraId="3FDD8DDA">
            <w:pPr>
              <w:rPr>
                <w:rFonts w:ascii="Arial"/>
                <w:color w:val="auto"/>
                <w:sz w:val="24"/>
                <w:szCs w:val="24"/>
                <w:highlight w:val="none"/>
              </w:rPr>
            </w:pPr>
          </w:p>
        </w:tc>
        <w:tc>
          <w:tcPr>
            <w:tcW w:w="1272" w:type="dxa"/>
            <w:vAlign w:val="top"/>
          </w:tcPr>
          <w:p w14:paraId="20A7F344">
            <w:pPr>
              <w:rPr>
                <w:rFonts w:ascii="Arial"/>
                <w:color w:val="auto"/>
                <w:sz w:val="24"/>
                <w:szCs w:val="24"/>
                <w:highlight w:val="none"/>
              </w:rPr>
            </w:pPr>
          </w:p>
        </w:tc>
      </w:tr>
      <w:tr w14:paraId="1D70F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3B43EE04">
            <w:pPr>
              <w:rPr>
                <w:rFonts w:ascii="Arial"/>
                <w:color w:val="auto"/>
                <w:sz w:val="24"/>
                <w:szCs w:val="24"/>
                <w:highlight w:val="none"/>
              </w:rPr>
            </w:pPr>
          </w:p>
        </w:tc>
        <w:tc>
          <w:tcPr>
            <w:tcW w:w="1842" w:type="dxa"/>
            <w:vMerge w:val="continue"/>
            <w:tcBorders>
              <w:top w:val="nil"/>
              <w:bottom w:val="nil"/>
            </w:tcBorders>
            <w:vAlign w:val="top"/>
          </w:tcPr>
          <w:p w14:paraId="3F148448">
            <w:pPr>
              <w:rPr>
                <w:rFonts w:ascii="Arial"/>
                <w:color w:val="auto"/>
                <w:sz w:val="24"/>
                <w:szCs w:val="24"/>
                <w:highlight w:val="none"/>
              </w:rPr>
            </w:pPr>
          </w:p>
        </w:tc>
        <w:tc>
          <w:tcPr>
            <w:tcW w:w="751" w:type="dxa"/>
            <w:vAlign w:val="top"/>
          </w:tcPr>
          <w:p w14:paraId="6816CB6F">
            <w:pPr>
              <w:pStyle w:val="23"/>
              <w:spacing w:before="160" w:line="189" w:lineRule="auto"/>
              <w:ind w:left="330"/>
              <w:rPr>
                <w:color w:val="auto"/>
                <w:sz w:val="24"/>
                <w:szCs w:val="24"/>
                <w:highlight w:val="none"/>
              </w:rPr>
            </w:pPr>
            <w:r>
              <w:rPr>
                <w:color w:val="auto"/>
                <w:sz w:val="24"/>
                <w:szCs w:val="24"/>
                <w:highlight w:val="none"/>
              </w:rPr>
              <w:t>2</w:t>
            </w:r>
          </w:p>
        </w:tc>
        <w:tc>
          <w:tcPr>
            <w:tcW w:w="949" w:type="dxa"/>
            <w:vAlign w:val="top"/>
          </w:tcPr>
          <w:p w14:paraId="4BDC303F">
            <w:pPr>
              <w:rPr>
                <w:rFonts w:ascii="Arial"/>
                <w:color w:val="auto"/>
                <w:sz w:val="24"/>
                <w:szCs w:val="24"/>
                <w:highlight w:val="none"/>
              </w:rPr>
            </w:pPr>
          </w:p>
        </w:tc>
        <w:tc>
          <w:tcPr>
            <w:tcW w:w="1122" w:type="dxa"/>
            <w:vAlign w:val="top"/>
          </w:tcPr>
          <w:p w14:paraId="4F2A435F">
            <w:pPr>
              <w:rPr>
                <w:rFonts w:ascii="Arial"/>
                <w:color w:val="auto"/>
                <w:sz w:val="24"/>
                <w:szCs w:val="24"/>
                <w:highlight w:val="none"/>
              </w:rPr>
            </w:pPr>
          </w:p>
        </w:tc>
        <w:tc>
          <w:tcPr>
            <w:tcW w:w="1089" w:type="dxa"/>
            <w:vAlign w:val="top"/>
          </w:tcPr>
          <w:p w14:paraId="6FB65048">
            <w:pPr>
              <w:rPr>
                <w:rFonts w:ascii="Arial"/>
                <w:color w:val="auto"/>
                <w:sz w:val="24"/>
                <w:szCs w:val="24"/>
                <w:highlight w:val="none"/>
              </w:rPr>
            </w:pPr>
          </w:p>
        </w:tc>
        <w:tc>
          <w:tcPr>
            <w:tcW w:w="1196" w:type="dxa"/>
            <w:vAlign w:val="top"/>
          </w:tcPr>
          <w:p w14:paraId="4F7B0FF9">
            <w:pPr>
              <w:rPr>
                <w:rFonts w:ascii="Arial"/>
                <w:color w:val="auto"/>
                <w:sz w:val="24"/>
                <w:szCs w:val="24"/>
                <w:highlight w:val="none"/>
              </w:rPr>
            </w:pPr>
          </w:p>
        </w:tc>
        <w:tc>
          <w:tcPr>
            <w:tcW w:w="1272" w:type="dxa"/>
            <w:vAlign w:val="top"/>
          </w:tcPr>
          <w:p w14:paraId="6A1DD968">
            <w:pPr>
              <w:rPr>
                <w:rFonts w:ascii="Arial"/>
                <w:color w:val="auto"/>
                <w:sz w:val="24"/>
                <w:szCs w:val="24"/>
                <w:highlight w:val="none"/>
              </w:rPr>
            </w:pPr>
          </w:p>
        </w:tc>
      </w:tr>
      <w:tr w14:paraId="1A2C2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10AD121F">
            <w:pPr>
              <w:rPr>
                <w:rFonts w:ascii="Arial"/>
                <w:color w:val="auto"/>
                <w:sz w:val="24"/>
                <w:szCs w:val="24"/>
                <w:highlight w:val="none"/>
              </w:rPr>
            </w:pPr>
          </w:p>
        </w:tc>
        <w:tc>
          <w:tcPr>
            <w:tcW w:w="1842" w:type="dxa"/>
            <w:vMerge w:val="continue"/>
            <w:tcBorders>
              <w:top w:val="nil"/>
            </w:tcBorders>
            <w:vAlign w:val="top"/>
          </w:tcPr>
          <w:p w14:paraId="0B7563B9">
            <w:pPr>
              <w:rPr>
                <w:rFonts w:ascii="Arial"/>
                <w:color w:val="auto"/>
                <w:sz w:val="24"/>
                <w:szCs w:val="24"/>
                <w:highlight w:val="none"/>
              </w:rPr>
            </w:pPr>
          </w:p>
        </w:tc>
        <w:tc>
          <w:tcPr>
            <w:tcW w:w="751" w:type="dxa"/>
            <w:vAlign w:val="top"/>
          </w:tcPr>
          <w:p w14:paraId="68CC8459">
            <w:pPr>
              <w:pStyle w:val="23"/>
              <w:spacing w:before="159" w:line="189" w:lineRule="auto"/>
              <w:ind w:left="331"/>
              <w:rPr>
                <w:color w:val="auto"/>
                <w:sz w:val="24"/>
                <w:szCs w:val="24"/>
                <w:highlight w:val="none"/>
              </w:rPr>
            </w:pPr>
            <w:r>
              <w:rPr>
                <w:color w:val="auto"/>
                <w:sz w:val="24"/>
                <w:szCs w:val="24"/>
                <w:highlight w:val="none"/>
              </w:rPr>
              <w:t>3</w:t>
            </w:r>
          </w:p>
        </w:tc>
        <w:tc>
          <w:tcPr>
            <w:tcW w:w="949" w:type="dxa"/>
            <w:vAlign w:val="top"/>
          </w:tcPr>
          <w:p w14:paraId="0980FC62">
            <w:pPr>
              <w:rPr>
                <w:rFonts w:ascii="Arial"/>
                <w:color w:val="auto"/>
                <w:sz w:val="24"/>
                <w:szCs w:val="24"/>
                <w:highlight w:val="none"/>
              </w:rPr>
            </w:pPr>
          </w:p>
        </w:tc>
        <w:tc>
          <w:tcPr>
            <w:tcW w:w="1122" w:type="dxa"/>
            <w:vAlign w:val="top"/>
          </w:tcPr>
          <w:p w14:paraId="239C2579">
            <w:pPr>
              <w:rPr>
                <w:rFonts w:ascii="Arial"/>
                <w:color w:val="auto"/>
                <w:sz w:val="24"/>
                <w:szCs w:val="24"/>
                <w:highlight w:val="none"/>
              </w:rPr>
            </w:pPr>
          </w:p>
        </w:tc>
        <w:tc>
          <w:tcPr>
            <w:tcW w:w="1089" w:type="dxa"/>
            <w:vAlign w:val="top"/>
          </w:tcPr>
          <w:p w14:paraId="41A7A349">
            <w:pPr>
              <w:rPr>
                <w:rFonts w:ascii="Arial"/>
                <w:color w:val="auto"/>
                <w:sz w:val="24"/>
                <w:szCs w:val="24"/>
                <w:highlight w:val="none"/>
              </w:rPr>
            </w:pPr>
          </w:p>
        </w:tc>
        <w:tc>
          <w:tcPr>
            <w:tcW w:w="1196" w:type="dxa"/>
            <w:vAlign w:val="top"/>
          </w:tcPr>
          <w:p w14:paraId="3D94B815">
            <w:pPr>
              <w:rPr>
                <w:rFonts w:ascii="Arial"/>
                <w:color w:val="auto"/>
                <w:sz w:val="24"/>
                <w:szCs w:val="24"/>
                <w:highlight w:val="none"/>
              </w:rPr>
            </w:pPr>
          </w:p>
        </w:tc>
        <w:tc>
          <w:tcPr>
            <w:tcW w:w="1272" w:type="dxa"/>
            <w:vAlign w:val="top"/>
          </w:tcPr>
          <w:p w14:paraId="0356A6A9">
            <w:pPr>
              <w:rPr>
                <w:rFonts w:ascii="Arial"/>
                <w:color w:val="auto"/>
                <w:sz w:val="24"/>
                <w:szCs w:val="24"/>
                <w:highlight w:val="none"/>
              </w:rPr>
            </w:pPr>
          </w:p>
        </w:tc>
      </w:tr>
    </w:tbl>
    <w:p w14:paraId="654495DF">
      <w:pPr>
        <w:spacing w:before="172" w:line="227" w:lineRule="auto"/>
        <w:ind w:left="42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备注：本表所列分包仅限于承包人自行施工范围内的非主体、非关键工程。</w:t>
      </w:r>
    </w:p>
    <w:p w14:paraId="35009BBB">
      <w:pPr>
        <w:spacing w:before="152" w:line="228" w:lineRule="auto"/>
        <w:ind w:left="45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日期：</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月</w:t>
      </w:r>
      <w:r>
        <w:rPr>
          <w:rFonts w:ascii="宋体" w:hAnsi="宋体" w:eastAsia="宋体" w:cs="宋体"/>
          <w:color w:val="auto"/>
          <w:spacing w:val="14"/>
          <w:sz w:val="24"/>
          <w:szCs w:val="24"/>
          <w:highlight w:val="none"/>
        </w:rPr>
        <w:t xml:space="preserve">     </w:t>
      </w:r>
      <w:r>
        <w:rPr>
          <w:rFonts w:ascii="宋体" w:hAnsi="宋体" w:eastAsia="宋体" w:cs="宋体"/>
          <w:color w:val="auto"/>
          <w:spacing w:val="-6"/>
          <w:sz w:val="24"/>
          <w:szCs w:val="24"/>
          <w:highlight w:val="none"/>
        </w:rPr>
        <w:t>日</w:t>
      </w:r>
    </w:p>
    <w:p w14:paraId="70FDDE1F">
      <w:pPr>
        <w:spacing w:line="228" w:lineRule="auto"/>
        <w:rPr>
          <w:rFonts w:ascii="宋体" w:hAnsi="宋体" w:eastAsia="宋体" w:cs="宋体"/>
          <w:color w:val="auto"/>
          <w:sz w:val="24"/>
          <w:szCs w:val="24"/>
          <w:highlight w:val="none"/>
        </w:rPr>
        <w:sectPr>
          <w:footerReference r:id="rId38" w:type="default"/>
          <w:pgSz w:w="11905" w:h="16838"/>
          <w:pgMar w:top="1134" w:right="1134" w:bottom="1134" w:left="1134" w:header="0" w:footer="992" w:gutter="0"/>
          <w:pgNumType w:fmt="decimal"/>
          <w:cols w:space="0" w:num="1"/>
          <w:rtlGutter w:val="0"/>
          <w:docGrid w:linePitch="0" w:charSpace="0"/>
        </w:sectPr>
      </w:pPr>
    </w:p>
    <w:p w14:paraId="2D2BFD71">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（2）建设工程项目管理承诺书</w:t>
      </w:r>
    </w:p>
    <w:p w14:paraId="6D409CEF">
      <w:pPr>
        <w:rPr>
          <w:rFonts w:hint="eastAsia" w:ascii="宋体" w:hAnsi="宋体" w:eastAsia="宋体" w:cs="宋体"/>
          <w:color w:val="auto"/>
          <w:sz w:val="24"/>
          <w:szCs w:val="24"/>
          <w:highlight w:val="none"/>
        </w:rPr>
      </w:pPr>
    </w:p>
    <w:p w14:paraId="7A505E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致（采购人名称）：</w:t>
      </w:r>
    </w:p>
    <w:p w14:paraId="72CA6A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作为参与</w:t>
      </w:r>
      <w:r>
        <w:rPr>
          <w:rFonts w:hint="eastAsia" w:ascii="宋体" w:hAnsi="宋体" w:eastAsia="宋体" w:cs="宋体"/>
          <w:color w:val="auto"/>
          <w:sz w:val="24"/>
          <w:szCs w:val="24"/>
          <w:highlight w:val="none"/>
          <w:u w:val="single"/>
        </w:rPr>
        <w:t xml:space="preserve"> （工程名称）</w:t>
      </w:r>
      <w:r>
        <w:rPr>
          <w:rFonts w:hint="eastAsia" w:ascii="宋体" w:hAnsi="宋体" w:eastAsia="宋体" w:cs="宋体"/>
          <w:color w:val="auto"/>
          <w:sz w:val="24"/>
          <w:szCs w:val="24"/>
          <w:highlight w:val="none"/>
        </w:rPr>
        <w:t>项目的供应商，根据国家、 自治区相关文件规定，我方在此承诺：</w:t>
      </w:r>
    </w:p>
    <w:p w14:paraId="7F6190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1、一旦成交，我方保证按照政府相关部门的规定，在项目开工前设农民工工资支付专用账户。 严格按照《保障农民工工资支付条例》规定，存储工资保证金，专项用于支付本工程提供劳动的  农民工被拖欠的工资。按照与农民工依法约定的工资支付周期和具体支付日期支付工资，保证每月至少向农民工足额支付一次工资。</w:t>
      </w:r>
    </w:p>
    <w:p w14:paraId="02F83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2、一旦成交，我方保证在施工过程中，严格执行《广西壮族自治区建筑工程安全文明施工费 使用管理细则》（桂建质〔2015〕16 号）的有关规定，确保建设工程各项安全防护、文明施工措 施落实到位。如我方在该项目的承包中出现未按桂建质〔2015〕16 号文附件一规定执行的情形，</w:t>
      </w:r>
    </w:p>
    <w:p w14:paraId="37F63C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我方愿意按照相关规定接受建设单位及有关主管部门的处罚。</w:t>
      </w:r>
    </w:p>
    <w:p w14:paraId="4C013A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3、一旦成交，我方保证在施工过程中，严格执行散装水泥和预拌混凝土管理的有关规定，确 保建设工程按规定使用散装水泥和预拌混凝土。如我方在该项目的承包中出现未按规定执行的情形，我方愿意按照相关规定接受建设单位及有关主管部门的处罚。</w:t>
      </w:r>
    </w:p>
    <w:p w14:paraId="29AF67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4、一旦成交，我方保证在施工过程中，严格执行《关于禁止使用不符合规范要求的竹脚手架 的通知》（桂建管字〔2003〕40 号）的有关规定，不使用竹脚手架。如我方在该项目的承包中出现未按规定执行的情形，我方愿意按照相关规定接受建设单位及有关主管部门的处罚。</w:t>
      </w:r>
    </w:p>
    <w:p w14:paraId="748284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5、一旦成交，我方保证严格执行《危险性较大的分部分项工程安全管理规定》（建办质〔2018〕 31 号）的规定，强化对深基坑、高切坡、高大模板、人工挖孔桩、起重吊装、临时活动板房等重大危险源的专项施工方案的编制、论证、审批、实施、检测的风险管理。</w:t>
      </w:r>
    </w:p>
    <w:p w14:paraId="11DCC782">
      <w:pPr>
        <w:rPr>
          <w:rFonts w:hint="eastAsia" w:ascii="宋体" w:hAnsi="宋体" w:eastAsia="宋体" w:cs="宋体"/>
          <w:color w:val="auto"/>
          <w:sz w:val="24"/>
          <w:szCs w:val="24"/>
          <w:highlight w:val="none"/>
        </w:rPr>
      </w:pPr>
    </w:p>
    <w:p w14:paraId="1540B899">
      <w:pPr>
        <w:rPr>
          <w:rFonts w:hint="eastAsia" w:ascii="宋体" w:hAnsi="宋体" w:eastAsia="宋体" w:cs="宋体"/>
          <w:color w:val="auto"/>
          <w:sz w:val="24"/>
          <w:szCs w:val="24"/>
          <w:highlight w:val="none"/>
        </w:rPr>
      </w:pPr>
    </w:p>
    <w:p w14:paraId="5D7AAF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651BE10">
      <w:pPr>
        <w:rPr>
          <w:rFonts w:hint="eastAsia" w:ascii="宋体" w:hAnsi="宋体" w:eastAsia="宋体" w:cs="宋体"/>
          <w:color w:val="auto"/>
          <w:sz w:val="24"/>
          <w:szCs w:val="24"/>
          <w:highlight w:val="none"/>
        </w:rPr>
      </w:pPr>
    </w:p>
    <w:p w14:paraId="1C7AD279">
      <w:pPr>
        <w:rPr>
          <w:rFonts w:hint="eastAsia" w:ascii="宋体" w:hAnsi="宋体" w:eastAsia="宋体" w:cs="宋体"/>
          <w:color w:val="auto"/>
          <w:sz w:val="24"/>
          <w:szCs w:val="24"/>
          <w:highlight w:val="none"/>
        </w:rPr>
      </w:pPr>
    </w:p>
    <w:p w14:paraId="22263C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E739E13">
      <w:pPr>
        <w:rPr>
          <w:rFonts w:hint="eastAsia" w:ascii="宋体" w:hAnsi="宋体" w:eastAsia="宋体" w:cs="宋体"/>
          <w:color w:val="auto"/>
          <w:sz w:val="24"/>
          <w:szCs w:val="24"/>
          <w:highlight w:val="none"/>
        </w:rPr>
      </w:pPr>
    </w:p>
    <w:p w14:paraId="6C0FA775">
      <w:pPr>
        <w:rPr>
          <w:rFonts w:hint="eastAsia" w:ascii="宋体" w:hAnsi="宋体" w:eastAsia="宋体" w:cs="宋体"/>
          <w:color w:val="auto"/>
          <w:sz w:val="24"/>
          <w:szCs w:val="24"/>
          <w:highlight w:val="none"/>
        </w:rPr>
      </w:pPr>
    </w:p>
    <w:p w14:paraId="2789DA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D2D3FD1">
      <w:pPr>
        <w:rPr>
          <w:rFonts w:hint="eastAsia" w:ascii="宋体" w:hAnsi="宋体" w:eastAsia="宋体" w:cs="宋体"/>
          <w:color w:val="auto"/>
          <w:sz w:val="24"/>
          <w:szCs w:val="24"/>
          <w:highlight w:val="none"/>
        </w:rPr>
        <w:sectPr>
          <w:footerReference r:id="rId39" w:type="default"/>
          <w:pgSz w:w="11905" w:h="16838"/>
          <w:pgMar w:top="1134" w:right="1134" w:bottom="1134" w:left="1134" w:header="0" w:footer="992" w:gutter="0"/>
          <w:pgNumType w:fmt="decimal"/>
          <w:cols w:space="0" w:num="1"/>
          <w:rtlGutter w:val="0"/>
          <w:docGrid w:linePitch="0" w:charSpace="0"/>
        </w:sectPr>
      </w:pPr>
    </w:p>
    <w:p w14:paraId="5E59EA54">
      <w:pPr>
        <w:spacing w:before="181" w:line="220" w:lineRule="auto"/>
        <w:ind w:left="1499"/>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431D7E22">
      <w:pPr>
        <w:spacing w:before="231" w:line="219" w:lineRule="auto"/>
        <w:ind w:left="29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（桂建质【2015】16</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号文附件一）</w:t>
      </w:r>
    </w:p>
    <w:p w14:paraId="24FCA591">
      <w:pPr>
        <w:spacing w:before="105" w:line="219" w:lineRule="auto"/>
        <w:ind w:left="39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广西壮族自治区</w:t>
      </w:r>
    </w:p>
    <w:p w14:paraId="2FBF3B77">
      <w:pPr>
        <w:spacing w:before="27" w:line="212" w:lineRule="auto"/>
        <w:ind w:left="2785"/>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14:textOutline w14:w="4118" w14:cap="sq" w14:cmpd="sng">
            <w14:solidFill>
              <w14:srgbClr w14:val="000000"/>
            </w14:solidFill>
            <w14:prstDash w14:val="solid"/>
            <w14:bevel/>
          </w14:textOutline>
        </w:rPr>
        <w:t>建设工程安全文明施工措施项目清单内容</w:t>
      </w:r>
    </w:p>
    <w:tbl>
      <w:tblPr>
        <w:tblStyle w:val="22"/>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3D2A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14:paraId="3B627E11">
            <w:pPr>
              <w:pStyle w:val="23"/>
              <w:spacing w:before="149" w:line="228" w:lineRule="auto"/>
              <w:ind w:left="154"/>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2064" w:type="dxa"/>
            <w:gridSpan w:val="2"/>
            <w:tcBorders>
              <w:top w:val="single" w:color="000000" w:sz="10" w:space="0"/>
            </w:tcBorders>
            <w:vAlign w:val="top"/>
          </w:tcPr>
          <w:p w14:paraId="46E66800">
            <w:pPr>
              <w:pStyle w:val="23"/>
              <w:spacing w:before="150" w:line="228" w:lineRule="auto"/>
              <w:ind w:left="61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6642" w:type="dxa"/>
            <w:tcBorders>
              <w:top w:val="single" w:color="000000" w:sz="10" w:space="0"/>
              <w:right w:val="single" w:color="000000" w:sz="10" w:space="0"/>
            </w:tcBorders>
            <w:vAlign w:val="top"/>
          </w:tcPr>
          <w:p w14:paraId="1F67430C">
            <w:pPr>
              <w:pStyle w:val="23"/>
              <w:spacing w:before="149" w:line="228" w:lineRule="auto"/>
              <w:ind w:left="258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1F926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00F65188">
            <w:pPr>
              <w:spacing w:line="247" w:lineRule="auto"/>
              <w:rPr>
                <w:rFonts w:ascii="Arial"/>
                <w:color w:val="auto"/>
                <w:sz w:val="21"/>
                <w:highlight w:val="none"/>
              </w:rPr>
            </w:pPr>
          </w:p>
          <w:p w14:paraId="3A4D340B">
            <w:pPr>
              <w:spacing w:line="247" w:lineRule="auto"/>
              <w:rPr>
                <w:rFonts w:ascii="Arial"/>
                <w:color w:val="auto"/>
                <w:sz w:val="21"/>
                <w:highlight w:val="none"/>
              </w:rPr>
            </w:pPr>
          </w:p>
          <w:p w14:paraId="6EE6910F">
            <w:pPr>
              <w:spacing w:line="247" w:lineRule="auto"/>
              <w:rPr>
                <w:rFonts w:ascii="Arial"/>
                <w:color w:val="auto"/>
                <w:sz w:val="21"/>
                <w:highlight w:val="none"/>
              </w:rPr>
            </w:pPr>
          </w:p>
          <w:p w14:paraId="594B28DE">
            <w:pPr>
              <w:spacing w:line="247" w:lineRule="auto"/>
              <w:rPr>
                <w:rFonts w:ascii="Arial"/>
                <w:color w:val="auto"/>
                <w:sz w:val="21"/>
                <w:highlight w:val="none"/>
              </w:rPr>
            </w:pPr>
          </w:p>
          <w:p w14:paraId="20810CE6">
            <w:pPr>
              <w:spacing w:line="247" w:lineRule="auto"/>
              <w:rPr>
                <w:rFonts w:ascii="Arial"/>
                <w:color w:val="auto"/>
                <w:sz w:val="21"/>
                <w:highlight w:val="none"/>
              </w:rPr>
            </w:pPr>
          </w:p>
          <w:p w14:paraId="2006023A">
            <w:pPr>
              <w:spacing w:line="247" w:lineRule="auto"/>
              <w:rPr>
                <w:rFonts w:ascii="Arial"/>
                <w:color w:val="auto"/>
                <w:sz w:val="21"/>
                <w:highlight w:val="none"/>
              </w:rPr>
            </w:pPr>
          </w:p>
          <w:p w14:paraId="3BB67B11">
            <w:pPr>
              <w:spacing w:line="248" w:lineRule="auto"/>
              <w:rPr>
                <w:rFonts w:ascii="Arial"/>
                <w:color w:val="auto"/>
                <w:sz w:val="21"/>
                <w:highlight w:val="none"/>
              </w:rPr>
            </w:pPr>
          </w:p>
          <w:p w14:paraId="5A95DEB0">
            <w:pPr>
              <w:spacing w:line="248" w:lineRule="auto"/>
              <w:rPr>
                <w:rFonts w:ascii="Arial"/>
                <w:color w:val="auto"/>
                <w:sz w:val="21"/>
                <w:highlight w:val="none"/>
              </w:rPr>
            </w:pPr>
          </w:p>
          <w:p w14:paraId="4D6E856C">
            <w:pPr>
              <w:spacing w:line="248" w:lineRule="auto"/>
              <w:rPr>
                <w:rFonts w:ascii="Arial"/>
                <w:color w:val="auto"/>
                <w:sz w:val="21"/>
                <w:highlight w:val="none"/>
              </w:rPr>
            </w:pPr>
          </w:p>
          <w:p w14:paraId="73EB2937">
            <w:pPr>
              <w:spacing w:line="248" w:lineRule="auto"/>
              <w:rPr>
                <w:rFonts w:ascii="Arial"/>
                <w:color w:val="auto"/>
                <w:sz w:val="21"/>
                <w:highlight w:val="none"/>
              </w:rPr>
            </w:pPr>
          </w:p>
          <w:p w14:paraId="6DC35614">
            <w:pPr>
              <w:pStyle w:val="23"/>
              <w:spacing w:before="65" w:line="300" w:lineRule="exact"/>
              <w:ind w:left="158"/>
              <w:rPr>
                <w:color w:val="auto"/>
                <w:highlight w:val="none"/>
              </w:rPr>
            </w:pPr>
            <w:r>
              <w:rPr>
                <w:color w:val="auto"/>
                <w:spacing w:val="3"/>
                <w:position w:val="7"/>
                <w:highlight w:val="none"/>
              </w:rPr>
              <w:t>文明</w:t>
            </w:r>
          </w:p>
          <w:p w14:paraId="07CA90E8">
            <w:pPr>
              <w:pStyle w:val="23"/>
              <w:spacing w:line="230" w:lineRule="auto"/>
              <w:ind w:left="155"/>
              <w:rPr>
                <w:color w:val="auto"/>
                <w:highlight w:val="none"/>
              </w:rPr>
            </w:pPr>
            <w:r>
              <w:rPr>
                <w:color w:val="auto"/>
                <w:spacing w:val="5"/>
                <w:highlight w:val="none"/>
              </w:rPr>
              <w:t>施工</w:t>
            </w:r>
          </w:p>
          <w:p w14:paraId="39C31101">
            <w:pPr>
              <w:pStyle w:val="23"/>
              <w:spacing w:before="50" w:line="230" w:lineRule="auto"/>
              <w:ind w:left="266"/>
              <w:rPr>
                <w:color w:val="auto"/>
                <w:highlight w:val="none"/>
              </w:rPr>
            </w:pPr>
            <w:r>
              <w:rPr>
                <w:color w:val="auto"/>
                <w:highlight w:val="none"/>
              </w:rPr>
              <w:t>与</w:t>
            </w:r>
          </w:p>
          <w:p w14:paraId="2D38C058">
            <w:pPr>
              <w:pStyle w:val="23"/>
              <w:spacing w:before="51" w:line="228" w:lineRule="auto"/>
              <w:ind w:left="156"/>
              <w:rPr>
                <w:color w:val="auto"/>
                <w:highlight w:val="none"/>
              </w:rPr>
            </w:pPr>
            <w:r>
              <w:rPr>
                <w:color w:val="auto"/>
                <w:spacing w:val="4"/>
                <w:highlight w:val="none"/>
              </w:rPr>
              <w:t>环境</w:t>
            </w:r>
          </w:p>
          <w:p w14:paraId="0733511B">
            <w:pPr>
              <w:pStyle w:val="23"/>
              <w:spacing w:before="53" w:line="228" w:lineRule="auto"/>
              <w:ind w:left="157"/>
              <w:rPr>
                <w:color w:val="auto"/>
                <w:highlight w:val="none"/>
              </w:rPr>
            </w:pPr>
            <w:r>
              <w:rPr>
                <w:color w:val="auto"/>
                <w:spacing w:val="4"/>
                <w:highlight w:val="none"/>
              </w:rPr>
              <w:t>保护</w:t>
            </w:r>
          </w:p>
        </w:tc>
        <w:tc>
          <w:tcPr>
            <w:tcW w:w="2064" w:type="dxa"/>
            <w:gridSpan w:val="2"/>
            <w:vAlign w:val="top"/>
          </w:tcPr>
          <w:p w14:paraId="0D3739DD">
            <w:pPr>
              <w:pStyle w:val="23"/>
              <w:spacing w:before="61" w:line="300" w:lineRule="exact"/>
              <w:ind w:left="613"/>
              <w:rPr>
                <w:color w:val="auto"/>
                <w:highlight w:val="none"/>
              </w:rPr>
            </w:pPr>
            <w:r>
              <w:rPr>
                <w:color w:val="auto"/>
                <w:spacing w:val="6"/>
                <w:position w:val="6"/>
                <w:highlight w:val="none"/>
              </w:rPr>
              <w:t>安全警示</w:t>
            </w:r>
          </w:p>
          <w:p w14:paraId="54696E31">
            <w:pPr>
              <w:pStyle w:val="23"/>
              <w:spacing w:line="213" w:lineRule="auto"/>
              <w:ind w:left="715"/>
              <w:rPr>
                <w:color w:val="auto"/>
                <w:highlight w:val="none"/>
              </w:rPr>
            </w:pPr>
            <w:r>
              <w:rPr>
                <w:color w:val="auto"/>
                <w:spacing w:val="6"/>
                <w:highlight w:val="none"/>
              </w:rPr>
              <w:t>标志牌</w:t>
            </w:r>
          </w:p>
        </w:tc>
        <w:tc>
          <w:tcPr>
            <w:tcW w:w="6642" w:type="dxa"/>
            <w:tcBorders>
              <w:right w:val="single" w:color="000000" w:sz="10" w:space="0"/>
            </w:tcBorders>
            <w:vAlign w:val="top"/>
          </w:tcPr>
          <w:p w14:paraId="41CDB599">
            <w:pPr>
              <w:pStyle w:val="23"/>
              <w:spacing w:before="62" w:line="245" w:lineRule="auto"/>
              <w:ind w:left="110" w:right="99" w:hanging="1"/>
              <w:rPr>
                <w:color w:val="auto"/>
                <w:highlight w:val="none"/>
              </w:rPr>
            </w:pPr>
            <w:r>
              <w:rPr>
                <w:color w:val="auto"/>
                <w:spacing w:val="7"/>
                <w:highlight w:val="none"/>
              </w:rPr>
              <w:t>在易发伤亡事故（或危险）处设置明显的、符合国家标准要求的安全警</w:t>
            </w:r>
            <w:r>
              <w:rPr>
                <w:color w:val="auto"/>
                <w:highlight w:val="none"/>
              </w:rPr>
              <w:t xml:space="preserve"> </w:t>
            </w:r>
            <w:r>
              <w:rPr>
                <w:color w:val="auto"/>
                <w:spacing w:val="5"/>
                <w:highlight w:val="none"/>
              </w:rPr>
              <w:t>示标志牌。</w:t>
            </w:r>
          </w:p>
        </w:tc>
      </w:tr>
      <w:tr w14:paraId="1EA3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617283FA">
            <w:pPr>
              <w:rPr>
                <w:rFonts w:ascii="Arial"/>
                <w:color w:val="auto"/>
                <w:sz w:val="21"/>
                <w:highlight w:val="none"/>
              </w:rPr>
            </w:pPr>
          </w:p>
        </w:tc>
        <w:tc>
          <w:tcPr>
            <w:tcW w:w="2064" w:type="dxa"/>
            <w:gridSpan w:val="2"/>
            <w:vAlign w:val="top"/>
          </w:tcPr>
          <w:p w14:paraId="34F228D7">
            <w:pPr>
              <w:pStyle w:val="23"/>
              <w:spacing w:before="211" w:line="228" w:lineRule="auto"/>
              <w:ind w:left="611"/>
              <w:rPr>
                <w:color w:val="auto"/>
                <w:highlight w:val="none"/>
              </w:rPr>
            </w:pPr>
            <w:r>
              <w:rPr>
                <w:color w:val="auto"/>
                <w:spacing w:val="6"/>
                <w:highlight w:val="none"/>
              </w:rPr>
              <w:t>现场围挡</w:t>
            </w:r>
          </w:p>
        </w:tc>
        <w:tc>
          <w:tcPr>
            <w:tcW w:w="6642" w:type="dxa"/>
            <w:tcBorders>
              <w:right w:val="single" w:color="000000" w:sz="10" w:space="0"/>
            </w:tcBorders>
            <w:vAlign w:val="top"/>
          </w:tcPr>
          <w:p w14:paraId="5CC5B1EB">
            <w:pPr>
              <w:pStyle w:val="23"/>
              <w:spacing w:before="62" w:line="227" w:lineRule="auto"/>
              <w:ind w:left="125"/>
              <w:rPr>
                <w:color w:val="auto"/>
                <w:highlight w:val="none"/>
              </w:rPr>
            </w:pPr>
            <w:r>
              <w:rPr>
                <w:color w:val="auto"/>
                <w:spacing w:val="5"/>
                <w:highlight w:val="none"/>
              </w:rPr>
              <w:t>1. 现场采用封闭围挡，高度不小于</w:t>
            </w:r>
            <w:r>
              <w:rPr>
                <w:color w:val="auto"/>
                <w:spacing w:val="-9"/>
                <w:highlight w:val="none"/>
              </w:rPr>
              <w:t xml:space="preserve"> </w:t>
            </w:r>
            <w:r>
              <w:rPr>
                <w:color w:val="auto"/>
                <w:spacing w:val="5"/>
                <w:highlight w:val="none"/>
              </w:rPr>
              <w:t>1.8m。</w:t>
            </w:r>
          </w:p>
          <w:p w14:paraId="267632C4">
            <w:pPr>
              <w:pStyle w:val="23"/>
              <w:spacing w:before="54" w:line="212" w:lineRule="auto"/>
              <w:ind w:left="112"/>
              <w:rPr>
                <w:color w:val="auto"/>
                <w:highlight w:val="none"/>
              </w:rPr>
            </w:pPr>
            <w:r>
              <w:rPr>
                <w:color w:val="auto"/>
                <w:spacing w:val="7"/>
                <w:highlight w:val="none"/>
              </w:rPr>
              <w:t>2.</w:t>
            </w:r>
            <w:r>
              <w:rPr>
                <w:color w:val="auto"/>
                <w:spacing w:val="37"/>
                <w:highlight w:val="none"/>
              </w:rPr>
              <w:t xml:space="preserve"> </w:t>
            </w:r>
            <w:r>
              <w:rPr>
                <w:color w:val="auto"/>
                <w:spacing w:val="7"/>
                <w:highlight w:val="none"/>
              </w:rPr>
              <w:t>围挡材料可用彩色、定型钢板，砌块等墙体。</w:t>
            </w:r>
          </w:p>
        </w:tc>
      </w:tr>
      <w:tr w14:paraId="1BD4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50D8304">
            <w:pPr>
              <w:rPr>
                <w:rFonts w:ascii="Arial"/>
                <w:color w:val="auto"/>
                <w:sz w:val="21"/>
                <w:highlight w:val="none"/>
              </w:rPr>
            </w:pPr>
          </w:p>
        </w:tc>
        <w:tc>
          <w:tcPr>
            <w:tcW w:w="2064" w:type="dxa"/>
            <w:gridSpan w:val="2"/>
            <w:vAlign w:val="top"/>
          </w:tcPr>
          <w:p w14:paraId="32B97CDB">
            <w:pPr>
              <w:spacing w:line="297" w:lineRule="auto"/>
              <w:rPr>
                <w:rFonts w:ascii="Arial"/>
                <w:color w:val="auto"/>
                <w:sz w:val="21"/>
                <w:highlight w:val="none"/>
              </w:rPr>
            </w:pPr>
          </w:p>
          <w:p w14:paraId="0FAD19B5">
            <w:pPr>
              <w:pStyle w:val="23"/>
              <w:spacing w:before="65" w:line="228" w:lineRule="auto"/>
              <w:ind w:left="608"/>
              <w:rPr>
                <w:color w:val="auto"/>
                <w:highlight w:val="none"/>
              </w:rPr>
            </w:pPr>
            <w:r>
              <w:rPr>
                <w:color w:val="auto"/>
                <w:spacing w:val="7"/>
                <w:highlight w:val="none"/>
              </w:rPr>
              <w:t>七牌二图</w:t>
            </w:r>
          </w:p>
        </w:tc>
        <w:tc>
          <w:tcPr>
            <w:tcW w:w="6642" w:type="dxa"/>
            <w:tcBorders>
              <w:right w:val="single" w:color="000000" w:sz="10" w:space="0"/>
            </w:tcBorders>
            <w:vAlign w:val="top"/>
          </w:tcPr>
          <w:p w14:paraId="72FCC5BC">
            <w:pPr>
              <w:pStyle w:val="23"/>
              <w:spacing w:before="64" w:line="255" w:lineRule="auto"/>
              <w:ind w:left="109" w:right="97"/>
              <w:jc w:val="both"/>
              <w:rPr>
                <w:color w:val="auto"/>
                <w:highlight w:val="none"/>
              </w:rPr>
            </w:pPr>
            <w:r>
              <w:rPr>
                <w:color w:val="auto"/>
                <w:spacing w:val="7"/>
                <w:highlight w:val="none"/>
              </w:rPr>
              <w:t>在进门处悬挂工程概况、现场出入制度、管理人员名单及监督电话、安</w:t>
            </w:r>
            <w:r>
              <w:rPr>
                <w:color w:val="auto"/>
                <w:spacing w:val="2"/>
                <w:highlight w:val="none"/>
              </w:rPr>
              <w:t xml:space="preserve"> </w:t>
            </w:r>
            <w:r>
              <w:rPr>
                <w:color w:val="auto"/>
                <w:spacing w:val="7"/>
                <w:highlight w:val="none"/>
              </w:rPr>
              <w:t>全生产规定、文明施工、消防保卫、节能公示等七牌以及施工现场总平</w:t>
            </w:r>
            <w:r>
              <w:rPr>
                <w:color w:val="auto"/>
                <w:spacing w:val="1"/>
                <w:highlight w:val="none"/>
              </w:rPr>
              <w:t xml:space="preserve"> </w:t>
            </w:r>
            <w:r>
              <w:rPr>
                <w:color w:val="auto"/>
                <w:spacing w:val="7"/>
                <w:highlight w:val="none"/>
              </w:rPr>
              <w:t>面图、工程效果图。</w:t>
            </w:r>
          </w:p>
        </w:tc>
      </w:tr>
      <w:tr w14:paraId="186B4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14:paraId="353CEB18">
            <w:pPr>
              <w:rPr>
                <w:rFonts w:ascii="Arial"/>
                <w:color w:val="auto"/>
                <w:sz w:val="21"/>
                <w:highlight w:val="none"/>
              </w:rPr>
            </w:pPr>
          </w:p>
        </w:tc>
        <w:tc>
          <w:tcPr>
            <w:tcW w:w="2064" w:type="dxa"/>
            <w:gridSpan w:val="2"/>
            <w:vAlign w:val="top"/>
          </w:tcPr>
          <w:p w14:paraId="7252807C">
            <w:pPr>
              <w:pStyle w:val="23"/>
              <w:spacing w:before="172" w:line="228" w:lineRule="auto"/>
              <w:ind w:left="612"/>
              <w:rPr>
                <w:color w:val="auto"/>
                <w:highlight w:val="none"/>
              </w:rPr>
            </w:pPr>
            <w:r>
              <w:rPr>
                <w:color w:val="auto"/>
                <w:spacing w:val="6"/>
                <w:highlight w:val="none"/>
              </w:rPr>
              <w:t>企业标志</w:t>
            </w:r>
          </w:p>
        </w:tc>
        <w:tc>
          <w:tcPr>
            <w:tcW w:w="6642" w:type="dxa"/>
            <w:tcBorders>
              <w:right w:val="single" w:color="000000" w:sz="10" w:space="0"/>
            </w:tcBorders>
            <w:vAlign w:val="top"/>
          </w:tcPr>
          <w:p w14:paraId="43DECCBA">
            <w:pPr>
              <w:pStyle w:val="23"/>
              <w:spacing w:before="171" w:line="227" w:lineRule="auto"/>
              <w:ind w:left="112"/>
              <w:rPr>
                <w:color w:val="auto"/>
                <w:highlight w:val="none"/>
              </w:rPr>
            </w:pPr>
            <w:r>
              <w:rPr>
                <w:color w:val="auto"/>
                <w:spacing w:val="8"/>
                <w:highlight w:val="none"/>
              </w:rPr>
              <w:t>现场出入的大门应设有本企业标志或企业标识。</w:t>
            </w:r>
          </w:p>
        </w:tc>
      </w:tr>
      <w:tr w14:paraId="660CB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7A31C4D6">
            <w:pPr>
              <w:rPr>
                <w:rFonts w:ascii="Arial"/>
                <w:color w:val="auto"/>
                <w:sz w:val="21"/>
                <w:highlight w:val="none"/>
              </w:rPr>
            </w:pPr>
          </w:p>
        </w:tc>
        <w:tc>
          <w:tcPr>
            <w:tcW w:w="2064" w:type="dxa"/>
            <w:gridSpan w:val="2"/>
            <w:vAlign w:val="top"/>
          </w:tcPr>
          <w:p w14:paraId="306C070A">
            <w:pPr>
              <w:spacing w:line="448" w:lineRule="auto"/>
              <w:rPr>
                <w:rFonts w:ascii="Arial"/>
                <w:color w:val="auto"/>
                <w:sz w:val="21"/>
                <w:highlight w:val="none"/>
              </w:rPr>
            </w:pPr>
          </w:p>
          <w:p w14:paraId="0B1B0984">
            <w:pPr>
              <w:pStyle w:val="23"/>
              <w:spacing w:before="65" w:line="227" w:lineRule="auto"/>
              <w:ind w:left="608"/>
              <w:rPr>
                <w:color w:val="auto"/>
                <w:highlight w:val="none"/>
              </w:rPr>
            </w:pPr>
            <w:r>
              <w:rPr>
                <w:color w:val="auto"/>
                <w:spacing w:val="7"/>
                <w:highlight w:val="none"/>
              </w:rPr>
              <w:t>场容场貌</w:t>
            </w:r>
          </w:p>
        </w:tc>
        <w:tc>
          <w:tcPr>
            <w:tcW w:w="6642" w:type="dxa"/>
            <w:tcBorders>
              <w:right w:val="single" w:color="000000" w:sz="10" w:space="0"/>
            </w:tcBorders>
            <w:vAlign w:val="top"/>
          </w:tcPr>
          <w:p w14:paraId="28BB5342">
            <w:pPr>
              <w:pStyle w:val="23"/>
              <w:spacing w:before="67" w:line="228" w:lineRule="auto"/>
              <w:ind w:left="125"/>
              <w:rPr>
                <w:color w:val="auto"/>
                <w:highlight w:val="none"/>
              </w:rPr>
            </w:pPr>
            <w:r>
              <w:rPr>
                <w:color w:val="auto"/>
                <w:spacing w:val="3"/>
                <w:highlight w:val="none"/>
              </w:rPr>
              <w:t>1. 道路畅通。</w:t>
            </w:r>
          </w:p>
          <w:p w14:paraId="5A691900">
            <w:pPr>
              <w:pStyle w:val="23"/>
              <w:spacing w:before="53" w:line="228" w:lineRule="auto"/>
              <w:ind w:left="112"/>
              <w:rPr>
                <w:color w:val="auto"/>
                <w:highlight w:val="none"/>
              </w:rPr>
            </w:pPr>
            <w:r>
              <w:rPr>
                <w:color w:val="auto"/>
                <w:spacing w:val="6"/>
                <w:highlight w:val="none"/>
              </w:rPr>
              <w:t>2. 排水设施齐全畅通。</w:t>
            </w:r>
          </w:p>
          <w:p w14:paraId="19A793C5">
            <w:pPr>
              <w:pStyle w:val="23"/>
              <w:spacing w:before="53" w:line="242" w:lineRule="auto"/>
              <w:ind w:left="111" w:right="97" w:firstLine="3"/>
              <w:rPr>
                <w:color w:val="auto"/>
                <w:highlight w:val="none"/>
              </w:rPr>
            </w:pPr>
            <w:r>
              <w:rPr>
                <w:color w:val="auto"/>
                <w:spacing w:val="10"/>
                <w:highlight w:val="none"/>
              </w:rPr>
              <w:t>3. 工地地面硬化处理（办公区、生活区、现场道路、</w:t>
            </w:r>
            <w:r>
              <w:rPr>
                <w:color w:val="auto"/>
                <w:spacing w:val="9"/>
                <w:highlight w:val="none"/>
              </w:rPr>
              <w:t>材料堆放、混凝</w:t>
            </w:r>
            <w:r>
              <w:rPr>
                <w:color w:val="auto"/>
                <w:highlight w:val="none"/>
              </w:rPr>
              <w:t xml:space="preserve"> </w:t>
            </w:r>
            <w:r>
              <w:rPr>
                <w:color w:val="auto"/>
                <w:spacing w:val="9"/>
                <w:highlight w:val="none"/>
              </w:rPr>
              <w:t>土搅拌、砂浆搅拌、钢筋加工等场地和外脚</w:t>
            </w:r>
            <w:r>
              <w:rPr>
                <w:color w:val="auto"/>
                <w:spacing w:val="8"/>
                <w:highlight w:val="none"/>
              </w:rPr>
              <w:t>手架基础等）。</w:t>
            </w:r>
          </w:p>
        </w:tc>
      </w:tr>
      <w:tr w14:paraId="10D11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97C7BF9">
            <w:pPr>
              <w:rPr>
                <w:rFonts w:ascii="Arial"/>
                <w:color w:val="auto"/>
                <w:sz w:val="21"/>
                <w:highlight w:val="none"/>
              </w:rPr>
            </w:pPr>
          </w:p>
        </w:tc>
        <w:tc>
          <w:tcPr>
            <w:tcW w:w="2064" w:type="dxa"/>
            <w:gridSpan w:val="2"/>
            <w:vAlign w:val="top"/>
          </w:tcPr>
          <w:p w14:paraId="61CBCBC0">
            <w:pPr>
              <w:spacing w:line="303" w:lineRule="auto"/>
              <w:rPr>
                <w:rFonts w:ascii="Arial"/>
                <w:color w:val="auto"/>
                <w:sz w:val="21"/>
                <w:highlight w:val="none"/>
              </w:rPr>
            </w:pPr>
          </w:p>
          <w:p w14:paraId="6C115282">
            <w:pPr>
              <w:pStyle w:val="23"/>
              <w:spacing w:before="65" w:line="227" w:lineRule="auto"/>
              <w:ind w:left="609"/>
              <w:rPr>
                <w:color w:val="auto"/>
                <w:highlight w:val="none"/>
              </w:rPr>
            </w:pPr>
            <w:r>
              <w:rPr>
                <w:color w:val="auto"/>
                <w:spacing w:val="7"/>
                <w:highlight w:val="none"/>
              </w:rPr>
              <w:t>材料堆放</w:t>
            </w:r>
          </w:p>
        </w:tc>
        <w:tc>
          <w:tcPr>
            <w:tcW w:w="6642" w:type="dxa"/>
            <w:tcBorders>
              <w:right w:val="single" w:color="000000" w:sz="10" w:space="0"/>
            </w:tcBorders>
            <w:vAlign w:val="top"/>
          </w:tcPr>
          <w:p w14:paraId="2FFC3D58">
            <w:pPr>
              <w:pStyle w:val="23"/>
              <w:spacing w:before="70" w:line="225" w:lineRule="auto"/>
              <w:ind w:left="125"/>
              <w:rPr>
                <w:color w:val="auto"/>
                <w:highlight w:val="none"/>
              </w:rPr>
            </w:pPr>
            <w:r>
              <w:rPr>
                <w:color w:val="auto"/>
                <w:spacing w:val="8"/>
                <w:highlight w:val="none"/>
              </w:rPr>
              <w:t>1. 材料、构件、料具等堆放时，应有名称、品种、规格等标牌。</w:t>
            </w:r>
          </w:p>
          <w:p w14:paraId="063DECDA">
            <w:pPr>
              <w:pStyle w:val="23"/>
              <w:spacing w:before="56" w:line="241" w:lineRule="auto"/>
              <w:ind w:left="113" w:right="156" w:hanging="1"/>
              <w:rPr>
                <w:color w:val="auto"/>
                <w:highlight w:val="none"/>
              </w:rPr>
            </w:pPr>
            <w:r>
              <w:rPr>
                <w:color w:val="auto"/>
                <w:spacing w:val="8"/>
                <w:highlight w:val="none"/>
              </w:rPr>
              <w:t>2. 水泥和其它易飞扬细颗粒建筑材料应封闭存放或采取覆盖等措施。</w:t>
            </w:r>
            <w:r>
              <w:rPr>
                <w:color w:val="auto"/>
                <w:highlight w:val="none"/>
              </w:rPr>
              <w:t xml:space="preserve"> </w:t>
            </w:r>
            <w:r>
              <w:rPr>
                <w:color w:val="auto"/>
                <w:spacing w:val="7"/>
                <w:highlight w:val="none"/>
              </w:rPr>
              <w:t>3. 易燃、易爆和有毒有害物品分类存放。</w:t>
            </w:r>
          </w:p>
        </w:tc>
      </w:tr>
      <w:tr w14:paraId="2FF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643F7812">
            <w:pPr>
              <w:rPr>
                <w:rFonts w:ascii="Arial"/>
                <w:color w:val="auto"/>
                <w:sz w:val="21"/>
                <w:highlight w:val="none"/>
              </w:rPr>
            </w:pPr>
          </w:p>
        </w:tc>
        <w:tc>
          <w:tcPr>
            <w:tcW w:w="2064" w:type="dxa"/>
            <w:gridSpan w:val="2"/>
            <w:vAlign w:val="top"/>
          </w:tcPr>
          <w:p w14:paraId="54F4FC52">
            <w:pPr>
              <w:pStyle w:val="23"/>
              <w:spacing w:before="172" w:line="228" w:lineRule="auto"/>
              <w:ind w:left="611"/>
              <w:rPr>
                <w:color w:val="auto"/>
                <w:highlight w:val="none"/>
              </w:rPr>
            </w:pPr>
            <w:r>
              <w:rPr>
                <w:color w:val="auto"/>
                <w:spacing w:val="6"/>
                <w:highlight w:val="none"/>
              </w:rPr>
              <w:t>现场防火</w:t>
            </w:r>
          </w:p>
        </w:tc>
        <w:tc>
          <w:tcPr>
            <w:tcW w:w="6642" w:type="dxa"/>
            <w:tcBorders>
              <w:right w:val="single" w:color="000000" w:sz="10" w:space="0"/>
            </w:tcBorders>
            <w:vAlign w:val="top"/>
          </w:tcPr>
          <w:p w14:paraId="7EB40AB6">
            <w:pPr>
              <w:pStyle w:val="23"/>
              <w:spacing w:before="172" w:line="227" w:lineRule="auto"/>
              <w:ind w:left="114"/>
              <w:rPr>
                <w:color w:val="auto"/>
                <w:highlight w:val="none"/>
              </w:rPr>
            </w:pPr>
            <w:r>
              <w:rPr>
                <w:color w:val="auto"/>
                <w:spacing w:val="8"/>
                <w:highlight w:val="none"/>
              </w:rPr>
              <w:t>消防器材配置合理，符合消防要求。</w:t>
            </w:r>
          </w:p>
        </w:tc>
      </w:tr>
      <w:tr w14:paraId="5901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1A99BDF9">
            <w:pPr>
              <w:rPr>
                <w:rFonts w:ascii="Arial"/>
                <w:color w:val="auto"/>
                <w:sz w:val="21"/>
                <w:highlight w:val="none"/>
              </w:rPr>
            </w:pPr>
          </w:p>
        </w:tc>
        <w:tc>
          <w:tcPr>
            <w:tcW w:w="2064" w:type="dxa"/>
            <w:gridSpan w:val="2"/>
            <w:vAlign w:val="top"/>
          </w:tcPr>
          <w:p w14:paraId="58586F15">
            <w:pPr>
              <w:pStyle w:val="23"/>
              <w:spacing w:before="223" w:line="228" w:lineRule="auto"/>
              <w:ind w:left="611"/>
              <w:rPr>
                <w:color w:val="auto"/>
                <w:highlight w:val="none"/>
              </w:rPr>
            </w:pPr>
            <w:r>
              <w:rPr>
                <w:color w:val="auto"/>
                <w:spacing w:val="6"/>
                <w:highlight w:val="none"/>
              </w:rPr>
              <w:t>垃圾清运</w:t>
            </w:r>
          </w:p>
        </w:tc>
        <w:tc>
          <w:tcPr>
            <w:tcW w:w="6642" w:type="dxa"/>
            <w:tcBorders>
              <w:right w:val="single" w:color="000000" w:sz="10" w:space="0"/>
            </w:tcBorders>
            <w:vAlign w:val="top"/>
          </w:tcPr>
          <w:p w14:paraId="32FF7E59">
            <w:pPr>
              <w:pStyle w:val="23"/>
              <w:spacing w:before="74"/>
              <w:ind w:left="112" w:right="156" w:firstLine="12"/>
              <w:rPr>
                <w:color w:val="auto"/>
                <w:highlight w:val="none"/>
              </w:rPr>
            </w:pPr>
            <w:r>
              <w:rPr>
                <w:color w:val="auto"/>
                <w:spacing w:val="8"/>
                <w:highlight w:val="none"/>
              </w:rPr>
              <w:t>1. 施工现场应设置密闭式垃圾站，施工</w:t>
            </w:r>
            <w:r>
              <w:rPr>
                <w:color w:val="auto"/>
                <w:spacing w:val="7"/>
                <w:highlight w:val="none"/>
              </w:rPr>
              <w:t>垃圾、生活垃圾应分类存放。</w:t>
            </w:r>
            <w:r>
              <w:rPr>
                <w:color w:val="auto"/>
                <w:highlight w:val="none"/>
              </w:rPr>
              <w:t xml:space="preserve"> </w:t>
            </w:r>
            <w:r>
              <w:rPr>
                <w:color w:val="auto"/>
                <w:spacing w:val="8"/>
                <w:highlight w:val="none"/>
              </w:rPr>
              <w:t>2. 施工垃圾必须采用相应容器或管道运输。</w:t>
            </w:r>
          </w:p>
        </w:tc>
      </w:tr>
      <w:tr w14:paraId="78C6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82F7399">
            <w:pPr>
              <w:rPr>
                <w:rFonts w:ascii="Arial"/>
                <w:color w:val="auto"/>
                <w:sz w:val="21"/>
                <w:highlight w:val="none"/>
              </w:rPr>
            </w:pPr>
          </w:p>
        </w:tc>
        <w:tc>
          <w:tcPr>
            <w:tcW w:w="2064" w:type="dxa"/>
            <w:gridSpan w:val="2"/>
            <w:vAlign w:val="top"/>
          </w:tcPr>
          <w:p w14:paraId="4D29A20F">
            <w:pPr>
              <w:pStyle w:val="23"/>
              <w:spacing w:before="74"/>
              <w:ind w:left="123" w:right="111" w:hanging="17"/>
              <w:rPr>
                <w:color w:val="auto"/>
                <w:highlight w:val="none"/>
              </w:rPr>
            </w:pPr>
            <w:r>
              <w:rPr>
                <w:color w:val="auto"/>
                <w:spacing w:val="4"/>
                <w:highlight w:val="none"/>
              </w:rPr>
              <w:t xml:space="preserve">宣传栏、环保及不扰 </w:t>
            </w:r>
            <w:r>
              <w:rPr>
                <w:color w:val="auto"/>
                <w:highlight w:val="none"/>
              </w:rPr>
              <w:t>民措施</w:t>
            </w:r>
          </w:p>
        </w:tc>
        <w:tc>
          <w:tcPr>
            <w:tcW w:w="6642" w:type="dxa"/>
            <w:tcBorders>
              <w:right w:val="single" w:color="000000" w:sz="10" w:space="0"/>
            </w:tcBorders>
            <w:vAlign w:val="top"/>
          </w:tcPr>
          <w:p w14:paraId="180FF8A9">
            <w:pPr>
              <w:pStyle w:val="23"/>
              <w:spacing w:before="74"/>
              <w:ind w:left="111" w:right="97" w:firstLine="2"/>
              <w:rPr>
                <w:color w:val="auto"/>
                <w:highlight w:val="none"/>
              </w:rPr>
            </w:pPr>
            <w:r>
              <w:rPr>
                <w:color w:val="auto"/>
                <w:spacing w:val="7"/>
                <w:highlight w:val="none"/>
              </w:rPr>
              <w:t>宣传栏、安全宣传标语等，洗车（防止污染市区道路）、粉尘、</w:t>
            </w:r>
            <w:r>
              <w:rPr>
                <w:color w:val="auto"/>
                <w:spacing w:val="6"/>
                <w:highlight w:val="none"/>
              </w:rPr>
              <w:t>噪声控</w:t>
            </w:r>
            <w:r>
              <w:rPr>
                <w:color w:val="auto"/>
                <w:highlight w:val="none"/>
              </w:rPr>
              <w:t xml:space="preserve"> </w:t>
            </w:r>
            <w:r>
              <w:rPr>
                <w:color w:val="auto"/>
                <w:spacing w:val="8"/>
                <w:highlight w:val="none"/>
              </w:rPr>
              <w:t>制和排污（污水、废气）措施等。</w:t>
            </w:r>
          </w:p>
        </w:tc>
      </w:tr>
      <w:tr w14:paraId="2C989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restart"/>
            <w:tcBorders>
              <w:left w:val="single" w:color="000000" w:sz="10" w:space="0"/>
              <w:bottom w:val="nil"/>
            </w:tcBorders>
            <w:vAlign w:val="top"/>
          </w:tcPr>
          <w:p w14:paraId="1ED69433">
            <w:pPr>
              <w:spacing w:line="243" w:lineRule="auto"/>
              <w:rPr>
                <w:rFonts w:ascii="Arial"/>
                <w:color w:val="auto"/>
                <w:sz w:val="21"/>
                <w:highlight w:val="none"/>
              </w:rPr>
            </w:pPr>
          </w:p>
          <w:p w14:paraId="4E4F5B09">
            <w:pPr>
              <w:spacing w:line="243" w:lineRule="auto"/>
              <w:rPr>
                <w:rFonts w:ascii="Arial"/>
                <w:color w:val="auto"/>
                <w:sz w:val="21"/>
                <w:highlight w:val="none"/>
              </w:rPr>
            </w:pPr>
          </w:p>
          <w:p w14:paraId="458B9E43">
            <w:pPr>
              <w:spacing w:line="243" w:lineRule="auto"/>
              <w:rPr>
                <w:rFonts w:ascii="Arial"/>
                <w:color w:val="auto"/>
                <w:sz w:val="21"/>
                <w:highlight w:val="none"/>
              </w:rPr>
            </w:pPr>
          </w:p>
          <w:p w14:paraId="72096FA5">
            <w:pPr>
              <w:spacing w:line="244" w:lineRule="auto"/>
              <w:rPr>
                <w:rFonts w:ascii="Arial"/>
                <w:color w:val="auto"/>
                <w:sz w:val="21"/>
                <w:highlight w:val="none"/>
              </w:rPr>
            </w:pPr>
          </w:p>
          <w:p w14:paraId="7BB0C1FD">
            <w:pPr>
              <w:spacing w:line="244" w:lineRule="auto"/>
              <w:rPr>
                <w:rFonts w:ascii="Arial"/>
                <w:color w:val="auto"/>
                <w:sz w:val="21"/>
                <w:highlight w:val="none"/>
              </w:rPr>
            </w:pPr>
          </w:p>
          <w:p w14:paraId="12B80309">
            <w:pPr>
              <w:spacing w:line="244" w:lineRule="auto"/>
              <w:rPr>
                <w:rFonts w:ascii="Arial"/>
                <w:color w:val="auto"/>
                <w:sz w:val="21"/>
                <w:highlight w:val="none"/>
              </w:rPr>
            </w:pPr>
          </w:p>
          <w:p w14:paraId="0905688F">
            <w:pPr>
              <w:spacing w:line="244" w:lineRule="auto"/>
              <w:rPr>
                <w:rFonts w:ascii="Arial"/>
                <w:color w:val="auto"/>
                <w:sz w:val="21"/>
                <w:highlight w:val="none"/>
              </w:rPr>
            </w:pPr>
          </w:p>
          <w:p w14:paraId="20A86BA2">
            <w:pPr>
              <w:spacing w:line="244" w:lineRule="auto"/>
              <w:rPr>
                <w:rFonts w:ascii="Arial"/>
                <w:color w:val="auto"/>
                <w:sz w:val="21"/>
                <w:highlight w:val="none"/>
              </w:rPr>
            </w:pPr>
          </w:p>
          <w:p w14:paraId="15CFE531">
            <w:pPr>
              <w:pStyle w:val="23"/>
              <w:spacing w:before="65" w:line="300" w:lineRule="exact"/>
              <w:ind w:left="168"/>
              <w:rPr>
                <w:color w:val="auto"/>
                <w:highlight w:val="none"/>
              </w:rPr>
            </w:pPr>
            <w:r>
              <w:rPr>
                <w:color w:val="auto"/>
                <w:spacing w:val="-1"/>
                <w:position w:val="6"/>
                <w:highlight w:val="none"/>
              </w:rPr>
              <w:t>临时</w:t>
            </w:r>
          </w:p>
          <w:p w14:paraId="657BAF66">
            <w:pPr>
              <w:pStyle w:val="23"/>
              <w:spacing w:line="229" w:lineRule="auto"/>
              <w:ind w:left="160"/>
              <w:rPr>
                <w:color w:val="auto"/>
                <w:highlight w:val="none"/>
              </w:rPr>
            </w:pPr>
            <w:r>
              <w:rPr>
                <w:color w:val="auto"/>
                <w:spacing w:val="3"/>
                <w:highlight w:val="none"/>
              </w:rPr>
              <w:t>设施</w:t>
            </w:r>
          </w:p>
        </w:tc>
        <w:tc>
          <w:tcPr>
            <w:tcW w:w="2064" w:type="dxa"/>
            <w:gridSpan w:val="2"/>
            <w:vAlign w:val="top"/>
          </w:tcPr>
          <w:p w14:paraId="061C2705">
            <w:pPr>
              <w:pStyle w:val="23"/>
              <w:spacing w:before="224" w:line="300" w:lineRule="exact"/>
              <w:ind w:left="611"/>
              <w:rPr>
                <w:color w:val="auto"/>
                <w:highlight w:val="none"/>
              </w:rPr>
            </w:pPr>
            <w:r>
              <w:rPr>
                <w:color w:val="auto"/>
                <w:spacing w:val="6"/>
                <w:position w:val="6"/>
                <w:highlight w:val="none"/>
              </w:rPr>
              <w:t>现场办公</w:t>
            </w:r>
          </w:p>
          <w:p w14:paraId="5209EEA2">
            <w:pPr>
              <w:pStyle w:val="23"/>
              <w:spacing w:line="228" w:lineRule="auto"/>
              <w:ind w:left="611"/>
              <w:rPr>
                <w:color w:val="auto"/>
                <w:highlight w:val="none"/>
              </w:rPr>
            </w:pPr>
            <w:r>
              <w:rPr>
                <w:color w:val="auto"/>
                <w:spacing w:val="6"/>
                <w:highlight w:val="none"/>
              </w:rPr>
              <w:t>生活设施</w:t>
            </w:r>
          </w:p>
        </w:tc>
        <w:tc>
          <w:tcPr>
            <w:tcW w:w="6642" w:type="dxa"/>
            <w:tcBorders>
              <w:right w:val="single" w:color="000000" w:sz="10" w:space="0"/>
            </w:tcBorders>
            <w:vAlign w:val="top"/>
          </w:tcPr>
          <w:p w14:paraId="33E9DFC3">
            <w:pPr>
              <w:pStyle w:val="23"/>
              <w:spacing w:before="75" w:line="228" w:lineRule="auto"/>
              <w:ind w:left="125"/>
              <w:rPr>
                <w:color w:val="auto"/>
                <w:highlight w:val="none"/>
              </w:rPr>
            </w:pPr>
            <w:r>
              <w:rPr>
                <w:color w:val="auto"/>
                <w:spacing w:val="8"/>
                <w:highlight w:val="none"/>
              </w:rPr>
              <w:t>1. 施工现场办公、生活区与作业区分开设置，保持安全距离。</w:t>
            </w:r>
          </w:p>
          <w:p w14:paraId="3DA2B720">
            <w:pPr>
              <w:pStyle w:val="23"/>
              <w:spacing w:before="53" w:line="239" w:lineRule="auto"/>
              <w:ind w:left="111" w:right="97" w:firstLine="1"/>
              <w:rPr>
                <w:color w:val="auto"/>
                <w:highlight w:val="none"/>
              </w:rPr>
            </w:pPr>
            <w:r>
              <w:rPr>
                <w:color w:val="auto"/>
                <w:spacing w:val="10"/>
                <w:highlight w:val="none"/>
              </w:rPr>
              <w:t>2. 工地办公室、现场宿舍、食堂、厕所、饮水、沐浴、休</w:t>
            </w:r>
            <w:r>
              <w:rPr>
                <w:color w:val="auto"/>
                <w:spacing w:val="9"/>
                <w:highlight w:val="none"/>
              </w:rPr>
              <w:t>息场所等符</w:t>
            </w:r>
            <w:r>
              <w:rPr>
                <w:color w:val="auto"/>
                <w:highlight w:val="none"/>
              </w:rPr>
              <w:t xml:space="preserve"> </w:t>
            </w:r>
            <w:r>
              <w:rPr>
                <w:color w:val="auto"/>
                <w:spacing w:val="8"/>
                <w:highlight w:val="none"/>
              </w:rPr>
              <w:t>合卫生、消防安全要求。</w:t>
            </w:r>
          </w:p>
        </w:tc>
      </w:tr>
      <w:tr w14:paraId="510B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236E1B10">
            <w:pPr>
              <w:rPr>
                <w:rFonts w:ascii="Arial"/>
                <w:color w:val="auto"/>
                <w:sz w:val="21"/>
                <w:highlight w:val="none"/>
              </w:rPr>
            </w:pPr>
          </w:p>
        </w:tc>
        <w:tc>
          <w:tcPr>
            <w:tcW w:w="523" w:type="dxa"/>
            <w:vMerge w:val="restart"/>
            <w:tcBorders>
              <w:bottom w:val="nil"/>
            </w:tcBorders>
            <w:textDirection w:val="tbRlV"/>
            <w:vAlign w:val="top"/>
          </w:tcPr>
          <w:p w14:paraId="57476B3C">
            <w:pPr>
              <w:pStyle w:val="23"/>
              <w:spacing w:before="163" w:line="216" w:lineRule="auto"/>
              <w:ind w:left="674"/>
              <w:rPr>
                <w:color w:val="auto"/>
                <w:highlight w:val="none"/>
              </w:rPr>
            </w:pPr>
            <w:r>
              <w:rPr>
                <w:color w:val="auto"/>
                <w:spacing w:val="6"/>
                <w:highlight w:val="none"/>
              </w:rPr>
              <w:t>施 工</w:t>
            </w:r>
            <w:r>
              <w:rPr>
                <w:color w:val="auto"/>
                <w:spacing w:val="-3"/>
                <w:highlight w:val="none"/>
              </w:rPr>
              <w:t xml:space="preserve"> </w:t>
            </w:r>
            <w:r>
              <w:rPr>
                <w:color w:val="auto"/>
                <w:spacing w:val="6"/>
                <w:highlight w:val="none"/>
              </w:rPr>
              <w:t>现</w:t>
            </w:r>
            <w:r>
              <w:rPr>
                <w:color w:val="auto"/>
                <w:spacing w:val="-9"/>
                <w:highlight w:val="none"/>
              </w:rPr>
              <w:t xml:space="preserve"> </w:t>
            </w:r>
            <w:r>
              <w:rPr>
                <w:color w:val="auto"/>
                <w:spacing w:val="6"/>
                <w:highlight w:val="none"/>
              </w:rPr>
              <w:t>场</w:t>
            </w:r>
            <w:r>
              <w:rPr>
                <w:color w:val="auto"/>
                <w:spacing w:val="-8"/>
                <w:highlight w:val="none"/>
              </w:rPr>
              <w:t xml:space="preserve"> </w:t>
            </w:r>
            <w:r>
              <w:rPr>
                <w:color w:val="auto"/>
                <w:spacing w:val="6"/>
                <w:highlight w:val="none"/>
              </w:rPr>
              <w:t>临</w:t>
            </w:r>
            <w:r>
              <w:rPr>
                <w:color w:val="auto"/>
                <w:spacing w:val="-9"/>
                <w:highlight w:val="none"/>
              </w:rPr>
              <w:t xml:space="preserve"> </w:t>
            </w:r>
            <w:r>
              <w:rPr>
                <w:color w:val="auto"/>
                <w:spacing w:val="6"/>
                <w:highlight w:val="none"/>
              </w:rPr>
              <w:t>时</w:t>
            </w:r>
            <w:r>
              <w:rPr>
                <w:color w:val="auto"/>
                <w:spacing w:val="-9"/>
                <w:highlight w:val="none"/>
              </w:rPr>
              <w:t xml:space="preserve"> </w:t>
            </w:r>
            <w:r>
              <w:rPr>
                <w:color w:val="auto"/>
                <w:spacing w:val="6"/>
                <w:highlight w:val="none"/>
              </w:rPr>
              <w:t>用</w:t>
            </w:r>
            <w:r>
              <w:rPr>
                <w:color w:val="auto"/>
                <w:spacing w:val="-9"/>
                <w:highlight w:val="none"/>
              </w:rPr>
              <w:t xml:space="preserve"> </w:t>
            </w:r>
            <w:r>
              <w:rPr>
                <w:color w:val="auto"/>
                <w:spacing w:val="6"/>
                <w:highlight w:val="none"/>
              </w:rPr>
              <w:t>电</w:t>
            </w:r>
          </w:p>
        </w:tc>
        <w:tc>
          <w:tcPr>
            <w:tcW w:w="1541" w:type="dxa"/>
            <w:vAlign w:val="top"/>
          </w:tcPr>
          <w:p w14:paraId="580C8737">
            <w:pPr>
              <w:spacing w:line="460" w:lineRule="auto"/>
              <w:rPr>
                <w:rFonts w:ascii="Arial"/>
                <w:color w:val="auto"/>
                <w:sz w:val="21"/>
                <w:highlight w:val="none"/>
              </w:rPr>
            </w:pPr>
          </w:p>
          <w:p w14:paraId="3F42D1E5">
            <w:pPr>
              <w:pStyle w:val="23"/>
              <w:spacing w:before="65" w:line="228" w:lineRule="auto"/>
              <w:ind w:left="350"/>
              <w:rPr>
                <w:color w:val="auto"/>
                <w:highlight w:val="none"/>
              </w:rPr>
            </w:pPr>
            <w:r>
              <w:rPr>
                <w:color w:val="auto"/>
                <w:spacing w:val="7"/>
                <w:highlight w:val="none"/>
              </w:rPr>
              <w:t>配电线路</w:t>
            </w:r>
          </w:p>
        </w:tc>
        <w:tc>
          <w:tcPr>
            <w:tcW w:w="6642" w:type="dxa"/>
            <w:tcBorders>
              <w:right w:val="single" w:color="000000" w:sz="10" w:space="0"/>
            </w:tcBorders>
            <w:vAlign w:val="top"/>
          </w:tcPr>
          <w:p w14:paraId="3E5D5345">
            <w:pPr>
              <w:pStyle w:val="23"/>
              <w:spacing w:before="76" w:line="228" w:lineRule="auto"/>
              <w:ind w:left="125"/>
              <w:rPr>
                <w:color w:val="auto"/>
                <w:highlight w:val="none"/>
              </w:rPr>
            </w:pPr>
            <w:r>
              <w:rPr>
                <w:color w:val="auto"/>
                <w:spacing w:val="7"/>
                <w:highlight w:val="none"/>
              </w:rPr>
              <w:t>1. 按照</w:t>
            </w:r>
            <w:r>
              <w:rPr>
                <w:color w:val="auto"/>
                <w:spacing w:val="-30"/>
                <w:highlight w:val="none"/>
              </w:rPr>
              <w:t xml:space="preserve"> </w:t>
            </w:r>
            <w:r>
              <w:rPr>
                <w:color w:val="auto"/>
                <w:highlight w:val="none"/>
              </w:rPr>
              <w:t>TN</w:t>
            </w:r>
            <w:r>
              <w:rPr>
                <w:color w:val="auto"/>
                <w:spacing w:val="7"/>
                <w:highlight w:val="none"/>
              </w:rPr>
              <w:t>-S</w:t>
            </w:r>
            <w:r>
              <w:rPr>
                <w:color w:val="auto"/>
                <w:spacing w:val="-33"/>
                <w:highlight w:val="none"/>
              </w:rPr>
              <w:t xml:space="preserve"> </w:t>
            </w:r>
            <w:r>
              <w:rPr>
                <w:color w:val="auto"/>
                <w:spacing w:val="7"/>
                <w:highlight w:val="none"/>
              </w:rPr>
              <w:t>系统要求配备五芯电缆、四芯电缆和三芯电缆。</w:t>
            </w:r>
          </w:p>
          <w:p w14:paraId="73E01AF4">
            <w:pPr>
              <w:pStyle w:val="23"/>
              <w:spacing w:before="52" w:line="253" w:lineRule="auto"/>
              <w:ind w:left="110" w:right="97" w:firstLine="2"/>
              <w:rPr>
                <w:color w:val="auto"/>
                <w:highlight w:val="none"/>
              </w:rPr>
            </w:pPr>
            <w:r>
              <w:rPr>
                <w:color w:val="auto"/>
                <w:spacing w:val="10"/>
                <w:highlight w:val="none"/>
              </w:rPr>
              <w:t>2. 按要求架设临时用电线路的电杆、横担、瓷夹、瓷瓶等</w:t>
            </w:r>
            <w:r>
              <w:rPr>
                <w:color w:val="auto"/>
                <w:spacing w:val="9"/>
                <w:highlight w:val="none"/>
              </w:rPr>
              <w:t>，或电缆埋</w:t>
            </w:r>
            <w:r>
              <w:rPr>
                <w:color w:val="auto"/>
                <w:highlight w:val="none"/>
              </w:rPr>
              <w:t xml:space="preserve"> </w:t>
            </w:r>
            <w:r>
              <w:rPr>
                <w:color w:val="auto"/>
                <w:spacing w:val="5"/>
                <w:highlight w:val="none"/>
              </w:rPr>
              <w:t>地的地沟。</w:t>
            </w:r>
          </w:p>
          <w:p w14:paraId="2B9192A7">
            <w:pPr>
              <w:pStyle w:val="23"/>
              <w:spacing w:before="53" w:line="198" w:lineRule="auto"/>
              <w:ind w:right="3"/>
              <w:jc w:val="right"/>
              <w:rPr>
                <w:color w:val="auto"/>
                <w:highlight w:val="none"/>
              </w:rPr>
            </w:pPr>
            <w:r>
              <w:rPr>
                <w:color w:val="auto"/>
                <w:spacing w:val="6"/>
                <w:highlight w:val="none"/>
              </w:rPr>
              <w:t>3. 对靠近施工现场的外电线路，设置木质、塑料等绝缘体的防护设施。</w:t>
            </w:r>
          </w:p>
        </w:tc>
      </w:tr>
      <w:tr w14:paraId="1C17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50" w:type="dxa"/>
            <w:vMerge w:val="continue"/>
            <w:tcBorders>
              <w:top w:val="nil"/>
              <w:left w:val="single" w:color="000000" w:sz="10" w:space="0"/>
              <w:bottom w:val="nil"/>
            </w:tcBorders>
            <w:vAlign w:val="top"/>
          </w:tcPr>
          <w:p w14:paraId="46586688">
            <w:pPr>
              <w:rPr>
                <w:rFonts w:ascii="Arial"/>
                <w:color w:val="auto"/>
                <w:sz w:val="21"/>
                <w:highlight w:val="none"/>
              </w:rPr>
            </w:pPr>
          </w:p>
        </w:tc>
        <w:tc>
          <w:tcPr>
            <w:tcW w:w="523" w:type="dxa"/>
            <w:vMerge w:val="continue"/>
            <w:tcBorders>
              <w:top w:val="nil"/>
              <w:bottom w:val="nil"/>
            </w:tcBorders>
            <w:textDirection w:val="tbRlV"/>
            <w:vAlign w:val="top"/>
          </w:tcPr>
          <w:p w14:paraId="7E210D9F">
            <w:pPr>
              <w:rPr>
                <w:rFonts w:ascii="Arial"/>
                <w:color w:val="auto"/>
                <w:sz w:val="21"/>
                <w:highlight w:val="none"/>
              </w:rPr>
            </w:pPr>
          </w:p>
        </w:tc>
        <w:tc>
          <w:tcPr>
            <w:tcW w:w="1541" w:type="dxa"/>
            <w:vAlign w:val="top"/>
          </w:tcPr>
          <w:p w14:paraId="1EAF8D17">
            <w:pPr>
              <w:spacing w:line="305" w:lineRule="auto"/>
              <w:rPr>
                <w:rFonts w:ascii="Arial"/>
                <w:color w:val="auto"/>
                <w:sz w:val="21"/>
                <w:highlight w:val="none"/>
              </w:rPr>
            </w:pPr>
          </w:p>
          <w:p w14:paraId="68FE2A80">
            <w:pPr>
              <w:spacing w:line="305" w:lineRule="auto"/>
              <w:rPr>
                <w:rFonts w:ascii="Arial"/>
                <w:color w:val="auto"/>
                <w:sz w:val="21"/>
                <w:highlight w:val="none"/>
              </w:rPr>
            </w:pPr>
          </w:p>
          <w:p w14:paraId="5168B066">
            <w:pPr>
              <w:pStyle w:val="23"/>
              <w:spacing w:before="65" w:line="300" w:lineRule="exact"/>
              <w:ind w:left="453"/>
              <w:rPr>
                <w:color w:val="auto"/>
                <w:highlight w:val="none"/>
              </w:rPr>
            </w:pPr>
            <w:r>
              <w:rPr>
                <w:color w:val="auto"/>
                <w:spacing w:val="6"/>
                <w:position w:val="6"/>
                <w:highlight w:val="none"/>
              </w:rPr>
              <w:t>配电箱</w:t>
            </w:r>
          </w:p>
          <w:p w14:paraId="6C88C0AF">
            <w:pPr>
              <w:pStyle w:val="23"/>
              <w:spacing w:line="228" w:lineRule="auto"/>
              <w:ind w:left="454"/>
              <w:rPr>
                <w:color w:val="auto"/>
                <w:highlight w:val="none"/>
              </w:rPr>
            </w:pPr>
            <w:r>
              <w:rPr>
                <w:color w:val="auto"/>
                <w:spacing w:val="6"/>
                <w:highlight w:val="none"/>
              </w:rPr>
              <w:t>开关箱</w:t>
            </w:r>
          </w:p>
        </w:tc>
        <w:tc>
          <w:tcPr>
            <w:tcW w:w="6642" w:type="dxa"/>
            <w:tcBorders>
              <w:right w:val="single" w:color="000000" w:sz="10" w:space="0"/>
            </w:tcBorders>
            <w:vAlign w:val="top"/>
          </w:tcPr>
          <w:p w14:paraId="040D592D">
            <w:pPr>
              <w:pStyle w:val="23"/>
              <w:spacing w:before="81" w:line="260" w:lineRule="auto"/>
              <w:ind w:left="111" w:right="99" w:firstLine="14"/>
              <w:rPr>
                <w:color w:val="auto"/>
                <w:highlight w:val="none"/>
              </w:rPr>
            </w:pPr>
            <w:r>
              <w:rPr>
                <w:color w:val="auto"/>
                <w:spacing w:val="9"/>
                <w:highlight w:val="none"/>
              </w:rPr>
              <w:t>1. 按三级配电要求，配备总配电箱、分配电箱、开关箱三类</w:t>
            </w:r>
            <w:r>
              <w:rPr>
                <w:color w:val="auto"/>
                <w:spacing w:val="8"/>
                <w:highlight w:val="none"/>
              </w:rPr>
              <w:t>（铁质）</w:t>
            </w:r>
            <w:r>
              <w:rPr>
                <w:color w:val="auto"/>
                <w:highlight w:val="none"/>
              </w:rPr>
              <w:t xml:space="preserve"> </w:t>
            </w:r>
            <w:r>
              <w:rPr>
                <w:color w:val="auto"/>
                <w:spacing w:val="6"/>
                <w:highlight w:val="none"/>
              </w:rPr>
              <w:t>标准电箱，开关箱应符合“一机、一箱、一闸、一漏</w:t>
            </w:r>
            <w:r>
              <w:rPr>
                <w:color w:val="auto"/>
                <w:spacing w:val="-70"/>
                <w:highlight w:val="none"/>
              </w:rPr>
              <w:t xml:space="preserve"> </w:t>
            </w:r>
            <w:r>
              <w:rPr>
                <w:color w:val="auto"/>
                <w:spacing w:val="6"/>
                <w:highlight w:val="none"/>
              </w:rPr>
              <w:t>”，三类电箱</w:t>
            </w:r>
            <w:r>
              <w:rPr>
                <w:color w:val="auto"/>
                <w:spacing w:val="5"/>
                <w:highlight w:val="none"/>
              </w:rPr>
              <w:t>中的</w:t>
            </w:r>
            <w:r>
              <w:rPr>
                <w:color w:val="auto"/>
                <w:highlight w:val="none"/>
              </w:rPr>
              <w:t xml:space="preserve"> </w:t>
            </w:r>
            <w:r>
              <w:rPr>
                <w:color w:val="auto"/>
                <w:spacing w:val="7"/>
                <w:highlight w:val="none"/>
              </w:rPr>
              <w:t>各类电器应是合格品。</w:t>
            </w:r>
          </w:p>
          <w:p w14:paraId="124DE464">
            <w:pPr>
              <w:pStyle w:val="23"/>
              <w:spacing w:before="52" w:line="253" w:lineRule="auto"/>
              <w:ind w:left="112" w:right="97"/>
              <w:rPr>
                <w:color w:val="auto"/>
                <w:highlight w:val="none"/>
              </w:rPr>
            </w:pPr>
            <w:r>
              <w:rPr>
                <w:color w:val="auto"/>
                <w:spacing w:val="10"/>
                <w:highlight w:val="none"/>
              </w:rPr>
              <w:t>2. 按两级保护的要求，选取符合容量要求和质量合格的总</w:t>
            </w:r>
            <w:r>
              <w:rPr>
                <w:color w:val="auto"/>
                <w:spacing w:val="9"/>
                <w:highlight w:val="none"/>
              </w:rPr>
              <w:t>配电箱和开</w:t>
            </w:r>
            <w:r>
              <w:rPr>
                <w:color w:val="auto"/>
                <w:highlight w:val="none"/>
              </w:rPr>
              <w:t xml:space="preserve"> </w:t>
            </w:r>
            <w:r>
              <w:rPr>
                <w:color w:val="auto"/>
                <w:spacing w:val="7"/>
                <w:highlight w:val="none"/>
              </w:rPr>
              <w:t>关箱中的漏电保护器。</w:t>
            </w:r>
          </w:p>
          <w:p w14:paraId="536B0AAA">
            <w:pPr>
              <w:pStyle w:val="23"/>
              <w:spacing w:before="52" w:line="195" w:lineRule="auto"/>
              <w:ind w:left="114"/>
              <w:rPr>
                <w:color w:val="auto"/>
                <w:highlight w:val="none"/>
              </w:rPr>
            </w:pPr>
            <w:r>
              <w:rPr>
                <w:color w:val="auto"/>
                <w:spacing w:val="8"/>
                <w:highlight w:val="none"/>
              </w:rPr>
              <w:t>3. 对大型、落地式分配电箱、开关箱设置防护棚和通透式围挡。</w:t>
            </w:r>
          </w:p>
        </w:tc>
      </w:tr>
      <w:tr w14:paraId="2CFE0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50" w:type="dxa"/>
            <w:vMerge w:val="continue"/>
            <w:tcBorders>
              <w:top w:val="nil"/>
              <w:left w:val="single" w:color="000000" w:sz="10" w:space="0"/>
              <w:bottom w:val="single" w:color="000000" w:sz="10" w:space="0"/>
            </w:tcBorders>
            <w:vAlign w:val="top"/>
          </w:tcPr>
          <w:p w14:paraId="487A6F67">
            <w:pPr>
              <w:rPr>
                <w:rFonts w:ascii="Arial"/>
                <w:color w:val="auto"/>
                <w:sz w:val="21"/>
                <w:highlight w:val="none"/>
              </w:rPr>
            </w:pPr>
          </w:p>
        </w:tc>
        <w:tc>
          <w:tcPr>
            <w:tcW w:w="523" w:type="dxa"/>
            <w:vMerge w:val="continue"/>
            <w:tcBorders>
              <w:top w:val="nil"/>
              <w:bottom w:val="single" w:color="000000" w:sz="10" w:space="0"/>
            </w:tcBorders>
            <w:textDirection w:val="tbRlV"/>
            <w:vAlign w:val="top"/>
          </w:tcPr>
          <w:p w14:paraId="45E697AE">
            <w:pPr>
              <w:rPr>
                <w:rFonts w:ascii="Arial"/>
                <w:color w:val="auto"/>
                <w:sz w:val="21"/>
                <w:highlight w:val="none"/>
              </w:rPr>
            </w:pPr>
          </w:p>
        </w:tc>
        <w:tc>
          <w:tcPr>
            <w:tcW w:w="1541" w:type="dxa"/>
            <w:tcBorders>
              <w:bottom w:val="single" w:color="000000" w:sz="10" w:space="0"/>
            </w:tcBorders>
            <w:vAlign w:val="top"/>
          </w:tcPr>
          <w:p w14:paraId="19A505C5">
            <w:pPr>
              <w:pStyle w:val="23"/>
              <w:spacing w:before="222" w:line="228" w:lineRule="auto"/>
              <w:ind w:left="349"/>
              <w:rPr>
                <w:color w:val="auto"/>
                <w:highlight w:val="none"/>
              </w:rPr>
            </w:pPr>
            <w:r>
              <w:rPr>
                <w:color w:val="auto"/>
                <w:spacing w:val="7"/>
                <w:highlight w:val="none"/>
              </w:rPr>
              <w:t>接地装置</w:t>
            </w:r>
          </w:p>
        </w:tc>
        <w:tc>
          <w:tcPr>
            <w:tcW w:w="6642" w:type="dxa"/>
            <w:tcBorders>
              <w:bottom w:val="single" w:color="000000" w:sz="10" w:space="0"/>
              <w:right w:val="single" w:color="000000" w:sz="10" w:space="0"/>
            </w:tcBorders>
            <w:vAlign w:val="top"/>
          </w:tcPr>
          <w:p w14:paraId="4169A040">
            <w:pPr>
              <w:pStyle w:val="23"/>
              <w:spacing w:before="222" w:line="228" w:lineRule="auto"/>
              <w:ind w:left="109"/>
              <w:rPr>
                <w:color w:val="auto"/>
                <w:highlight w:val="none"/>
              </w:rPr>
            </w:pPr>
            <w:r>
              <w:rPr>
                <w:color w:val="auto"/>
                <w:spacing w:val="9"/>
                <w:highlight w:val="none"/>
              </w:rPr>
              <w:t>施工现场应设置不少于三处的重复接地装置。</w:t>
            </w:r>
          </w:p>
        </w:tc>
      </w:tr>
    </w:tbl>
    <w:p w14:paraId="48CE3D9D">
      <w:pPr>
        <w:pStyle w:val="8"/>
        <w:rPr>
          <w:color w:val="auto"/>
          <w:highlight w:val="none"/>
        </w:rPr>
      </w:pPr>
    </w:p>
    <w:p w14:paraId="1A93516B">
      <w:pPr>
        <w:rPr>
          <w:color w:val="auto"/>
          <w:highlight w:val="none"/>
        </w:rPr>
        <w:sectPr>
          <w:footerReference r:id="rId40" w:type="default"/>
          <w:pgSz w:w="11905" w:h="16838"/>
          <w:pgMar w:top="1134" w:right="1134" w:bottom="1134" w:left="1134" w:header="0" w:footer="992" w:gutter="0"/>
          <w:pgNumType w:fmt="decimal"/>
          <w:cols w:space="0" w:num="1"/>
          <w:rtlGutter w:val="0"/>
          <w:docGrid w:linePitch="0" w:charSpace="0"/>
        </w:sectPr>
      </w:pPr>
    </w:p>
    <w:p w14:paraId="350275B6">
      <w:pPr>
        <w:spacing w:line="91" w:lineRule="auto"/>
        <w:rPr>
          <w:rFonts w:ascii="Arial"/>
          <w:color w:val="auto"/>
          <w:sz w:val="2"/>
          <w:highlight w:val="none"/>
        </w:rPr>
      </w:pPr>
    </w:p>
    <w:tbl>
      <w:tblPr>
        <w:tblStyle w:val="22"/>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0603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50" w:type="dxa"/>
            <w:tcBorders>
              <w:top w:val="single" w:color="000000" w:sz="10" w:space="0"/>
              <w:left w:val="single" w:color="000000" w:sz="10" w:space="0"/>
            </w:tcBorders>
            <w:vAlign w:val="top"/>
          </w:tcPr>
          <w:p w14:paraId="6DA4B46C">
            <w:pPr>
              <w:rPr>
                <w:rFonts w:ascii="Arial"/>
                <w:color w:val="auto"/>
                <w:sz w:val="21"/>
                <w:highlight w:val="none"/>
              </w:rPr>
            </w:pPr>
          </w:p>
        </w:tc>
        <w:tc>
          <w:tcPr>
            <w:tcW w:w="523" w:type="dxa"/>
            <w:tcBorders>
              <w:top w:val="single" w:color="000000" w:sz="10" w:space="0"/>
            </w:tcBorders>
            <w:vAlign w:val="top"/>
          </w:tcPr>
          <w:p w14:paraId="0A6CE556">
            <w:pPr>
              <w:rPr>
                <w:rFonts w:ascii="Arial"/>
                <w:color w:val="auto"/>
                <w:sz w:val="21"/>
                <w:highlight w:val="none"/>
              </w:rPr>
            </w:pPr>
          </w:p>
        </w:tc>
        <w:tc>
          <w:tcPr>
            <w:tcW w:w="1541" w:type="dxa"/>
            <w:tcBorders>
              <w:top w:val="single" w:color="000000" w:sz="10" w:space="0"/>
            </w:tcBorders>
            <w:vAlign w:val="top"/>
          </w:tcPr>
          <w:p w14:paraId="7A06A8BD">
            <w:pPr>
              <w:pStyle w:val="23"/>
              <w:spacing w:before="224" w:line="255" w:lineRule="auto"/>
              <w:ind w:left="663" w:right="147" w:hanging="522"/>
              <w:rPr>
                <w:color w:val="auto"/>
                <w:highlight w:val="none"/>
              </w:rPr>
            </w:pPr>
            <w:r>
              <w:rPr>
                <w:color w:val="auto"/>
                <w:spacing w:val="7"/>
                <w:highlight w:val="none"/>
              </w:rPr>
              <w:t>现场变配电装</w:t>
            </w:r>
            <w:r>
              <w:rPr>
                <w:color w:val="auto"/>
                <w:spacing w:val="4"/>
                <w:highlight w:val="none"/>
              </w:rPr>
              <w:t xml:space="preserve"> </w:t>
            </w:r>
            <w:r>
              <w:rPr>
                <w:color w:val="auto"/>
                <w:spacing w:val="2"/>
                <w:highlight w:val="none"/>
              </w:rPr>
              <w:t>置</w:t>
            </w:r>
          </w:p>
        </w:tc>
        <w:tc>
          <w:tcPr>
            <w:tcW w:w="6642" w:type="dxa"/>
            <w:tcBorders>
              <w:top w:val="single" w:color="000000" w:sz="10" w:space="0"/>
              <w:right w:val="single" w:color="000000" w:sz="10" w:space="0"/>
            </w:tcBorders>
            <w:vAlign w:val="top"/>
          </w:tcPr>
          <w:p w14:paraId="4A588020">
            <w:pPr>
              <w:spacing w:line="305" w:lineRule="auto"/>
              <w:rPr>
                <w:rFonts w:ascii="Arial"/>
                <w:color w:val="auto"/>
                <w:sz w:val="21"/>
                <w:highlight w:val="none"/>
              </w:rPr>
            </w:pPr>
          </w:p>
          <w:p w14:paraId="2D88091A">
            <w:pPr>
              <w:pStyle w:val="23"/>
              <w:spacing w:before="65" w:line="227" w:lineRule="auto"/>
              <w:ind w:left="115"/>
              <w:rPr>
                <w:color w:val="auto"/>
                <w:highlight w:val="none"/>
              </w:rPr>
            </w:pPr>
            <w:r>
              <w:rPr>
                <w:color w:val="auto"/>
                <w:spacing w:val="8"/>
                <w:highlight w:val="none"/>
              </w:rPr>
              <w:t>总配电房建筑材料必须达到消防防火要求，室内做硬</w:t>
            </w:r>
            <w:r>
              <w:rPr>
                <w:color w:val="auto"/>
                <w:spacing w:val="7"/>
                <w:highlight w:val="none"/>
              </w:rPr>
              <w:t>地坪、</w:t>
            </w:r>
            <w:r>
              <w:rPr>
                <w:color w:val="auto"/>
                <w:spacing w:val="-60"/>
                <w:highlight w:val="none"/>
              </w:rPr>
              <w:t xml:space="preserve"> </w:t>
            </w:r>
            <w:r>
              <w:rPr>
                <w:color w:val="auto"/>
                <w:spacing w:val="7"/>
                <w:highlight w:val="none"/>
              </w:rPr>
              <w:t>电缆沟。</w:t>
            </w:r>
          </w:p>
        </w:tc>
      </w:tr>
      <w:tr w14:paraId="7FF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0" w:type="dxa"/>
            <w:tcBorders>
              <w:left w:val="single" w:color="000000" w:sz="10" w:space="0"/>
            </w:tcBorders>
            <w:vAlign w:val="top"/>
          </w:tcPr>
          <w:p w14:paraId="5ECB4FC0">
            <w:pPr>
              <w:pStyle w:val="23"/>
              <w:spacing w:before="144" w:line="228" w:lineRule="auto"/>
              <w:ind w:left="154"/>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2064" w:type="dxa"/>
            <w:gridSpan w:val="2"/>
            <w:vAlign w:val="top"/>
          </w:tcPr>
          <w:p w14:paraId="2736C603">
            <w:pPr>
              <w:pStyle w:val="23"/>
              <w:spacing w:before="145" w:line="228" w:lineRule="auto"/>
              <w:ind w:left="61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6642" w:type="dxa"/>
            <w:tcBorders>
              <w:right w:val="single" w:color="000000" w:sz="10" w:space="0"/>
            </w:tcBorders>
            <w:vAlign w:val="top"/>
          </w:tcPr>
          <w:p w14:paraId="7207675C">
            <w:pPr>
              <w:pStyle w:val="23"/>
              <w:spacing w:before="144" w:line="228" w:lineRule="auto"/>
              <w:ind w:left="258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32A9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2DFCAD70">
            <w:pPr>
              <w:spacing w:line="252" w:lineRule="auto"/>
              <w:rPr>
                <w:rFonts w:ascii="Arial"/>
                <w:color w:val="auto"/>
                <w:sz w:val="21"/>
                <w:highlight w:val="none"/>
              </w:rPr>
            </w:pPr>
          </w:p>
          <w:p w14:paraId="43FE50BB">
            <w:pPr>
              <w:spacing w:line="253" w:lineRule="auto"/>
              <w:rPr>
                <w:rFonts w:ascii="Arial"/>
                <w:color w:val="auto"/>
                <w:sz w:val="21"/>
                <w:highlight w:val="none"/>
              </w:rPr>
            </w:pPr>
          </w:p>
          <w:p w14:paraId="3FF89572">
            <w:pPr>
              <w:spacing w:line="253" w:lineRule="auto"/>
              <w:rPr>
                <w:rFonts w:ascii="Arial"/>
                <w:color w:val="auto"/>
                <w:sz w:val="21"/>
                <w:highlight w:val="none"/>
              </w:rPr>
            </w:pPr>
          </w:p>
          <w:p w14:paraId="245CE8D1">
            <w:pPr>
              <w:spacing w:line="253" w:lineRule="auto"/>
              <w:rPr>
                <w:rFonts w:ascii="Arial"/>
                <w:color w:val="auto"/>
                <w:sz w:val="21"/>
                <w:highlight w:val="none"/>
              </w:rPr>
            </w:pPr>
          </w:p>
          <w:p w14:paraId="39524925">
            <w:pPr>
              <w:spacing w:line="253" w:lineRule="auto"/>
              <w:rPr>
                <w:rFonts w:ascii="Arial"/>
                <w:color w:val="auto"/>
                <w:sz w:val="21"/>
                <w:highlight w:val="none"/>
              </w:rPr>
            </w:pPr>
          </w:p>
          <w:p w14:paraId="7ED39B00">
            <w:pPr>
              <w:spacing w:line="253" w:lineRule="auto"/>
              <w:rPr>
                <w:rFonts w:ascii="Arial"/>
                <w:color w:val="auto"/>
                <w:sz w:val="21"/>
                <w:highlight w:val="none"/>
              </w:rPr>
            </w:pPr>
          </w:p>
          <w:p w14:paraId="2C01FBAF">
            <w:pPr>
              <w:spacing w:line="253" w:lineRule="auto"/>
              <w:rPr>
                <w:rFonts w:ascii="Arial"/>
                <w:color w:val="auto"/>
                <w:sz w:val="21"/>
                <w:highlight w:val="none"/>
              </w:rPr>
            </w:pPr>
          </w:p>
          <w:p w14:paraId="68B7241E">
            <w:pPr>
              <w:spacing w:line="253" w:lineRule="auto"/>
              <w:rPr>
                <w:rFonts w:ascii="Arial"/>
                <w:color w:val="auto"/>
                <w:sz w:val="21"/>
                <w:highlight w:val="none"/>
              </w:rPr>
            </w:pPr>
          </w:p>
          <w:p w14:paraId="1A605494">
            <w:pPr>
              <w:spacing w:line="253" w:lineRule="auto"/>
              <w:rPr>
                <w:rFonts w:ascii="Arial"/>
                <w:color w:val="auto"/>
                <w:sz w:val="21"/>
                <w:highlight w:val="none"/>
              </w:rPr>
            </w:pPr>
          </w:p>
          <w:p w14:paraId="1EB45CDA">
            <w:pPr>
              <w:pStyle w:val="23"/>
              <w:spacing w:before="65" w:line="300" w:lineRule="exact"/>
              <w:ind w:left="160"/>
              <w:rPr>
                <w:color w:val="auto"/>
                <w:highlight w:val="none"/>
              </w:rPr>
            </w:pPr>
            <w:r>
              <w:rPr>
                <w:color w:val="auto"/>
                <w:spacing w:val="2"/>
                <w:position w:val="6"/>
                <w:highlight w:val="none"/>
              </w:rPr>
              <w:t>安全</w:t>
            </w:r>
          </w:p>
          <w:p w14:paraId="1A4134F5">
            <w:pPr>
              <w:pStyle w:val="23"/>
              <w:spacing w:line="230" w:lineRule="auto"/>
              <w:ind w:left="155"/>
              <w:rPr>
                <w:color w:val="auto"/>
                <w:highlight w:val="none"/>
              </w:rPr>
            </w:pPr>
            <w:r>
              <w:rPr>
                <w:color w:val="auto"/>
                <w:spacing w:val="5"/>
                <w:highlight w:val="none"/>
              </w:rPr>
              <w:t>施工</w:t>
            </w:r>
          </w:p>
        </w:tc>
        <w:tc>
          <w:tcPr>
            <w:tcW w:w="523" w:type="dxa"/>
            <w:vMerge w:val="restart"/>
            <w:tcBorders>
              <w:bottom w:val="nil"/>
            </w:tcBorders>
            <w:textDirection w:val="tbRlV"/>
            <w:vAlign w:val="top"/>
          </w:tcPr>
          <w:p w14:paraId="565D0E50">
            <w:pPr>
              <w:pStyle w:val="23"/>
              <w:spacing w:before="163" w:line="216" w:lineRule="auto"/>
              <w:ind w:left="1451"/>
              <w:rPr>
                <w:color w:val="auto"/>
                <w:highlight w:val="none"/>
              </w:rPr>
            </w:pPr>
            <w:r>
              <w:rPr>
                <w:color w:val="auto"/>
                <w:spacing w:val="8"/>
                <w:highlight w:val="none"/>
              </w:rPr>
              <w:t>高</w:t>
            </w:r>
            <w:r>
              <w:rPr>
                <w:color w:val="auto"/>
                <w:spacing w:val="-6"/>
                <w:highlight w:val="none"/>
              </w:rPr>
              <w:t xml:space="preserve"> </w:t>
            </w:r>
            <w:r>
              <w:rPr>
                <w:color w:val="auto"/>
                <w:spacing w:val="8"/>
                <w:highlight w:val="none"/>
              </w:rPr>
              <w:t>处</w:t>
            </w:r>
            <w:r>
              <w:rPr>
                <w:color w:val="auto"/>
                <w:spacing w:val="-8"/>
                <w:highlight w:val="none"/>
              </w:rPr>
              <w:t xml:space="preserve"> </w:t>
            </w:r>
            <w:r>
              <w:rPr>
                <w:color w:val="auto"/>
                <w:spacing w:val="8"/>
                <w:highlight w:val="none"/>
              </w:rPr>
              <w:t>作</w:t>
            </w:r>
            <w:r>
              <w:rPr>
                <w:color w:val="auto"/>
                <w:spacing w:val="-9"/>
                <w:highlight w:val="none"/>
              </w:rPr>
              <w:t xml:space="preserve"> </w:t>
            </w:r>
            <w:r>
              <w:rPr>
                <w:color w:val="auto"/>
                <w:spacing w:val="8"/>
                <w:highlight w:val="none"/>
              </w:rPr>
              <w:t>业</w:t>
            </w:r>
            <w:r>
              <w:rPr>
                <w:color w:val="auto"/>
                <w:spacing w:val="-9"/>
                <w:highlight w:val="none"/>
              </w:rPr>
              <w:t xml:space="preserve"> </w:t>
            </w:r>
            <w:r>
              <w:rPr>
                <w:color w:val="auto"/>
                <w:spacing w:val="8"/>
                <w:highlight w:val="none"/>
              </w:rPr>
              <w:t>防</w:t>
            </w:r>
            <w:r>
              <w:rPr>
                <w:color w:val="auto"/>
                <w:spacing w:val="-9"/>
                <w:highlight w:val="none"/>
              </w:rPr>
              <w:t xml:space="preserve"> </w:t>
            </w:r>
            <w:r>
              <w:rPr>
                <w:color w:val="auto"/>
                <w:spacing w:val="8"/>
                <w:highlight w:val="none"/>
              </w:rPr>
              <w:t>护</w:t>
            </w:r>
          </w:p>
        </w:tc>
        <w:tc>
          <w:tcPr>
            <w:tcW w:w="1541" w:type="dxa"/>
            <w:vAlign w:val="top"/>
          </w:tcPr>
          <w:p w14:paraId="4B71624C">
            <w:pPr>
              <w:pStyle w:val="23"/>
              <w:spacing w:before="64" w:line="244" w:lineRule="auto"/>
              <w:ind w:left="120" w:right="145" w:hanging="16"/>
              <w:rPr>
                <w:color w:val="auto"/>
                <w:highlight w:val="none"/>
              </w:rPr>
            </w:pPr>
            <w:r>
              <w:rPr>
                <w:color w:val="auto"/>
                <w:spacing w:val="14"/>
                <w:highlight w:val="none"/>
              </w:rPr>
              <w:t>楼层、屋面、</w:t>
            </w:r>
            <w:r>
              <w:rPr>
                <w:color w:val="auto"/>
                <w:highlight w:val="none"/>
              </w:rPr>
              <w:t xml:space="preserve"> </w:t>
            </w:r>
            <w:r>
              <w:rPr>
                <w:color w:val="auto"/>
                <w:spacing w:val="5"/>
                <w:highlight w:val="none"/>
              </w:rPr>
              <w:t>阳台等临边</w:t>
            </w:r>
          </w:p>
        </w:tc>
        <w:tc>
          <w:tcPr>
            <w:tcW w:w="6642" w:type="dxa"/>
            <w:tcBorders>
              <w:right w:val="single" w:color="000000" w:sz="10" w:space="0"/>
            </w:tcBorders>
            <w:vAlign w:val="top"/>
          </w:tcPr>
          <w:p w14:paraId="400DD9C5">
            <w:pPr>
              <w:pStyle w:val="23"/>
              <w:spacing w:before="214" w:line="227" w:lineRule="auto"/>
              <w:ind w:left="113"/>
              <w:rPr>
                <w:color w:val="auto"/>
                <w:highlight w:val="none"/>
              </w:rPr>
            </w:pPr>
            <w:r>
              <w:rPr>
                <w:color w:val="auto"/>
                <w:spacing w:val="8"/>
                <w:highlight w:val="none"/>
              </w:rPr>
              <w:t>设两道防护栏杆和</w:t>
            </w:r>
            <w:r>
              <w:rPr>
                <w:color w:val="auto"/>
                <w:spacing w:val="-24"/>
                <w:highlight w:val="none"/>
              </w:rPr>
              <w:t xml:space="preserve"> </w:t>
            </w:r>
            <w:r>
              <w:rPr>
                <w:color w:val="auto"/>
                <w:spacing w:val="8"/>
                <w:highlight w:val="none"/>
              </w:rPr>
              <w:t>18</w:t>
            </w:r>
            <w:r>
              <w:rPr>
                <w:color w:val="auto"/>
                <w:highlight w:val="none"/>
              </w:rPr>
              <w:t>cm</w:t>
            </w:r>
            <w:r>
              <w:rPr>
                <w:color w:val="auto"/>
                <w:spacing w:val="-35"/>
                <w:highlight w:val="none"/>
              </w:rPr>
              <w:t xml:space="preserve"> </w:t>
            </w:r>
            <w:r>
              <w:rPr>
                <w:color w:val="auto"/>
                <w:spacing w:val="8"/>
                <w:highlight w:val="none"/>
              </w:rPr>
              <w:t>高的踢脚板，用密目式安全</w:t>
            </w:r>
            <w:r>
              <w:rPr>
                <w:color w:val="auto"/>
                <w:spacing w:val="7"/>
                <w:highlight w:val="none"/>
              </w:rPr>
              <w:t>立网全封闭。</w:t>
            </w:r>
          </w:p>
        </w:tc>
      </w:tr>
      <w:tr w14:paraId="7BBF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57749FB9">
            <w:pPr>
              <w:rPr>
                <w:rFonts w:ascii="Arial"/>
                <w:color w:val="auto"/>
                <w:sz w:val="21"/>
                <w:highlight w:val="none"/>
              </w:rPr>
            </w:pPr>
          </w:p>
        </w:tc>
        <w:tc>
          <w:tcPr>
            <w:tcW w:w="523" w:type="dxa"/>
            <w:vMerge w:val="continue"/>
            <w:tcBorders>
              <w:top w:val="nil"/>
              <w:bottom w:val="nil"/>
            </w:tcBorders>
            <w:textDirection w:val="tbRlV"/>
            <w:vAlign w:val="top"/>
          </w:tcPr>
          <w:p w14:paraId="05C7DB55">
            <w:pPr>
              <w:rPr>
                <w:rFonts w:ascii="Arial"/>
                <w:color w:val="auto"/>
                <w:sz w:val="21"/>
                <w:highlight w:val="none"/>
              </w:rPr>
            </w:pPr>
          </w:p>
        </w:tc>
        <w:tc>
          <w:tcPr>
            <w:tcW w:w="1541" w:type="dxa"/>
            <w:vAlign w:val="top"/>
          </w:tcPr>
          <w:p w14:paraId="458A4BE7">
            <w:pPr>
              <w:pStyle w:val="23"/>
              <w:spacing w:before="216" w:line="234" w:lineRule="auto"/>
              <w:ind w:left="105"/>
              <w:rPr>
                <w:color w:val="auto"/>
                <w:highlight w:val="none"/>
              </w:rPr>
            </w:pPr>
            <w:r>
              <w:rPr>
                <w:color w:val="auto"/>
                <w:spacing w:val="6"/>
                <w:highlight w:val="none"/>
              </w:rPr>
              <w:t>通道口</w:t>
            </w:r>
          </w:p>
        </w:tc>
        <w:tc>
          <w:tcPr>
            <w:tcW w:w="6642" w:type="dxa"/>
            <w:tcBorders>
              <w:right w:val="single" w:color="000000" w:sz="10" w:space="0"/>
            </w:tcBorders>
            <w:vAlign w:val="top"/>
          </w:tcPr>
          <w:p w14:paraId="3B3F90E2">
            <w:pPr>
              <w:pStyle w:val="23"/>
              <w:spacing w:before="66" w:line="243" w:lineRule="auto"/>
              <w:ind w:left="111" w:right="132" w:firstLine="2"/>
              <w:rPr>
                <w:color w:val="auto"/>
                <w:highlight w:val="none"/>
              </w:rPr>
            </w:pPr>
            <w:r>
              <w:rPr>
                <w:color w:val="auto"/>
                <w:spacing w:val="7"/>
                <w:highlight w:val="none"/>
              </w:rPr>
              <w:t>设防护棚，防护棚应为不小于</w:t>
            </w:r>
            <w:r>
              <w:rPr>
                <w:color w:val="auto"/>
                <w:spacing w:val="-33"/>
                <w:highlight w:val="none"/>
              </w:rPr>
              <w:t xml:space="preserve"> </w:t>
            </w:r>
            <w:r>
              <w:rPr>
                <w:color w:val="auto"/>
                <w:spacing w:val="7"/>
                <w:highlight w:val="none"/>
              </w:rPr>
              <w:t>5</w:t>
            </w:r>
            <w:r>
              <w:rPr>
                <w:color w:val="auto"/>
                <w:highlight w:val="none"/>
              </w:rPr>
              <w:t>cm</w:t>
            </w:r>
            <w:r>
              <w:rPr>
                <w:color w:val="auto"/>
                <w:spacing w:val="-35"/>
                <w:highlight w:val="none"/>
              </w:rPr>
              <w:t xml:space="preserve"> </w:t>
            </w:r>
            <w:r>
              <w:rPr>
                <w:color w:val="auto"/>
                <w:spacing w:val="7"/>
                <w:highlight w:val="none"/>
              </w:rPr>
              <w:t>厚的木板或两道相距</w:t>
            </w:r>
            <w:r>
              <w:rPr>
                <w:color w:val="auto"/>
                <w:spacing w:val="-33"/>
                <w:highlight w:val="none"/>
              </w:rPr>
              <w:t xml:space="preserve"> </w:t>
            </w:r>
            <w:r>
              <w:rPr>
                <w:color w:val="auto"/>
                <w:spacing w:val="7"/>
                <w:highlight w:val="none"/>
              </w:rPr>
              <w:t>50</w:t>
            </w:r>
            <w:r>
              <w:rPr>
                <w:color w:val="auto"/>
                <w:highlight w:val="none"/>
              </w:rPr>
              <w:t>cm</w:t>
            </w:r>
            <w:r>
              <w:rPr>
                <w:color w:val="auto"/>
                <w:spacing w:val="-20"/>
                <w:highlight w:val="none"/>
              </w:rPr>
              <w:t xml:space="preserve"> </w:t>
            </w:r>
            <w:r>
              <w:rPr>
                <w:color w:val="auto"/>
                <w:spacing w:val="7"/>
                <w:highlight w:val="none"/>
              </w:rPr>
              <w:t>的竹</w:t>
            </w:r>
            <w:r>
              <w:rPr>
                <w:color w:val="auto"/>
                <w:spacing w:val="6"/>
                <w:highlight w:val="none"/>
              </w:rPr>
              <w:t>笆。</w:t>
            </w:r>
            <w:r>
              <w:rPr>
                <w:color w:val="auto"/>
                <w:highlight w:val="none"/>
              </w:rPr>
              <w:t xml:space="preserve"> </w:t>
            </w:r>
            <w:r>
              <w:rPr>
                <w:color w:val="auto"/>
                <w:spacing w:val="8"/>
                <w:highlight w:val="none"/>
              </w:rPr>
              <w:t>两侧应沿栏杆架用密目式安全网封闭。</w:t>
            </w:r>
          </w:p>
        </w:tc>
      </w:tr>
      <w:tr w14:paraId="08EA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370D6AD4">
            <w:pPr>
              <w:rPr>
                <w:rFonts w:ascii="Arial"/>
                <w:color w:val="auto"/>
                <w:sz w:val="21"/>
                <w:highlight w:val="none"/>
              </w:rPr>
            </w:pPr>
          </w:p>
        </w:tc>
        <w:tc>
          <w:tcPr>
            <w:tcW w:w="523" w:type="dxa"/>
            <w:vMerge w:val="continue"/>
            <w:tcBorders>
              <w:top w:val="nil"/>
              <w:bottom w:val="nil"/>
            </w:tcBorders>
            <w:textDirection w:val="tbRlV"/>
            <w:vAlign w:val="top"/>
          </w:tcPr>
          <w:p w14:paraId="6F9CCF87">
            <w:pPr>
              <w:rPr>
                <w:rFonts w:ascii="Arial"/>
                <w:color w:val="auto"/>
                <w:sz w:val="21"/>
                <w:highlight w:val="none"/>
              </w:rPr>
            </w:pPr>
          </w:p>
        </w:tc>
        <w:tc>
          <w:tcPr>
            <w:tcW w:w="1541" w:type="dxa"/>
            <w:vAlign w:val="top"/>
          </w:tcPr>
          <w:p w14:paraId="5AE32869">
            <w:pPr>
              <w:pStyle w:val="23"/>
              <w:spacing w:before="217" w:line="228" w:lineRule="auto"/>
              <w:ind w:left="107"/>
              <w:rPr>
                <w:color w:val="auto"/>
                <w:highlight w:val="none"/>
              </w:rPr>
            </w:pPr>
            <w:r>
              <w:rPr>
                <w:color w:val="auto"/>
                <w:spacing w:val="6"/>
                <w:highlight w:val="none"/>
              </w:rPr>
              <w:t>预留洞口</w:t>
            </w:r>
          </w:p>
        </w:tc>
        <w:tc>
          <w:tcPr>
            <w:tcW w:w="6642" w:type="dxa"/>
            <w:tcBorders>
              <w:right w:val="single" w:color="000000" w:sz="10" w:space="0"/>
            </w:tcBorders>
            <w:vAlign w:val="top"/>
          </w:tcPr>
          <w:p w14:paraId="33761A1F">
            <w:pPr>
              <w:pStyle w:val="23"/>
              <w:spacing w:before="68" w:line="242" w:lineRule="auto"/>
              <w:ind w:left="123" w:right="99" w:hanging="11"/>
              <w:rPr>
                <w:color w:val="auto"/>
                <w:highlight w:val="none"/>
              </w:rPr>
            </w:pPr>
            <w:r>
              <w:rPr>
                <w:color w:val="auto"/>
                <w:spacing w:val="9"/>
                <w:highlight w:val="none"/>
              </w:rPr>
              <w:t>用硬质材料全封闭，短边超过</w:t>
            </w:r>
            <w:r>
              <w:rPr>
                <w:color w:val="auto"/>
                <w:spacing w:val="-24"/>
                <w:highlight w:val="none"/>
              </w:rPr>
              <w:t xml:space="preserve"> </w:t>
            </w:r>
            <w:r>
              <w:rPr>
                <w:color w:val="auto"/>
                <w:spacing w:val="9"/>
                <w:highlight w:val="none"/>
              </w:rPr>
              <w:t>1.5m</w:t>
            </w:r>
            <w:r>
              <w:rPr>
                <w:color w:val="auto"/>
                <w:spacing w:val="-39"/>
                <w:highlight w:val="none"/>
              </w:rPr>
              <w:t xml:space="preserve"> </w:t>
            </w:r>
            <w:r>
              <w:rPr>
                <w:color w:val="auto"/>
                <w:spacing w:val="9"/>
                <w:highlight w:val="none"/>
              </w:rPr>
              <w:t>长的洞口</w:t>
            </w:r>
            <w:r>
              <w:rPr>
                <w:color w:val="auto"/>
                <w:spacing w:val="8"/>
                <w:highlight w:val="none"/>
              </w:rPr>
              <w:t>，除封闭外四周还应设有</w:t>
            </w:r>
            <w:r>
              <w:rPr>
                <w:color w:val="auto"/>
                <w:highlight w:val="none"/>
              </w:rPr>
              <w:t xml:space="preserve"> </w:t>
            </w:r>
            <w:r>
              <w:rPr>
                <w:color w:val="auto"/>
                <w:spacing w:val="3"/>
                <w:highlight w:val="none"/>
              </w:rPr>
              <w:t>防护栏杆。</w:t>
            </w:r>
          </w:p>
        </w:tc>
      </w:tr>
      <w:tr w14:paraId="438C4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0" w:type="dxa"/>
            <w:vMerge w:val="continue"/>
            <w:tcBorders>
              <w:top w:val="nil"/>
              <w:left w:val="single" w:color="000000" w:sz="10" w:space="0"/>
              <w:bottom w:val="nil"/>
            </w:tcBorders>
            <w:vAlign w:val="top"/>
          </w:tcPr>
          <w:p w14:paraId="25E95CD5">
            <w:pPr>
              <w:rPr>
                <w:rFonts w:ascii="Arial"/>
                <w:color w:val="auto"/>
                <w:sz w:val="21"/>
                <w:highlight w:val="none"/>
              </w:rPr>
            </w:pPr>
          </w:p>
        </w:tc>
        <w:tc>
          <w:tcPr>
            <w:tcW w:w="523" w:type="dxa"/>
            <w:vMerge w:val="continue"/>
            <w:tcBorders>
              <w:top w:val="nil"/>
              <w:bottom w:val="nil"/>
            </w:tcBorders>
            <w:textDirection w:val="tbRlV"/>
            <w:vAlign w:val="top"/>
          </w:tcPr>
          <w:p w14:paraId="0AB9D45E">
            <w:pPr>
              <w:rPr>
                <w:rFonts w:ascii="Arial"/>
                <w:color w:val="auto"/>
                <w:sz w:val="21"/>
                <w:highlight w:val="none"/>
              </w:rPr>
            </w:pPr>
          </w:p>
        </w:tc>
        <w:tc>
          <w:tcPr>
            <w:tcW w:w="1541" w:type="dxa"/>
            <w:vAlign w:val="top"/>
          </w:tcPr>
          <w:p w14:paraId="305600CB">
            <w:pPr>
              <w:pStyle w:val="23"/>
              <w:spacing w:before="222" w:line="228" w:lineRule="auto"/>
              <w:ind w:left="130"/>
              <w:rPr>
                <w:color w:val="auto"/>
                <w:highlight w:val="none"/>
              </w:rPr>
            </w:pPr>
            <w:r>
              <w:rPr>
                <w:color w:val="auto"/>
                <w:spacing w:val="1"/>
                <w:highlight w:val="none"/>
              </w:rPr>
              <w:t>电梯井口</w:t>
            </w:r>
          </w:p>
        </w:tc>
        <w:tc>
          <w:tcPr>
            <w:tcW w:w="6642" w:type="dxa"/>
            <w:tcBorders>
              <w:right w:val="single" w:color="000000" w:sz="10" w:space="0"/>
            </w:tcBorders>
            <w:vAlign w:val="top"/>
          </w:tcPr>
          <w:p w14:paraId="3BD35F8A">
            <w:pPr>
              <w:pStyle w:val="23"/>
              <w:spacing w:before="73" w:line="242" w:lineRule="auto"/>
              <w:ind w:left="108" w:right="97" w:firstLine="5"/>
              <w:rPr>
                <w:color w:val="auto"/>
                <w:highlight w:val="none"/>
              </w:rPr>
            </w:pPr>
            <w:r>
              <w:rPr>
                <w:color w:val="auto"/>
                <w:spacing w:val="6"/>
                <w:highlight w:val="none"/>
              </w:rPr>
              <w:t>设置定型化、工具化的防护门，在电梯井内每隔</w:t>
            </w:r>
            <w:r>
              <w:rPr>
                <w:color w:val="auto"/>
                <w:spacing w:val="-16"/>
                <w:highlight w:val="none"/>
              </w:rPr>
              <w:t xml:space="preserve"> </w:t>
            </w:r>
            <w:r>
              <w:rPr>
                <w:color w:val="auto"/>
                <w:spacing w:val="6"/>
                <w:highlight w:val="none"/>
              </w:rPr>
              <w:t>2</w:t>
            </w:r>
            <w:r>
              <w:rPr>
                <w:color w:val="auto"/>
                <w:spacing w:val="-40"/>
                <w:highlight w:val="none"/>
              </w:rPr>
              <w:t xml:space="preserve"> </w:t>
            </w:r>
            <w:r>
              <w:rPr>
                <w:color w:val="auto"/>
                <w:spacing w:val="6"/>
                <w:highlight w:val="none"/>
              </w:rPr>
              <w:t>层（不大于</w:t>
            </w:r>
            <w:r>
              <w:rPr>
                <w:color w:val="auto"/>
                <w:spacing w:val="-22"/>
                <w:highlight w:val="none"/>
              </w:rPr>
              <w:t xml:space="preserve"> </w:t>
            </w:r>
            <w:r>
              <w:rPr>
                <w:color w:val="auto"/>
                <w:spacing w:val="6"/>
                <w:highlight w:val="none"/>
              </w:rPr>
              <w:t>10m）设</w:t>
            </w:r>
            <w:r>
              <w:rPr>
                <w:color w:val="auto"/>
                <w:highlight w:val="none"/>
              </w:rPr>
              <w:t xml:space="preserve"> </w:t>
            </w:r>
            <w:r>
              <w:rPr>
                <w:color w:val="auto"/>
                <w:spacing w:val="7"/>
                <w:highlight w:val="none"/>
              </w:rPr>
              <w:t>置一道水平防护。</w:t>
            </w:r>
          </w:p>
        </w:tc>
      </w:tr>
      <w:tr w14:paraId="3CED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0" w:type="dxa"/>
            <w:vMerge w:val="continue"/>
            <w:tcBorders>
              <w:top w:val="nil"/>
              <w:left w:val="single" w:color="000000" w:sz="10" w:space="0"/>
              <w:bottom w:val="nil"/>
            </w:tcBorders>
            <w:vAlign w:val="top"/>
          </w:tcPr>
          <w:p w14:paraId="2F06E1D6">
            <w:pPr>
              <w:rPr>
                <w:rFonts w:ascii="Arial"/>
                <w:color w:val="auto"/>
                <w:sz w:val="21"/>
                <w:highlight w:val="none"/>
              </w:rPr>
            </w:pPr>
          </w:p>
        </w:tc>
        <w:tc>
          <w:tcPr>
            <w:tcW w:w="523" w:type="dxa"/>
            <w:vMerge w:val="continue"/>
            <w:tcBorders>
              <w:top w:val="nil"/>
              <w:bottom w:val="nil"/>
            </w:tcBorders>
            <w:textDirection w:val="tbRlV"/>
            <w:vAlign w:val="top"/>
          </w:tcPr>
          <w:p w14:paraId="006225EA">
            <w:pPr>
              <w:rPr>
                <w:rFonts w:ascii="Arial"/>
                <w:color w:val="auto"/>
                <w:sz w:val="21"/>
                <w:highlight w:val="none"/>
              </w:rPr>
            </w:pPr>
          </w:p>
        </w:tc>
        <w:tc>
          <w:tcPr>
            <w:tcW w:w="1541" w:type="dxa"/>
            <w:vAlign w:val="top"/>
          </w:tcPr>
          <w:p w14:paraId="29CF4204">
            <w:pPr>
              <w:pStyle w:val="23"/>
              <w:spacing w:before="73" w:line="204" w:lineRule="auto"/>
              <w:ind w:left="104"/>
              <w:rPr>
                <w:color w:val="auto"/>
                <w:highlight w:val="none"/>
              </w:rPr>
            </w:pPr>
            <w:r>
              <w:rPr>
                <w:color w:val="auto"/>
                <w:spacing w:val="7"/>
                <w:highlight w:val="none"/>
              </w:rPr>
              <w:t>楼梯边</w:t>
            </w:r>
          </w:p>
        </w:tc>
        <w:tc>
          <w:tcPr>
            <w:tcW w:w="6642" w:type="dxa"/>
            <w:tcBorders>
              <w:right w:val="single" w:color="000000" w:sz="10" w:space="0"/>
            </w:tcBorders>
            <w:vAlign w:val="top"/>
          </w:tcPr>
          <w:p w14:paraId="6F2556F9">
            <w:pPr>
              <w:pStyle w:val="23"/>
              <w:spacing w:before="73" w:line="204" w:lineRule="auto"/>
              <w:ind w:left="113"/>
              <w:rPr>
                <w:color w:val="auto"/>
                <w:highlight w:val="none"/>
              </w:rPr>
            </w:pPr>
            <w:r>
              <w:rPr>
                <w:color w:val="auto"/>
                <w:spacing w:val="6"/>
                <w:highlight w:val="none"/>
              </w:rPr>
              <w:t>设</w:t>
            </w:r>
            <w:r>
              <w:rPr>
                <w:color w:val="auto"/>
                <w:spacing w:val="-9"/>
                <w:highlight w:val="none"/>
              </w:rPr>
              <w:t xml:space="preserve"> </w:t>
            </w:r>
            <w:r>
              <w:rPr>
                <w:color w:val="auto"/>
                <w:spacing w:val="6"/>
                <w:highlight w:val="none"/>
              </w:rPr>
              <w:t>1.2m</w:t>
            </w:r>
            <w:r>
              <w:rPr>
                <w:color w:val="auto"/>
                <w:spacing w:val="-35"/>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1D1EC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2CD2BF2">
            <w:pPr>
              <w:rPr>
                <w:rFonts w:ascii="Arial"/>
                <w:color w:val="auto"/>
                <w:sz w:val="21"/>
                <w:highlight w:val="none"/>
              </w:rPr>
            </w:pPr>
          </w:p>
        </w:tc>
        <w:tc>
          <w:tcPr>
            <w:tcW w:w="523" w:type="dxa"/>
            <w:vMerge w:val="continue"/>
            <w:tcBorders>
              <w:top w:val="nil"/>
              <w:bottom w:val="nil"/>
            </w:tcBorders>
            <w:textDirection w:val="tbRlV"/>
            <w:vAlign w:val="top"/>
          </w:tcPr>
          <w:p w14:paraId="137E0F0B">
            <w:pPr>
              <w:rPr>
                <w:rFonts w:ascii="Arial"/>
                <w:color w:val="auto"/>
                <w:sz w:val="21"/>
                <w:highlight w:val="none"/>
              </w:rPr>
            </w:pPr>
          </w:p>
        </w:tc>
        <w:tc>
          <w:tcPr>
            <w:tcW w:w="1541" w:type="dxa"/>
            <w:vAlign w:val="top"/>
          </w:tcPr>
          <w:p w14:paraId="2B0F8DE7">
            <w:pPr>
              <w:pStyle w:val="23"/>
              <w:spacing w:before="74"/>
              <w:ind w:left="106" w:right="111"/>
              <w:rPr>
                <w:color w:val="auto"/>
                <w:highlight w:val="none"/>
              </w:rPr>
            </w:pPr>
            <w:r>
              <w:rPr>
                <w:color w:val="auto"/>
                <w:spacing w:val="19"/>
                <w:highlight w:val="none"/>
              </w:rPr>
              <w:t>垂直方向交叉</w:t>
            </w:r>
            <w:r>
              <w:rPr>
                <w:color w:val="auto"/>
                <w:spacing w:val="3"/>
                <w:highlight w:val="none"/>
              </w:rPr>
              <w:t xml:space="preserve"> </w:t>
            </w:r>
            <w:r>
              <w:rPr>
                <w:color w:val="auto"/>
                <w:spacing w:val="4"/>
                <w:highlight w:val="none"/>
              </w:rPr>
              <w:t>作业</w:t>
            </w:r>
          </w:p>
        </w:tc>
        <w:tc>
          <w:tcPr>
            <w:tcW w:w="6642" w:type="dxa"/>
            <w:tcBorders>
              <w:right w:val="single" w:color="000000" w:sz="10" w:space="0"/>
            </w:tcBorders>
            <w:vAlign w:val="top"/>
          </w:tcPr>
          <w:p w14:paraId="500FDAA8">
            <w:pPr>
              <w:pStyle w:val="23"/>
              <w:spacing w:before="224" w:line="225" w:lineRule="auto"/>
              <w:ind w:left="113"/>
              <w:rPr>
                <w:color w:val="auto"/>
                <w:highlight w:val="none"/>
              </w:rPr>
            </w:pPr>
            <w:r>
              <w:rPr>
                <w:color w:val="auto"/>
                <w:spacing w:val="8"/>
                <w:highlight w:val="none"/>
              </w:rPr>
              <w:t>设置防护隔离棚或其它设施。</w:t>
            </w:r>
          </w:p>
        </w:tc>
      </w:tr>
      <w:tr w14:paraId="16ECC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52AD9B19">
            <w:pPr>
              <w:rPr>
                <w:rFonts w:ascii="Arial"/>
                <w:color w:val="auto"/>
                <w:sz w:val="21"/>
                <w:highlight w:val="none"/>
              </w:rPr>
            </w:pPr>
          </w:p>
        </w:tc>
        <w:tc>
          <w:tcPr>
            <w:tcW w:w="523" w:type="dxa"/>
            <w:vMerge w:val="continue"/>
            <w:tcBorders>
              <w:top w:val="nil"/>
              <w:bottom w:val="nil"/>
            </w:tcBorders>
            <w:textDirection w:val="tbRlV"/>
            <w:vAlign w:val="top"/>
          </w:tcPr>
          <w:p w14:paraId="76DC51D8">
            <w:pPr>
              <w:rPr>
                <w:rFonts w:ascii="Arial"/>
                <w:color w:val="auto"/>
                <w:sz w:val="21"/>
                <w:highlight w:val="none"/>
              </w:rPr>
            </w:pPr>
          </w:p>
        </w:tc>
        <w:tc>
          <w:tcPr>
            <w:tcW w:w="1541" w:type="dxa"/>
            <w:vAlign w:val="top"/>
          </w:tcPr>
          <w:p w14:paraId="6216C010">
            <w:pPr>
              <w:pStyle w:val="23"/>
              <w:spacing w:before="224" w:line="228" w:lineRule="auto"/>
              <w:ind w:left="111"/>
              <w:rPr>
                <w:color w:val="auto"/>
                <w:highlight w:val="none"/>
              </w:rPr>
            </w:pPr>
            <w:r>
              <w:rPr>
                <w:color w:val="auto"/>
                <w:spacing w:val="5"/>
                <w:highlight w:val="none"/>
              </w:rPr>
              <w:t>高处作业</w:t>
            </w:r>
          </w:p>
        </w:tc>
        <w:tc>
          <w:tcPr>
            <w:tcW w:w="6642" w:type="dxa"/>
            <w:tcBorders>
              <w:right w:val="single" w:color="000000" w:sz="10" w:space="0"/>
            </w:tcBorders>
            <w:vAlign w:val="top"/>
          </w:tcPr>
          <w:p w14:paraId="7F01BB7C">
            <w:pPr>
              <w:pStyle w:val="23"/>
              <w:spacing w:before="74"/>
              <w:ind w:left="114" w:right="99" w:hanging="3"/>
              <w:rPr>
                <w:color w:val="auto"/>
                <w:highlight w:val="none"/>
              </w:rPr>
            </w:pPr>
            <w:r>
              <w:rPr>
                <w:color w:val="auto"/>
                <w:spacing w:val="7"/>
                <w:highlight w:val="none"/>
              </w:rPr>
              <w:t>有悬挂安全带的悬索或其它设施，有操作平台，有上下的梯子或</w:t>
            </w:r>
            <w:r>
              <w:rPr>
                <w:color w:val="auto"/>
                <w:spacing w:val="6"/>
                <w:highlight w:val="none"/>
              </w:rPr>
              <w:t>其它形</w:t>
            </w:r>
            <w:r>
              <w:rPr>
                <w:color w:val="auto"/>
                <w:highlight w:val="none"/>
              </w:rPr>
              <w:t xml:space="preserve"> </w:t>
            </w:r>
            <w:r>
              <w:rPr>
                <w:color w:val="auto"/>
                <w:spacing w:val="5"/>
                <w:highlight w:val="none"/>
              </w:rPr>
              <w:t>式的通道。</w:t>
            </w:r>
          </w:p>
        </w:tc>
      </w:tr>
      <w:tr w14:paraId="4A26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C8A4F4C">
            <w:pPr>
              <w:rPr>
                <w:rFonts w:ascii="Arial"/>
                <w:color w:val="auto"/>
                <w:sz w:val="21"/>
                <w:highlight w:val="none"/>
              </w:rPr>
            </w:pPr>
          </w:p>
        </w:tc>
        <w:tc>
          <w:tcPr>
            <w:tcW w:w="523" w:type="dxa"/>
            <w:vMerge w:val="continue"/>
            <w:tcBorders>
              <w:top w:val="nil"/>
            </w:tcBorders>
            <w:textDirection w:val="tbRlV"/>
            <w:vAlign w:val="top"/>
          </w:tcPr>
          <w:p w14:paraId="3D2DCBCD">
            <w:pPr>
              <w:rPr>
                <w:rFonts w:ascii="Arial"/>
                <w:color w:val="auto"/>
                <w:sz w:val="21"/>
                <w:highlight w:val="none"/>
              </w:rPr>
            </w:pPr>
          </w:p>
        </w:tc>
        <w:tc>
          <w:tcPr>
            <w:tcW w:w="1541" w:type="dxa"/>
            <w:vAlign w:val="top"/>
          </w:tcPr>
          <w:p w14:paraId="5773E022">
            <w:pPr>
              <w:pStyle w:val="23"/>
              <w:spacing w:before="74"/>
              <w:ind w:left="121" w:right="111" w:hanging="16"/>
              <w:rPr>
                <w:color w:val="auto"/>
                <w:highlight w:val="none"/>
              </w:rPr>
            </w:pPr>
            <w:r>
              <w:rPr>
                <w:color w:val="auto"/>
                <w:spacing w:val="19"/>
                <w:highlight w:val="none"/>
              </w:rPr>
              <w:t>基坑、物料平</w:t>
            </w:r>
            <w:r>
              <w:rPr>
                <w:color w:val="auto"/>
                <w:spacing w:val="4"/>
                <w:highlight w:val="none"/>
              </w:rPr>
              <w:t xml:space="preserve"> </w:t>
            </w:r>
            <w:r>
              <w:rPr>
                <w:color w:val="auto"/>
                <w:highlight w:val="none"/>
              </w:rPr>
              <w:t>台</w:t>
            </w:r>
          </w:p>
        </w:tc>
        <w:tc>
          <w:tcPr>
            <w:tcW w:w="6642" w:type="dxa"/>
            <w:tcBorders>
              <w:right w:val="single" w:color="000000" w:sz="10" w:space="0"/>
            </w:tcBorders>
            <w:vAlign w:val="top"/>
          </w:tcPr>
          <w:p w14:paraId="4364D881">
            <w:pPr>
              <w:pStyle w:val="23"/>
              <w:spacing w:before="225" w:line="227" w:lineRule="auto"/>
              <w:ind w:left="113"/>
              <w:rPr>
                <w:color w:val="auto"/>
                <w:highlight w:val="none"/>
              </w:rPr>
            </w:pPr>
            <w:r>
              <w:rPr>
                <w:color w:val="auto"/>
                <w:spacing w:val="7"/>
                <w:highlight w:val="none"/>
              </w:rPr>
              <w:t>设</w:t>
            </w:r>
            <w:r>
              <w:rPr>
                <w:color w:val="auto"/>
                <w:spacing w:val="-16"/>
                <w:highlight w:val="none"/>
              </w:rPr>
              <w:t xml:space="preserve"> </w:t>
            </w:r>
            <w:r>
              <w:rPr>
                <w:color w:val="auto"/>
                <w:spacing w:val="7"/>
                <w:highlight w:val="none"/>
              </w:rPr>
              <w:t>1.2m</w:t>
            </w:r>
            <w:r>
              <w:rPr>
                <w:color w:val="auto"/>
                <w:spacing w:val="-35"/>
                <w:highlight w:val="none"/>
              </w:rPr>
              <w:t xml:space="preserve"> </w:t>
            </w:r>
            <w:r>
              <w:rPr>
                <w:color w:val="auto"/>
                <w:spacing w:val="7"/>
                <w:highlight w:val="none"/>
              </w:rPr>
              <w:t>高标准化的防护栏，用密目式安全立网封闭，悬挂标识。</w:t>
            </w:r>
          </w:p>
        </w:tc>
      </w:tr>
      <w:tr w14:paraId="4977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CD643F3">
            <w:pPr>
              <w:rPr>
                <w:rFonts w:ascii="Arial"/>
                <w:color w:val="auto"/>
                <w:sz w:val="21"/>
                <w:highlight w:val="none"/>
              </w:rPr>
            </w:pPr>
          </w:p>
        </w:tc>
        <w:tc>
          <w:tcPr>
            <w:tcW w:w="2064" w:type="dxa"/>
            <w:gridSpan w:val="2"/>
            <w:vAlign w:val="top"/>
          </w:tcPr>
          <w:p w14:paraId="3D55555B">
            <w:pPr>
              <w:pStyle w:val="23"/>
              <w:spacing w:before="225" w:line="228" w:lineRule="auto"/>
              <w:ind w:left="404"/>
              <w:rPr>
                <w:color w:val="auto"/>
                <w:highlight w:val="none"/>
              </w:rPr>
            </w:pPr>
            <w:r>
              <w:rPr>
                <w:color w:val="auto"/>
                <w:spacing w:val="7"/>
                <w:highlight w:val="none"/>
              </w:rPr>
              <w:t>安全防护用品</w:t>
            </w:r>
          </w:p>
        </w:tc>
        <w:tc>
          <w:tcPr>
            <w:tcW w:w="6642" w:type="dxa"/>
            <w:tcBorders>
              <w:right w:val="single" w:color="000000" w:sz="10" w:space="0"/>
            </w:tcBorders>
            <w:vAlign w:val="top"/>
          </w:tcPr>
          <w:p w14:paraId="4BC43FD0">
            <w:pPr>
              <w:pStyle w:val="23"/>
              <w:spacing w:before="78" w:line="238" w:lineRule="auto"/>
              <w:ind w:left="112" w:right="50" w:firstLine="2"/>
              <w:rPr>
                <w:color w:val="auto"/>
                <w:highlight w:val="none"/>
              </w:rPr>
            </w:pPr>
            <w:r>
              <w:rPr>
                <w:color w:val="auto"/>
                <w:spacing w:val="8"/>
                <w:highlight w:val="none"/>
              </w:rPr>
              <w:t>安全帽、安全带、特种作业人员（电工、焊工、架子工等）防护服装、</w:t>
            </w:r>
            <w:r>
              <w:rPr>
                <w:color w:val="auto"/>
                <w:spacing w:val="12"/>
                <w:highlight w:val="none"/>
              </w:rPr>
              <w:t xml:space="preserve"> </w:t>
            </w:r>
            <w:r>
              <w:rPr>
                <w:color w:val="auto"/>
                <w:spacing w:val="4"/>
                <w:highlight w:val="none"/>
              </w:rPr>
              <w:t>用品等。</w:t>
            </w:r>
          </w:p>
        </w:tc>
      </w:tr>
      <w:tr w14:paraId="51D7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50" w:type="dxa"/>
            <w:vMerge w:val="restart"/>
            <w:tcBorders>
              <w:left w:val="single" w:color="000000" w:sz="10" w:space="0"/>
              <w:bottom w:val="nil"/>
            </w:tcBorders>
            <w:vAlign w:val="top"/>
          </w:tcPr>
          <w:p w14:paraId="445BE750">
            <w:pPr>
              <w:spacing w:line="261" w:lineRule="auto"/>
              <w:rPr>
                <w:rFonts w:ascii="Arial"/>
                <w:color w:val="auto"/>
                <w:sz w:val="21"/>
                <w:highlight w:val="none"/>
              </w:rPr>
            </w:pPr>
          </w:p>
          <w:p w14:paraId="10DA8E64">
            <w:pPr>
              <w:spacing w:line="261" w:lineRule="auto"/>
              <w:rPr>
                <w:rFonts w:ascii="Arial"/>
                <w:color w:val="auto"/>
                <w:sz w:val="21"/>
                <w:highlight w:val="none"/>
              </w:rPr>
            </w:pPr>
          </w:p>
          <w:p w14:paraId="40AD1ED4">
            <w:pPr>
              <w:spacing w:line="261" w:lineRule="auto"/>
              <w:rPr>
                <w:rFonts w:ascii="Arial"/>
                <w:color w:val="auto"/>
                <w:sz w:val="21"/>
                <w:highlight w:val="none"/>
              </w:rPr>
            </w:pPr>
          </w:p>
          <w:p w14:paraId="63E3E2AD">
            <w:pPr>
              <w:spacing w:line="261" w:lineRule="auto"/>
              <w:rPr>
                <w:rFonts w:ascii="Arial"/>
                <w:color w:val="auto"/>
                <w:sz w:val="21"/>
                <w:highlight w:val="none"/>
              </w:rPr>
            </w:pPr>
          </w:p>
          <w:p w14:paraId="5F69F4B2">
            <w:pPr>
              <w:spacing w:line="262" w:lineRule="auto"/>
              <w:rPr>
                <w:rFonts w:ascii="Arial"/>
                <w:color w:val="auto"/>
                <w:sz w:val="21"/>
                <w:highlight w:val="none"/>
              </w:rPr>
            </w:pPr>
          </w:p>
          <w:p w14:paraId="57466FB1">
            <w:pPr>
              <w:spacing w:line="262" w:lineRule="auto"/>
              <w:rPr>
                <w:rFonts w:ascii="Arial"/>
                <w:color w:val="auto"/>
                <w:sz w:val="21"/>
                <w:highlight w:val="none"/>
              </w:rPr>
            </w:pPr>
          </w:p>
          <w:p w14:paraId="2E255624">
            <w:pPr>
              <w:pStyle w:val="23"/>
              <w:spacing w:before="65" w:line="225" w:lineRule="auto"/>
              <w:ind w:left="157"/>
              <w:rPr>
                <w:color w:val="auto"/>
                <w:highlight w:val="none"/>
              </w:rPr>
            </w:pPr>
            <w:r>
              <w:rPr>
                <w:color w:val="auto"/>
                <w:spacing w:val="4"/>
                <w:highlight w:val="none"/>
              </w:rPr>
              <w:t>其它</w:t>
            </w:r>
          </w:p>
        </w:tc>
        <w:tc>
          <w:tcPr>
            <w:tcW w:w="523" w:type="dxa"/>
            <w:vMerge w:val="restart"/>
            <w:tcBorders>
              <w:bottom w:val="nil"/>
            </w:tcBorders>
            <w:textDirection w:val="tbRlV"/>
            <w:vAlign w:val="top"/>
          </w:tcPr>
          <w:p w14:paraId="4B0C90C3">
            <w:pPr>
              <w:pStyle w:val="23"/>
              <w:spacing w:before="163" w:line="216" w:lineRule="auto"/>
              <w:ind w:left="77"/>
              <w:rPr>
                <w:color w:val="auto"/>
                <w:highlight w:val="none"/>
              </w:rPr>
            </w:pPr>
            <w:r>
              <w:rPr>
                <w:color w:val="auto"/>
                <w:spacing w:val="8"/>
                <w:highlight w:val="none"/>
              </w:rPr>
              <w:t>机</w:t>
            </w:r>
            <w:r>
              <w:rPr>
                <w:color w:val="auto"/>
                <w:spacing w:val="-6"/>
                <w:highlight w:val="none"/>
              </w:rPr>
              <w:t xml:space="preserve"> </w:t>
            </w:r>
            <w:r>
              <w:rPr>
                <w:color w:val="auto"/>
                <w:spacing w:val="8"/>
                <w:highlight w:val="none"/>
              </w:rPr>
              <w:t>械</w:t>
            </w:r>
            <w:r>
              <w:rPr>
                <w:color w:val="auto"/>
                <w:spacing w:val="-8"/>
                <w:highlight w:val="none"/>
              </w:rPr>
              <w:t xml:space="preserve"> </w:t>
            </w:r>
            <w:r>
              <w:rPr>
                <w:color w:val="auto"/>
                <w:spacing w:val="8"/>
                <w:highlight w:val="none"/>
              </w:rPr>
              <w:t>设</w:t>
            </w:r>
            <w:r>
              <w:rPr>
                <w:color w:val="auto"/>
                <w:spacing w:val="-9"/>
                <w:highlight w:val="none"/>
              </w:rPr>
              <w:t xml:space="preserve"> </w:t>
            </w:r>
            <w:r>
              <w:rPr>
                <w:color w:val="auto"/>
                <w:spacing w:val="8"/>
                <w:highlight w:val="none"/>
              </w:rPr>
              <w:t>备</w:t>
            </w:r>
            <w:r>
              <w:rPr>
                <w:color w:val="auto"/>
                <w:spacing w:val="-9"/>
                <w:highlight w:val="none"/>
              </w:rPr>
              <w:t xml:space="preserve"> </w:t>
            </w:r>
            <w:r>
              <w:rPr>
                <w:color w:val="auto"/>
                <w:spacing w:val="8"/>
                <w:highlight w:val="none"/>
              </w:rPr>
              <w:t>防</w:t>
            </w:r>
            <w:r>
              <w:rPr>
                <w:color w:val="auto"/>
                <w:spacing w:val="-9"/>
                <w:highlight w:val="none"/>
              </w:rPr>
              <w:t xml:space="preserve"> </w:t>
            </w:r>
            <w:r>
              <w:rPr>
                <w:color w:val="auto"/>
                <w:spacing w:val="8"/>
                <w:highlight w:val="none"/>
              </w:rPr>
              <w:t>护</w:t>
            </w:r>
          </w:p>
        </w:tc>
        <w:tc>
          <w:tcPr>
            <w:tcW w:w="1541" w:type="dxa"/>
            <w:vAlign w:val="top"/>
          </w:tcPr>
          <w:p w14:paraId="728235BB">
            <w:pPr>
              <w:pStyle w:val="23"/>
              <w:spacing w:before="255" w:line="227" w:lineRule="auto"/>
              <w:ind w:left="264"/>
              <w:rPr>
                <w:color w:val="auto"/>
                <w:highlight w:val="none"/>
              </w:rPr>
            </w:pPr>
            <w:r>
              <w:rPr>
                <w:color w:val="auto"/>
                <w:spacing w:val="4"/>
                <w:highlight w:val="none"/>
              </w:rPr>
              <w:t>中小型机械</w:t>
            </w:r>
          </w:p>
        </w:tc>
        <w:tc>
          <w:tcPr>
            <w:tcW w:w="6642" w:type="dxa"/>
            <w:tcBorders>
              <w:right w:val="single" w:color="000000" w:sz="10" w:space="0"/>
            </w:tcBorders>
            <w:vAlign w:val="top"/>
          </w:tcPr>
          <w:p w14:paraId="0642E2B2">
            <w:pPr>
              <w:pStyle w:val="23"/>
              <w:spacing w:before="255" w:line="228" w:lineRule="auto"/>
              <w:ind w:left="113"/>
              <w:rPr>
                <w:color w:val="auto"/>
                <w:highlight w:val="none"/>
              </w:rPr>
            </w:pPr>
            <w:r>
              <w:rPr>
                <w:color w:val="auto"/>
                <w:spacing w:val="8"/>
                <w:highlight w:val="none"/>
              </w:rPr>
              <w:t>设防护棚（同通道口防护并有防雨措施）。</w:t>
            </w:r>
          </w:p>
        </w:tc>
      </w:tr>
      <w:tr w14:paraId="79B9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0" w:type="dxa"/>
            <w:vMerge w:val="continue"/>
            <w:tcBorders>
              <w:top w:val="nil"/>
              <w:left w:val="single" w:color="000000" w:sz="10" w:space="0"/>
              <w:bottom w:val="nil"/>
            </w:tcBorders>
            <w:vAlign w:val="top"/>
          </w:tcPr>
          <w:p w14:paraId="4AF0B78D">
            <w:pPr>
              <w:rPr>
                <w:rFonts w:ascii="Arial"/>
                <w:color w:val="auto"/>
                <w:sz w:val="21"/>
                <w:highlight w:val="none"/>
              </w:rPr>
            </w:pPr>
          </w:p>
        </w:tc>
        <w:tc>
          <w:tcPr>
            <w:tcW w:w="523" w:type="dxa"/>
            <w:vMerge w:val="continue"/>
            <w:tcBorders>
              <w:top w:val="nil"/>
            </w:tcBorders>
            <w:textDirection w:val="tbRlV"/>
            <w:vAlign w:val="top"/>
          </w:tcPr>
          <w:p w14:paraId="0F5B030A">
            <w:pPr>
              <w:rPr>
                <w:rFonts w:ascii="Arial"/>
                <w:color w:val="auto"/>
                <w:sz w:val="21"/>
                <w:highlight w:val="none"/>
              </w:rPr>
            </w:pPr>
          </w:p>
        </w:tc>
        <w:tc>
          <w:tcPr>
            <w:tcW w:w="1541" w:type="dxa"/>
            <w:vAlign w:val="top"/>
          </w:tcPr>
          <w:p w14:paraId="5322E020">
            <w:pPr>
              <w:spacing w:line="429" w:lineRule="auto"/>
              <w:rPr>
                <w:rFonts w:ascii="Arial"/>
                <w:color w:val="auto"/>
                <w:sz w:val="21"/>
                <w:highlight w:val="none"/>
              </w:rPr>
            </w:pPr>
          </w:p>
          <w:p w14:paraId="6389655C">
            <w:pPr>
              <w:pStyle w:val="23"/>
              <w:spacing w:before="65" w:line="228" w:lineRule="auto"/>
              <w:ind w:left="140"/>
              <w:rPr>
                <w:color w:val="auto"/>
                <w:highlight w:val="none"/>
              </w:rPr>
            </w:pPr>
            <w:r>
              <w:rPr>
                <w:color w:val="auto"/>
                <w:spacing w:val="8"/>
                <w:highlight w:val="none"/>
              </w:rPr>
              <w:t>垂直运输设备</w:t>
            </w:r>
          </w:p>
        </w:tc>
        <w:tc>
          <w:tcPr>
            <w:tcW w:w="6642" w:type="dxa"/>
            <w:tcBorders>
              <w:right w:val="single" w:color="000000" w:sz="10" w:space="0"/>
            </w:tcBorders>
            <w:vAlign w:val="top"/>
          </w:tcPr>
          <w:p w14:paraId="145572FD">
            <w:pPr>
              <w:pStyle w:val="23"/>
              <w:spacing w:before="196" w:line="228" w:lineRule="auto"/>
              <w:ind w:left="125"/>
              <w:rPr>
                <w:color w:val="auto"/>
                <w:highlight w:val="none"/>
              </w:rPr>
            </w:pPr>
            <w:r>
              <w:rPr>
                <w:color w:val="auto"/>
                <w:spacing w:val="5"/>
                <w:highlight w:val="none"/>
              </w:rPr>
              <w:t>1. 垂直运输设备检测、检验、</w:t>
            </w:r>
            <w:r>
              <w:rPr>
                <w:color w:val="auto"/>
                <w:spacing w:val="-33"/>
                <w:highlight w:val="none"/>
              </w:rPr>
              <w:t xml:space="preserve"> </w:t>
            </w:r>
            <w:r>
              <w:rPr>
                <w:color w:val="auto"/>
                <w:spacing w:val="5"/>
                <w:highlight w:val="none"/>
              </w:rPr>
              <w:t>日常维护、保养等。</w:t>
            </w:r>
          </w:p>
          <w:p w14:paraId="3A9E1E7B">
            <w:pPr>
              <w:pStyle w:val="23"/>
              <w:spacing w:before="54" w:line="252" w:lineRule="auto"/>
              <w:ind w:left="109" w:right="97" w:firstLine="3"/>
              <w:rPr>
                <w:color w:val="auto"/>
                <w:highlight w:val="none"/>
              </w:rPr>
            </w:pPr>
            <w:r>
              <w:rPr>
                <w:color w:val="auto"/>
                <w:spacing w:val="10"/>
                <w:highlight w:val="none"/>
              </w:rPr>
              <w:t>2. 物料提升机、施工电梯等物料平台搭设、外侧用密目式</w:t>
            </w:r>
            <w:r>
              <w:rPr>
                <w:color w:val="auto"/>
                <w:spacing w:val="9"/>
                <w:highlight w:val="none"/>
              </w:rPr>
              <w:t>安全立网全</w:t>
            </w:r>
            <w:r>
              <w:rPr>
                <w:color w:val="auto"/>
                <w:highlight w:val="none"/>
              </w:rPr>
              <w:t xml:space="preserve"> </w:t>
            </w:r>
            <w:r>
              <w:rPr>
                <w:color w:val="auto"/>
                <w:spacing w:val="9"/>
                <w:highlight w:val="none"/>
              </w:rPr>
              <w:t>封闭，有安全通道、安全防护门、防护棚等。</w:t>
            </w:r>
          </w:p>
        </w:tc>
      </w:tr>
      <w:tr w14:paraId="42EDD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026584F4">
            <w:pPr>
              <w:rPr>
                <w:rFonts w:ascii="Arial"/>
                <w:color w:val="auto"/>
                <w:sz w:val="21"/>
                <w:highlight w:val="none"/>
              </w:rPr>
            </w:pPr>
          </w:p>
        </w:tc>
        <w:tc>
          <w:tcPr>
            <w:tcW w:w="2064" w:type="dxa"/>
            <w:gridSpan w:val="2"/>
            <w:vAlign w:val="top"/>
          </w:tcPr>
          <w:p w14:paraId="61A6380E">
            <w:pPr>
              <w:pStyle w:val="23"/>
              <w:spacing w:before="183" w:line="226" w:lineRule="auto"/>
              <w:ind w:left="401"/>
              <w:rPr>
                <w:color w:val="auto"/>
                <w:highlight w:val="none"/>
              </w:rPr>
            </w:pPr>
            <w:r>
              <w:rPr>
                <w:color w:val="auto"/>
                <w:spacing w:val="8"/>
                <w:highlight w:val="none"/>
              </w:rPr>
              <w:t>专家论证审查</w:t>
            </w:r>
          </w:p>
        </w:tc>
        <w:tc>
          <w:tcPr>
            <w:tcW w:w="6642" w:type="dxa"/>
            <w:tcBorders>
              <w:right w:val="single" w:color="000000" w:sz="10" w:space="0"/>
            </w:tcBorders>
            <w:vAlign w:val="top"/>
          </w:tcPr>
          <w:p w14:paraId="15E924E8">
            <w:pPr>
              <w:pStyle w:val="23"/>
              <w:spacing w:before="183" w:line="226" w:lineRule="auto"/>
              <w:ind w:left="109"/>
              <w:rPr>
                <w:color w:val="auto"/>
                <w:highlight w:val="none"/>
              </w:rPr>
            </w:pPr>
            <w:r>
              <w:rPr>
                <w:color w:val="auto"/>
                <w:spacing w:val="9"/>
                <w:highlight w:val="none"/>
              </w:rPr>
              <w:t>超过一定规模的危险性较大分部分项工程专家论证审查。</w:t>
            </w:r>
          </w:p>
        </w:tc>
      </w:tr>
      <w:tr w14:paraId="0989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1EFBB928">
            <w:pPr>
              <w:rPr>
                <w:rFonts w:ascii="Arial"/>
                <w:color w:val="auto"/>
                <w:sz w:val="21"/>
                <w:highlight w:val="none"/>
              </w:rPr>
            </w:pPr>
          </w:p>
        </w:tc>
        <w:tc>
          <w:tcPr>
            <w:tcW w:w="2064" w:type="dxa"/>
            <w:gridSpan w:val="2"/>
            <w:vAlign w:val="top"/>
          </w:tcPr>
          <w:p w14:paraId="4AB2486D">
            <w:pPr>
              <w:pStyle w:val="23"/>
              <w:spacing w:before="182" w:line="228" w:lineRule="auto"/>
              <w:ind w:left="400"/>
              <w:rPr>
                <w:color w:val="auto"/>
                <w:highlight w:val="none"/>
              </w:rPr>
            </w:pPr>
            <w:r>
              <w:rPr>
                <w:color w:val="auto"/>
                <w:spacing w:val="8"/>
                <w:highlight w:val="none"/>
              </w:rPr>
              <w:t>应急救援预案</w:t>
            </w:r>
          </w:p>
        </w:tc>
        <w:tc>
          <w:tcPr>
            <w:tcW w:w="6642" w:type="dxa"/>
            <w:tcBorders>
              <w:right w:val="single" w:color="000000" w:sz="10" w:space="0"/>
            </w:tcBorders>
            <w:vAlign w:val="top"/>
          </w:tcPr>
          <w:p w14:paraId="685BE4EE">
            <w:pPr>
              <w:pStyle w:val="23"/>
              <w:spacing w:before="183" w:line="225" w:lineRule="auto"/>
              <w:ind w:left="112"/>
              <w:rPr>
                <w:color w:val="auto"/>
                <w:highlight w:val="none"/>
              </w:rPr>
            </w:pPr>
            <w:r>
              <w:rPr>
                <w:color w:val="auto"/>
                <w:spacing w:val="7"/>
                <w:highlight w:val="none"/>
              </w:rPr>
              <w:t>救援器材准备及演练等。</w:t>
            </w:r>
          </w:p>
        </w:tc>
      </w:tr>
      <w:tr w14:paraId="01854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10" w:space="0"/>
              <w:bottom w:val="single" w:color="000000" w:sz="10" w:space="0"/>
            </w:tcBorders>
            <w:vAlign w:val="top"/>
          </w:tcPr>
          <w:p w14:paraId="173197EE">
            <w:pPr>
              <w:rPr>
                <w:rFonts w:ascii="Arial"/>
                <w:color w:val="auto"/>
                <w:sz w:val="21"/>
                <w:highlight w:val="none"/>
              </w:rPr>
            </w:pPr>
          </w:p>
        </w:tc>
        <w:tc>
          <w:tcPr>
            <w:tcW w:w="2064" w:type="dxa"/>
            <w:gridSpan w:val="2"/>
            <w:tcBorders>
              <w:bottom w:val="single" w:color="000000" w:sz="10" w:space="0"/>
            </w:tcBorders>
            <w:vAlign w:val="top"/>
          </w:tcPr>
          <w:p w14:paraId="7891B5E2">
            <w:pPr>
              <w:pStyle w:val="23"/>
              <w:spacing w:before="233" w:line="228" w:lineRule="auto"/>
              <w:ind w:left="298"/>
              <w:rPr>
                <w:color w:val="auto"/>
                <w:highlight w:val="none"/>
              </w:rPr>
            </w:pPr>
            <w:r>
              <w:rPr>
                <w:color w:val="auto"/>
                <w:spacing w:val="8"/>
                <w:highlight w:val="none"/>
              </w:rPr>
              <w:t>非正常情况施工</w:t>
            </w:r>
          </w:p>
        </w:tc>
        <w:tc>
          <w:tcPr>
            <w:tcW w:w="6642" w:type="dxa"/>
            <w:tcBorders>
              <w:bottom w:val="single" w:color="000000" w:sz="10" w:space="0"/>
              <w:right w:val="single" w:color="000000" w:sz="10" w:space="0"/>
            </w:tcBorders>
            <w:vAlign w:val="top"/>
          </w:tcPr>
          <w:p w14:paraId="6396C71D">
            <w:pPr>
              <w:pStyle w:val="23"/>
              <w:spacing w:before="84" w:line="246" w:lineRule="auto"/>
              <w:ind w:left="112" w:right="97" w:hanging="1"/>
              <w:rPr>
                <w:color w:val="auto"/>
                <w:highlight w:val="none"/>
              </w:rPr>
            </w:pPr>
            <w:r>
              <w:rPr>
                <w:color w:val="auto"/>
                <w:spacing w:val="7"/>
                <w:highlight w:val="none"/>
              </w:rPr>
              <w:t>其它特殊情况下的防护费用，如：城市主干道、人流密集、河边等处施</w:t>
            </w:r>
            <w:r>
              <w:rPr>
                <w:color w:val="auto"/>
                <w:highlight w:val="none"/>
              </w:rPr>
              <w:t xml:space="preserve"> </w:t>
            </w:r>
            <w:r>
              <w:rPr>
                <w:color w:val="auto"/>
                <w:spacing w:val="8"/>
                <w:highlight w:val="none"/>
              </w:rPr>
              <w:t>工及文物、古建筑、古树保护等。</w:t>
            </w:r>
          </w:p>
        </w:tc>
      </w:tr>
    </w:tbl>
    <w:p w14:paraId="54FD8D22">
      <w:pPr>
        <w:spacing w:before="54" w:line="257" w:lineRule="auto"/>
        <w:ind w:left="308" w:right="303"/>
        <w:rPr>
          <w:rFonts w:ascii="宋体" w:hAnsi="宋体" w:eastAsia="宋体" w:cs="宋体"/>
          <w:color w:val="auto"/>
          <w:sz w:val="24"/>
          <w:szCs w:val="24"/>
          <w:highlight w:val="none"/>
        </w:rPr>
      </w:pPr>
      <w:r>
        <w:rPr>
          <w:rFonts w:ascii="宋体" w:hAnsi="宋体" w:eastAsia="宋体" w:cs="宋体"/>
          <w:color w:val="auto"/>
          <w:spacing w:val="11"/>
          <w:sz w:val="20"/>
          <w:szCs w:val="20"/>
          <w:highlight w:val="none"/>
        </w:rPr>
        <w:t>注：本表所列建设工程安全文明施工费，是依据现行法律法规及标准、规范确定的。如法律法规</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和标准、规范修订，本表所列项目应按照修订后的法律法规和标准规范进行调整。</w:t>
      </w:r>
    </w:p>
    <w:sectPr>
      <w:footerReference r:id="rId41" w:type="default"/>
      <w:pgSz w:w="11905" w:h="16838"/>
      <w:pgMar w:top="1134" w:right="1134" w:bottom="1134" w:left="1134"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DEC0">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1F35">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F257">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4852F257">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744A">
    <w:pPr>
      <w:spacing w:line="173"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C21B8">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92C21B8">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74C5">
    <w:pPr>
      <w:spacing w:line="17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B420">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6AEB420">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144F">
    <w:pPr>
      <w:spacing w:line="173"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454AB">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21454AB">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B975">
    <w:pPr>
      <w:spacing w:line="176" w:lineRule="auto"/>
      <w:ind w:left="41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E54F0">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72DE54F0">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7970">
    <w:pPr>
      <w:spacing w:line="176" w:lineRule="auto"/>
      <w:ind w:left="4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1913">
                          <w:pPr>
                            <w:pStyle w:val="1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56741913">
                    <w:pPr>
                      <w:pStyle w:val="1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942D">
    <w:pPr>
      <w:spacing w:line="176" w:lineRule="auto"/>
      <w:ind w:left="49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E892">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E80E892">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07B3">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05D7C">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05305D7C">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44B">
    <w:pPr>
      <w:spacing w:line="176" w:lineRule="auto"/>
      <w:ind w:left="43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62FC">
                          <w:pPr>
                            <w:pStyle w:val="1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73562FC">
                    <w:pPr>
                      <w:pStyle w:val="1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7B4A">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8601C">
                          <w:pPr>
                            <w:pStyle w:val="1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FB8601C">
                    <w:pPr>
                      <w:pStyle w:val="1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5703">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CD9C">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A1BCD9C">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EB5D">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F4911">
                          <w:pPr>
                            <w:pStyle w:val="1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DBF4911">
                    <w:pPr>
                      <w:pStyle w:val="1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9376">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09AFC">
                          <w:pPr>
                            <w:pStyle w:val="1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0CF09AFC">
                    <w:pPr>
                      <w:pStyle w:val="1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EA52">
    <w:pPr>
      <w:spacing w:line="176" w:lineRule="auto"/>
      <w:ind w:left="46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71574">
                          <w:pPr>
                            <w:pStyle w:val="1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3CC71574">
                    <w:pPr>
                      <w:pStyle w:val="1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B66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7E5F9">
                          <w:pPr>
                            <w:pStyle w:val="1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0E47E5F9">
                    <w:pPr>
                      <w:pStyle w:val="1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99F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1A9A">
                          <w:pPr>
                            <w:pStyle w:val="1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251A1A9A">
                    <w:pPr>
                      <w:pStyle w:val="1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AEA4">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F6D00">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2BAF6D00">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1E8A">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62A22">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2062A22">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097D">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D717B">
                          <w:pPr>
                            <w:pStyle w:val="1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38CD717B">
                    <w:pPr>
                      <w:pStyle w:val="1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5FDE">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3C18">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49783C18">
                    <w:pPr>
                      <w:pStyle w:val="1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4ACB">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5A93">
                          <w:pPr>
                            <w:pStyle w:val="1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334A5A93">
                    <w:pPr>
                      <w:pStyle w:val="1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4B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B84EF">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36B84EF">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43A9">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D5169">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6AD5169">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C11D">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D554">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2C9ED554">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9670">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4701">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00754701">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47E1">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2132E">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7492132E">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E884">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4650">
                          <w:pPr>
                            <w:pStyle w:val="1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8674650">
                    <w:pPr>
                      <w:pStyle w:val="1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7452">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B3E7">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35BDB3E7">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1ACC">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F532">
                          <w:pPr>
                            <w:pStyle w:val="1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2E66F532">
                    <w:pPr>
                      <w:pStyle w:val="1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E9D8">
    <w:pPr>
      <w:spacing w:line="176"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2A8C1">
                          <w:pPr>
                            <w:pStyle w:val="1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9D2A8C1">
                    <w:pPr>
                      <w:pStyle w:val="1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307B">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3BA9">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C133BA9">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5D79">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C6262">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3CEC6262">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899A">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ED25">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7C2ED25">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B49">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0394">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26E0394">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316B">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C96ED">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3BCC96ED">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CDE">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CB25C">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16BCB25C">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34826"/>
    <w:multiLevelType w:val="multilevel"/>
    <w:tmpl w:val="11A34826"/>
    <w:lvl w:ilvl="0" w:tentative="0">
      <w:start w:val="2"/>
      <w:numFmt w:val="japaneseCounting"/>
      <w:lvlText w:val="第%1节"/>
      <w:lvlJc w:val="left"/>
      <w:pPr>
        <w:tabs>
          <w:tab w:val="left" w:pos="1770"/>
        </w:tabs>
        <w:ind w:left="1770" w:hanging="177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0BF1587"/>
    <w:multiLevelType w:val="singleLevel"/>
    <w:tmpl w:val="60BF158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forms" w:enforcement="1" w:cryptProviderType="rsaFull" w:cryptAlgorithmClass="hash" w:cryptAlgorithmType="typeAny" w:cryptAlgorithmSid="4" w:cryptSpinCount="0" w:hash="WCM0pv2EMIH0VqtGjbuP69y0/0I=" w:salt="kXbz8VOgUnv05Xf5pf271g=="/>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QxY2U1YzFhMzU5OWNkOGMyZDY5NjZmYzcwMTY0MmQifQ=="/>
  </w:docVars>
  <w:rsids>
    <w:rsidRoot w:val="00000000"/>
    <w:rsid w:val="00EB623F"/>
    <w:rsid w:val="00EE5B95"/>
    <w:rsid w:val="03AE322D"/>
    <w:rsid w:val="03BB3982"/>
    <w:rsid w:val="07187C43"/>
    <w:rsid w:val="071A44D9"/>
    <w:rsid w:val="07227095"/>
    <w:rsid w:val="07B02FD8"/>
    <w:rsid w:val="098470A4"/>
    <w:rsid w:val="0B017901"/>
    <w:rsid w:val="0C1B58BF"/>
    <w:rsid w:val="0C4C20FB"/>
    <w:rsid w:val="0D483C02"/>
    <w:rsid w:val="0ED822D0"/>
    <w:rsid w:val="110F617D"/>
    <w:rsid w:val="116D0937"/>
    <w:rsid w:val="1225550D"/>
    <w:rsid w:val="1387286C"/>
    <w:rsid w:val="14363F8E"/>
    <w:rsid w:val="144360B0"/>
    <w:rsid w:val="148F527B"/>
    <w:rsid w:val="14FD6C55"/>
    <w:rsid w:val="156A38FA"/>
    <w:rsid w:val="16A55C43"/>
    <w:rsid w:val="16D231FD"/>
    <w:rsid w:val="18F04FF6"/>
    <w:rsid w:val="19585E89"/>
    <w:rsid w:val="19F92434"/>
    <w:rsid w:val="1C58118D"/>
    <w:rsid w:val="1EA078AE"/>
    <w:rsid w:val="1F871292"/>
    <w:rsid w:val="20A91E36"/>
    <w:rsid w:val="21512B27"/>
    <w:rsid w:val="25C603D0"/>
    <w:rsid w:val="26A37004"/>
    <w:rsid w:val="26CF1E3C"/>
    <w:rsid w:val="26ED083D"/>
    <w:rsid w:val="2732478D"/>
    <w:rsid w:val="28552EBD"/>
    <w:rsid w:val="291C47AB"/>
    <w:rsid w:val="2A9B0499"/>
    <w:rsid w:val="2C5C1E82"/>
    <w:rsid w:val="2D6C3245"/>
    <w:rsid w:val="2D88054B"/>
    <w:rsid w:val="2DB2553A"/>
    <w:rsid w:val="2E027B47"/>
    <w:rsid w:val="2F834500"/>
    <w:rsid w:val="32430497"/>
    <w:rsid w:val="32B53CA7"/>
    <w:rsid w:val="32DB2C86"/>
    <w:rsid w:val="339C6B69"/>
    <w:rsid w:val="34326844"/>
    <w:rsid w:val="34571F2B"/>
    <w:rsid w:val="36FA4102"/>
    <w:rsid w:val="378E243C"/>
    <w:rsid w:val="37CB5D1A"/>
    <w:rsid w:val="3862153B"/>
    <w:rsid w:val="39BA6046"/>
    <w:rsid w:val="3AE327E8"/>
    <w:rsid w:val="3B40773B"/>
    <w:rsid w:val="3B8F6E18"/>
    <w:rsid w:val="3BBE625E"/>
    <w:rsid w:val="3BD3646E"/>
    <w:rsid w:val="3CFB2BFE"/>
    <w:rsid w:val="3DA8532E"/>
    <w:rsid w:val="3EB515CA"/>
    <w:rsid w:val="417B7F7B"/>
    <w:rsid w:val="41A028AC"/>
    <w:rsid w:val="41BE23F7"/>
    <w:rsid w:val="450F1F17"/>
    <w:rsid w:val="46290C6F"/>
    <w:rsid w:val="46A25BD5"/>
    <w:rsid w:val="478101A3"/>
    <w:rsid w:val="47A34110"/>
    <w:rsid w:val="48007F5F"/>
    <w:rsid w:val="48A10756"/>
    <w:rsid w:val="48F037E4"/>
    <w:rsid w:val="4AE9449D"/>
    <w:rsid w:val="4B1E4CDC"/>
    <w:rsid w:val="4B657CFA"/>
    <w:rsid w:val="4C8A18A8"/>
    <w:rsid w:val="4D5664B4"/>
    <w:rsid w:val="4D672F57"/>
    <w:rsid w:val="4E30585B"/>
    <w:rsid w:val="4F09097C"/>
    <w:rsid w:val="501F79B0"/>
    <w:rsid w:val="508B155A"/>
    <w:rsid w:val="509C3084"/>
    <w:rsid w:val="51C82781"/>
    <w:rsid w:val="528915C4"/>
    <w:rsid w:val="53A45747"/>
    <w:rsid w:val="55E92D30"/>
    <w:rsid w:val="560004B5"/>
    <w:rsid w:val="5630526E"/>
    <w:rsid w:val="58307011"/>
    <w:rsid w:val="59722042"/>
    <w:rsid w:val="5A620B54"/>
    <w:rsid w:val="5B6E1818"/>
    <w:rsid w:val="5D7C3F73"/>
    <w:rsid w:val="5F60195E"/>
    <w:rsid w:val="602207DE"/>
    <w:rsid w:val="60C165B8"/>
    <w:rsid w:val="644F1759"/>
    <w:rsid w:val="654D1CC7"/>
    <w:rsid w:val="661803F9"/>
    <w:rsid w:val="66BA06B3"/>
    <w:rsid w:val="66EB0BE3"/>
    <w:rsid w:val="680975BA"/>
    <w:rsid w:val="696D1EDE"/>
    <w:rsid w:val="699C39DE"/>
    <w:rsid w:val="69D87C9F"/>
    <w:rsid w:val="69DE04A0"/>
    <w:rsid w:val="69F83023"/>
    <w:rsid w:val="6A1549CE"/>
    <w:rsid w:val="6C8F723F"/>
    <w:rsid w:val="6E6227E0"/>
    <w:rsid w:val="6ED42C87"/>
    <w:rsid w:val="6F2339D4"/>
    <w:rsid w:val="703C7418"/>
    <w:rsid w:val="7238577F"/>
    <w:rsid w:val="729D0B19"/>
    <w:rsid w:val="745808F2"/>
    <w:rsid w:val="77E02CA2"/>
    <w:rsid w:val="78F80B47"/>
    <w:rsid w:val="7926433F"/>
    <w:rsid w:val="7A132E9D"/>
    <w:rsid w:val="7A782AD4"/>
    <w:rsid w:val="7B536F13"/>
    <w:rsid w:val="7CAE7A6B"/>
    <w:rsid w:val="7D0746CC"/>
    <w:rsid w:val="7D25291E"/>
    <w:rsid w:val="7D89203A"/>
    <w:rsid w:val="7EDE271C"/>
    <w:rsid w:val="7F096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autoRedefine/>
    <w:semiHidden/>
    <w:qFormat/>
    <w:uiPriority w:val="0"/>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680" w:hanging="210"/>
      <w:jc w:val="left"/>
    </w:pPr>
  </w:style>
  <w:style w:type="paragraph" w:styleId="7">
    <w:name w:val="Normal Indent"/>
    <w:basedOn w:val="1"/>
    <w:qFormat/>
    <w:uiPriority w:val="0"/>
    <w:pPr>
      <w:ind w:firstLine="420"/>
    </w:pPr>
    <w:rPr>
      <w:szCs w:val="20"/>
    </w:r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Body Text Indent"/>
    <w:basedOn w:val="1"/>
    <w:next w:val="1"/>
    <w:qFormat/>
    <w:uiPriority w:val="0"/>
    <w:pPr>
      <w:ind w:firstLine="830" w:firstLineChars="352"/>
    </w:pPr>
    <w:rPr>
      <w:rFonts w:ascii="仿宋_GB2312" w:eastAsia="仿宋_GB2312"/>
      <w:kern w:val="0"/>
      <w:sz w:val="32"/>
      <w:szCs w:val="20"/>
    </w:rPr>
  </w:style>
  <w:style w:type="paragraph" w:styleId="10">
    <w:name w:val="Plain Text"/>
    <w:basedOn w:val="1"/>
    <w:next w:val="11"/>
    <w:qFormat/>
    <w:uiPriority w:val="0"/>
    <w:rPr>
      <w:rFonts w:ascii="宋体" w:hAnsi="Courier New"/>
      <w:kern w:val="0"/>
      <w:sz w:val="20"/>
      <w:szCs w:val="21"/>
    </w:rPr>
  </w:style>
  <w:style w:type="paragraph" w:styleId="11">
    <w:name w:val="toc 1"/>
    <w:basedOn w:val="1"/>
    <w:next w:val="1"/>
    <w:qFormat/>
    <w:uiPriority w:val="39"/>
    <w:pPr>
      <w:tabs>
        <w:tab w:val="right" w:leader="dot" w:pos="9491"/>
      </w:tabs>
      <w:spacing w:line="520" w:lineRule="exact"/>
    </w:pPr>
    <w:rPr>
      <w:rFonts w:ascii="宋体" w:hAnsi="宋体"/>
      <w:b/>
      <w:kern w:val="44"/>
      <w:sz w:val="28"/>
      <w:szCs w:val="21"/>
    </w:rPr>
  </w:style>
  <w:style w:type="paragraph" w:styleId="12">
    <w:name w:val="Date"/>
    <w:basedOn w:val="1"/>
    <w:next w:val="1"/>
    <w:unhideWhenUsed/>
    <w:qFormat/>
    <w:uiPriority w:val="99"/>
    <w:pPr>
      <w:ind w:left="100" w:leftChars="25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ind w:left="420" w:leftChars="200"/>
    </w:pPr>
  </w:style>
  <w:style w:type="paragraph" w:styleId="16">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7">
    <w:name w:val="Body Text First Indent"/>
    <w:basedOn w:val="8"/>
    <w:next w:val="1"/>
    <w:unhideWhenUsed/>
    <w:qFormat/>
    <w:uiPriority w:val="99"/>
    <w:pPr>
      <w:ind w:firstLine="420" w:firstLineChars="100"/>
    </w:pPr>
  </w:style>
  <w:style w:type="paragraph" w:styleId="18">
    <w:name w:val="Body Text First Indent 2"/>
    <w:basedOn w:val="9"/>
    <w:next w:val="8"/>
    <w:unhideWhenUsed/>
    <w:qFormat/>
    <w:uiPriority w:val="99"/>
    <w:pPr>
      <w:spacing w:after="120"/>
      <w:ind w:left="420" w:leftChars="200" w:firstLine="420" w:firstLineChars="200"/>
    </w:pPr>
    <w:rPr>
      <w:rFonts w:ascii="Times New Roman" w:eastAsia="宋体"/>
      <w:kern w:val="2"/>
      <w:sz w:val="21"/>
      <w:szCs w:val="24"/>
    </w:rPr>
  </w:style>
  <w:style w:type="paragraph" w:customStyle="1" w:styleId="21">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0"/>
      <w:szCs w:val="20"/>
      <w:lang w:val="en-US" w:eastAsia="en-US" w:bidi="ar-SA"/>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页脚_0"/>
    <w:basedOn w:val="27"/>
    <w:unhideWhenUsed/>
    <w:qFormat/>
    <w:uiPriority w:val="99"/>
    <w:pPr>
      <w:tabs>
        <w:tab w:val="center" w:pos="4153"/>
        <w:tab w:val="right" w:pos="8306"/>
      </w:tabs>
      <w:snapToGrid w:val="0"/>
      <w:jc w:val="left"/>
    </w:pPr>
    <w:rPr>
      <w:sz w:val="18"/>
      <w:szCs w:val="18"/>
    </w:rPr>
  </w:style>
  <w:style w:type="paragraph" w:customStyle="1" w:styleId="2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
    <w:next w:val="3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首行缩进_0"/>
    <w:basedOn w:val="34"/>
    <w:qFormat/>
    <w:uiPriority w:val="0"/>
    <w:pPr>
      <w:spacing w:after="120"/>
      <w:ind w:firstLine="420" w:firstLineChars="100"/>
    </w:pPr>
    <w:rPr>
      <w:rFonts w:ascii="Times New Roman" w:hAnsi="Times New Roman"/>
      <w:szCs w:val="24"/>
    </w:rPr>
  </w:style>
  <w:style w:type="paragraph" w:customStyle="1" w:styleId="34">
    <w:name w:val="正文文本_1"/>
    <w:basedOn w:val="32"/>
    <w:next w:val="35"/>
    <w:qFormat/>
    <w:uiPriority w:val="99"/>
    <w:pPr>
      <w:spacing w:after="120"/>
    </w:pPr>
    <w:rPr>
      <w:rFonts w:ascii="Times New Roman" w:hAnsi="Times New Roman"/>
      <w:szCs w:val="24"/>
    </w:rPr>
  </w:style>
  <w:style w:type="paragraph" w:customStyle="1" w:styleId="35">
    <w:name w:val="正文首行缩进 2_0"/>
    <w:basedOn w:val="36"/>
    <w:qFormat/>
    <w:uiPriority w:val="0"/>
    <w:pPr>
      <w:ind w:firstLine="210"/>
    </w:pPr>
    <w:rPr>
      <w:rFonts w:ascii="Times New Roman" w:hAnsi="Times New Roman" w:eastAsia="宋体" w:cs="Times New Roman"/>
    </w:rPr>
  </w:style>
  <w:style w:type="paragraph" w:customStyle="1" w:styleId="36">
    <w:name w:val="正文文本缩进_1"/>
    <w:basedOn w:val="37"/>
    <w:next w:val="38"/>
    <w:qFormat/>
    <w:uiPriority w:val="0"/>
    <w:pPr>
      <w:spacing w:before="240" w:line="360" w:lineRule="auto"/>
      <w:ind w:firstLine="552" w:firstLineChars="263"/>
    </w:pPr>
    <w:rPr>
      <w:rFonts w:ascii="宋体" w:hAnsi="宋体" w:eastAsia="宋体" w:cs="Times New Roman"/>
    </w:rPr>
  </w:style>
  <w:style w:type="paragraph" w:customStyle="1" w:styleId="37">
    <w:name w:val="正文_3_1"/>
    <w:basedOn w:val="26"/>
    <w:qFormat/>
    <w:uiPriority w:val="0"/>
    <w:rPr>
      <w:rFonts w:ascii="Calibri" w:hAnsi="Calibri" w:cs="宋体"/>
      <w:szCs w:val="21"/>
    </w:rPr>
  </w:style>
  <w:style w:type="paragraph" w:customStyle="1" w:styleId="38">
    <w:name w:val="寄信人地址_0"/>
    <w:basedOn w:val="32"/>
    <w:qFormat/>
    <w:uiPriority w:val="0"/>
    <w:pPr>
      <w:widowControl/>
      <w:snapToGrid w:val="0"/>
      <w:jc w:val="left"/>
    </w:pPr>
    <w:rPr>
      <w:rFonts w:ascii="Arial" w:hAnsi="Arial" w:cs="Arial"/>
      <w:kern w:val="0"/>
      <w:sz w:val="24"/>
      <w:szCs w:val="24"/>
    </w:rPr>
  </w:style>
  <w:style w:type="paragraph" w:customStyle="1" w:styleId="39">
    <w:name w:val="正文_2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wmf"/><Relationship Id="rId43" Type="http://schemas.openxmlformats.org/officeDocument/2006/relationships/image" Target="media/image1.jpeg"/><Relationship Id="rId42" Type="http://schemas.openxmlformats.org/officeDocument/2006/relationships/theme" Target="theme/theme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146</Pages>
  <Words>5550</Words>
  <Characters>6131</Characters>
  <TotalTime>36</TotalTime>
  <ScaleCrop>false</ScaleCrop>
  <LinksUpToDate>false</LinksUpToDate>
  <CharactersWithSpaces>6521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2024-04-16T16:28:00Z</dcterms:created>
  <dc:creator>唐冰</dc:creator>
  <cp:lastModifiedBy>章鱼小嘴</cp:lastModifiedBy>
  <cp:lastPrinted>2025-05-07T08:07:00Z</cp:lastPrinted>
  <dcterms:modified xsi:type="dcterms:W3CDTF">2025-05-23T09:47:57Z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2024-04-17T12:30:11Z</vt:filetime>
  </property>
  <property fmtid="{D5CDD505-2E9C-101B-9397-08002B2CF9AE}" pid="4" name="KSOProductBuildVer">
    <vt:lpwstr>2052-12.1.0.21171</vt:lpwstr>
  </property>
  <property fmtid="{D5CDD505-2E9C-101B-9397-08002B2CF9AE}" pid="5" name="ICV">
    <vt:lpwstr>93F6D7D353EF4E40BFA2AB409E227293_12</vt:lpwstr>
  </property>
  <property fmtid="{D5CDD505-2E9C-101B-9397-08002B2CF9AE}" pid="6" name="KSOTemplateDocerSaveRecord">
    <vt:lpwstr>eyJoZGlkIjoiNjY1ZGQ0NzU1ODYyZjE4YzQ5Njk2MmUyNzkyZDYxY2EiLCJ1c2VySWQiOiIyNjU5OTczMTEifQ==</vt:lpwstr>
  </property>
</Properties>
</file>