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F28D32">
      <w:pPr>
        <w:spacing w:before="312" w:beforeLines="100" w:after="156" w:afterLines="50" w:line="600" w:lineRule="exact"/>
        <w:jc w:val="left"/>
        <w:rPr>
          <w:rFonts w:hint="eastAsia" w:ascii="方正小标宋简体" w:hAnsi="方正小标宋简体" w:eastAsia="方正小标宋简体" w:cs="方正小标宋简体"/>
          <w:color w:val="auto"/>
          <w:sz w:val="44"/>
          <w:szCs w:val="44"/>
          <w:highlight w:val="none"/>
        </w:rPr>
      </w:pPr>
      <w:r>
        <w:rPr>
          <w:color w:val="auto"/>
          <w:sz w:val="44"/>
          <w:highlight w:val="none"/>
        </w:rPr>
        <mc:AlternateContent>
          <mc:Choice Requires="wps">
            <w:drawing>
              <wp:anchor distT="0" distB="0" distL="114300" distR="114300" simplePos="0" relativeHeight="251660288" behindDoc="0" locked="0" layoutInCell="1" allowOverlap="1">
                <wp:simplePos x="0" y="0"/>
                <wp:positionH relativeFrom="column">
                  <wp:posOffset>-42545</wp:posOffset>
                </wp:positionH>
                <wp:positionV relativeFrom="paragraph">
                  <wp:posOffset>676910</wp:posOffset>
                </wp:positionV>
                <wp:extent cx="5629910" cy="635"/>
                <wp:effectExtent l="0" t="0" r="0" b="0"/>
                <wp:wrapNone/>
                <wp:docPr id="9" name="直接连接符 9"/>
                <wp:cNvGraphicFramePr/>
                <a:graphic xmlns:a="http://schemas.openxmlformats.org/drawingml/2006/main">
                  <a:graphicData uri="http://schemas.microsoft.com/office/word/2010/wordprocessingShape">
                    <wps:wsp>
                      <wps:cNvCnPr/>
                      <wps:spPr>
                        <a:xfrm>
                          <a:off x="0" y="0"/>
                          <a:ext cx="562991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35pt;margin-top:53.3pt;height:0.05pt;width:443.3pt;z-index:251660288;mso-width-relative:page;mso-height-relative:page;" filled="f" stroked="t" coordsize="21600,21600" o:gfxdata="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dK7Bd1wAAAAoBAAAPAAAAAAAAAAEAIAAAACIAAABkcnMvZG93bnJldi54bWxQSwEC&#10;FAAUAAAACACHTuJANVWB2fUBAADmAwAADgAAAAAAAAABACAAAAAmAQAAZHJzL2Uyb0RvYy54bWxQ&#10;SwUGAAAAAAYABgBZAQAAjQUAAAAA&#10;">
                <v:fill on="f" focussize="0,0"/>
                <v:stroke color="#000000" joinstyle="round"/>
                <v:imagedata o:title=""/>
                <o:lock v:ext="edit" aspectratio="f"/>
              </v:line>
            </w:pict>
          </mc:Fallback>
        </mc:AlternateContent>
      </w:r>
      <w:r>
        <w:rPr>
          <w:color w:val="auto"/>
          <w:highlight w:val="none"/>
        </w:rPr>
        <w:drawing>
          <wp:inline distT="0" distB="0" distL="114300" distR="114300">
            <wp:extent cx="1836420" cy="556260"/>
            <wp:effectExtent l="0" t="0" r="11430" b="1524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a:stretch>
                      <a:fillRect/>
                    </a:stretch>
                  </pic:blipFill>
                  <pic:spPr>
                    <a:xfrm>
                      <a:off x="0" y="0"/>
                      <a:ext cx="1836420" cy="556260"/>
                    </a:xfrm>
                    <a:prstGeom prst="rect">
                      <a:avLst/>
                    </a:prstGeom>
                    <a:noFill/>
                    <a:ln>
                      <a:noFill/>
                    </a:ln>
                  </pic:spPr>
                </pic:pic>
              </a:graphicData>
            </a:graphic>
          </wp:inline>
        </w:drawing>
      </w:r>
    </w:p>
    <w:p w14:paraId="749B6E16">
      <w:pPr>
        <w:spacing w:line="360" w:lineRule="auto"/>
        <w:jc w:val="center"/>
        <w:rPr>
          <w:rFonts w:hint="eastAsia" w:ascii="方正小标宋简体" w:hAnsi="方正小标宋简体" w:eastAsia="方正小标宋简体" w:cs="方正小标宋简体"/>
          <w:b/>
          <w:color w:val="auto"/>
          <w:sz w:val="44"/>
          <w:szCs w:val="44"/>
          <w:highlight w:val="none"/>
        </w:rPr>
      </w:pPr>
      <w:r>
        <w:rPr>
          <w:rFonts w:hint="eastAsia" w:hAnsi="宋体" w:cs="宋体"/>
          <w:b/>
          <w:bCs/>
          <w:color w:val="auto"/>
          <w:w w:val="95"/>
          <w:sz w:val="52"/>
          <w:szCs w:val="52"/>
          <w:highlight w:val="none"/>
        </w:rPr>
        <w:t>广西建通工程咨询有限责任公司</w:t>
      </w:r>
    </w:p>
    <w:p w14:paraId="22727D44">
      <w:pPr>
        <w:spacing w:line="360" w:lineRule="auto"/>
        <w:jc w:val="center"/>
        <w:rPr>
          <w:rFonts w:hint="eastAsia" w:ascii="方正小标宋简体" w:hAnsi="方正小标宋简体" w:eastAsia="方正小标宋简体" w:cs="方正小标宋简体"/>
          <w:b/>
          <w:color w:val="auto"/>
          <w:sz w:val="44"/>
          <w:szCs w:val="44"/>
          <w:highlight w:val="none"/>
        </w:rPr>
      </w:pPr>
    </w:p>
    <w:p w14:paraId="6A7C2B44">
      <w:pPr>
        <w:snapToGrid w:val="0"/>
        <w:spacing w:before="156" w:beforeLines="50" w:line="360" w:lineRule="auto"/>
        <w:jc w:val="center"/>
        <w:rPr>
          <w:rFonts w:hint="eastAsia" w:ascii="华文新魏" w:hAnsi="宋体" w:eastAsia="华文新魏"/>
          <w:color w:val="auto"/>
          <w:sz w:val="96"/>
          <w:szCs w:val="96"/>
          <w:highlight w:val="none"/>
        </w:rPr>
      </w:pPr>
      <w:r>
        <w:rPr>
          <w:rFonts w:hint="eastAsia" w:ascii="华文新魏" w:hAnsi="宋体" w:eastAsia="华文新魏"/>
          <w:color w:val="auto"/>
          <w:sz w:val="96"/>
          <w:szCs w:val="96"/>
          <w:highlight w:val="none"/>
        </w:rPr>
        <w:t>竞争性</w:t>
      </w:r>
      <w:r>
        <w:rPr>
          <w:rFonts w:hint="eastAsia" w:ascii="华文新魏" w:hAnsi="宋体" w:eastAsia="华文新魏"/>
          <w:color w:val="auto"/>
          <w:sz w:val="96"/>
          <w:szCs w:val="96"/>
          <w:highlight w:val="none"/>
          <w:lang w:eastAsia="zh-CN"/>
        </w:rPr>
        <w:t>磋商</w:t>
      </w:r>
      <w:r>
        <w:rPr>
          <w:rFonts w:hint="eastAsia" w:ascii="华文新魏" w:hAnsi="宋体" w:eastAsia="华文新魏"/>
          <w:color w:val="auto"/>
          <w:sz w:val="96"/>
          <w:szCs w:val="96"/>
          <w:highlight w:val="none"/>
        </w:rPr>
        <w:t>文件</w:t>
      </w:r>
    </w:p>
    <w:p w14:paraId="7C60672F">
      <w:pPr>
        <w:snapToGrid w:val="0"/>
        <w:spacing w:before="156" w:beforeLines="50" w:line="360" w:lineRule="auto"/>
        <w:jc w:val="center"/>
        <w:rPr>
          <w:rFonts w:hint="eastAsia" w:ascii="宋体" w:hAnsi="宋体" w:eastAsia="宋体" w:cs="宋体"/>
          <w:b/>
          <w:bCs/>
          <w:color w:val="auto"/>
          <w:kern w:val="0"/>
          <w:sz w:val="36"/>
          <w:szCs w:val="36"/>
          <w:highlight w:val="none"/>
          <w:lang w:val="en-US" w:eastAsia="zh-CN" w:bidi="ar-SA"/>
        </w:rPr>
      </w:pPr>
      <w:r>
        <w:rPr>
          <w:rFonts w:hint="eastAsia" w:ascii="宋体" w:hAnsi="宋体" w:eastAsia="宋体" w:cs="宋体"/>
          <w:b/>
          <w:bCs/>
          <w:color w:val="auto"/>
          <w:kern w:val="0"/>
          <w:sz w:val="36"/>
          <w:szCs w:val="36"/>
          <w:highlight w:val="none"/>
          <w:lang w:val="en-US" w:eastAsia="zh-CN" w:bidi="ar-SA"/>
        </w:rPr>
        <w:t>（全流程电子化采购）</w:t>
      </w:r>
    </w:p>
    <w:p w14:paraId="4810D3C0">
      <w:pPr>
        <w:snapToGrid w:val="0"/>
        <w:spacing w:line="360" w:lineRule="auto"/>
        <w:rPr>
          <w:rFonts w:hint="eastAsia" w:ascii="仿宋_GB2312" w:hAnsi="宋体" w:eastAsia="仿宋_GB2312"/>
          <w:b/>
          <w:color w:val="auto"/>
          <w:sz w:val="48"/>
          <w:szCs w:val="48"/>
          <w:highlight w:val="none"/>
        </w:rPr>
      </w:pPr>
    </w:p>
    <w:p w14:paraId="18D3D5C8">
      <w:pPr>
        <w:snapToGrid w:val="0"/>
        <w:spacing w:line="360" w:lineRule="auto"/>
        <w:rPr>
          <w:rFonts w:hint="eastAsia" w:ascii="仿宋_GB2312" w:hAnsi="宋体" w:eastAsia="仿宋_GB2312"/>
          <w:color w:val="auto"/>
          <w:sz w:val="30"/>
          <w:szCs w:val="72"/>
          <w:highlight w:val="none"/>
        </w:rPr>
      </w:pPr>
    </w:p>
    <w:p w14:paraId="41F30E3F">
      <w:pPr>
        <w:pStyle w:val="25"/>
        <w:snapToGrid w:val="0"/>
        <w:spacing w:line="480" w:lineRule="auto"/>
        <w:ind w:firstLine="643" w:firstLineChars="200"/>
        <w:jc w:val="left"/>
        <w:rPr>
          <w:rFonts w:hint="eastAsia" w:hAnsi="宋体" w:eastAsia="宋体" w:cs="宋体"/>
          <w:b/>
          <w:bCs/>
          <w:color w:val="auto"/>
          <w:sz w:val="32"/>
          <w:szCs w:val="32"/>
          <w:highlight w:val="none"/>
          <w:lang w:eastAsia="zh-CN"/>
        </w:rPr>
      </w:pPr>
      <w:r>
        <w:rPr>
          <w:rFonts w:hint="eastAsia" w:hAnsi="宋体" w:cs="宋体"/>
          <w:b/>
          <w:bCs/>
          <w:color w:val="auto"/>
          <w:sz w:val="32"/>
          <w:szCs w:val="32"/>
          <w:highlight w:val="none"/>
        </w:rPr>
        <w:t>项目</w:t>
      </w:r>
      <w:r>
        <w:rPr>
          <w:rFonts w:hint="eastAsia" w:hAnsi="宋体" w:cs="宋体"/>
          <w:b/>
          <w:bCs/>
          <w:color w:val="auto"/>
          <w:w w:val="95"/>
          <w:sz w:val="32"/>
          <w:szCs w:val="32"/>
          <w:highlight w:val="none"/>
        </w:rPr>
        <w:t>名称</w:t>
      </w:r>
      <w:r>
        <w:rPr>
          <w:rFonts w:hint="eastAsia" w:hAnsi="宋体" w:cs="宋体"/>
          <w:b/>
          <w:bCs/>
          <w:color w:val="auto"/>
          <w:sz w:val="32"/>
          <w:szCs w:val="32"/>
          <w:highlight w:val="none"/>
        </w:rPr>
        <w:t>：钦州市第十中学学生宿舍改造</w:t>
      </w:r>
    </w:p>
    <w:p w14:paraId="4356CA9B">
      <w:pPr>
        <w:pStyle w:val="25"/>
        <w:snapToGrid w:val="0"/>
        <w:spacing w:line="480" w:lineRule="auto"/>
        <w:ind w:firstLine="643" w:firstLineChars="200"/>
        <w:jc w:val="left"/>
        <w:rPr>
          <w:rFonts w:hint="eastAsia" w:hAnsi="宋体" w:eastAsia="宋体" w:cs="宋体"/>
          <w:b/>
          <w:bCs/>
          <w:color w:val="auto"/>
          <w:sz w:val="32"/>
          <w:szCs w:val="32"/>
          <w:highlight w:val="none"/>
          <w:lang w:eastAsia="zh-CN"/>
        </w:rPr>
      </w:pPr>
      <w:r>
        <w:rPr>
          <w:rFonts w:hint="eastAsia" w:hAnsi="宋体" w:cs="宋体"/>
          <w:b/>
          <w:bCs/>
          <w:color w:val="auto"/>
          <w:sz w:val="32"/>
          <w:szCs w:val="32"/>
          <w:highlight w:val="none"/>
        </w:rPr>
        <w:t>项目编号： QZZC2025-C2-030095-GXJT</w:t>
      </w:r>
    </w:p>
    <w:p w14:paraId="44F3F239">
      <w:pPr>
        <w:pStyle w:val="25"/>
        <w:snapToGrid w:val="0"/>
        <w:spacing w:line="480" w:lineRule="auto"/>
        <w:ind w:firstLine="643" w:firstLineChars="200"/>
        <w:jc w:val="left"/>
        <w:rPr>
          <w:rFonts w:hint="eastAsia" w:hAnsi="宋体" w:eastAsia="宋体" w:cs="宋体"/>
          <w:b/>
          <w:bCs/>
          <w:color w:val="auto"/>
          <w:sz w:val="32"/>
          <w:szCs w:val="32"/>
          <w:highlight w:val="none"/>
          <w:lang w:eastAsia="zh-CN"/>
        </w:rPr>
      </w:pPr>
      <w:r>
        <w:rPr>
          <w:rFonts w:hint="eastAsia" w:hAnsi="宋体" w:cs="宋体"/>
          <w:b/>
          <w:bCs/>
          <w:color w:val="auto"/>
          <w:sz w:val="32"/>
          <w:szCs w:val="32"/>
          <w:highlight w:val="none"/>
        </w:rPr>
        <w:t>采 购 人：钦州市第十中学</w:t>
      </w:r>
    </w:p>
    <w:p w14:paraId="46B8FB0D">
      <w:pPr>
        <w:pStyle w:val="25"/>
        <w:snapToGrid w:val="0"/>
        <w:spacing w:line="360" w:lineRule="auto"/>
        <w:rPr>
          <w:rFonts w:hint="eastAsia" w:hAnsi="宋体" w:cs="宋体"/>
          <w:b/>
          <w:bCs/>
          <w:color w:val="auto"/>
          <w:w w:val="95"/>
          <w:sz w:val="30"/>
          <w:szCs w:val="30"/>
          <w:highlight w:val="none"/>
        </w:rPr>
      </w:pPr>
    </w:p>
    <w:p w14:paraId="4F5C6A3C">
      <w:pPr>
        <w:pStyle w:val="25"/>
        <w:snapToGrid w:val="0"/>
        <w:spacing w:line="360" w:lineRule="auto"/>
        <w:jc w:val="center"/>
        <w:rPr>
          <w:rFonts w:hint="eastAsia" w:hAnsi="宋体" w:cs="宋体"/>
          <w:b/>
          <w:bCs/>
          <w:color w:val="auto"/>
          <w:w w:val="95"/>
          <w:sz w:val="30"/>
          <w:szCs w:val="30"/>
          <w:highlight w:val="none"/>
        </w:rPr>
      </w:pPr>
      <w:r>
        <w:rPr>
          <w:color w:val="auto"/>
          <w:sz w:val="30"/>
          <w:highlight w:val="none"/>
        </w:rPr>
        <mc:AlternateContent>
          <mc:Choice Requires="wps">
            <w:drawing>
              <wp:anchor distT="0" distB="0" distL="114300" distR="114300" simplePos="0" relativeHeight="251659264" behindDoc="0" locked="0" layoutInCell="1" allowOverlap="1">
                <wp:simplePos x="0" y="0"/>
                <wp:positionH relativeFrom="column">
                  <wp:posOffset>-129540</wp:posOffset>
                </wp:positionH>
                <wp:positionV relativeFrom="paragraph">
                  <wp:posOffset>203835</wp:posOffset>
                </wp:positionV>
                <wp:extent cx="5784850" cy="6350"/>
                <wp:effectExtent l="0" t="0" r="0" b="0"/>
                <wp:wrapNone/>
                <wp:docPr id="10" name="直接连接符 10"/>
                <wp:cNvGraphicFramePr/>
                <a:graphic xmlns:a="http://schemas.openxmlformats.org/drawingml/2006/main">
                  <a:graphicData uri="http://schemas.microsoft.com/office/word/2010/wordprocessingShape">
                    <wps:wsp>
                      <wps:cNvCnPr/>
                      <wps:spPr>
                        <a:xfrm flipV="1">
                          <a:off x="0" y="0"/>
                          <a:ext cx="5784850" cy="635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0.2pt;margin-top:16.05pt;height:0.5pt;width:455.5pt;z-index:251659264;mso-width-relative:page;mso-height-relative:page;" filled="f" stroked="t" coordsize="21600,21600" o:gfxdata="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UxpFC1wAAAAkBAAAPAAAAAAAAAAEAIAAAACIAAABkcnMvZG93bnJl&#10;di54bWxQSwECFAAUAAAACACHTuJAXMLQ+/4BAADzAwAADgAAAAAAAAABACAAAAAmAQAAZHJzL2Uy&#10;b0RvYy54bWxQSwUGAAAAAAYABgBZAQAAlgUAAAAA&#10;">
                <v:fill on="f" focussize="0,0"/>
                <v:stroke color="#000000" joinstyle="round"/>
                <v:imagedata o:title=""/>
                <o:lock v:ext="edit" aspectratio="f"/>
              </v:line>
            </w:pict>
          </mc:Fallback>
        </mc:AlternateContent>
      </w:r>
    </w:p>
    <w:p w14:paraId="169D26E1">
      <w:pPr>
        <w:pStyle w:val="25"/>
        <w:snapToGrid w:val="0"/>
        <w:spacing w:line="480" w:lineRule="auto"/>
        <w:jc w:val="center"/>
        <w:rPr>
          <w:rFonts w:hint="eastAsia" w:ascii="仿宋_GB2312" w:hAnsi="宋体" w:eastAsia="仿宋_GB2312"/>
          <w:b/>
          <w:bCs/>
          <w:color w:val="auto"/>
          <w:w w:val="95"/>
          <w:sz w:val="30"/>
          <w:szCs w:val="30"/>
          <w:highlight w:val="none"/>
        </w:rPr>
      </w:pPr>
      <w:r>
        <w:rPr>
          <w:rFonts w:hint="eastAsia" w:hAnsi="宋体" w:cs="宋体"/>
          <w:b/>
          <w:bCs/>
          <w:color w:val="auto"/>
          <w:w w:val="95"/>
          <w:sz w:val="30"/>
          <w:szCs w:val="30"/>
          <w:highlight w:val="none"/>
        </w:rPr>
        <w:t>采购代理机构：广西建通工程咨询有限责任公司</w:t>
      </w:r>
    </w:p>
    <w:p w14:paraId="4B308B5E">
      <w:pPr>
        <w:jc w:val="center"/>
        <w:rPr>
          <w:rFonts w:hint="eastAsia" w:eastAsia="宋体"/>
          <w:lang w:val="en-US" w:eastAsia="zh-CN"/>
        </w:rPr>
      </w:pPr>
      <w:r>
        <w:rPr>
          <w:rFonts w:hint="eastAsia" w:hAnsi="宋体" w:cs="宋体"/>
          <w:b/>
          <w:bCs/>
          <w:color w:val="auto"/>
          <w:w w:val="95"/>
          <w:sz w:val="30"/>
          <w:szCs w:val="30"/>
          <w:highlight w:val="none"/>
        </w:rPr>
        <w:t>202</w:t>
      </w:r>
      <w:r>
        <w:rPr>
          <w:rFonts w:hint="eastAsia" w:hAnsi="宋体" w:cs="宋体"/>
          <w:b/>
          <w:bCs/>
          <w:color w:val="auto"/>
          <w:w w:val="95"/>
          <w:sz w:val="30"/>
          <w:szCs w:val="30"/>
          <w:highlight w:val="none"/>
          <w:lang w:val="en-US" w:eastAsia="zh-CN"/>
        </w:rPr>
        <w:t>5</w:t>
      </w:r>
      <w:r>
        <w:rPr>
          <w:rFonts w:hint="eastAsia" w:hAnsi="宋体" w:cs="宋体"/>
          <w:b/>
          <w:bCs/>
          <w:color w:val="auto"/>
          <w:w w:val="95"/>
          <w:sz w:val="30"/>
          <w:szCs w:val="30"/>
          <w:highlight w:val="none"/>
        </w:rPr>
        <w:t>年</w:t>
      </w:r>
      <w:r>
        <w:rPr>
          <w:rFonts w:hint="eastAsia" w:hAnsi="宋体" w:cs="宋体"/>
          <w:b/>
          <w:bCs/>
          <w:color w:val="auto"/>
          <w:w w:val="95"/>
          <w:sz w:val="30"/>
          <w:szCs w:val="30"/>
          <w:highlight w:val="none"/>
          <w:lang w:val="en-US" w:eastAsia="zh-CN"/>
        </w:rPr>
        <w:t>9</w:t>
      </w:r>
      <w:r>
        <w:rPr>
          <w:rFonts w:hint="eastAsia" w:hAnsi="宋体" w:cs="宋体"/>
          <w:b/>
          <w:bCs/>
          <w:color w:val="auto"/>
          <w:w w:val="95"/>
          <w:sz w:val="30"/>
          <w:szCs w:val="30"/>
          <w:highlight w:val="none"/>
        </w:rPr>
        <w:t>月</w:t>
      </w:r>
      <w:r>
        <w:rPr>
          <w:rFonts w:hint="eastAsia" w:hAnsi="宋体" w:cs="宋体"/>
          <w:b/>
          <w:bCs/>
          <w:color w:val="auto"/>
          <w:w w:val="95"/>
          <w:sz w:val="30"/>
          <w:szCs w:val="30"/>
          <w:highlight w:val="none"/>
          <w:lang w:val="en-US" w:eastAsia="zh-CN"/>
        </w:rPr>
        <w:t>19日</w:t>
      </w:r>
    </w:p>
    <w:p w14:paraId="54271392">
      <w:pPr>
        <w:pStyle w:val="25"/>
        <w:snapToGrid w:val="0"/>
        <w:spacing w:line="360" w:lineRule="auto"/>
        <w:ind w:left="420" w:firstLine="588" w:firstLineChars="294"/>
        <w:rPr>
          <w:rFonts w:ascii="仿宋_GB2312" w:eastAsia="仿宋_GB2312"/>
          <w:bCs/>
          <w:color w:val="000000" w:themeColor="text1"/>
          <w:szCs w:val="20"/>
          <w:highlight w:val="none"/>
          <w14:textFill>
            <w14:solidFill>
              <w14:schemeClr w14:val="tx1"/>
            </w14:solidFill>
          </w14:textFill>
        </w:rPr>
      </w:pPr>
    </w:p>
    <w:p w14:paraId="0A1840E6">
      <w:pPr>
        <w:spacing w:line="360" w:lineRule="auto"/>
        <w:jc w:val="center"/>
        <w:rPr>
          <w:rFonts w:ascii="宋体" w:hAnsi="宋体" w:cs="宋体"/>
          <w:b/>
          <w:bCs/>
          <w:color w:val="000000" w:themeColor="text1"/>
          <w:kern w:val="0"/>
          <w:sz w:val="32"/>
          <w:szCs w:val="32"/>
          <w:highlight w:val="none"/>
          <w14:textFill>
            <w14:solidFill>
              <w14:schemeClr w14:val="tx1"/>
            </w14:solidFill>
          </w14:textFill>
        </w:rPr>
      </w:pPr>
    </w:p>
    <w:p w14:paraId="5192B6E6">
      <w:pPr>
        <w:spacing w:line="360" w:lineRule="auto"/>
        <w:jc w:val="center"/>
        <w:rPr>
          <w:rFonts w:ascii="宋体" w:hAnsi="宋体"/>
          <w:b/>
          <w:color w:val="000000" w:themeColor="text1"/>
          <w:sz w:val="44"/>
          <w:szCs w:val="44"/>
          <w:highlight w:val="none"/>
          <w14:textFill>
            <w14:solidFill>
              <w14:schemeClr w14:val="tx1"/>
            </w14:solidFill>
          </w14:textFill>
        </w:rPr>
      </w:pPr>
      <w:r>
        <w:rPr>
          <w:rFonts w:hint="eastAsia" w:ascii="宋体" w:hAnsi="宋体"/>
          <w:b/>
          <w:color w:val="000000" w:themeColor="text1"/>
          <w:sz w:val="44"/>
          <w:szCs w:val="44"/>
          <w:highlight w:val="none"/>
          <w14:textFill>
            <w14:solidFill>
              <w14:schemeClr w14:val="tx1"/>
            </w14:solidFill>
          </w14:textFill>
        </w:rPr>
        <w:t>目  录</w:t>
      </w:r>
    </w:p>
    <w:p w14:paraId="560BCC4B">
      <w:pPr>
        <w:spacing w:line="400" w:lineRule="exact"/>
        <w:jc w:val="center"/>
        <w:rPr>
          <w:rFonts w:ascii="宋体" w:hAnsi="宋体"/>
          <w:b/>
          <w:color w:val="000000" w:themeColor="text1"/>
          <w:sz w:val="44"/>
          <w:szCs w:val="44"/>
          <w:highlight w:val="none"/>
          <w14:textFill>
            <w14:solidFill>
              <w14:schemeClr w14:val="tx1"/>
            </w14:solidFill>
          </w14:textFill>
        </w:rPr>
      </w:pPr>
    </w:p>
    <w:p w14:paraId="508BF3F6">
      <w:pPr>
        <w:pStyle w:val="32"/>
        <w:tabs>
          <w:tab w:val="right" w:leader="dot" w:pos="8869"/>
        </w:tabs>
        <w:spacing w:line="360" w:lineRule="auto"/>
        <w:rPr>
          <w:rFonts w:ascii="Calibri" w:hAnsi="Calibri"/>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fldChar w:fldCharType="begin"/>
      </w:r>
      <w:r>
        <w:rPr>
          <w:rFonts w:ascii="宋体" w:hAnsi="宋体"/>
          <w:b/>
          <w:color w:val="000000" w:themeColor="text1"/>
          <w:sz w:val="24"/>
          <w:highlight w:val="none"/>
          <w14:textFill>
            <w14:solidFill>
              <w14:schemeClr w14:val="tx1"/>
            </w14:solidFill>
          </w14:textFill>
        </w:rPr>
        <w:instrText xml:space="preserve"> </w:instrText>
      </w:r>
      <w:r>
        <w:rPr>
          <w:rFonts w:hint="eastAsia" w:ascii="宋体" w:hAnsi="宋体"/>
          <w:b/>
          <w:color w:val="000000" w:themeColor="text1"/>
          <w:sz w:val="24"/>
          <w:highlight w:val="none"/>
          <w14:textFill>
            <w14:solidFill>
              <w14:schemeClr w14:val="tx1"/>
            </w14:solidFill>
          </w14:textFill>
        </w:rPr>
        <w:instrText xml:space="preserve">TOC \o "1-3" \h \z \u</w:instrText>
      </w:r>
      <w:r>
        <w:rPr>
          <w:rFonts w:ascii="宋体" w:hAnsi="宋体"/>
          <w:b/>
          <w:color w:val="000000" w:themeColor="text1"/>
          <w:sz w:val="24"/>
          <w:highlight w:val="none"/>
          <w14:textFill>
            <w14:solidFill>
              <w14:schemeClr w14:val="tx1"/>
            </w14:solidFill>
          </w14:textFill>
        </w:rPr>
        <w:instrText xml:space="preserve"> </w:instrText>
      </w:r>
      <w:r>
        <w:rPr>
          <w:rFonts w:ascii="宋体" w:hAnsi="宋体"/>
          <w:b/>
          <w:color w:val="000000" w:themeColor="text1"/>
          <w:sz w:val="24"/>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"_Toc122424244" </w:instrText>
      </w:r>
      <w:r>
        <w:rPr>
          <w:color w:val="000000" w:themeColor="text1"/>
          <w:highlight w:val="none"/>
          <w14:textFill>
            <w14:solidFill>
              <w14:schemeClr w14:val="tx1"/>
            </w14:solidFill>
          </w14:textFill>
        </w:rPr>
        <w:fldChar w:fldCharType="separate"/>
      </w:r>
      <w:r>
        <w:rPr>
          <w:rStyle w:val="51"/>
          <w:rFonts w:hint="eastAsia"/>
          <w:b/>
          <w:color w:val="000000" w:themeColor="text1"/>
          <w:sz w:val="24"/>
          <w:highlight w:val="none"/>
          <w14:textFill>
            <w14:solidFill>
              <w14:schemeClr w14:val="tx1"/>
            </w14:solidFill>
          </w14:textFill>
        </w:rPr>
        <w:t>第一章</w:t>
      </w:r>
      <w:r>
        <w:rPr>
          <w:rStyle w:val="51"/>
          <w:b/>
          <w:color w:val="000000" w:themeColor="text1"/>
          <w:sz w:val="24"/>
          <w:highlight w:val="none"/>
          <w14:textFill>
            <w14:solidFill>
              <w14:schemeClr w14:val="tx1"/>
            </w14:solidFill>
          </w14:textFill>
        </w:rPr>
        <w:t xml:space="preserve"> </w:t>
      </w:r>
      <w:r>
        <w:rPr>
          <w:rStyle w:val="51"/>
          <w:rFonts w:hint="eastAsia"/>
          <w:b/>
          <w:color w:val="000000" w:themeColor="text1"/>
          <w:sz w:val="24"/>
          <w:highlight w:val="none"/>
          <w14:textFill>
            <w14:solidFill>
              <w14:schemeClr w14:val="tx1"/>
            </w14:solidFill>
          </w14:textFill>
        </w:rPr>
        <w:t>竞争性磋商公告</w:t>
      </w:r>
      <w:r>
        <w:rPr>
          <w:b/>
          <w:color w:val="000000" w:themeColor="text1"/>
          <w:sz w:val="24"/>
          <w:highlight w:val="none"/>
          <w14:textFill>
            <w14:solidFill>
              <w14:schemeClr w14:val="tx1"/>
            </w14:solidFill>
          </w14:textFill>
        </w:rPr>
        <w:tab/>
      </w:r>
      <w:r>
        <w:rPr>
          <w:b/>
          <w:color w:val="000000" w:themeColor="text1"/>
          <w:sz w:val="24"/>
          <w:highlight w:val="none"/>
          <w14:textFill>
            <w14:solidFill>
              <w14:schemeClr w14:val="tx1"/>
            </w14:solidFill>
          </w14:textFill>
        </w:rPr>
        <w:fldChar w:fldCharType="begin"/>
      </w:r>
      <w:r>
        <w:rPr>
          <w:b/>
          <w:color w:val="000000" w:themeColor="text1"/>
          <w:sz w:val="24"/>
          <w:highlight w:val="none"/>
          <w14:textFill>
            <w14:solidFill>
              <w14:schemeClr w14:val="tx1"/>
            </w14:solidFill>
          </w14:textFill>
        </w:rPr>
        <w:instrText xml:space="preserve"> PAGEREF _Toc122424244 \h </w:instrText>
      </w:r>
      <w:r>
        <w:rPr>
          <w:b/>
          <w:color w:val="000000" w:themeColor="text1"/>
          <w:sz w:val="24"/>
          <w:highlight w:val="none"/>
          <w14:textFill>
            <w14:solidFill>
              <w14:schemeClr w14:val="tx1"/>
            </w14:solidFill>
          </w14:textFill>
        </w:rPr>
        <w:fldChar w:fldCharType="separate"/>
      </w:r>
      <w:r>
        <w:rPr>
          <w:b/>
          <w:color w:val="000000" w:themeColor="text1"/>
          <w:sz w:val="24"/>
          <w:highlight w:val="none"/>
          <w14:textFill>
            <w14:solidFill>
              <w14:schemeClr w14:val="tx1"/>
            </w14:solidFill>
          </w14:textFill>
        </w:rPr>
        <w:t>2</w:t>
      </w:r>
      <w:r>
        <w:rPr>
          <w:b/>
          <w:color w:val="000000" w:themeColor="text1"/>
          <w:sz w:val="24"/>
          <w:highlight w:val="none"/>
          <w14:textFill>
            <w14:solidFill>
              <w14:schemeClr w14:val="tx1"/>
            </w14:solidFill>
          </w14:textFill>
        </w:rPr>
        <w:fldChar w:fldCharType="end"/>
      </w:r>
      <w:r>
        <w:rPr>
          <w:b/>
          <w:color w:val="000000" w:themeColor="text1"/>
          <w:sz w:val="24"/>
          <w:highlight w:val="none"/>
          <w14:textFill>
            <w14:solidFill>
              <w14:schemeClr w14:val="tx1"/>
            </w14:solidFill>
          </w14:textFill>
        </w:rPr>
        <w:fldChar w:fldCharType="end"/>
      </w:r>
    </w:p>
    <w:p w14:paraId="03E7766E">
      <w:pPr>
        <w:pStyle w:val="32"/>
        <w:tabs>
          <w:tab w:val="right" w:leader="dot" w:pos="8869"/>
        </w:tabs>
        <w:spacing w:line="360" w:lineRule="auto"/>
        <w:rPr>
          <w:rFonts w:ascii="Calibri" w:hAnsi="Calibri"/>
          <w:b/>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"_Toc122424245" </w:instrText>
      </w:r>
      <w:r>
        <w:rPr>
          <w:color w:val="000000" w:themeColor="text1"/>
          <w:highlight w:val="none"/>
          <w14:textFill>
            <w14:solidFill>
              <w14:schemeClr w14:val="tx1"/>
            </w14:solidFill>
          </w14:textFill>
        </w:rPr>
        <w:fldChar w:fldCharType="separate"/>
      </w:r>
      <w:r>
        <w:rPr>
          <w:rStyle w:val="51"/>
          <w:rFonts w:hint="eastAsia"/>
          <w:b/>
          <w:color w:val="000000" w:themeColor="text1"/>
          <w:sz w:val="24"/>
          <w:highlight w:val="none"/>
          <w14:textFill>
            <w14:solidFill>
              <w14:schemeClr w14:val="tx1"/>
            </w14:solidFill>
          </w14:textFill>
        </w:rPr>
        <w:t>第二章</w:t>
      </w:r>
      <w:r>
        <w:rPr>
          <w:rStyle w:val="51"/>
          <w:b/>
          <w:color w:val="000000" w:themeColor="text1"/>
          <w:sz w:val="24"/>
          <w:highlight w:val="none"/>
          <w14:textFill>
            <w14:solidFill>
              <w14:schemeClr w14:val="tx1"/>
            </w14:solidFill>
          </w14:textFill>
        </w:rPr>
        <w:t xml:space="preserve"> </w:t>
      </w:r>
      <w:r>
        <w:rPr>
          <w:rStyle w:val="51"/>
          <w:rFonts w:hint="eastAsia"/>
          <w:b/>
          <w:color w:val="000000" w:themeColor="text1"/>
          <w:sz w:val="24"/>
          <w:highlight w:val="none"/>
          <w14:textFill>
            <w14:solidFill>
              <w14:schemeClr w14:val="tx1"/>
            </w14:solidFill>
          </w14:textFill>
        </w:rPr>
        <w:t>供应商须知</w:t>
      </w:r>
      <w:r>
        <w:rPr>
          <w:b/>
          <w:color w:val="000000" w:themeColor="text1"/>
          <w:sz w:val="24"/>
          <w:highlight w:val="none"/>
          <w14:textFill>
            <w14:solidFill>
              <w14:schemeClr w14:val="tx1"/>
            </w14:solidFill>
          </w14:textFill>
        </w:rPr>
        <w:tab/>
      </w:r>
      <w:r>
        <w:rPr>
          <w:b/>
          <w:color w:val="000000" w:themeColor="text1"/>
          <w:sz w:val="24"/>
          <w:highlight w:val="none"/>
          <w14:textFill>
            <w14:solidFill>
              <w14:schemeClr w14:val="tx1"/>
            </w14:solidFill>
          </w14:textFill>
        </w:rPr>
        <w:fldChar w:fldCharType="begin"/>
      </w:r>
      <w:r>
        <w:rPr>
          <w:b/>
          <w:color w:val="000000" w:themeColor="text1"/>
          <w:sz w:val="24"/>
          <w:highlight w:val="none"/>
          <w14:textFill>
            <w14:solidFill>
              <w14:schemeClr w14:val="tx1"/>
            </w14:solidFill>
          </w14:textFill>
        </w:rPr>
        <w:instrText xml:space="preserve"> PAGEREF _Toc122424245 \h </w:instrText>
      </w:r>
      <w:r>
        <w:rPr>
          <w:b/>
          <w:color w:val="000000" w:themeColor="text1"/>
          <w:sz w:val="24"/>
          <w:highlight w:val="none"/>
          <w14:textFill>
            <w14:solidFill>
              <w14:schemeClr w14:val="tx1"/>
            </w14:solidFill>
          </w14:textFill>
        </w:rPr>
        <w:fldChar w:fldCharType="separate"/>
      </w:r>
      <w:r>
        <w:rPr>
          <w:b/>
          <w:color w:val="000000" w:themeColor="text1"/>
          <w:sz w:val="24"/>
          <w:highlight w:val="none"/>
          <w14:textFill>
            <w14:solidFill>
              <w14:schemeClr w14:val="tx1"/>
            </w14:solidFill>
          </w14:textFill>
        </w:rPr>
        <w:t>6</w:t>
      </w:r>
      <w:r>
        <w:rPr>
          <w:b/>
          <w:color w:val="000000" w:themeColor="text1"/>
          <w:sz w:val="24"/>
          <w:highlight w:val="none"/>
          <w14:textFill>
            <w14:solidFill>
              <w14:schemeClr w14:val="tx1"/>
            </w14:solidFill>
          </w14:textFill>
        </w:rPr>
        <w:fldChar w:fldCharType="end"/>
      </w:r>
      <w:r>
        <w:rPr>
          <w:b/>
          <w:color w:val="000000" w:themeColor="text1"/>
          <w:sz w:val="24"/>
          <w:highlight w:val="none"/>
          <w14:textFill>
            <w14:solidFill>
              <w14:schemeClr w14:val="tx1"/>
            </w14:solidFill>
          </w14:textFill>
        </w:rPr>
        <w:fldChar w:fldCharType="end"/>
      </w:r>
    </w:p>
    <w:p w14:paraId="19E5F464">
      <w:pPr>
        <w:pStyle w:val="32"/>
        <w:tabs>
          <w:tab w:val="right" w:leader="dot" w:pos="8869"/>
        </w:tabs>
        <w:spacing w:line="360" w:lineRule="auto"/>
        <w:rPr>
          <w:rFonts w:ascii="Calibri" w:hAnsi="Calibri"/>
          <w:b/>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"_Toc122424246" </w:instrText>
      </w:r>
      <w:r>
        <w:rPr>
          <w:color w:val="000000" w:themeColor="text1"/>
          <w:highlight w:val="none"/>
          <w14:textFill>
            <w14:solidFill>
              <w14:schemeClr w14:val="tx1"/>
            </w14:solidFill>
          </w14:textFill>
        </w:rPr>
        <w:fldChar w:fldCharType="separate"/>
      </w:r>
      <w:r>
        <w:rPr>
          <w:rStyle w:val="51"/>
          <w:rFonts w:hint="eastAsia"/>
          <w:b/>
          <w:color w:val="000000" w:themeColor="text1"/>
          <w:sz w:val="24"/>
          <w:highlight w:val="none"/>
          <w14:textFill>
            <w14:solidFill>
              <w14:schemeClr w14:val="tx1"/>
            </w14:solidFill>
          </w14:textFill>
        </w:rPr>
        <w:t>第三章</w:t>
      </w:r>
      <w:r>
        <w:rPr>
          <w:rStyle w:val="51"/>
          <w:b/>
          <w:color w:val="000000" w:themeColor="text1"/>
          <w:sz w:val="24"/>
          <w:highlight w:val="none"/>
          <w14:textFill>
            <w14:solidFill>
              <w14:schemeClr w14:val="tx1"/>
            </w14:solidFill>
          </w14:textFill>
        </w:rPr>
        <w:t xml:space="preserve"> </w:t>
      </w:r>
      <w:r>
        <w:rPr>
          <w:rStyle w:val="51"/>
          <w:rFonts w:hint="eastAsia"/>
          <w:b/>
          <w:color w:val="000000" w:themeColor="text1"/>
          <w:sz w:val="24"/>
          <w:highlight w:val="none"/>
          <w14:textFill>
            <w14:solidFill>
              <w14:schemeClr w14:val="tx1"/>
            </w14:solidFill>
          </w14:textFill>
        </w:rPr>
        <w:t>采购需求</w:t>
      </w:r>
      <w:r>
        <w:rPr>
          <w:b/>
          <w:color w:val="000000" w:themeColor="text1"/>
          <w:sz w:val="24"/>
          <w:highlight w:val="none"/>
          <w14:textFill>
            <w14:solidFill>
              <w14:schemeClr w14:val="tx1"/>
            </w14:solidFill>
          </w14:textFill>
        </w:rPr>
        <w:tab/>
      </w:r>
      <w:r>
        <w:rPr>
          <w:b/>
          <w:color w:val="000000" w:themeColor="text1"/>
          <w:sz w:val="24"/>
          <w:highlight w:val="none"/>
          <w14:textFill>
            <w14:solidFill>
              <w14:schemeClr w14:val="tx1"/>
            </w14:solidFill>
          </w14:textFill>
        </w:rPr>
        <w:fldChar w:fldCharType="begin"/>
      </w:r>
      <w:r>
        <w:rPr>
          <w:b/>
          <w:color w:val="000000" w:themeColor="text1"/>
          <w:sz w:val="24"/>
          <w:highlight w:val="none"/>
          <w14:textFill>
            <w14:solidFill>
              <w14:schemeClr w14:val="tx1"/>
            </w14:solidFill>
          </w14:textFill>
        </w:rPr>
        <w:instrText xml:space="preserve"> PAGEREF _Toc122424246 \h </w:instrText>
      </w:r>
      <w:r>
        <w:rPr>
          <w:b/>
          <w:color w:val="000000" w:themeColor="text1"/>
          <w:sz w:val="24"/>
          <w:highlight w:val="none"/>
          <w14:textFill>
            <w14:solidFill>
              <w14:schemeClr w14:val="tx1"/>
            </w14:solidFill>
          </w14:textFill>
        </w:rPr>
        <w:fldChar w:fldCharType="separate"/>
      </w:r>
      <w:r>
        <w:rPr>
          <w:b/>
          <w:color w:val="000000" w:themeColor="text1"/>
          <w:sz w:val="24"/>
          <w:highlight w:val="none"/>
          <w14:textFill>
            <w14:solidFill>
              <w14:schemeClr w14:val="tx1"/>
            </w14:solidFill>
          </w14:textFill>
        </w:rPr>
        <w:t>24</w:t>
      </w:r>
      <w:r>
        <w:rPr>
          <w:b/>
          <w:color w:val="000000" w:themeColor="text1"/>
          <w:sz w:val="24"/>
          <w:highlight w:val="none"/>
          <w14:textFill>
            <w14:solidFill>
              <w14:schemeClr w14:val="tx1"/>
            </w14:solidFill>
          </w14:textFill>
        </w:rPr>
        <w:fldChar w:fldCharType="end"/>
      </w:r>
      <w:r>
        <w:rPr>
          <w:b/>
          <w:color w:val="000000" w:themeColor="text1"/>
          <w:sz w:val="24"/>
          <w:highlight w:val="none"/>
          <w14:textFill>
            <w14:solidFill>
              <w14:schemeClr w14:val="tx1"/>
            </w14:solidFill>
          </w14:textFill>
        </w:rPr>
        <w:fldChar w:fldCharType="end"/>
      </w:r>
    </w:p>
    <w:p w14:paraId="07908D79">
      <w:pPr>
        <w:pStyle w:val="32"/>
        <w:tabs>
          <w:tab w:val="right" w:leader="dot" w:pos="8869"/>
        </w:tabs>
        <w:spacing w:line="360" w:lineRule="auto"/>
        <w:rPr>
          <w:rFonts w:ascii="Calibri" w:hAnsi="Calibri"/>
          <w:b/>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"_Toc122424247" </w:instrText>
      </w:r>
      <w:r>
        <w:rPr>
          <w:color w:val="000000" w:themeColor="text1"/>
          <w:highlight w:val="none"/>
          <w14:textFill>
            <w14:solidFill>
              <w14:schemeClr w14:val="tx1"/>
            </w14:solidFill>
          </w14:textFill>
        </w:rPr>
        <w:fldChar w:fldCharType="separate"/>
      </w:r>
      <w:r>
        <w:rPr>
          <w:rStyle w:val="51"/>
          <w:rFonts w:hint="eastAsia"/>
          <w:b/>
          <w:color w:val="000000" w:themeColor="text1"/>
          <w:sz w:val="24"/>
          <w:highlight w:val="none"/>
          <w14:textFill>
            <w14:solidFill>
              <w14:schemeClr w14:val="tx1"/>
            </w14:solidFill>
          </w14:textFill>
        </w:rPr>
        <w:t>第四章</w:t>
      </w:r>
      <w:r>
        <w:rPr>
          <w:rStyle w:val="51"/>
          <w:b/>
          <w:color w:val="000000" w:themeColor="text1"/>
          <w:sz w:val="24"/>
          <w:highlight w:val="none"/>
          <w14:textFill>
            <w14:solidFill>
              <w14:schemeClr w14:val="tx1"/>
            </w14:solidFill>
          </w14:textFill>
        </w:rPr>
        <w:t xml:space="preserve">  </w:t>
      </w:r>
      <w:r>
        <w:rPr>
          <w:rStyle w:val="51"/>
          <w:rFonts w:hint="eastAsia"/>
          <w:b/>
          <w:color w:val="000000" w:themeColor="text1"/>
          <w:sz w:val="24"/>
          <w:highlight w:val="none"/>
          <w14:textFill>
            <w14:solidFill>
              <w14:schemeClr w14:val="tx1"/>
            </w14:solidFill>
          </w14:textFill>
        </w:rPr>
        <w:t>评审程序、评审方法和评审标准</w:t>
      </w:r>
      <w:r>
        <w:rPr>
          <w:b/>
          <w:color w:val="000000" w:themeColor="text1"/>
          <w:sz w:val="24"/>
          <w:highlight w:val="none"/>
          <w14:textFill>
            <w14:solidFill>
              <w14:schemeClr w14:val="tx1"/>
            </w14:solidFill>
          </w14:textFill>
        </w:rPr>
        <w:tab/>
      </w:r>
      <w:r>
        <w:rPr>
          <w:b/>
          <w:color w:val="000000" w:themeColor="text1"/>
          <w:sz w:val="24"/>
          <w:highlight w:val="none"/>
          <w14:textFill>
            <w14:solidFill>
              <w14:schemeClr w14:val="tx1"/>
            </w14:solidFill>
          </w14:textFill>
        </w:rPr>
        <w:fldChar w:fldCharType="begin"/>
      </w:r>
      <w:r>
        <w:rPr>
          <w:b/>
          <w:color w:val="000000" w:themeColor="text1"/>
          <w:sz w:val="24"/>
          <w:highlight w:val="none"/>
          <w14:textFill>
            <w14:solidFill>
              <w14:schemeClr w14:val="tx1"/>
            </w14:solidFill>
          </w14:textFill>
        </w:rPr>
        <w:instrText xml:space="preserve"> PAGEREF _Toc122424247 \h </w:instrText>
      </w:r>
      <w:r>
        <w:rPr>
          <w:b/>
          <w:color w:val="000000" w:themeColor="text1"/>
          <w:sz w:val="24"/>
          <w:highlight w:val="none"/>
          <w14:textFill>
            <w14:solidFill>
              <w14:schemeClr w14:val="tx1"/>
            </w14:solidFill>
          </w14:textFill>
        </w:rPr>
        <w:fldChar w:fldCharType="separate"/>
      </w:r>
      <w:r>
        <w:rPr>
          <w:b/>
          <w:color w:val="000000" w:themeColor="text1"/>
          <w:sz w:val="24"/>
          <w:highlight w:val="none"/>
          <w14:textFill>
            <w14:solidFill>
              <w14:schemeClr w14:val="tx1"/>
            </w14:solidFill>
          </w14:textFill>
        </w:rPr>
        <w:t>26</w:t>
      </w:r>
      <w:r>
        <w:rPr>
          <w:b/>
          <w:color w:val="000000" w:themeColor="text1"/>
          <w:sz w:val="24"/>
          <w:highlight w:val="none"/>
          <w14:textFill>
            <w14:solidFill>
              <w14:schemeClr w14:val="tx1"/>
            </w14:solidFill>
          </w14:textFill>
        </w:rPr>
        <w:fldChar w:fldCharType="end"/>
      </w:r>
      <w:r>
        <w:rPr>
          <w:b/>
          <w:color w:val="000000" w:themeColor="text1"/>
          <w:sz w:val="24"/>
          <w:highlight w:val="none"/>
          <w14:textFill>
            <w14:solidFill>
              <w14:schemeClr w14:val="tx1"/>
            </w14:solidFill>
          </w14:textFill>
        </w:rPr>
        <w:fldChar w:fldCharType="end"/>
      </w:r>
    </w:p>
    <w:p w14:paraId="5AC48CDD">
      <w:pPr>
        <w:pStyle w:val="32"/>
        <w:tabs>
          <w:tab w:val="right" w:leader="dot" w:pos="8869"/>
        </w:tabs>
        <w:spacing w:line="360" w:lineRule="auto"/>
        <w:rPr>
          <w:rFonts w:ascii="Calibri" w:hAnsi="Calibri"/>
          <w:b/>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"_Toc122424248" </w:instrText>
      </w:r>
      <w:r>
        <w:rPr>
          <w:color w:val="000000" w:themeColor="text1"/>
          <w:highlight w:val="none"/>
          <w14:textFill>
            <w14:solidFill>
              <w14:schemeClr w14:val="tx1"/>
            </w14:solidFill>
          </w14:textFill>
        </w:rPr>
        <w:fldChar w:fldCharType="separate"/>
      </w:r>
      <w:r>
        <w:rPr>
          <w:rStyle w:val="51"/>
          <w:rFonts w:hint="eastAsia"/>
          <w:b/>
          <w:color w:val="000000" w:themeColor="text1"/>
          <w:sz w:val="24"/>
          <w:highlight w:val="none"/>
          <w14:textFill>
            <w14:solidFill>
              <w14:schemeClr w14:val="tx1"/>
            </w14:solidFill>
          </w14:textFill>
        </w:rPr>
        <w:t>第五章</w:t>
      </w:r>
      <w:r>
        <w:rPr>
          <w:rStyle w:val="51"/>
          <w:b/>
          <w:color w:val="000000" w:themeColor="text1"/>
          <w:sz w:val="24"/>
          <w:highlight w:val="none"/>
          <w14:textFill>
            <w14:solidFill>
              <w14:schemeClr w14:val="tx1"/>
            </w14:solidFill>
          </w14:textFill>
        </w:rPr>
        <w:t xml:space="preserve"> </w:t>
      </w:r>
      <w:r>
        <w:rPr>
          <w:rStyle w:val="51"/>
          <w:rFonts w:hint="eastAsia"/>
          <w:b/>
          <w:color w:val="000000" w:themeColor="text1"/>
          <w:sz w:val="24"/>
          <w:highlight w:val="none"/>
          <w14:textFill>
            <w14:solidFill>
              <w14:schemeClr w14:val="tx1"/>
            </w14:solidFill>
          </w14:textFill>
        </w:rPr>
        <w:t>工程量清单及图纸</w:t>
      </w:r>
      <w:r>
        <w:rPr>
          <w:b/>
          <w:color w:val="000000" w:themeColor="text1"/>
          <w:sz w:val="24"/>
          <w:highlight w:val="none"/>
          <w14:textFill>
            <w14:solidFill>
              <w14:schemeClr w14:val="tx1"/>
            </w14:solidFill>
          </w14:textFill>
        </w:rPr>
        <w:tab/>
      </w:r>
      <w:r>
        <w:rPr>
          <w:b/>
          <w:color w:val="000000" w:themeColor="text1"/>
          <w:sz w:val="24"/>
          <w:highlight w:val="none"/>
          <w14:textFill>
            <w14:solidFill>
              <w14:schemeClr w14:val="tx1"/>
            </w14:solidFill>
          </w14:textFill>
        </w:rPr>
        <w:fldChar w:fldCharType="begin"/>
      </w:r>
      <w:r>
        <w:rPr>
          <w:b/>
          <w:color w:val="000000" w:themeColor="text1"/>
          <w:sz w:val="24"/>
          <w:highlight w:val="none"/>
          <w14:textFill>
            <w14:solidFill>
              <w14:schemeClr w14:val="tx1"/>
            </w14:solidFill>
          </w14:textFill>
        </w:rPr>
        <w:instrText xml:space="preserve"> PAGEREF _Toc122424248 \h </w:instrText>
      </w:r>
      <w:r>
        <w:rPr>
          <w:b/>
          <w:color w:val="000000" w:themeColor="text1"/>
          <w:sz w:val="24"/>
          <w:highlight w:val="none"/>
          <w14:textFill>
            <w14:solidFill>
              <w14:schemeClr w14:val="tx1"/>
            </w14:solidFill>
          </w14:textFill>
        </w:rPr>
        <w:fldChar w:fldCharType="separate"/>
      </w:r>
      <w:r>
        <w:rPr>
          <w:b/>
          <w:color w:val="000000" w:themeColor="text1"/>
          <w:sz w:val="24"/>
          <w:highlight w:val="none"/>
          <w14:textFill>
            <w14:solidFill>
              <w14:schemeClr w14:val="tx1"/>
            </w14:solidFill>
          </w14:textFill>
        </w:rPr>
        <w:t>36</w:t>
      </w:r>
      <w:r>
        <w:rPr>
          <w:b/>
          <w:color w:val="000000" w:themeColor="text1"/>
          <w:sz w:val="24"/>
          <w:highlight w:val="none"/>
          <w14:textFill>
            <w14:solidFill>
              <w14:schemeClr w14:val="tx1"/>
            </w14:solidFill>
          </w14:textFill>
        </w:rPr>
        <w:fldChar w:fldCharType="end"/>
      </w:r>
      <w:r>
        <w:rPr>
          <w:b/>
          <w:color w:val="000000" w:themeColor="text1"/>
          <w:sz w:val="24"/>
          <w:highlight w:val="none"/>
          <w14:textFill>
            <w14:solidFill>
              <w14:schemeClr w14:val="tx1"/>
            </w14:solidFill>
          </w14:textFill>
        </w:rPr>
        <w:fldChar w:fldCharType="end"/>
      </w:r>
    </w:p>
    <w:p w14:paraId="2EA1DEED">
      <w:pPr>
        <w:pStyle w:val="32"/>
        <w:tabs>
          <w:tab w:val="right" w:leader="dot" w:pos="8869"/>
        </w:tabs>
        <w:spacing w:line="360" w:lineRule="auto"/>
        <w:rPr>
          <w:rFonts w:ascii="Calibri" w:hAnsi="Calibri"/>
          <w:b/>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"_Toc122424265" </w:instrText>
      </w:r>
      <w:r>
        <w:rPr>
          <w:color w:val="000000" w:themeColor="text1"/>
          <w:highlight w:val="none"/>
          <w14:textFill>
            <w14:solidFill>
              <w14:schemeClr w14:val="tx1"/>
            </w14:solidFill>
          </w14:textFill>
        </w:rPr>
        <w:fldChar w:fldCharType="separate"/>
      </w:r>
      <w:r>
        <w:rPr>
          <w:rStyle w:val="51"/>
          <w:rFonts w:hint="eastAsia"/>
          <w:b/>
          <w:color w:val="000000" w:themeColor="text1"/>
          <w:sz w:val="24"/>
          <w:highlight w:val="none"/>
          <w14:textFill>
            <w14:solidFill>
              <w14:schemeClr w14:val="tx1"/>
            </w14:solidFill>
          </w14:textFill>
        </w:rPr>
        <w:t>第六章</w:t>
      </w:r>
      <w:r>
        <w:rPr>
          <w:rStyle w:val="51"/>
          <w:b/>
          <w:color w:val="000000" w:themeColor="text1"/>
          <w:sz w:val="24"/>
          <w:highlight w:val="none"/>
          <w14:textFill>
            <w14:solidFill>
              <w14:schemeClr w14:val="tx1"/>
            </w14:solidFill>
          </w14:textFill>
        </w:rPr>
        <w:t xml:space="preserve"> </w:t>
      </w:r>
      <w:r>
        <w:rPr>
          <w:rStyle w:val="51"/>
          <w:rFonts w:hint="eastAsia"/>
          <w:b/>
          <w:color w:val="000000" w:themeColor="text1"/>
          <w:sz w:val="24"/>
          <w:highlight w:val="none"/>
          <w14:textFill>
            <w14:solidFill>
              <w14:schemeClr w14:val="tx1"/>
            </w14:solidFill>
          </w14:textFill>
        </w:rPr>
        <w:t>响应文件格式</w:t>
      </w:r>
      <w:r>
        <w:rPr>
          <w:b/>
          <w:color w:val="000000" w:themeColor="text1"/>
          <w:sz w:val="24"/>
          <w:highlight w:val="none"/>
          <w14:textFill>
            <w14:solidFill>
              <w14:schemeClr w14:val="tx1"/>
            </w14:solidFill>
          </w14:textFill>
        </w:rPr>
        <w:tab/>
      </w:r>
      <w:r>
        <w:rPr>
          <w:b/>
          <w:color w:val="000000" w:themeColor="text1"/>
          <w:sz w:val="24"/>
          <w:highlight w:val="none"/>
          <w14:textFill>
            <w14:solidFill>
              <w14:schemeClr w14:val="tx1"/>
            </w14:solidFill>
          </w14:textFill>
        </w:rPr>
        <w:fldChar w:fldCharType="begin"/>
      </w:r>
      <w:r>
        <w:rPr>
          <w:b/>
          <w:color w:val="000000" w:themeColor="text1"/>
          <w:sz w:val="24"/>
          <w:highlight w:val="none"/>
          <w14:textFill>
            <w14:solidFill>
              <w14:schemeClr w14:val="tx1"/>
            </w14:solidFill>
          </w14:textFill>
        </w:rPr>
        <w:instrText xml:space="preserve"> PAGEREF _Toc122424265 \h </w:instrText>
      </w:r>
      <w:r>
        <w:rPr>
          <w:b/>
          <w:color w:val="000000" w:themeColor="text1"/>
          <w:sz w:val="24"/>
          <w:highlight w:val="none"/>
          <w14:textFill>
            <w14:solidFill>
              <w14:schemeClr w14:val="tx1"/>
            </w14:solidFill>
          </w14:textFill>
        </w:rPr>
        <w:fldChar w:fldCharType="separate"/>
      </w:r>
      <w:r>
        <w:rPr>
          <w:b/>
          <w:color w:val="000000" w:themeColor="text1"/>
          <w:sz w:val="24"/>
          <w:highlight w:val="none"/>
          <w14:textFill>
            <w14:solidFill>
              <w14:schemeClr w14:val="tx1"/>
            </w14:solidFill>
          </w14:textFill>
        </w:rPr>
        <w:t>42</w:t>
      </w:r>
      <w:r>
        <w:rPr>
          <w:b/>
          <w:color w:val="000000" w:themeColor="text1"/>
          <w:sz w:val="24"/>
          <w:highlight w:val="none"/>
          <w14:textFill>
            <w14:solidFill>
              <w14:schemeClr w14:val="tx1"/>
            </w14:solidFill>
          </w14:textFill>
        </w:rPr>
        <w:fldChar w:fldCharType="end"/>
      </w:r>
      <w:r>
        <w:rPr>
          <w:b/>
          <w:color w:val="000000" w:themeColor="text1"/>
          <w:sz w:val="24"/>
          <w:highlight w:val="none"/>
          <w14:textFill>
            <w14:solidFill>
              <w14:schemeClr w14:val="tx1"/>
            </w14:solidFill>
          </w14:textFill>
        </w:rPr>
        <w:fldChar w:fldCharType="end"/>
      </w:r>
    </w:p>
    <w:p w14:paraId="30F10FD0">
      <w:pPr>
        <w:pStyle w:val="32"/>
        <w:tabs>
          <w:tab w:val="right" w:leader="dot" w:pos="8869"/>
        </w:tabs>
        <w:spacing w:line="360" w:lineRule="auto"/>
        <w:rPr>
          <w:rFonts w:ascii="Calibri" w:hAnsi="Calibri"/>
          <w:b/>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"_Toc122424267" </w:instrText>
      </w:r>
      <w:r>
        <w:rPr>
          <w:color w:val="000000" w:themeColor="text1"/>
          <w:highlight w:val="none"/>
          <w14:textFill>
            <w14:solidFill>
              <w14:schemeClr w14:val="tx1"/>
            </w14:solidFill>
          </w14:textFill>
        </w:rPr>
        <w:fldChar w:fldCharType="separate"/>
      </w:r>
      <w:r>
        <w:rPr>
          <w:rStyle w:val="51"/>
          <w:rFonts w:hint="eastAsia"/>
          <w:b/>
          <w:color w:val="000000" w:themeColor="text1"/>
          <w:sz w:val="24"/>
          <w:highlight w:val="none"/>
          <w14:textFill>
            <w14:solidFill>
              <w14:schemeClr w14:val="tx1"/>
            </w14:solidFill>
          </w14:textFill>
        </w:rPr>
        <w:t>第七章</w:t>
      </w:r>
      <w:r>
        <w:rPr>
          <w:rStyle w:val="51"/>
          <w:b/>
          <w:color w:val="000000" w:themeColor="text1"/>
          <w:sz w:val="24"/>
          <w:highlight w:val="none"/>
          <w14:textFill>
            <w14:solidFill>
              <w14:schemeClr w14:val="tx1"/>
            </w14:solidFill>
          </w14:textFill>
        </w:rPr>
        <w:t xml:space="preserve"> </w:t>
      </w:r>
      <w:r>
        <w:rPr>
          <w:rStyle w:val="51"/>
          <w:rFonts w:hint="eastAsia"/>
          <w:b/>
          <w:color w:val="000000" w:themeColor="text1"/>
          <w:sz w:val="24"/>
          <w:highlight w:val="none"/>
          <w14:textFill>
            <w14:solidFill>
              <w14:schemeClr w14:val="tx1"/>
            </w14:solidFill>
          </w14:textFill>
        </w:rPr>
        <w:t>合同文本</w:t>
      </w:r>
      <w:r>
        <w:rPr>
          <w:b/>
          <w:color w:val="000000" w:themeColor="text1"/>
          <w:sz w:val="24"/>
          <w:highlight w:val="none"/>
          <w14:textFill>
            <w14:solidFill>
              <w14:schemeClr w14:val="tx1"/>
            </w14:solidFill>
          </w14:textFill>
        </w:rPr>
        <w:tab/>
      </w:r>
      <w:r>
        <w:rPr>
          <w:b/>
          <w:color w:val="000000" w:themeColor="text1"/>
          <w:sz w:val="24"/>
          <w:highlight w:val="none"/>
          <w14:textFill>
            <w14:solidFill>
              <w14:schemeClr w14:val="tx1"/>
            </w14:solidFill>
          </w14:textFill>
        </w:rPr>
        <w:fldChar w:fldCharType="begin"/>
      </w:r>
      <w:r>
        <w:rPr>
          <w:b/>
          <w:color w:val="000000" w:themeColor="text1"/>
          <w:sz w:val="24"/>
          <w:highlight w:val="none"/>
          <w14:textFill>
            <w14:solidFill>
              <w14:schemeClr w14:val="tx1"/>
            </w14:solidFill>
          </w14:textFill>
        </w:rPr>
        <w:instrText xml:space="preserve"> PAGEREF _Toc122424267 \h </w:instrText>
      </w:r>
      <w:r>
        <w:rPr>
          <w:b/>
          <w:color w:val="000000" w:themeColor="text1"/>
          <w:sz w:val="24"/>
          <w:highlight w:val="none"/>
          <w14:textFill>
            <w14:solidFill>
              <w14:schemeClr w14:val="tx1"/>
            </w14:solidFill>
          </w14:textFill>
        </w:rPr>
        <w:fldChar w:fldCharType="separate"/>
      </w:r>
      <w:r>
        <w:rPr>
          <w:b/>
          <w:color w:val="000000" w:themeColor="text1"/>
          <w:sz w:val="24"/>
          <w:highlight w:val="none"/>
          <w14:textFill>
            <w14:solidFill>
              <w14:schemeClr w14:val="tx1"/>
            </w14:solidFill>
          </w14:textFill>
        </w:rPr>
        <w:t>76</w:t>
      </w:r>
      <w:r>
        <w:rPr>
          <w:b/>
          <w:color w:val="000000" w:themeColor="text1"/>
          <w:sz w:val="24"/>
          <w:highlight w:val="none"/>
          <w14:textFill>
            <w14:solidFill>
              <w14:schemeClr w14:val="tx1"/>
            </w14:solidFill>
          </w14:textFill>
        </w:rPr>
        <w:fldChar w:fldCharType="end"/>
      </w:r>
      <w:r>
        <w:rPr>
          <w:b/>
          <w:color w:val="000000" w:themeColor="text1"/>
          <w:sz w:val="24"/>
          <w:highlight w:val="none"/>
          <w14:textFill>
            <w14:solidFill>
              <w14:schemeClr w14:val="tx1"/>
            </w14:solidFill>
          </w14:textFill>
        </w:rPr>
        <w:fldChar w:fldCharType="end"/>
      </w:r>
    </w:p>
    <w:p w14:paraId="7A0A9A61">
      <w:pPr>
        <w:pStyle w:val="32"/>
        <w:tabs>
          <w:tab w:val="right" w:leader="dot" w:pos="8869"/>
        </w:tabs>
        <w:spacing w:line="360" w:lineRule="auto"/>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fldChar w:fldCharType="end"/>
      </w:r>
    </w:p>
    <w:p w14:paraId="6FA63F75">
      <w:pPr>
        <w:spacing w:line="360" w:lineRule="auto"/>
        <w:jc w:val="left"/>
        <w:rPr>
          <w:rFonts w:ascii="宋体" w:hAnsi="宋体"/>
          <w:b/>
          <w:color w:val="000000" w:themeColor="text1"/>
          <w:sz w:val="32"/>
          <w:szCs w:val="32"/>
          <w:highlight w:val="none"/>
          <w14:textFill>
            <w14:solidFill>
              <w14:schemeClr w14:val="tx1"/>
            </w14:solidFill>
          </w14:textFill>
        </w:rPr>
      </w:pPr>
    </w:p>
    <w:p w14:paraId="115D198C">
      <w:pPr>
        <w:spacing w:line="400" w:lineRule="exact"/>
        <w:jc w:val="center"/>
        <w:rPr>
          <w:rFonts w:ascii="宋体" w:hAnsi="宋体"/>
          <w:b/>
          <w:color w:val="000000" w:themeColor="text1"/>
          <w:sz w:val="32"/>
          <w:szCs w:val="32"/>
          <w:highlight w:val="none"/>
          <w14:textFill>
            <w14:solidFill>
              <w14:schemeClr w14:val="tx1"/>
            </w14:solidFill>
          </w14:textFill>
        </w:rPr>
      </w:pPr>
    </w:p>
    <w:p w14:paraId="3C895CBC">
      <w:pPr>
        <w:spacing w:line="400" w:lineRule="exact"/>
        <w:jc w:val="center"/>
        <w:rPr>
          <w:rFonts w:ascii="宋体" w:hAnsi="宋体"/>
          <w:b/>
          <w:color w:val="000000" w:themeColor="text1"/>
          <w:sz w:val="32"/>
          <w:szCs w:val="32"/>
          <w:highlight w:val="none"/>
          <w14:textFill>
            <w14:solidFill>
              <w14:schemeClr w14:val="tx1"/>
            </w14:solidFill>
          </w14:textFill>
        </w:rPr>
      </w:pPr>
    </w:p>
    <w:p w14:paraId="160536A4">
      <w:pPr>
        <w:spacing w:line="400" w:lineRule="exact"/>
        <w:jc w:val="center"/>
        <w:rPr>
          <w:rFonts w:ascii="宋体" w:hAnsi="宋体"/>
          <w:b/>
          <w:color w:val="000000" w:themeColor="text1"/>
          <w:sz w:val="32"/>
          <w:szCs w:val="32"/>
          <w:highlight w:val="none"/>
          <w14:textFill>
            <w14:solidFill>
              <w14:schemeClr w14:val="tx1"/>
            </w14:solidFill>
          </w14:textFill>
        </w:rPr>
      </w:pPr>
    </w:p>
    <w:p w14:paraId="20ADBEE8">
      <w:pPr>
        <w:spacing w:line="400" w:lineRule="exact"/>
        <w:jc w:val="center"/>
        <w:rPr>
          <w:rFonts w:ascii="宋体" w:hAnsi="宋体"/>
          <w:b/>
          <w:color w:val="000000" w:themeColor="text1"/>
          <w:sz w:val="32"/>
          <w:szCs w:val="32"/>
          <w:highlight w:val="none"/>
          <w14:textFill>
            <w14:solidFill>
              <w14:schemeClr w14:val="tx1"/>
            </w14:solidFill>
          </w14:textFill>
        </w:rPr>
      </w:pPr>
    </w:p>
    <w:p w14:paraId="5A4347CF">
      <w:pPr>
        <w:spacing w:line="400" w:lineRule="exact"/>
        <w:rPr>
          <w:rFonts w:ascii="宋体" w:hAnsi="宋体"/>
          <w:b/>
          <w:color w:val="000000" w:themeColor="text1"/>
          <w:sz w:val="32"/>
          <w:szCs w:val="32"/>
          <w:highlight w:val="none"/>
          <w14:textFill>
            <w14:solidFill>
              <w14:schemeClr w14:val="tx1"/>
            </w14:solidFill>
          </w14:textFill>
        </w:rPr>
        <w:sectPr>
          <w:headerReference r:id="rId4" w:type="first"/>
          <w:footerReference r:id="rId6" w:type="first"/>
          <w:headerReference r:id="rId3" w:type="default"/>
          <w:footerReference r:id="rId5" w:type="default"/>
          <w:pgSz w:w="11906" w:h="16838"/>
          <w:pgMar w:top="1440" w:right="1440" w:bottom="1440" w:left="1587" w:header="851" w:footer="992" w:gutter="0"/>
          <w:pgNumType w:start="0"/>
          <w:cols w:space="720" w:num="1"/>
          <w:titlePg/>
          <w:docGrid w:type="lines" w:linePitch="312" w:charSpace="0"/>
        </w:sectPr>
      </w:pPr>
    </w:p>
    <w:p w14:paraId="317DF852">
      <w:pPr>
        <w:pStyle w:val="2"/>
        <w:spacing w:after="340" w:line="360" w:lineRule="auto"/>
        <w:jc w:val="center"/>
        <w:rPr>
          <w:color w:val="000000" w:themeColor="text1"/>
          <w:highlight w:val="none"/>
          <w14:textFill>
            <w14:solidFill>
              <w14:schemeClr w14:val="tx1"/>
            </w14:solidFill>
          </w14:textFill>
        </w:rPr>
      </w:pPr>
      <w:bookmarkStart w:id="0" w:name="_Toc122424244"/>
      <w:r>
        <w:rPr>
          <w:rFonts w:hint="eastAsia"/>
          <w:color w:val="000000" w:themeColor="text1"/>
          <w:highlight w:val="none"/>
          <w14:textFill>
            <w14:solidFill>
              <w14:schemeClr w14:val="tx1"/>
            </w14:solidFill>
          </w14:textFill>
        </w:rPr>
        <w:t xml:space="preserve">第一章 </w:t>
      </w:r>
      <w:bookmarkEnd w:id="0"/>
      <w:r>
        <w:rPr>
          <w:rFonts w:hint="eastAsia"/>
          <w:color w:val="000000" w:themeColor="text1"/>
          <w:highlight w:val="none"/>
          <w14:textFill>
            <w14:solidFill>
              <w14:schemeClr w14:val="tx1"/>
            </w14:solidFill>
          </w14:textFill>
        </w:rPr>
        <w:t>竞争性磋商公告</w:t>
      </w:r>
    </w:p>
    <w:p w14:paraId="402D79D9">
      <w:pPr>
        <w:spacing w:line="400" w:lineRule="exact"/>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广西建通工程咨询有限责任公司关于钦州市第十中学学生宿舍改造</w:t>
      </w:r>
      <w:r>
        <w:rPr>
          <w:rFonts w:hint="eastAsia" w:ascii="宋体" w:hAnsi="宋体"/>
          <w:b/>
          <w:bCs/>
          <w:color w:val="000000" w:themeColor="text1"/>
          <w:sz w:val="32"/>
          <w:szCs w:val="32"/>
          <w:highlight w:val="none"/>
          <w:lang w:eastAsia="zh-CN"/>
          <w14:textFill>
            <w14:solidFill>
              <w14:schemeClr w14:val="tx1"/>
            </w14:solidFill>
          </w14:textFill>
        </w:rPr>
        <w:t>（ QZZC2025-C2-030095-GXJT）</w:t>
      </w:r>
      <w:r>
        <w:rPr>
          <w:rFonts w:hint="eastAsia" w:ascii="宋体" w:hAnsi="宋体"/>
          <w:b/>
          <w:bCs/>
          <w:color w:val="000000" w:themeColor="text1"/>
          <w:sz w:val="32"/>
          <w:szCs w:val="32"/>
          <w:highlight w:val="none"/>
          <w14:textFill>
            <w14:solidFill>
              <w14:schemeClr w14:val="tx1"/>
            </w14:solidFill>
          </w14:textFill>
        </w:rPr>
        <w:t>竞争性磋商公告</w:t>
      </w:r>
    </w:p>
    <w:p w14:paraId="31B7F411">
      <w:pPr>
        <w:spacing w:line="360" w:lineRule="auto"/>
        <w:rPr>
          <w:rFonts w:ascii="宋体" w:hAnsi="宋体"/>
          <w:color w:val="000000" w:themeColor="text1"/>
          <w:szCs w:val="21"/>
          <w:highlight w:val="none"/>
          <w14:textFill>
            <w14:solidFill>
              <w14:schemeClr w14:val="tx1"/>
            </w14:solidFill>
          </w14:textFill>
        </w:rPr>
      </w:pPr>
    </w:p>
    <w:p w14:paraId="7504CB02">
      <w:pPr>
        <w:pBdr>
          <w:top w:val="single" w:color="auto" w:sz="4" w:space="1"/>
          <w:left w:val="single" w:color="auto" w:sz="4" w:space="4"/>
          <w:bottom w:val="single" w:color="auto" w:sz="4" w:space="1"/>
          <w:right w:val="single" w:color="auto" w:sz="4" w:space="4"/>
        </w:pBdr>
        <w:spacing w:line="360" w:lineRule="auto"/>
        <w:ind w:firstLine="422" w:firstLineChars="200"/>
        <w:rPr>
          <w:rFonts w:ascii="宋体" w:hAnsi="宋体"/>
          <w:b/>
          <w:bCs/>
          <w:color w:val="000000" w:themeColor="text1"/>
          <w:szCs w:val="21"/>
          <w:highlight w:val="none"/>
          <w14:textFill>
            <w14:solidFill>
              <w14:schemeClr w14:val="tx1"/>
            </w14:solidFill>
          </w14:textFill>
        </w:rPr>
      </w:pPr>
      <w:bookmarkStart w:id="1" w:name="_Hlk37430271"/>
      <w:r>
        <w:rPr>
          <w:rFonts w:hint="eastAsia" w:ascii="宋体" w:hAnsi="宋体"/>
          <w:b/>
          <w:bCs/>
          <w:color w:val="000000" w:themeColor="text1"/>
          <w:szCs w:val="21"/>
          <w:highlight w:val="none"/>
          <w14:textFill>
            <w14:solidFill>
              <w14:schemeClr w14:val="tx1"/>
            </w14:solidFill>
          </w14:textFill>
        </w:rPr>
        <w:t>项目概况</w:t>
      </w:r>
    </w:p>
    <w:p w14:paraId="0C35E8BB">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eastAsia="zh-CN"/>
          <w14:textFill>
            <w14:solidFill>
              <w14:schemeClr w14:val="tx1"/>
            </w14:solidFill>
          </w14:textFill>
        </w:rPr>
        <w:t>钦州市第十中学学生宿舍改造</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采购项目的潜在供应商应在广西政府采购云平台（https://www.zcygov.cn）获取（下载）竞争性磋商文件，并于</w:t>
      </w:r>
      <w:r>
        <w:rPr>
          <w:rFonts w:hint="eastAsia" w:ascii="宋体" w:hAnsi="宋体"/>
          <w:bCs/>
          <w:color w:val="000000" w:themeColor="text1"/>
          <w:szCs w:val="21"/>
          <w:highlight w:val="none"/>
          <w:u w:val="single"/>
          <w14:textFill>
            <w14:solidFill>
              <w14:schemeClr w14:val="tx1"/>
            </w14:solidFill>
          </w14:textFill>
        </w:rPr>
        <w:t xml:space="preserve">2025 年 </w:t>
      </w:r>
      <w:r>
        <w:rPr>
          <w:rFonts w:hint="eastAsia" w:ascii="宋体" w:hAnsi="宋体"/>
          <w:bCs/>
          <w:color w:val="000000" w:themeColor="text1"/>
          <w:szCs w:val="21"/>
          <w:highlight w:val="none"/>
          <w:u w:val="single"/>
          <w:lang w:val="en-US" w:eastAsia="zh-CN"/>
          <w14:textFill>
            <w14:solidFill>
              <w14:schemeClr w14:val="tx1"/>
            </w14:solidFill>
          </w14:textFill>
        </w:rPr>
        <w:t>9</w:t>
      </w:r>
      <w:r>
        <w:rPr>
          <w:rFonts w:hint="eastAsia" w:ascii="宋体" w:hAnsi="宋体"/>
          <w:bCs/>
          <w:color w:val="000000" w:themeColor="text1"/>
          <w:szCs w:val="21"/>
          <w:highlight w:val="none"/>
          <w:u w:val="single"/>
          <w14:textFill>
            <w14:solidFill>
              <w14:schemeClr w14:val="tx1"/>
            </w14:solidFill>
          </w14:textFill>
        </w:rPr>
        <w:t>月</w:t>
      </w:r>
      <w:r>
        <w:rPr>
          <w:rFonts w:hint="eastAsia" w:ascii="宋体" w:hAnsi="宋体"/>
          <w:bCs/>
          <w:color w:val="000000" w:themeColor="text1"/>
          <w:szCs w:val="21"/>
          <w:highlight w:val="none"/>
          <w:u w:val="single"/>
          <w:lang w:val="en-US" w:eastAsia="zh-CN"/>
          <w14:textFill>
            <w14:solidFill>
              <w14:schemeClr w14:val="tx1"/>
            </w14:solidFill>
          </w14:textFill>
        </w:rPr>
        <w:t>30</w:t>
      </w:r>
      <w:r>
        <w:rPr>
          <w:rFonts w:hint="eastAsia" w:ascii="宋体" w:hAnsi="宋体"/>
          <w:bCs/>
          <w:color w:val="000000" w:themeColor="text1"/>
          <w:szCs w:val="21"/>
          <w:highlight w:val="none"/>
          <w:u w:val="single"/>
          <w14:textFill>
            <w14:solidFill>
              <w14:schemeClr w14:val="tx1"/>
            </w14:solidFill>
          </w14:textFill>
        </w:rPr>
        <w:t>日</w:t>
      </w:r>
      <w:r>
        <w:rPr>
          <w:rFonts w:hint="eastAsia" w:ascii="宋体" w:hAnsi="宋体"/>
          <w:bCs/>
          <w:color w:val="000000" w:themeColor="text1"/>
          <w:szCs w:val="21"/>
          <w:highlight w:val="none"/>
          <w:u w:val="single"/>
          <w:lang w:eastAsia="zh-CN"/>
          <w14:textFill>
            <w14:solidFill>
              <w14:schemeClr w14:val="tx1"/>
            </w14:solidFill>
          </w14:textFill>
        </w:rPr>
        <w:t>上午</w:t>
      </w:r>
      <w:r>
        <w:rPr>
          <w:rFonts w:hint="eastAsia" w:ascii="宋体" w:hAnsi="宋体"/>
          <w:bCs/>
          <w:color w:val="000000" w:themeColor="text1"/>
          <w:szCs w:val="21"/>
          <w:highlight w:val="none"/>
          <w:u w:val="single"/>
          <w:lang w:val="en-US" w:eastAsia="zh-CN"/>
          <w14:textFill>
            <w14:solidFill>
              <w14:schemeClr w14:val="tx1"/>
            </w14:solidFill>
          </w14:textFill>
        </w:rPr>
        <w:t>10</w:t>
      </w:r>
      <w:r>
        <w:rPr>
          <w:rFonts w:hint="eastAsia" w:ascii="宋体" w:hAnsi="宋体"/>
          <w:bCs/>
          <w:color w:val="000000" w:themeColor="text1"/>
          <w:szCs w:val="21"/>
          <w:highlight w:val="none"/>
          <w:u w:val="single"/>
          <w14:textFill>
            <w14:solidFill>
              <w14:schemeClr w14:val="tx1"/>
            </w14:solidFill>
          </w14:textFill>
        </w:rPr>
        <w:t>时</w:t>
      </w:r>
      <w:r>
        <w:rPr>
          <w:rFonts w:hint="eastAsia" w:ascii="宋体" w:hAnsi="宋体"/>
          <w:bCs/>
          <w:color w:val="000000" w:themeColor="text1"/>
          <w:szCs w:val="21"/>
          <w:highlight w:val="none"/>
          <w:u w:val="single"/>
          <w:lang w:val="en-US" w:eastAsia="zh-CN"/>
          <w14:textFill>
            <w14:solidFill>
              <w14:schemeClr w14:val="tx1"/>
            </w14:solidFill>
          </w14:textFill>
        </w:rPr>
        <w:t>00</w:t>
      </w:r>
      <w:r>
        <w:rPr>
          <w:rFonts w:hint="eastAsia" w:ascii="宋体" w:hAnsi="宋体"/>
          <w:bCs/>
          <w:color w:val="000000" w:themeColor="text1"/>
          <w:szCs w:val="21"/>
          <w:highlight w:val="none"/>
          <w:u w:val="single"/>
          <w14:textFill>
            <w14:solidFill>
              <w14:schemeClr w14:val="tx1"/>
            </w14:solidFill>
          </w14:textFill>
        </w:rPr>
        <w:t>分</w:t>
      </w:r>
      <w:r>
        <w:rPr>
          <w:rFonts w:hint="eastAsia" w:ascii="宋体" w:hAnsi="宋体"/>
          <w:bCs/>
          <w:color w:val="000000" w:themeColor="text1"/>
          <w:szCs w:val="21"/>
          <w:highlight w:val="none"/>
          <w14:textFill>
            <w14:solidFill>
              <w14:schemeClr w14:val="tx1"/>
            </w14:solidFill>
          </w14:textFill>
        </w:rPr>
        <w:t>（北京时间）前提交（上传）</w:t>
      </w:r>
      <w:r>
        <w:rPr>
          <w:rFonts w:hint="eastAsia" w:ascii="宋体" w:hAnsi="宋体"/>
          <w:color w:val="000000" w:themeColor="text1"/>
          <w:szCs w:val="21"/>
          <w:highlight w:val="none"/>
          <w14:textFill>
            <w14:solidFill>
              <w14:schemeClr w14:val="tx1"/>
            </w14:solidFill>
          </w14:textFill>
        </w:rPr>
        <w:t>响应</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w:t>
      </w:r>
    </w:p>
    <w:p w14:paraId="476D9F46">
      <w:pPr>
        <w:spacing w:line="360" w:lineRule="auto"/>
        <w:rPr>
          <w:rFonts w:ascii="宋体" w:hAnsi="宋体"/>
          <w:color w:val="000000" w:themeColor="text1"/>
          <w:szCs w:val="21"/>
          <w:highlight w:val="none"/>
          <w14:textFill>
            <w14:solidFill>
              <w14:schemeClr w14:val="tx1"/>
            </w14:solidFill>
          </w14:textFill>
        </w:rPr>
      </w:pPr>
    </w:p>
    <w:p w14:paraId="1D4CD0EE">
      <w:pPr>
        <w:spacing w:line="360" w:lineRule="auto"/>
        <w:ind w:firstLine="354" w:firstLineChars="147"/>
        <w:rPr>
          <w:rFonts w:ascii="黑体" w:hAnsi="黑体" w:eastAsia="黑体"/>
          <w:b/>
          <w:color w:val="000000" w:themeColor="text1"/>
          <w:sz w:val="24"/>
          <w:highlight w:val="none"/>
          <w14:textFill>
            <w14:solidFill>
              <w14:schemeClr w14:val="tx1"/>
            </w14:solidFill>
          </w14:textFill>
        </w:rPr>
      </w:pPr>
      <w:bookmarkStart w:id="2" w:name="_Toc44229878"/>
      <w:bookmarkStart w:id="3" w:name="_Toc28359012"/>
      <w:bookmarkStart w:id="4" w:name="_Toc35393798"/>
      <w:bookmarkStart w:id="5" w:name="_Toc28359089"/>
      <w:bookmarkStart w:id="6" w:name="_Toc35393629"/>
      <w:bookmarkStart w:id="7" w:name="_Toc71365905"/>
      <w:r>
        <w:rPr>
          <w:rFonts w:hint="eastAsia" w:ascii="黑体" w:hAnsi="黑体" w:eastAsia="黑体"/>
          <w:b/>
          <w:color w:val="000000" w:themeColor="text1"/>
          <w:sz w:val="24"/>
          <w:highlight w:val="none"/>
          <w14:textFill>
            <w14:solidFill>
              <w14:schemeClr w14:val="tx1"/>
            </w14:solidFill>
          </w14:textFill>
        </w:rPr>
        <w:t>一、项目基本情况</w:t>
      </w:r>
      <w:bookmarkEnd w:id="2"/>
      <w:bookmarkEnd w:id="3"/>
      <w:bookmarkEnd w:id="4"/>
      <w:bookmarkEnd w:id="5"/>
      <w:bookmarkEnd w:id="6"/>
      <w:bookmarkEnd w:id="7"/>
    </w:p>
    <w:p w14:paraId="1B3587D5">
      <w:pPr>
        <w:spacing w:line="360" w:lineRule="auto"/>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color w:val="000000" w:themeColor="text1"/>
          <w:szCs w:val="21"/>
          <w:highlight w:val="none"/>
          <w:lang w:eastAsia="zh-CN"/>
          <w14:textFill>
            <w14:solidFill>
              <w14:schemeClr w14:val="tx1"/>
            </w14:solidFill>
          </w14:textFill>
        </w:rPr>
        <w:t>QZZC2025-C2-030095-GXJT</w:t>
      </w:r>
    </w:p>
    <w:p w14:paraId="24ADB033">
      <w:pPr>
        <w:spacing w:line="360" w:lineRule="auto"/>
        <w:ind w:firstLine="420" w:firstLineChars="200"/>
        <w:rPr>
          <w:rFonts w:hint="eastAsia" w:ascii="宋体" w:hAnsi="宋体" w:eastAsia="宋体"/>
          <w:color w:val="000000" w:themeColor="text1"/>
          <w:szCs w:val="21"/>
          <w:highlight w:val="none"/>
          <w:u w:val="single"/>
          <w:lang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color w:val="000000" w:themeColor="text1"/>
          <w:szCs w:val="21"/>
          <w:highlight w:val="none"/>
          <w:lang w:eastAsia="zh-CN"/>
          <w14:textFill>
            <w14:solidFill>
              <w14:schemeClr w14:val="tx1"/>
            </w14:solidFill>
          </w14:textFill>
        </w:rPr>
        <w:t>钦州市第十中学学生宿舍改造</w:t>
      </w:r>
    </w:p>
    <w:p w14:paraId="4C541567">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采购方式：竞争性磋商</w:t>
      </w:r>
    </w:p>
    <w:p w14:paraId="6D894157">
      <w:pPr>
        <w:spacing w:line="360" w:lineRule="auto"/>
        <w:ind w:firstLine="420" w:firstLineChars="200"/>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预算金额：</w:t>
      </w:r>
      <w:r>
        <w:rPr>
          <w:rFonts w:hint="eastAsia" w:ascii="宋体" w:hAnsi="宋体"/>
          <w:color w:val="000000" w:themeColor="text1"/>
          <w:szCs w:val="21"/>
          <w:highlight w:val="none"/>
          <w:u w:val="single"/>
          <w14:textFill>
            <w14:solidFill>
              <w14:schemeClr w14:val="tx1"/>
            </w14:solidFill>
          </w14:textFill>
        </w:rPr>
        <w:t>人民币</w:t>
      </w:r>
      <w:r>
        <w:rPr>
          <w:rFonts w:hint="eastAsia" w:ascii="宋体" w:hAnsi="宋体"/>
          <w:color w:val="000000" w:themeColor="text1"/>
          <w:szCs w:val="21"/>
          <w:highlight w:val="none"/>
          <w:u w:val="single"/>
          <w:lang w:val="en-US" w:eastAsia="zh-CN"/>
          <w14:textFill>
            <w14:solidFill>
              <w14:schemeClr w14:val="tx1"/>
            </w14:solidFill>
          </w14:textFill>
        </w:rPr>
        <w:t>玖拾捌万壹仟壹佰贰拾贰元伍角伍分</w:t>
      </w:r>
      <w:r>
        <w:rPr>
          <w:rFonts w:hint="eastAsia" w:ascii="宋体" w:hAnsi="宋体"/>
          <w:iCs/>
          <w:color w:val="000000" w:themeColor="text1"/>
          <w:szCs w:val="21"/>
          <w:highlight w:val="none"/>
          <w:u w:val="single"/>
          <w14:textFill>
            <w14:solidFill>
              <w14:schemeClr w14:val="tx1"/>
            </w14:solidFill>
          </w14:textFill>
        </w:rPr>
        <w:t>（</w:t>
      </w:r>
      <w:r>
        <w:rPr>
          <w:rFonts w:hint="eastAsia" w:ascii="宋体" w:hAnsi="宋体"/>
          <w:bCs/>
          <w:color w:val="000000" w:themeColor="text1"/>
          <w:szCs w:val="21"/>
          <w:highlight w:val="none"/>
          <w:u w:val="single"/>
          <w14:textFill>
            <w14:solidFill>
              <w14:schemeClr w14:val="tx1"/>
            </w14:solidFill>
          </w14:textFill>
        </w:rPr>
        <w:t>¥</w:t>
      </w:r>
      <w:r>
        <w:rPr>
          <w:rFonts w:hint="eastAsia" w:ascii="宋体" w:hAnsi="宋体"/>
          <w:bCs/>
          <w:color w:val="000000" w:themeColor="text1"/>
          <w:szCs w:val="21"/>
          <w:highlight w:val="none"/>
          <w:u w:val="single"/>
          <w:lang w:val="en-US" w:eastAsia="zh-CN"/>
          <w14:textFill>
            <w14:solidFill>
              <w14:schemeClr w14:val="tx1"/>
            </w14:solidFill>
          </w14:textFill>
        </w:rPr>
        <w:t>981122.55</w:t>
      </w:r>
      <w:r>
        <w:rPr>
          <w:rFonts w:hint="eastAsia" w:ascii="宋体" w:hAnsi="宋体"/>
          <w:iCs/>
          <w:color w:val="000000" w:themeColor="text1"/>
          <w:szCs w:val="21"/>
          <w:highlight w:val="none"/>
          <w:u w:val="single"/>
          <w14:textFill>
            <w14:solidFill>
              <w14:schemeClr w14:val="tx1"/>
            </w14:solidFill>
          </w14:textFill>
        </w:rPr>
        <w:t>）</w:t>
      </w:r>
      <w:bookmarkStart w:id="840" w:name="_GoBack"/>
      <w:bookmarkEnd w:id="840"/>
    </w:p>
    <w:p w14:paraId="34E0D7AF">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最高限价：</w:t>
      </w:r>
      <w:r>
        <w:rPr>
          <w:rFonts w:hint="eastAsia" w:ascii="宋体" w:hAnsi="宋体"/>
          <w:color w:val="000000" w:themeColor="text1"/>
          <w:szCs w:val="21"/>
          <w:highlight w:val="none"/>
          <w:u w:val="single"/>
          <w14:textFill>
            <w14:solidFill>
              <w14:schemeClr w14:val="tx1"/>
            </w14:solidFill>
          </w14:textFill>
        </w:rPr>
        <w:t>人民币玖拾捌万壹仟壹佰贰拾贰元伍角伍分（¥981122.55）</w:t>
      </w:r>
    </w:p>
    <w:p w14:paraId="061FCF97">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采购需求：</w:t>
      </w:r>
    </w:p>
    <w:tbl>
      <w:tblPr>
        <w:tblStyle w:val="43"/>
        <w:tblW w:w="91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9"/>
        <w:gridCol w:w="1860"/>
        <w:gridCol w:w="1360"/>
        <w:gridCol w:w="5251"/>
      </w:tblGrid>
      <w:tr w14:paraId="4CC69B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14:paraId="61A731C3">
            <w:pPr>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1860" w:type="dxa"/>
            <w:tcBorders>
              <w:top w:val="single" w:color="auto" w:sz="4" w:space="0"/>
              <w:left w:val="single" w:color="auto" w:sz="4" w:space="0"/>
              <w:bottom w:val="single" w:color="auto" w:sz="4" w:space="0"/>
              <w:right w:val="single" w:color="auto" w:sz="4" w:space="0"/>
            </w:tcBorders>
            <w:vAlign w:val="center"/>
          </w:tcPr>
          <w:p w14:paraId="70A10A9B">
            <w:pPr>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标的的名称</w:t>
            </w:r>
          </w:p>
        </w:tc>
        <w:tc>
          <w:tcPr>
            <w:tcW w:w="1360" w:type="dxa"/>
            <w:tcBorders>
              <w:top w:val="single" w:color="auto" w:sz="4" w:space="0"/>
              <w:left w:val="single" w:color="auto" w:sz="4" w:space="0"/>
              <w:bottom w:val="single" w:color="auto" w:sz="4" w:space="0"/>
              <w:right w:val="single" w:color="auto" w:sz="4" w:space="0"/>
            </w:tcBorders>
            <w:vAlign w:val="center"/>
          </w:tcPr>
          <w:p w14:paraId="2701DADF">
            <w:pPr>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数量及单位</w:t>
            </w:r>
          </w:p>
        </w:tc>
        <w:tc>
          <w:tcPr>
            <w:tcW w:w="5251" w:type="dxa"/>
            <w:tcBorders>
              <w:top w:val="single" w:color="auto" w:sz="4" w:space="0"/>
              <w:left w:val="single" w:color="auto" w:sz="4" w:space="0"/>
              <w:bottom w:val="single" w:color="auto" w:sz="4" w:space="0"/>
              <w:right w:val="single" w:color="auto" w:sz="4" w:space="0"/>
            </w:tcBorders>
            <w:vAlign w:val="center"/>
          </w:tcPr>
          <w:p w14:paraId="6D31C93A">
            <w:pPr>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简要技术需求或者服务要求</w:t>
            </w:r>
          </w:p>
        </w:tc>
      </w:tr>
      <w:tr w14:paraId="22DE62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14:paraId="7393707B">
            <w:pPr>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01</w:t>
            </w:r>
          </w:p>
        </w:tc>
        <w:tc>
          <w:tcPr>
            <w:tcW w:w="1860" w:type="dxa"/>
            <w:tcBorders>
              <w:top w:val="single" w:color="auto" w:sz="4" w:space="0"/>
              <w:left w:val="single" w:color="auto" w:sz="4" w:space="0"/>
              <w:bottom w:val="single" w:color="auto" w:sz="4" w:space="0"/>
              <w:right w:val="single" w:color="auto" w:sz="4" w:space="0"/>
            </w:tcBorders>
            <w:vAlign w:val="center"/>
          </w:tcPr>
          <w:p w14:paraId="3F8F69B0">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钦州市第十中学学生宿舍改造</w:t>
            </w:r>
          </w:p>
        </w:tc>
        <w:tc>
          <w:tcPr>
            <w:tcW w:w="1360" w:type="dxa"/>
            <w:tcBorders>
              <w:top w:val="single" w:color="auto" w:sz="4" w:space="0"/>
              <w:left w:val="single" w:color="auto" w:sz="4" w:space="0"/>
              <w:bottom w:val="single" w:color="auto" w:sz="4" w:space="0"/>
              <w:right w:val="single" w:color="auto" w:sz="4" w:space="0"/>
            </w:tcBorders>
            <w:vAlign w:val="center"/>
          </w:tcPr>
          <w:p w14:paraId="6B27A856">
            <w:pPr>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1项</w:t>
            </w:r>
          </w:p>
        </w:tc>
        <w:tc>
          <w:tcPr>
            <w:tcW w:w="5251" w:type="dxa"/>
            <w:tcBorders>
              <w:top w:val="single" w:color="auto" w:sz="4" w:space="0"/>
              <w:left w:val="single" w:color="auto" w:sz="4" w:space="0"/>
              <w:bottom w:val="single" w:color="auto" w:sz="4" w:space="0"/>
              <w:right w:val="single" w:color="auto" w:sz="4" w:space="0"/>
            </w:tcBorders>
            <w:vAlign w:val="center"/>
          </w:tcPr>
          <w:p w14:paraId="72BA6877">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项目建设在钦州市第十中学校园内，2栋学生宿舍维修改造，其中1#学生宿舍楼总建筑面积为1371.6平方米，共三层，2#学生宿舍楼总建筑面积为1400.55平方米，共五层。</w:t>
            </w:r>
          </w:p>
        </w:tc>
      </w:tr>
    </w:tbl>
    <w:p w14:paraId="03DC5FB3">
      <w:pPr>
        <w:spacing w:line="360" w:lineRule="auto"/>
        <w:ind w:firstLine="420" w:firstLineChars="200"/>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合同履行期限：</w:t>
      </w:r>
      <w:r>
        <w:rPr>
          <w:rFonts w:hint="eastAsia" w:ascii="宋体" w:hAnsi="宋体"/>
          <w:color w:val="000000" w:themeColor="text1"/>
          <w:szCs w:val="21"/>
          <w:highlight w:val="none"/>
          <w:lang w:eastAsia="zh-CN"/>
          <w14:textFill>
            <w14:solidFill>
              <w14:schemeClr w14:val="tx1"/>
            </w14:solidFill>
          </w14:textFill>
        </w:rPr>
        <w:t>工期：</w:t>
      </w:r>
      <w:r>
        <w:rPr>
          <w:rFonts w:hint="eastAsia" w:ascii="宋体" w:hAnsi="宋体"/>
          <w:color w:val="000000" w:themeColor="text1"/>
          <w:highlight w:val="none"/>
          <w:lang w:val="en-US" w:eastAsia="zh-CN"/>
          <w14:textFill>
            <w14:solidFill>
              <w14:schemeClr w14:val="tx1"/>
            </w14:solidFill>
          </w14:textFill>
        </w:rPr>
        <w:t>150</w:t>
      </w:r>
      <w:r>
        <w:rPr>
          <w:rFonts w:hint="eastAsia" w:ascii="宋体" w:hAnsi="宋体"/>
          <w:color w:val="000000" w:themeColor="text1"/>
          <w:highlight w:val="none"/>
          <w:lang w:val="zh-CN"/>
          <w14:textFill>
            <w14:solidFill>
              <w14:schemeClr w14:val="tx1"/>
            </w14:solidFill>
          </w14:textFill>
        </w:rPr>
        <w:t>日历天。</w:t>
      </w:r>
    </w:p>
    <w:p w14:paraId="5DC46E2E">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w:t>
      </w:r>
      <w:r>
        <w:rPr>
          <w:rFonts w:ascii="宋体" w:hAnsi="宋体"/>
          <w:color w:val="000000" w:themeColor="text1"/>
          <w:szCs w:val="21"/>
          <w:highlight w:val="none"/>
          <w14:textFill>
            <w14:solidFill>
              <w14:schemeClr w14:val="tx1"/>
            </w14:solidFill>
          </w14:textFill>
        </w:rPr>
        <w:t>否</w:t>
      </w:r>
      <w:r>
        <w:rPr>
          <w:rFonts w:hint="eastAsia" w:ascii="宋体" w:hAnsi="宋体"/>
          <w:color w:val="000000" w:themeColor="text1"/>
          <w:szCs w:val="21"/>
          <w:highlight w:val="none"/>
          <w14:textFill>
            <w14:solidFill>
              <w14:schemeClr w14:val="tx1"/>
            </w14:solidFill>
          </w14:textFill>
        </w:rPr>
        <w:t>）接受联合体。</w:t>
      </w:r>
    </w:p>
    <w:p w14:paraId="4D5342D3">
      <w:pPr>
        <w:spacing w:line="360" w:lineRule="auto"/>
        <w:ind w:firstLine="354" w:firstLineChars="147"/>
        <w:rPr>
          <w:rFonts w:ascii="黑体" w:hAnsi="黑体" w:eastAsia="黑体"/>
          <w:b/>
          <w:color w:val="000000" w:themeColor="text1"/>
          <w:sz w:val="24"/>
          <w:highlight w:val="none"/>
          <w14:textFill>
            <w14:solidFill>
              <w14:schemeClr w14:val="tx1"/>
            </w14:solidFill>
          </w14:textFill>
        </w:rPr>
      </w:pPr>
      <w:bookmarkStart w:id="8" w:name="_Toc35393799"/>
      <w:bookmarkStart w:id="9" w:name="_Toc35393630"/>
      <w:bookmarkStart w:id="10" w:name="_Toc28359013"/>
      <w:bookmarkStart w:id="11" w:name="_Toc44229879"/>
      <w:bookmarkStart w:id="12" w:name="_Toc71365906"/>
      <w:bookmarkStart w:id="13" w:name="_Toc28359090"/>
      <w:r>
        <w:rPr>
          <w:rFonts w:hint="eastAsia" w:ascii="黑体" w:hAnsi="黑体" w:eastAsia="黑体"/>
          <w:b/>
          <w:color w:val="000000" w:themeColor="text1"/>
          <w:sz w:val="24"/>
          <w:highlight w:val="none"/>
          <w14:textFill>
            <w14:solidFill>
              <w14:schemeClr w14:val="tx1"/>
            </w14:solidFill>
          </w14:textFill>
        </w:rPr>
        <w:t>二、申请人的资格条件：</w:t>
      </w:r>
      <w:bookmarkEnd w:id="8"/>
      <w:bookmarkEnd w:id="9"/>
      <w:bookmarkEnd w:id="10"/>
      <w:bookmarkEnd w:id="11"/>
      <w:bookmarkEnd w:id="12"/>
      <w:bookmarkEnd w:id="13"/>
    </w:p>
    <w:p w14:paraId="6196D0E6">
      <w:pPr>
        <w:spacing w:line="360" w:lineRule="auto"/>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bookmarkStart w:id="14" w:name="_Toc28359014"/>
      <w:bookmarkStart w:id="15" w:name="_Toc35393800"/>
      <w:bookmarkStart w:id="16" w:name="_Toc28359091"/>
      <w:bookmarkStart w:id="17" w:name="_Toc35393631"/>
      <w:bookmarkStart w:id="18" w:name="_Toc44229880"/>
      <w:r>
        <w:rPr>
          <w:rFonts w:hint="eastAsia" w:ascii="宋体" w:hAnsi="宋体"/>
          <w:color w:val="000000" w:themeColor="text1"/>
          <w:szCs w:val="21"/>
          <w:highlight w:val="none"/>
          <w14:textFill>
            <w14:solidFill>
              <w14:schemeClr w14:val="tx1"/>
            </w14:solidFill>
          </w14:textFill>
        </w:rPr>
        <w:t>1.满足《中华人民共和国政府采购法》第二十二条规定</w:t>
      </w:r>
      <w:r>
        <w:rPr>
          <w:rFonts w:hint="eastAsia" w:ascii="宋体" w:hAnsi="宋体"/>
          <w:color w:val="000000" w:themeColor="text1"/>
          <w:szCs w:val="21"/>
          <w:highlight w:val="none"/>
          <w:lang w:eastAsia="zh-CN"/>
          <w14:textFill>
            <w14:solidFill>
              <w14:schemeClr w14:val="tx1"/>
            </w14:solidFill>
          </w14:textFill>
        </w:rPr>
        <w:t>。</w:t>
      </w:r>
    </w:p>
    <w:p w14:paraId="78FD4FD0">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.落实政府采购政策需满足的资格要求：本项目属于专门面向中小企业采购的项目，承接本项目施工的供应商应为中小微企业或监狱企业或残疾人福利性单位。</w:t>
      </w:r>
    </w:p>
    <w:p w14:paraId="5923EA2A">
      <w:pPr>
        <w:spacing w:line="360" w:lineRule="auto"/>
        <w:ind w:firstLine="420" w:firstLineChars="200"/>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3.本项目的特定资格要求：</w:t>
      </w:r>
    </w:p>
    <w:p w14:paraId="4BEB3822">
      <w:pPr>
        <w:spacing w:line="360" w:lineRule="auto"/>
        <w:ind w:firstLine="422" w:firstLineChars="200"/>
        <w:rPr>
          <w:rFonts w:hint="eastAsia" w:ascii="宋体" w:hAnsi="宋体" w:eastAsia="宋体"/>
          <w:b/>
          <w:color w:val="000000" w:themeColor="text1"/>
          <w:szCs w:val="21"/>
          <w:highlight w:val="none"/>
          <w:lang w:eastAsia="zh-CN"/>
          <w14:textFill>
            <w14:solidFill>
              <w14:schemeClr w14:val="tx1"/>
            </w14:solidFill>
          </w14:textFill>
        </w:rPr>
      </w:pPr>
      <w:bookmarkStart w:id="19" w:name="_Toc71365907"/>
      <w:r>
        <w:rPr>
          <w:rFonts w:hint="eastAsia" w:ascii="宋体" w:hAnsi="宋体"/>
          <w:b/>
          <w:color w:val="000000" w:themeColor="text1"/>
          <w:szCs w:val="21"/>
          <w:highlight w:val="none"/>
          <w14:textFill>
            <w14:solidFill>
              <w14:schemeClr w14:val="tx1"/>
            </w14:solidFill>
          </w14:textFill>
        </w:rPr>
        <w:t>（1）供应商具备</w:t>
      </w:r>
      <w:r>
        <w:rPr>
          <w:rFonts w:hint="eastAsia" w:ascii="宋体" w:hAnsi="宋体"/>
          <w:b/>
          <w:color w:val="000000" w:themeColor="text1"/>
          <w:szCs w:val="21"/>
          <w:highlight w:val="none"/>
          <w:lang w:eastAsia="zh-CN"/>
          <w14:textFill>
            <w14:solidFill>
              <w14:schemeClr w14:val="tx1"/>
            </w14:solidFill>
          </w14:textFill>
        </w:rPr>
        <w:t>建筑工程施工总承包</w:t>
      </w:r>
      <w:r>
        <w:rPr>
          <w:rFonts w:hint="eastAsia" w:ascii="宋体" w:hAnsi="宋体"/>
          <w:b/>
          <w:color w:val="000000" w:themeColor="text1"/>
          <w:szCs w:val="21"/>
          <w:highlight w:val="none"/>
          <w14:textFill>
            <w14:solidFill>
              <w14:schemeClr w14:val="tx1"/>
            </w14:solidFill>
          </w14:textFill>
        </w:rPr>
        <w:t>三级</w:t>
      </w:r>
      <w:r>
        <w:rPr>
          <w:rFonts w:hint="eastAsia" w:ascii="宋体" w:hAnsi="宋体"/>
          <w:b/>
          <w:color w:val="000000" w:themeColor="text1"/>
          <w:szCs w:val="21"/>
          <w:highlight w:val="none"/>
          <w:lang w:eastAsia="zh-CN"/>
          <w14:textFill>
            <w14:solidFill>
              <w14:schemeClr w14:val="tx1"/>
            </w14:solidFill>
          </w14:textFill>
        </w:rPr>
        <w:t>（含）</w:t>
      </w:r>
      <w:r>
        <w:rPr>
          <w:rFonts w:hint="eastAsia" w:ascii="宋体" w:hAnsi="宋体"/>
          <w:b/>
          <w:color w:val="000000" w:themeColor="text1"/>
          <w:szCs w:val="21"/>
          <w:highlight w:val="none"/>
          <w14:textFill>
            <w14:solidFill>
              <w14:schemeClr w14:val="tx1"/>
            </w14:solidFill>
          </w14:textFill>
        </w:rPr>
        <w:t>以上资质或建筑装修装饰工程专业承包二级（含）以上资质</w:t>
      </w:r>
      <w:r>
        <w:rPr>
          <w:rFonts w:hint="eastAsia" w:ascii="宋体" w:hAnsi="宋体"/>
          <w:b/>
          <w:color w:val="000000" w:themeColor="text1"/>
          <w:szCs w:val="21"/>
          <w:highlight w:val="none"/>
          <w:lang w:eastAsia="zh-CN"/>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具有有效的安全生产许可证，并在人员、设备、资金等方面具有相应能力的施工企业</w:t>
      </w:r>
      <w:r>
        <w:rPr>
          <w:rFonts w:hint="eastAsia" w:ascii="宋体" w:hAnsi="宋体"/>
          <w:b/>
          <w:color w:val="000000" w:themeColor="text1"/>
          <w:szCs w:val="21"/>
          <w:highlight w:val="none"/>
          <w:lang w:eastAsia="zh-CN"/>
          <w14:textFill>
            <w14:solidFill>
              <w14:schemeClr w14:val="tx1"/>
            </w14:solidFill>
          </w14:textFill>
        </w:rPr>
        <w:t>。</w:t>
      </w:r>
    </w:p>
    <w:p w14:paraId="2A26CD01">
      <w:pPr>
        <w:spacing w:line="360" w:lineRule="auto"/>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（2）拟投入本工程的项目经理具有建筑工程专业贰级以上（含贰级）注册建造师资格并获得有效的安全生产考核合格证（B证），且未担任其他在施建设工程项目的项目经理。 </w:t>
      </w:r>
    </w:p>
    <w:p w14:paraId="15741948">
      <w:pPr>
        <w:spacing w:line="360" w:lineRule="auto"/>
        <w:ind w:firstLine="422" w:firstLineChars="200"/>
        <w:rPr>
          <w:rFonts w:hint="eastAsia" w:ascii="宋体" w:hAnsi="宋体" w:eastAsia="宋体"/>
          <w:b/>
          <w:color w:val="000000" w:themeColor="text1"/>
          <w:szCs w:val="21"/>
          <w:highlight w:val="none"/>
          <w:lang w:eastAsia="zh-CN"/>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（3）拟投入本工程的技术负责人具有建筑工程专业中级及以上工程师职称证书</w:t>
      </w:r>
      <w:r>
        <w:rPr>
          <w:rFonts w:hint="eastAsia" w:ascii="宋体" w:hAnsi="宋体"/>
          <w:b/>
          <w:color w:val="000000" w:themeColor="text1"/>
          <w:szCs w:val="21"/>
          <w:highlight w:val="none"/>
          <w:lang w:eastAsia="zh-CN"/>
          <w14:textFill>
            <w14:solidFill>
              <w14:schemeClr w14:val="tx1"/>
            </w14:solidFill>
          </w14:textFill>
        </w:rPr>
        <w:t>。</w:t>
      </w:r>
    </w:p>
    <w:p w14:paraId="3CF8885B">
      <w:pPr>
        <w:spacing w:line="360" w:lineRule="auto"/>
        <w:ind w:firstLine="422" w:firstLineChars="200"/>
        <w:rPr>
          <w:rFonts w:ascii="宋体" w:hAnsi="宋体"/>
          <w:b/>
          <w:color w:val="000000" w:themeColor="text1"/>
          <w:szCs w:val="21"/>
          <w:highlight w:val="none"/>
          <w:u w:val="singl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（4）拟投入本工程四大员（施工员、质量员、安全员、材料员）中，安全员具有有效的安全生产考核合格证（C类），施工员、质量员、材料员具有有效的培训合格证。</w:t>
      </w:r>
    </w:p>
    <w:p w14:paraId="1B95EAF9">
      <w:pPr>
        <w:spacing w:line="360" w:lineRule="auto"/>
        <w:ind w:firstLine="354" w:firstLineChars="147"/>
        <w:rPr>
          <w:rFonts w:ascii="黑体" w:hAnsi="黑体" w:eastAsia="黑体"/>
          <w:b/>
          <w:color w:val="000000" w:themeColor="text1"/>
          <w:sz w:val="24"/>
          <w:highlight w:val="none"/>
          <w14:textFill>
            <w14:solidFill>
              <w14:schemeClr w14:val="tx1"/>
            </w14:solidFill>
          </w14:textFill>
        </w:rPr>
      </w:pPr>
      <w:r>
        <w:rPr>
          <w:rFonts w:hint="eastAsia" w:ascii="黑体" w:hAnsi="黑体" w:eastAsia="黑体"/>
          <w:b/>
          <w:color w:val="000000" w:themeColor="text1"/>
          <w:sz w:val="24"/>
          <w:highlight w:val="none"/>
          <w14:textFill>
            <w14:solidFill>
              <w14:schemeClr w14:val="tx1"/>
            </w14:solidFill>
          </w14:textFill>
        </w:rPr>
        <w:t>三、获取竞争性磋商文件</w:t>
      </w:r>
      <w:bookmarkEnd w:id="14"/>
      <w:bookmarkEnd w:id="15"/>
      <w:bookmarkEnd w:id="16"/>
      <w:bookmarkEnd w:id="17"/>
      <w:bookmarkEnd w:id="18"/>
      <w:bookmarkEnd w:id="19"/>
    </w:p>
    <w:p w14:paraId="35F6FA54">
      <w:pPr>
        <w:spacing w:line="360" w:lineRule="auto"/>
        <w:ind w:firstLine="420" w:firstLineChars="200"/>
        <w:rPr>
          <w:rFonts w:ascii="宋体" w:hAnsi="宋体" w:cs="宋体"/>
          <w:bCs/>
          <w:color w:val="000000" w:themeColor="text1"/>
          <w:kern w:val="0"/>
          <w:szCs w:val="21"/>
          <w:highlight w:val="none"/>
          <w14:textFill>
            <w14:solidFill>
              <w14:schemeClr w14:val="tx1"/>
            </w14:solidFill>
          </w14:textFill>
        </w:rPr>
      </w:pPr>
      <w:bookmarkStart w:id="20" w:name="_Toc44229881"/>
      <w:bookmarkStart w:id="21" w:name="_Toc35393801"/>
      <w:bookmarkStart w:id="22" w:name="_Toc28359015"/>
      <w:bookmarkStart w:id="23" w:name="_Toc28359092"/>
      <w:bookmarkStart w:id="24" w:name="_Toc35393632"/>
      <w:r>
        <w:rPr>
          <w:rFonts w:hint="eastAsia" w:ascii="宋体" w:hAnsi="宋体" w:cs="宋体"/>
          <w:bCs/>
          <w:color w:val="000000" w:themeColor="text1"/>
          <w:kern w:val="0"/>
          <w:szCs w:val="21"/>
          <w:highlight w:val="none"/>
          <w14:textFill>
            <w14:solidFill>
              <w14:schemeClr w14:val="tx1"/>
            </w14:solidFill>
          </w14:textFill>
        </w:rPr>
        <w:t>时间</w:t>
      </w:r>
      <w:r>
        <w:rPr>
          <w:rFonts w:hint="eastAsia" w:ascii="宋体" w:hAnsi="宋体" w:cs="宋体"/>
          <w:bCs/>
          <w:color w:val="000000" w:themeColor="text1"/>
          <w:kern w:val="0"/>
          <w:szCs w:val="21"/>
          <w:highlight w:val="none"/>
          <w:u w:val="single"/>
          <w14:textFill>
            <w14:solidFill>
              <w14:schemeClr w14:val="tx1"/>
            </w14:solidFill>
          </w14:textFill>
        </w:rPr>
        <w:t>：</w:t>
      </w:r>
      <w:r>
        <w:rPr>
          <w:rFonts w:hint="eastAsia" w:ascii="宋体" w:hAnsi="宋体"/>
          <w:bCs/>
          <w:color w:val="000000" w:themeColor="text1"/>
          <w:szCs w:val="21"/>
          <w:highlight w:val="none"/>
          <w:u w:val="single"/>
          <w14:textFill>
            <w14:solidFill>
              <w14:schemeClr w14:val="tx1"/>
            </w14:solidFill>
          </w14:textFill>
        </w:rPr>
        <w:t>2025年</w:t>
      </w:r>
      <w:r>
        <w:rPr>
          <w:rFonts w:hint="eastAsia" w:ascii="宋体" w:hAnsi="宋体"/>
          <w:bCs/>
          <w:color w:val="000000" w:themeColor="text1"/>
          <w:szCs w:val="21"/>
          <w:highlight w:val="none"/>
          <w:u w:val="single"/>
          <w:lang w:val="en-US" w:eastAsia="zh-CN"/>
          <w14:textFill>
            <w14:solidFill>
              <w14:schemeClr w14:val="tx1"/>
            </w14:solidFill>
          </w14:textFill>
        </w:rPr>
        <w:t>9</w:t>
      </w:r>
      <w:r>
        <w:rPr>
          <w:rFonts w:hint="eastAsia" w:ascii="宋体" w:hAnsi="宋体"/>
          <w:bCs/>
          <w:color w:val="000000" w:themeColor="text1"/>
          <w:szCs w:val="21"/>
          <w:highlight w:val="none"/>
          <w:u w:val="single"/>
          <w14:textFill>
            <w14:solidFill>
              <w14:schemeClr w14:val="tx1"/>
            </w14:solidFill>
          </w14:textFill>
        </w:rPr>
        <w:t>月</w:t>
      </w:r>
      <w:r>
        <w:rPr>
          <w:rFonts w:hint="eastAsia" w:ascii="宋体" w:hAnsi="宋体"/>
          <w:bCs/>
          <w:color w:val="000000" w:themeColor="text1"/>
          <w:szCs w:val="21"/>
          <w:highlight w:val="none"/>
          <w:u w:val="single"/>
          <w:lang w:val="en-US" w:eastAsia="zh-CN"/>
          <w14:textFill>
            <w14:solidFill>
              <w14:schemeClr w14:val="tx1"/>
            </w14:solidFill>
          </w14:textFill>
        </w:rPr>
        <w:t>19</w:t>
      </w:r>
      <w:r>
        <w:rPr>
          <w:rFonts w:hint="eastAsia" w:ascii="宋体" w:hAnsi="宋体"/>
          <w:bCs/>
          <w:color w:val="000000" w:themeColor="text1"/>
          <w:szCs w:val="21"/>
          <w:highlight w:val="none"/>
          <w:u w:val="single"/>
          <w14:textFill>
            <w14:solidFill>
              <w14:schemeClr w14:val="tx1"/>
            </w14:solidFill>
          </w14:textFill>
        </w:rPr>
        <w:t>日</w:t>
      </w:r>
      <w:r>
        <w:rPr>
          <w:rFonts w:hint="eastAsia" w:ascii="宋体" w:hAnsi="宋体" w:cs="宋体"/>
          <w:bCs/>
          <w:color w:val="000000" w:themeColor="text1"/>
          <w:kern w:val="0"/>
          <w:szCs w:val="21"/>
          <w:highlight w:val="none"/>
          <w:u w:val="single"/>
          <w14:textFill>
            <w14:solidFill>
              <w14:schemeClr w14:val="tx1"/>
            </w14:solidFill>
          </w14:textFill>
        </w:rPr>
        <w:t>至</w:t>
      </w:r>
      <w:r>
        <w:rPr>
          <w:rFonts w:hint="eastAsia" w:ascii="宋体" w:hAnsi="宋体"/>
          <w:bCs/>
          <w:color w:val="000000" w:themeColor="text1"/>
          <w:szCs w:val="21"/>
          <w:highlight w:val="none"/>
          <w:u w:val="single"/>
          <w14:textFill>
            <w14:solidFill>
              <w14:schemeClr w14:val="tx1"/>
            </w14:solidFill>
          </w14:textFill>
        </w:rPr>
        <w:t>2025年</w:t>
      </w:r>
      <w:r>
        <w:rPr>
          <w:rFonts w:hint="eastAsia" w:ascii="宋体" w:hAnsi="宋体"/>
          <w:bCs/>
          <w:color w:val="000000" w:themeColor="text1"/>
          <w:szCs w:val="21"/>
          <w:highlight w:val="none"/>
          <w:u w:val="single"/>
          <w:lang w:val="en-US" w:eastAsia="zh-CN"/>
          <w14:textFill>
            <w14:solidFill>
              <w14:schemeClr w14:val="tx1"/>
            </w14:solidFill>
          </w14:textFill>
        </w:rPr>
        <w:t>9</w:t>
      </w:r>
      <w:r>
        <w:rPr>
          <w:rFonts w:hint="eastAsia" w:ascii="宋体" w:hAnsi="宋体"/>
          <w:bCs/>
          <w:color w:val="000000" w:themeColor="text1"/>
          <w:szCs w:val="21"/>
          <w:highlight w:val="none"/>
          <w:u w:val="single"/>
          <w14:textFill>
            <w14:solidFill>
              <w14:schemeClr w14:val="tx1"/>
            </w14:solidFill>
          </w14:textFill>
        </w:rPr>
        <w:t>月</w:t>
      </w:r>
      <w:r>
        <w:rPr>
          <w:rFonts w:hint="eastAsia" w:ascii="宋体" w:hAnsi="宋体"/>
          <w:bCs/>
          <w:color w:val="000000" w:themeColor="text1"/>
          <w:szCs w:val="21"/>
          <w:highlight w:val="none"/>
          <w:u w:val="single"/>
          <w:lang w:val="en-US" w:eastAsia="zh-CN"/>
          <w14:textFill>
            <w14:solidFill>
              <w14:schemeClr w14:val="tx1"/>
            </w14:solidFill>
          </w14:textFill>
        </w:rPr>
        <w:t>26</w:t>
      </w:r>
      <w:r>
        <w:rPr>
          <w:rFonts w:hint="eastAsia" w:ascii="宋体" w:hAnsi="宋体"/>
          <w:bCs/>
          <w:color w:val="000000" w:themeColor="text1"/>
          <w:szCs w:val="21"/>
          <w:highlight w:val="none"/>
          <w:u w:val="single"/>
          <w14:textFill>
            <w14:solidFill>
              <w14:schemeClr w14:val="tx1"/>
            </w14:solidFill>
          </w14:textFill>
        </w:rPr>
        <w:t>日</w:t>
      </w:r>
      <w:r>
        <w:rPr>
          <w:rFonts w:hint="eastAsia" w:ascii="宋体" w:hAnsi="宋体" w:cs="宋体"/>
          <w:bCs/>
          <w:color w:val="000000" w:themeColor="text1"/>
          <w:kern w:val="0"/>
          <w:szCs w:val="21"/>
          <w:highlight w:val="none"/>
          <w:u w:val="none"/>
          <w14:textFill>
            <w14:solidFill>
              <w14:schemeClr w14:val="tx1"/>
            </w14:solidFill>
          </w14:textFill>
        </w:rPr>
        <w:t>，每天上午8</w:t>
      </w:r>
      <w:r>
        <w:rPr>
          <w:rFonts w:hint="eastAsia" w:ascii="宋体" w:hAnsi="宋体" w:cs="宋体"/>
          <w:bCs/>
          <w:color w:val="000000" w:themeColor="text1"/>
          <w:kern w:val="0"/>
          <w:szCs w:val="21"/>
          <w:highlight w:val="none"/>
          <w:u w:val="none"/>
          <w:lang w:eastAsia="zh-CN"/>
          <w14:textFill>
            <w14:solidFill>
              <w14:schemeClr w14:val="tx1"/>
            </w14:solidFill>
          </w14:textFill>
        </w:rPr>
        <w:t>：</w:t>
      </w:r>
      <w:r>
        <w:rPr>
          <w:rFonts w:hint="eastAsia" w:ascii="宋体" w:hAnsi="宋体" w:cs="宋体"/>
          <w:bCs/>
          <w:color w:val="000000" w:themeColor="text1"/>
          <w:kern w:val="0"/>
          <w:szCs w:val="21"/>
          <w:highlight w:val="none"/>
          <w:u w:val="none"/>
          <w14:textFill>
            <w14:solidFill>
              <w14:schemeClr w14:val="tx1"/>
            </w14:solidFill>
          </w14:textFill>
        </w:rPr>
        <w:t>00至12</w:t>
      </w:r>
      <w:r>
        <w:rPr>
          <w:rFonts w:hint="eastAsia" w:ascii="宋体" w:hAnsi="宋体" w:cs="宋体"/>
          <w:bCs/>
          <w:color w:val="000000" w:themeColor="text1"/>
          <w:kern w:val="0"/>
          <w:szCs w:val="21"/>
          <w:highlight w:val="none"/>
          <w:u w:val="none"/>
          <w:lang w:eastAsia="zh-CN"/>
          <w14:textFill>
            <w14:solidFill>
              <w14:schemeClr w14:val="tx1"/>
            </w14:solidFill>
          </w14:textFill>
        </w:rPr>
        <w:t>：</w:t>
      </w:r>
      <w:r>
        <w:rPr>
          <w:rFonts w:hint="eastAsia" w:ascii="宋体" w:hAnsi="宋体" w:cs="宋体"/>
          <w:bCs/>
          <w:color w:val="000000" w:themeColor="text1"/>
          <w:kern w:val="0"/>
          <w:szCs w:val="21"/>
          <w:highlight w:val="none"/>
          <w:u w:val="none"/>
          <w14:textFill>
            <w14:solidFill>
              <w14:schemeClr w14:val="tx1"/>
            </w14:solidFill>
          </w14:textFill>
        </w:rPr>
        <w:t>00，下午3</w:t>
      </w:r>
      <w:r>
        <w:rPr>
          <w:rFonts w:hint="eastAsia" w:ascii="宋体" w:hAnsi="宋体" w:cs="宋体"/>
          <w:bCs/>
          <w:color w:val="000000" w:themeColor="text1"/>
          <w:kern w:val="0"/>
          <w:szCs w:val="21"/>
          <w:highlight w:val="none"/>
          <w:u w:val="none"/>
          <w:lang w:eastAsia="zh-CN"/>
          <w14:textFill>
            <w14:solidFill>
              <w14:schemeClr w14:val="tx1"/>
            </w14:solidFill>
          </w14:textFill>
        </w:rPr>
        <w:t>：</w:t>
      </w:r>
      <w:r>
        <w:rPr>
          <w:rFonts w:hint="eastAsia" w:ascii="宋体" w:hAnsi="宋体" w:cs="宋体"/>
          <w:bCs/>
          <w:color w:val="000000" w:themeColor="text1"/>
          <w:kern w:val="0"/>
          <w:szCs w:val="21"/>
          <w:highlight w:val="none"/>
          <w:u w:val="none"/>
          <w14:textFill>
            <w14:solidFill>
              <w14:schemeClr w14:val="tx1"/>
            </w14:solidFill>
          </w14:textFill>
        </w:rPr>
        <w:t>00至6</w:t>
      </w:r>
      <w:r>
        <w:rPr>
          <w:rFonts w:hint="eastAsia" w:ascii="宋体" w:hAnsi="宋体" w:cs="宋体"/>
          <w:bCs/>
          <w:color w:val="000000" w:themeColor="text1"/>
          <w:kern w:val="0"/>
          <w:szCs w:val="21"/>
          <w:highlight w:val="none"/>
          <w:u w:val="none"/>
          <w:lang w:eastAsia="zh-CN"/>
          <w14:textFill>
            <w14:solidFill>
              <w14:schemeClr w14:val="tx1"/>
            </w14:solidFill>
          </w14:textFill>
        </w:rPr>
        <w:t>：</w:t>
      </w:r>
      <w:r>
        <w:rPr>
          <w:rFonts w:hint="eastAsia" w:ascii="宋体" w:hAnsi="宋体" w:cs="宋体"/>
          <w:bCs/>
          <w:color w:val="000000" w:themeColor="text1"/>
          <w:kern w:val="0"/>
          <w:szCs w:val="21"/>
          <w:highlight w:val="none"/>
          <w:u w:val="none"/>
          <w14:textFill>
            <w14:solidFill>
              <w14:schemeClr w14:val="tx1"/>
            </w14:solidFill>
          </w14:textFill>
        </w:rPr>
        <w:t>00</w:t>
      </w:r>
      <w:r>
        <w:rPr>
          <w:rFonts w:hint="eastAsia" w:ascii="宋体" w:hAnsi="宋体" w:cs="宋体"/>
          <w:bCs/>
          <w:color w:val="000000" w:themeColor="text1"/>
          <w:kern w:val="0"/>
          <w:szCs w:val="21"/>
          <w:highlight w:val="none"/>
          <w14:textFill>
            <w14:solidFill>
              <w14:schemeClr w14:val="tx1"/>
            </w14:solidFill>
          </w14:textFill>
        </w:rPr>
        <w:t>（北京时间，</w:t>
      </w:r>
      <w:r>
        <w:rPr>
          <w:rFonts w:ascii="宋体" w:hAnsi="宋体" w:cs="宋体"/>
          <w:bCs/>
          <w:color w:val="000000" w:themeColor="text1"/>
          <w:kern w:val="0"/>
          <w:szCs w:val="21"/>
          <w:highlight w:val="none"/>
          <w14:textFill>
            <w14:solidFill>
              <w14:schemeClr w14:val="tx1"/>
            </w14:solidFill>
          </w14:textFill>
        </w:rPr>
        <w:t>法定节假日</w:t>
      </w:r>
      <w:r>
        <w:rPr>
          <w:rFonts w:hint="eastAsia" w:ascii="宋体" w:hAnsi="宋体" w:cs="宋体"/>
          <w:bCs/>
          <w:color w:val="000000" w:themeColor="text1"/>
          <w:kern w:val="0"/>
          <w:szCs w:val="21"/>
          <w:highlight w:val="none"/>
          <w14:textFill>
            <w14:solidFill>
              <w14:schemeClr w14:val="tx1"/>
            </w14:solidFill>
          </w14:textFill>
        </w:rPr>
        <w:t>除外）</w:t>
      </w:r>
    </w:p>
    <w:p w14:paraId="22A4D8F4">
      <w:pPr>
        <w:spacing w:line="360" w:lineRule="auto"/>
        <w:ind w:firstLine="420" w:firstLineChars="200"/>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地点：广西政府采购云平台（https://www.zcygov.cn）</w:t>
      </w:r>
    </w:p>
    <w:p w14:paraId="50A92B2B">
      <w:pPr>
        <w:spacing w:line="360" w:lineRule="auto"/>
        <w:ind w:firstLine="420" w:firstLineChars="200"/>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方式：网上下载。本项目不提供纸质文件，潜在供应商需使用账号登录或者使用CA登录广西政府采购云平台（https：//www.zcygov.cn）-进入“项目采购”应用，在获取采购文件菜单中选择项目，获取竞争性磋商文件。</w:t>
      </w:r>
      <w:r>
        <w:rPr>
          <w:rFonts w:hint="eastAsia" w:ascii="宋体" w:hAnsi="宋体"/>
          <w:color w:val="000000" w:themeColor="text1"/>
          <w:szCs w:val="21"/>
          <w:highlight w:val="none"/>
          <w14:textFill>
            <w14:solidFill>
              <w14:schemeClr w14:val="tx1"/>
            </w14:solidFill>
          </w14:textFill>
        </w:rPr>
        <w:t>电子</w:t>
      </w:r>
      <w:r>
        <w:rPr>
          <w:rFonts w:hint="eastAsia"/>
          <w:color w:val="000000" w:themeColor="text1"/>
          <w:highlight w:val="none"/>
          <w14:textFill>
            <w14:solidFill>
              <w14:schemeClr w14:val="tx1"/>
            </w14:solidFill>
          </w14:textFill>
        </w:rPr>
        <w:t>响应文件</w:t>
      </w:r>
      <w:r>
        <w:rPr>
          <w:rFonts w:hint="eastAsia" w:ascii="宋体" w:hAnsi="宋体"/>
          <w:color w:val="000000" w:themeColor="text1"/>
          <w:szCs w:val="21"/>
          <w:highlight w:val="none"/>
          <w14:textFill>
            <w14:solidFill>
              <w14:schemeClr w14:val="tx1"/>
            </w14:solidFill>
          </w14:textFill>
        </w:rPr>
        <w:t>制作需要基于广西政府采购云平台获取的磋商文件编制，</w:t>
      </w:r>
      <w:r>
        <w:rPr>
          <w:rFonts w:hint="eastAsia" w:ascii="宋体" w:hAnsi="宋体" w:cs="宋体"/>
          <w:bCs/>
          <w:color w:val="000000" w:themeColor="text1"/>
          <w:kern w:val="0"/>
          <w:szCs w:val="21"/>
          <w:highlight w:val="none"/>
          <w14:textFill>
            <w14:solidFill>
              <w14:schemeClr w14:val="tx1"/>
            </w14:solidFill>
          </w14:textFill>
        </w:rPr>
        <w:t>通过其他方式获取磋商文件的，将有可能导致供应商无法在广西政府采购云平台编制及上传响应文件。</w:t>
      </w:r>
    </w:p>
    <w:p w14:paraId="323D0291">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售价</w:t>
      </w:r>
      <w:r>
        <w:rPr>
          <w:rFonts w:hint="eastAsia" w:ascii="宋体" w:hAnsi="宋体" w:cs="宋体"/>
          <w:bCs/>
          <w:i w:val="0"/>
          <w:iCs w:val="0"/>
          <w:color w:val="000000" w:themeColor="text1"/>
          <w:kern w:val="0"/>
          <w:szCs w:val="21"/>
          <w:highlight w:val="none"/>
          <w:u w:val="none"/>
          <w14:textFill>
            <w14:solidFill>
              <w14:schemeClr w14:val="tx1"/>
            </w14:solidFill>
          </w14:textFill>
        </w:rPr>
        <w:t>：</w:t>
      </w:r>
      <w:r>
        <w:rPr>
          <w:rFonts w:hint="eastAsia" w:ascii="宋体" w:hAnsi="宋体" w:cs="宋体"/>
          <w:i w:val="0"/>
          <w:iCs w:val="0"/>
          <w:color w:val="000000" w:themeColor="text1"/>
          <w:szCs w:val="21"/>
          <w:highlight w:val="none"/>
          <w:u w:val="none"/>
          <w14:textFill>
            <w14:solidFill>
              <w14:schemeClr w14:val="tx1"/>
            </w14:solidFill>
          </w14:textFill>
        </w:rPr>
        <w:t>0</w:t>
      </w:r>
      <w:r>
        <w:rPr>
          <w:rFonts w:hint="eastAsia" w:ascii="宋体" w:hAnsi="宋体" w:cs="宋体"/>
          <w:color w:val="000000" w:themeColor="text1"/>
          <w:szCs w:val="21"/>
          <w:highlight w:val="none"/>
          <w14:textFill>
            <w14:solidFill>
              <w14:schemeClr w14:val="tx1"/>
            </w14:solidFill>
          </w14:textFill>
        </w:rPr>
        <w:t>元</w:t>
      </w:r>
    </w:p>
    <w:p w14:paraId="72DE37A2">
      <w:pPr>
        <w:spacing w:line="360" w:lineRule="auto"/>
        <w:ind w:firstLine="354" w:firstLineChars="147"/>
        <w:rPr>
          <w:rFonts w:ascii="黑体" w:hAnsi="黑体" w:eastAsia="黑体"/>
          <w:b/>
          <w:color w:val="000000" w:themeColor="text1"/>
          <w:sz w:val="24"/>
          <w:highlight w:val="none"/>
          <w14:textFill>
            <w14:solidFill>
              <w14:schemeClr w14:val="tx1"/>
            </w14:solidFill>
          </w14:textFill>
        </w:rPr>
      </w:pPr>
      <w:bookmarkStart w:id="25" w:name="_Toc71365908"/>
      <w:r>
        <w:rPr>
          <w:rFonts w:hint="eastAsia" w:ascii="黑体" w:hAnsi="黑体" w:eastAsia="黑体"/>
          <w:b/>
          <w:color w:val="000000" w:themeColor="text1"/>
          <w:sz w:val="24"/>
          <w:highlight w:val="none"/>
          <w14:textFill>
            <w14:solidFill>
              <w14:schemeClr w14:val="tx1"/>
            </w14:solidFill>
          </w14:textFill>
        </w:rPr>
        <w:t>四、响应文件提交</w:t>
      </w:r>
      <w:bookmarkEnd w:id="20"/>
      <w:bookmarkEnd w:id="21"/>
      <w:bookmarkEnd w:id="22"/>
      <w:bookmarkEnd w:id="23"/>
      <w:bookmarkEnd w:id="24"/>
      <w:bookmarkEnd w:id="25"/>
    </w:p>
    <w:p w14:paraId="63016ECC">
      <w:pPr>
        <w:spacing w:line="360" w:lineRule="auto"/>
        <w:ind w:firstLine="420" w:firstLineChars="200"/>
        <w:rPr>
          <w:rFonts w:ascii="宋体" w:hAnsi="宋体"/>
          <w:bCs/>
          <w:color w:val="000000" w:themeColor="text1"/>
          <w:szCs w:val="21"/>
          <w:highlight w:val="none"/>
          <w14:textFill>
            <w14:solidFill>
              <w14:schemeClr w14:val="tx1"/>
            </w14:solidFill>
          </w14:textFill>
        </w:rPr>
      </w:pPr>
      <w:bookmarkStart w:id="26" w:name="_Toc35393633"/>
      <w:bookmarkStart w:id="27" w:name="_Toc35393802"/>
      <w:bookmarkStart w:id="28" w:name="_Toc28359016"/>
      <w:bookmarkStart w:id="29" w:name="_Toc44229882"/>
      <w:bookmarkStart w:id="30" w:name="_Toc28359093"/>
      <w:r>
        <w:rPr>
          <w:rFonts w:hint="eastAsia" w:ascii="宋体" w:hAnsi="宋体"/>
          <w:color w:val="000000" w:themeColor="text1"/>
          <w:szCs w:val="21"/>
          <w:highlight w:val="none"/>
          <w14:textFill>
            <w14:solidFill>
              <w14:schemeClr w14:val="tx1"/>
            </w14:solidFill>
          </w14:textFill>
        </w:rPr>
        <w:t>截止时间：</w:t>
      </w:r>
      <w:r>
        <w:rPr>
          <w:rFonts w:hint="eastAsia" w:ascii="宋体" w:hAnsi="宋体"/>
          <w:bCs/>
          <w:color w:val="000000" w:themeColor="text1"/>
          <w:szCs w:val="21"/>
          <w:highlight w:val="none"/>
          <w:u w:val="single"/>
          <w14:textFill>
            <w14:solidFill>
              <w14:schemeClr w14:val="tx1"/>
            </w14:solidFill>
          </w14:textFill>
        </w:rPr>
        <w:t xml:space="preserve">2025 年 </w:t>
      </w:r>
      <w:r>
        <w:rPr>
          <w:rFonts w:hint="eastAsia" w:ascii="宋体" w:hAnsi="宋体"/>
          <w:bCs/>
          <w:color w:val="000000" w:themeColor="text1"/>
          <w:szCs w:val="21"/>
          <w:highlight w:val="none"/>
          <w:u w:val="single"/>
          <w:lang w:val="en-US" w:eastAsia="zh-CN"/>
          <w14:textFill>
            <w14:solidFill>
              <w14:schemeClr w14:val="tx1"/>
            </w14:solidFill>
          </w14:textFill>
        </w:rPr>
        <w:t>9</w:t>
      </w:r>
      <w:r>
        <w:rPr>
          <w:rFonts w:hint="eastAsia" w:ascii="宋体" w:hAnsi="宋体"/>
          <w:bCs/>
          <w:color w:val="000000" w:themeColor="text1"/>
          <w:szCs w:val="21"/>
          <w:highlight w:val="none"/>
          <w:u w:val="single"/>
          <w14:textFill>
            <w14:solidFill>
              <w14:schemeClr w14:val="tx1"/>
            </w14:solidFill>
          </w14:textFill>
        </w:rPr>
        <w:t>月</w:t>
      </w:r>
      <w:r>
        <w:rPr>
          <w:rFonts w:hint="eastAsia" w:ascii="宋体" w:hAnsi="宋体"/>
          <w:bCs/>
          <w:color w:val="000000" w:themeColor="text1"/>
          <w:szCs w:val="21"/>
          <w:highlight w:val="none"/>
          <w:u w:val="single"/>
          <w:lang w:val="en-US" w:eastAsia="zh-CN"/>
          <w14:textFill>
            <w14:solidFill>
              <w14:schemeClr w14:val="tx1"/>
            </w14:solidFill>
          </w14:textFill>
        </w:rPr>
        <w:t>30</w:t>
      </w:r>
      <w:r>
        <w:rPr>
          <w:rFonts w:hint="eastAsia" w:ascii="宋体" w:hAnsi="宋体"/>
          <w:bCs/>
          <w:color w:val="000000" w:themeColor="text1"/>
          <w:szCs w:val="21"/>
          <w:highlight w:val="none"/>
          <w:u w:val="single"/>
          <w14:textFill>
            <w14:solidFill>
              <w14:schemeClr w14:val="tx1"/>
            </w14:solidFill>
          </w14:textFill>
        </w:rPr>
        <w:t>日</w:t>
      </w:r>
      <w:r>
        <w:rPr>
          <w:rFonts w:hint="eastAsia" w:ascii="宋体" w:hAnsi="宋体"/>
          <w:bCs/>
          <w:color w:val="000000" w:themeColor="text1"/>
          <w:szCs w:val="21"/>
          <w:highlight w:val="none"/>
          <w:u w:val="single"/>
          <w:lang w:eastAsia="zh-CN"/>
          <w14:textFill>
            <w14:solidFill>
              <w14:schemeClr w14:val="tx1"/>
            </w14:solidFill>
          </w14:textFill>
        </w:rPr>
        <w:t>上午</w:t>
      </w:r>
      <w:r>
        <w:rPr>
          <w:rFonts w:hint="eastAsia" w:ascii="宋体" w:hAnsi="宋体"/>
          <w:bCs/>
          <w:color w:val="000000" w:themeColor="text1"/>
          <w:szCs w:val="21"/>
          <w:highlight w:val="none"/>
          <w:u w:val="single"/>
          <w:lang w:val="en-US" w:eastAsia="zh-CN"/>
          <w14:textFill>
            <w14:solidFill>
              <w14:schemeClr w14:val="tx1"/>
            </w14:solidFill>
          </w14:textFill>
        </w:rPr>
        <w:t>10</w:t>
      </w:r>
      <w:r>
        <w:rPr>
          <w:rFonts w:hint="eastAsia" w:ascii="宋体" w:hAnsi="宋体"/>
          <w:bCs/>
          <w:color w:val="000000" w:themeColor="text1"/>
          <w:szCs w:val="21"/>
          <w:highlight w:val="none"/>
          <w:u w:val="single"/>
          <w14:textFill>
            <w14:solidFill>
              <w14:schemeClr w14:val="tx1"/>
            </w14:solidFill>
          </w14:textFill>
        </w:rPr>
        <w:t>时</w:t>
      </w:r>
      <w:r>
        <w:rPr>
          <w:rFonts w:hint="eastAsia" w:ascii="宋体" w:hAnsi="宋体"/>
          <w:bCs/>
          <w:color w:val="000000" w:themeColor="text1"/>
          <w:szCs w:val="21"/>
          <w:highlight w:val="none"/>
          <w:u w:val="single"/>
          <w:lang w:val="en-US" w:eastAsia="zh-CN"/>
          <w14:textFill>
            <w14:solidFill>
              <w14:schemeClr w14:val="tx1"/>
            </w14:solidFill>
          </w14:textFill>
        </w:rPr>
        <w:t>00</w:t>
      </w:r>
      <w:r>
        <w:rPr>
          <w:rFonts w:hint="eastAsia" w:ascii="宋体" w:hAnsi="宋体"/>
          <w:bCs/>
          <w:color w:val="000000" w:themeColor="text1"/>
          <w:szCs w:val="21"/>
          <w:highlight w:val="none"/>
          <w:u w:val="single"/>
          <w14:textFill>
            <w14:solidFill>
              <w14:schemeClr w14:val="tx1"/>
            </w14:solidFill>
          </w14:textFill>
        </w:rPr>
        <w:t>分</w:t>
      </w:r>
      <w:r>
        <w:rPr>
          <w:rFonts w:hint="eastAsia" w:ascii="宋体" w:hAnsi="宋体"/>
          <w:bCs/>
          <w:color w:val="000000" w:themeColor="text1"/>
          <w:szCs w:val="21"/>
          <w:highlight w:val="none"/>
          <w14:textFill>
            <w14:solidFill>
              <w14:schemeClr w14:val="tx1"/>
            </w14:solidFill>
          </w14:textFill>
        </w:rPr>
        <w:t>（北京时间）</w:t>
      </w:r>
    </w:p>
    <w:p w14:paraId="26AA1525">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地点：广西政府采购云平台</w:t>
      </w:r>
      <w:r>
        <w:rPr>
          <w:rFonts w:hint="eastAsia" w:ascii="宋体" w:hAnsi="宋体" w:cs="宋体"/>
          <w:bCs/>
          <w:color w:val="000000" w:themeColor="text1"/>
          <w:kern w:val="0"/>
          <w:szCs w:val="21"/>
          <w:highlight w:val="none"/>
          <w14:textFill>
            <w14:solidFill>
              <w14:schemeClr w14:val="tx1"/>
            </w14:solidFill>
          </w14:textFill>
        </w:rPr>
        <w:t>（https://www.zcygov.cn）</w:t>
      </w:r>
    </w:p>
    <w:p w14:paraId="00B5F48B">
      <w:pPr>
        <w:spacing w:line="360" w:lineRule="auto"/>
        <w:ind w:firstLine="354" w:firstLineChars="147"/>
        <w:rPr>
          <w:rFonts w:ascii="黑体" w:hAnsi="黑体" w:eastAsia="黑体"/>
          <w:b/>
          <w:color w:val="000000" w:themeColor="text1"/>
          <w:sz w:val="24"/>
          <w:highlight w:val="none"/>
          <w14:textFill>
            <w14:solidFill>
              <w14:schemeClr w14:val="tx1"/>
            </w14:solidFill>
          </w14:textFill>
        </w:rPr>
      </w:pPr>
      <w:bookmarkStart w:id="31" w:name="_Toc71365909"/>
      <w:r>
        <w:rPr>
          <w:rFonts w:hint="eastAsia" w:ascii="黑体" w:hAnsi="黑体" w:eastAsia="黑体"/>
          <w:b/>
          <w:color w:val="000000" w:themeColor="text1"/>
          <w:sz w:val="24"/>
          <w:highlight w:val="none"/>
          <w14:textFill>
            <w14:solidFill>
              <w14:schemeClr w14:val="tx1"/>
            </w14:solidFill>
          </w14:textFill>
        </w:rPr>
        <w:t>五、开启</w:t>
      </w:r>
      <w:bookmarkEnd w:id="26"/>
      <w:bookmarkEnd w:id="27"/>
      <w:bookmarkEnd w:id="28"/>
      <w:bookmarkEnd w:id="29"/>
      <w:bookmarkEnd w:id="30"/>
      <w:bookmarkEnd w:id="31"/>
    </w:p>
    <w:p w14:paraId="31A7BFC5">
      <w:pPr>
        <w:spacing w:line="360" w:lineRule="auto"/>
        <w:ind w:firstLine="420" w:firstLineChars="200"/>
        <w:rPr>
          <w:rFonts w:ascii="宋体" w:hAnsi="宋体"/>
          <w:bC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时间：</w:t>
      </w:r>
      <w:r>
        <w:rPr>
          <w:rFonts w:hint="eastAsia" w:ascii="宋体" w:hAnsi="宋体"/>
          <w:bCs/>
          <w:color w:val="000000" w:themeColor="text1"/>
          <w:szCs w:val="21"/>
          <w:highlight w:val="none"/>
          <w:u w:val="single"/>
          <w14:textFill>
            <w14:solidFill>
              <w14:schemeClr w14:val="tx1"/>
            </w14:solidFill>
          </w14:textFill>
        </w:rPr>
        <w:t>2025 年 9月30日上午10时00分</w:t>
      </w:r>
      <w:r>
        <w:rPr>
          <w:rFonts w:hint="eastAsia" w:ascii="宋体" w:hAnsi="宋体"/>
          <w:bCs/>
          <w:color w:val="000000" w:themeColor="text1"/>
          <w:szCs w:val="21"/>
          <w:highlight w:val="none"/>
          <w14:textFill>
            <w14:solidFill>
              <w14:schemeClr w14:val="tx1"/>
            </w14:solidFill>
          </w14:textFill>
        </w:rPr>
        <w:t>（北京时间）</w:t>
      </w:r>
    </w:p>
    <w:p w14:paraId="400D0DAA">
      <w:pPr>
        <w:spacing w:line="360" w:lineRule="auto"/>
        <w:ind w:firstLine="420" w:firstLineChars="200"/>
        <w:rPr>
          <w:rFonts w:ascii="宋体" w:hAnsi="宋体"/>
          <w:bC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地点：广西政府采购云平台</w:t>
      </w:r>
      <w:r>
        <w:rPr>
          <w:rFonts w:hint="eastAsia" w:ascii="宋体" w:hAnsi="宋体" w:cs="宋体"/>
          <w:bCs/>
          <w:color w:val="000000" w:themeColor="text1"/>
          <w:kern w:val="0"/>
          <w:szCs w:val="21"/>
          <w:highlight w:val="none"/>
          <w14:textFill>
            <w14:solidFill>
              <w14:schemeClr w14:val="tx1"/>
            </w14:solidFill>
          </w14:textFill>
        </w:rPr>
        <w:t>（https://www.zcygov.cn）</w:t>
      </w:r>
    </w:p>
    <w:p w14:paraId="5EDDC7FB">
      <w:pPr>
        <w:spacing w:line="360" w:lineRule="auto"/>
        <w:ind w:firstLine="354" w:firstLineChars="147"/>
        <w:rPr>
          <w:rFonts w:ascii="黑体" w:hAnsi="黑体" w:eastAsia="黑体"/>
          <w:b/>
          <w:color w:val="000000" w:themeColor="text1"/>
          <w:sz w:val="24"/>
          <w:highlight w:val="none"/>
          <w14:textFill>
            <w14:solidFill>
              <w14:schemeClr w14:val="tx1"/>
            </w14:solidFill>
          </w14:textFill>
        </w:rPr>
      </w:pPr>
      <w:bookmarkStart w:id="32" w:name="_Toc71365910"/>
      <w:bookmarkStart w:id="33" w:name="_Toc44229883"/>
      <w:bookmarkStart w:id="34" w:name="_Toc28359094"/>
      <w:bookmarkStart w:id="35" w:name="_Toc35393803"/>
      <w:bookmarkStart w:id="36" w:name="_Toc28359017"/>
      <w:bookmarkStart w:id="37" w:name="_Toc35393634"/>
      <w:r>
        <w:rPr>
          <w:rFonts w:hint="eastAsia" w:ascii="黑体" w:hAnsi="黑体" w:eastAsia="黑体"/>
          <w:b/>
          <w:color w:val="000000" w:themeColor="text1"/>
          <w:sz w:val="24"/>
          <w:highlight w:val="none"/>
          <w14:textFill>
            <w14:solidFill>
              <w14:schemeClr w14:val="tx1"/>
            </w14:solidFill>
          </w14:textFill>
        </w:rPr>
        <w:t>六、公告期限</w:t>
      </w:r>
      <w:bookmarkEnd w:id="32"/>
      <w:bookmarkEnd w:id="33"/>
      <w:bookmarkEnd w:id="34"/>
      <w:bookmarkEnd w:id="35"/>
      <w:bookmarkEnd w:id="36"/>
      <w:bookmarkEnd w:id="37"/>
    </w:p>
    <w:p w14:paraId="500A3980">
      <w:pPr>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自本公告发布之日起5个工作日。</w:t>
      </w:r>
    </w:p>
    <w:p w14:paraId="039C84C0">
      <w:pPr>
        <w:spacing w:line="360" w:lineRule="auto"/>
        <w:ind w:firstLine="354" w:firstLineChars="147"/>
        <w:rPr>
          <w:rFonts w:ascii="黑体" w:hAnsi="黑体" w:eastAsia="黑体"/>
          <w:b/>
          <w:color w:val="000000" w:themeColor="text1"/>
          <w:sz w:val="24"/>
          <w:highlight w:val="none"/>
          <w14:textFill>
            <w14:solidFill>
              <w14:schemeClr w14:val="tx1"/>
            </w14:solidFill>
          </w14:textFill>
        </w:rPr>
      </w:pPr>
      <w:bookmarkStart w:id="38" w:name="_Toc35393804"/>
      <w:bookmarkStart w:id="39" w:name="_Toc44229884"/>
      <w:bookmarkStart w:id="40" w:name="_Toc35393635"/>
      <w:bookmarkStart w:id="41" w:name="_Toc71365911"/>
      <w:r>
        <w:rPr>
          <w:rFonts w:hint="eastAsia" w:ascii="黑体" w:hAnsi="黑体" w:eastAsia="黑体"/>
          <w:b/>
          <w:color w:val="000000" w:themeColor="text1"/>
          <w:sz w:val="24"/>
          <w:highlight w:val="none"/>
          <w14:textFill>
            <w14:solidFill>
              <w14:schemeClr w14:val="tx1"/>
            </w14:solidFill>
          </w14:textFill>
        </w:rPr>
        <w:t>七、其他补充事宜</w:t>
      </w:r>
      <w:bookmarkEnd w:id="38"/>
      <w:bookmarkEnd w:id="39"/>
      <w:bookmarkEnd w:id="40"/>
      <w:bookmarkEnd w:id="41"/>
    </w:p>
    <w:p w14:paraId="688CBF5D">
      <w:pPr>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r>
        <w:rPr>
          <w:rFonts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网上查询地址</w:t>
      </w:r>
    </w:p>
    <w:p w14:paraId="0E6D602B">
      <w:pPr>
        <w:spacing w:line="360" w:lineRule="auto"/>
        <w:ind w:firstLine="424" w:firstLineChars="202"/>
        <w:rPr>
          <w:rFonts w:ascii="宋体" w:hAnsi="宋体" w:cs="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https：//</w:t>
      </w:r>
      <w:r>
        <w:rPr>
          <w:rFonts w:hint="eastAsia" w:ascii="宋体" w:hAnsi="宋体" w:cs="宋体"/>
          <w:color w:val="000000" w:themeColor="text1"/>
          <w:kern w:val="0"/>
          <w:szCs w:val="21"/>
          <w:highlight w:val="none"/>
          <w14:textFill>
            <w14:solidFill>
              <w14:schemeClr w14:val="tx1"/>
            </w14:solidFill>
          </w14:textFill>
        </w:rPr>
        <w:t>www.ccgp.gov.cn（中国政府采购网）、</w:t>
      </w:r>
      <w:r>
        <w:rPr>
          <w:rFonts w:hint="eastAsia" w:ascii="宋体" w:hAnsi="宋体"/>
          <w:color w:val="000000" w:themeColor="text1"/>
          <w:szCs w:val="21"/>
          <w:highlight w:val="none"/>
          <w14:textFill>
            <w14:solidFill>
              <w14:schemeClr w14:val="tx1"/>
            </w14:solidFill>
          </w14:textFill>
        </w:rPr>
        <w:t>https：//</w:t>
      </w:r>
      <w:r>
        <w:rPr>
          <w:rFonts w:hint="eastAsia" w:ascii="宋体" w:hAnsi="宋体" w:cs="宋体"/>
          <w:color w:val="000000" w:themeColor="text1"/>
          <w:kern w:val="0"/>
          <w:szCs w:val="21"/>
          <w:highlight w:val="none"/>
          <w14:textFill>
            <w14:solidFill>
              <w14:schemeClr w14:val="tx1"/>
            </w14:solidFill>
          </w14:textFill>
        </w:rPr>
        <w:t>zfcg.gxzf.gov.cn（广西壮族自治区政府采购网</w:t>
      </w:r>
      <w:bookmarkStart w:id="42" w:name="_Hlk37429674"/>
      <w:bookmarkStart w:id="43" w:name="_Toc44229885"/>
      <w:bookmarkStart w:id="44" w:name="_Toc35393636"/>
      <w:bookmarkStart w:id="45" w:name="_Toc28359018"/>
      <w:bookmarkStart w:id="46" w:name="_Toc28359095"/>
      <w:bookmarkStart w:id="47" w:name="_Toc35393805"/>
      <w:r>
        <w:rPr>
          <w:rFonts w:hint="eastAsia" w:ascii="宋体" w:hAnsi="宋体" w:cs="宋体"/>
          <w:color w:val="000000" w:themeColor="text1"/>
          <w:kern w:val="0"/>
          <w:szCs w:val="21"/>
          <w:highlight w:val="none"/>
          <w14:textFill>
            <w14:solidFill>
              <w14:schemeClr w14:val="tx1"/>
            </w14:solidFill>
          </w14:textFill>
        </w:rPr>
        <w:t>）</w:t>
      </w:r>
    </w:p>
    <w:p w14:paraId="39DC2AF5">
      <w:pPr>
        <w:spacing w:line="360" w:lineRule="auto"/>
        <w:ind w:firstLine="424" w:firstLineChars="202"/>
        <w:rPr>
          <w:rFonts w:ascii="宋体" w:hAnsi="宋体" w:cs="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本项目执行采购政策</w:t>
      </w:r>
    </w:p>
    <w:bookmarkEnd w:id="42"/>
    <w:p w14:paraId="3A218AD8">
      <w:pPr>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（1）政府采购促进中小企业发展。</w:t>
      </w:r>
    </w:p>
    <w:p w14:paraId="081A97A3">
      <w:pPr>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（2）政府采购支持采用本国产品的政策。</w:t>
      </w:r>
    </w:p>
    <w:p w14:paraId="26224BD7">
      <w:pPr>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（3）强制采购节能产品</w:t>
      </w:r>
      <w:r>
        <w:rPr>
          <w:rFonts w:hint="eastAsia" w:ascii="宋体" w:hAnsi="宋体" w:cs="宋体"/>
          <w:color w:val="000000" w:themeColor="text1"/>
          <w:kern w:val="0"/>
          <w:szCs w:val="21"/>
          <w:highlight w:val="none"/>
          <w:lang w:eastAsia="zh-CN"/>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优先采购节能产品、环境标志产品。</w:t>
      </w:r>
    </w:p>
    <w:p w14:paraId="28A87733">
      <w:pPr>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（4）政府采购促进残疾人就业政策。</w:t>
      </w:r>
    </w:p>
    <w:p w14:paraId="5E7F3D37">
      <w:pPr>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（5）政府采购支持监狱企业发展。</w:t>
      </w:r>
    </w:p>
    <w:p w14:paraId="79368156">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3.供应商</w:t>
      </w:r>
      <w:r>
        <w:rPr>
          <w:rFonts w:hint="eastAsia" w:ascii="宋体" w:hAnsi="宋体"/>
          <w:color w:val="000000" w:themeColor="text1"/>
          <w:szCs w:val="21"/>
          <w:highlight w:val="none"/>
          <w14:textFill>
            <w14:solidFill>
              <w14:schemeClr w14:val="tx1"/>
            </w14:solidFill>
          </w14:textFill>
        </w:rPr>
        <w:t>竞标注意事项</w:t>
      </w:r>
    </w:p>
    <w:p w14:paraId="0C1E1C99">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（1）本项目为全流程电子化采购项目，通过广西政府采购云平台（https：//www.zcygov.cn）实行在线电子竞标，供应商应先安装“</w:t>
      </w:r>
      <w:r>
        <w:rPr>
          <w:rFonts w:hint="eastAsia" w:ascii="宋体" w:hAnsi="宋体"/>
          <w:color w:val="000000" w:themeColor="text1"/>
          <w:szCs w:val="21"/>
          <w:highlight w:val="none"/>
          <w:lang w:eastAsia="zh-CN"/>
          <w14:textFill>
            <w14:solidFill>
              <w14:schemeClr w14:val="tx1"/>
            </w14:solidFill>
          </w14:textFill>
        </w:rPr>
        <w:t>广西政府采购云电子交易客户端</w:t>
      </w:r>
      <w:r>
        <w:rPr>
          <w:rFonts w:hint="eastAsia" w:ascii="宋体" w:hAnsi="宋体"/>
          <w:color w:val="000000" w:themeColor="text1"/>
          <w:szCs w:val="21"/>
          <w:highlight w:val="none"/>
          <w14:textFill>
            <w14:solidFill>
              <w14:schemeClr w14:val="tx1"/>
            </w14:solidFill>
          </w14:textFill>
        </w:rPr>
        <w:t>”（请自行前往广西政府采购云平台进行下载），并按照本项目竞争性磋商文件和广西政府采购云平台的要求编制、加密后在提交响应文件截止时间前通过网络上传至 广西政府采购云平台（加密的电子响应文件是指</w:t>
      </w:r>
      <w:r>
        <w:rPr>
          <w:rFonts w:hint="eastAsia"/>
          <w:color w:val="000000" w:themeColor="text1"/>
          <w:highlight w:val="none"/>
          <w14:textFill>
            <w14:solidFill>
              <w14:schemeClr w14:val="tx1"/>
            </w14:solidFill>
          </w14:textFill>
        </w:rPr>
        <w:t>后缀名为“jm</w:t>
      </w:r>
      <w:r>
        <w:rPr>
          <w:color w:val="000000" w:themeColor="text1"/>
          <w:highlight w:val="none"/>
          <w14:textFill>
            <w14:solidFill>
              <w14:schemeClr w14:val="tx1"/>
            </w14:solidFill>
          </w14:textFill>
        </w:rPr>
        <w:t>bs</w:t>
      </w:r>
      <w:r>
        <w:rPr>
          <w:rFonts w:hint="eastAsia"/>
          <w:color w:val="000000" w:themeColor="text1"/>
          <w:highlight w:val="none"/>
          <w14:textFill>
            <w14:solidFill>
              <w14:schemeClr w14:val="tx1"/>
            </w14:solidFill>
          </w14:textFill>
        </w:rPr>
        <w:t>”的文件</w:t>
      </w:r>
      <w:r>
        <w:rPr>
          <w:rFonts w:hint="eastAsia" w:ascii="宋体" w:hAnsi="宋体"/>
          <w:color w:val="000000" w:themeColor="text1"/>
          <w:szCs w:val="21"/>
          <w:highlight w:val="none"/>
          <w14:textFill>
            <w14:solidFill>
              <w14:schemeClr w14:val="tx1"/>
            </w14:solidFill>
          </w14:textFill>
        </w:rPr>
        <w:t>），供应商在广西政府采购云平台提交电子响应文件时，请填写参加远程采购活动经办人联系方式。供应商登录广西政府采购云平台，依次进入“服务中心-项目采购-操作流程-电子招竞标-</w:t>
      </w:r>
      <w:r>
        <w:rPr>
          <w:rFonts w:hint="eastAsia"/>
          <w:color w:val="000000" w:themeColor="text1"/>
          <w:highlight w:val="none"/>
          <w14:textFill>
            <w14:solidFill>
              <w14:schemeClr w14:val="tx1"/>
            </w14:solidFill>
          </w14:textFill>
        </w:rPr>
        <w:t>政府采购项目电子交易管理操作指南</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”查看电子竞标具体操作流程。</w:t>
      </w:r>
    </w:p>
    <w:p w14:paraId="37A4D8F5">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w:t>
      </w:r>
      <w:r>
        <w:rPr>
          <w:rFonts w:hint="eastAsia" w:ascii="宋体" w:hAnsi="宋体" w:cs="宋体"/>
          <w:color w:val="000000" w:themeColor="text1"/>
          <w:kern w:val="0"/>
          <w:szCs w:val="21"/>
          <w:highlight w:val="none"/>
          <w14:textFill>
            <w14:solidFill>
              <w14:schemeClr w14:val="tx1"/>
            </w14:solidFill>
          </w14:textFill>
        </w:rPr>
        <w:t>广西政府采购云平台，</w:t>
      </w:r>
      <w:r>
        <w:rPr>
          <w:rFonts w:hint="eastAsia" w:ascii="宋体" w:hAnsi="宋体"/>
          <w:color w:val="000000" w:themeColor="text1"/>
          <w:szCs w:val="21"/>
          <w:highlight w:val="none"/>
          <w14:textFill>
            <w14:solidFill>
              <w14:schemeClr w14:val="tx1"/>
            </w14:solidFill>
          </w14:textFill>
        </w:rPr>
        <w:t>依次进入“服务中心-入驻与配置”中查看CA数字证书办理操作流程。如在操作过程中遇到问题或者需要技术支持，请致电</w:t>
      </w:r>
      <w:r>
        <w:rPr>
          <w:rFonts w:hint="eastAsia" w:ascii="宋体" w:hAnsi="宋体"/>
          <w:color w:val="000000" w:themeColor="text1"/>
          <w:szCs w:val="21"/>
          <w:highlight w:val="none"/>
          <w:lang w:eastAsia="zh-CN"/>
          <w14:textFill>
            <w14:solidFill>
              <w14:schemeClr w14:val="tx1"/>
            </w14:solidFill>
          </w14:textFill>
        </w:rPr>
        <w:t>广西政府采购云</w:t>
      </w:r>
      <w:r>
        <w:rPr>
          <w:rFonts w:hint="eastAsia" w:ascii="宋体" w:hAnsi="宋体"/>
          <w:color w:val="000000" w:themeColor="text1"/>
          <w:szCs w:val="21"/>
          <w:highlight w:val="none"/>
          <w14:textFill>
            <w14:solidFill>
              <w14:schemeClr w14:val="tx1"/>
            </w14:solidFill>
          </w14:textFill>
        </w:rPr>
        <w:t>客服热线：</w:t>
      </w:r>
      <w:r>
        <w:rPr>
          <w:rFonts w:hint="eastAsia" w:ascii="宋体" w:hAnsi="宋体" w:cs="宋体"/>
          <w:bCs/>
          <w:color w:val="000000" w:themeColor="text1"/>
          <w:kern w:val="0"/>
          <w:szCs w:val="21"/>
          <w:highlight w:val="none"/>
          <w14:textFill>
            <w14:solidFill>
              <w14:schemeClr w14:val="tx1"/>
            </w14:solidFill>
          </w14:textFill>
        </w:rPr>
        <w:t>95763或者0771-3381253</w:t>
      </w:r>
      <w:r>
        <w:rPr>
          <w:rFonts w:hint="eastAsia" w:ascii="宋体" w:hAnsi="宋体"/>
          <w:color w:val="000000" w:themeColor="text1"/>
          <w:szCs w:val="21"/>
          <w:highlight w:val="none"/>
          <w14:textFill>
            <w14:solidFill>
              <w14:schemeClr w14:val="tx1"/>
            </w14:solidFill>
          </w14:textFill>
        </w:rPr>
        <w:t>）。</w:t>
      </w:r>
    </w:p>
    <w:p w14:paraId="02F7E1BF">
      <w:pPr>
        <w:widowControl/>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（3）CA证书在线解密：首次响应文件开启时，需携带制作响应文件时用来加密的有效数字证书（CA认证）登录广西政府采购云</w:t>
      </w:r>
      <w:r>
        <w:rPr>
          <w:rFonts w:hint="eastAsia" w:ascii="宋体" w:hAnsi="宋体" w:cs="宋体"/>
          <w:color w:val="000000" w:themeColor="text1"/>
          <w:kern w:val="0"/>
          <w:szCs w:val="21"/>
          <w:highlight w:val="none"/>
          <w14:textFill>
            <w14:solidFill>
              <w14:schemeClr w14:val="tx1"/>
            </w14:solidFill>
          </w14:textFill>
        </w:rPr>
        <w:t>平台电子开标大厅现场按规定时间对加密的响应文件进行解密，否则后果自负。</w:t>
      </w:r>
    </w:p>
    <w:p w14:paraId="29E11C0B">
      <w:pPr>
        <w:widowControl/>
        <w:spacing w:line="360" w:lineRule="auto"/>
        <w:ind w:firstLine="420" w:firstLineChars="200"/>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注：1）为确保网上操作合法、有效和安全，请供应商确保在电子竞标过程中能够对相关数据电文进行加密和使用电子签章，妥善保管CA数字证书并使用有效的CA数字证书参与整个采购活动。2）</w:t>
      </w:r>
      <w:r>
        <w:rPr>
          <w:rFonts w:hint="eastAsia" w:ascii="宋体" w:hAnsi="宋体"/>
          <w:bCs/>
          <w:color w:val="000000" w:themeColor="text1"/>
          <w:szCs w:val="21"/>
          <w:highlight w:val="none"/>
          <w14:textFill>
            <w14:solidFill>
              <w14:schemeClr w14:val="tx1"/>
            </w14:solidFill>
          </w14:textFill>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4B90A48B">
      <w:pPr>
        <w:numPr>
          <w:ilvl w:val="0"/>
          <w:numId w:val="1"/>
        </w:numPr>
        <w:spacing w:line="360" w:lineRule="auto"/>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供应商需要在具备有摄像头及语音功能且互联网网络状况良好的电脑登录广西政府采购云平台远程开标大厅参与本次磋商，否则后果自负。</w:t>
      </w:r>
    </w:p>
    <w:p w14:paraId="2C21890D">
      <w:pPr>
        <w:widowControl/>
        <w:spacing w:line="360" w:lineRule="auto"/>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Cs w:val="21"/>
          <w:highlight w:val="none"/>
          <w:lang w:val="en-US" w:eastAsia="zh-CN"/>
          <w14:textFill>
            <w14:solidFill>
              <w14:schemeClr w14:val="tx1"/>
            </w14:solidFill>
          </w14:textFill>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r>
        <w:rPr>
          <w:rFonts w:hint="eastAsia" w:ascii="宋体" w:hAnsi="宋体" w:cs="宋体"/>
          <w:color w:val="000000" w:themeColor="text1"/>
          <w:kern w:val="0"/>
          <w:szCs w:val="21"/>
          <w:highlight w:val="none"/>
          <w:lang w:val="en-US" w:eastAsia="zh-CN"/>
          <w14:textFill>
            <w14:solidFill>
              <w14:schemeClr w14:val="tx1"/>
            </w14:solidFill>
          </w14:textFill>
        </w:rPr>
        <w:t>。</w:t>
      </w:r>
    </w:p>
    <w:p w14:paraId="471A543E">
      <w:pPr>
        <w:widowControl/>
        <w:spacing w:line="360" w:lineRule="auto"/>
        <w:ind w:firstLine="420" w:firstLineChars="200"/>
        <w:jc w:val="left"/>
        <w:rPr>
          <w:rFonts w:ascii="黑体" w:hAnsi="黑体" w:eastAsia="黑体"/>
          <w:b/>
          <w:color w:val="000000" w:themeColor="text1"/>
          <w:sz w:val="24"/>
          <w:highlight w:val="none"/>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Cs w:val="21"/>
          <w:highlight w:val="none"/>
          <w:lang w:val="en-US" w:eastAsia="zh-CN"/>
          <w14:textFill>
            <w14:solidFill>
              <w14:schemeClr w14:val="tx1"/>
            </w14:solidFill>
          </w14:textFill>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r>
        <w:rPr>
          <w:rFonts w:hint="eastAsia" w:ascii="黑体" w:hAnsi="黑体" w:eastAsia="黑体"/>
          <w:b/>
          <w:color w:val="000000" w:themeColor="text1"/>
          <w:sz w:val="24"/>
          <w:highlight w:val="none"/>
          <w14:textFill>
            <w14:solidFill>
              <w14:schemeClr w14:val="tx1"/>
            </w14:solidFill>
          </w14:textFill>
        </w:rPr>
        <w:t>八、凡对本次采购提出询问，请按</w:t>
      </w:r>
      <w:r>
        <w:rPr>
          <w:rFonts w:ascii="黑体" w:hAnsi="黑体" w:eastAsia="黑体"/>
          <w:b/>
          <w:color w:val="000000" w:themeColor="text1"/>
          <w:sz w:val="24"/>
          <w:highlight w:val="none"/>
          <w14:textFill>
            <w14:solidFill>
              <w14:schemeClr w14:val="tx1"/>
            </w14:solidFill>
          </w14:textFill>
        </w:rPr>
        <w:t>以下方式</w:t>
      </w:r>
      <w:r>
        <w:rPr>
          <w:rFonts w:hint="eastAsia" w:ascii="黑体" w:hAnsi="黑体" w:eastAsia="黑体"/>
          <w:b/>
          <w:color w:val="000000" w:themeColor="text1"/>
          <w:sz w:val="24"/>
          <w:highlight w:val="none"/>
          <w14:textFill>
            <w14:solidFill>
              <w14:schemeClr w14:val="tx1"/>
            </w14:solidFill>
          </w14:textFill>
        </w:rPr>
        <w:t>联系。</w:t>
      </w:r>
      <w:bookmarkEnd w:id="43"/>
      <w:bookmarkEnd w:id="44"/>
      <w:bookmarkEnd w:id="45"/>
      <w:bookmarkEnd w:id="46"/>
      <w:bookmarkEnd w:id="47"/>
    </w:p>
    <w:bookmarkEnd w:id="1"/>
    <w:p w14:paraId="3DC7AE9C">
      <w:pPr>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1.采购人信息</w:t>
      </w:r>
    </w:p>
    <w:p w14:paraId="5F90BA6A">
      <w:pPr>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名称：钦州市第十中学　</w:t>
      </w:r>
    </w:p>
    <w:p w14:paraId="337C7117">
      <w:pPr>
        <w:spacing w:line="360" w:lineRule="auto"/>
        <w:ind w:firstLine="420" w:firstLineChars="200"/>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地址：钦州市钦北区大垌镇稔子坪南北二级公路西边</w:t>
      </w:r>
      <w:r>
        <w:rPr>
          <w:rFonts w:hint="eastAsia"/>
          <w:color w:val="000000" w:themeColor="text1"/>
          <w:highlight w:val="none"/>
          <w:lang w:val="en-US" w:eastAsia="zh-CN"/>
          <w14:textFill>
            <w14:solidFill>
              <w14:schemeClr w14:val="tx1"/>
            </w14:solidFill>
          </w14:textFill>
        </w:rPr>
        <w:t xml:space="preserve"> </w:t>
      </w:r>
    </w:p>
    <w:p w14:paraId="4EC75B7A">
      <w:pPr>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联系方式：</w:t>
      </w:r>
      <w:r>
        <w:rPr>
          <w:rFonts w:hint="eastAsia" w:ascii="宋体" w:hAnsi="宋体" w:cs="宋体"/>
          <w:color w:val="000000" w:themeColor="text1"/>
          <w:kern w:val="0"/>
          <w:szCs w:val="21"/>
          <w:highlight w:val="none"/>
          <w:lang w:eastAsia="zh-CN"/>
          <w14:textFill>
            <w14:solidFill>
              <w14:schemeClr w14:val="tx1"/>
            </w14:solidFill>
          </w14:textFill>
        </w:rPr>
        <w:t>梁彪，</w:t>
      </w:r>
      <w:r>
        <w:rPr>
          <w:rFonts w:hint="eastAsia" w:ascii="宋体" w:hAnsi="宋体" w:cs="宋体"/>
          <w:color w:val="000000" w:themeColor="text1"/>
          <w:kern w:val="0"/>
          <w:szCs w:val="21"/>
          <w:highlight w:val="none"/>
          <w:lang w:val="en-US" w:eastAsia="zh-CN"/>
          <w14:textFill>
            <w14:solidFill>
              <w14:schemeClr w14:val="tx1"/>
            </w14:solidFill>
          </w14:textFill>
        </w:rPr>
        <w:t>0777-</w:t>
      </w:r>
      <w:bookmarkStart w:id="48" w:name="_Toc28359086"/>
      <w:bookmarkStart w:id="49" w:name="_Toc28359009"/>
      <w:r>
        <w:rPr>
          <w:rFonts w:hint="eastAsia" w:ascii="宋体" w:hAnsi="宋体" w:cs="宋体"/>
          <w:color w:val="000000" w:themeColor="text1"/>
          <w:kern w:val="0"/>
          <w:szCs w:val="21"/>
          <w:highlight w:val="none"/>
          <w:lang w:val="en-US" w:eastAsia="zh-CN"/>
          <w14:textFill>
            <w14:solidFill>
              <w14:schemeClr w14:val="tx1"/>
            </w14:solidFill>
          </w14:textFill>
        </w:rPr>
        <w:t>3755690</w:t>
      </w:r>
    </w:p>
    <w:bookmarkEnd w:id="48"/>
    <w:bookmarkEnd w:id="49"/>
    <w:p w14:paraId="69D1A9D1">
      <w:pPr>
        <w:spacing w:line="360" w:lineRule="auto"/>
        <w:ind w:firstLine="420" w:firstLineChars="2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2.采购代理机构信息</w:t>
      </w:r>
    </w:p>
    <w:p w14:paraId="73845655">
      <w:pPr>
        <w:spacing w:line="360" w:lineRule="auto"/>
        <w:ind w:firstLine="420" w:firstLineChars="2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名称：广西建通工程咨询有限责任公司　</w:t>
      </w:r>
    </w:p>
    <w:p w14:paraId="4CD2BFA8">
      <w:pPr>
        <w:spacing w:line="360" w:lineRule="auto"/>
        <w:ind w:firstLine="420" w:firstLineChars="2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地址：广西钦州市永福东大街中地滨江国际10幢4楼左</w:t>
      </w:r>
    </w:p>
    <w:p w14:paraId="0BFAB791">
      <w:pPr>
        <w:spacing w:line="360" w:lineRule="auto"/>
        <w:ind w:firstLine="420" w:firstLineChars="2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项目联系人姓名：符莹</w:t>
      </w:r>
    </w:p>
    <w:p w14:paraId="12E06240">
      <w:pPr>
        <w:spacing w:line="360" w:lineRule="auto"/>
        <w:ind w:firstLine="420" w:firstLineChars="2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联系电话：0777-3258836/3258858（财务）</w:t>
      </w:r>
    </w:p>
    <w:p w14:paraId="4F7AD4DF">
      <w:pPr>
        <w:spacing w:line="360" w:lineRule="auto"/>
        <w:ind w:firstLine="420" w:firstLineChars="2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3.项目联系方式</w:t>
      </w:r>
    </w:p>
    <w:p w14:paraId="589A25D2">
      <w:pPr>
        <w:spacing w:line="360" w:lineRule="auto"/>
        <w:ind w:firstLine="420" w:firstLineChars="2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项目联系人：符莹</w:t>
      </w:r>
    </w:p>
    <w:p w14:paraId="13C843B8">
      <w:pPr>
        <w:spacing w:line="360" w:lineRule="auto"/>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电话：0777-3258836/3258858（财务）</w:t>
      </w:r>
      <w:r>
        <w:rPr>
          <w:rFonts w:hint="eastAsia" w:ascii="宋体" w:hAnsi="宋体" w:cs="宋体"/>
          <w:color w:val="000000" w:themeColor="text1"/>
          <w:kern w:val="0"/>
          <w:szCs w:val="21"/>
          <w:highlight w:val="none"/>
          <w14:textFill>
            <w14:solidFill>
              <w14:schemeClr w14:val="tx1"/>
            </w14:solidFill>
          </w14:textFill>
        </w:rPr>
        <w:t>　</w:t>
      </w:r>
    </w:p>
    <w:p w14:paraId="14C82DC2">
      <w:pPr>
        <w:wordWrap w:val="0"/>
        <w:spacing w:line="360" w:lineRule="auto"/>
        <w:ind w:firstLine="420" w:firstLineChars="200"/>
        <w:jc w:val="right"/>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2025年9月19日</w:t>
      </w:r>
    </w:p>
    <w:p w14:paraId="22EFDCA7">
      <w:pPr>
        <w:spacing w:line="320" w:lineRule="exact"/>
        <w:ind w:firstLine="420" w:firstLineChars="200"/>
        <w:rPr>
          <w:rFonts w:ascii="宋体" w:hAnsi="宋体"/>
          <w:color w:val="000000" w:themeColor="text1"/>
          <w:kern w:val="0"/>
          <w:szCs w:val="21"/>
          <w:highlight w:val="none"/>
          <w14:textFill>
            <w14:solidFill>
              <w14:schemeClr w14:val="tx1"/>
            </w14:solidFill>
          </w14:textFill>
        </w:rPr>
      </w:pPr>
    </w:p>
    <w:p w14:paraId="13D5B5C8">
      <w:pPr>
        <w:spacing w:line="320" w:lineRule="exact"/>
        <w:ind w:firstLine="420" w:firstLineChars="200"/>
        <w:rPr>
          <w:rFonts w:ascii="宋体" w:hAnsi="宋体"/>
          <w:color w:val="000000" w:themeColor="text1"/>
          <w:kern w:val="0"/>
          <w:szCs w:val="21"/>
          <w:highlight w:val="none"/>
          <w14:textFill>
            <w14:solidFill>
              <w14:schemeClr w14:val="tx1"/>
            </w14:solidFill>
          </w14:textFill>
        </w:rPr>
      </w:pPr>
    </w:p>
    <w:p w14:paraId="7ADE8DAA">
      <w:pPr>
        <w:spacing w:line="320" w:lineRule="exact"/>
        <w:ind w:firstLine="420" w:firstLineChars="200"/>
        <w:rPr>
          <w:rFonts w:ascii="宋体" w:hAnsi="宋体"/>
          <w:color w:val="000000" w:themeColor="text1"/>
          <w:kern w:val="0"/>
          <w:szCs w:val="21"/>
          <w:highlight w:val="none"/>
          <w14:textFill>
            <w14:solidFill>
              <w14:schemeClr w14:val="tx1"/>
            </w14:solidFill>
          </w14:textFill>
        </w:rPr>
      </w:pPr>
    </w:p>
    <w:p w14:paraId="5CAB090F">
      <w:pPr>
        <w:spacing w:line="320" w:lineRule="exact"/>
        <w:ind w:firstLine="420" w:firstLineChars="200"/>
        <w:rPr>
          <w:rFonts w:ascii="宋体" w:hAnsi="宋体"/>
          <w:color w:val="000000" w:themeColor="text1"/>
          <w:kern w:val="0"/>
          <w:szCs w:val="21"/>
          <w:highlight w:val="none"/>
          <w14:textFill>
            <w14:solidFill>
              <w14:schemeClr w14:val="tx1"/>
            </w14:solidFill>
          </w14:textFill>
        </w:rPr>
      </w:pPr>
    </w:p>
    <w:p w14:paraId="18F4EB94">
      <w:pPr>
        <w:spacing w:line="320" w:lineRule="exact"/>
        <w:ind w:firstLine="420" w:firstLineChars="200"/>
        <w:rPr>
          <w:rFonts w:ascii="宋体" w:hAnsi="宋体"/>
          <w:color w:val="000000" w:themeColor="text1"/>
          <w:kern w:val="0"/>
          <w:szCs w:val="21"/>
          <w:highlight w:val="none"/>
          <w14:textFill>
            <w14:solidFill>
              <w14:schemeClr w14:val="tx1"/>
            </w14:solidFill>
          </w14:textFill>
        </w:rPr>
      </w:pPr>
    </w:p>
    <w:p w14:paraId="0CDF7B37">
      <w:pPr>
        <w:spacing w:line="320" w:lineRule="exact"/>
        <w:ind w:firstLine="420" w:firstLineChars="200"/>
        <w:rPr>
          <w:rFonts w:ascii="宋体" w:hAnsi="宋体"/>
          <w:color w:val="000000" w:themeColor="text1"/>
          <w:kern w:val="0"/>
          <w:szCs w:val="21"/>
          <w:highlight w:val="none"/>
          <w14:textFill>
            <w14:solidFill>
              <w14:schemeClr w14:val="tx1"/>
            </w14:solidFill>
          </w14:textFill>
        </w:rPr>
      </w:pPr>
    </w:p>
    <w:p w14:paraId="7186B705">
      <w:pPr>
        <w:spacing w:line="320" w:lineRule="exact"/>
        <w:ind w:firstLine="420" w:firstLineChars="200"/>
        <w:rPr>
          <w:rFonts w:ascii="宋体" w:hAnsi="宋体"/>
          <w:color w:val="000000" w:themeColor="text1"/>
          <w:kern w:val="0"/>
          <w:szCs w:val="21"/>
          <w:highlight w:val="none"/>
          <w14:textFill>
            <w14:solidFill>
              <w14:schemeClr w14:val="tx1"/>
            </w14:solidFill>
          </w14:textFill>
        </w:rPr>
      </w:pPr>
    </w:p>
    <w:p w14:paraId="75ACC5E4">
      <w:pPr>
        <w:spacing w:line="320" w:lineRule="exact"/>
        <w:ind w:firstLine="420" w:firstLineChars="200"/>
        <w:rPr>
          <w:rFonts w:ascii="宋体" w:hAnsi="宋体"/>
          <w:color w:val="000000" w:themeColor="text1"/>
          <w:kern w:val="0"/>
          <w:szCs w:val="21"/>
          <w:highlight w:val="none"/>
          <w14:textFill>
            <w14:solidFill>
              <w14:schemeClr w14:val="tx1"/>
            </w14:solidFill>
          </w14:textFill>
        </w:rPr>
      </w:pPr>
    </w:p>
    <w:p w14:paraId="2393B54B">
      <w:pPr>
        <w:spacing w:line="320" w:lineRule="exact"/>
        <w:ind w:firstLine="420" w:firstLineChars="200"/>
        <w:rPr>
          <w:rFonts w:ascii="宋体" w:hAnsi="宋体"/>
          <w:color w:val="000000" w:themeColor="text1"/>
          <w:kern w:val="0"/>
          <w:szCs w:val="21"/>
          <w:highlight w:val="none"/>
          <w14:textFill>
            <w14:solidFill>
              <w14:schemeClr w14:val="tx1"/>
            </w14:solidFill>
          </w14:textFill>
        </w:rPr>
      </w:pPr>
    </w:p>
    <w:p w14:paraId="38CB891F">
      <w:pPr>
        <w:spacing w:line="320" w:lineRule="exact"/>
        <w:ind w:firstLine="420" w:firstLineChars="200"/>
        <w:rPr>
          <w:rFonts w:ascii="宋体" w:hAnsi="宋体"/>
          <w:color w:val="000000" w:themeColor="text1"/>
          <w:kern w:val="0"/>
          <w:szCs w:val="21"/>
          <w:highlight w:val="none"/>
          <w14:textFill>
            <w14:solidFill>
              <w14:schemeClr w14:val="tx1"/>
            </w14:solidFill>
          </w14:textFill>
        </w:rPr>
      </w:pPr>
    </w:p>
    <w:p w14:paraId="2C9C6B34">
      <w:pPr>
        <w:spacing w:line="320" w:lineRule="exact"/>
        <w:ind w:firstLine="420" w:firstLineChars="200"/>
        <w:rPr>
          <w:rFonts w:ascii="宋体" w:hAnsi="宋体"/>
          <w:color w:val="000000" w:themeColor="text1"/>
          <w:kern w:val="0"/>
          <w:szCs w:val="21"/>
          <w:highlight w:val="none"/>
          <w14:textFill>
            <w14:solidFill>
              <w14:schemeClr w14:val="tx1"/>
            </w14:solidFill>
          </w14:textFill>
        </w:rPr>
      </w:pPr>
    </w:p>
    <w:p w14:paraId="57E7C8A1">
      <w:pPr>
        <w:spacing w:line="320" w:lineRule="exact"/>
        <w:ind w:firstLine="420" w:firstLineChars="200"/>
        <w:rPr>
          <w:rFonts w:ascii="宋体" w:hAnsi="宋体"/>
          <w:color w:val="000000" w:themeColor="text1"/>
          <w:kern w:val="0"/>
          <w:szCs w:val="21"/>
          <w:highlight w:val="none"/>
          <w14:textFill>
            <w14:solidFill>
              <w14:schemeClr w14:val="tx1"/>
            </w14:solidFill>
          </w14:textFill>
        </w:rPr>
      </w:pPr>
    </w:p>
    <w:p w14:paraId="3012AB44">
      <w:pPr>
        <w:pStyle w:val="2"/>
        <w:spacing w:before="300" w:after="300" w:line="360" w:lineRule="auto"/>
        <w:ind w:firstLine="883" w:firstLineChars="200"/>
        <w:jc w:val="center"/>
        <w:rPr>
          <w:color w:val="000000" w:themeColor="text1"/>
          <w:highlight w:val="none"/>
          <w14:textFill>
            <w14:solidFill>
              <w14:schemeClr w14:val="tx1"/>
            </w14:solidFill>
          </w14:textFill>
        </w:rPr>
      </w:pPr>
      <w:bookmarkStart w:id="50" w:name="_Toc122424245"/>
      <w:r>
        <w:rPr>
          <w:rFonts w:hint="eastAsia"/>
          <w:color w:val="000000" w:themeColor="text1"/>
          <w:highlight w:val="none"/>
          <w14:textFill>
            <w14:solidFill>
              <w14:schemeClr w14:val="tx1"/>
            </w14:solidFill>
          </w14:textFill>
        </w:rPr>
        <w:t>第二章 供应商须知</w:t>
      </w:r>
      <w:bookmarkEnd w:id="50"/>
    </w:p>
    <w:p w14:paraId="4EA6214D">
      <w:pPr>
        <w:spacing w:line="400" w:lineRule="exact"/>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供应商须知前附表</w:t>
      </w:r>
    </w:p>
    <w:p w14:paraId="76F3F706">
      <w:pPr>
        <w:spacing w:line="400" w:lineRule="exact"/>
        <w:jc w:val="center"/>
        <w:rPr>
          <w:rFonts w:ascii="宋体" w:hAnsi="宋体"/>
          <w:b/>
          <w:color w:val="000000" w:themeColor="text1"/>
          <w:sz w:val="32"/>
          <w:szCs w:val="32"/>
          <w:highlight w:val="none"/>
          <w14:textFill>
            <w14:solidFill>
              <w14:schemeClr w14:val="tx1"/>
            </w14:solidFill>
          </w14:textFill>
        </w:rPr>
      </w:pPr>
    </w:p>
    <w:tbl>
      <w:tblPr>
        <w:tblStyle w:val="43"/>
        <w:tblW w:w="89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7DDD4B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Pr>
          <w:p w14:paraId="12742E54">
            <w:pPr>
              <w:keepNext w:val="0"/>
              <w:keepLines w:val="0"/>
              <w:pageBreakBefore w:val="0"/>
              <w:widowControl w:val="0"/>
              <w:kinsoku/>
              <w:overflowPunct/>
              <w:topLinePunct w:val="0"/>
              <w:bidi w:val="0"/>
              <w:adjustRightInd/>
              <w:spacing w:line="40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条款号</w:t>
            </w:r>
          </w:p>
        </w:tc>
        <w:tc>
          <w:tcPr>
            <w:tcW w:w="7912" w:type="dxa"/>
          </w:tcPr>
          <w:p w14:paraId="7BCD6E28">
            <w:pPr>
              <w:keepNext w:val="0"/>
              <w:keepLines w:val="0"/>
              <w:pageBreakBefore w:val="0"/>
              <w:widowControl w:val="0"/>
              <w:kinsoku/>
              <w:overflowPunct/>
              <w:topLinePunct w:val="0"/>
              <w:bidi w:val="0"/>
              <w:adjustRightInd/>
              <w:spacing w:line="40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内    容</w:t>
            </w:r>
          </w:p>
        </w:tc>
      </w:tr>
      <w:tr w14:paraId="1EFC4E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FEBE973">
            <w:pPr>
              <w:keepNext w:val="0"/>
              <w:keepLines w:val="0"/>
              <w:pageBreakBefore w:val="0"/>
              <w:widowControl w:val="0"/>
              <w:kinsoku/>
              <w:overflowPunct/>
              <w:topLinePunct w:val="0"/>
              <w:bidi w:val="0"/>
              <w:adjustRightInd/>
              <w:spacing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3.1</w:t>
            </w:r>
          </w:p>
        </w:tc>
        <w:tc>
          <w:tcPr>
            <w:tcW w:w="7912" w:type="dxa"/>
            <w:vAlign w:val="center"/>
          </w:tcPr>
          <w:p w14:paraId="4E16BF08">
            <w:pPr>
              <w:keepNext w:val="0"/>
              <w:keepLines w:val="0"/>
              <w:pageBreakBefore w:val="0"/>
              <w:widowControl w:val="0"/>
              <w:kinsoku/>
              <w:overflowPunct/>
              <w:topLinePunct w:val="0"/>
              <w:bidi w:val="0"/>
              <w:adjustRightInd/>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供应商的资格条件</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iCs/>
                <w:color w:val="000000" w:themeColor="text1"/>
                <w:szCs w:val="21"/>
                <w:highlight w:val="none"/>
                <w:u w:val="none"/>
                <w14:textFill>
                  <w14:solidFill>
                    <w14:schemeClr w14:val="tx1"/>
                  </w14:solidFill>
                </w14:textFill>
              </w:rPr>
              <w:t>详见竞争性磋商公告</w:t>
            </w:r>
          </w:p>
        </w:tc>
      </w:tr>
      <w:tr w14:paraId="0DBE8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208539E">
            <w:pPr>
              <w:keepNext w:val="0"/>
              <w:keepLines w:val="0"/>
              <w:pageBreakBefore w:val="0"/>
              <w:widowControl w:val="0"/>
              <w:kinsoku/>
              <w:overflowPunct/>
              <w:topLinePunct w:val="0"/>
              <w:bidi w:val="0"/>
              <w:adjustRightInd/>
              <w:spacing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5.1</w:t>
            </w:r>
          </w:p>
        </w:tc>
        <w:tc>
          <w:tcPr>
            <w:tcW w:w="7912" w:type="dxa"/>
            <w:vAlign w:val="center"/>
          </w:tcPr>
          <w:p w14:paraId="11A0D5D3">
            <w:pPr>
              <w:keepNext w:val="0"/>
              <w:keepLines w:val="0"/>
              <w:pageBreakBefore w:val="0"/>
              <w:widowControl w:val="0"/>
              <w:kinsoku/>
              <w:overflowPunct/>
              <w:topLinePunct w:val="0"/>
              <w:bidi w:val="0"/>
              <w:adjustRightInd/>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是否接受联合体竞标</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本项目不接受联合体</w:t>
            </w:r>
          </w:p>
        </w:tc>
      </w:tr>
      <w:tr w14:paraId="3FC7A0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EF8EBBC">
            <w:pPr>
              <w:keepNext w:val="0"/>
              <w:keepLines w:val="0"/>
              <w:pageBreakBefore w:val="0"/>
              <w:widowControl w:val="0"/>
              <w:kinsoku/>
              <w:overflowPunct/>
              <w:topLinePunct w:val="0"/>
              <w:bidi w:val="0"/>
              <w:adjustRightInd/>
              <w:spacing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6.2</w:t>
            </w:r>
          </w:p>
        </w:tc>
        <w:tc>
          <w:tcPr>
            <w:tcW w:w="7912" w:type="dxa"/>
            <w:vAlign w:val="center"/>
          </w:tcPr>
          <w:p w14:paraId="07A332CE">
            <w:pPr>
              <w:pStyle w:val="17"/>
              <w:keepNext w:val="0"/>
              <w:keepLines w:val="0"/>
              <w:pageBreakBefore w:val="0"/>
              <w:widowControl w:val="0"/>
              <w:kinsoku/>
              <w:overflowPunct/>
              <w:topLinePunct w:val="0"/>
              <w:bidi w:val="0"/>
              <w:adjustRightInd/>
              <w:spacing w:line="400" w:lineRule="exact"/>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☑不允许分包</w:t>
            </w:r>
          </w:p>
        </w:tc>
      </w:tr>
      <w:tr w14:paraId="5C54A1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8943F94">
            <w:pPr>
              <w:keepNext w:val="0"/>
              <w:keepLines w:val="0"/>
              <w:pageBreakBefore w:val="0"/>
              <w:widowControl w:val="0"/>
              <w:kinsoku/>
              <w:overflowPunct/>
              <w:topLinePunct w:val="0"/>
              <w:bidi w:val="0"/>
              <w:adjustRightInd/>
              <w:spacing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12.1.</w:t>
            </w:r>
            <w:r>
              <w:rPr>
                <w:rFonts w:ascii="宋体" w:hAnsi="宋体" w:cs="宋体"/>
                <w:color w:val="000000" w:themeColor="text1"/>
                <w:szCs w:val="21"/>
                <w:highlight w:val="none"/>
                <w14:textFill>
                  <w14:solidFill>
                    <w14:schemeClr w14:val="tx1"/>
                  </w14:solidFill>
                </w14:textFill>
              </w:rPr>
              <w:t>1</w:t>
            </w:r>
          </w:p>
        </w:tc>
        <w:tc>
          <w:tcPr>
            <w:tcW w:w="7912" w:type="dxa"/>
            <w:vAlign w:val="center"/>
          </w:tcPr>
          <w:p w14:paraId="22CCA99E">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资格证明文件</w:t>
            </w:r>
          </w:p>
          <w:p w14:paraId="3B2D44FB">
            <w:pPr>
              <w:pStyle w:val="17"/>
              <w:keepNext w:val="0"/>
              <w:keepLines w:val="0"/>
              <w:pageBreakBefore w:val="0"/>
              <w:widowControl w:val="0"/>
              <w:kinsoku/>
              <w:wordWrap/>
              <w:overflowPunct/>
              <w:topLinePunct w:val="0"/>
              <w:autoSpaceDE/>
              <w:autoSpaceDN/>
              <w:bidi w:val="0"/>
              <w:adjustRightInd/>
              <w:spacing w:line="400" w:lineRule="exact"/>
              <w:textAlignment w:val="auto"/>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1.供应商为法人或者其他组织的提供其营业执照等证明文件复印件（如营业执照或者事业单位法人证书或者执业许可证或者登记证书等）</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必须提供，否则响应文件按无效处理</w:t>
            </w:r>
            <w:r>
              <w:rPr>
                <w:rFonts w:hint="eastAsia" w:ascii="宋体" w:hAnsi="宋体" w:cs="宋体"/>
                <w:color w:val="000000" w:themeColor="text1"/>
                <w:szCs w:val="21"/>
                <w:highlight w:val="none"/>
                <w14:textFill>
                  <w14:solidFill>
                    <w14:schemeClr w14:val="tx1"/>
                  </w14:solidFill>
                </w14:textFill>
              </w:rPr>
              <w:t>）</w:t>
            </w:r>
          </w:p>
          <w:p w14:paraId="620267AA">
            <w:pPr>
              <w:keepNext w:val="0"/>
              <w:keepLines w:val="0"/>
              <w:pageBreakBefore w:val="0"/>
              <w:widowControl w:val="0"/>
              <w:kinsoku/>
              <w:wordWrap/>
              <w:overflowPunct/>
              <w:topLinePunct w:val="0"/>
              <w:autoSpaceDE/>
              <w:autoSpaceDN/>
              <w:bidi w:val="0"/>
              <w:adjustRightInd/>
              <w:spacing w:line="400" w:lineRule="exact"/>
              <w:contextualSpacing/>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2.供应商依法缴纳税收的相关材料（</w:t>
            </w:r>
            <w:r>
              <w:rPr>
                <w:rFonts w:hint="eastAsia" w:ascii="宋体" w:hAnsi="宋体" w:cs="宋体"/>
                <w:color w:val="000000" w:themeColor="text1"/>
                <w:szCs w:val="21"/>
                <w:highlight w:val="none"/>
                <w:u w:val="single"/>
                <w14:textFill>
                  <w14:solidFill>
                    <w14:schemeClr w14:val="tx1"/>
                  </w14:solidFill>
                </w14:textFill>
              </w:rPr>
              <w:t>202</w:t>
            </w:r>
            <w:r>
              <w:rPr>
                <w:rFonts w:hint="eastAsia" w:ascii="宋体" w:hAnsi="宋体" w:cs="宋体"/>
                <w:color w:val="000000" w:themeColor="text1"/>
                <w:szCs w:val="21"/>
                <w:highlight w:val="none"/>
                <w:u w:val="single"/>
                <w:lang w:val="en-US" w:eastAsia="zh-CN"/>
                <w14:textFill>
                  <w14:solidFill>
                    <w14:schemeClr w14:val="tx1"/>
                  </w14:solidFill>
                </w14:textFill>
              </w:rPr>
              <w:t>5</w:t>
            </w:r>
            <w:r>
              <w:rPr>
                <w:rFonts w:hint="eastAsia" w:ascii="宋体" w:hAnsi="宋体" w:cs="宋体"/>
                <w:color w:val="000000" w:themeColor="text1"/>
                <w:szCs w:val="21"/>
                <w:highlight w:val="none"/>
                <w:u w:val="single"/>
                <w14:textFill>
                  <w14:solidFill>
                    <w14:schemeClr w14:val="tx1"/>
                  </w14:solidFill>
                </w14:textFill>
              </w:rPr>
              <w:t>年</w:t>
            </w:r>
            <w:r>
              <w:rPr>
                <w:rFonts w:hint="eastAsia" w:ascii="宋体" w:hAnsi="宋体" w:cs="宋体"/>
                <w:color w:val="000000" w:themeColor="text1"/>
                <w:szCs w:val="21"/>
                <w:highlight w:val="none"/>
                <w:u w:val="single"/>
                <w:lang w:val="en-US" w:eastAsia="zh-CN"/>
                <w14:textFill>
                  <w14:solidFill>
                    <w14:schemeClr w14:val="tx1"/>
                  </w14:solidFill>
                </w14:textFill>
              </w:rPr>
              <w:t>3</w:t>
            </w:r>
            <w:r>
              <w:rPr>
                <w:rFonts w:hint="eastAsia" w:ascii="宋体" w:hAnsi="宋体" w:cs="宋体"/>
                <w:color w:val="000000" w:themeColor="text1"/>
                <w:szCs w:val="21"/>
                <w:highlight w:val="none"/>
                <w:u w:val="single"/>
                <w14:textFill>
                  <w14:solidFill>
                    <w14:schemeClr w14:val="tx1"/>
                  </w14:solidFill>
                </w14:textFill>
              </w:rPr>
              <w:t>月</w:t>
            </w:r>
            <w:r>
              <w:rPr>
                <w:rFonts w:hint="eastAsia" w:ascii="宋体" w:hAnsi="宋体" w:cs="宋体"/>
                <w:color w:val="000000" w:themeColor="text1"/>
                <w:szCs w:val="21"/>
                <w:highlight w:val="none"/>
                <w:u w:val="single"/>
                <w:lang w:eastAsia="zh-CN"/>
                <w14:textFill>
                  <w14:solidFill>
                    <w14:schemeClr w14:val="tx1"/>
                  </w14:solidFill>
                </w14:textFill>
              </w:rPr>
              <w:t>以来任意</w:t>
            </w:r>
            <w:r>
              <w:rPr>
                <w:rFonts w:hint="eastAsia" w:ascii="宋体" w:hAnsi="宋体" w:cs="宋体"/>
                <w:color w:val="000000" w:themeColor="text1"/>
                <w:szCs w:val="21"/>
                <w:highlight w:val="none"/>
                <w:u w:val="single"/>
                <w14:textFill>
                  <w14:solidFill>
                    <w14:schemeClr w14:val="tx1"/>
                  </w14:solidFill>
                </w14:textFill>
              </w:rPr>
              <w:t>连续3个月</w:t>
            </w:r>
            <w:r>
              <w:rPr>
                <w:rFonts w:hint="eastAsia" w:ascii="宋体" w:hAnsi="宋体" w:cs="宋体"/>
                <w:color w:val="000000" w:themeColor="text1"/>
                <w:szCs w:val="21"/>
                <w:highlight w:val="none"/>
                <w14:textFill>
                  <w14:solidFill>
                    <w14:schemeClr w14:val="tx1"/>
                  </w14:solidFill>
                </w14:textFill>
              </w:rPr>
              <w:t>的依法缴纳税收的凭据复印件</w:t>
            </w:r>
            <w:r>
              <w:rPr>
                <w:rFonts w:hint="eastAsia" w:ascii="宋体" w:hAnsi="宋体" w:cs="宋体"/>
                <w:color w:val="000000" w:themeColor="text1"/>
                <w:szCs w:val="2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依法免税的，必须提供相应文件证明其依法免税。</w:t>
            </w:r>
            <w:r>
              <w:rPr>
                <w:rFonts w:hint="eastAsia" w:ascii="宋体" w:hAnsi="宋体" w:cs="宋体"/>
                <w:color w:val="000000" w:themeColor="text1"/>
                <w:szCs w:val="21"/>
                <w:highlight w:val="none"/>
                <w14:textFill>
                  <w14:solidFill>
                    <w14:schemeClr w14:val="tx1"/>
                  </w14:solidFill>
                </w14:textFill>
              </w:rPr>
              <w:t>从</w:t>
            </w:r>
            <w:r>
              <w:rPr>
                <w:color w:val="000000" w:themeColor="text1"/>
                <w:szCs w:val="21"/>
                <w:highlight w:val="none"/>
                <w14:textFill>
                  <w14:solidFill>
                    <w14:schemeClr w14:val="tx1"/>
                  </w14:solidFill>
                </w14:textFill>
              </w:rPr>
              <w:t>成立</w:t>
            </w:r>
            <w:r>
              <w:rPr>
                <w:rFonts w:hint="eastAsia"/>
                <w:color w:val="000000" w:themeColor="text1"/>
                <w:szCs w:val="21"/>
                <w:highlight w:val="none"/>
                <w14:textFill>
                  <w14:solidFill>
                    <w14:schemeClr w14:val="tx1"/>
                  </w14:solidFill>
                </w14:textFill>
              </w:rPr>
              <w:t>之日起</w:t>
            </w:r>
            <w:r>
              <w:rPr>
                <w:rFonts w:hint="eastAsia" w:ascii="宋体" w:hAnsi="宋体" w:cs="宋体"/>
                <w:color w:val="000000" w:themeColor="text1"/>
                <w:szCs w:val="21"/>
                <w:highlight w:val="none"/>
                <w14:textFill>
                  <w14:solidFill>
                    <w14:schemeClr w14:val="tx1"/>
                  </w14:solidFill>
                </w14:textFill>
              </w:rPr>
              <w:t>到响应文件提交截止时间止不足要求月数的，只需提供从</w:t>
            </w:r>
            <w:r>
              <w:rPr>
                <w:color w:val="000000" w:themeColor="text1"/>
                <w:szCs w:val="21"/>
                <w:highlight w:val="none"/>
                <w14:textFill>
                  <w14:solidFill>
                    <w14:schemeClr w14:val="tx1"/>
                  </w14:solidFill>
                </w14:textFill>
              </w:rPr>
              <w:t>成立</w:t>
            </w:r>
            <w:r>
              <w:rPr>
                <w:rFonts w:hint="eastAsia"/>
                <w:color w:val="000000" w:themeColor="text1"/>
                <w:szCs w:val="21"/>
                <w:highlight w:val="none"/>
                <w14:textFill>
                  <w14:solidFill>
                    <w14:schemeClr w14:val="tx1"/>
                  </w14:solidFill>
                </w14:textFill>
              </w:rPr>
              <w:t>之日起</w:t>
            </w:r>
            <w:r>
              <w:rPr>
                <w:rFonts w:hint="eastAsia" w:ascii="宋体" w:hAnsi="宋体" w:cs="宋体"/>
                <w:color w:val="000000" w:themeColor="text1"/>
                <w:szCs w:val="21"/>
                <w:highlight w:val="none"/>
                <w14:textFill>
                  <w14:solidFill>
                    <w14:schemeClr w14:val="tx1"/>
                  </w14:solidFill>
                </w14:textFill>
              </w:rPr>
              <w:t>的依法缴纳税收</w:t>
            </w:r>
            <w:r>
              <w:rPr>
                <w:rFonts w:hint="eastAsia"/>
                <w:color w:val="000000" w:themeColor="text1"/>
                <w:highlight w:val="none"/>
                <w14:textFill>
                  <w14:solidFill>
                    <w14:schemeClr w14:val="tx1"/>
                  </w14:solidFill>
                </w14:textFill>
              </w:rPr>
              <w:t>相应证明文件</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必须提供，否则响应文件按无效处理</w:t>
            </w:r>
            <w:r>
              <w:rPr>
                <w:rFonts w:hint="eastAsia" w:ascii="宋体" w:hAnsi="宋体" w:cs="宋体"/>
                <w:color w:val="000000" w:themeColor="text1"/>
                <w:szCs w:val="21"/>
                <w:highlight w:val="none"/>
                <w14:textFill>
                  <w14:solidFill>
                    <w14:schemeClr w14:val="tx1"/>
                  </w14:solidFill>
                </w14:textFill>
              </w:rPr>
              <w:t>）</w:t>
            </w:r>
          </w:p>
          <w:p w14:paraId="3D112D03">
            <w:pPr>
              <w:keepNext w:val="0"/>
              <w:keepLines w:val="0"/>
              <w:pageBreakBefore w:val="0"/>
              <w:widowControl w:val="0"/>
              <w:kinsoku/>
              <w:wordWrap/>
              <w:overflowPunct/>
              <w:topLinePunct w:val="0"/>
              <w:autoSpaceDE/>
              <w:autoSpaceDN/>
              <w:bidi w:val="0"/>
              <w:adjustRightInd/>
              <w:spacing w:line="400" w:lineRule="exact"/>
              <w:contextualSpacing/>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3.供应商依法缴纳社会保障资金的相关材料[</w:t>
            </w:r>
            <w:r>
              <w:rPr>
                <w:rFonts w:hint="eastAsia" w:ascii="宋体" w:hAnsi="宋体" w:cs="宋体"/>
                <w:color w:val="000000" w:themeColor="text1"/>
                <w:szCs w:val="21"/>
                <w:highlight w:val="none"/>
                <w:u w:val="single"/>
                <w14:textFill>
                  <w14:solidFill>
                    <w14:schemeClr w14:val="tx1"/>
                  </w14:solidFill>
                </w14:textFill>
              </w:rPr>
              <w:t>2025年</w:t>
            </w:r>
            <w:r>
              <w:rPr>
                <w:rFonts w:hint="eastAsia" w:ascii="宋体" w:hAnsi="宋体" w:cs="宋体"/>
                <w:color w:val="000000" w:themeColor="text1"/>
                <w:szCs w:val="21"/>
                <w:highlight w:val="none"/>
                <w:u w:val="single"/>
                <w:lang w:val="en-US" w:eastAsia="zh-CN"/>
                <w14:textFill>
                  <w14:solidFill>
                    <w14:schemeClr w14:val="tx1"/>
                  </w14:solidFill>
                </w14:textFill>
              </w:rPr>
              <w:t>3</w:t>
            </w:r>
            <w:r>
              <w:rPr>
                <w:rFonts w:hint="eastAsia" w:ascii="宋体" w:hAnsi="宋体" w:cs="宋体"/>
                <w:color w:val="000000" w:themeColor="text1"/>
                <w:szCs w:val="21"/>
                <w:highlight w:val="none"/>
                <w:u w:val="single"/>
                <w14:textFill>
                  <w14:solidFill>
                    <w14:schemeClr w14:val="tx1"/>
                  </w14:solidFill>
                </w14:textFill>
              </w:rPr>
              <w:t>月以来任意连续3个月</w:t>
            </w:r>
            <w:r>
              <w:rPr>
                <w:rFonts w:hint="eastAsia" w:ascii="宋体" w:hAnsi="宋体" w:cs="宋体"/>
                <w:color w:val="000000" w:themeColor="text1"/>
                <w:szCs w:val="21"/>
                <w:highlight w:val="none"/>
                <w14:textFill>
                  <w14:solidFill>
                    <w14:schemeClr w14:val="tx1"/>
                  </w14:solidFill>
                </w14:textFill>
              </w:rPr>
              <w:t>的依法缴纳社会保障资金的缴费凭证（专用收据或者社会保险缴纳清单）复印件</w:t>
            </w:r>
            <w:r>
              <w:rPr>
                <w:rFonts w:hint="eastAsia" w:ascii="宋体" w:hAnsi="宋体" w:cs="宋体"/>
                <w:color w:val="000000" w:themeColor="text1"/>
                <w:szCs w:val="2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依法不需要缴纳社会保障资金的，必须提供相应文件证明不需要缴纳社会保障资金。</w:t>
            </w:r>
            <w:r>
              <w:rPr>
                <w:rFonts w:hint="eastAsia" w:ascii="宋体" w:hAnsi="宋体" w:cs="宋体"/>
                <w:color w:val="000000" w:themeColor="text1"/>
                <w:szCs w:val="21"/>
                <w:highlight w:val="none"/>
                <w14:textFill>
                  <w14:solidFill>
                    <w14:schemeClr w14:val="tx1"/>
                  </w14:solidFill>
                </w14:textFill>
              </w:rPr>
              <w:t>从</w:t>
            </w:r>
            <w:r>
              <w:rPr>
                <w:color w:val="000000" w:themeColor="text1"/>
                <w:szCs w:val="21"/>
                <w:highlight w:val="none"/>
                <w14:textFill>
                  <w14:solidFill>
                    <w14:schemeClr w14:val="tx1"/>
                  </w14:solidFill>
                </w14:textFill>
              </w:rPr>
              <w:t>成立</w:t>
            </w:r>
            <w:r>
              <w:rPr>
                <w:rFonts w:hint="eastAsia"/>
                <w:color w:val="000000" w:themeColor="text1"/>
                <w:szCs w:val="21"/>
                <w:highlight w:val="none"/>
                <w14:textFill>
                  <w14:solidFill>
                    <w14:schemeClr w14:val="tx1"/>
                  </w14:solidFill>
                </w14:textFill>
              </w:rPr>
              <w:t>之日起</w:t>
            </w:r>
            <w:r>
              <w:rPr>
                <w:rFonts w:hint="eastAsia" w:ascii="宋体" w:hAnsi="宋体" w:cs="宋体"/>
                <w:color w:val="000000" w:themeColor="text1"/>
                <w:szCs w:val="21"/>
                <w:highlight w:val="none"/>
                <w14:textFill>
                  <w14:solidFill>
                    <w14:schemeClr w14:val="tx1"/>
                  </w14:solidFill>
                </w14:textFill>
              </w:rPr>
              <w:t>到响应文件提交截止时间止不足要求月数的只需提供从</w:t>
            </w:r>
            <w:r>
              <w:rPr>
                <w:color w:val="000000" w:themeColor="text1"/>
                <w:szCs w:val="21"/>
                <w:highlight w:val="none"/>
                <w14:textFill>
                  <w14:solidFill>
                    <w14:schemeClr w14:val="tx1"/>
                  </w14:solidFill>
                </w14:textFill>
              </w:rPr>
              <w:t>成立</w:t>
            </w:r>
            <w:r>
              <w:rPr>
                <w:rFonts w:hint="eastAsia"/>
                <w:color w:val="000000" w:themeColor="text1"/>
                <w:szCs w:val="21"/>
                <w:highlight w:val="none"/>
                <w14:textFill>
                  <w14:solidFill>
                    <w14:schemeClr w14:val="tx1"/>
                  </w14:solidFill>
                </w14:textFill>
              </w:rPr>
              <w:t>之日起</w:t>
            </w:r>
            <w:r>
              <w:rPr>
                <w:rFonts w:hint="eastAsia" w:ascii="宋体" w:hAnsi="宋体" w:cs="宋体"/>
                <w:color w:val="000000" w:themeColor="text1"/>
                <w:szCs w:val="21"/>
                <w:highlight w:val="none"/>
                <w14:textFill>
                  <w14:solidFill>
                    <w14:schemeClr w14:val="tx1"/>
                  </w14:solidFill>
                </w14:textFill>
              </w:rPr>
              <w:t>的依法缴纳社会保障资金的</w:t>
            </w:r>
            <w:r>
              <w:rPr>
                <w:rFonts w:hint="eastAsia"/>
                <w:color w:val="000000" w:themeColor="text1"/>
                <w:highlight w:val="none"/>
                <w14:textFill>
                  <w14:solidFill>
                    <w14:schemeClr w14:val="tx1"/>
                  </w14:solidFill>
                </w14:textFill>
              </w:rPr>
              <w:t>相应证明文件</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必须提供，否则响应文件按无效处理</w:t>
            </w:r>
            <w:r>
              <w:rPr>
                <w:rFonts w:hint="eastAsia" w:ascii="宋体" w:hAnsi="宋体" w:cs="宋体"/>
                <w:color w:val="000000" w:themeColor="text1"/>
                <w:szCs w:val="21"/>
                <w:highlight w:val="none"/>
                <w14:textFill>
                  <w14:solidFill>
                    <w14:schemeClr w14:val="tx1"/>
                  </w14:solidFill>
                </w14:textFill>
              </w:rPr>
              <w:t>）</w:t>
            </w:r>
          </w:p>
          <w:p w14:paraId="10918093">
            <w:pPr>
              <w:keepNext w:val="0"/>
              <w:keepLines w:val="0"/>
              <w:pageBreakBefore w:val="0"/>
              <w:widowControl w:val="0"/>
              <w:kinsoku/>
              <w:wordWrap/>
              <w:overflowPunct/>
              <w:topLinePunct w:val="0"/>
              <w:autoSpaceDE/>
              <w:autoSpaceDN/>
              <w:bidi w:val="0"/>
              <w:adjustRightInd/>
              <w:spacing w:line="400" w:lineRule="exact"/>
              <w:contextualSpacing/>
              <w:jc w:val="left"/>
              <w:textAlignment w:val="auto"/>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4.供应商</w:t>
            </w:r>
            <w:r>
              <w:rPr>
                <w:rFonts w:hint="eastAsia"/>
                <w:color w:val="000000" w:themeColor="text1"/>
                <w:szCs w:val="21"/>
                <w:highlight w:val="none"/>
                <w14:textFill>
                  <w14:solidFill>
                    <w14:schemeClr w14:val="tx1"/>
                  </w14:solidFill>
                </w14:textFill>
              </w:rPr>
              <w:t>财务状况报告（</w:t>
            </w:r>
            <w:r>
              <w:rPr>
                <w:rFonts w:hint="eastAsia"/>
                <w:color w:val="000000" w:themeColor="text1"/>
                <w:szCs w:val="21"/>
                <w:highlight w:val="none"/>
                <w:u w:val="single"/>
                <w:lang w:val="en-US" w:eastAsia="zh-CN"/>
                <w14:textFill>
                  <w14:solidFill>
                    <w14:schemeClr w14:val="tx1"/>
                  </w14:solidFill>
                </w14:textFill>
              </w:rPr>
              <w:t>2023</w:t>
            </w:r>
            <w:r>
              <w:rPr>
                <w:rFonts w:hint="eastAsia"/>
                <w:color w:val="000000" w:themeColor="text1"/>
                <w:szCs w:val="21"/>
                <w:highlight w:val="none"/>
                <w:lang w:val="en-US" w:eastAsia="zh-CN"/>
                <w14:textFill>
                  <w14:solidFill>
                    <w14:schemeClr w14:val="tx1"/>
                  </w14:solidFill>
                </w14:textFill>
              </w:rPr>
              <w:t>或者</w:t>
            </w:r>
            <w:r>
              <w:rPr>
                <w:rFonts w:hint="eastAsia"/>
                <w:color w:val="000000" w:themeColor="text1"/>
                <w:szCs w:val="21"/>
                <w:highlight w:val="none"/>
                <w:u w:val="single"/>
                <w14:textFill>
                  <w14:solidFill>
                    <w14:schemeClr w14:val="tx1"/>
                  </w14:solidFill>
                </w14:textFill>
              </w:rPr>
              <w:t>2024</w:t>
            </w:r>
            <w:r>
              <w:rPr>
                <w:rFonts w:hint="eastAsia"/>
                <w:color w:val="000000" w:themeColor="text1"/>
                <w:szCs w:val="21"/>
                <w:highlight w:val="none"/>
                <w14:textFill>
                  <w14:solidFill>
                    <w14:schemeClr w14:val="tx1"/>
                  </w14:solidFill>
                </w14:textFill>
              </w:rPr>
              <w:t>年度财务报表复印件，或者银行出具的资信证明，或者中国人民银行征信中心出具的信用报告</w:t>
            </w:r>
            <w:r>
              <w:rPr>
                <w:rFonts w:hint="eastAsia"/>
                <w:color w:val="000000" w:themeColor="text1"/>
                <w:szCs w:val="21"/>
                <w:highlight w:val="none"/>
                <w:lang w:eastAsia="zh-CN"/>
                <w14:textFill>
                  <w14:solidFill>
                    <w14:schemeClr w14:val="tx1"/>
                  </w14:solidFill>
                </w14:textFill>
              </w:rPr>
              <w:t>；</w:t>
            </w:r>
            <w:r>
              <w:rPr>
                <w:rFonts w:hint="eastAsia"/>
                <w:color w:val="000000" w:themeColor="text1"/>
                <w:szCs w:val="21"/>
                <w:highlight w:val="none"/>
                <w14:textFill>
                  <w14:solidFill>
                    <w14:schemeClr w14:val="tx1"/>
                  </w14:solidFill>
                </w14:textFill>
              </w:rPr>
              <w:t>供应商属于</w:t>
            </w:r>
            <w:r>
              <w:rPr>
                <w:rFonts w:hint="eastAsia"/>
                <w:color w:val="000000" w:themeColor="text1"/>
                <w:highlight w:val="none"/>
                <w14:textFill>
                  <w14:solidFill>
                    <w14:schemeClr w14:val="tx1"/>
                  </w14:solidFill>
                </w14:textFill>
              </w:rPr>
              <w:t>成立时间</w:t>
            </w:r>
            <w:r>
              <w:rPr>
                <w:rFonts w:hint="eastAsia"/>
                <w:color w:val="000000" w:themeColor="text1"/>
                <w:kern w:val="0"/>
                <w:highlight w:val="none"/>
                <w14:textFill>
                  <w14:solidFill>
                    <w14:schemeClr w14:val="tx1"/>
                  </w14:solidFill>
                </w14:textFill>
              </w:rPr>
              <w:t>在规定年度之后</w:t>
            </w:r>
            <w:r>
              <w:rPr>
                <w:rFonts w:hint="eastAsia"/>
                <w:color w:val="000000" w:themeColor="text1"/>
                <w:highlight w:val="none"/>
                <w14:textFill>
                  <w14:solidFill>
                    <w14:schemeClr w14:val="tx1"/>
                  </w14:solidFill>
                </w14:textFill>
              </w:rPr>
              <w:t>的</w:t>
            </w:r>
            <w:r>
              <w:rPr>
                <w:rFonts w:hint="eastAsia"/>
                <w:color w:val="000000" w:themeColor="text1"/>
                <w:szCs w:val="21"/>
                <w:highlight w:val="none"/>
                <w14:textFill>
                  <w14:solidFill>
                    <w14:schemeClr w14:val="tx1"/>
                  </w14:solidFill>
                </w14:textFill>
              </w:rPr>
              <w:t>法人或其他组织</w:t>
            </w:r>
            <w:r>
              <w:rPr>
                <w:rFonts w:hint="eastAsia"/>
                <w:color w:val="000000" w:themeColor="text1"/>
                <w:highlight w:val="none"/>
                <w14:textFill>
                  <w14:solidFill>
                    <w14:schemeClr w14:val="tx1"/>
                  </w14:solidFill>
                </w14:textFill>
              </w:rPr>
              <w:t>，需提供成立之日起至响应文件提交截止时间前的月报表</w:t>
            </w:r>
            <w:r>
              <w:rPr>
                <w:rFonts w:hint="eastAsia"/>
                <w:color w:val="000000" w:themeColor="text1"/>
                <w:szCs w:val="21"/>
                <w:highlight w:val="none"/>
                <w14:textFill>
                  <w14:solidFill>
                    <w14:schemeClr w14:val="tx1"/>
                  </w14:solidFill>
                </w14:textFill>
              </w:rPr>
              <w:t>或银行出具的资信证明或者中国人民银行征信中心出具的企业信用报告</w:t>
            </w:r>
            <w:r>
              <w:rPr>
                <w:rFonts w:hint="eastAsia"/>
                <w:color w:val="000000" w:themeColor="text1"/>
                <w:szCs w:val="21"/>
                <w:highlight w:val="none"/>
                <w:lang w:eastAsia="zh-CN"/>
                <w14:textFill>
                  <w14:solidFill>
                    <w14:schemeClr w14:val="tx1"/>
                  </w14:solidFill>
                </w14:textFill>
              </w:rPr>
              <w:t>；</w:t>
            </w:r>
            <w:r>
              <w:rPr>
                <w:rFonts w:hint="eastAsia"/>
                <w:color w:val="000000" w:themeColor="text1"/>
                <w:szCs w:val="21"/>
                <w:highlight w:val="none"/>
                <w14:textFill>
                  <w14:solidFill>
                    <w14:schemeClr w14:val="tx1"/>
                  </w14:solidFill>
                </w14:textFill>
              </w:rPr>
              <w:t>资信证明应在有效期内，未注明有效期的，银行出具时间至响应文件提交截止时间不得超过一年）</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必须提供</w:t>
            </w:r>
            <w:r>
              <w:rPr>
                <w:rFonts w:hint="eastAsia" w:ascii="宋体" w:hAnsi="宋体" w:cs="宋体"/>
                <w:b/>
                <w:color w:val="000000" w:themeColor="text1"/>
                <w:szCs w:val="21"/>
                <w:highlight w:val="none"/>
                <w14:textFill>
                  <w14:solidFill>
                    <w14:schemeClr w14:val="tx1"/>
                  </w14:solidFill>
                </w14:textFill>
              </w:rPr>
              <w:t>，否则响应文件按无效处理</w:t>
            </w:r>
            <w:r>
              <w:rPr>
                <w:rFonts w:hint="eastAsia" w:ascii="宋体" w:hAnsi="宋体" w:cs="宋体"/>
                <w:bCs/>
                <w:color w:val="000000" w:themeColor="text1"/>
                <w:szCs w:val="21"/>
                <w:highlight w:val="none"/>
                <w14:textFill>
                  <w14:solidFill>
                    <w14:schemeClr w14:val="tx1"/>
                  </w14:solidFill>
                </w14:textFill>
              </w:rPr>
              <w:t>）</w:t>
            </w:r>
          </w:p>
          <w:p w14:paraId="5DCE9C45">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5.供应商直接控股、管理关系信息表（格式后附）</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必须提供，否则响应文件按无效处理</w:t>
            </w:r>
            <w:r>
              <w:rPr>
                <w:rFonts w:hint="eastAsia" w:ascii="宋体" w:hAnsi="宋体" w:cs="宋体"/>
                <w:color w:val="000000" w:themeColor="text1"/>
                <w:szCs w:val="21"/>
                <w:highlight w:val="none"/>
                <w14:textFill>
                  <w14:solidFill>
                    <w14:schemeClr w14:val="tx1"/>
                  </w14:solidFill>
                </w14:textFill>
              </w:rPr>
              <w:t>）</w:t>
            </w:r>
          </w:p>
          <w:p w14:paraId="11ECCA3D">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6.竞标声明（格式后附）</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必须提供，否则响应文件按无效处理</w:t>
            </w:r>
            <w:r>
              <w:rPr>
                <w:rFonts w:hint="eastAsia" w:ascii="宋体" w:hAnsi="宋体" w:cs="宋体"/>
                <w:color w:val="000000" w:themeColor="text1"/>
                <w:szCs w:val="21"/>
                <w:highlight w:val="none"/>
                <w14:textFill>
                  <w14:solidFill>
                    <w14:schemeClr w14:val="tx1"/>
                  </w14:solidFill>
                </w14:textFill>
              </w:rPr>
              <w:t>）</w:t>
            </w:r>
          </w:p>
          <w:p w14:paraId="10DA4150">
            <w:pPr>
              <w:pStyle w:val="17"/>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hint="eastAsia"/>
                <w:color w:val="000000" w:themeColor="text1"/>
                <w:highlight w:val="none"/>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有效的</w:t>
            </w:r>
            <w:r>
              <w:rPr>
                <w:rFonts w:hint="eastAsia" w:ascii="宋体" w:hAnsi="宋体" w:cs="宋体"/>
                <w:color w:val="000000" w:themeColor="text1"/>
                <w:szCs w:val="21"/>
                <w:highlight w:val="none"/>
                <w:lang w:eastAsia="zh-CN"/>
                <w14:textFill>
                  <w14:solidFill>
                    <w14:schemeClr w14:val="tx1"/>
                  </w14:solidFill>
                </w14:textFill>
              </w:rPr>
              <w:t>建筑工程施工总承包</w:t>
            </w:r>
            <w:r>
              <w:rPr>
                <w:rFonts w:hint="eastAsia" w:ascii="宋体" w:hAnsi="宋体" w:cs="宋体"/>
                <w:color w:val="000000" w:themeColor="text1"/>
                <w:szCs w:val="21"/>
                <w:highlight w:val="none"/>
                <w14:textFill>
                  <w14:solidFill>
                    <w14:schemeClr w14:val="tx1"/>
                  </w14:solidFill>
                </w14:textFill>
              </w:rPr>
              <w:t>三级</w:t>
            </w:r>
            <w:r>
              <w:rPr>
                <w:rFonts w:hint="eastAsia" w:ascii="宋体" w:hAnsi="宋体" w:cs="宋体"/>
                <w:color w:val="000000" w:themeColor="text1"/>
                <w:szCs w:val="21"/>
                <w:highlight w:val="none"/>
                <w:lang w:eastAsia="zh-CN"/>
                <w14:textFill>
                  <w14:solidFill>
                    <w14:schemeClr w14:val="tx1"/>
                  </w14:solidFill>
                </w14:textFill>
              </w:rPr>
              <w:t>（含）</w:t>
            </w:r>
            <w:r>
              <w:rPr>
                <w:rFonts w:hint="eastAsia" w:ascii="宋体" w:hAnsi="宋体" w:cs="宋体"/>
                <w:color w:val="000000" w:themeColor="text1"/>
                <w:szCs w:val="21"/>
                <w:highlight w:val="none"/>
                <w14:textFill>
                  <w14:solidFill>
                    <w14:schemeClr w14:val="tx1"/>
                  </w14:solidFill>
                </w14:textFill>
              </w:rPr>
              <w:t>以上资质</w:t>
            </w:r>
            <w:r>
              <w:rPr>
                <w:rFonts w:hint="eastAsia" w:ascii="宋体" w:hAnsi="宋体" w:cs="宋体"/>
                <w:color w:val="000000" w:themeColor="text1"/>
                <w:szCs w:val="21"/>
                <w:highlight w:val="none"/>
                <w:lang w:eastAsia="zh-CN"/>
                <w14:textFill>
                  <w14:solidFill>
                    <w14:schemeClr w14:val="tx1"/>
                  </w14:solidFill>
                </w14:textFill>
              </w:rPr>
              <w:t>或建筑装修装饰工程专业承包二级（含）以上资质</w:t>
            </w:r>
            <w:r>
              <w:rPr>
                <w:color w:val="000000" w:themeColor="text1"/>
                <w:highlight w:val="none"/>
                <w14:textFill>
                  <w14:solidFill>
                    <w14:schemeClr w14:val="tx1"/>
                  </w14:solidFill>
                </w14:textFill>
              </w:rPr>
              <w:t>证书复印件及有效的</w:t>
            </w:r>
            <w:r>
              <w:rPr>
                <w:rFonts w:hint="eastAsia" w:ascii="宋体" w:hAnsi="宋体" w:cs="宋体"/>
                <w:color w:val="000000" w:themeColor="text1"/>
                <w:szCs w:val="21"/>
                <w:highlight w:val="none"/>
                <w14:textFill>
                  <w14:solidFill>
                    <w14:schemeClr w14:val="tx1"/>
                  </w14:solidFill>
                </w14:textFill>
              </w:rPr>
              <w:t>安全生产许可证</w:t>
            </w:r>
            <w:r>
              <w:rPr>
                <w:color w:val="000000" w:themeColor="text1"/>
                <w:highlight w:val="none"/>
                <w14:textFill>
                  <w14:solidFill>
                    <w14:schemeClr w14:val="tx1"/>
                  </w14:solidFill>
                </w14:textFill>
              </w:rPr>
              <w:t>复印件</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 xml:space="preserve"> </w:t>
            </w:r>
            <w:r>
              <w:rPr>
                <w:rFonts w:hint="eastAsia" w:ascii="宋体" w:hAnsi="宋体" w:cs="宋体"/>
                <w:b/>
                <w:color w:val="000000" w:themeColor="text1"/>
                <w:szCs w:val="21"/>
                <w:highlight w:val="none"/>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必须提供，否则按无效响应处理</w:t>
            </w:r>
            <w:r>
              <w:rPr>
                <w:rFonts w:hint="eastAsia" w:ascii="宋体" w:hAnsi="宋体" w:cs="宋体"/>
                <w:b/>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lang w:eastAsia="zh-CN"/>
                <w14:textFill>
                  <w14:solidFill>
                    <w14:schemeClr w14:val="tx1"/>
                  </w14:solidFill>
                </w14:textFill>
              </w:rPr>
              <w:t>；</w:t>
            </w:r>
          </w:p>
          <w:p w14:paraId="5C20D0E7">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8.拟投入本工程的项目经理有效的建造师资格证复印件或打印件、安全生产考核合格证（B类）复印件或打印件</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有效的身份证正反面复印件及项目经理不在其他项目服务的承诺书</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（必须提供，否则按无效响应处理）</w:t>
            </w:r>
          </w:p>
          <w:p w14:paraId="2D8974F1">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ascii="宋体" w:hAnsi="宋体" w:cs="宋体"/>
                <w:b/>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9.</w:t>
            </w:r>
            <w:r>
              <w:rPr>
                <w:rFonts w:hint="eastAsia"/>
                <w:color w:val="000000" w:themeColor="text1"/>
                <w:highlight w:val="none"/>
                <w14:textFill>
                  <w14:solidFill>
                    <w14:schemeClr w14:val="tx1"/>
                  </w14:solidFill>
                </w14:textFill>
              </w:rPr>
              <w:t>供应商</w:t>
            </w:r>
            <w:r>
              <w:rPr>
                <w:rFonts w:hint="eastAsia" w:ascii="宋体" w:hAnsi="宋体" w:cs="宋体"/>
                <w:bCs/>
                <w:color w:val="000000" w:themeColor="text1"/>
                <w:szCs w:val="21"/>
                <w:highlight w:val="none"/>
                <w14:textFill>
                  <w14:solidFill>
                    <w14:schemeClr w14:val="tx1"/>
                  </w14:solidFill>
                </w14:textFill>
              </w:rPr>
              <w:t>拟投入本工程的技术负责人建筑工程专业中级及以上工程师职称证书复印件或打印件</w:t>
            </w:r>
            <w:r>
              <w:rPr>
                <w:rFonts w:hint="eastAsia" w:ascii="宋体" w:hAnsi="宋体" w:cs="宋体"/>
                <w:bCs/>
                <w:color w:val="000000" w:themeColor="text1"/>
                <w:szCs w:val="21"/>
                <w:highlight w:val="none"/>
                <w:lang w:eastAsia="zh-CN"/>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（必须提供，否则按无效响应处理）</w:t>
            </w:r>
          </w:p>
          <w:p w14:paraId="36F3446B">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ascii="宋体" w:hAnsi="宋体" w:cs="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10.供应商</w:t>
            </w:r>
            <w:r>
              <w:rPr>
                <w:rFonts w:hint="eastAsia" w:ascii="宋体" w:hAnsi="宋体" w:cs="宋体"/>
                <w:color w:val="000000" w:themeColor="text1"/>
                <w:szCs w:val="21"/>
                <w:highlight w:val="none"/>
                <w14:textFill>
                  <w14:solidFill>
                    <w14:schemeClr w14:val="tx1"/>
                  </w14:solidFill>
                </w14:textFill>
              </w:rPr>
              <w:t>拟投入本工程四大员（施工员、质量员、安全员、材料员）中，安全员有效的安全生产考核合格证（C类）复印件或打印件及身份证正反面复印件，施工员、质量员、材料员有效的</w:t>
            </w:r>
            <w:r>
              <w:rPr>
                <w:rFonts w:hint="eastAsia"/>
                <w:color w:val="000000" w:themeColor="text1"/>
                <w:highlight w:val="none"/>
                <w14:textFill>
                  <w14:solidFill>
                    <w14:schemeClr w14:val="tx1"/>
                  </w14:solidFill>
                </w14:textFill>
              </w:rPr>
              <w:t>职业培训合格证</w:t>
            </w:r>
            <w:r>
              <w:rPr>
                <w:rFonts w:hint="eastAsia" w:ascii="宋体" w:hAnsi="宋体" w:cs="宋体"/>
                <w:color w:val="000000" w:themeColor="text1"/>
                <w:szCs w:val="21"/>
                <w:highlight w:val="none"/>
                <w14:textFill>
                  <w14:solidFill>
                    <w14:schemeClr w14:val="tx1"/>
                  </w14:solidFill>
                </w14:textFill>
              </w:rPr>
              <w:t>复印件或打印件及身份证正反面复印件</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必须提供，否则按无效响应处理</w:t>
            </w:r>
            <w:r>
              <w:rPr>
                <w:rFonts w:hint="eastAsia" w:ascii="宋体" w:hAnsi="宋体" w:cs="宋体"/>
                <w:b/>
                <w:color w:val="000000" w:themeColor="text1"/>
                <w:szCs w:val="21"/>
                <w:highlight w:val="none"/>
                <w14:textFill>
                  <w14:solidFill>
                    <w14:schemeClr w14:val="tx1"/>
                  </w14:solidFill>
                </w14:textFill>
              </w:rPr>
              <w:t>）</w:t>
            </w:r>
          </w:p>
          <w:p w14:paraId="3B4C959F">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w:t>
            </w:r>
            <w:r>
              <w:rPr>
                <w:rFonts w:hint="eastAsia" w:ascii="宋体" w:hAnsi="宋体" w:cs="宋体"/>
                <w:bCs/>
                <w:color w:val="000000" w:themeColor="text1"/>
                <w:szCs w:val="21"/>
                <w:highlight w:val="none"/>
                <w14:textFill>
                  <w14:solidFill>
                    <w14:schemeClr w14:val="tx1"/>
                  </w14:solidFill>
                </w14:textFill>
              </w:rPr>
              <w:t>本项目</w:t>
            </w:r>
            <w:r>
              <w:rPr>
                <w:rFonts w:hint="eastAsia" w:ascii="宋体" w:hAnsi="宋体"/>
                <w:color w:val="000000" w:themeColor="text1"/>
                <w:szCs w:val="21"/>
                <w:highlight w:val="none"/>
                <w14:textFill>
                  <w14:solidFill>
                    <w14:schemeClr w14:val="tx1"/>
                  </w14:solidFill>
                </w14:textFill>
              </w:rPr>
              <w:t>专门面向中小企业采购的项目（供应商应为中小微企业、监狱企业、残疾人福利性单位)，供应商必须在响应文件中提供《</w:t>
            </w:r>
            <w:r>
              <w:rPr>
                <w:rFonts w:hint="eastAsia" w:ascii="宋体" w:hAnsi="宋体"/>
                <w:bCs/>
                <w:color w:val="000000" w:themeColor="text1"/>
                <w:szCs w:val="21"/>
                <w:highlight w:val="none"/>
                <w14:textFill>
                  <w14:solidFill>
                    <w14:schemeClr w14:val="tx1"/>
                  </w14:solidFill>
                </w14:textFill>
              </w:rPr>
              <w:t>中小企业声明函（工程）</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szCs w:val="22"/>
                <w:highlight w:val="none"/>
                <w14:textFill>
                  <w14:solidFill>
                    <w14:schemeClr w14:val="tx1"/>
                  </w14:solidFill>
                </w14:textFill>
              </w:rPr>
              <w:t>或残疾人福利性单位声明函或监狱企业证明材料</w:t>
            </w:r>
            <w:r>
              <w:rPr>
                <w:rFonts w:hint="eastAsia"/>
                <w:color w:val="000000" w:themeColor="text1"/>
                <w:szCs w:val="22"/>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29F4F0E2">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12.除磋商文件规定必须提供以外，供应商认为需要提供的其他证明材料</w:t>
            </w:r>
            <w:r>
              <w:rPr>
                <w:rFonts w:hint="eastAsia" w:ascii="宋体" w:hAnsi="宋体" w:cs="宋体"/>
                <w:color w:val="000000" w:themeColor="text1"/>
                <w:szCs w:val="21"/>
                <w:highlight w:val="none"/>
                <w:lang w:eastAsia="zh-CN"/>
                <w14:textFill>
                  <w14:solidFill>
                    <w14:schemeClr w14:val="tx1"/>
                  </w14:solidFill>
                </w14:textFill>
              </w:rPr>
              <w:t>。</w:t>
            </w:r>
          </w:p>
          <w:p w14:paraId="6DCD3F71">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注：</w:t>
            </w:r>
          </w:p>
          <w:p w14:paraId="3E8D5AE8">
            <w:pPr>
              <w:pStyle w:val="17"/>
              <w:keepNext w:val="0"/>
              <w:keepLines w:val="0"/>
              <w:pageBreakBefore w:val="0"/>
              <w:widowControl w:val="0"/>
              <w:kinsoku/>
              <w:wordWrap/>
              <w:overflowPunct/>
              <w:topLinePunct w:val="0"/>
              <w:autoSpaceDE/>
              <w:autoSpaceDN/>
              <w:bidi w:val="0"/>
              <w:adjustRightInd/>
              <w:spacing w:line="400" w:lineRule="exact"/>
              <w:textAlignment w:val="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以上</w:t>
            </w:r>
            <w:r>
              <w:rPr>
                <w:rFonts w:hint="eastAsia"/>
                <w:b/>
                <w:bCs/>
                <w:color w:val="000000" w:themeColor="text1"/>
                <w:highlight w:val="none"/>
                <w14:textFill>
                  <w14:solidFill>
                    <w14:schemeClr w14:val="tx1"/>
                  </w14:solidFill>
                </w14:textFill>
              </w:rPr>
              <w:t>标明“必须提供”的材料 ，必须加盖供应商</w:t>
            </w:r>
            <w:r>
              <w:rPr>
                <w:rFonts w:hint="eastAsia"/>
                <w:b/>
                <w:color w:val="000000" w:themeColor="text1"/>
                <w:highlight w:val="none"/>
                <w14:textFill>
                  <w14:solidFill>
                    <w14:schemeClr w14:val="tx1"/>
                  </w14:solidFill>
                </w14:textFill>
              </w:rPr>
              <w:t>电子签章</w:t>
            </w:r>
            <w:r>
              <w:rPr>
                <w:rFonts w:hint="eastAsia"/>
                <w:b/>
                <w:bCs/>
                <w:color w:val="000000" w:themeColor="text1"/>
                <w:highlight w:val="none"/>
                <w:lang w:eastAsia="zh-CN"/>
                <w14:textFill>
                  <w14:solidFill>
                    <w14:schemeClr w14:val="tx1"/>
                  </w14:solidFill>
                </w14:textFill>
              </w:rPr>
              <w:t>；</w:t>
            </w:r>
            <w:r>
              <w:rPr>
                <w:rFonts w:hint="eastAsia"/>
                <w:b/>
                <w:bCs/>
                <w:color w:val="000000" w:themeColor="text1"/>
                <w:highlight w:val="none"/>
                <w14:textFill>
                  <w14:solidFill>
                    <w14:schemeClr w14:val="tx1"/>
                  </w14:solidFill>
                </w14:textFill>
              </w:rPr>
              <w:t>必须提供的材料在第五章“响应文件格式”中有要求法定代表人或委托代理人签字的，必须由法定代表人或委托代理人签字，否则响应文件按无效响应处理。其中，竞标声明必须由法定代表人在规定签章处签字（或盖章）并加盖供应商</w:t>
            </w:r>
            <w:r>
              <w:rPr>
                <w:rFonts w:hint="eastAsia"/>
                <w:b/>
                <w:color w:val="000000" w:themeColor="text1"/>
                <w:highlight w:val="none"/>
                <w14:textFill>
                  <w14:solidFill>
                    <w14:schemeClr w14:val="tx1"/>
                  </w14:solidFill>
                </w14:textFill>
              </w:rPr>
              <w:t>电子签章</w:t>
            </w:r>
            <w:r>
              <w:rPr>
                <w:rFonts w:hint="eastAsia"/>
                <w:b/>
                <w:bCs/>
                <w:color w:val="000000" w:themeColor="text1"/>
                <w:highlight w:val="none"/>
                <w14:textFill>
                  <w14:solidFill>
                    <w14:schemeClr w14:val="tx1"/>
                  </w14:solidFill>
                </w14:textFill>
              </w:rPr>
              <w:t>，否则响应文件按无效响应处理。</w:t>
            </w:r>
          </w:p>
        </w:tc>
      </w:tr>
      <w:tr w14:paraId="53E5F0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7956456">
            <w:pPr>
              <w:keepNext w:val="0"/>
              <w:keepLines w:val="0"/>
              <w:pageBreakBefore w:val="0"/>
              <w:widowControl w:val="0"/>
              <w:kinsoku/>
              <w:overflowPunct/>
              <w:topLinePunct w:val="0"/>
              <w:bidi w:val="0"/>
              <w:adjustRightInd/>
              <w:spacing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12.1.2</w:t>
            </w:r>
          </w:p>
        </w:tc>
        <w:tc>
          <w:tcPr>
            <w:tcW w:w="7912" w:type="dxa"/>
            <w:vAlign w:val="center"/>
          </w:tcPr>
          <w:p w14:paraId="4523FC65">
            <w:pPr>
              <w:keepNext w:val="0"/>
              <w:keepLines w:val="0"/>
              <w:pageBreakBefore w:val="0"/>
              <w:widowControl w:val="0"/>
              <w:kinsoku/>
              <w:overflowPunct/>
              <w:topLinePunct w:val="0"/>
              <w:bidi w:val="0"/>
              <w:adjustRightInd/>
              <w:spacing w:line="400" w:lineRule="exac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报价文件</w:t>
            </w:r>
          </w:p>
          <w:p w14:paraId="1555DB43">
            <w:pPr>
              <w:keepNext w:val="0"/>
              <w:keepLines w:val="0"/>
              <w:pageBreakBefore w:val="0"/>
              <w:widowControl w:val="0"/>
              <w:kinsoku/>
              <w:overflowPunct/>
              <w:topLinePunct w:val="0"/>
              <w:bidi w:val="0"/>
              <w:adjustRightInd/>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1.竞标函及竞标函附录（格式后附）</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必须提供，否则响应文件按无效处理</w:t>
            </w:r>
            <w:r>
              <w:rPr>
                <w:rFonts w:hint="eastAsia" w:ascii="宋体" w:hAnsi="宋体" w:cs="宋体"/>
                <w:color w:val="000000" w:themeColor="text1"/>
                <w:szCs w:val="21"/>
                <w:highlight w:val="none"/>
                <w14:textFill>
                  <w14:solidFill>
                    <w14:schemeClr w14:val="tx1"/>
                  </w14:solidFill>
                </w14:textFill>
              </w:rPr>
              <w:t>）</w:t>
            </w:r>
          </w:p>
          <w:p w14:paraId="6863CAF4">
            <w:pPr>
              <w:keepNext w:val="0"/>
              <w:keepLines w:val="0"/>
              <w:pageBreakBefore w:val="0"/>
              <w:widowControl w:val="0"/>
              <w:kinsoku/>
              <w:overflowPunct/>
              <w:topLinePunct w:val="0"/>
              <w:bidi w:val="0"/>
              <w:adjustRightInd/>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2.竞标报价表（格式后附）</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必须提供，否则响应文件按无效处理</w:t>
            </w:r>
            <w:r>
              <w:rPr>
                <w:rFonts w:hint="eastAsia" w:ascii="宋体" w:hAnsi="宋体" w:cs="宋体"/>
                <w:color w:val="000000" w:themeColor="text1"/>
                <w:szCs w:val="21"/>
                <w:highlight w:val="none"/>
                <w14:textFill>
                  <w14:solidFill>
                    <w14:schemeClr w14:val="tx1"/>
                  </w14:solidFill>
                </w14:textFill>
              </w:rPr>
              <w:t>）</w:t>
            </w:r>
          </w:p>
          <w:p w14:paraId="12F2832D">
            <w:pPr>
              <w:keepNext w:val="0"/>
              <w:keepLines w:val="0"/>
              <w:pageBreakBefore w:val="0"/>
              <w:widowControl w:val="0"/>
              <w:kinsoku/>
              <w:overflowPunct/>
              <w:topLinePunct w:val="0"/>
              <w:bidi w:val="0"/>
              <w:adjustRightInd/>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3.已标价工程量清单</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必须提供，否则响应文件按无效处理</w:t>
            </w:r>
            <w:r>
              <w:rPr>
                <w:rFonts w:hint="eastAsia" w:ascii="宋体" w:hAnsi="宋体" w:cs="宋体"/>
                <w:color w:val="000000" w:themeColor="text1"/>
                <w:szCs w:val="21"/>
                <w:highlight w:val="none"/>
                <w14:textFill>
                  <w14:solidFill>
                    <w14:schemeClr w14:val="tx1"/>
                  </w14:solidFill>
                </w14:textFill>
              </w:rPr>
              <w:t>）</w:t>
            </w:r>
          </w:p>
          <w:p w14:paraId="4A4FBE00">
            <w:pPr>
              <w:keepNext w:val="0"/>
              <w:keepLines w:val="0"/>
              <w:pageBreakBefore w:val="0"/>
              <w:widowControl w:val="0"/>
              <w:kinsoku/>
              <w:overflowPunct/>
              <w:topLinePunct w:val="0"/>
              <w:bidi w:val="0"/>
              <w:adjustRightInd/>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4.供应商认为需要提供的其他有关资料。</w:t>
            </w:r>
          </w:p>
        </w:tc>
      </w:tr>
      <w:tr w14:paraId="07C9F4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23B8467">
            <w:pPr>
              <w:keepNext w:val="0"/>
              <w:keepLines w:val="0"/>
              <w:pageBreakBefore w:val="0"/>
              <w:widowControl w:val="0"/>
              <w:kinsoku/>
              <w:overflowPunct/>
              <w:topLinePunct w:val="0"/>
              <w:bidi w:val="0"/>
              <w:adjustRightInd/>
              <w:spacing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.3</w:t>
            </w:r>
          </w:p>
        </w:tc>
        <w:tc>
          <w:tcPr>
            <w:tcW w:w="7912" w:type="dxa"/>
            <w:vAlign w:val="center"/>
          </w:tcPr>
          <w:p w14:paraId="640C8B13">
            <w:pPr>
              <w:keepNext w:val="0"/>
              <w:keepLines w:val="0"/>
              <w:pageBreakBefore w:val="0"/>
              <w:widowControl w:val="0"/>
              <w:kinsoku/>
              <w:overflowPunct/>
              <w:topLinePunct w:val="0"/>
              <w:bidi w:val="0"/>
              <w:adjustRightInd/>
              <w:spacing w:line="400" w:lineRule="exac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商务技术文件</w:t>
            </w:r>
          </w:p>
          <w:p w14:paraId="57CD65DA">
            <w:pPr>
              <w:keepNext w:val="0"/>
              <w:keepLines w:val="0"/>
              <w:pageBreakBefore w:val="0"/>
              <w:widowControl w:val="0"/>
              <w:kinsoku/>
              <w:overflowPunct/>
              <w:topLinePunct w:val="0"/>
              <w:bidi w:val="0"/>
              <w:adjustRightInd/>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1.无串通竞标行为的承诺函（格式后附）</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必须提供，否则响应文件按无效处理</w:t>
            </w:r>
            <w:r>
              <w:rPr>
                <w:rFonts w:hint="eastAsia" w:ascii="宋体" w:hAnsi="宋体" w:cs="宋体"/>
                <w:color w:val="000000" w:themeColor="text1"/>
                <w:szCs w:val="21"/>
                <w:highlight w:val="none"/>
                <w14:textFill>
                  <w14:solidFill>
                    <w14:schemeClr w14:val="tx1"/>
                  </w14:solidFill>
                </w14:textFill>
              </w:rPr>
              <w:t>）</w:t>
            </w:r>
          </w:p>
          <w:p w14:paraId="0BEB554B">
            <w:pPr>
              <w:keepNext w:val="0"/>
              <w:keepLines w:val="0"/>
              <w:pageBreakBefore w:val="0"/>
              <w:widowControl w:val="0"/>
              <w:kinsoku/>
              <w:overflowPunct/>
              <w:topLinePunct w:val="0"/>
              <w:bidi w:val="0"/>
              <w:adjustRightInd/>
              <w:snapToGrid w:val="0"/>
              <w:spacing w:line="40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2.法定代表人身份证明书及法定代表人有效身份证正反面复印件（格式后附）</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必须提供，否则响应文件按无效处理</w:t>
            </w:r>
            <w:r>
              <w:rPr>
                <w:rFonts w:hint="eastAsia" w:ascii="宋体" w:hAnsi="宋体" w:cs="宋体"/>
                <w:color w:val="000000" w:themeColor="text1"/>
                <w:szCs w:val="21"/>
                <w:highlight w:val="none"/>
                <w14:textFill>
                  <w14:solidFill>
                    <w14:schemeClr w14:val="tx1"/>
                  </w14:solidFill>
                </w14:textFill>
              </w:rPr>
              <w:t>）</w:t>
            </w:r>
          </w:p>
          <w:p w14:paraId="4D082BB0">
            <w:pPr>
              <w:keepNext w:val="0"/>
              <w:keepLines w:val="0"/>
              <w:pageBreakBefore w:val="0"/>
              <w:widowControl w:val="0"/>
              <w:kinsoku/>
              <w:overflowPunct/>
              <w:topLinePunct w:val="0"/>
              <w:bidi w:val="0"/>
              <w:adjustRightInd/>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3.授权委托书及委托代理人有效身份证正反面复印件（格式后附）</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委托时必须提供，否则响应文件按无效处理</w:t>
            </w:r>
            <w:r>
              <w:rPr>
                <w:rFonts w:hint="eastAsia" w:ascii="宋体" w:hAnsi="宋体" w:cs="宋体"/>
                <w:color w:val="000000" w:themeColor="text1"/>
                <w:szCs w:val="21"/>
                <w:highlight w:val="none"/>
                <w14:textFill>
                  <w14:solidFill>
                    <w14:schemeClr w14:val="tx1"/>
                  </w14:solidFill>
                </w14:textFill>
              </w:rPr>
              <w:t>）</w:t>
            </w:r>
          </w:p>
          <w:p w14:paraId="7AB6F7DB">
            <w:pPr>
              <w:keepNext w:val="0"/>
              <w:keepLines w:val="0"/>
              <w:pageBreakBefore w:val="0"/>
              <w:widowControl w:val="0"/>
              <w:kinsoku/>
              <w:overflowPunct/>
              <w:topLinePunct w:val="0"/>
              <w:bidi w:val="0"/>
              <w:adjustRightInd/>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.建筑材料和设备节能环保要求承诺书（格式后附）</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必须提供，否则响应文件按无效处理</w:t>
            </w:r>
            <w:r>
              <w:rPr>
                <w:rFonts w:hint="eastAsia" w:ascii="宋体" w:hAnsi="宋体" w:cs="宋体"/>
                <w:color w:val="000000" w:themeColor="text1"/>
                <w:szCs w:val="21"/>
                <w:highlight w:val="none"/>
                <w14:textFill>
                  <w14:solidFill>
                    <w14:schemeClr w14:val="tx1"/>
                  </w14:solidFill>
                </w14:textFill>
              </w:rPr>
              <w:t>）</w:t>
            </w:r>
          </w:p>
          <w:p w14:paraId="1A7978B1">
            <w:pPr>
              <w:keepNext w:val="0"/>
              <w:keepLines w:val="0"/>
              <w:pageBreakBefore w:val="0"/>
              <w:widowControl w:val="0"/>
              <w:kinsoku/>
              <w:overflowPunct/>
              <w:topLinePunct w:val="0"/>
              <w:bidi w:val="0"/>
              <w:adjustRightInd/>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.施工组织设计方案（格式自拟）</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必须提供，否则响应文件按无效处理</w:t>
            </w:r>
            <w:r>
              <w:rPr>
                <w:rFonts w:hint="eastAsia" w:ascii="宋体" w:hAnsi="宋体" w:cs="宋体"/>
                <w:color w:val="000000" w:themeColor="text1"/>
                <w:szCs w:val="21"/>
                <w:highlight w:val="none"/>
                <w14:textFill>
                  <w14:solidFill>
                    <w14:schemeClr w14:val="tx1"/>
                  </w14:solidFill>
                </w14:textFill>
              </w:rPr>
              <w:t>）</w:t>
            </w:r>
          </w:p>
          <w:p w14:paraId="3C5E1AD4">
            <w:pPr>
              <w:keepNext w:val="0"/>
              <w:keepLines w:val="0"/>
              <w:pageBreakBefore w:val="0"/>
              <w:widowControl w:val="0"/>
              <w:kinsoku/>
              <w:overflowPunct/>
              <w:topLinePunct w:val="0"/>
              <w:bidi w:val="0"/>
              <w:adjustRightInd/>
              <w:spacing w:line="40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.项目管理机构配备情况表及主要人员简历表（格式后附）</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必须提供，否则响应文件按无效处理</w:t>
            </w:r>
            <w:r>
              <w:rPr>
                <w:rFonts w:hint="eastAsia" w:ascii="宋体" w:hAnsi="宋体" w:cs="宋体"/>
                <w:color w:val="000000" w:themeColor="text1"/>
                <w:szCs w:val="21"/>
                <w:highlight w:val="none"/>
                <w14:textFill>
                  <w14:solidFill>
                    <w14:schemeClr w14:val="tx1"/>
                  </w14:solidFill>
                </w14:textFill>
              </w:rPr>
              <w:t xml:space="preserve">） </w:t>
            </w:r>
          </w:p>
          <w:p w14:paraId="2ABAB64F">
            <w:pPr>
              <w:keepNext w:val="0"/>
              <w:keepLines w:val="0"/>
              <w:pageBreakBefore w:val="0"/>
              <w:widowControl w:val="0"/>
              <w:kinsoku/>
              <w:wordWrap w:val="0"/>
              <w:overflowPunct/>
              <w:topLinePunct w:val="0"/>
              <w:bidi w:val="0"/>
              <w:adjustRightInd/>
              <w:spacing w:line="40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技术商务要求响应表；（</w:t>
            </w:r>
            <w:r>
              <w:rPr>
                <w:rFonts w:hint="eastAsia" w:ascii="宋体" w:hAnsi="宋体" w:cs="宋体"/>
                <w:b/>
                <w:color w:val="000000" w:themeColor="text1"/>
                <w:szCs w:val="21"/>
                <w:highlight w:val="none"/>
                <w14:textFill>
                  <w14:solidFill>
                    <w14:schemeClr w14:val="tx1"/>
                  </w14:solidFill>
                </w14:textFill>
              </w:rPr>
              <w:t>必须提供，否则响应文件按无效处理</w:t>
            </w:r>
            <w:r>
              <w:rPr>
                <w:rFonts w:hint="eastAsia" w:ascii="宋体" w:hAnsi="宋体" w:cs="宋体"/>
                <w:color w:val="000000" w:themeColor="text1"/>
                <w:szCs w:val="21"/>
                <w:highlight w:val="none"/>
                <w14:textFill>
                  <w14:solidFill>
                    <w14:schemeClr w14:val="tx1"/>
                  </w14:solidFill>
                </w14:textFill>
              </w:rPr>
              <w:t>）</w:t>
            </w:r>
          </w:p>
          <w:p w14:paraId="2A7EE096">
            <w:pPr>
              <w:keepNext w:val="0"/>
              <w:keepLines w:val="0"/>
              <w:pageBreakBefore w:val="0"/>
              <w:widowControl w:val="0"/>
              <w:kinsoku/>
              <w:wordWrap w:val="0"/>
              <w:overflowPunct/>
              <w:topLinePunct w:val="0"/>
              <w:bidi w:val="0"/>
              <w:adjustRightInd/>
              <w:spacing w:line="400" w:lineRule="exact"/>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8.</w:t>
            </w:r>
            <w:r>
              <w:rPr>
                <w:rFonts w:hint="eastAsia" w:ascii="宋体" w:hAnsi="宋体"/>
                <w:bCs/>
                <w:color w:val="000000" w:themeColor="text1"/>
                <w:kern w:val="0"/>
                <w:szCs w:val="21"/>
                <w:highlight w:val="none"/>
                <w14:textFill>
                  <w14:solidFill>
                    <w14:schemeClr w14:val="tx1"/>
                  </w14:solidFill>
                </w14:textFill>
              </w:rPr>
              <w:t>建设工程项目管理承诺书（格式后附）</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必须提供，否则响应文件按无效处理</w:t>
            </w:r>
            <w:r>
              <w:rPr>
                <w:rFonts w:hint="eastAsia" w:ascii="宋体" w:hAnsi="宋体" w:cs="宋体"/>
                <w:color w:val="000000" w:themeColor="text1"/>
                <w:szCs w:val="21"/>
                <w:highlight w:val="none"/>
                <w14:textFill>
                  <w14:solidFill>
                    <w14:schemeClr w14:val="tx1"/>
                  </w14:solidFill>
                </w14:textFill>
              </w:rPr>
              <w:t>）</w:t>
            </w:r>
          </w:p>
          <w:p w14:paraId="42990349">
            <w:pPr>
              <w:keepNext w:val="0"/>
              <w:keepLines w:val="0"/>
              <w:pageBreakBefore w:val="0"/>
              <w:widowControl w:val="0"/>
              <w:kinsoku/>
              <w:overflowPunct/>
              <w:topLinePunct w:val="0"/>
              <w:bidi w:val="0"/>
              <w:adjustRightInd/>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9</w:t>
            </w:r>
            <w:r>
              <w:rPr>
                <w:rFonts w:hint="eastAsia" w:ascii="宋体" w:hAnsi="宋体" w:cs="宋体"/>
                <w:color w:val="000000" w:themeColor="text1"/>
                <w:szCs w:val="21"/>
                <w:highlight w:val="none"/>
                <w14:textFill>
                  <w14:solidFill>
                    <w14:schemeClr w14:val="tx1"/>
                  </w14:solidFill>
                </w14:textFill>
              </w:rPr>
              <w:t>.供应商认为需要提供的其他有关资料。</w:t>
            </w:r>
          </w:p>
          <w:p w14:paraId="298E7B68">
            <w:pPr>
              <w:pStyle w:val="17"/>
              <w:keepNext w:val="0"/>
              <w:keepLines w:val="0"/>
              <w:pageBreakBefore w:val="0"/>
              <w:widowControl w:val="0"/>
              <w:kinsoku/>
              <w:overflowPunct/>
              <w:topLinePunct w:val="0"/>
              <w:bidi w:val="0"/>
              <w:adjustRightInd/>
              <w:spacing w:line="400" w:lineRule="exac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以上标明“必须提供”的材料，必须加盖供应商电子签章</w:t>
            </w:r>
            <w:r>
              <w:rPr>
                <w:rFonts w:hint="eastAsia" w:ascii="宋体" w:hAnsi="宋体" w:cs="宋体"/>
                <w:b/>
                <w:color w:val="000000" w:themeColor="text1"/>
                <w:szCs w:val="21"/>
                <w:highlight w:val="none"/>
                <w:lang w:eastAsia="zh-CN"/>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必须提供的材料在第五章“响应文件格式”中有要求法定代表人或委托代理人签字的，必须由法定代表人或委托代理人签字，否则响应文件按无效响应处理。</w:t>
            </w:r>
          </w:p>
        </w:tc>
      </w:tr>
      <w:tr w14:paraId="203A36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1F4817B">
            <w:pPr>
              <w:keepNext w:val="0"/>
              <w:keepLines w:val="0"/>
              <w:pageBreakBefore w:val="0"/>
              <w:widowControl w:val="0"/>
              <w:kinsoku/>
              <w:overflowPunct/>
              <w:topLinePunct w:val="0"/>
              <w:bidi w:val="0"/>
              <w:adjustRightInd/>
              <w:spacing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15.2</w:t>
            </w:r>
          </w:p>
        </w:tc>
        <w:tc>
          <w:tcPr>
            <w:tcW w:w="7912" w:type="dxa"/>
            <w:vAlign w:val="center"/>
          </w:tcPr>
          <w:p w14:paraId="0B5AC416">
            <w:pPr>
              <w:keepNext w:val="0"/>
              <w:keepLines w:val="0"/>
              <w:pageBreakBefore w:val="0"/>
              <w:widowControl w:val="0"/>
              <w:kinsoku/>
              <w:overflowPunct/>
              <w:topLinePunct w:val="0"/>
              <w:bidi w:val="0"/>
              <w:adjustRightInd/>
              <w:spacing w:line="400" w:lineRule="exact"/>
              <w:contextualSpacing/>
              <w:jc w:val="left"/>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竞标报价是履行合同的最终价格，包括了</w:t>
            </w:r>
            <w:r>
              <w:rPr>
                <w:rFonts w:hint="eastAsia" w:ascii="宋体" w:hAnsi="宋体" w:cs="宋体"/>
                <w:color w:val="000000" w:themeColor="text1"/>
                <w:szCs w:val="21"/>
                <w:highlight w:val="none"/>
                <w14:textFill>
                  <w14:solidFill>
                    <w14:schemeClr w14:val="tx1"/>
                  </w14:solidFill>
                </w14:textFill>
              </w:rPr>
              <w:t>为实施和完成合同工程所需的劳务、材料、机械、质检（自检）、安装、缺陷修复、管理、保险、税费、利润等费用，以及合同明示或暗示的所有责任、义务和一般风险。</w:t>
            </w:r>
          </w:p>
        </w:tc>
      </w:tr>
      <w:tr w14:paraId="2F58F6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78B75FA">
            <w:pPr>
              <w:keepNext w:val="0"/>
              <w:keepLines w:val="0"/>
              <w:pageBreakBefore w:val="0"/>
              <w:widowControl w:val="0"/>
              <w:kinsoku/>
              <w:overflowPunct/>
              <w:topLinePunct w:val="0"/>
              <w:bidi w:val="0"/>
              <w:adjustRightInd/>
              <w:spacing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15.3</w:t>
            </w:r>
          </w:p>
        </w:tc>
        <w:tc>
          <w:tcPr>
            <w:tcW w:w="7912" w:type="dxa"/>
            <w:vAlign w:val="center"/>
          </w:tcPr>
          <w:p w14:paraId="461A9812">
            <w:pPr>
              <w:keepNext w:val="0"/>
              <w:keepLines w:val="0"/>
              <w:pageBreakBefore w:val="0"/>
              <w:widowControl w:val="0"/>
              <w:kinsoku/>
              <w:overflowPunct/>
              <w:topLinePunct w:val="0"/>
              <w:bidi w:val="0"/>
              <w:adjustRightInd/>
              <w:spacing w:line="400" w:lineRule="exact"/>
              <w:contextualSpacing/>
              <w:jc w:val="left"/>
              <w:rPr>
                <w:rFonts w:ascii="宋体" w:hAnsi="宋体"/>
                <w:color w:val="000000" w:themeColor="text1"/>
                <w:szCs w:val="2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本工程增值税计税方法：☑一般计税法</w:t>
            </w:r>
            <w:r>
              <w:rPr>
                <w:rFonts w:hint="eastAsia" w:cs="宋体"/>
                <w:color w:val="000000" w:themeColor="text1"/>
                <w:highlight w:val="none"/>
                <w:lang w:eastAsia="zh-CN"/>
                <w14:textFill>
                  <w14:solidFill>
                    <w14:schemeClr w14:val="tx1"/>
                  </w14:solidFill>
                </w14:textFill>
              </w:rPr>
              <w:t>；</w:t>
            </w:r>
            <w:r>
              <w:rPr>
                <w:rFonts w:hint="eastAsia" w:cs="宋体"/>
                <w:color w:val="000000" w:themeColor="text1"/>
                <w:highlight w:val="none"/>
                <w14:textFill>
                  <w14:solidFill>
                    <w14:schemeClr w14:val="tx1"/>
                  </w14:solidFill>
                </w14:textFill>
              </w:rPr>
              <w:t xml:space="preserve"> □简易计税法</w:t>
            </w:r>
          </w:p>
        </w:tc>
      </w:tr>
      <w:tr w14:paraId="6C57AA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14FE18B">
            <w:pPr>
              <w:keepNext w:val="0"/>
              <w:keepLines w:val="0"/>
              <w:pageBreakBefore w:val="0"/>
              <w:widowControl w:val="0"/>
              <w:kinsoku/>
              <w:overflowPunct/>
              <w:topLinePunct w:val="0"/>
              <w:bidi w:val="0"/>
              <w:adjustRightInd/>
              <w:spacing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w:t>
            </w:r>
            <w:r>
              <w:rPr>
                <w:rFonts w:ascii="宋体" w:hAnsi="宋体" w:cs="宋体"/>
                <w:color w:val="000000" w:themeColor="text1"/>
                <w:szCs w:val="21"/>
                <w:highlight w:val="none"/>
                <w14:textFill>
                  <w14:solidFill>
                    <w14:schemeClr w14:val="tx1"/>
                  </w14:solidFill>
                </w14:textFill>
              </w:rPr>
              <w:t>2</w:t>
            </w:r>
          </w:p>
        </w:tc>
        <w:tc>
          <w:tcPr>
            <w:tcW w:w="7912" w:type="dxa"/>
            <w:vAlign w:val="center"/>
          </w:tcPr>
          <w:p w14:paraId="48C45769">
            <w:pPr>
              <w:pStyle w:val="14"/>
              <w:keepNext w:val="0"/>
              <w:keepLines w:val="0"/>
              <w:pageBreakBefore w:val="0"/>
              <w:widowControl w:val="0"/>
              <w:tabs>
                <w:tab w:val="clear" w:pos="454"/>
              </w:tabs>
              <w:kinsoku/>
              <w:overflowPunct/>
              <w:topLinePunct w:val="0"/>
              <w:bidi w:val="0"/>
              <w:adjustRightInd/>
              <w:snapToGrid w:val="0"/>
              <w:spacing w:afterLines="0" w:line="400" w:lineRule="exact"/>
              <w:ind w:left="283" w:hanging="283" w:hangingChars="135"/>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t>竞标有效期：自首次响应文件提交截止之日起</w:t>
            </w:r>
            <w:r>
              <w:rPr>
                <w:rFonts w:hint="eastAsia" w:ascii="宋体" w:hAnsi="宋体" w:cs="宋体"/>
                <w:color w:val="000000" w:themeColor="text1"/>
                <w:kern w:val="2"/>
                <w:sz w:val="21"/>
                <w:szCs w:val="21"/>
                <w:highlight w:val="none"/>
                <w:u w:val="single"/>
                <w14:textFill>
                  <w14:solidFill>
                    <w14:schemeClr w14:val="tx1"/>
                  </w14:solidFill>
                </w14:textFill>
              </w:rPr>
              <w:t>60</w:t>
            </w:r>
            <w:r>
              <w:rPr>
                <w:rFonts w:hint="eastAsia" w:ascii="宋体" w:hAnsi="宋体" w:cs="宋体"/>
                <w:color w:val="000000" w:themeColor="text1"/>
                <w:kern w:val="2"/>
                <w:sz w:val="21"/>
                <w:szCs w:val="21"/>
                <w:highlight w:val="none"/>
                <w14:textFill>
                  <w14:solidFill>
                    <w14:schemeClr w14:val="tx1"/>
                  </w14:solidFill>
                </w14:textFill>
              </w:rPr>
              <w:t>日。</w:t>
            </w:r>
          </w:p>
        </w:tc>
      </w:tr>
      <w:tr w14:paraId="1880FC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A99276F">
            <w:pPr>
              <w:keepNext w:val="0"/>
              <w:keepLines w:val="0"/>
              <w:pageBreakBefore w:val="0"/>
              <w:widowControl w:val="0"/>
              <w:kinsoku/>
              <w:overflowPunct/>
              <w:topLinePunct w:val="0"/>
              <w:bidi w:val="0"/>
              <w:adjustRightInd/>
              <w:spacing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17.1</w:t>
            </w:r>
          </w:p>
        </w:tc>
        <w:tc>
          <w:tcPr>
            <w:tcW w:w="7912" w:type="dxa"/>
            <w:vAlign w:val="center"/>
          </w:tcPr>
          <w:p w14:paraId="231C0B0E">
            <w:pPr>
              <w:keepNext w:val="0"/>
              <w:keepLines w:val="0"/>
              <w:pageBreakBefore w:val="0"/>
              <w:widowControl w:val="0"/>
              <w:kinsoku/>
              <w:overflowPunct/>
              <w:topLinePunct w:val="0"/>
              <w:bidi w:val="0"/>
              <w:adjustRightInd/>
              <w:snapToGrid w:val="0"/>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本项目不收取磋商保证金。</w:t>
            </w:r>
          </w:p>
        </w:tc>
      </w:tr>
      <w:tr w14:paraId="12BE6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7AEFFE9">
            <w:pPr>
              <w:keepNext w:val="0"/>
              <w:keepLines w:val="0"/>
              <w:pageBreakBefore w:val="0"/>
              <w:widowControl w:val="0"/>
              <w:kinsoku/>
              <w:overflowPunct/>
              <w:topLinePunct w:val="0"/>
              <w:bidi w:val="0"/>
              <w:adjustRightInd/>
              <w:spacing w:line="400" w:lineRule="exact"/>
              <w:jc w:val="center"/>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19</w:t>
            </w:r>
          </w:p>
        </w:tc>
        <w:tc>
          <w:tcPr>
            <w:tcW w:w="7912" w:type="dxa"/>
            <w:vAlign w:val="center"/>
          </w:tcPr>
          <w:p w14:paraId="76A8035E">
            <w:pPr>
              <w:keepNext w:val="0"/>
              <w:keepLines w:val="0"/>
              <w:pageBreakBefore w:val="0"/>
              <w:widowControl w:val="0"/>
              <w:kinsoku/>
              <w:overflowPunct/>
              <w:topLinePunct w:val="0"/>
              <w:bidi w:val="0"/>
              <w:adjustRightInd/>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本项目不接受</w:t>
            </w:r>
            <w:r>
              <w:rPr>
                <w:rFonts w:hint="eastAsia"/>
                <w:color w:val="000000" w:themeColor="text1"/>
                <w:highlight w:val="none"/>
                <w14:textFill>
                  <w14:solidFill>
                    <w14:schemeClr w14:val="tx1"/>
                  </w14:solidFill>
                </w14:textFill>
              </w:rPr>
              <w:t>电子</w:t>
            </w:r>
            <w:r>
              <w:rPr>
                <w:rFonts w:hint="eastAsia" w:ascii="宋体" w:hAnsi="宋体"/>
                <w:color w:val="000000" w:themeColor="text1"/>
                <w:szCs w:val="21"/>
                <w:highlight w:val="none"/>
                <w14:textFill>
                  <w14:solidFill>
                    <w14:schemeClr w14:val="tx1"/>
                  </w14:solidFill>
                </w14:textFill>
              </w:rPr>
              <w:t>备份响应文件</w:t>
            </w:r>
          </w:p>
        </w:tc>
      </w:tr>
      <w:tr w14:paraId="6CA3D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4F8AAC8">
            <w:pPr>
              <w:keepNext w:val="0"/>
              <w:keepLines w:val="0"/>
              <w:pageBreakBefore w:val="0"/>
              <w:widowControl w:val="0"/>
              <w:kinsoku/>
              <w:overflowPunct/>
              <w:topLinePunct w:val="0"/>
              <w:bidi w:val="0"/>
              <w:adjustRightInd/>
              <w:spacing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20.1</w:t>
            </w:r>
          </w:p>
        </w:tc>
        <w:tc>
          <w:tcPr>
            <w:tcW w:w="7912" w:type="dxa"/>
            <w:vAlign w:val="center"/>
          </w:tcPr>
          <w:p w14:paraId="26259C6E">
            <w:pPr>
              <w:keepNext w:val="0"/>
              <w:keepLines w:val="0"/>
              <w:pageBreakBefore w:val="0"/>
              <w:widowControl w:val="0"/>
              <w:kinsoku/>
              <w:overflowPunct/>
              <w:topLinePunct w:val="0"/>
              <w:bidi w:val="0"/>
              <w:adjustRightInd/>
              <w:spacing w:line="400" w:lineRule="exact"/>
              <w:contextualSpacing/>
              <w:jc w:val="lef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响应文件提交截止时间：详见竞争性磋商公告。</w:t>
            </w:r>
          </w:p>
          <w:p w14:paraId="21855D71">
            <w:pPr>
              <w:keepNext w:val="0"/>
              <w:keepLines w:val="0"/>
              <w:pageBreakBefore w:val="0"/>
              <w:widowControl w:val="0"/>
              <w:kinsoku/>
              <w:overflowPunct/>
              <w:topLinePunct w:val="0"/>
              <w:bidi w:val="0"/>
              <w:adjustRightInd/>
              <w:spacing w:line="400" w:lineRule="exact"/>
              <w:contextualSpacing/>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响应文件提交地点：详见竞争性磋商公告。</w:t>
            </w:r>
          </w:p>
        </w:tc>
      </w:tr>
      <w:tr w14:paraId="1E8F31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9783DD1">
            <w:pPr>
              <w:keepNext w:val="0"/>
              <w:keepLines w:val="0"/>
              <w:pageBreakBefore w:val="0"/>
              <w:widowControl w:val="0"/>
              <w:kinsoku/>
              <w:overflowPunct/>
              <w:topLinePunct w:val="0"/>
              <w:bidi w:val="0"/>
              <w:adjustRightInd/>
              <w:spacing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24.1</w:t>
            </w:r>
          </w:p>
        </w:tc>
        <w:tc>
          <w:tcPr>
            <w:tcW w:w="7912" w:type="dxa"/>
            <w:vAlign w:val="center"/>
          </w:tcPr>
          <w:p w14:paraId="5C7015C4">
            <w:pPr>
              <w:keepNext w:val="0"/>
              <w:keepLines w:val="0"/>
              <w:pageBreakBefore w:val="0"/>
              <w:widowControl w:val="0"/>
              <w:kinsoku/>
              <w:overflowPunct/>
              <w:topLinePunct w:val="0"/>
              <w:bidi w:val="0"/>
              <w:adjustRightInd/>
              <w:snapToGrid w:val="0"/>
              <w:spacing w:line="400" w:lineRule="exact"/>
              <w:jc w:val="lef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磋商小组的人数：</w:t>
            </w:r>
            <w:r>
              <w:rPr>
                <w:rFonts w:hint="eastAsia" w:ascii="宋体" w:hAnsi="宋体" w:cs="宋体"/>
                <w:color w:val="000000" w:themeColor="text1"/>
                <w:szCs w:val="21"/>
                <w:highlight w:val="none"/>
                <w:u w:val="single"/>
                <w14:textFill>
                  <w14:solidFill>
                    <w14:schemeClr w14:val="tx1"/>
                  </w14:solidFill>
                </w14:textFill>
              </w:rPr>
              <w:t xml:space="preserve"> 3</w:t>
            </w:r>
            <w:r>
              <w:rPr>
                <w:rFonts w:hint="eastAsia" w:ascii="宋体" w:hAnsi="宋体" w:cs="宋体"/>
                <w:color w:val="000000" w:themeColor="text1"/>
                <w:szCs w:val="21"/>
                <w:highlight w:val="none"/>
                <w14:textFill>
                  <w14:solidFill>
                    <w14:schemeClr w14:val="tx1"/>
                  </w14:solidFill>
                </w14:textFill>
              </w:rPr>
              <w:t>人。</w:t>
            </w:r>
          </w:p>
        </w:tc>
      </w:tr>
      <w:tr w14:paraId="737781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E835F35">
            <w:pPr>
              <w:keepNext w:val="0"/>
              <w:keepLines w:val="0"/>
              <w:pageBreakBefore w:val="0"/>
              <w:widowControl w:val="0"/>
              <w:kinsoku/>
              <w:overflowPunct/>
              <w:topLinePunct w:val="0"/>
              <w:bidi w:val="0"/>
              <w:adjustRightInd/>
              <w:spacing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ascii="宋体" w:hAnsi="宋体" w:cs="宋体"/>
                <w:color w:val="000000" w:themeColor="text1"/>
                <w:szCs w:val="21"/>
                <w:highlight w:val="none"/>
                <w14:textFill>
                  <w14:solidFill>
                    <w14:schemeClr w14:val="tx1"/>
                  </w14:solidFill>
                </w14:textFill>
              </w:rPr>
              <w:t>5</w:t>
            </w:r>
          </w:p>
        </w:tc>
        <w:tc>
          <w:tcPr>
            <w:tcW w:w="7912" w:type="dxa"/>
            <w:vAlign w:val="center"/>
          </w:tcPr>
          <w:p w14:paraId="03F1F4E0">
            <w:pPr>
              <w:keepNext w:val="0"/>
              <w:keepLines w:val="0"/>
              <w:pageBreakBefore w:val="0"/>
              <w:widowControl w:val="0"/>
              <w:kinsoku/>
              <w:overflowPunct/>
              <w:topLinePunct w:val="0"/>
              <w:bidi w:val="0"/>
              <w:adjustRightInd/>
              <w:snapToGrid w:val="0"/>
              <w:spacing w:line="40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首次响应文件开启时间详见“竞争性磋商公告”</w:t>
            </w:r>
          </w:p>
          <w:p w14:paraId="2AB1469F">
            <w:pPr>
              <w:keepNext w:val="0"/>
              <w:keepLines w:val="0"/>
              <w:pageBreakBefore w:val="0"/>
              <w:widowControl w:val="0"/>
              <w:kinsoku/>
              <w:overflowPunct/>
              <w:topLinePunct w:val="0"/>
              <w:bidi w:val="0"/>
              <w:adjustRightInd/>
              <w:snapToGrid w:val="0"/>
              <w:spacing w:line="40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首次响应文件解密时间：</w:t>
            </w:r>
            <w:r>
              <w:rPr>
                <w:rFonts w:hint="eastAsia" w:ascii="宋体" w:hAnsi="宋体" w:cs="宋体"/>
                <w:color w:val="000000" w:themeColor="text1"/>
                <w:szCs w:val="21"/>
                <w:highlight w:val="none"/>
                <w:u w:val="single"/>
                <w14:textFill>
                  <w14:solidFill>
                    <w14:schemeClr w14:val="tx1"/>
                  </w14:solidFill>
                </w14:textFill>
              </w:rPr>
              <w:t xml:space="preserve"> 30 </w:t>
            </w:r>
            <w:r>
              <w:rPr>
                <w:rFonts w:hint="eastAsia" w:hAnsi="宋体"/>
                <w:color w:val="000000" w:themeColor="text1"/>
                <w:highlight w:val="none"/>
                <w14:textFill>
                  <w14:solidFill>
                    <w14:schemeClr w14:val="tx1"/>
                  </w14:solidFill>
                </w14:textFill>
              </w:rPr>
              <w:t>分钟</w:t>
            </w:r>
          </w:p>
        </w:tc>
      </w:tr>
      <w:tr w14:paraId="69D73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0C63C8F">
            <w:pPr>
              <w:keepNext w:val="0"/>
              <w:keepLines w:val="0"/>
              <w:pageBreakBefore w:val="0"/>
              <w:widowControl w:val="0"/>
              <w:kinsoku/>
              <w:overflowPunct/>
              <w:topLinePunct w:val="0"/>
              <w:bidi w:val="0"/>
              <w:adjustRightInd/>
              <w:spacing w:line="400" w:lineRule="exact"/>
              <w:jc w:val="center"/>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28.1</w:t>
            </w:r>
          </w:p>
        </w:tc>
        <w:tc>
          <w:tcPr>
            <w:tcW w:w="7912" w:type="dxa"/>
            <w:vAlign w:val="center"/>
          </w:tcPr>
          <w:p w14:paraId="3B5B8028">
            <w:pPr>
              <w:keepNext w:val="0"/>
              <w:keepLines w:val="0"/>
              <w:pageBreakBefore w:val="0"/>
              <w:widowControl w:val="0"/>
              <w:kinsoku/>
              <w:overflowPunct/>
              <w:topLinePunct w:val="0"/>
              <w:autoSpaceDE w:val="0"/>
              <w:autoSpaceDN w:val="0"/>
              <w:bidi w:val="0"/>
              <w:adjustRightInd/>
              <w:snapToGrid w:val="0"/>
              <w:spacing w:line="400" w:lineRule="exact"/>
              <w:textAlignment w:val="bottom"/>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☑本项目不收取履约保证金。</w:t>
            </w:r>
          </w:p>
          <w:p w14:paraId="5EA0FF02">
            <w:pPr>
              <w:keepNext w:val="0"/>
              <w:keepLines w:val="0"/>
              <w:pageBreakBefore w:val="0"/>
              <w:widowControl w:val="0"/>
              <w:kinsoku/>
              <w:overflowPunct/>
              <w:topLinePunct w:val="0"/>
              <w:autoSpaceDE w:val="0"/>
              <w:autoSpaceDN w:val="0"/>
              <w:bidi w:val="0"/>
              <w:adjustRightInd/>
              <w:snapToGrid w:val="0"/>
              <w:spacing w:line="400" w:lineRule="exact"/>
              <w:textAlignment w:val="bottom"/>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sym w:font="Wingdings 2" w:char="00A3"/>
            </w:r>
            <w:r>
              <w:rPr>
                <w:rFonts w:hint="eastAsia" w:ascii="宋体" w:hAnsi="宋体"/>
                <w:color w:val="000000" w:themeColor="text1"/>
                <w:szCs w:val="21"/>
                <w:highlight w:val="none"/>
                <w14:textFill>
                  <w14:solidFill>
                    <w14:schemeClr w14:val="tx1"/>
                  </w14:solidFill>
                </w14:textFill>
              </w:rPr>
              <w:t>本项目收取履约保证金，具体规定如下：</w:t>
            </w:r>
          </w:p>
          <w:p w14:paraId="6665CC53">
            <w:pPr>
              <w:keepNext w:val="0"/>
              <w:keepLines w:val="0"/>
              <w:pageBreakBefore w:val="0"/>
              <w:widowControl w:val="0"/>
              <w:kinsoku/>
              <w:overflowPunct/>
              <w:topLinePunct w:val="0"/>
              <w:bidi w:val="0"/>
              <w:adjustRightInd/>
              <w:spacing w:line="400" w:lineRule="exact"/>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履约保证金金额：按成交金额的</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i/>
                <w:color w:val="000000" w:themeColor="text1"/>
                <w:szCs w:val="21"/>
                <w:highlight w:val="none"/>
                <w14:textFill>
                  <w14:solidFill>
                    <w14:schemeClr w14:val="tx1"/>
                  </w14:solidFill>
                </w14:textFill>
              </w:rPr>
              <w:t>（注：履约保证金不超过</w:t>
            </w:r>
            <w:r>
              <w:rPr>
                <w:rFonts w:hint="eastAsia"/>
                <w:b/>
                <w:i/>
                <w:color w:val="000000" w:themeColor="text1"/>
                <w:highlight w:val="none"/>
                <w14:textFill>
                  <w14:solidFill>
                    <w14:schemeClr w14:val="tx1"/>
                  </w14:solidFill>
                </w14:textFill>
              </w:rPr>
              <w:t>政府采购合同金额的</w:t>
            </w:r>
            <w:r>
              <w:rPr>
                <w:rFonts w:ascii="宋体" w:hAnsi="宋体" w:cs="宋体"/>
                <w:b/>
                <w:i/>
                <w:color w:val="000000" w:themeColor="text1"/>
                <w:szCs w:val="21"/>
                <w:highlight w:val="none"/>
                <w14:textFill>
                  <w14:solidFill>
                    <w14:schemeClr w14:val="tx1"/>
                  </w14:solidFill>
                </w14:textFill>
              </w:rPr>
              <w:t>5</w:t>
            </w:r>
            <w:r>
              <w:rPr>
                <w:rFonts w:hint="eastAsia" w:ascii="宋体" w:hAnsi="宋体" w:cs="宋体"/>
                <w:b/>
                <w:i/>
                <w:color w:val="000000" w:themeColor="text1"/>
                <w:szCs w:val="21"/>
                <w:highlight w:val="none"/>
                <w14:textFill>
                  <w14:solidFill>
                    <w14:schemeClr w14:val="tx1"/>
                  </w14:solidFill>
                </w14:textFill>
              </w:rPr>
              <w:t>%，对中小企业收取的履约保证金数额不得超过政府采购合同金额的2%。采购人可根据供应商的资信等情况减免履约保证金。）</w:t>
            </w:r>
          </w:p>
          <w:p w14:paraId="502F9148">
            <w:pPr>
              <w:keepNext w:val="0"/>
              <w:keepLines w:val="0"/>
              <w:pageBreakBefore w:val="0"/>
              <w:widowControl w:val="0"/>
              <w:kinsoku/>
              <w:overflowPunct/>
              <w:topLinePunct w:val="0"/>
              <w:bidi w:val="0"/>
              <w:adjustRightInd/>
              <w:spacing w:line="400" w:lineRule="exact"/>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履约保证金提交方式：银行转账、支票、汇票、本票或者银行、保险机构出具的保函（包含电子保函）等非现金方式。</w:t>
            </w:r>
          </w:p>
          <w:p w14:paraId="53F62EBD">
            <w:pPr>
              <w:keepNext w:val="0"/>
              <w:keepLines w:val="0"/>
              <w:pageBreakBefore w:val="0"/>
              <w:widowControl w:val="0"/>
              <w:kinsoku/>
              <w:overflowPunct/>
              <w:topLinePunct w:val="0"/>
              <w:autoSpaceDE w:val="0"/>
              <w:autoSpaceDN w:val="0"/>
              <w:bidi w:val="0"/>
              <w:adjustRightInd/>
              <w:snapToGrid w:val="0"/>
              <w:spacing w:line="400" w:lineRule="exact"/>
              <w:textAlignment w:val="bottom"/>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履约保证金缴纳期限：</w:t>
            </w:r>
            <w:r>
              <w:rPr>
                <w:rFonts w:hint="eastAsia" w:ascii="宋体" w:hAnsi="宋体"/>
                <w:iCs/>
                <w:color w:val="000000" w:themeColor="text1"/>
                <w:szCs w:val="21"/>
                <w:highlight w:val="none"/>
                <w:u w:val="single"/>
                <w14:textFill>
                  <w14:solidFill>
                    <w14:schemeClr w14:val="tx1"/>
                  </w14:solidFill>
                </w14:textFill>
              </w:rPr>
              <w:t>自成交通知书发出之日起 25 日内，但必须在签订合同前缴纳。</w:t>
            </w:r>
          </w:p>
          <w:p w14:paraId="1B0C5319">
            <w:pPr>
              <w:keepNext w:val="0"/>
              <w:keepLines w:val="0"/>
              <w:pageBreakBefore w:val="0"/>
              <w:widowControl w:val="0"/>
              <w:kinsoku/>
              <w:overflowPunct/>
              <w:topLinePunct w:val="0"/>
              <w:bidi w:val="0"/>
              <w:adjustRightInd/>
              <w:spacing w:line="400" w:lineRule="exact"/>
              <w:contextualSpacing/>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履约保证金退付方式、时间及条件：</w:t>
            </w:r>
            <w:r>
              <w:rPr>
                <w:rFonts w:hint="eastAsia" w:ascii="宋体" w:hAnsi="宋体" w:cs="宋体"/>
                <w:color w:val="000000" w:themeColor="text1"/>
                <w:szCs w:val="21"/>
                <w:highlight w:val="none"/>
                <w:u w:val="single"/>
                <w14:textFill>
                  <w14:solidFill>
                    <w14:schemeClr w14:val="tx1"/>
                  </w14:solidFill>
                </w14:textFill>
              </w:rPr>
              <w:t>在工程竣工验收合格并对验收发现的问题完成整改后，由成交供应商提交书面申请，采购人在收到成交供应商全部合格材料后5个工作日内办理退还手续（不计利息）</w:t>
            </w:r>
            <w:r>
              <w:rPr>
                <w:rFonts w:hint="eastAsia" w:ascii="宋体" w:hAnsi="宋体" w:cs="宋体"/>
                <w:color w:val="000000" w:themeColor="text1"/>
                <w:szCs w:val="21"/>
                <w:highlight w:val="none"/>
                <w14:textFill>
                  <w14:solidFill>
                    <w14:schemeClr w14:val="tx1"/>
                  </w14:solidFill>
                </w14:textFill>
              </w:rPr>
              <w:t xml:space="preserve"> 。</w:t>
            </w:r>
          </w:p>
          <w:p w14:paraId="39170D29">
            <w:pPr>
              <w:keepNext w:val="0"/>
              <w:keepLines w:val="0"/>
              <w:pageBreakBefore w:val="0"/>
              <w:widowControl w:val="0"/>
              <w:kinsoku/>
              <w:overflowPunct/>
              <w:topLinePunct w:val="0"/>
              <w:bidi w:val="0"/>
              <w:adjustRightInd/>
              <w:spacing w:line="400" w:lineRule="exact"/>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如：由成交供应商向履约保证金收取单位提供《广西壮族自治区政府采购项目合同验收书》（详见桂财采〔2015〕22号），保证金收取单位在收到合格材料后5个工作日内办理退还手续（不计利息）。</w:t>
            </w:r>
          </w:p>
          <w:p w14:paraId="4808E873">
            <w:pPr>
              <w:keepNext w:val="0"/>
              <w:keepLines w:val="0"/>
              <w:pageBreakBefore w:val="0"/>
              <w:widowControl w:val="0"/>
              <w:kinsoku/>
              <w:overflowPunct/>
              <w:topLinePunct w:val="0"/>
              <w:bidi w:val="0"/>
              <w:adjustRightInd/>
              <w:spacing w:line="400" w:lineRule="exact"/>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履约保证金指定账户：</w:t>
            </w:r>
          </w:p>
          <w:p w14:paraId="3F885A4B">
            <w:pPr>
              <w:keepNext w:val="0"/>
              <w:keepLines w:val="0"/>
              <w:pageBreakBefore w:val="0"/>
              <w:widowControl w:val="0"/>
              <w:kinsoku/>
              <w:overflowPunct/>
              <w:topLinePunct w:val="0"/>
              <w:bidi w:val="0"/>
              <w:adjustRightInd/>
              <w:spacing w:line="400" w:lineRule="exact"/>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开户名称：</w:t>
            </w:r>
            <w:r>
              <w:rPr>
                <w:rFonts w:hint="eastAsia" w:ascii="宋体" w:hAnsi="宋体" w:cs="宋体"/>
                <w:color w:val="000000" w:themeColor="text1"/>
                <w:szCs w:val="21"/>
                <w:highlight w:val="none"/>
                <w:u w:val="single"/>
                <w14:textFill>
                  <w14:solidFill>
                    <w14:schemeClr w14:val="tx1"/>
                  </w14:solidFill>
                </w14:textFill>
              </w:rPr>
              <w:t xml:space="preserve">    /    </w:t>
            </w:r>
          </w:p>
          <w:p w14:paraId="0249508B">
            <w:pPr>
              <w:keepNext w:val="0"/>
              <w:keepLines w:val="0"/>
              <w:pageBreakBefore w:val="0"/>
              <w:widowControl w:val="0"/>
              <w:kinsoku/>
              <w:overflowPunct/>
              <w:topLinePunct w:val="0"/>
              <w:bidi w:val="0"/>
              <w:adjustRightInd/>
              <w:spacing w:line="400" w:lineRule="exact"/>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开户银行：</w:t>
            </w:r>
            <w:r>
              <w:rPr>
                <w:rFonts w:hint="eastAsia" w:ascii="宋体" w:hAnsi="宋体" w:cs="宋体"/>
                <w:color w:val="000000" w:themeColor="text1"/>
                <w:szCs w:val="21"/>
                <w:highlight w:val="none"/>
                <w:u w:val="single"/>
                <w14:textFill>
                  <w14:solidFill>
                    <w14:schemeClr w14:val="tx1"/>
                  </w14:solidFill>
                </w14:textFill>
              </w:rPr>
              <w:t xml:space="preserve">    /        </w:t>
            </w:r>
          </w:p>
          <w:p w14:paraId="00C3461E">
            <w:pPr>
              <w:keepNext w:val="0"/>
              <w:keepLines w:val="0"/>
              <w:pageBreakBefore w:val="0"/>
              <w:widowControl w:val="0"/>
              <w:kinsoku/>
              <w:overflowPunct/>
              <w:topLinePunct w:val="0"/>
              <w:bidi w:val="0"/>
              <w:adjustRightInd/>
              <w:spacing w:line="400" w:lineRule="exact"/>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银行账号：</w:t>
            </w:r>
            <w:r>
              <w:rPr>
                <w:rFonts w:hint="eastAsia" w:ascii="宋体" w:hAnsi="宋体" w:cs="宋体"/>
                <w:color w:val="000000" w:themeColor="text1"/>
                <w:szCs w:val="21"/>
                <w:highlight w:val="none"/>
                <w:u w:val="single"/>
                <w14:textFill>
                  <w14:solidFill>
                    <w14:schemeClr w14:val="tx1"/>
                  </w14:solidFill>
                </w14:textFill>
              </w:rPr>
              <w:t xml:space="preserve">   /     </w:t>
            </w:r>
          </w:p>
          <w:p w14:paraId="342B38EB">
            <w:pPr>
              <w:keepNext w:val="0"/>
              <w:keepLines w:val="0"/>
              <w:pageBreakBefore w:val="0"/>
              <w:widowControl w:val="0"/>
              <w:kinsoku/>
              <w:overflowPunct/>
              <w:topLinePunct w:val="0"/>
              <w:bidi w:val="0"/>
              <w:adjustRightInd/>
              <w:spacing w:line="400" w:lineRule="exact"/>
              <w:contextualSpacing/>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备注：</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b/>
                <w:color w:val="000000" w:themeColor="text1"/>
                <w:szCs w:val="21"/>
                <w:highlight w:val="none"/>
                <w14:textFill>
                  <w14:solidFill>
                    <w14:schemeClr w14:val="tx1"/>
                  </w14:solidFill>
                </w14:textFill>
              </w:rPr>
              <w:t>1</w:t>
            </w:r>
            <w:r>
              <w:rPr>
                <w:rFonts w:ascii="宋体" w:hAnsi="宋体" w:cs="宋体"/>
                <w:b/>
                <w:color w:val="000000" w:themeColor="text1"/>
                <w:szCs w:val="21"/>
                <w:highlight w:val="none"/>
                <w14:textFill>
                  <w14:solidFill>
                    <w14:schemeClr w14:val="tx1"/>
                  </w14:solidFill>
                </w14:textFill>
              </w:rPr>
              <w:t>.</w:t>
            </w:r>
            <w:bookmarkStart w:id="51" w:name="_Hlk54170335"/>
            <w:r>
              <w:rPr>
                <w:rFonts w:hint="eastAsia" w:ascii="宋体" w:hAnsi="宋体"/>
                <w:b/>
                <w:color w:val="000000" w:themeColor="text1"/>
                <w:szCs w:val="21"/>
                <w:highlight w:val="none"/>
                <w14:textFill>
                  <w14:solidFill>
                    <w14:schemeClr w14:val="tx1"/>
                  </w14:solidFill>
                </w14:textFill>
              </w:rPr>
              <w:t>根据《广西壮族自治区财政厅关于持续优化政府采购营商环境推动高质量发展的通知》（桂财采〔2024〕55号）规定，采购文件要求中标或者成交供应商提交履约保证金的，履约保证金数额不得超过政府采购合同金额的5%，对中小企业收取的履约保证金数额不得超过政府采购合同金额的2%。采购人可根据供应商的资信等情况减免履约保证金。</w:t>
            </w:r>
            <w:bookmarkEnd w:id="51"/>
          </w:p>
          <w:p w14:paraId="056FA6EC">
            <w:pPr>
              <w:keepNext w:val="0"/>
              <w:keepLines w:val="0"/>
              <w:pageBreakBefore w:val="0"/>
              <w:widowControl w:val="0"/>
              <w:kinsoku/>
              <w:overflowPunct/>
              <w:topLinePunct w:val="0"/>
              <w:bidi w:val="0"/>
              <w:adjustRightInd/>
              <w:spacing w:line="400" w:lineRule="exact"/>
              <w:contextualSpacing/>
              <w:rPr>
                <w:rFonts w:ascii="宋体" w:hAnsi="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w:t>
            </w:r>
            <w:r>
              <w:rPr>
                <w:rFonts w:ascii="宋体" w:hAnsi="宋体" w:cs="宋体"/>
                <w:b/>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履约保证金不足额缴纳的，或者银行、保险机构出具的保函额度不足的或者保函有效期低于合同履行期限（即签订采购合同之日起至履行完合同约定的权利及义务之日</w:t>
            </w:r>
            <w:r>
              <w:rPr>
                <w:rFonts w:hint="eastAsia" w:ascii="宋体" w:hAnsi="宋体"/>
                <w:b/>
                <w:color w:val="000000" w:themeColor="text1"/>
                <w:szCs w:val="21"/>
                <w:highlight w:val="none"/>
                <w14:textFill>
                  <w14:solidFill>
                    <w14:schemeClr w14:val="tx1"/>
                  </w14:solidFill>
                </w14:textFill>
              </w:rPr>
              <w:t>止）的，不予签订合同。</w:t>
            </w:r>
            <w:r>
              <w:rPr>
                <w:rFonts w:hint="eastAsia" w:ascii="宋体" w:hAnsi="宋体"/>
                <w:b/>
                <w:color w:val="000000" w:themeColor="text1"/>
                <w:szCs w:val="21"/>
                <w:highlight w:val="none"/>
                <w14:textFill>
                  <w14:solidFill>
                    <w14:schemeClr w14:val="tx1"/>
                  </w14:solidFill>
                </w14:textFill>
              </w:rPr>
              <w:br w:type="textWrapping"/>
            </w:r>
            <w:r>
              <w:rPr>
                <w:rFonts w:ascii="宋体" w:hAnsi="宋体"/>
                <w:b/>
                <w:color w:val="000000" w:themeColor="text1"/>
                <w:szCs w:val="21"/>
                <w:highlight w:val="none"/>
                <w14:textFill>
                  <w14:solidFill>
                    <w14:schemeClr w14:val="tx1"/>
                  </w14:solidFill>
                </w14:textFill>
              </w:rPr>
              <w:t>3.</w:t>
            </w:r>
            <w:r>
              <w:rPr>
                <w:rFonts w:hint="eastAsia" w:ascii="宋体" w:hAnsi="宋体"/>
                <w:b/>
                <w:color w:val="000000" w:themeColor="text1"/>
                <w:szCs w:val="21"/>
                <w:highlight w:val="none"/>
                <w14:textFill>
                  <w14:solidFill>
                    <w14:schemeClr w14:val="tx1"/>
                  </w14:solidFill>
                </w14:textFill>
              </w:rPr>
              <w:t>采用银行、保险机构出具的保函的，必须为无条件保函，否则不予签订合同。</w:t>
            </w:r>
          </w:p>
          <w:p w14:paraId="1DB9227C">
            <w:pPr>
              <w:keepNext w:val="0"/>
              <w:keepLines w:val="0"/>
              <w:pageBreakBefore w:val="0"/>
              <w:widowControl w:val="0"/>
              <w:kinsoku/>
              <w:overflowPunct/>
              <w:topLinePunct w:val="0"/>
              <w:bidi w:val="0"/>
              <w:adjustRightInd/>
              <w:spacing w:line="400" w:lineRule="exact"/>
              <w:contextualSpacing/>
              <w:rPr>
                <w:rFonts w:ascii="宋体" w:hAnsi="宋体" w:cs="宋体"/>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r>
              <w:rPr>
                <w:rFonts w:hint="eastAsia" w:ascii="宋体" w:hAnsi="宋体"/>
                <w:b/>
                <w:color w:val="000000" w:themeColor="text1"/>
                <w:szCs w:val="21"/>
                <w:highlight w:val="none"/>
                <w14:textFill>
                  <w14:solidFill>
                    <w14:schemeClr w14:val="tx1"/>
                  </w14:solidFill>
                </w14:textFill>
              </w:rPr>
              <w:t>供应商为联合体的，由联合体任意一方按规定提交的履约保证金，视为有效履约保证金。</w:t>
            </w:r>
          </w:p>
        </w:tc>
      </w:tr>
      <w:tr w14:paraId="52453A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CC2409D">
            <w:pPr>
              <w:keepNext w:val="0"/>
              <w:keepLines w:val="0"/>
              <w:pageBreakBefore w:val="0"/>
              <w:widowControl w:val="0"/>
              <w:kinsoku/>
              <w:overflowPunct/>
              <w:topLinePunct w:val="0"/>
              <w:bidi w:val="0"/>
              <w:adjustRightInd/>
              <w:spacing w:line="400" w:lineRule="exact"/>
              <w:jc w:val="center"/>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29.1</w:t>
            </w:r>
          </w:p>
        </w:tc>
        <w:tc>
          <w:tcPr>
            <w:tcW w:w="7912" w:type="dxa"/>
            <w:vAlign w:val="center"/>
          </w:tcPr>
          <w:p w14:paraId="266F2C96">
            <w:pPr>
              <w:keepNext w:val="0"/>
              <w:keepLines w:val="0"/>
              <w:pageBreakBefore w:val="0"/>
              <w:widowControl w:val="0"/>
              <w:kinsoku/>
              <w:overflowPunct/>
              <w:topLinePunct w:val="0"/>
              <w:autoSpaceDE w:val="0"/>
              <w:autoSpaceDN w:val="0"/>
              <w:bidi w:val="0"/>
              <w:adjustRightInd/>
              <w:snapToGrid w:val="0"/>
              <w:spacing w:line="400" w:lineRule="exact"/>
              <w:textAlignment w:val="bottom"/>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签订合同携带的证明材料： </w:t>
            </w:r>
          </w:p>
          <w:p w14:paraId="0B7270FE">
            <w:pPr>
              <w:keepNext w:val="0"/>
              <w:keepLines w:val="0"/>
              <w:pageBreakBefore w:val="0"/>
              <w:widowControl w:val="0"/>
              <w:kinsoku/>
              <w:overflowPunct/>
              <w:topLinePunct w:val="0"/>
              <w:autoSpaceDE w:val="0"/>
              <w:autoSpaceDN w:val="0"/>
              <w:bidi w:val="0"/>
              <w:adjustRightInd/>
              <w:snapToGrid w:val="0"/>
              <w:spacing w:line="400" w:lineRule="exact"/>
              <w:textAlignment w:val="bottom"/>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委托代理人负责签订合同的，须携带授权委托书及委托代理人身份证原件等其他资格证件。</w:t>
            </w:r>
          </w:p>
          <w:p w14:paraId="515F679F">
            <w:pPr>
              <w:keepNext w:val="0"/>
              <w:keepLines w:val="0"/>
              <w:pageBreakBefore w:val="0"/>
              <w:widowControl w:val="0"/>
              <w:kinsoku/>
              <w:overflowPunct/>
              <w:topLinePunct w:val="0"/>
              <w:bidi w:val="0"/>
              <w:adjustRightInd/>
              <w:snapToGrid w:val="0"/>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法定代表人负责签订合同的，须携带法定代表人</w:t>
            </w:r>
            <w:r>
              <w:rPr>
                <w:rFonts w:ascii="宋体" w:hAnsi="宋体"/>
                <w:color w:val="000000" w:themeColor="text1"/>
                <w:szCs w:val="21"/>
                <w:highlight w:val="none"/>
                <w14:textFill>
                  <w14:solidFill>
                    <w14:schemeClr w14:val="tx1"/>
                  </w14:solidFill>
                </w14:textFill>
              </w:rPr>
              <w:t>身份证明原件</w:t>
            </w:r>
            <w:r>
              <w:rPr>
                <w:rFonts w:hint="eastAsia" w:ascii="宋体" w:hAnsi="宋体"/>
                <w:color w:val="000000" w:themeColor="text1"/>
                <w:szCs w:val="21"/>
                <w:highlight w:val="none"/>
                <w14:textFill>
                  <w14:solidFill>
                    <w14:schemeClr w14:val="tx1"/>
                  </w14:solidFill>
                </w14:textFill>
              </w:rPr>
              <w:t>及</w:t>
            </w:r>
            <w:r>
              <w:rPr>
                <w:rFonts w:ascii="宋体" w:hAnsi="宋体"/>
                <w:color w:val="000000" w:themeColor="text1"/>
                <w:szCs w:val="21"/>
                <w:highlight w:val="none"/>
                <w14:textFill>
                  <w14:solidFill>
                    <w14:schemeClr w14:val="tx1"/>
                  </w14:solidFill>
                </w14:textFill>
              </w:rPr>
              <w:t>身份证原件</w:t>
            </w:r>
            <w:r>
              <w:rPr>
                <w:rFonts w:hint="eastAsia" w:ascii="宋体" w:hAnsi="宋体"/>
                <w:color w:val="000000" w:themeColor="text1"/>
                <w:szCs w:val="21"/>
                <w:highlight w:val="none"/>
                <w14:textFill>
                  <w14:solidFill>
                    <w14:schemeClr w14:val="tx1"/>
                  </w14:solidFill>
                </w14:textFill>
              </w:rPr>
              <w:t>等其他证明材料。</w:t>
            </w:r>
          </w:p>
        </w:tc>
      </w:tr>
      <w:tr w14:paraId="571A84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5A39A42">
            <w:pPr>
              <w:keepNext w:val="0"/>
              <w:keepLines w:val="0"/>
              <w:pageBreakBefore w:val="0"/>
              <w:widowControl w:val="0"/>
              <w:kinsoku/>
              <w:overflowPunct/>
              <w:topLinePunct w:val="0"/>
              <w:bidi w:val="0"/>
              <w:adjustRightInd/>
              <w:spacing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ascii="宋体" w:hAnsi="宋体" w:cs="宋体"/>
                <w:color w:val="000000" w:themeColor="text1"/>
                <w:szCs w:val="21"/>
                <w:highlight w:val="none"/>
                <w14:textFill>
                  <w14:solidFill>
                    <w14:schemeClr w14:val="tx1"/>
                  </w14:solidFill>
                </w14:textFill>
              </w:rPr>
              <w:t>1.2</w:t>
            </w:r>
          </w:p>
        </w:tc>
        <w:tc>
          <w:tcPr>
            <w:tcW w:w="7912" w:type="dxa"/>
            <w:vAlign w:val="center"/>
          </w:tcPr>
          <w:p w14:paraId="045085CD">
            <w:pPr>
              <w:keepNext w:val="0"/>
              <w:keepLines w:val="0"/>
              <w:pageBreakBefore w:val="0"/>
              <w:widowControl w:val="0"/>
              <w:kinsoku/>
              <w:overflowPunct/>
              <w:topLinePunct w:val="0"/>
              <w:bidi w:val="0"/>
              <w:adjustRightInd/>
              <w:snapToGrid w:val="0"/>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接收质疑函方式：书面形式或者广西政府采购云系统在线形式</w:t>
            </w:r>
          </w:p>
          <w:p w14:paraId="7B4C154B">
            <w:pPr>
              <w:keepNext w:val="0"/>
              <w:keepLines w:val="0"/>
              <w:pageBreakBefore w:val="0"/>
              <w:widowControl w:val="0"/>
              <w:kinsoku/>
              <w:overflowPunct/>
              <w:topLinePunct w:val="0"/>
              <w:bidi w:val="0"/>
              <w:adjustRightInd/>
              <w:snapToGrid w:val="0"/>
              <w:spacing w:line="400" w:lineRule="exac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质疑联系部门及联系方式：广西建通工程咨询有限责任公司钦华分公司招标部</w:t>
            </w:r>
          </w:p>
          <w:p w14:paraId="6779201F">
            <w:pPr>
              <w:keepNext w:val="0"/>
              <w:keepLines w:val="0"/>
              <w:pageBreakBefore w:val="0"/>
              <w:widowControl w:val="0"/>
              <w:kinsoku/>
              <w:overflowPunct/>
              <w:topLinePunct w:val="0"/>
              <w:bidi w:val="0"/>
              <w:adjustRightInd/>
              <w:snapToGrid w:val="0"/>
              <w:spacing w:line="400" w:lineRule="exact"/>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联系电话：0777-</w:t>
            </w:r>
            <w:r>
              <w:rPr>
                <w:rFonts w:hint="eastAsia" w:ascii="宋体" w:hAnsi="宋体" w:cs="宋体"/>
                <w:color w:val="000000" w:themeColor="text1"/>
                <w:kern w:val="0"/>
                <w:szCs w:val="21"/>
                <w:highlight w:val="none"/>
                <w:lang w:val="en-US" w:eastAsia="zh-CN"/>
                <w14:textFill>
                  <w14:solidFill>
                    <w14:schemeClr w14:val="tx1"/>
                  </w14:solidFill>
                </w14:textFill>
              </w:rPr>
              <w:t>3258836</w:t>
            </w:r>
          </w:p>
          <w:p w14:paraId="1C4004AB">
            <w:pPr>
              <w:keepNext w:val="0"/>
              <w:keepLines w:val="0"/>
              <w:pageBreakBefore w:val="0"/>
              <w:widowControl w:val="0"/>
              <w:kinsoku/>
              <w:overflowPunct/>
              <w:topLinePunct w:val="0"/>
              <w:bidi w:val="0"/>
              <w:adjustRightInd/>
              <w:snapToGrid w:val="0"/>
              <w:spacing w:line="400" w:lineRule="exac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通讯地址：广西建通工程咨询有限责任公司钦华分公司（广西钦州市永福东大街中地滨江国际10幢4楼左</w:t>
            </w:r>
            <w:r>
              <w:rPr>
                <w:rFonts w:hint="eastAsia" w:ascii="宋体" w:hAnsi="宋体" w:cs="宋体"/>
                <w:color w:val="000000" w:themeColor="text1"/>
                <w:kern w:val="0"/>
                <w:szCs w:val="21"/>
                <w:highlight w:val="none"/>
                <w:lang w:eastAsia="zh-CN"/>
                <w14:textFill>
                  <w14:solidFill>
                    <w14:schemeClr w14:val="tx1"/>
                  </w14:solidFill>
                </w14:textFill>
              </w:rPr>
              <w:t>尽头</w:t>
            </w:r>
            <w:r>
              <w:rPr>
                <w:rFonts w:hint="eastAsia" w:ascii="宋体" w:hAnsi="宋体" w:cs="宋体"/>
                <w:color w:val="000000" w:themeColor="text1"/>
                <w:kern w:val="0"/>
                <w:szCs w:val="21"/>
                <w:highlight w:val="none"/>
                <w14:textFill>
                  <w14:solidFill>
                    <w14:schemeClr w14:val="tx1"/>
                  </w14:solidFill>
                </w14:textFill>
              </w:rPr>
              <w:t xml:space="preserve">招标部） </w:t>
            </w:r>
          </w:p>
          <w:p w14:paraId="150B61B0">
            <w:pPr>
              <w:keepNext w:val="0"/>
              <w:keepLines w:val="0"/>
              <w:pageBreakBefore w:val="0"/>
              <w:widowControl w:val="0"/>
              <w:kinsoku/>
              <w:overflowPunct/>
              <w:topLinePunct w:val="0"/>
              <w:autoSpaceDE w:val="0"/>
              <w:autoSpaceDN w:val="0"/>
              <w:bidi w:val="0"/>
              <w:adjustRightInd/>
              <w:snapToGrid w:val="0"/>
              <w:spacing w:line="400" w:lineRule="exact"/>
              <w:textAlignment w:val="bottom"/>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业务时间：工作日上午8时00分到12时00分，下午3时00分到6时00分，业务时间以外、双休日和法定节假日不办理业务。</w:t>
            </w:r>
          </w:p>
        </w:tc>
      </w:tr>
      <w:tr w14:paraId="06FB40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34C7170">
            <w:pPr>
              <w:keepNext w:val="0"/>
              <w:keepLines w:val="0"/>
              <w:pageBreakBefore w:val="0"/>
              <w:widowControl w:val="0"/>
              <w:kinsoku/>
              <w:overflowPunct/>
              <w:topLinePunct w:val="0"/>
              <w:bidi w:val="0"/>
              <w:adjustRightInd/>
              <w:spacing w:line="400" w:lineRule="exact"/>
              <w:jc w:val="center"/>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32.1</w:t>
            </w:r>
          </w:p>
        </w:tc>
        <w:tc>
          <w:tcPr>
            <w:tcW w:w="7912" w:type="dxa"/>
            <w:vAlign w:val="center"/>
          </w:tcPr>
          <w:p w14:paraId="2F536EBC">
            <w:pPr>
              <w:pStyle w:val="25"/>
              <w:keepNext w:val="0"/>
              <w:keepLines w:val="0"/>
              <w:pageBreakBefore w:val="0"/>
              <w:widowControl w:val="0"/>
              <w:numPr>
                <w:ilvl w:val="0"/>
                <w:numId w:val="2"/>
              </w:numPr>
              <w:kinsoku/>
              <w:overflowPunct/>
              <w:topLinePunct w:val="0"/>
              <w:bidi w:val="0"/>
              <w:adjustRightInd/>
              <w:snapToGrid w:val="0"/>
              <w:spacing w:line="400" w:lineRule="exact"/>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采购代理费支付方式：</w:t>
            </w:r>
          </w:p>
          <w:p w14:paraId="7E020C28">
            <w:pPr>
              <w:pStyle w:val="25"/>
              <w:keepNext w:val="0"/>
              <w:keepLines w:val="0"/>
              <w:pageBreakBefore w:val="0"/>
              <w:widowControl w:val="0"/>
              <w:kinsoku/>
              <w:overflowPunct/>
              <w:topLinePunct w:val="0"/>
              <w:bidi w:val="0"/>
              <w:adjustRightInd/>
              <w:snapToGrid w:val="0"/>
              <w:spacing w:line="400" w:lineRule="exact"/>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☑本项目代理服务费由</w:t>
            </w:r>
            <w:r>
              <w:rPr>
                <w:rFonts w:hint="eastAsia" w:hAnsi="宋体" w:cs="宋体"/>
                <w:color w:val="000000" w:themeColor="text1"/>
                <w:sz w:val="21"/>
                <w:highlight w:val="none"/>
                <w:u w:val="single"/>
                <w14:textFill>
                  <w14:solidFill>
                    <w14:schemeClr w14:val="tx1"/>
                  </w14:solidFill>
                </w14:textFill>
              </w:rPr>
              <w:t>成交供应商</w:t>
            </w:r>
            <w:r>
              <w:rPr>
                <w:rFonts w:hint="eastAsia" w:hAnsi="宋体" w:cs="宋体"/>
                <w:color w:val="000000" w:themeColor="text1"/>
                <w:sz w:val="21"/>
                <w:highlight w:val="none"/>
                <w14:textFill>
                  <w14:solidFill>
                    <w14:schemeClr w14:val="tx1"/>
                  </w14:solidFill>
                </w14:textFill>
              </w:rPr>
              <w:t>一次性向采购代理机构支付。</w:t>
            </w:r>
          </w:p>
          <w:p w14:paraId="0701C0DC">
            <w:pPr>
              <w:pStyle w:val="25"/>
              <w:keepNext w:val="0"/>
              <w:keepLines w:val="0"/>
              <w:pageBreakBefore w:val="0"/>
              <w:widowControl w:val="0"/>
              <w:kinsoku/>
              <w:overflowPunct/>
              <w:topLinePunct w:val="0"/>
              <w:bidi w:val="0"/>
              <w:adjustRightInd/>
              <w:snapToGrid w:val="0"/>
              <w:spacing w:line="400" w:lineRule="exact"/>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2.采购代理费收取标准：</w:t>
            </w:r>
          </w:p>
          <w:p w14:paraId="217FCA99">
            <w:pPr>
              <w:pStyle w:val="25"/>
              <w:keepNext w:val="0"/>
              <w:keepLines w:val="0"/>
              <w:pageBreakBefore w:val="0"/>
              <w:widowControl w:val="0"/>
              <w:kinsoku/>
              <w:overflowPunct/>
              <w:topLinePunct w:val="0"/>
              <w:bidi w:val="0"/>
              <w:adjustRightInd/>
              <w:snapToGrid w:val="0"/>
              <w:spacing w:line="400" w:lineRule="exact"/>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以成交金额为计费额，按本须知正文第</w:t>
            </w:r>
            <w:r>
              <w:rPr>
                <w:rFonts w:hAnsi="宋体" w:cs="宋体"/>
                <w:color w:val="000000" w:themeColor="text1"/>
                <w:sz w:val="21"/>
                <w:highlight w:val="none"/>
                <w14:textFill>
                  <w14:solidFill>
                    <w14:schemeClr w14:val="tx1"/>
                  </w14:solidFill>
                </w14:textFill>
              </w:rPr>
              <w:t>32</w:t>
            </w:r>
            <w:r>
              <w:rPr>
                <w:rFonts w:hint="eastAsia" w:hAnsi="宋体" w:cs="宋体"/>
                <w:color w:val="000000" w:themeColor="text1"/>
                <w:sz w:val="21"/>
                <w:highlight w:val="none"/>
                <w14:textFill>
                  <w14:solidFill>
                    <w14:schemeClr w14:val="tx1"/>
                  </w14:solidFill>
                </w14:textFill>
              </w:rPr>
              <w:t>.</w:t>
            </w:r>
            <w:r>
              <w:rPr>
                <w:rFonts w:hAnsi="宋体" w:cs="宋体"/>
                <w:color w:val="000000" w:themeColor="text1"/>
                <w:sz w:val="21"/>
                <w:highlight w:val="none"/>
                <w14:textFill>
                  <w14:solidFill>
                    <w14:schemeClr w14:val="tx1"/>
                  </w14:solidFill>
                </w14:textFill>
              </w:rPr>
              <w:t>2</w:t>
            </w:r>
            <w:r>
              <w:rPr>
                <w:rFonts w:hint="eastAsia" w:hAnsi="宋体" w:cs="宋体"/>
                <w:color w:val="000000" w:themeColor="text1"/>
                <w:sz w:val="21"/>
                <w:highlight w:val="none"/>
                <w14:textFill>
                  <w14:solidFill>
                    <w14:schemeClr w14:val="tx1"/>
                  </w14:solidFill>
                </w14:textFill>
              </w:rPr>
              <w:t>条规定的工程类收费标准采用差额定率累进法计算出收费基准价格，采购代理收费以收费基准价格收取。</w:t>
            </w:r>
          </w:p>
          <w:p w14:paraId="5227E4C1">
            <w:pPr>
              <w:pStyle w:val="25"/>
              <w:keepNext w:val="0"/>
              <w:keepLines w:val="0"/>
              <w:pageBreakBefore w:val="0"/>
              <w:widowControl w:val="0"/>
              <w:kinsoku/>
              <w:overflowPunct/>
              <w:topLinePunct w:val="0"/>
              <w:bidi w:val="0"/>
              <w:adjustRightInd/>
              <w:snapToGrid w:val="0"/>
              <w:spacing w:line="400" w:lineRule="exact"/>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3. 采购代理费收取银行账户</w:t>
            </w:r>
          </w:p>
          <w:p w14:paraId="20FACCE9">
            <w:pPr>
              <w:pStyle w:val="25"/>
              <w:keepNext w:val="0"/>
              <w:keepLines w:val="0"/>
              <w:pageBreakBefore w:val="0"/>
              <w:widowControl w:val="0"/>
              <w:kinsoku/>
              <w:overflowPunct/>
              <w:topLinePunct w:val="0"/>
              <w:bidi w:val="0"/>
              <w:adjustRightInd/>
              <w:snapToGrid w:val="0"/>
              <w:spacing w:line="400" w:lineRule="exac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开户名称：广西建通工程咨询有限责任公司钦华分公司；</w:t>
            </w:r>
          </w:p>
          <w:p w14:paraId="6F31F648">
            <w:pPr>
              <w:pStyle w:val="25"/>
              <w:keepNext w:val="0"/>
              <w:keepLines w:val="0"/>
              <w:pageBreakBefore w:val="0"/>
              <w:widowControl w:val="0"/>
              <w:kinsoku/>
              <w:overflowPunct/>
              <w:topLinePunct w:val="0"/>
              <w:bidi w:val="0"/>
              <w:adjustRightInd/>
              <w:snapToGrid w:val="0"/>
              <w:spacing w:line="400" w:lineRule="exac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开户银行：中国工商银行股份有限公司钦州市永福东支行；</w:t>
            </w:r>
          </w:p>
          <w:p w14:paraId="62A6741A">
            <w:pPr>
              <w:pStyle w:val="25"/>
              <w:keepNext w:val="0"/>
              <w:keepLines w:val="0"/>
              <w:pageBreakBefore w:val="0"/>
              <w:widowControl w:val="0"/>
              <w:kinsoku/>
              <w:overflowPunct/>
              <w:topLinePunct w:val="0"/>
              <w:bidi w:val="0"/>
              <w:adjustRightInd/>
              <w:snapToGrid w:val="0"/>
              <w:spacing w:line="400" w:lineRule="exact"/>
              <w:rPr>
                <w:rFonts w:hAnsi="宋体" w:cs="宋体"/>
                <w:color w:val="000000" w:themeColor="text1"/>
                <w:sz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银行账号：211 5591 2091 0003 6456。 </w:t>
            </w:r>
          </w:p>
        </w:tc>
      </w:tr>
      <w:tr w14:paraId="0A0C1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E79B2FE">
            <w:pPr>
              <w:keepNext w:val="0"/>
              <w:keepLines w:val="0"/>
              <w:pageBreakBefore w:val="0"/>
              <w:widowControl w:val="0"/>
              <w:kinsoku/>
              <w:overflowPunct/>
              <w:topLinePunct w:val="0"/>
              <w:bidi w:val="0"/>
              <w:adjustRightInd/>
              <w:spacing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ascii="宋体" w:hAnsi="宋体" w:cs="宋体"/>
                <w:color w:val="000000" w:themeColor="text1"/>
                <w:szCs w:val="21"/>
                <w:highlight w:val="none"/>
                <w14:textFill>
                  <w14:solidFill>
                    <w14:schemeClr w14:val="tx1"/>
                  </w14:solidFill>
                </w14:textFill>
              </w:rPr>
              <w:t>3.1</w:t>
            </w:r>
          </w:p>
        </w:tc>
        <w:tc>
          <w:tcPr>
            <w:tcW w:w="7912" w:type="dxa"/>
            <w:vAlign w:val="center"/>
          </w:tcPr>
          <w:p w14:paraId="1CCCC145">
            <w:pPr>
              <w:pStyle w:val="25"/>
              <w:keepNext w:val="0"/>
              <w:keepLines w:val="0"/>
              <w:pageBreakBefore w:val="0"/>
              <w:widowControl w:val="0"/>
              <w:kinsoku/>
              <w:overflowPunct/>
              <w:topLinePunct w:val="0"/>
              <w:bidi w:val="0"/>
              <w:adjustRightInd/>
              <w:snapToGrid w:val="0"/>
              <w:spacing w:line="400" w:lineRule="exact"/>
              <w:rPr>
                <w:rFonts w:hAnsi="宋体" w:cs="宋体"/>
                <w:color w:val="000000" w:themeColor="text1"/>
                <w:kern w:val="2"/>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解释：</w:t>
            </w:r>
            <w:r>
              <w:rPr>
                <w:rFonts w:hAnsi="宋体"/>
                <w:color w:val="000000" w:themeColor="text1"/>
                <w:sz w:val="21"/>
                <w:highlight w:val="none"/>
                <w14:textFill>
                  <w14:solidFill>
                    <w14:schemeClr w14:val="tx1"/>
                  </w14:solidFill>
                </w14:textFill>
              </w:rPr>
              <w:t>构成本</w:t>
            </w:r>
            <w:r>
              <w:rPr>
                <w:rFonts w:hint="eastAsia" w:hAnsi="宋体"/>
                <w:color w:val="000000" w:themeColor="text1"/>
                <w:sz w:val="21"/>
                <w:highlight w:val="none"/>
                <w14:textFill>
                  <w14:solidFill>
                    <w14:schemeClr w14:val="tx1"/>
                  </w14:solidFill>
                </w14:textFill>
              </w:rPr>
              <w:t>磋商文件</w:t>
            </w:r>
            <w:r>
              <w:rPr>
                <w:rFonts w:hAnsi="宋体"/>
                <w:color w:val="000000" w:themeColor="text1"/>
                <w:sz w:val="21"/>
                <w:highlight w:val="none"/>
                <w14:textFill>
                  <w14:solidFill>
                    <w14:schemeClr w14:val="tx1"/>
                  </w14:solidFill>
                </w14:textFill>
              </w:rPr>
              <w:t>的各个组成文件应互为解释，互为说明</w:t>
            </w:r>
            <w:r>
              <w:rPr>
                <w:rFonts w:hint="eastAsia" w:hAnsi="宋体"/>
                <w:color w:val="000000" w:themeColor="text1"/>
                <w:sz w:val="21"/>
                <w:highlight w:val="none"/>
                <w:lang w:eastAsia="zh-CN"/>
                <w14:textFill>
                  <w14:solidFill>
                    <w14:schemeClr w14:val="tx1"/>
                  </w14:solidFill>
                </w14:textFill>
              </w:rPr>
              <w:t>；</w:t>
            </w:r>
            <w:r>
              <w:rPr>
                <w:rFonts w:hAnsi="宋体"/>
                <w:color w:val="000000" w:themeColor="text1"/>
                <w:sz w:val="21"/>
                <w:highlight w:val="none"/>
                <w14:textFill>
                  <w14:solidFill>
                    <w14:schemeClr w14:val="tx1"/>
                  </w14:solidFill>
                </w14:textFill>
              </w:rPr>
              <w:t>除</w:t>
            </w:r>
            <w:r>
              <w:rPr>
                <w:rFonts w:hint="eastAsia" w:hAnsi="宋体"/>
                <w:color w:val="000000" w:themeColor="text1"/>
                <w:sz w:val="21"/>
                <w:highlight w:val="none"/>
                <w14:textFill>
                  <w14:solidFill>
                    <w14:schemeClr w14:val="tx1"/>
                  </w14:solidFill>
                </w14:textFill>
              </w:rPr>
              <w:t>磋商文件</w:t>
            </w:r>
            <w:r>
              <w:rPr>
                <w:rFonts w:hAnsi="宋体"/>
                <w:color w:val="000000" w:themeColor="text1"/>
                <w:sz w:val="21"/>
                <w:highlight w:val="none"/>
                <w14:textFill>
                  <w14:solidFill>
                    <w14:schemeClr w14:val="tx1"/>
                  </w14:solidFill>
                </w14:textFill>
              </w:rPr>
              <w:t>中有特别规定外，仅适用于</w:t>
            </w:r>
            <w:r>
              <w:rPr>
                <w:rFonts w:hint="eastAsia" w:hAnsi="宋体"/>
                <w:color w:val="000000" w:themeColor="text1"/>
                <w:sz w:val="21"/>
                <w:highlight w:val="none"/>
                <w14:textFill>
                  <w14:solidFill>
                    <w14:schemeClr w14:val="tx1"/>
                  </w14:solidFill>
                </w14:textFill>
              </w:rPr>
              <w:t>竞标</w:t>
            </w:r>
            <w:r>
              <w:rPr>
                <w:rFonts w:hAnsi="宋体"/>
                <w:color w:val="000000" w:themeColor="text1"/>
                <w:sz w:val="21"/>
                <w:highlight w:val="none"/>
                <w14:textFill>
                  <w14:solidFill>
                    <w14:schemeClr w14:val="tx1"/>
                  </w14:solidFill>
                </w14:textFill>
              </w:rPr>
              <w:t>阶段的规定，按</w:t>
            </w:r>
            <w:r>
              <w:rPr>
                <w:rFonts w:hint="eastAsia" w:hAnsi="宋体"/>
                <w:color w:val="000000" w:themeColor="text1"/>
                <w:sz w:val="21"/>
                <w:highlight w:val="none"/>
                <w14:textFill>
                  <w14:solidFill>
                    <w14:schemeClr w14:val="tx1"/>
                  </w14:solidFill>
                </w14:textFill>
              </w:rPr>
              <w:t>更正公告（澄清公告）</w:t>
            </w:r>
            <w:r>
              <w:rPr>
                <w:rFonts w:hAnsi="宋体"/>
                <w:color w:val="000000" w:themeColor="text1"/>
                <w:sz w:val="21"/>
                <w:highlight w:val="none"/>
                <w14:textFill>
                  <w14:solidFill>
                    <w14:schemeClr w14:val="tx1"/>
                  </w14:solidFill>
                </w14:textFill>
              </w:rPr>
              <w:t>、</w:t>
            </w:r>
            <w:r>
              <w:rPr>
                <w:rFonts w:hint="eastAsia" w:hAnsi="宋体"/>
                <w:color w:val="000000" w:themeColor="text1"/>
                <w:sz w:val="21"/>
                <w:highlight w:val="none"/>
                <w14:textFill>
                  <w14:solidFill>
                    <w14:schemeClr w14:val="tx1"/>
                  </w14:solidFill>
                </w14:textFill>
              </w:rPr>
              <w:t>竞争性磋商</w:t>
            </w:r>
            <w:r>
              <w:rPr>
                <w:rFonts w:hAnsi="宋体"/>
                <w:color w:val="000000" w:themeColor="text1"/>
                <w:sz w:val="21"/>
                <w:highlight w:val="none"/>
                <w14:textFill>
                  <w14:solidFill>
                    <w14:schemeClr w14:val="tx1"/>
                  </w14:solidFill>
                </w14:textFill>
              </w:rPr>
              <w:t>公告、</w:t>
            </w:r>
            <w:r>
              <w:rPr>
                <w:rFonts w:hint="eastAsia" w:hAnsi="宋体"/>
                <w:color w:val="000000" w:themeColor="text1"/>
                <w:sz w:val="21"/>
                <w:highlight w:val="none"/>
                <w14:textFill>
                  <w14:solidFill>
                    <w14:schemeClr w14:val="tx1"/>
                  </w14:solidFill>
                </w14:textFill>
              </w:rPr>
              <w:t>供应商</w:t>
            </w:r>
            <w:r>
              <w:rPr>
                <w:rFonts w:hAnsi="宋体"/>
                <w:color w:val="000000" w:themeColor="text1"/>
                <w:sz w:val="21"/>
                <w:highlight w:val="none"/>
                <w14:textFill>
                  <w14:solidFill>
                    <w14:schemeClr w14:val="tx1"/>
                  </w14:solidFill>
                </w14:textFill>
              </w:rPr>
              <w:t>须知</w:t>
            </w:r>
            <w:r>
              <w:rPr>
                <w:rFonts w:hint="eastAsia" w:hAnsi="宋体"/>
                <w:color w:val="000000" w:themeColor="text1"/>
                <w:sz w:val="21"/>
                <w:highlight w:val="none"/>
                <w14:textFill>
                  <w14:solidFill>
                    <w14:schemeClr w14:val="tx1"/>
                  </w14:solidFill>
                </w14:textFill>
              </w:rPr>
              <w:t>、采购需求</w:t>
            </w:r>
            <w:r>
              <w:rPr>
                <w:rFonts w:hAnsi="宋体"/>
                <w:color w:val="000000" w:themeColor="text1"/>
                <w:sz w:val="21"/>
                <w:highlight w:val="none"/>
                <w14:textFill>
                  <w14:solidFill>
                    <w14:schemeClr w14:val="tx1"/>
                  </w14:solidFill>
                </w14:textFill>
              </w:rPr>
              <w:t>、</w:t>
            </w:r>
            <w:r>
              <w:rPr>
                <w:rFonts w:hint="eastAsia"/>
                <w:color w:val="000000" w:themeColor="text1"/>
                <w:sz w:val="21"/>
                <w:highlight w:val="none"/>
                <w14:textFill>
                  <w14:solidFill>
                    <w14:schemeClr w14:val="tx1"/>
                  </w14:solidFill>
                </w14:textFill>
              </w:rPr>
              <w:t>评审程序、评审方法和评审标准</w:t>
            </w:r>
            <w:r>
              <w:rPr>
                <w:rFonts w:hAnsi="宋体"/>
                <w:color w:val="000000" w:themeColor="text1"/>
                <w:sz w:val="21"/>
                <w:highlight w:val="none"/>
                <w14:textFill>
                  <w14:solidFill>
                    <w14:schemeClr w14:val="tx1"/>
                  </w14:solidFill>
                </w14:textFill>
              </w:rPr>
              <w:t>、</w:t>
            </w:r>
            <w:r>
              <w:rPr>
                <w:rFonts w:hint="eastAsia" w:hAnsi="宋体"/>
                <w:color w:val="000000" w:themeColor="text1"/>
                <w:sz w:val="21"/>
                <w:highlight w:val="none"/>
                <w14:textFill>
                  <w14:solidFill>
                    <w14:schemeClr w14:val="tx1"/>
                  </w14:solidFill>
                </w14:textFill>
              </w:rPr>
              <w:t>响应</w:t>
            </w:r>
            <w:r>
              <w:rPr>
                <w:rFonts w:hAnsi="宋体"/>
                <w:color w:val="000000" w:themeColor="text1"/>
                <w:sz w:val="21"/>
                <w:highlight w:val="none"/>
                <w14:textFill>
                  <w14:solidFill>
                    <w14:schemeClr w14:val="tx1"/>
                  </w14:solidFill>
                </w14:textFill>
              </w:rPr>
              <w:t>文件格式</w:t>
            </w:r>
            <w:r>
              <w:rPr>
                <w:rFonts w:hint="eastAsia" w:hAnsi="宋体"/>
                <w:color w:val="000000" w:themeColor="text1"/>
                <w:sz w:val="21"/>
                <w:highlight w:val="none"/>
                <w14:textFill>
                  <w14:solidFill>
                    <w14:schemeClr w14:val="tx1"/>
                  </w14:solidFill>
                </w14:textFill>
              </w:rPr>
              <w:t>、合同文本</w:t>
            </w:r>
            <w:r>
              <w:rPr>
                <w:rFonts w:hAnsi="宋体"/>
                <w:color w:val="000000" w:themeColor="text1"/>
                <w:sz w:val="21"/>
                <w:highlight w:val="none"/>
                <w14:textFill>
                  <w14:solidFill>
                    <w14:schemeClr w14:val="tx1"/>
                  </w14:solidFill>
                </w14:textFill>
              </w:rPr>
              <w:t>的先后顺序解释</w:t>
            </w:r>
            <w:r>
              <w:rPr>
                <w:rFonts w:hint="eastAsia" w:hAnsi="宋体"/>
                <w:color w:val="000000" w:themeColor="text1"/>
                <w:sz w:val="21"/>
                <w:highlight w:val="none"/>
                <w:lang w:eastAsia="zh-CN"/>
                <w14:textFill>
                  <w14:solidFill>
                    <w14:schemeClr w14:val="tx1"/>
                  </w14:solidFill>
                </w14:textFill>
              </w:rPr>
              <w:t>；</w:t>
            </w:r>
            <w:r>
              <w:rPr>
                <w:rFonts w:hAnsi="宋体"/>
                <w:color w:val="000000" w:themeColor="text1"/>
                <w:sz w:val="21"/>
                <w:highlight w:val="none"/>
                <w14:textFill>
                  <w14:solidFill>
                    <w14:schemeClr w14:val="tx1"/>
                  </w14:solidFill>
                </w14:textFill>
              </w:rPr>
              <w:t>同一组成文件中就同一事项的规定或者约定不一致的，以编排顺序在后者为准</w:t>
            </w:r>
            <w:r>
              <w:rPr>
                <w:rFonts w:hint="eastAsia" w:hAnsi="宋体"/>
                <w:color w:val="000000" w:themeColor="text1"/>
                <w:sz w:val="21"/>
                <w:highlight w:val="none"/>
                <w:lang w:eastAsia="zh-CN"/>
                <w14:textFill>
                  <w14:solidFill>
                    <w14:schemeClr w14:val="tx1"/>
                  </w14:solidFill>
                </w14:textFill>
              </w:rPr>
              <w:t>；</w:t>
            </w:r>
            <w:r>
              <w:rPr>
                <w:rFonts w:hAnsi="宋体"/>
                <w:color w:val="000000" w:themeColor="text1"/>
                <w:sz w:val="21"/>
                <w:highlight w:val="none"/>
                <w14:textFill>
                  <w14:solidFill>
                    <w14:schemeClr w14:val="tx1"/>
                  </w14:solidFill>
                </w14:textFill>
              </w:rPr>
              <w:t>同一组成文件不同版本之间有不一致的，以形成时间在后者为准</w:t>
            </w:r>
            <w:r>
              <w:rPr>
                <w:rFonts w:hint="eastAsia" w:hAnsi="宋体"/>
                <w:color w:val="000000" w:themeColor="text1"/>
                <w:sz w:val="21"/>
                <w:highlight w:val="none"/>
                <w:lang w:eastAsia="zh-CN"/>
                <w14:textFill>
                  <w14:solidFill>
                    <w14:schemeClr w14:val="tx1"/>
                  </w14:solidFill>
                </w14:textFill>
              </w:rPr>
              <w:t>；</w:t>
            </w:r>
            <w:r>
              <w:rPr>
                <w:rFonts w:hint="eastAsia" w:hAnsi="宋体"/>
                <w:color w:val="000000" w:themeColor="text1"/>
                <w:sz w:val="21"/>
                <w:highlight w:val="none"/>
                <w14:textFill>
                  <w14:solidFill>
                    <w14:schemeClr w14:val="tx1"/>
                  </w14:solidFill>
                </w14:textFill>
              </w:rPr>
              <w:t>更正公告（澄清公告）</w:t>
            </w:r>
            <w:r>
              <w:rPr>
                <w:rFonts w:hAnsi="宋体"/>
                <w:color w:val="000000" w:themeColor="text1"/>
                <w:sz w:val="21"/>
                <w:highlight w:val="none"/>
                <w14:textFill>
                  <w14:solidFill>
                    <w14:schemeClr w14:val="tx1"/>
                  </w14:solidFill>
                </w14:textFill>
              </w:rPr>
              <w:t>与同步更新的</w:t>
            </w:r>
            <w:r>
              <w:rPr>
                <w:rFonts w:hint="eastAsia" w:hAnsi="宋体"/>
                <w:color w:val="000000" w:themeColor="text1"/>
                <w:sz w:val="21"/>
                <w:highlight w:val="none"/>
                <w14:textFill>
                  <w14:solidFill>
                    <w14:schemeClr w14:val="tx1"/>
                  </w14:solidFill>
                </w14:textFill>
              </w:rPr>
              <w:t>磋商文件</w:t>
            </w:r>
            <w:r>
              <w:rPr>
                <w:rFonts w:hAnsi="宋体"/>
                <w:color w:val="000000" w:themeColor="text1"/>
                <w:sz w:val="21"/>
                <w:highlight w:val="none"/>
                <w14:textFill>
                  <w14:solidFill>
                    <w14:schemeClr w14:val="tx1"/>
                  </w14:solidFill>
                </w14:textFill>
              </w:rPr>
              <w:t>不一致时以</w:t>
            </w:r>
            <w:r>
              <w:rPr>
                <w:rFonts w:hint="eastAsia" w:hAnsi="宋体"/>
                <w:color w:val="000000" w:themeColor="text1"/>
                <w:sz w:val="21"/>
                <w:highlight w:val="none"/>
                <w14:textFill>
                  <w14:solidFill>
                    <w14:schemeClr w14:val="tx1"/>
                  </w14:solidFill>
                </w14:textFill>
              </w:rPr>
              <w:t>更正公告（澄清公告）</w:t>
            </w:r>
            <w:r>
              <w:rPr>
                <w:rFonts w:hAnsi="宋体"/>
                <w:color w:val="000000" w:themeColor="text1"/>
                <w:sz w:val="21"/>
                <w:highlight w:val="none"/>
                <w14:textFill>
                  <w14:solidFill>
                    <w14:schemeClr w14:val="tx1"/>
                  </w14:solidFill>
                </w14:textFill>
              </w:rPr>
              <w:t>为准。按本款前述规定仍不能形成结论的，由</w:t>
            </w:r>
            <w:r>
              <w:rPr>
                <w:rFonts w:hint="eastAsia" w:hAnsi="宋体"/>
                <w:color w:val="000000" w:themeColor="text1"/>
                <w:sz w:val="21"/>
                <w:highlight w:val="none"/>
                <w14:textFill>
                  <w14:solidFill>
                    <w14:schemeClr w14:val="tx1"/>
                  </w14:solidFill>
                </w14:textFill>
              </w:rPr>
              <w:t>采购</w:t>
            </w:r>
            <w:r>
              <w:rPr>
                <w:rFonts w:hAnsi="宋体"/>
                <w:color w:val="000000" w:themeColor="text1"/>
                <w:sz w:val="21"/>
                <w:highlight w:val="none"/>
                <w14:textFill>
                  <w14:solidFill>
                    <w14:schemeClr w14:val="tx1"/>
                  </w14:solidFill>
                </w14:textFill>
              </w:rPr>
              <w:t>人</w:t>
            </w:r>
            <w:r>
              <w:rPr>
                <w:rFonts w:hint="eastAsia" w:hAnsi="宋体"/>
                <w:color w:val="000000" w:themeColor="text1"/>
                <w:sz w:val="21"/>
                <w:highlight w:val="none"/>
                <w14:textFill>
                  <w14:solidFill>
                    <w14:schemeClr w14:val="tx1"/>
                  </w14:solidFill>
                </w14:textFill>
              </w:rPr>
              <w:t>或者采购代理机构</w:t>
            </w:r>
            <w:r>
              <w:rPr>
                <w:rFonts w:hAnsi="宋体"/>
                <w:color w:val="000000" w:themeColor="text1"/>
                <w:sz w:val="21"/>
                <w:highlight w:val="none"/>
                <w14:textFill>
                  <w14:solidFill>
                    <w14:schemeClr w14:val="tx1"/>
                  </w14:solidFill>
                </w14:textFill>
              </w:rPr>
              <w:t>负责解释。</w:t>
            </w:r>
          </w:p>
        </w:tc>
      </w:tr>
      <w:tr w14:paraId="167C1B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DD6DEFC">
            <w:pPr>
              <w:keepNext w:val="0"/>
              <w:keepLines w:val="0"/>
              <w:pageBreakBefore w:val="0"/>
              <w:widowControl w:val="0"/>
              <w:kinsoku/>
              <w:overflowPunct/>
              <w:topLinePunct w:val="0"/>
              <w:bidi w:val="0"/>
              <w:adjustRightInd/>
              <w:spacing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33.2</w:t>
            </w:r>
          </w:p>
        </w:tc>
        <w:tc>
          <w:tcPr>
            <w:tcW w:w="7912" w:type="dxa"/>
            <w:vAlign w:val="center"/>
          </w:tcPr>
          <w:p w14:paraId="7723E6F8">
            <w:pPr>
              <w:pStyle w:val="25"/>
              <w:keepNext w:val="0"/>
              <w:keepLines w:val="0"/>
              <w:pageBreakBefore w:val="0"/>
              <w:widowControl w:val="0"/>
              <w:kinsoku/>
              <w:overflowPunct/>
              <w:topLinePunct w:val="0"/>
              <w:bidi w:val="0"/>
              <w:adjustRightInd/>
              <w:snapToGrid w:val="0"/>
              <w:spacing w:line="400" w:lineRule="exact"/>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农民工工资保证金：按照《保障农民工工资支付条例》及《广西壮族自治区人力资源和社会保障厅等8部门关于印发广西壮族自治区工程建设领域农民工工资专用账户管理暂行办法实施细则的通知》（桂人社规〔2022〕5号）有关规定执行。如开设了农民工工资专用账户的，应按规定比例足额将农民工工资保证金存入账户，也可以使用银行保函。工程竣工验收结算经审定后，按照规定程序，将农民工工资保证金没有使用或剩余的金额退还给承包人。</w:t>
            </w:r>
          </w:p>
        </w:tc>
      </w:tr>
      <w:tr w14:paraId="248276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4D852CE">
            <w:pPr>
              <w:keepNext w:val="0"/>
              <w:keepLines w:val="0"/>
              <w:pageBreakBefore w:val="0"/>
              <w:widowControl w:val="0"/>
              <w:kinsoku/>
              <w:overflowPunct/>
              <w:topLinePunct w:val="0"/>
              <w:bidi w:val="0"/>
              <w:adjustRightInd/>
              <w:spacing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3</w:t>
            </w:r>
          </w:p>
        </w:tc>
        <w:tc>
          <w:tcPr>
            <w:tcW w:w="7912" w:type="dxa"/>
            <w:vAlign w:val="center"/>
          </w:tcPr>
          <w:p w14:paraId="687C1E18">
            <w:pPr>
              <w:pStyle w:val="25"/>
              <w:keepNext w:val="0"/>
              <w:keepLines w:val="0"/>
              <w:pageBreakBefore w:val="0"/>
              <w:widowControl w:val="0"/>
              <w:kinsoku/>
              <w:overflowPunct/>
              <w:topLinePunct w:val="0"/>
              <w:bidi w:val="0"/>
              <w:adjustRightInd/>
              <w:snapToGrid w:val="0"/>
              <w:spacing w:line="400" w:lineRule="exact"/>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2BEC3AB6">
            <w:pPr>
              <w:pStyle w:val="25"/>
              <w:keepNext w:val="0"/>
              <w:keepLines w:val="0"/>
              <w:pageBreakBefore w:val="0"/>
              <w:widowControl w:val="0"/>
              <w:kinsoku/>
              <w:overflowPunct/>
              <w:topLinePunct w:val="0"/>
              <w:bidi w:val="0"/>
              <w:adjustRightInd/>
              <w:snapToGrid w:val="0"/>
              <w:spacing w:line="400" w:lineRule="exact"/>
              <w:rPr>
                <w:rFonts w:hAnsi="宋体" w:cs="宋体"/>
                <w:color w:val="000000" w:themeColor="text1"/>
                <w:sz w:val="21"/>
                <w:highlight w:val="none"/>
                <w14:textFill>
                  <w14:solidFill>
                    <w14:schemeClr w14:val="tx1"/>
                  </w14:solidFill>
                </w14:textFill>
              </w:rPr>
            </w:pPr>
            <w:r>
              <w:rPr>
                <w:rFonts w:hint="eastAsia" w:hAnsi="宋体" w:cs="宋体"/>
                <w:bCs/>
                <w:color w:val="000000" w:themeColor="text1"/>
                <w:sz w:val="21"/>
                <w:highlight w:val="none"/>
                <w14:textFill>
                  <w14:solidFill>
                    <w14:schemeClr w14:val="tx1"/>
                  </w14:solidFill>
                </w14:textFill>
              </w:rPr>
              <w:t>2.本磋商文件所称的“</w:t>
            </w:r>
            <w:r>
              <w:rPr>
                <w:rFonts w:hint="eastAsia" w:hAnsi="宋体"/>
                <w:color w:val="000000" w:themeColor="text1"/>
                <w:sz w:val="21"/>
                <w:highlight w:val="none"/>
                <w14:textFill>
                  <w14:solidFill>
                    <w14:schemeClr w14:val="tx1"/>
                  </w14:solidFill>
                </w14:textFill>
              </w:rPr>
              <w:t>电子签章</w:t>
            </w:r>
            <w:r>
              <w:rPr>
                <w:rFonts w:hint="eastAsia" w:hAnsi="宋体" w:cs="宋体"/>
                <w:bCs/>
                <w:color w:val="000000" w:themeColor="text1"/>
                <w:sz w:val="21"/>
                <w:highlight w:val="none"/>
                <w14:textFill>
                  <w14:solidFill>
                    <w14:schemeClr w14:val="tx1"/>
                  </w14:solidFill>
                </w14:textFill>
              </w:rPr>
              <w:t>”、“电子签名”</w:t>
            </w:r>
            <w:r>
              <w:rPr>
                <w:rFonts w:hint="eastAsia" w:hAnsi="宋体"/>
                <w:color w:val="000000" w:themeColor="text1"/>
                <w:sz w:val="21"/>
                <w:highlight w:val="none"/>
                <w14:textFill>
                  <w14:solidFill>
                    <w14:schemeClr w14:val="tx1"/>
                  </w14:solidFill>
                </w14:textFill>
              </w:rPr>
              <w:t>，是指经广西政府采购云平台认可的CA认证的电子签名数据为表现形式的印章，可用于签署电子响应文件，电子印章与实物印章具有同等法律效力，不因其采用电子化表现形式而否定其法律效力。</w:t>
            </w:r>
          </w:p>
          <w:p w14:paraId="14C5729E">
            <w:pPr>
              <w:pStyle w:val="25"/>
              <w:keepNext w:val="0"/>
              <w:keepLines w:val="0"/>
              <w:pageBreakBefore w:val="0"/>
              <w:widowControl w:val="0"/>
              <w:kinsoku/>
              <w:overflowPunct/>
              <w:topLinePunct w:val="0"/>
              <w:bidi w:val="0"/>
              <w:adjustRightInd/>
              <w:snapToGrid w:val="0"/>
              <w:spacing w:line="400" w:lineRule="exact"/>
              <w:rPr>
                <w:rFonts w:hAnsi="宋体" w:cs="宋体"/>
                <w:bCs/>
                <w:color w:val="000000" w:themeColor="text1"/>
                <w:sz w:val="21"/>
                <w:highlight w:val="none"/>
                <w14:textFill>
                  <w14:solidFill>
                    <w14:schemeClr w14:val="tx1"/>
                  </w14:solidFill>
                </w14:textFill>
              </w:rPr>
            </w:pPr>
            <w:r>
              <w:rPr>
                <w:rFonts w:hAnsi="宋体" w:cs="宋体"/>
                <w:color w:val="000000" w:themeColor="text1"/>
                <w:sz w:val="21"/>
                <w:highlight w:val="none"/>
                <w14:textFill>
                  <w14:solidFill>
                    <w14:schemeClr w14:val="tx1"/>
                  </w14:solidFill>
                </w14:textFill>
              </w:rPr>
              <w:t>3</w:t>
            </w:r>
            <w:r>
              <w:rPr>
                <w:rFonts w:hint="eastAsia" w:hAnsi="宋体" w:cs="宋体"/>
                <w:color w:val="000000" w:themeColor="text1"/>
                <w:sz w:val="21"/>
                <w:highlight w:val="none"/>
                <w14:textFill>
                  <w14:solidFill>
                    <w14:schemeClr w14:val="tx1"/>
                  </w14:solidFill>
                </w14:textFill>
              </w:rPr>
              <w:t>.供应商为其他组织时，本磋商文件规定的法定代表人指负责人。本磋商文件所称负责人是指参加竞标的其他组织</w:t>
            </w:r>
            <w:r>
              <w:rPr>
                <w:rFonts w:hint="eastAsia" w:hAnsi="宋体" w:cs="宋体"/>
                <w:bCs/>
                <w:color w:val="000000" w:themeColor="text1"/>
                <w:sz w:val="21"/>
                <w:highlight w:val="none"/>
                <w14:textFill>
                  <w14:solidFill>
                    <w14:schemeClr w14:val="tx1"/>
                  </w14:solidFill>
                </w14:textFill>
              </w:rPr>
              <w:t>营业执照或者执业许可证等证照上的</w:t>
            </w:r>
            <w:r>
              <w:rPr>
                <w:rFonts w:hint="eastAsia" w:hAnsi="宋体" w:cs="宋体"/>
                <w:color w:val="000000" w:themeColor="text1"/>
                <w:sz w:val="21"/>
                <w:highlight w:val="none"/>
                <w14:textFill>
                  <w14:solidFill>
                    <w14:schemeClr w14:val="tx1"/>
                  </w14:solidFill>
                </w14:textFill>
              </w:rPr>
              <w:t>负责人</w:t>
            </w:r>
            <w:r>
              <w:rPr>
                <w:rFonts w:hint="eastAsia" w:hAnsi="宋体" w:cs="宋体"/>
                <w:bCs/>
                <w:color w:val="000000" w:themeColor="text1"/>
                <w:sz w:val="21"/>
                <w:highlight w:val="none"/>
                <w14:textFill>
                  <w14:solidFill>
                    <w14:schemeClr w14:val="tx1"/>
                  </w14:solidFill>
                </w14:textFill>
              </w:rPr>
              <w:t>。</w:t>
            </w:r>
          </w:p>
          <w:p w14:paraId="32F3B112">
            <w:pPr>
              <w:pStyle w:val="25"/>
              <w:keepNext w:val="0"/>
              <w:keepLines w:val="0"/>
              <w:pageBreakBefore w:val="0"/>
              <w:widowControl w:val="0"/>
              <w:kinsoku/>
              <w:overflowPunct/>
              <w:topLinePunct w:val="0"/>
              <w:bidi w:val="0"/>
              <w:adjustRightInd/>
              <w:snapToGrid w:val="0"/>
              <w:spacing w:line="400" w:lineRule="exact"/>
              <w:rPr>
                <w:rFonts w:hAnsi="宋体" w:cs="宋体"/>
                <w:color w:val="000000" w:themeColor="text1"/>
                <w:sz w:val="21"/>
                <w:highlight w:val="none"/>
                <w14:textFill>
                  <w14:solidFill>
                    <w14:schemeClr w14:val="tx1"/>
                  </w14:solidFill>
                </w14:textFill>
              </w:rPr>
            </w:pPr>
            <w:r>
              <w:rPr>
                <w:rFonts w:hAnsi="宋体" w:cs="宋体"/>
                <w:color w:val="000000" w:themeColor="text1"/>
                <w:sz w:val="21"/>
                <w:highlight w:val="none"/>
                <w14:textFill>
                  <w14:solidFill>
                    <w14:schemeClr w14:val="tx1"/>
                  </w14:solidFill>
                </w14:textFill>
              </w:rPr>
              <w:t>4.</w:t>
            </w:r>
            <w:r>
              <w:rPr>
                <w:rFonts w:hint="eastAsia" w:hAnsi="宋体" w:cs="宋体"/>
                <w:color w:val="000000" w:themeColor="text1"/>
                <w:sz w:val="21"/>
                <w:highlight w:val="none"/>
                <w14:textFill>
                  <w14:solidFill>
                    <w14:schemeClr w14:val="tx1"/>
                  </w14:solidFill>
                </w14:textFill>
              </w:rPr>
              <w:t>本磋商文件中描述供应商的“签字”是指供应商的法定代表人或者委托代理人亲自在文件规定签署处亲笔写上个人的名字的行为，私章、签字章、印鉴、影印等其他形式均不能代替亲笔签字。</w:t>
            </w:r>
          </w:p>
          <w:p w14:paraId="2C6FA80A">
            <w:pPr>
              <w:pStyle w:val="25"/>
              <w:keepNext w:val="0"/>
              <w:keepLines w:val="0"/>
              <w:pageBreakBefore w:val="0"/>
              <w:widowControl w:val="0"/>
              <w:kinsoku/>
              <w:overflowPunct/>
              <w:topLinePunct w:val="0"/>
              <w:bidi w:val="0"/>
              <w:adjustRightInd/>
              <w:snapToGrid w:val="0"/>
              <w:spacing w:line="400" w:lineRule="exact"/>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5</w:t>
            </w:r>
            <w:r>
              <w:rPr>
                <w:rFonts w:hAnsi="宋体" w:cs="宋体"/>
                <w:color w:val="000000" w:themeColor="text1"/>
                <w:sz w:val="21"/>
                <w:highlight w:val="none"/>
                <w14:textFill>
                  <w14:solidFill>
                    <w14:schemeClr w14:val="tx1"/>
                  </w14:solidFill>
                </w14:textFill>
              </w:rPr>
              <w:t>.</w:t>
            </w:r>
            <w:r>
              <w:rPr>
                <w:rFonts w:hint="eastAsia" w:hAnsi="宋体" w:cs="宋体"/>
                <w:color w:val="000000" w:themeColor="text1"/>
                <w:sz w:val="21"/>
                <w:highlight w:val="none"/>
                <w14:textFill>
                  <w14:solidFill>
                    <w14:schemeClr w14:val="tx1"/>
                  </w14:solidFill>
                </w14:textFill>
              </w:rPr>
              <w:t>本磋商文件所称的“以上”“以下”“以内”“届满”，包括本数</w:t>
            </w:r>
            <w:r>
              <w:rPr>
                <w:rFonts w:hint="eastAsia" w:hAnsi="宋体" w:cs="宋体"/>
                <w:color w:val="000000" w:themeColor="text1"/>
                <w:sz w:val="21"/>
                <w:highlight w:val="none"/>
                <w:lang w:eastAsia="zh-CN"/>
                <w14:textFill>
                  <w14:solidFill>
                    <w14:schemeClr w14:val="tx1"/>
                  </w14:solidFill>
                </w14:textFill>
              </w:rPr>
              <w:t>；</w:t>
            </w:r>
            <w:r>
              <w:rPr>
                <w:rFonts w:hint="eastAsia" w:hAnsi="宋体" w:cs="宋体"/>
                <w:color w:val="000000" w:themeColor="text1"/>
                <w:sz w:val="21"/>
                <w:highlight w:val="none"/>
                <w14:textFill>
                  <w14:solidFill>
                    <w14:schemeClr w14:val="tx1"/>
                  </w14:solidFill>
                </w14:textFill>
              </w:rPr>
              <w:t>所称的“不满”“超过”“以外”，不包括本数。</w:t>
            </w:r>
          </w:p>
        </w:tc>
      </w:tr>
    </w:tbl>
    <w:p w14:paraId="20D5CDD7">
      <w:pPr>
        <w:spacing w:line="400" w:lineRule="exact"/>
        <w:jc w:val="center"/>
        <w:rPr>
          <w:rFonts w:ascii="宋体" w:hAnsi="宋体"/>
          <w:b/>
          <w:color w:val="000000" w:themeColor="text1"/>
          <w:sz w:val="32"/>
          <w:szCs w:val="32"/>
          <w:highlight w:val="none"/>
          <w14:textFill>
            <w14:solidFill>
              <w14:schemeClr w14:val="tx1"/>
            </w14:solidFill>
          </w14:textFill>
        </w:rPr>
      </w:pPr>
      <w:r>
        <w:rPr>
          <w:rFonts w:ascii="宋体" w:hAnsi="宋体"/>
          <w:b/>
          <w:color w:val="000000" w:themeColor="text1"/>
          <w:sz w:val="32"/>
          <w:szCs w:val="32"/>
          <w:highlight w:val="none"/>
          <w14:textFill>
            <w14:solidFill>
              <w14:schemeClr w14:val="tx1"/>
            </w14:solidFill>
          </w14:textFill>
        </w:rPr>
        <w:br w:type="page"/>
      </w:r>
      <w:r>
        <w:rPr>
          <w:rFonts w:hint="eastAsia" w:ascii="宋体" w:hAnsi="宋体"/>
          <w:b/>
          <w:color w:val="000000" w:themeColor="text1"/>
          <w:sz w:val="32"/>
          <w:szCs w:val="32"/>
          <w:highlight w:val="none"/>
          <w14:textFill>
            <w14:solidFill>
              <w14:schemeClr w14:val="tx1"/>
            </w14:solidFill>
          </w14:textFill>
        </w:rPr>
        <w:t>供应商须知正文</w:t>
      </w:r>
    </w:p>
    <w:p w14:paraId="5DACD8F1">
      <w:pPr>
        <w:spacing w:line="400" w:lineRule="exact"/>
        <w:jc w:val="center"/>
        <w:rPr>
          <w:rFonts w:ascii="宋体" w:hAnsi="宋体"/>
          <w:b/>
          <w:color w:val="000000" w:themeColor="text1"/>
          <w:sz w:val="32"/>
          <w:szCs w:val="32"/>
          <w:highlight w:val="none"/>
          <w14:textFill>
            <w14:solidFill>
              <w14:schemeClr w14:val="tx1"/>
            </w14:solidFill>
          </w14:textFill>
        </w:rPr>
      </w:pPr>
    </w:p>
    <w:p w14:paraId="3DD40483">
      <w:pPr>
        <w:spacing w:line="400" w:lineRule="exact"/>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一、总则</w:t>
      </w:r>
    </w:p>
    <w:p w14:paraId="23DA6481">
      <w:pPr>
        <w:spacing w:line="400" w:lineRule="exact"/>
        <w:rPr>
          <w:rFonts w:ascii="宋体" w:hAnsi="宋体"/>
          <w:color w:val="000000" w:themeColor="text1"/>
          <w:szCs w:val="21"/>
          <w:highlight w:val="none"/>
          <w14:textFill>
            <w14:solidFill>
              <w14:schemeClr w14:val="tx1"/>
            </w14:solidFill>
          </w14:textFill>
        </w:rPr>
      </w:pPr>
    </w:p>
    <w:p w14:paraId="76802D4B">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1.适用范围</w:t>
      </w:r>
    </w:p>
    <w:p w14:paraId="1F8790F1">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1.1本项目采购人、采购代理机构、供应商、磋商小组的相关行为均受《中华人民共和国政府采购法》《中华人民共和国政府采购法实施条例》</w:t>
      </w:r>
      <w:r>
        <w:rPr>
          <w:rFonts w:hint="eastAsia" w:ascii="宋体" w:hAnsi="宋体"/>
          <w:color w:val="000000" w:themeColor="text1"/>
          <w:szCs w:val="21"/>
          <w:highlight w:val="none"/>
          <w14:textFill>
            <w14:solidFill>
              <w14:schemeClr w14:val="tx1"/>
            </w14:solidFill>
          </w14:textFill>
        </w:rPr>
        <w:t>《政府采购竞争性磋商采购方式管理暂行办法》《财政部关于政府采购竞争性磋商采购方式管理暂行办法有关问题的补充通知》</w:t>
      </w:r>
      <w:r>
        <w:rPr>
          <w:rFonts w:hint="eastAsia" w:ascii="宋体" w:hAnsi="宋体" w:cs="宋体"/>
          <w:color w:val="000000" w:themeColor="text1"/>
          <w:szCs w:val="21"/>
          <w:highlight w:val="none"/>
          <w14:textFill>
            <w14:solidFill>
              <w14:schemeClr w14:val="tx1"/>
            </w14:solidFill>
          </w14:textFill>
        </w:rPr>
        <w:t>及本项目本级和上级财政部门政府采购有关规定的约束和保护。</w:t>
      </w:r>
    </w:p>
    <w:p w14:paraId="76BA9F96">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1.2本竞争性磋商文件（以下简称磋商文件）适用于本项目的所有采购程序和环节（法律、法规另有规定的，从其规定）</w:t>
      </w:r>
      <w:r>
        <w:rPr>
          <w:rFonts w:hint="eastAsia" w:ascii="宋体" w:hAnsi="宋体" w:cs="宋体"/>
          <w:color w:val="000000" w:themeColor="text1"/>
          <w:spacing w:val="-6"/>
          <w:szCs w:val="21"/>
          <w:highlight w:val="none"/>
          <w14:textFill>
            <w14:solidFill>
              <w14:schemeClr w14:val="tx1"/>
            </w14:solidFill>
          </w14:textFill>
        </w:rPr>
        <w:t>。</w:t>
      </w:r>
    </w:p>
    <w:p w14:paraId="4EC81131">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2.定义</w:t>
      </w:r>
    </w:p>
    <w:p w14:paraId="793D7D63">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2.1“采购人”是指依法进行政府采购的国家机关、事业单位、团体组织。</w:t>
      </w:r>
    </w:p>
    <w:p w14:paraId="7EE6D282">
      <w:pPr>
        <w:spacing w:line="360" w:lineRule="auto"/>
        <w:ind w:firstLine="420" w:firstLineChars="200"/>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2.2“采购代理机构”是指政府采购集中采购机构和集中采购机构以外的采购代理机构。</w:t>
      </w:r>
    </w:p>
    <w:p w14:paraId="3A122DC8">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2.3“供应商”是指向采购人提供货物、工程或者服务的法人、其他组织或者自然人。</w:t>
      </w:r>
    </w:p>
    <w:p w14:paraId="4B94A6B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2.4“工程”是指建设工程，包括建筑物和构筑物的新建、改建、扩建、装修、拆除、修缮等。</w:t>
      </w:r>
    </w:p>
    <w:p w14:paraId="56E6CD16">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“竞标”是指供应商按照本项目竞争性磋商公告或者邀请函规定的方式获取磋商文件、提交响应文件并希望获得标的的行为。</w:t>
      </w:r>
    </w:p>
    <w:p w14:paraId="2B08FC3C">
      <w:pPr>
        <w:spacing w:line="360" w:lineRule="auto"/>
        <w:ind w:firstLine="420" w:firstLineChars="200"/>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2.6“书面形式”是指合同书、信件和数据电文（包括电报、电传、传真、电子数据交换和电子邮件）等可以有形地表现所载内容的形式。</w:t>
      </w:r>
    </w:p>
    <w:p w14:paraId="210007E2">
      <w:pPr>
        <w:spacing w:line="360" w:lineRule="auto"/>
        <w:ind w:firstLine="420" w:firstLineChars="200"/>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2.7“响应文件”是指：供应商根据本磋商文件要求，编制包含资格证明、报价、商务技术等所有内容的文件</w:t>
      </w:r>
      <w:r>
        <w:rPr>
          <w:rFonts w:hint="eastAsia" w:ascii="宋体" w:hAnsi="宋体" w:cs="宋体"/>
          <w:color w:val="000000" w:themeColor="text1"/>
          <w:spacing w:val="-6"/>
          <w:szCs w:val="21"/>
          <w:highlight w:val="none"/>
          <w14:textFill>
            <w14:solidFill>
              <w14:schemeClr w14:val="tx1"/>
            </w14:solidFill>
          </w14:textFill>
        </w:rPr>
        <w:t>。</w:t>
      </w:r>
    </w:p>
    <w:p w14:paraId="5DC93933">
      <w:pPr>
        <w:spacing w:line="360" w:lineRule="auto"/>
        <w:ind w:firstLine="420" w:firstLineChars="200"/>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2.8“实质性要求”是指磋商文件中已经指明不满足则响应文件按无效处理的条款，或者不能负偏离的条款，或者采购需求中带“▲”的条款。</w:t>
      </w:r>
    </w:p>
    <w:p w14:paraId="29443B16">
      <w:pPr>
        <w:spacing w:line="360" w:lineRule="auto"/>
        <w:ind w:firstLine="420" w:firstLineChars="200"/>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2.9“正偏离”，是指响应文件对磋商文件“采购需求”中有关条款作出的响应优于条款要求并有利于采购人的情形。</w:t>
      </w:r>
    </w:p>
    <w:p w14:paraId="4B32ABE0">
      <w:pPr>
        <w:spacing w:line="360" w:lineRule="auto"/>
        <w:ind w:firstLine="420" w:firstLineChars="200"/>
        <w:contextualSpacing/>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10“负偏离”，是指响应文件对磋商文件“采购需求”中有关条款作出的响应不满足条款要求，导致采购人要求不能得到满足的情形。</w:t>
      </w:r>
    </w:p>
    <w:p w14:paraId="5A82ABC5">
      <w:pPr>
        <w:spacing w:line="360" w:lineRule="auto"/>
        <w:ind w:firstLine="420" w:firstLineChars="200"/>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2.11“允许负偏离的条款”是指采购需求中的不属于“实质性要求”的条款。</w:t>
      </w:r>
    </w:p>
    <w:p w14:paraId="53B57823">
      <w:pPr>
        <w:spacing w:line="360" w:lineRule="auto"/>
        <w:ind w:firstLine="420" w:firstLineChars="200"/>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2“首次报价”是指供应商提交的首次响应文件中的报价。</w:t>
      </w:r>
    </w:p>
    <w:p w14:paraId="3E90C76E">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3.供应商的资格条件</w:t>
      </w:r>
    </w:p>
    <w:p w14:paraId="138E8C82">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3.1供应商的资格条件详见“供应商须知前附表”。</w:t>
      </w:r>
    </w:p>
    <w:p w14:paraId="7EA25B85">
      <w:pPr>
        <w:spacing w:line="360" w:lineRule="auto"/>
        <w:ind w:firstLine="420" w:firstLineChars="200"/>
        <w:rPr>
          <w:rFonts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3.2供应商</w:t>
      </w:r>
      <w:r>
        <w:rPr>
          <w:rFonts w:hint="eastAsia" w:cs="宋体"/>
          <w:color w:val="000000" w:themeColor="text1"/>
          <w:highlight w:val="none"/>
          <w14:textFill>
            <w14:solidFill>
              <w14:schemeClr w14:val="tx1"/>
            </w14:solidFill>
          </w14:textFill>
        </w:rPr>
        <w:t>不得存在下列情形之一：</w:t>
      </w:r>
    </w:p>
    <w:p w14:paraId="116BF3BD">
      <w:pPr>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cs="宋体"/>
          <w:color w:val="000000" w:themeColor="text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r>
        <w:rPr>
          <w:rFonts w:hint="eastAsia" w:ascii="宋体" w:hAnsi="宋体" w:cs="宋体"/>
          <w:color w:val="000000" w:themeColor="text1"/>
          <w:szCs w:val="21"/>
          <w:highlight w:val="none"/>
          <w:lang w:eastAsia="zh-CN"/>
          <w14:textFill>
            <w14:solidFill>
              <w14:schemeClr w14:val="tx1"/>
            </w14:solidFill>
          </w14:textFill>
        </w:rPr>
        <w:t>；</w:t>
      </w:r>
    </w:p>
    <w:p w14:paraId="410F7AF7">
      <w:pPr>
        <w:spacing w:line="360" w:lineRule="auto"/>
        <w:ind w:firstLine="420" w:firstLineChars="200"/>
        <w:rPr>
          <w:rFonts w:hint="eastAsia"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（2）为本项目提供过整体设计、规范编制或者项目管理、监理、检测等服务的供应商，不得再参加本项目上述服务以外的其他采购活动</w:t>
      </w:r>
      <w:r>
        <w:rPr>
          <w:rFonts w:hint="eastAsia" w:ascii="宋体" w:hAnsi="宋体" w:cs="宋体"/>
          <w:color w:val="000000" w:themeColor="text1"/>
          <w:szCs w:val="21"/>
          <w:highlight w:val="none"/>
          <w:lang w:eastAsia="zh-CN"/>
          <w14:textFill>
            <w14:solidFill>
              <w14:schemeClr w14:val="tx1"/>
            </w14:solidFill>
          </w14:textFill>
        </w:rPr>
        <w:t>；</w:t>
      </w:r>
    </w:p>
    <w:p w14:paraId="328F2C71">
      <w:pPr>
        <w:spacing w:line="360" w:lineRule="auto"/>
        <w:ind w:firstLine="420" w:firstLineChars="200"/>
        <w:rPr>
          <w:rFonts w:hint="eastAsia" w:eastAsia="宋体"/>
          <w:color w:val="000000" w:themeColor="text1"/>
          <w:highlight w:val="none"/>
          <w:lang w:eastAsia="zh-CN"/>
          <w14:textFill>
            <w14:solidFill>
              <w14:schemeClr w14:val="tx1"/>
            </w14:solidFill>
          </w14:textFill>
        </w:rPr>
      </w:pPr>
      <w:r>
        <w:rPr>
          <w:rFonts w:hint="eastAsia" w:cs="宋体"/>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3</w:t>
      </w:r>
      <w:r>
        <w:rPr>
          <w:rFonts w:hint="eastAsia" w:cs="宋体"/>
          <w:color w:val="000000" w:themeColor="text1"/>
          <w:highlight w:val="none"/>
          <w14:textFill>
            <w14:solidFill>
              <w14:schemeClr w14:val="tx1"/>
            </w14:solidFill>
          </w14:textFill>
        </w:rPr>
        <w:t>）为本分标的代建人</w:t>
      </w:r>
      <w:r>
        <w:rPr>
          <w:rFonts w:hint="eastAsia" w:cs="宋体"/>
          <w:color w:val="000000" w:themeColor="text1"/>
          <w:highlight w:val="none"/>
          <w:lang w:eastAsia="zh-CN"/>
          <w14:textFill>
            <w14:solidFill>
              <w14:schemeClr w14:val="tx1"/>
            </w14:solidFill>
          </w14:textFill>
        </w:rPr>
        <w:t>；</w:t>
      </w:r>
    </w:p>
    <w:p w14:paraId="2DFFDB56">
      <w:pPr>
        <w:spacing w:line="360" w:lineRule="auto"/>
        <w:ind w:firstLine="420" w:firstLineChars="200"/>
        <w:rPr>
          <w:rFonts w:hint="eastAsia" w:eastAsia="宋体"/>
          <w:color w:val="000000" w:themeColor="text1"/>
          <w:highlight w:val="none"/>
          <w:lang w:eastAsia="zh-CN"/>
          <w14:textFill>
            <w14:solidFill>
              <w14:schemeClr w14:val="tx1"/>
            </w14:solidFill>
          </w14:textFill>
        </w:rPr>
      </w:pPr>
      <w:r>
        <w:rPr>
          <w:rFonts w:hint="eastAsia" w:cs="宋体"/>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4</w:t>
      </w:r>
      <w:r>
        <w:rPr>
          <w:rFonts w:hint="eastAsia" w:cs="宋体"/>
          <w:color w:val="000000" w:themeColor="text1"/>
          <w:highlight w:val="none"/>
          <w14:textFill>
            <w14:solidFill>
              <w14:schemeClr w14:val="tx1"/>
            </w14:solidFill>
          </w14:textFill>
        </w:rPr>
        <w:t>）为本分标提供采购代理服务的</w:t>
      </w:r>
      <w:r>
        <w:rPr>
          <w:rFonts w:hint="eastAsia" w:cs="宋体"/>
          <w:color w:val="000000" w:themeColor="text1"/>
          <w:highlight w:val="none"/>
          <w:lang w:eastAsia="zh-CN"/>
          <w14:textFill>
            <w14:solidFill>
              <w14:schemeClr w14:val="tx1"/>
            </w14:solidFill>
          </w14:textFill>
        </w:rPr>
        <w:t>；</w:t>
      </w:r>
    </w:p>
    <w:p w14:paraId="1BEA9536">
      <w:pPr>
        <w:spacing w:line="360" w:lineRule="auto"/>
        <w:ind w:firstLine="420" w:firstLineChars="200"/>
        <w:rPr>
          <w:rFonts w:hint="eastAsia" w:eastAsia="宋体"/>
          <w:color w:val="000000" w:themeColor="text1"/>
          <w:highlight w:val="none"/>
          <w:lang w:eastAsia="zh-CN"/>
          <w14:textFill>
            <w14:solidFill>
              <w14:schemeClr w14:val="tx1"/>
            </w14:solidFill>
          </w14:textFill>
        </w:rPr>
      </w:pPr>
      <w:r>
        <w:rPr>
          <w:rFonts w:hint="eastAsia" w:cs="宋体"/>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5</w:t>
      </w:r>
      <w:r>
        <w:rPr>
          <w:rFonts w:hint="eastAsia" w:cs="宋体"/>
          <w:color w:val="000000" w:themeColor="text1"/>
          <w:highlight w:val="none"/>
          <w14:textFill>
            <w14:solidFill>
              <w14:schemeClr w14:val="tx1"/>
            </w14:solidFill>
          </w14:textFill>
        </w:rPr>
        <w:t>）与本分标的监理人或代建人或采购代理机构同为一个法定代表人的</w:t>
      </w:r>
      <w:r>
        <w:rPr>
          <w:rFonts w:hint="eastAsia" w:cs="宋体"/>
          <w:color w:val="000000" w:themeColor="text1"/>
          <w:highlight w:val="none"/>
          <w:lang w:eastAsia="zh-CN"/>
          <w14:textFill>
            <w14:solidFill>
              <w14:schemeClr w14:val="tx1"/>
            </w14:solidFill>
          </w14:textFill>
        </w:rPr>
        <w:t>；</w:t>
      </w:r>
    </w:p>
    <w:p w14:paraId="62D5BE9A">
      <w:pPr>
        <w:spacing w:line="360" w:lineRule="auto"/>
        <w:ind w:firstLine="420" w:firstLineChars="200"/>
        <w:rPr>
          <w:rFonts w:hint="eastAsia" w:eastAsia="宋体"/>
          <w:color w:val="000000" w:themeColor="text1"/>
          <w:highlight w:val="none"/>
          <w:lang w:eastAsia="zh-CN"/>
          <w14:textFill>
            <w14:solidFill>
              <w14:schemeClr w14:val="tx1"/>
            </w14:solidFill>
          </w14:textFill>
        </w:rPr>
      </w:pPr>
      <w:r>
        <w:rPr>
          <w:rFonts w:hint="eastAsia" w:cs="宋体"/>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6</w:t>
      </w:r>
      <w:r>
        <w:rPr>
          <w:rFonts w:hint="eastAsia" w:cs="宋体"/>
          <w:color w:val="000000" w:themeColor="text1"/>
          <w:highlight w:val="none"/>
          <w14:textFill>
            <w14:solidFill>
              <w14:schemeClr w14:val="tx1"/>
            </w14:solidFill>
          </w14:textFill>
        </w:rPr>
        <w:t>）与本分标的监理人或代建人或采购代理机构相互控股或参股的</w:t>
      </w:r>
      <w:r>
        <w:rPr>
          <w:rFonts w:hint="eastAsia" w:cs="宋体"/>
          <w:color w:val="000000" w:themeColor="text1"/>
          <w:highlight w:val="none"/>
          <w:lang w:eastAsia="zh-CN"/>
          <w14:textFill>
            <w14:solidFill>
              <w14:schemeClr w14:val="tx1"/>
            </w14:solidFill>
          </w14:textFill>
        </w:rPr>
        <w:t>；</w:t>
      </w:r>
    </w:p>
    <w:p w14:paraId="7B3CC3EB">
      <w:pPr>
        <w:spacing w:line="360" w:lineRule="auto"/>
        <w:ind w:firstLine="420" w:firstLineChars="200"/>
        <w:rPr>
          <w:rFonts w:hint="eastAsia" w:eastAsia="宋体" w:cs="宋体"/>
          <w:color w:val="000000" w:themeColor="text1"/>
          <w:highlight w:val="none"/>
          <w:lang w:eastAsia="zh-CN"/>
          <w14:textFill>
            <w14:solidFill>
              <w14:schemeClr w14:val="tx1"/>
            </w14:solidFill>
          </w14:textFill>
        </w:rPr>
      </w:pPr>
      <w:r>
        <w:rPr>
          <w:rFonts w:hint="eastAsia" w:cs="宋体"/>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7</w:t>
      </w:r>
      <w:r>
        <w:rPr>
          <w:rFonts w:hint="eastAsia" w:cs="宋体"/>
          <w:color w:val="000000" w:themeColor="text1"/>
          <w:highlight w:val="none"/>
          <w14:textFill>
            <w14:solidFill>
              <w14:schemeClr w14:val="tx1"/>
            </w14:solidFill>
          </w14:textFill>
        </w:rPr>
        <w:t>）与本分标的监理人或代建人或采购代理机构相互任职或工作的</w:t>
      </w:r>
      <w:r>
        <w:rPr>
          <w:rFonts w:hint="eastAsia" w:cs="宋体"/>
          <w:color w:val="000000" w:themeColor="text1"/>
          <w:highlight w:val="none"/>
          <w:lang w:eastAsia="zh-CN"/>
          <w14:textFill>
            <w14:solidFill>
              <w14:schemeClr w14:val="tx1"/>
            </w14:solidFill>
          </w14:textFill>
        </w:rPr>
        <w:t>；</w:t>
      </w:r>
    </w:p>
    <w:p w14:paraId="0CB9C6A6">
      <w:pPr>
        <w:spacing w:line="360" w:lineRule="auto"/>
        <w:ind w:firstLine="420" w:firstLineChars="200"/>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（8）在“信用中国”网站（https：//www.creditchina.gov.cn） 、中国政府采购网（https：//www.ccgp.gov.cn）被列入失信被执行人、重大税收违法失信主体、政府采购严重违法失信行为记录名单及其他不符合《中华人民共和国政府采购法》第二十二条规定条件的。</w:t>
      </w:r>
    </w:p>
    <w:p w14:paraId="0A284EFD">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4.竞标费用</w:t>
      </w:r>
    </w:p>
    <w:p w14:paraId="2FD50310">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供应商应承担参与本次采购活动有关的所有费用，包括但不限于获取磋商文件、勘查现场、编制和提交响应文件、参加磋商与应答、签订合同等，不论竞标结果如何，均应自行承担。</w:t>
      </w:r>
    </w:p>
    <w:p w14:paraId="12FB1F36">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5.联合体竞标</w:t>
      </w:r>
    </w:p>
    <w:p w14:paraId="186C2313">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5.1本项目是否接受联合体竞标，详见“供应商须知前附表”。</w:t>
      </w:r>
    </w:p>
    <w:p w14:paraId="0859649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5.2</w:t>
      </w:r>
      <w:r>
        <w:rPr>
          <w:rFonts w:hint="eastAsia" w:ascii="宋体" w:hAnsi="宋体"/>
          <w:color w:val="000000" w:themeColor="text1"/>
          <w:highlight w:val="none"/>
          <w14:textFill>
            <w14:solidFill>
              <w14:schemeClr w14:val="tx1"/>
            </w14:solidFill>
          </w14:textFill>
        </w:rPr>
        <w:t>如接受联合体竞标，</w:t>
      </w:r>
      <w:r>
        <w:rPr>
          <w:rFonts w:hint="eastAsia" w:ascii="宋体" w:hAnsi="宋体" w:cs="宋体"/>
          <w:color w:val="000000" w:themeColor="text1"/>
          <w:szCs w:val="21"/>
          <w:highlight w:val="none"/>
          <w14:textFill>
            <w14:solidFill>
              <w14:schemeClr w14:val="tx1"/>
            </w14:solidFill>
          </w14:textFill>
        </w:rPr>
        <w:t>联合体竞标要求详见“供应商须知前附表”。</w:t>
      </w:r>
    </w:p>
    <w:p w14:paraId="593F448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5.3</w:t>
      </w:r>
      <w:bookmarkStart w:id="52" w:name="_Hlk66782192"/>
      <w:r>
        <w:rPr>
          <w:rFonts w:hint="eastAsia" w:ascii="宋体" w:hAnsi="宋体"/>
          <w:color w:val="000000" w:themeColor="text1"/>
          <w:szCs w:val="21"/>
          <w:highlight w:val="none"/>
          <w14:textFill>
            <w14:solidFill>
              <w14:schemeClr w14:val="tx1"/>
            </w14:solidFill>
          </w14:textFill>
        </w:rPr>
        <w:t>根据《政府采购促进中小企业发展管理办法》（财库〔2020〕46号）第九条第二款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1%-2%的扣除，用扣除后的价格参加评审。</w:t>
      </w:r>
      <w:bookmarkEnd w:id="52"/>
    </w:p>
    <w:p w14:paraId="71F560E2">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 xml:space="preserve">6.转包与分包             </w:t>
      </w:r>
    </w:p>
    <w:p w14:paraId="727AB913">
      <w:pPr>
        <w:pStyle w:val="6"/>
        <w:keepNext w:val="0"/>
        <w:keepLines w:val="0"/>
        <w:spacing w:before="0" w:after="0" w:line="360" w:lineRule="auto"/>
        <w:ind w:left="420" w:leftChars="200"/>
        <w:rPr>
          <w:rFonts w:ascii="宋体" w:hAnsi="宋体"/>
          <w:b w:val="0"/>
          <w:color w:val="000000" w:themeColor="text1"/>
          <w:sz w:val="21"/>
          <w:szCs w:val="21"/>
          <w:highlight w:val="none"/>
          <w14:textFill>
            <w14:solidFill>
              <w14:schemeClr w14:val="tx1"/>
            </w14:solidFill>
          </w14:textFill>
        </w:rPr>
      </w:pPr>
      <w:bookmarkStart w:id="53" w:name="_Toc254970673"/>
      <w:bookmarkStart w:id="54" w:name="_Toc254970532"/>
      <w:r>
        <w:rPr>
          <w:rFonts w:hint="eastAsia" w:ascii="宋体" w:hAnsi="宋体"/>
          <w:b w:val="0"/>
          <w:color w:val="000000" w:themeColor="text1"/>
          <w:sz w:val="21"/>
          <w:szCs w:val="21"/>
          <w:highlight w:val="none"/>
          <w14:textFill>
            <w14:solidFill>
              <w14:schemeClr w14:val="tx1"/>
            </w14:solidFill>
          </w14:textFill>
        </w:rPr>
        <w:t>6.1本项目不允许转包。</w:t>
      </w:r>
    </w:p>
    <w:p w14:paraId="08DE1535">
      <w:pPr>
        <w:pStyle w:val="6"/>
        <w:keepNext w:val="0"/>
        <w:keepLines w:val="0"/>
        <w:spacing w:before="0" w:after="0" w:line="360" w:lineRule="auto"/>
        <w:ind w:firstLine="315" w:firstLineChars="150"/>
        <w:rPr>
          <w:rFonts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 xml:space="preserve"> 6.2本项目是否允许分包详见“供应商须知前附表”，本项目不允许违法分包。允许分包的非主体、非关键性工作，根据法律法规规定承担该工作需要资质或者行政许可的，如该工作由供应商自行承担，供应商应具备相应的资质或者行政许可，如供应商不具备相应的资质或者行政许可必须采用分包的方式，但分包供应商应具备相应资质或者行政许可。</w:t>
      </w:r>
    </w:p>
    <w:p w14:paraId="4580D203">
      <w:pPr>
        <w:pStyle w:val="6"/>
        <w:keepNext w:val="0"/>
        <w:keepLines w:val="0"/>
        <w:spacing w:before="0" w:after="0" w:line="360" w:lineRule="auto"/>
        <w:ind w:firstLine="315" w:firstLineChars="150"/>
        <w:rPr>
          <w:rFonts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 xml:space="preserve"> 6.3供应商根据磋商文件的规定和采购项目的实际情况，拟在成交后将成交项目的非主体、非关键性工作分包的，应当在响应文件中载明分包承担主体，分包承担主体应当具备相应资质条件且不得再次分包。</w:t>
      </w:r>
    </w:p>
    <w:p w14:paraId="1A4A7CB6">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7.特别说明</w:t>
      </w:r>
      <w:bookmarkEnd w:id="53"/>
      <w:bookmarkEnd w:id="54"/>
    </w:p>
    <w:p w14:paraId="43308793">
      <w:pPr>
        <w:spacing w:line="360" w:lineRule="auto"/>
        <w:ind w:firstLine="420" w:firstLineChars="200"/>
        <w:rPr>
          <w:rFonts w:ascii="宋体" w:hAnsi="宋体" w:cs="宋体"/>
          <w:color w:val="000000" w:themeColor="text1"/>
          <w:szCs w:val="21"/>
          <w:highlight w:val="none"/>
          <w14:textFill>
            <w14:solidFill>
              <w14:schemeClr w14:val="tx1"/>
            </w14:solidFill>
          </w14:textFill>
        </w:rPr>
      </w:pPr>
      <w:bookmarkStart w:id="55" w:name="_8.1提供相同品牌产品且通过资格审查、符合性审查的不同投标人参加同一合"/>
      <w:bookmarkEnd w:id="55"/>
      <w:r>
        <w:rPr>
          <w:rFonts w:hint="eastAsia" w:ascii="宋体" w:hAnsi="宋体" w:cs="宋体"/>
          <w:color w:val="000000" w:themeColor="text1"/>
          <w:szCs w:val="21"/>
          <w:highlight w:val="none"/>
          <w14:textFill>
            <w14:solidFill>
              <w14:schemeClr w14:val="tx1"/>
            </w14:solidFill>
          </w14:textFill>
        </w:rPr>
        <w:t>7.</w:t>
      </w:r>
      <w:r>
        <w:rPr>
          <w:rFonts w:ascii="宋体" w:hAnsi="宋体" w:cs="宋体"/>
          <w:color w:val="000000" w:themeColor="text1"/>
          <w:szCs w:val="21"/>
          <w:highlight w:val="none"/>
          <w14:textFill>
            <w14:solidFill>
              <w14:schemeClr w14:val="tx1"/>
            </w14:solidFill>
          </w14:textFill>
        </w:rPr>
        <w:t>1</w:t>
      </w:r>
      <w:bookmarkStart w:id="56" w:name="_Hlk65832145"/>
      <w:r>
        <w:rPr>
          <w:rFonts w:hint="eastAsia" w:ascii="宋体" w:hAnsi="宋体"/>
          <w:color w:val="000000" w:themeColor="text1"/>
          <w:szCs w:val="21"/>
          <w:highlight w:val="none"/>
          <w14:textFill>
            <w14:solidFill>
              <w14:schemeClr w14:val="tx1"/>
            </w14:solidFill>
          </w14:textFill>
        </w:rPr>
        <w:t xml:space="preserve">如果本磋商文件要求提供供应商或制造商的资格、信誉、荣誉、业绩与企业认证等材料的，资格、信誉、荣誉、业绩与企业认证等必须为供应商或者制造商所拥有或自身获得 </w:t>
      </w:r>
      <w:r>
        <w:rPr>
          <w:rFonts w:hint="eastAsia" w:ascii="宋体" w:hAnsi="宋体" w:cs="宋体"/>
          <w:color w:val="000000" w:themeColor="text1"/>
          <w:szCs w:val="21"/>
          <w:highlight w:val="none"/>
          <w14:textFill>
            <w14:solidFill>
              <w14:schemeClr w14:val="tx1"/>
            </w14:solidFill>
          </w14:textFill>
        </w:rPr>
        <w:t>。</w:t>
      </w:r>
    </w:p>
    <w:bookmarkEnd w:id="56"/>
    <w:p w14:paraId="117AF6E9">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供应商应仔细阅读磋商文件的所有内容，按照磋商文件的要求提交响应文件，并对所提供的全部资料的真实性承担法律责任。</w:t>
      </w:r>
    </w:p>
    <w:p w14:paraId="135F28B3">
      <w:pPr>
        <w:spacing w:line="360" w:lineRule="auto"/>
        <w:ind w:firstLine="420" w:firstLineChars="200"/>
        <w:rPr>
          <w:rFonts w:ascii="宋体" w:hAnsi="宋体" w:cs="宋体"/>
          <w:color w:val="000000" w:themeColor="text1"/>
          <w:szCs w:val="21"/>
          <w:highlight w:val="none"/>
          <w14:textFill>
            <w14:solidFill>
              <w14:schemeClr w14:val="tx1"/>
            </w14:solidFill>
          </w14:textFill>
        </w:rPr>
      </w:pPr>
      <w:bookmarkStart w:id="57" w:name="_Hlk170492024"/>
      <w:r>
        <w:rPr>
          <w:rFonts w:hint="eastAsia" w:ascii="宋体" w:hAnsi="宋体" w:cs="宋体"/>
          <w:color w:val="000000" w:themeColor="text1"/>
          <w:szCs w:val="21"/>
          <w:highlight w:val="none"/>
          <w14:textFill>
            <w14:solidFill>
              <w14:schemeClr w14:val="tx1"/>
            </w14:solidFill>
          </w14:textFill>
        </w:rPr>
        <w:t>7.</w:t>
      </w: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供应商在竞标活动中提供任何虚假材料谋取成交的，将报财政部门查处</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签订合同后发现的，成交供应商须依照</w:t>
      </w:r>
      <w:bookmarkStart w:id="58" w:name="_Hlk170492034"/>
      <w:r>
        <w:rPr>
          <w:rFonts w:hint="eastAsia" w:ascii="宋体" w:hAnsi="宋体" w:cs="宋体"/>
          <w:color w:val="000000" w:themeColor="text1"/>
          <w:szCs w:val="21"/>
          <w:highlight w:val="none"/>
          <w14:textFill>
            <w14:solidFill>
              <w14:schemeClr w14:val="tx1"/>
            </w14:solidFill>
          </w14:textFill>
        </w:rPr>
        <w:t>有关法律法规</w:t>
      </w:r>
      <w:bookmarkEnd w:id="58"/>
      <w:r>
        <w:rPr>
          <w:rFonts w:hint="eastAsia" w:ascii="宋体" w:hAnsi="宋体" w:cs="宋体"/>
          <w:color w:val="000000" w:themeColor="text1"/>
          <w:szCs w:val="21"/>
          <w:highlight w:val="none"/>
          <w14:textFill>
            <w14:solidFill>
              <w14:schemeClr w14:val="tx1"/>
            </w14:solidFill>
          </w14:textFill>
        </w:rPr>
        <w:t>规定赔偿采购人，且民事赔偿并不免除违法供应商的行政与刑事责任。</w:t>
      </w:r>
    </w:p>
    <w:bookmarkEnd w:id="57"/>
    <w:p w14:paraId="6F082F3B">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r>
        <w:rPr>
          <w:rFonts w:ascii="宋体" w:hAnsi="宋体" w:cs="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在政府采购活动中，采购人员及相关人员与供应商有下列利害关系之一的，应当回避：</w:t>
      </w:r>
    </w:p>
    <w:p w14:paraId="6F7EE334">
      <w:pPr>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（1）参加采购活动前3年内与供应商存在劳动关系</w:t>
      </w:r>
      <w:r>
        <w:rPr>
          <w:rFonts w:hint="eastAsia" w:ascii="宋体" w:hAnsi="宋体" w:cs="宋体"/>
          <w:color w:val="000000" w:themeColor="text1"/>
          <w:szCs w:val="21"/>
          <w:highlight w:val="none"/>
          <w:lang w:eastAsia="zh-CN"/>
          <w14:textFill>
            <w14:solidFill>
              <w14:schemeClr w14:val="tx1"/>
            </w14:solidFill>
          </w14:textFill>
        </w:rPr>
        <w:t>；</w:t>
      </w:r>
    </w:p>
    <w:p w14:paraId="4A0B87AB">
      <w:pPr>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（2）参加采购活动前3年内担任供应商的董事、监事</w:t>
      </w:r>
      <w:r>
        <w:rPr>
          <w:rFonts w:hint="eastAsia" w:ascii="宋体" w:hAnsi="宋体" w:cs="宋体"/>
          <w:color w:val="000000" w:themeColor="text1"/>
          <w:szCs w:val="21"/>
          <w:highlight w:val="none"/>
          <w:lang w:eastAsia="zh-CN"/>
          <w14:textFill>
            <w14:solidFill>
              <w14:schemeClr w14:val="tx1"/>
            </w14:solidFill>
          </w14:textFill>
        </w:rPr>
        <w:t>；</w:t>
      </w:r>
    </w:p>
    <w:p w14:paraId="3FC2D61D">
      <w:pPr>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（3）参加采购活动前3年内是供应商的控股股东或者实际控制人</w:t>
      </w:r>
      <w:r>
        <w:rPr>
          <w:rFonts w:hint="eastAsia" w:ascii="宋体" w:hAnsi="宋体" w:cs="宋体"/>
          <w:color w:val="000000" w:themeColor="text1"/>
          <w:szCs w:val="21"/>
          <w:highlight w:val="none"/>
          <w:lang w:eastAsia="zh-CN"/>
          <w14:textFill>
            <w14:solidFill>
              <w14:schemeClr w14:val="tx1"/>
            </w14:solidFill>
          </w14:textFill>
        </w:rPr>
        <w:t>；</w:t>
      </w:r>
    </w:p>
    <w:p w14:paraId="3C3B07AA">
      <w:pPr>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（4）与供应商的法定代表人或者负责人有夫妻、直系血亲、三代以内旁系血亲或者近姻亲关系</w:t>
      </w:r>
      <w:r>
        <w:rPr>
          <w:rFonts w:hint="eastAsia" w:ascii="宋体" w:hAnsi="宋体" w:cs="宋体"/>
          <w:color w:val="000000" w:themeColor="text1"/>
          <w:szCs w:val="21"/>
          <w:highlight w:val="none"/>
          <w:lang w:eastAsia="zh-CN"/>
          <w14:textFill>
            <w14:solidFill>
              <w14:schemeClr w14:val="tx1"/>
            </w14:solidFill>
          </w14:textFill>
        </w:rPr>
        <w:t>；</w:t>
      </w:r>
    </w:p>
    <w:p w14:paraId="3CA75E45">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（5）与供应商有其他可能影响政府采购活动公平、公正进行的关系。</w:t>
      </w:r>
    </w:p>
    <w:p w14:paraId="0702C83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34A29335">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r>
        <w:rPr>
          <w:rFonts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有下列情形之一的视为供应商相互串通竞标，响应文件将被视为无效：</w:t>
      </w:r>
    </w:p>
    <w:p w14:paraId="7EA5AF7E">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（1）不同供应商的响应文件由同一单位或者个人编制</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 xml:space="preserve"> </w:t>
      </w:r>
    </w:p>
    <w:p w14:paraId="6EA9BAAA">
      <w:pPr>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（2）不同供应商委托同一单位或者个人办理竞标事宜</w:t>
      </w:r>
      <w:r>
        <w:rPr>
          <w:rFonts w:hint="eastAsia" w:ascii="宋体" w:hAnsi="宋体" w:cs="宋体"/>
          <w:color w:val="000000" w:themeColor="text1"/>
          <w:szCs w:val="21"/>
          <w:highlight w:val="none"/>
          <w:lang w:eastAsia="zh-CN"/>
          <w14:textFill>
            <w14:solidFill>
              <w14:schemeClr w14:val="tx1"/>
            </w14:solidFill>
          </w14:textFill>
        </w:rPr>
        <w:t>；</w:t>
      </w:r>
    </w:p>
    <w:p w14:paraId="54EEAACC">
      <w:pPr>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（3）不同的供应商的响应文件载明的项目管理员为同一个人</w:t>
      </w:r>
      <w:r>
        <w:rPr>
          <w:rFonts w:hint="eastAsia" w:ascii="宋体" w:hAnsi="宋体" w:cs="宋体"/>
          <w:color w:val="000000" w:themeColor="text1"/>
          <w:szCs w:val="21"/>
          <w:highlight w:val="none"/>
          <w:lang w:eastAsia="zh-CN"/>
          <w14:textFill>
            <w14:solidFill>
              <w14:schemeClr w14:val="tx1"/>
            </w14:solidFill>
          </w14:textFill>
        </w:rPr>
        <w:t>；</w:t>
      </w:r>
    </w:p>
    <w:p w14:paraId="25E89135">
      <w:pPr>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（4）不同供应商的响应文件异常一致或者报价呈规律性差异</w:t>
      </w:r>
      <w:r>
        <w:rPr>
          <w:rFonts w:hint="eastAsia" w:ascii="宋体" w:hAnsi="宋体" w:cs="宋体"/>
          <w:color w:val="000000" w:themeColor="text1"/>
          <w:szCs w:val="21"/>
          <w:highlight w:val="none"/>
          <w:lang w:eastAsia="zh-CN"/>
          <w14:textFill>
            <w14:solidFill>
              <w14:schemeClr w14:val="tx1"/>
            </w14:solidFill>
          </w14:textFill>
        </w:rPr>
        <w:t>；</w:t>
      </w:r>
    </w:p>
    <w:p w14:paraId="70E0E989">
      <w:pPr>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（5）不同供应商的响应文件相互混装</w:t>
      </w:r>
      <w:r>
        <w:rPr>
          <w:rFonts w:hint="eastAsia" w:ascii="宋体" w:hAnsi="宋体" w:cs="宋体"/>
          <w:color w:val="000000" w:themeColor="text1"/>
          <w:szCs w:val="21"/>
          <w:highlight w:val="none"/>
          <w:lang w:eastAsia="zh-CN"/>
          <w14:textFill>
            <w14:solidFill>
              <w14:schemeClr w14:val="tx1"/>
            </w14:solidFill>
          </w14:textFill>
        </w:rPr>
        <w:t>；</w:t>
      </w:r>
    </w:p>
    <w:p w14:paraId="088EDF1A">
      <w:pPr>
        <w:tabs>
          <w:tab w:val="left" w:pos="6931"/>
        </w:tabs>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（6）不同供应商的磋商保证金从同一单位或者个人账户转出。</w:t>
      </w:r>
      <w:r>
        <w:rPr>
          <w:rFonts w:ascii="宋体" w:hAnsi="宋体" w:cs="宋体"/>
          <w:color w:val="000000" w:themeColor="text1"/>
          <w:szCs w:val="21"/>
          <w:highlight w:val="none"/>
          <w14:textFill>
            <w14:solidFill>
              <w14:schemeClr w14:val="tx1"/>
            </w14:solidFill>
          </w14:textFill>
        </w:rPr>
        <w:tab/>
      </w:r>
    </w:p>
    <w:p w14:paraId="3390B08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r>
        <w:rPr>
          <w:rFonts w:ascii="宋体" w:hAnsi="宋体" w:cs="宋体"/>
          <w:color w:val="000000" w:themeColor="text1"/>
          <w:szCs w:val="21"/>
          <w:highlight w:val="none"/>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供应商有下列情形之一的，属于恶意串通行为，将报同级监督管理部门：</w:t>
      </w:r>
    </w:p>
    <w:p w14:paraId="4CFC629A">
      <w:pPr>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（1）供应商直接或者间接从采购人或者采购代理机构处获得其他供应商的相关信息并修改其响应文件</w:t>
      </w:r>
      <w:r>
        <w:rPr>
          <w:rFonts w:hint="eastAsia" w:ascii="宋体" w:hAnsi="宋体" w:cs="宋体"/>
          <w:color w:val="000000" w:themeColor="text1"/>
          <w:szCs w:val="21"/>
          <w:highlight w:val="none"/>
          <w:lang w:eastAsia="zh-CN"/>
          <w14:textFill>
            <w14:solidFill>
              <w14:schemeClr w14:val="tx1"/>
            </w14:solidFill>
          </w14:textFill>
        </w:rPr>
        <w:t>；</w:t>
      </w:r>
    </w:p>
    <w:p w14:paraId="76D930E2">
      <w:pPr>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（2）供应商按照采购人或者采购代理机构的授意撤换、修改响应文件</w:t>
      </w:r>
      <w:r>
        <w:rPr>
          <w:rFonts w:hint="eastAsia" w:ascii="宋体" w:hAnsi="宋体" w:cs="宋体"/>
          <w:color w:val="000000" w:themeColor="text1"/>
          <w:szCs w:val="21"/>
          <w:highlight w:val="none"/>
          <w:lang w:eastAsia="zh-CN"/>
          <w14:textFill>
            <w14:solidFill>
              <w14:schemeClr w14:val="tx1"/>
            </w14:solidFill>
          </w14:textFill>
        </w:rPr>
        <w:t>；</w:t>
      </w:r>
    </w:p>
    <w:p w14:paraId="4F1334F9">
      <w:pPr>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（3）供应商之间协商报价、技术方案等响应文件或者响应文件的实质性内容</w:t>
      </w:r>
      <w:r>
        <w:rPr>
          <w:rFonts w:hint="eastAsia" w:ascii="宋体" w:hAnsi="宋体" w:cs="宋体"/>
          <w:color w:val="000000" w:themeColor="text1"/>
          <w:szCs w:val="21"/>
          <w:highlight w:val="none"/>
          <w:lang w:eastAsia="zh-CN"/>
          <w14:textFill>
            <w14:solidFill>
              <w14:schemeClr w14:val="tx1"/>
            </w14:solidFill>
          </w14:textFill>
        </w:rPr>
        <w:t>；</w:t>
      </w:r>
    </w:p>
    <w:p w14:paraId="4C3110EA">
      <w:pPr>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（4）属于同一集团、协会、商会等组织成员的供应商按照该组织要求协同参加政府采购活动</w:t>
      </w:r>
      <w:r>
        <w:rPr>
          <w:rFonts w:hint="eastAsia" w:ascii="宋体" w:hAnsi="宋体" w:cs="宋体"/>
          <w:color w:val="000000" w:themeColor="text1"/>
          <w:szCs w:val="21"/>
          <w:highlight w:val="none"/>
          <w:lang w:eastAsia="zh-CN"/>
          <w14:textFill>
            <w14:solidFill>
              <w14:schemeClr w14:val="tx1"/>
            </w14:solidFill>
          </w14:textFill>
        </w:rPr>
        <w:t>；</w:t>
      </w:r>
    </w:p>
    <w:p w14:paraId="13B6D544">
      <w:pPr>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（5）供应商之间事先约定一致抬高或者压低报价，或者在政府采购活动中事先约定轮流以高价位或者低价位成交，或者事先约定由某一特定供应商成交，然后再参加竞标</w:t>
      </w:r>
      <w:r>
        <w:rPr>
          <w:rFonts w:hint="eastAsia" w:ascii="宋体" w:hAnsi="宋体" w:cs="宋体"/>
          <w:color w:val="000000" w:themeColor="text1"/>
          <w:szCs w:val="21"/>
          <w:highlight w:val="none"/>
          <w:lang w:eastAsia="zh-CN"/>
          <w14:textFill>
            <w14:solidFill>
              <w14:schemeClr w14:val="tx1"/>
            </w14:solidFill>
          </w14:textFill>
        </w:rPr>
        <w:t>；</w:t>
      </w:r>
    </w:p>
    <w:p w14:paraId="591656D7">
      <w:pPr>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（6）供应商之间商定部分供应商放弃参加政府采购活动或者放弃成交</w:t>
      </w:r>
      <w:r>
        <w:rPr>
          <w:rFonts w:hint="eastAsia" w:ascii="宋体" w:hAnsi="宋体" w:cs="宋体"/>
          <w:color w:val="000000" w:themeColor="text1"/>
          <w:szCs w:val="21"/>
          <w:highlight w:val="none"/>
          <w:lang w:eastAsia="zh-CN"/>
          <w14:textFill>
            <w14:solidFill>
              <w14:schemeClr w14:val="tx1"/>
            </w14:solidFill>
          </w14:textFill>
        </w:rPr>
        <w:t>；</w:t>
      </w:r>
    </w:p>
    <w:p w14:paraId="23CE317E">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（7）供应商与采购人或者采购代理机构之间、供应商相互之间，为谋求特定供应商成交或者排斥其他供应商的其他串通行为。</w:t>
      </w:r>
    </w:p>
    <w:p w14:paraId="1BE62D02">
      <w:pPr>
        <w:spacing w:line="360" w:lineRule="auto"/>
        <w:ind w:firstLine="420" w:firstLineChars="200"/>
        <w:rPr>
          <w:rFonts w:ascii="宋体" w:hAnsi="宋体" w:cs="宋体"/>
          <w:color w:val="000000" w:themeColor="text1"/>
          <w:szCs w:val="21"/>
          <w:highlight w:val="none"/>
          <w14:textFill>
            <w14:solidFill>
              <w14:schemeClr w14:val="tx1"/>
            </w14:solidFill>
          </w14:textFill>
        </w:rPr>
      </w:pPr>
    </w:p>
    <w:p w14:paraId="1EA155E1">
      <w:pPr>
        <w:spacing w:line="360" w:lineRule="auto"/>
        <w:ind w:left="1" w:firstLine="417" w:firstLineChars="199"/>
        <w:jc w:val="center"/>
        <w:rPr>
          <w:rFonts w:ascii="宋体" w:hAnsi="宋体"/>
          <w:color w:val="000000" w:themeColor="text1"/>
          <w:highlight w:val="none"/>
          <w14:textFill>
            <w14:solidFill>
              <w14:schemeClr w14:val="tx1"/>
            </w14:solidFill>
          </w14:textFill>
        </w:rPr>
      </w:pPr>
      <w:bookmarkStart w:id="59" w:name="_Toc254970675"/>
      <w:bookmarkStart w:id="60" w:name="_Toc254970534"/>
    </w:p>
    <w:p w14:paraId="3018E89B">
      <w:pPr>
        <w:spacing w:line="360" w:lineRule="auto"/>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二、磋商文件</w:t>
      </w:r>
      <w:bookmarkEnd w:id="59"/>
      <w:bookmarkEnd w:id="60"/>
    </w:p>
    <w:p w14:paraId="62FE7B8B">
      <w:pPr>
        <w:spacing w:line="360" w:lineRule="auto"/>
        <w:rPr>
          <w:rFonts w:ascii="宋体" w:hAnsi="宋体"/>
          <w:color w:val="000000" w:themeColor="text1"/>
          <w:szCs w:val="21"/>
          <w:highlight w:val="none"/>
          <w14:textFill>
            <w14:solidFill>
              <w14:schemeClr w14:val="tx1"/>
            </w14:solidFill>
          </w14:textFill>
        </w:rPr>
      </w:pPr>
    </w:p>
    <w:p w14:paraId="412B2A77">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8.磋商文件的构成</w:t>
      </w:r>
    </w:p>
    <w:p w14:paraId="01F83B83">
      <w:pPr>
        <w:spacing w:line="360" w:lineRule="auto"/>
        <w:ind w:firstLine="420" w:firstLineChars="20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第一章  竞争性磋商公告</w:t>
      </w:r>
      <w:r>
        <w:rPr>
          <w:rFonts w:hint="eastAsia" w:ascii="宋体" w:hAnsi="宋体"/>
          <w:color w:val="000000" w:themeColor="text1"/>
          <w:szCs w:val="21"/>
          <w:highlight w:val="none"/>
          <w:lang w:eastAsia="zh-CN"/>
          <w14:textFill>
            <w14:solidFill>
              <w14:schemeClr w14:val="tx1"/>
            </w14:solidFill>
          </w14:textFill>
        </w:rPr>
        <w:t>；</w:t>
      </w:r>
    </w:p>
    <w:p w14:paraId="443330DD">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第二章  供应商须知</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 xml:space="preserve"> </w:t>
      </w:r>
    </w:p>
    <w:p w14:paraId="4A19F4DE">
      <w:pPr>
        <w:spacing w:line="360" w:lineRule="auto"/>
        <w:ind w:firstLine="420" w:firstLineChars="20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第三章  采购需求</w:t>
      </w:r>
      <w:r>
        <w:rPr>
          <w:rFonts w:hint="eastAsia" w:ascii="宋体" w:hAnsi="宋体"/>
          <w:color w:val="000000" w:themeColor="text1"/>
          <w:szCs w:val="21"/>
          <w:highlight w:val="none"/>
          <w:lang w:eastAsia="zh-CN"/>
          <w14:textFill>
            <w14:solidFill>
              <w14:schemeClr w14:val="tx1"/>
            </w14:solidFill>
          </w14:textFill>
        </w:rPr>
        <w:t>；</w:t>
      </w:r>
    </w:p>
    <w:p w14:paraId="65E87967">
      <w:pPr>
        <w:spacing w:line="360" w:lineRule="auto"/>
        <w:ind w:firstLine="420" w:firstLineChars="20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第四章  评审程序、评审方法和评审标准</w:t>
      </w:r>
      <w:r>
        <w:rPr>
          <w:rFonts w:hint="eastAsia" w:ascii="宋体" w:hAnsi="宋体"/>
          <w:color w:val="000000" w:themeColor="text1"/>
          <w:szCs w:val="21"/>
          <w:highlight w:val="none"/>
          <w:lang w:eastAsia="zh-CN"/>
          <w14:textFill>
            <w14:solidFill>
              <w14:schemeClr w14:val="tx1"/>
            </w14:solidFill>
          </w14:textFill>
        </w:rPr>
        <w:t>；</w:t>
      </w:r>
    </w:p>
    <w:p w14:paraId="196ED16A">
      <w:pPr>
        <w:spacing w:line="360" w:lineRule="auto"/>
        <w:ind w:firstLine="420" w:firstLineChars="20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第五章  工程量清单及图纸</w:t>
      </w:r>
      <w:r>
        <w:rPr>
          <w:rFonts w:hint="eastAsia" w:ascii="宋体" w:hAnsi="宋体"/>
          <w:color w:val="000000" w:themeColor="text1"/>
          <w:szCs w:val="21"/>
          <w:highlight w:val="none"/>
          <w:lang w:eastAsia="zh-CN"/>
          <w14:textFill>
            <w14:solidFill>
              <w14:schemeClr w14:val="tx1"/>
            </w14:solidFill>
          </w14:textFill>
        </w:rPr>
        <w:t>；</w:t>
      </w:r>
    </w:p>
    <w:p w14:paraId="6ABC0ACE">
      <w:pPr>
        <w:spacing w:line="360" w:lineRule="auto"/>
        <w:ind w:firstLine="420" w:firstLineChars="20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第六章  响应文件格式</w:t>
      </w:r>
      <w:r>
        <w:rPr>
          <w:rFonts w:hint="eastAsia" w:ascii="宋体" w:hAnsi="宋体"/>
          <w:color w:val="000000" w:themeColor="text1"/>
          <w:szCs w:val="21"/>
          <w:highlight w:val="none"/>
          <w:lang w:eastAsia="zh-CN"/>
          <w14:textFill>
            <w14:solidFill>
              <w14:schemeClr w14:val="tx1"/>
            </w14:solidFill>
          </w14:textFill>
        </w:rPr>
        <w:t>；</w:t>
      </w:r>
    </w:p>
    <w:p w14:paraId="67BC3851">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第七章  合同文本。</w:t>
      </w:r>
    </w:p>
    <w:p w14:paraId="133154FF">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9.供应商的询问</w:t>
      </w:r>
    </w:p>
    <w:p w14:paraId="5296386D">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供应商应认真阅读磋商文件的采购需求，如供应商对磋商文件有疑问的，如要求采购人作出澄清或者修改的，供应商尽可能在</w:t>
      </w:r>
      <w:r>
        <w:rPr>
          <w:rFonts w:ascii="宋体" w:hAnsi="宋体"/>
          <w:color w:val="000000" w:themeColor="text1"/>
          <w:szCs w:val="21"/>
          <w:highlight w:val="none"/>
          <w14:textFill>
            <w14:solidFill>
              <w14:schemeClr w14:val="tx1"/>
            </w14:solidFill>
          </w14:textFill>
        </w:rPr>
        <w:t>提交首次响应文件截止之日前</w:t>
      </w:r>
      <w:r>
        <w:rPr>
          <w:rFonts w:hint="eastAsia" w:ascii="宋体" w:hAnsi="宋体"/>
          <w:color w:val="000000" w:themeColor="text1"/>
          <w:szCs w:val="21"/>
          <w:highlight w:val="none"/>
          <w14:textFill>
            <w14:solidFill>
              <w14:schemeClr w14:val="tx1"/>
            </w14:solidFill>
          </w14:textFill>
        </w:rPr>
        <w:t>，以书面形式向</w:t>
      </w:r>
      <w:r>
        <w:rPr>
          <w:rFonts w:ascii="宋体" w:hAnsi="宋体"/>
          <w:color w:val="000000" w:themeColor="text1"/>
          <w:szCs w:val="21"/>
          <w:highlight w:val="none"/>
          <w14:textFill>
            <w14:solidFill>
              <w14:schemeClr w14:val="tx1"/>
            </w14:solidFill>
          </w14:textFill>
        </w:rPr>
        <w:t>采购人、采购代理机构</w:t>
      </w:r>
      <w:r>
        <w:rPr>
          <w:rFonts w:hint="eastAsia" w:ascii="宋体" w:hAnsi="宋体"/>
          <w:color w:val="000000" w:themeColor="text1"/>
          <w:szCs w:val="21"/>
          <w:highlight w:val="none"/>
          <w14:textFill>
            <w14:solidFill>
              <w14:schemeClr w14:val="tx1"/>
            </w14:solidFill>
          </w14:textFill>
        </w:rPr>
        <w:t>提出。</w:t>
      </w:r>
    </w:p>
    <w:p w14:paraId="2CD579DB">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10.磋商文件的澄清和修改</w:t>
      </w:r>
    </w:p>
    <w:p w14:paraId="614F5C9A">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提交首次响应文件截止之日前，采购人或者采购代理机构可以对已发出的磋商文件进行必要的澄清或者修改，澄清或者修改的内容作为磋商文件的组成部分。澄清或者修改的内容可能影响响应文件编制的，</w:t>
      </w:r>
      <w:r>
        <w:rPr>
          <w:rFonts w:hint="eastAsia" w:ascii="宋体" w:hAnsi="宋体"/>
          <w:color w:val="000000" w:themeColor="text1"/>
          <w:szCs w:val="21"/>
          <w:highlight w:val="none"/>
          <w14:textFill>
            <w14:solidFill>
              <w14:schemeClr w14:val="tx1"/>
            </w14:solidFill>
          </w14:textFill>
        </w:rPr>
        <w:t>采购人或者采购代理机构应当</w:t>
      </w:r>
      <w:r>
        <w:rPr>
          <w:rFonts w:ascii="宋体" w:hAnsi="宋体"/>
          <w:color w:val="000000" w:themeColor="text1"/>
          <w:szCs w:val="21"/>
          <w:highlight w:val="none"/>
          <w14:textFill>
            <w14:solidFill>
              <w14:schemeClr w14:val="tx1"/>
            </w14:solidFill>
          </w14:textFill>
        </w:rPr>
        <w:t>在提交首次响应文件截止之日3个工作日前，以书面形式通知所有</w:t>
      </w:r>
      <w:r>
        <w:rPr>
          <w:rFonts w:hint="eastAsia" w:ascii="宋体" w:hAnsi="宋体"/>
          <w:color w:val="000000" w:themeColor="text1"/>
          <w:szCs w:val="21"/>
          <w:highlight w:val="none"/>
          <w14:textFill>
            <w14:solidFill>
              <w14:schemeClr w14:val="tx1"/>
            </w14:solidFill>
          </w14:textFill>
        </w:rPr>
        <w:t>获取</w:t>
      </w:r>
      <w:r>
        <w:rPr>
          <w:rFonts w:ascii="宋体" w:hAnsi="宋体"/>
          <w:color w:val="000000" w:themeColor="text1"/>
          <w:szCs w:val="21"/>
          <w:highlight w:val="none"/>
          <w14:textFill>
            <w14:solidFill>
              <w14:schemeClr w14:val="tx1"/>
            </w14:solidFill>
          </w14:textFill>
        </w:rPr>
        <w:t>磋商文件的供应商，不足3个工作日的，应当顺延提交首次响应文件截止之日。</w:t>
      </w:r>
    </w:p>
    <w:p w14:paraId="316B78BB">
      <w:pPr>
        <w:spacing w:line="360" w:lineRule="auto"/>
        <w:rPr>
          <w:rFonts w:ascii="宋体" w:hAnsi="宋体"/>
          <w:color w:val="000000" w:themeColor="text1"/>
          <w:szCs w:val="21"/>
          <w:highlight w:val="none"/>
          <w14:textFill>
            <w14:solidFill>
              <w14:schemeClr w14:val="tx1"/>
            </w14:solidFill>
          </w14:textFill>
        </w:rPr>
      </w:pPr>
    </w:p>
    <w:p w14:paraId="6F58E781">
      <w:pPr>
        <w:spacing w:line="360" w:lineRule="auto"/>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三、响应文件的编制</w:t>
      </w:r>
    </w:p>
    <w:p w14:paraId="16B38A18">
      <w:pPr>
        <w:spacing w:line="360" w:lineRule="auto"/>
        <w:rPr>
          <w:rFonts w:ascii="宋体" w:hAnsi="宋体"/>
          <w:color w:val="000000" w:themeColor="text1"/>
          <w:szCs w:val="21"/>
          <w:highlight w:val="none"/>
          <w14:textFill>
            <w14:solidFill>
              <w14:schemeClr w14:val="tx1"/>
            </w14:solidFill>
          </w14:textFill>
        </w:rPr>
      </w:pPr>
    </w:p>
    <w:p w14:paraId="7C909C9A">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11.响应文件的编制原则</w:t>
      </w:r>
    </w:p>
    <w:p w14:paraId="597DF0C8">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供应商必须按照磋商文件的要求编制响应文件，并对其提交的响应文件的真实性、合法性承担法律责任。响应文件必须对磋商文件作出实质性响应。</w:t>
      </w:r>
    </w:p>
    <w:p w14:paraId="19482253">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12.响应文件的组成</w:t>
      </w:r>
    </w:p>
    <w:p w14:paraId="688DF6F1">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12.1响应文件由资格证明文件、报价文件、商务技术文件三部分组成。</w:t>
      </w:r>
    </w:p>
    <w:p w14:paraId="6F1CCE31">
      <w:pPr>
        <w:spacing w:line="360" w:lineRule="auto"/>
        <w:ind w:left="840" w:leftChars="200" w:hanging="420" w:hanging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12.1.1资格证明文件：详见“供应商须知前附表”</w:t>
      </w:r>
    </w:p>
    <w:p w14:paraId="539054F1">
      <w:pPr>
        <w:spacing w:line="360" w:lineRule="auto"/>
        <w:ind w:left="840" w:leftChars="200" w:hanging="420" w:hanging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12.1.2报价文件：详见“供应商须知前附表”</w:t>
      </w:r>
    </w:p>
    <w:p w14:paraId="0F0A9452">
      <w:pPr>
        <w:spacing w:line="360" w:lineRule="auto"/>
        <w:ind w:left="840" w:leftChars="200" w:hanging="420" w:hanging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12.1.3商务技术文件：详见“供应商须知前附表”</w:t>
      </w:r>
    </w:p>
    <w:p w14:paraId="1CE4BC2E">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13.计量单位</w:t>
      </w:r>
    </w:p>
    <w:p w14:paraId="14061A55">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磋商文件已有明确规定的，使用磋商文件规定的计量单位</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磋商文件没有规定的，应采用中华人民共和国法定计量单位，货币种类为人民币，否则视同未响应。</w:t>
      </w:r>
    </w:p>
    <w:p w14:paraId="34272E40">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14.竞标的风险</w:t>
      </w:r>
    </w:p>
    <w:p w14:paraId="195BAB47">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供应商没有按照磋商文件要求提供全部资料，或者供应商没有对磋商文件在各方面作出实质性响应可能导致其响应无效，是供应商应当考虑的风险。</w:t>
      </w:r>
    </w:p>
    <w:p w14:paraId="21C0823D">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15.竞标报价</w:t>
      </w:r>
    </w:p>
    <w:p w14:paraId="41CC8CE8">
      <w:pPr>
        <w:tabs>
          <w:tab w:val="left" w:pos="2492"/>
        </w:tabs>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15.1竞标报价应按磋商文件第五章“工程量清单及图纸”的要求及第六章“响应文件格式”填写相应表格。</w:t>
      </w:r>
    </w:p>
    <w:p w14:paraId="3199C72D">
      <w:pPr>
        <w:tabs>
          <w:tab w:val="left" w:pos="2492"/>
        </w:tabs>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15.2竞标报价的内容见“供应商须知前附表”。</w:t>
      </w:r>
    </w:p>
    <w:p w14:paraId="7612CBA4">
      <w:pPr>
        <w:tabs>
          <w:tab w:val="left" w:pos="2492"/>
        </w:tabs>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15.3本项目的增值税计税方法见“供应商须知前附表”。</w:t>
      </w:r>
    </w:p>
    <w:p w14:paraId="4B6A2824">
      <w:pPr>
        <w:spacing w:line="360" w:lineRule="auto"/>
        <w:ind w:left="426" w:leftChars="203"/>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15.4竞标报价要求</w:t>
      </w:r>
    </w:p>
    <w:p w14:paraId="7751E70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4</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供应商的竞标报价应符合以下要求，否则响应文件按无效处理：</w:t>
      </w:r>
    </w:p>
    <w:p w14:paraId="7C2C2951">
      <w:pPr>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（1）供应商必须就“采购需求”中所竞标的每个分标的全部内容分别作完整唯一总价报价，不得存在漏项报价</w:t>
      </w:r>
      <w:r>
        <w:rPr>
          <w:rFonts w:hint="eastAsia" w:ascii="宋体" w:hAnsi="宋体" w:cs="宋体"/>
          <w:color w:val="000000" w:themeColor="text1"/>
          <w:szCs w:val="21"/>
          <w:highlight w:val="none"/>
          <w:lang w:eastAsia="zh-CN"/>
          <w14:textFill>
            <w14:solidFill>
              <w14:schemeClr w14:val="tx1"/>
            </w14:solidFill>
          </w14:textFill>
        </w:rPr>
        <w:t>；</w:t>
      </w:r>
    </w:p>
    <w:p w14:paraId="45C8F8F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）供应商必须就所竞标的分标的单项内容作唯一报价。</w:t>
      </w:r>
    </w:p>
    <w:p w14:paraId="69105B0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15.4.</w:t>
      </w: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竞标报价（包含首次报价、最后报价）超过所竞标分标规定的采购预算金额或者最高限价的，其响应文件将按无效处理。</w:t>
      </w:r>
    </w:p>
    <w:p w14:paraId="769BAE12">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15.4.</w:t>
      </w:r>
      <w:r>
        <w:rPr>
          <w:rFonts w:ascii="宋体" w:hAnsi="宋体" w:cs="宋体"/>
          <w:color w:val="000000" w:themeColor="text1"/>
          <w:szCs w:val="21"/>
          <w:highlight w:val="none"/>
          <w14:textFill>
            <w14:solidFill>
              <w14:schemeClr w14:val="tx1"/>
            </w14:solidFill>
          </w14:textFill>
        </w:rPr>
        <w:t>3</w:t>
      </w:r>
      <w:bookmarkStart w:id="61" w:name="_Hlk42592874"/>
      <w:r>
        <w:rPr>
          <w:rFonts w:hint="eastAsia" w:ascii="宋体" w:hAnsi="宋体" w:cs="宋体"/>
          <w:color w:val="000000" w:themeColor="text1"/>
          <w:szCs w:val="21"/>
          <w:highlight w:val="none"/>
          <w14:textFill>
            <w14:solidFill>
              <w14:schemeClr w14:val="tx1"/>
            </w14:solidFill>
          </w14:textFill>
        </w:rPr>
        <w:t>竞标报价（包含首次报价、最后报价）超过分项采购预算金额或者单价最高限价的（如有要求），其响应文件将按无效处理。</w:t>
      </w:r>
    </w:p>
    <w:p w14:paraId="35C09D08">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15.4.4供应商在提交响应文件截止时间前修改竞标函中的竞标总报价，应同时修改响应文件“已标价工程量清单”中的相应报价。此修改须符合本须知正文第20条、第21条的有关要求。</w:t>
      </w:r>
    </w:p>
    <w:bookmarkEnd w:id="61"/>
    <w:p w14:paraId="4CB6FC73">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16.竞标有效期</w:t>
      </w:r>
    </w:p>
    <w:p w14:paraId="0AA247A3">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16.1竞标有效期是指为保证采购人有足够的时间在提交响应文件后完成评审、确定成交供应商、合同签订等工作而要求供应商提交的响应文件在一定时间内保持有效的期限。</w:t>
      </w:r>
    </w:p>
    <w:p w14:paraId="2C5F6B5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16.2 竞标有效期应由供应商按“供应商须知前附表”规定的期限作出响应。</w:t>
      </w:r>
    </w:p>
    <w:p w14:paraId="5733D73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16.3供应商的响应文件在竞标有效期内均保持有效。</w:t>
      </w:r>
    </w:p>
    <w:p w14:paraId="685B7FAE">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17.磋商保证金</w:t>
      </w:r>
    </w:p>
    <w:p w14:paraId="2866A93D">
      <w:pPr>
        <w:spacing w:line="360" w:lineRule="auto"/>
        <w:ind w:left="420" w:left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17.1供应商须按“供应商须知前附表”的规定提交磋商保证金。</w:t>
      </w:r>
    </w:p>
    <w:p w14:paraId="56DB7D78">
      <w:pPr>
        <w:spacing w:line="360" w:lineRule="auto"/>
        <w:ind w:left="420" w:left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17.2磋商保证金的退还</w:t>
      </w:r>
    </w:p>
    <w:p w14:paraId="6A37972C">
      <w:pPr>
        <w:spacing w:line="360" w:lineRule="auto"/>
        <w:ind w:firstLine="420" w:firstLineChars="200"/>
        <w:rPr>
          <w:rFonts w:ascii="宋体" w:hAnsi="宋体" w:cs="宋体"/>
          <w:color w:val="000000" w:themeColor="text1"/>
          <w:szCs w:val="21"/>
          <w:highlight w:val="none"/>
          <w14:textFill>
            <w14:solidFill>
              <w14:schemeClr w14:val="tx1"/>
            </w14:solidFill>
          </w14:textFill>
        </w:rPr>
      </w:pPr>
      <w:bookmarkStart w:id="62" w:name="_Hlk66782243"/>
      <w:r>
        <w:rPr>
          <w:rFonts w:hint="eastAsia" w:ascii="宋体" w:hAnsi="宋体" w:cs="宋体"/>
          <w:color w:val="000000" w:themeColor="text1"/>
          <w:szCs w:val="21"/>
          <w:highlight w:val="none"/>
          <w14:textFill>
            <w14:solidFill>
              <w14:schemeClr w14:val="tx1"/>
            </w14:solidFill>
          </w14:textFill>
        </w:rPr>
        <w:t>未成交供应商的磋商保证金自成交通知书发出之日起</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个工作日内退还</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成交供应商的磋商保证金自签订合同之日起</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个工作日内退还。</w:t>
      </w:r>
      <w:bookmarkEnd w:id="62"/>
      <w:r>
        <w:rPr>
          <w:rFonts w:hint="eastAsia" w:ascii="宋体" w:hAnsi="宋体" w:cs="宋体"/>
          <w:color w:val="000000" w:themeColor="text1"/>
          <w:szCs w:val="21"/>
          <w:highlight w:val="none"/>
          <w14:textFill>
            <w14:solidFill>
              <w14:schemeClr w14:val="tx1"/>
            </w14:solidFill>
          </w14:textFill>
        </w:rPr>
        <w:t xml:space="preserve"> </w:t>
      </w:r>
    </w:p>
    <w:p w14:paraId="515460F0">
      <w:pPr>
        <w:spacing w:line="360" w:lineRule="auto"/>
        <w:ind w:left="420" w:left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17.3磋商保证金不计息。</w:t>
      </w:r>
    </w:p>
    <w:p w14:paraId="65CDF9C0">
      <w:pPr>
        <w:spacing w:line="360" w:lineRule="auto"/>
        <w:ind w:left="420" w:left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17.4供应商有下列情形之一的，磋商保证金将不予退还： </w:t>
      </w:r>
    </w:p>
    <w:p w14:paraId="412A8961">
      <w:pPr>
        <w:spacing w:line="360" w:lineRule="auto"/>
        <w:ind w:left="420" w:left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（1）供应商在提交响应文件截止时间后撤回响应文件的</w:t>
      </w:r>
      <w:r>
        <w:rPr>
          <w:rFonts w:hint="eastAsia" w:ascii="宋体" w:hAnsi="宋体" w:cs="宋体"/>
          <w:color w:val="000000" w:themeColor="text1"/>
          <w:szCs w:val="21"/>
          <w:highlight w:val="none"/>
          <w:lang w:eastAsia="zh-CN"/>
          <w14:textFill>
            <w14:solidFill>
              <w14:schemeClr w14:val="tx1"/>
            </w14:solidFill>
          </w14:textFill>
        </w:rPr>
        <w:t>；</w:t>
      </w:r>
    </w:p>
    <w:p w14:paraId="1D18D813">
      <w:pPr>
        <w:spacing w:line="360" w:lineRule="auto"/>
        <w:ind w:left="420" w:leftChars="200"/>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（2）未按规定提交履约保证金的</w:t>
      </w:r>
      <w:r>
        <w:rPr>
          <w:rFonts w:hint="eastAsia" w:ascii="宋体" w:hAnsi="宋体"/>
          <w:color w:val="000000" w:themeColor="text1"/>
          <w:szCs w:val="21"/>
          <w:highlight w:val="none"/>
          <w:lang w:eastAsia="zh-CN"/>
          <w14:textFill>
            <w14:solidFill>
              <w14:schemeClr w14:val="tx1"/>
            </w14:solidFill>
          </w14:textFill>
        </w:rPr>
        <w:t>；</w:t>
      </w:r>
    </w:p>
    <w:p w14:paraId="630F3E8C">
      <w:pPr>
        <w:spacing w:line="360" w:lineRule="auto"/>
        <w:ind w:left="420" w:left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（3）供应商在响应文件中提供虚假材料的</w:t>
      </w:r>
      <w:r>
        <w:rPr>
          <w:rFonts w:hint="eastAsia" w:ascii="宋体" w:hAnsi="宋体" w:cs="宋体"/>
          <w:color w:val="000000" w:themeColor="text1"/>
          <w:szCs w:val="21"/>
          <w:highlight w:val="none"/>
          <w:lang w:eastAsia="zh-CN"/>
          <w14:textFill>
            <w14:solidFill>
              <w14:schemeClr w14:val="tx1"/>
            </w14:solidFill>
          </w14:textFill>
        </w:rPr>
        <w:t>；</w:t>
      </w:r>
    </w:p>
    <w:p w14:paraId="7C915FB2">
      <w:pPr>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（4）除因不可抗力或者磋商文件认可的情形以外，成交供应商不与采购人签订合同的</w:t>
      </w:r>
      <w:r>
        <w:rPr>
          <w:rFonts w:hint="eastAsia" w:ascii="宋体" w:hAnsi="宋体" w:cs="宋体"/>
          <w:color w:val="000000" w:themeColor="text1"/>
          <w:szCs w:val="21"/>
          <w:highlight w:val="none"/>
          <w:lang w:eastAsia="zh-CN"/>
          <w14:textFill>
            <w14:solidFill>
              <w14:schemeClr w14:val="tx1"/>
            </w14:solidFill>
          </w14:textFill>
        </w:rPr>
        <w:t>；</w:t>
      </w:r>
    </w:p>
    <w:p w14:paraId="746A0A69">
      <w:pPr>
        <w:spacing w:line="360" w:lineRule="auto"/>
        <w:ind w:left="420" w:left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（5）供应商与采购人、其他供应商或者采购代理机构恶意串通的</w:t>
      </w:r>
      <w:r>
        <w:rPr>
          <w:rFonts w:hint="eastAsia" w:ascii="宋体" w:hAnsi="宋体" w:cs="宋体"/>
          <w:color w:val="000000" w:themeColor="text1"/>
          <w:szCs w:val="21"/>
          <w:highlight w:val="none"/>
          <w:lang w:eastAsia="zh-CN"/>
          <w14:textFill>
            <w14:solidFill>
              <w14:schemeClr w14:val="tx1"/>
            </w14:solidFill>
          </w14:textFill>
        </w:rPr>
        <w:t>；</w:t>
      </w:r>
    </w:p>
    <w:p w14:paraId="272AD258">
      <w:pPr>
        <w:spacing w:line="360" w:lineRule="auto"/>
        <w:ind w:left="420" w:left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（6）法律法规规定的其他情形。</w:t>
      </w:r>
    </w:p>
    <w:p w14:paraId="6F7E1C90">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18.响应文件编制的要求</w:t>
      </w:r>
    </w:p>
    <w:p w14:paraId="01D58006">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18.1供应商应先安装“</w:t>
      </w:r>
      <w:r>
        <w:rPr>
          <w:rFonts w:hint="eastAsia" w:ascii="宋体" w:hAnsi="宋体" w:cs="宋体"/>
          <w:color w:val="000000" w:themeColor="text1"/>
          <w:szCs w:val="21"/>
          <w:highlight w:val="none"/>
          <w:lang w:eastAsia="zh-CN"/>
          <w14:textFill>
            <w14:solidFill>
              <w14:schemeClr w14:val="tx1"/>
            </w14:solidFill>
          </w14:textFill>
        </w:rPr>
        <w:t>广西政府采购云电子交易客户端</w:t>
      </w:r>
      <w:r>
        <w:rPr>
          <w:rFonts w:hint="eastAsia" w:ascii="宋体" w:hAnsi="宋体" w:cs="宋体"/>
          <w:color w:val="000000" w:themeColor="text1"/>
          <w:szCs w:val="21"/>
          <w:highlight w:val="none"/>
          <w14:textFill>
            <w14:solidFill>
              <w14:schemeClr w14:val="tx1"/>
            </w14:solidFill>
          </w14:textFill>
        </w:rPr>
        <w:t>”（请自行前往广西政府采购云平台进行下载），并按照本项目磋商文件规定的格式和顺序和广西政府采购云平台的要求编制并加密。响应文件内容不完整、编排混乱导致响应文件被误读、漏读或者查找不到相关内容的，由此引发的后果由供应商承担。</w:t>
      </w:r>
    </w:p>
    <w:p w14:paraId="6C0563CB">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18.2为确保网上操作合法、有效和安全，供应商应当在提交响应文件截止时间前完成在广西政府采购云平台的身份认证，确保在电子竞标过程中能够对相关数据电文进行加密和使用电子签章。</w:t>
      </w:r>
    </w:p>
    <w:p w14:paraId="79D4DF60">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18.3响应文件须由供应商在规定位置签字、盖章（具体以供应商须知前附表或响应文件格式规定为准），否则按无效响应处理。</w:t>
      </w:r>
    </w:p>
    <w:p w14:paraId="19DE2EA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18.4响应文件中标注的供应商名称应与主体资格证明（如营业执照或者事业单位法人证书或者执业许可证或者登记证书等）及公章一致</w:t>
      </w:r>
      <w:bookmarkStart w:id="63" w:name="_Hlk170492647"/>
      <w:r>
        <w:rPr>
          <w:rFonts w:hint="eastAsia" w:ascii="宋体" w:hAnsi="宋体" w:cs="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并与广西政府采购云平台中获取磋商文件的供应商名称一致，</w:t>
      </w:r>
      <w:bookmarkEnd w:id="63"/>
      <w:r>
        <w:rPr>
          <w:rFonts w:hint="eastAsia" w:ascii="宋体" w:hAnsi="宋体" w:cs="宋体"/>
          <w:color w:val="000000" w:themeColor="text1"/>
          <w:szCs w:val="21"/>
          <w:highlight w:val="none"/>
          <w14:textFill>
            <w14:solidFill>
              <w14:schemeClr w14:val="tx1"/>
            </w14:solidFill>
          </w14:textFill>
        </w:rPr>
        <w:t>否则其响应文件按无效处理。</w:t>
      </w:r>
    </w:p>
    <w:p w14:paraId="44DE703B">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3B5C4365">
      <w:pPr>
        <w:spacing w:line="360" w:lineRule="auto"/>
        <w:ind w:firstLine="482" w:firstLineChars="200"/>
        <w:rPr>
          <w:rFonts w:ascii="黑体" w:hAnsi="黑体" w:eastAsia="黑体"/>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19.电子</w:t>
      </w:r>
      <w:r>
        <w:rPr>
          <w:rFonts w:hint="eastAsia" w:ascii="黑体" w:hAnsi="黑体" w:eastAsia="黑体"/>
          <w:b/>
          <w:color w:val="000000" w:themeColor="text1"/>
          <w:sz w:val="24"/>
          <w:highlight w:val="none"/>
          <w14:textFill>
            <w14:solidFill>
              <w14:schemeClr w14:val="tx1"/>
            </w14:solidFill>
          </w14:textFill>
        </w:rPr>
        <w:t>备份响应文件</w:t>
      </w:r>
    </w:p>
    <w:p w14:paraId="593ABB0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电子备份响应文件是指通过“</w:t>
      </w:r>
      <w:r>
        <w:rPr>
          <w:rFonts w:hint="eastAsia"/>
          <w:color w:val="000000" w:themeColor="text1"/>
          <w:highlight w:val="none"/>
          <w:lang w:eastAsia="zh-CN"/>
          <w14:textFill>
            <w14:solidFill>
              <w14:schemeClr w14:val="tx1"/>
            </w14:solidFill>
          </w14:textFill>
        </w:rPr>
        <w:t>广西政府采购云</w:t>
      </w:r>
      <w:r>
        <w:rPr>
          <w:rFonts w:hint="eastAsia"/>
          <w:color w:val="000000" w:themeColor="text1"/>
          <w:highlight w:val="none"/>
          <w14:textFill>
            <w14:solidFill>
              <w14:schemeClr w14:val="tx1"/>
            </w14:solidFill>
          </w14:textFill>
        </w:rPr>
        <w:t>电子投标客户端”在线编制生成且后缀名为“</w:t>
      </w:r>
      <w:r>
        <w:rPr>
          <w:color w:val="000000" w:themeColor="text1"/>
          <w:highlight w:val="none"/>
          <w14:textFill>
            <w14:solidFill>
              <w14:schemeClr w14:val="tx1"/>
            </w14:solidFill>
          </w14:textFill>
        </w:rPr>
        <w:t>bfbs</w:t>
      </w:r>
      <w:r>
        <w:rPr>
          <w:rFonts w:hint="eastAsia"/>
          <w:color w:val="000000" w:themeColor="text1"/>
          <w:highlight w:val="none"/>
          <w14:textFill>
            <w14:solidFill>
              <w14:schemeClr w14:val="tx1"/>
            </w14:solidFill>
          </w14:textFill>
        </w:rPr>
        <w:t>”的文件，是否接受电子备份响应文件</w:t>
      </w:r>
      <w:r>
        <w:rPr>
          <w:rFonts w:hint="eastAsia" w:hAnsi="宋体"/>
          <w:bCs/>
          <w:color w:val="000000" w:themeColor="text1"/>
          <w:szCs w:val="21"/>
          <w:highlight w:val="none"/>
          <w14:textFill>
            <w14:solidFill>
              <w14:schemeClr w14:val="tx1"/>
            </w14:solidFill>
          </w14:textFill>
        </w:rPr>
        <w:t>详见在“供应商须知前附表”。</w:t>
      </w:r>
    </w:p>
    <w:p w14:paraId="6A1C2B53">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20.响应文件的提交</w:t>
      </w:r>
    </w:p>
    <w:p w14:paraId="5C4E78E3">
      <w:pPr>
        <w:spacing w:line="360" w:lineRule="auto"/>
        <w:ind w:firstLine="420" w:firstLineChars="200"/>
        <w:rPr>
          <w:rFonts w:hAnsi="宋体"/>
          <w:b/>
          <w:color w:val="000000" w:themeColor="text1"/>
          <w:highlight w:val="none"/>
          <w14:textFill>
            <w14:solidFill>
              <w14:schemeClr w14:val="tx1"/>
            </w14:solidFill>
          </w14:textFill>
        </w:rPr>
      </w:pPr>
      <w:r>
        <w:rPr>
          <w:rFonts w:hint="eastAsia" w:hAnsi="宋体"/>
          <w:bCs/>
          <w:color w:val="000000" w:themeColor="text1"/>
          <w:szCs w:val="21"/>
          <w:highlight w:val="none"/>
          <w14:textFill>
            <w14:solidFill>
              <w14:schemeClr w14:val="tx1"/>
            </w14:solidFill>
          </w14:textFill>
        </w:rPr>
        <w:t>20.1供应商必须按“供应商须知前附表”规定的</w:t>
      </w:r>
      <w:r>
        <w:rPr>
          <w:rFonts w:hint="eastAsia" w:ascii="宋体" w:hAnsi="宋体" w:cs="宋体"/>
          <w:color w:val="000000" w:themeColor="text1"/>
          <w:szCs w:val="21"/>
          <w:highlight w:val="none"/>
          <w14:textFill>
            <w14:solidFill>
              <w14:schemeClr w14:val="tx1"/>
            </w14:solidFill>
          </w14:textFill>
        </w:rPr>
        <w:t>时间</w:t>
      </w:r>
      <w:r>
        <w:rPr>
          <w:rFonts w:hint="eastAsia" w:ascii="宋体" w:hAnsi="宋体"/>
          <w:color w:val="000000" w:themeColor="text1"/>
          <w:szCs w:val="21"/>
          <w:highlight w:val="none"/>
          <w14:textFill>
            <w14:solidFill>
              <w14:schemeClr w14:val="tx1"/>
            </w14:solidFill>
          </w14:textFill>
        </w:rPr>
        <w:t>及</w:t>
      </w:r>
      <w:r>
        <w:rPr>
          <w:rFonts w:hint="eastAsia" w:hAnsi="宋体"/>
          <w:bCs/>
          <w:color w:val="000000" w:themeColor="text1"/>
          <w:szCs w:val="21"/>
          <w:highlight w:val="none"/>
          <w14:textFill>
            <w14:solidFill>
              <w14:schemeClr w14:val="tx1"/>
            </w14:solidFill>
          </w14:textFill>
        </w:rPr>
        <w:t>地点提交响应文件。电子响应文件应在制作完成后，</w:t>
      </w:r>
      <w:r>
        <w:rPr>
          <w:rFonts w:hAnsi="宋体"/>
          <w:bCs/>
          <w:color w:val="000000" w:themeColor="text1"/>
          <w:szCs w:val="21"/>
          <w:highlight w:val="none"/>
          <w14:textFill>
            <w14:solidFill>
              <w14:schemeClr w14:val="tx1"/>
            </w14:solidFill>
          </w14:textFill>
        </w:rPr>
        <w:t>在</w:t>
      </w:r>
      <w:r>
        <w:rPr>
          <w:rFonts w:hint="eastAsia" w:hAnsi="宋体"/>
          <w:bCs/>
          <w:color w:val="000000" w:themeColor="text1"/>
          <w:szCs w:val="21"/>
          <w:highlight w:val="none"/>
          <w14:textFill>
            <w14:solidFill>
              <w14:schemeClr w14:val="tx1"/>
            </w14:solidFill>
          </w14:textFill>
        </w:rPr>
        <w:t>提交响应文件截止</w:t>
      </w:r>
      <w:r>
        <w:rPr>
          <w:rFonts w:hAnsi="宋体"/>
          <w:bCs/>
          <w:color w:val="000000" w:themeColor="text1"/>
          <w:szCs w:val="21"/>
          <w:highlight w:val="none"/>
          <w14:textFill>
            <w14:solidFill>
              <w14:schemeClr w14:val="tx1"/>
            </w14:solidFill>
          </w14:textFill>
        </w:rPr>
        <w:t>时间前</w:t>
      </w:r>
      <w:r>
        <w:rPr>
          <w:rFonts w:hint="eastAsia" w:hAnsi="宋体"/>
          <w:bCs/>
          <w:color w:val="000000" w:themeColor="text1"/>
          <w:szCs w:val="21"/>
          <w:highlight w:val="none"/>
          <w14:textFill>
            <w14:solidFill>
              <w14:schemeClr w14:val="tx1"/>
            </w14:solidFill>
          </w14:textFill>
        </w:rPr>
        <w:t>通过有效数字证书（CA认证锁）进行电子签章、加密，然后通过网络将加密的电子响应文件提交至</w:t>
      </w:r>
      <w:r>
        <w:rPr>
          <w:rFonts w:hint="eastAsia" w:ascii="宋体" w:hAnsi="宋体"/>
          <w:color w:val="000000" w:themeColor="text1"/>
          <w:szCs w:val="21"/>
          <w:highlight w:val="none"/>
          <w14:textFill>
            <w14:solidFill>
              <w14:schemeClr w14:val="tx1"/>
            </w14:solidFill>
          </w14:textFill>
        </w:rPr>
        <w:t>广西政府采购云平台</w:t>
      </w:r>
      <w:r>
        <w:rPr>
          <w:rFonts w:hint="eastAsia" w:hAnsi="宋体"/>
          <w:bCs/>
          <w:color w:val="000000" w:themeColor="text1"/>
          <w:szCs w:val="21"/>
          <w:highlight w:val="none"/>
          <w14:textFill>
            <w14:solidFill>
              <w14:schemeClr w14:val="tx1"/>
            </w14:solidFill>
          </w14:textFill>
        </w:rPr>
        <w:t xml:space="preserve">。 </w:t>
      </w:r>
      <w:r>
        <w:rPr>
          <w:rFonts w:hint="eastAsia" w:hAnsi="宋体"/>
          <w:b/>
          <w:color w:val="000000" w:themeColor="text1"/>
          <w:highlight w:val="none"/>
          <w14:textFill>
            <w14:solidFill>
              <w14:schemeClr w14:val="tx1"/>
            </w14:solidFill>
          </w14:textFill>
        </w:rPr>
        <w:t xml:space="preserve"> </w:t>
      </w:r>
    </w:p>
    <w:p w14:paraId="1A295C20">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20.</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未在规定时间内提交或者未按照磋商文件要求加密的电子响应文件，广西政府采购云平台将拒收。</w:t>
      </w:r>
    </w:p>
    <w:p w14:paraId="3BAA62ED">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21.首次响应文件的补充、修改与撤回</w:t>
      </w:r>
    </w:p>
    <w:p w14:paraId="1ECDDD80">
      <w:pPr>
        <w:spacing w:line="360" w:lineRule="auto"/>
        <w:ind w:firstLine="420" w:firstLineChars="200"/>
        <w:rPr>
          <w:rFonts w:hAnsi="宋体"/>
          <w:bCs/>
          <w:color w:val="000000" w:themeColor="text1"/>
          <w:szCs w:val="21"/>
          <w:highlight w:val="none"/>
          <w14:textFill>
            <w14:solidFill>
              <w14:schemeClr w14:val="tx1"/>
            </w14:solidFill>
          </w14:textFill>
        </w:rPr>
      </w:pPr>
      <w:bookmarkStart w:id="64" w:name="_Toc254970684"/>
      <w:bookmarkStart w:id="65" w:name="_Toc254970543"/>
      <w:r>
        <w:rPr>
          <w:rFonts w:hAnsi="宋体"/>
          <w:bCs/>
          <w:color w:val="000000" w:themeColor="text1"/>
          <w:szCs w:val="21"/>
          <w:highlight w:val="none"/>
          <w14:textFill>
            <w14:solidFill>
              <w14:schemeClr w14:val="tx1"/>
            </w14:solidFill>
          </w14:textFill>
        </w:rPr>
        <w:t>2</w:t>
      </w:r>
      <w:r>
        <w:rPr>
          <w:rFonts w:hint="eastAsia" w:hAnsi="宋体"/>
          <w:bCs/>
          <w:color w:val="000000" w:themeColor="text1"/>
          <w:szCs w:val="21"/>
          <w:highlight w:val="none"/>
          <w14:textFill>
            <w14:solidFill>
              <w14:schemeClr w14:val="tx1"/>
            </w14:solidFill>
          </w14:textFill>
        </w:rPr>
        <w:t>1.1供应商应当在提交响应文件截止</w:t>
      </w:r>
      <w:r>
        <w:rPr>
          <w:rFonts w:hAnsi="宋体"/>
          <w:bCs/>
          <w:color w:val="000000" w:themeColor="text1"/>
          <w:szCs w:val="21"/>
          <w:highlight w:val="none"/>
          <w14:textFill>
            <w14:solidFill>
              <w14:schemeClr w14:val="tx1"/>
            </w14:solidFill>
          </w14:textFill>
        </w:rPr>
        <w:t>时间</w:t>
      </w:r>
      <w:r>
        <w:rPr>
          <w:rFonts w:hint="eastAsia" w:hAnsi="宋体"/>
          <w:bCs/>
          <w:color w:val="000000" w:themeColor="text1"/>
          <w:szCs w:val="21"/>
          <w:highlight w:val="none"/>
          <w14:textFill>
            <w14:solidFill>
              <w14:schemeClr w14:val="tx1"/>
            </w14:solidFill>
          </w14:textFill>
        </w:rPr>
        <w:t>前完成电子响应文件的提交（上传），提交响应文件截止</w:t>
      </w:r>
      <w:r>
        <w:rPr>
          <w:rFonts w:hAnsi="宋体"/>
          <w:bCs/>
          <w:color w:val="000000" w:themeColor="text1"/>
          <w:szCs w:val="21"/>
          <w:highlight w:val="none"/>
          <w14:textFill>
            <w14:solidFill>
              <w14:schemeClr w14:val="tx1"/>
            </w14:solidFill>
          </w14:textFill>
        </w:rPr>
        <w:t>时间</w:t>
      </w:r>
      <w:r>
        <w:rPr>
          <w:rFonts w:hint="eastAsia" w:hAnsi="宋体"/>
          <w:bCs/>
          <w:color w:val="000000" w:themeColor="text1"/>
          <w:szCs w:val="21"/>
          <w:highlight w:val="none"/>
          <w14:textFill>
            <w14:solidFill>
              <w14:schemeClr w14:val="tx1"/>
            </w14:solidFill>
          </w14:textFill>
        </w:rPr>
        <w:t>前可以补充、修改或者撤回响应文件。补充或者修改响应文件的，应当先行撤回原响应文件，补充、修改后重新提交（上传），提交响应文件截止</w:t>
      </w:r>
      <w:r>
        <w:rPr>
          <w:rFonts w:hAnsi="宋体"/>
          <w:bCs/>
          <w:color w:val="000000" w:themeColor="text1"/>
          <w:szCs w:val="21"/>
          <w:highlight w:val="none"/>
          <w14:textFill>
            <w14:solidFill>
              <w14:schemeClr w14:val="tx1"/>
            </w14:solidFill>
          </w14:textFill>
        </w:rPr>
        <w:t>时间</w:t>
      </w:r>
      <w:r>
        <w:rPr>
          <w:rFonts w:hint="eastAsia" w:hAnsi="宋体"/>
          <w:bCs/>
          <w:color w:val="000000" w:themeColor="text1"/>
          <w:szCs w:val="21"/>
          <w:highlight w:val="none"/>
          <w14:textFill>
            <w14:solidFill>
              <w14:schemeClr w14:val="tx1"/>
            </w14:solidFill>
          </w14:textFill>
        </w:rPr>
        <w:t>前未完成提交（上传）的，视为撤回响应文件。提交响应文件截止</w:t>
      </w:r>
      <w:r>
        <w:rPr>
          <w:rFonts w:hAnsi="宋体"/>
          <w:bCs/>
          <w:color w:val="000000" w:themeColor="text1"/>
          <w:szCs w:val="21"/>
          <w:highlight w:val="none"/>
          <w14:textFill>
            <w14:solidFill>
              <w14:schemeClr w14:val="tx1"/>
            </w14:solidFill>
          </w14:textFill>
        </w:rPr>
        <w:t>时间</w:t>
      </w:r>
      <w:r>
        <w:rPr>
          <w:rFonts w:hint="eastAsia" w:hAnsi="宋体"/>
          <w:bCs/>
          <w:color w:val="000000" w:themeColor="text1"/>
          <w:szCs w:val="21"/>
          <w:highlight w:val="none"/>
          <w14:textFill>
            <w14:solidFill>
              <w14:schemeClr w14:val="tx1"/>
            </w14:solidFill>
          </w14:textFill>
        </w:rPr>
        <w:t>以后提交（上传）的响应文件，广西政府采购云平台将予以拒收。（注：补充、修改或者撤回方式可登录广西政府采购云平台，进入“服务中心”中查看 “电子投标文件制作与投送教程”）</w:t>
      </w:r>
    </w:p>
    <w:bookmarkEnd w:id="64"/>
    <w:bookmarkEnd w:id="65"/>
    <w:p w14:paraId="7D86F1E1">
      <w:pPr>
        <w:pStyle w:val="101"/>
        <w:spacing w:before="0"/>
        <w:ind w:firstLine="420"/>
        <w:rPr>
          <w:rFonts w:ascii="宋体" w:hAnsi="宋体" w:cs="宋体"/>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14:textFill>
            <w14:solidFill>
              <w14:schemeClr w14:val="tx1"/>
            </w14:solidFill>
          </w14:textFill>
        </w:rPr>
        <w:t>1</w:t>
      </w:r>
      <w:r>
        <w:rPr>
          <w:rFonts w:ascii="宋体" w:hAns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2在提交响应文件截止时间前，除供应商补充、修改或者撤回响应文件外，任何单位和个人不得解密或提取响应文件。</w:t>
      </w:r>
    </w:p>
    <w:p w14:paraId="33A32EAB">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bookmarkStart w:id="66" w:name="_Hlk45702405"/>
      <w:r>
        <w:rPr>
          <w:rFonts w:hint="eastAsia" w:ascii="黑体" w:hAnsi="黑体" w:eastAsia="黑体" w:cs="宋体"/>
          <w:b/>
          <w:bCs/>
          <w:color w:val="000000" w:themeColor="text1"/>
          <w:sz w:val="24"/>
          <w:highlight w:val="none"/>
          <w14:textFill>
            <w14:solidFill>
              <w14:schemeClr w14:val="tx1"/>
            </w14:solidFill>
          </w14:textFill>
        </w:rPr>
        <w:t>22.响应文件的退回</w:t>
      </w:r>
    </w:p>
    <w:p w14:paraId="6611F189">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采购人和采购代理机构对已提交的响应文件概不退回。</w:t>
      </w:r>
    </w:p>
    <w:p w14:paraId="7A1AB689">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23.截止时间后的撤回</w:t>
      </w:r>
    </w:p>
    <w:p w14:paraId="3B9137F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供应商在响应文件提交截止时间后向采购人、采购代理机构书面申请撤回响应文件的，将根据本须知正文第17.4条的规定不予退还其磋商保证金。</w:t>
      </w:r>
    </w:p>
    <w:bookmarkEnd w:id="66"/>
    <w:p w14:paraId="79F8813E">
      <w:pPr>
        <w:spacing w:line="360" w:lineRule="auto"/>
        <w:rPr>
          <w:rFonts w:ascii="宋体" w:hAnsi="宋体"/>
          <w:color w:val="000000" w:themeColor="text1"/>
          <w:szCs w:val="21"/>
          <w:highlight w:val="none"/>
          <w14:textFill>
            <w14:solidFill>
              <w14:schemeClr w14:val="tx1"/>
            </w14:solidFill>
          </w14:textFill>
        </w:rPr>
      </w:pPr>
    </w:p>
    <w:p w14:paraId="4A4FE365">
      <w:pPr>
        <w:spacing w:line="360" w:lineRule="auto"/>
        <w:ind w:left="420" w:firstLine="420"/>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四、评审及磋商</w:t>
      </w:r>
    </w:p>
    <w:p w14:paraId="2E52FE52">
      <w:pPr>
        <w:spacing w:line="360" w:lineRule="auto"/>
        <w:ind w:left="420" w:firstLine="420"/>
        <w:rPr>
          <w:rFonts w:ascii="宋体" w:hAnsi="宋体"/>
          <w:color w:val="000000" w:themeColor="text1"/>
          <w:szCs w:val="21"/>
          <w:highlight w:val="none"/>
          <w14:textFill>
            <w14:solidFill>
              <w14:schemeClr w14:val="tx1"/>
            </w14:solidFill>
          </w14:textFill>
        </w:rPr>
      </w:pPr>
    </w:p>
    <w:p w14:paraId="13EE69ED">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24.磋商小组成立</w:t>
      </w:r>
    </w:p>
    <w:p w14:paraId="114B54A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w:t>
      </w:r>
    </w:p>
    <w:p w14:paraId="56E65B90">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29D77EA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24.3</w:t>
      </w:r>
      <w:r>
        <w:rPr>
          <w:rFonts w:hint="eastAsia" w:hAnsi="宋体"/>
          <w:bCs/>
          <w:color w:val="000000" w:themeColor="text1"/>
          <w:szCs w:val="21"/>
          <w:highlight w:val="none"/>
          <w14:textFill>
            <w14:solidFill>
              <w14:schemeClr w14:val="tx1"/>
            </w14:solidFill>
          </w14:textFill>
        </w:rPr>
        <w:t>采购代理机构</w:t>
      </w:r>
      <w:r>
        <w:rPr>
          <w:rFonts w:hint="eastAsia" w:hAnsi="宋体"/>
          <w:bCs/>
          <w:color w:val="000000" w:themeColor="text1"/>
          <w:highlight w:val="none"/>
          <w14:textFill>
            <w14:solidFill>
              <w14:schemeClr w14:val="tx1"/>
            </w14:solidFill>
          </w14:textFill>
        </w:rPr>
        <w:t>应当</w:t>
      </w:r>
      <w:r>
        <w:rPr>
          <w:rFonts w:hint="eastAsia" w:hAnsi="宋体"/>
          <w:bCs/>
          <w:color w:val="000000" w:themeColor="text1"/>
          <w:szCs w:val="21"/>
          <w:highlight w:val="none"/>
          <w14:textFill>
            <w14:solidFill>
              <w14:schemeClr w14:val="tx1"/>
            </w14:solidFill>
          </w14:textFill>
        </w:rPr>
        <w:t>基于广西政府采购云平台</w:t>
      </w:r>
      <w:r>
        <w:rPr>
          <w:rFonts w:hint="eastAsia" w:hAnsi="宋体"/>
          <w:bCs/>
          <w:color w:val="000000" w:themeColor="text1"/>
          <w:highlight w:val="none"/>
          <w14:textFill>
            <w14:solidFill>
              <w14:schemeClr w14:val="tx1"/>
            </w14:solidFill>
          </w14:textFill>
        </w:rPr>
        <w:t>抽（选）取</w:t>
      </w:r>
      <w:r>
        <w:rPr>
          <w:rFonts w:hint="eastAsia" w:hAnsi="宋体"/>
          <w:bCs/>
          <w:color w:val="000000" w:themeColor="text1"/>
          <w:szCs w:val="21"/>
          <w:highlight w:val="none"/>
          <w14:textFill>
            <w14:solidFill>
              <w14:schemeClr w14:val="tx1"/>
            </w14:solidFill>
          </w14:textFill>
        </w:rPr>
        <w:t>评审专家。</w:t>
      </w:r>
    </w:p>
    <w:p w14:paraId="7ABD1273">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25.</w:t>
      </w:r>
      <w:r>
        <w:rPr>
          <w:rFonts w:hint="eastAsia" w:ascii="黑体" w:hAnsi="黑体" w:eastAsia="黑体" w:cs="宋体"/>
          <w:b/>
          <w:bCs/>
          <w:color w:val="000000" w:themeColor="text1"/>
          <w:sz w:val="24"/>
          <w:highlight w:val="none"/>
          <w14:textFill>
            <w14:solidFill>
              <w14:schemeClr w14:val="tx1"/>
            </w14:solidFill>
          </w14:textFill>
        </w:rPr>
        <w:t>首次响应文件的开启和解密</w:t>
      </w:r>
    </w:p>
    <w:p w14:paraId="1186B7E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采购代理机构将在“供应商须知前附表”规定的时</w:t>
      </w:r>
      <w:r>
        <w:rPr>
          <w:rFonts w:hint="eastAsia" w:hAnsi="宋体"/>
          <w:color w:val="000000" w:themeColor="text1"/>
          <w:highlight w:val="none"/>
          <w14:textFill>
            <w14:solidFill>
              <w14:schemeClr w14:val="tx1"/>
            </w14:solidFill>
          </w14:textFill>
        </w:rPr>
        <w:t>间通过电子交易平台组织响应文件开启，供应商的法定代表人或其委托代理人须携带加密时所用的CA锁，按平台提示和磋商文件的规定登录到广西政府采购云平台电子开标大厅签到，</w:t>
      </w:r>
      <w:r>
        <w:rPr>
          <w:rFonts w:hint="eastAsia"/>
          <w:color w:val="000000" w:themeColor="text1"/>
          <w:highlight w:val="none"/>
          <w14:textFill>
            <w14:solidFill>
              <w14:schemeClr w14:val="tx1"/>
            </w14:solidFill>
          </w14:textFill>
        </w:rPr>
        <w:t>采购代理机构依托广西政府采购云平台向各供应商发出电子加密响应文件【开始解密】通知，由供应商按</w:t>
      </w:r>
      <w:r>
        <w:rPr>
          <w:rFonts w:hint="eastAsia" w:hAnsi="宋体"/>
          <w:bCs/>
          <w:color w:val="000000" w:themeColor="text1"/>
          <w:szCs w:val="21"/>
          <w:highlight w:val="none"/>
          <w14:textFill>
            <w14:solidFill>
              <w14:schemeClr w14:val="tx1"/>
            </w14:solidFill>
          </w14:textFill>
        </w:rPr>
        <w:t>“供应商须知前附表”</w:t>
      </w:r>
      <w:r>
        <w:rPr>
          <w:rFonts w:hint="eastAsia"/>
          <w:color w:val="000000" w:themeColor="text1"/>
          <w:highlight w:val="none"/>
          <w14:textFill>
            <w14:solidFill>
              <w14:schemeClr w14:val="tx1"/>
            </w14:solidFill>
          </w14:textFill>
        </w:rPr>
        <w:t>规定的时间内自行进行响应文件解密</w:t>
      </w:r>
      <w:r>
        <w:rPr>
          <w:rFonts w:hint="eastAsia" w:hAnsi="宋体"/>
          <w:color w:val="000000" w:themeColor="text1"/>
          <w:highlight w:val="none"/>
          <w14:textFill>
            <w14:solidFill>
              <w14:schemeClr w14:val="tx1"/>
            </w14:solidFill>
          </w14:textFill>
        </w:rPr>
        <w:t>。</w:t>
      </w:r>
      <w:r>
        <w:rPr>
          <w:rFonts w:hint="eastAsia"/>
          <w:b/>
          <w:color w:val="000000" w:themeColor="text1"/>
          <w:highlight w:val="none"/>
          <w14:textFill>
            <w14:solidFill>
              <w14:schemeClr w14:val="tx1"/>
            </w14:solidFill>
          </w14:textFill>
        </w:rPr>
        <w:t>供应商未在</w:t>
      </w:r>
      <w:r>
        <w:rPr>
          <w:b/>
          <w:color w:val="000000" w:themeColor="text1"/>
          <w:highlight w:val="none"/>
          <w14:textFill>
            <w14:solidFill>
              <w14:schemeClr w14:val="tx1"/>
            </w14:solidFill>
          </w14:textFill>
        </w:rPr>
        <w:t>规定的时间内解密</w:t>
      </w:r>
      <w:r>
        <w:rPr>
          <w:rFonts w:hint="eastAsia"/>
          <w:b/>
          <w:color w:val="000000" w:themeColor="text1"/>
          <w:highlight w:val="none"/>
          <w14:textFill>
            <w14:solidFill>
              <w14:schemeClr w14:val="tx1"/>
            </w14:solidFill>
          </w14:textFill>
        </w:rPr>
        <w:t>响应文件</w:t>
      </w:r>
      <w:r>
        <w:rPr>
          <w:b/>
          <w:color w:val="000000" w:themeColor="text1"/>
          <w:highlight w:val="none"/>
          <w14:textFill>
            <w14:solidFill>
              <w14:schemeClr w14:val="tx1"/>
            </w14:solidFill>
          </w14:textFill>
        </w:rPr>
        <w:t>或</w:t>
      </w:r>
      <w:r>
        <w:rPr>
          <w:rFonts w:hint="eastAsia"/>
          <w:b/>
          <w:color w:val="000000" w:themeColor="text1"/>
          <w:highlight w:val="none"/>
          <w14:textFill>
            <w14:solidFill>
              <w14:schemeClr w14:val="tx1"/>
            </w14:solidFill>
          </w14:textFill>
        </w:rPr>
        <w:t>者</w:t>
      </w:r>
      <w:r>
        <w:rPr>
          <w:b/>
          <w:color w:val="000000" w:themeColor="text1"/>
          <w:highlight w:val="none"/>
          <w14:textFill>
            <w14:solidFill>
              <w14:schemeClr w14:val="tx1"/>
            </w14:solidFill>
          </w14:textFill>
        </w:rPr>
        <w:t>解密失败的</w:t>
      </w:r>
      <w:r>
        <w:rPr>
          <w:rFonts w:hint="eastAsia"/>
          <w:b/>
          <w:color w:val="000000" w:themeColor="text1"/>
          <w:highlight w:val="none"/>
          <w14:textFill>
            <w14:solidFill>
              <w14:schemeClr w14:val="tx1"/>
            </w14:solidFill>
          </w14:textFill>
        </w:rPr>
        <w:t>，供应商</w:t>
      </w:r>
      <w:r>
        <w:rPr>
          <w:rFonts w:hint="eastAsia" w:ascii="宋体" w:hAnsi="宋体"/>
          <w:b/>
          <w:color w:val="000000" w:themeColor="text1"/>
          <w:szCs w:val="21"/>
          <w:highlight w:val="none"/>
          <w14:textFill>
            <w14:solidFill>
              <w14:schemeClr w14:val="tx1"/>
            </w14:solidFill>
          </w14:textFill>
        </w:rPr>
        <w:t>的响应文件按无效处理</w:t>
      </w:r>
      <w:r>
        <w:rPr>
          <w:b/>
          <w:color w:val="000000" w:themeColor="text1"/>
          <w:highlight w:val="none"/>
          <w14:textFill>
            <w14:solidFill>
              <w14:schemeClr w14:val="tx1"/>
            </w14:solidFill>
          </w14:textFill>
        </w:rPr>
        <w:t>。</w:t>
      </w:r>
    </w:p>
    <w:p w14:paraId="3E157C8B">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26</w:t>
      </w:r>
      <w:r>
        <w:rPr>
          <w:rFonts w:hint="eastAsia" w:ascii="黑体" w:hAnsi="黑体" w:eastAsia="黑体" w:cs="宋体"/>
          <w:b/>
          <w:bCs/>
          <w:color w:val="000000" w:themeColor="text1"/>
          <w:sz w:val="24"/>
          <w:highlight w:val="none"/>
          <w14:textFill>
            <w14:solidFill>
              <w14:schemeClr w14:val="tx1"/>
            </w14:solidFill>
          </w14:textFill>
        </w:rPr>
        <w:t>.评审程序、评审方法和评审标准</w:t>
      </w:r>
    </w:p>
    <w:p w14:paraId="435028E1">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ascii="宋体" w:hAnsi="宋体" w:cs="宋体"/>
          <w:color w:val="000000" w:themeColor="text1"/>
          <w:szCs w:val="21"/>
          <w:highlight w:val="none"/>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.1本项目的评审方法为综合评分法。</w:t>
      </w:r>
    </w:p>
    <w:p w14:paraId="48847700">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26.2</w:t>
      </w:r>
      <w:r>
        <w:rPr>
          <w:rFonts w:hint="eastAsia" w:ascii="宋体" w:hAnsi="宋体" w:cs="宋体"/>
          <w:color w:val="000000" w:themeColor="text1"/>
          <w:szCs w:val="21"/>
          <w:highlight w:val="none"/>
          <w14:textFill>
            <w14:solidFill>
              <w14:schemeClr w14:val="tx1"/>
            </w14:solidFill>
          </w14:textFill>
        </w:rPr>
        <w:t>磋商小组</w:t>
      </w:r>
      <w:r>
        <w:rPr>
          <w:rFonts w:ascii="宋体" w:hAnsi="宋体" w:cs="宋体"/>
          <w:color w:val="000000" w:themeColor="text1"/>
          <w:szCs w:val="21"/>
          <w:highlight w:val="none"/>
          <w14:textFill>
            <w14:solidFill>
              <w14:schemeClr w14:val="tx1"/>
            </w14:solidFill>
          </w14:textFill>
        </w:rPr>
        <w:t>按照</w:t>
      </w:r>
      <w:r>
        <w:rPr>
          <w:rFonts w:hint="eastAsia" w:ascii="宋体" w:hAnsi="宋体" w:cs="宋体"/>
          <w:color w:val="000000" w:themeColor="text1"/>
          <w:szCs w:val="21"/>
          <w:highlight w:val="none"/>
          <w14:textFill>
            <w14:solidFill>
              <w14:schemeClr w14:val="tx1"/>
            </w14:solidFill>
          </w14:textFill>
        </w:rPr>
        <w:t>“第四章 评审程序、评审方法和评审标准”</w:t>
      </w:r>
      <w:r>
        <w:rPr>
          <w:rFonts w:ascii="宋体" w:hAnsi="宋体" w:cs="宋体"/>
          <w:color w:val="000000" w:themeColor="text1"/>
          <w:szCs w:val="21"/>
          <w:highlight w:val="none"/>
          <w14:textFill>
            <w14:solidFill>
              <w14:schemeClr w14:val="tx1"/>
            </w14:solidFill>
          </w14:textFill>
        </w:rPr>
        <w:t>规定的方法、评审因素、标准和程序对</w:t>
      </w:r>
      <w:r>
        <w:rPr>
          <w:rFonts w:hint="eastAsia" w:ascii="宋体" w:hAnsi="宋体" w:cs="宋体"/>
          <w:color w:val="000000" w:themeColor="text1"/>
          <w:szCs w:val="21"/>
          <w:highlight w:val="none"/>
          <w14:textFill>
            <w14:solidFill>
              <w14:schemeClr w14:val="tx1"/>
            </w14:solidFill>
          </w14:textFill>
        </w:rPr>
        <w:t>响应</w:t>
      </w:r>
      <w:r>
        <w:rPr>
          <w:rFonts w:ascii="宋体" w:hAnsi="宋体" w:cs="宋体"/>
          <w:color w:val="000000" w:themeColor="text1"/>
          <w:szCs w:val="21"/>
          <w:highlight w:val="none"/>
          <w14:textFill>
            <w14:solidFill>
              <w14:schemeClr w14:val="tx1"/>
            </w14:solidFill>
          </w14:textFill>
        </w:rPr>
        <w:t>文件进行评审</w:t>
      </w:r>
      <w:r>
        <w:rPr>
          <w:rFonts w:hint="eastAsia" w:ascii="宋体" w:hAnsi="宋体" w:cs="宋体"/>
          <w:color w:val="000000" w:themeColor="text1"/>
          <w:szCs w:val="21"/>
          <w:highlight w:val="none"/>
          <w14:textFill>
            <w14:solidFill>
              <w14:schemeClr w14:val="tx1"/>
            </w14:solidFill>
          </w14:textFill>
        </w:rPr>
        <w:t>并推荐成交候选供应商</w:t>
      </w:r>
      <w:r>
        <w:rPr>
          <w:rFonts w:ascii="宋体" w:hAnsi="宋体" w:cs="宋体"/>
          <w:color w:val="000000" w:themeColor="text1"/>
          <w:szCs w:val="21"/>
          <w:highlight w:val="none"/>
          <w14:textFill>
            <w14:solidFill>
              <w14:schemeClr w14:val="tx1"/>
            </w14:solidFill>
          </w14:textFill>
        </w:rPr>
        <w:t>。</w:t>
      </w:r>
    </w:p>
    <w:p w14:paraId="5354FE33">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26.3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4B9C0F00">
      <w:pPr>
        <w:spacing w:line="360" w:lineRule="auto"/>
        <w:ind w:firstLine="420" w:firstLineChars="200"/>
        <w:rPr>
          <w:rFonts w:hAns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r>
        <w:rPr>
          <w:rFonts w:ascii="宋体" w:hAnsi="宋体" w:cs="宋体"/>
          <w:color w:val="000000" w:themeColor="text1"/>
          <w:highlight w:val="none"/>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4</w:t>
      </w:r>
      <w:r>
        <w:rPr>
          <w:rFonts w:hint="eastAsia" w:hAnsi="宋体"/>
          <w:color w:val="000000" w:themeColor="text1"/>
          <w:highlight w:val="none"/>
          <w14:textFill>
            <w14:solidFill>
              <w14:schemeClr w14:val="tx1"/>
            </w14:solidFill>
          </w14:textFill>
        </w:rPr>
        <w:t>电子交易活动的中止。采购过程中出现以下情形，导致电子交易平台无法正常运行，或者无法保证电子交易的公平、公正和安全时，采购机构可中止电子交易活动：</w:t>
      </w:r>
    </w:p>
    <w:p w14:paraId="12AEF132">
      <w:pPr>
        <w:spacing w:line="360" w:lineRule="auto"/>
        <w:ind w:firstLine="42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（1）电子交易平台发生故障而无法登录访问的</w:t>
      </w:r>
      <w:r>
        <w:rPr>
          <w:rFonts w:hint="eastAsia" w:hAnsi="宋体"/>
          <w:color w:val="000000" w:themeColor="text1"/>
          <w:highlight w:val="none"/>
          <w:lang w:eastAsia="zh-CN"/>
          <w14:textFill>
            <w14:solidFill>
              <w14:schemeClr w14:val="tx1"/>
            </w14:solidFill>
          </w14:textFill>
        </w:rPr>
        <w:t>；</w:t>
      </w:r>
      <w:r>
        <w:rPr>
          <w:rFonts w:hint="eastAsia" w:hAnsi="宋体"/>
          <w:color w:val="000000" w:themeColor="text1"/>
          <w:highlight w:val="none"/>
          <w14:textFill>
            <w14:solidFill>
              <w14:schemeClr w14:val="tx1"/>
            </w14:solidFill>
          </w14:textFill>
        </w:rPr>
        <w:t xml:space="preserve"> </w:t>
      </w:r>
    </w:p>
    <w:p w14:paraId="6141CF47">
      <w:pPr>
        <w:spacing w:line="360" w:lineRule="auto"/>
        <w:ind w:firstLine="420" w:firstLineChars="200"/>
        <w:rPr>
          <w:rFonts w:hint="eastAsia" w:hAnsi="宋体" w:eastAsia="宋体"/>
          <w:color w:val="000000" w:themeColor="text1"/>
          <w:highlight w:val="none"/>
          <w:lang w:eastAsia="zh-CN"/>
          <w14:textFill>
            <w14:solidFill>
              <w14:schemeClr w14:val="tx1"/>
            </w14:solidFill>
          </w14:textFill>
        </w:rPr>
      </w:pPr>
      <w:r>
        <w:rPr>
          <w:rFonts w:hint="eastAsia" w:hAnsi="宋体"/>
          <w:color w:val="000000" w:themeColor="text1"/>
          <w:highlight w:val="none"/>
          <w14:textFill>
            <w14:solidFill>
              <w14:schemeClr w14:val="tx1"/>
            </w14:solidFill>
          </w14:textFill>
        </w:rPr>
        <w:t>（2）电子交易平台应用或数据库出现错误，不能进行正常操作的</w:t>
      </w:r>
      <w:r>
        <w:rPr>
          <w:rFonts w:hint="eastAsia" w:hAnsi="宋体"/>
          <w:color w:val="000000" w:themeColor="text1"/>
          <w:highlight w:val="none"/>
          <w:lang w:eastAsia="zh-CN"/>
          <w14:textFill>
            <w14:solidFill>
              <w14:schemeClr w14:val="tx1"/>
            </w14:solidFill>
          </w14:textFill>
        </w:rPr>
        <w:t>；</w:t>
      </w:r>
    </w:p>
    <w:p w14:paraId="6387D91F">
      <w:pPr>
        <w:spacing w:line="360" w:lineRule="auto"/>
        <w:ind w:firstLine="420" w:firstLineChars="200"/>
        <w:rPr>
          <w:rFonts w:hint="eastAsia" w:hAnsi="宋体" w:eastAsia="宋体"/>
          <w:color w:val="000000" w:themeColor="text1"/>
          <w:highlight w:val="none"/>
          <w:lang w:eastAsia="zh-CN"/>
          <w14:textFill>
            <w14:solidFill>
              <w14:schemeClr w14:val="tx1"/>
            </w14:solidFill>
          </w14:textFill>
        </w:rPr>
      </w:pPr>
      <w:r>
        <w:rPr>
          <w:rFonts w:hint="eastAsia" w:hAnsi="宋体"/>
          <w:color w:val="000000" w:themeColor="text1"/>
          <w:highlight w:val="none"/>
          <w14:textFill>
            <w14:solidFill>
              <w14:schemeClr w14:val="tx1"/>
            </w14:solidFill>
          </w14:textFill>
        </w:rPr>
        <w:t>（3）电子交易平台发现严重安全漏洞，有潜在泄密危险的</w:t>
      </w:r>
      <w:r>
        <w:rPr>
          <w:rFonts w:hint="eastAsia" w:hAnsi="宋体"/>
          <w:color w:val="000000" w:themeColor="text1"/>
          <w:highlight w:val="none"/>
          <w:lang w:eastAsia="zh-CN"/>
          <w14:textFill>
            <w14:solidFill>
              <w14:schemeClr w14:val="tx1"/>
            </w14:solidFill>
          </w14:textFill>
        </w:rPr>
        <w:t>；</w:t>
      </w:r>
    </w:p>
    <w:p w14:paraId="2459858B">
      <w:pPr>
        <w:spacing w:line="360" w:lineRule="auto"/>
        <w:ind w:firstLine="42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（4）病毒发作导致不能进行正常操作的</w:t>
      </w:r>
      <w:r>
        <w:rPr>
          <w:rFonts w:hint="eastAsia" w:hAnsi="宋体"/>
          <w:color w:val="000000" w:themeColor="text1"/>
          <w:highlight w:val="none"/>
          <w:lang w:eastAsia="zh-CN"/>
          <w14:textFill>
            <w14:solidFill>
              <w14:schemeClr w14:val="tx1"/>
            </w14:solidFill>
          </w14:textFill>
        </w:rPr>
        <w:t>；</w:t>
      </w:r>
      <w:r>
        <w:rPr>
          <w:rFonts w:hint="eastAsia" w:hAnsi="宋体"/>
          <w:color w:val="000000" w:themeColor="text1"/>
          <w:highlight w:val="none"/>
          <w14:textFill>
            <w14:solidFill>
              <w14:schemeClr w14:val="tx1"/>
            </w14:solidFill>
          </w14:textFill>
        </w:rPr>
        <w:t xml:space="preserve"> </w:t>
      </w:r>
    </w:p>
    <w:p w14:paraId="78149364">
      <w:pPr>
        <w:spacing w:line="360" w:lineRule="auto"/>
        <w:ind w:firstLine="42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（5）其他无法保证电子交易的公平、公正和安全的情况。</w:t>
      </w:r>
    </w:p>
    <w:p w14:paraId="69F7DA6B">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26.5</w:t>
      </w:r>
      <w:r>
        <w:rPr>
          <w:rFonts w:hint="eastAsia" w:hAnsi="宋体"/>
          <w:color w:val="000000" w:themeColor="text1"/>
          <w:highlight w:val="none"/>
          <w14:textFill>
            <w14:solidFill>
              <w14:schemeClr w14:val="tx1"/>
            </w14:solidFill>
          </w14:textFill>
        </w:rPr>
        <w:t>出现以上情形，不影响采购公平、公正性的，采购组织机构可以待上述情形消除后继续组织电子交易活动</w:t>
      </w:r>
      <w:r>
        <w:rPr>
          <w:rFonts w:hint="eastAsia" w:hAnsi="宋体"/>
          <w:color w:val="000000" w:themeColor="text1"/>
          <w:highlight w:val="none"/>
          <w:lang w:eastAsia="zh-CN"/>
          <w14:textFill>
            <w14:solidFill>
              <w14:schemeClr w14:val="tx1"/>
            </w14:solidFill>
          </w14:textFill>
        </w:rPr>
        <w:t>；</w:t>
      </w:r>
      <w:r>
        <w:rPr>
          <w:rFonts w:hint="eastAsia" w:hAnsi="宋体"/>
          <w:color w:val="000000" w:themeColor="text1"/>
          <w:highlight w:val="none"/>
          <w14:textFill>
            <w14:solidFill>
              <w14:schemeClr w14:val="tx1"/>
            </w14:solidFill>
          </w14:textFill>
        </w:rPr>
        <w:t>影响或可能影响采购公平、公正性的，经采购代理机构确认，报采购人同意后，应当重新采购。采购代理机构必须对原有的资料及信息作出妥善保密处理，并报财政部门备案。</w:t>
      </w:r>
    </w:p>
    <w:p w14:paraId="409DF2A7">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27</w:t>
      </w:r>
      <w:r>
        <w:rPr>
          <w:rFonts w:hint="eastAsia" w:ascii="黑体" w:hAnsi="黑体" w:eastAsia="黑体" w:cs="宋体"/>
          <w:b/>
          <w:bCs/>
          <w:color w:val="000000" w:themeColor="text1"/>
          <w:sz w:val="24"/>
          <w:highlight w:val="none"/>
          <w14:textFill>
            <w14:solidFill>
              <w14:schemeClr w14:val="tx1"/>
            </w14:solidFill>
          </w14:textFill>
        </w:rPr>
        <w:t>.确定成交供应商及结果公告</w:t>
      </w:r>
    </w:p>
    <w:p w14:paraId="64E9D90B">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27</w:t>
      </w: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kern w:val="0"/>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015FC079">
      <w:pPr>
        <w:spacing w:line="360" w:lineRule="auto"/>
        <w:ind w:firstLine="420" w:firstLineChars="200"/>
        <w:rPr>
          <w:rFonts w:ascii="宋体" w:hAnsi="宋体" w:cs="Courier New"/>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27</w:t>
      </w:r>
      <w:r>
        <w:rPr>
          <w:rFonts w:hint="eastAsia" w:ascii="宋体" w:hAnsi="宋体" w:cs="宋体"/>
          <w:color w:val="000000" w:themeColor="text1"/>
          <w:szCs w:val="21"/>
          <w:highlight w:val="none"/>
          <w14:textFill>
            <w14:solidFill>
              <w14:schemeClr w14:val="tx1"/>
            </w14:solidFill>
          </w14:textFill>
        </w:rPr>
        <w:t>.2采购代理机构应当在</w:t>
      </w:r>
      <w:r>
        <w:rPr>
          <w:rFonts w:hint="eastAsia" w:ascii="宋体" w:hAnsi="宋体" w:cs="宋体"/>
          <w:color w:val="000000" w:themeColor="text1"/>
          <w:kern w:val="0"/>
          <w:szCs w:val="21"/>
          <w:highlight w:val="none"/>
          <w14:textFill>
            <w14:solidFill>
              <w14:schemeClr w14:val="tx1"/>
            </w14:solidFill>
          </w14:textFill>
        </w:rPr>
        <w:t>成交</w:t>
      </w:r>
      <w:r>
        <w:rPr>
          <w:rFonts w:hint="eastAsia" w:ascii="宋体" w:hAnsi="宋体" w:cs="宋体"/>
          <w:color w:val="000000" w:themeColor="text1"/>
          <w:szCs w:val="21"/>
          <w:highlight w:val="none"/>
          <w14:textFill>
            <w14:solidFill>
              <w14:schemeClr w14:val="tx1"/>
            </w14:solidFill>
          </w14:textFill>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67" w:name="_Hlk66782294"/>
      <w:r>
        <w:rPr>
          <w:rFonts w:hint="eastAsia" w:ascii="宋体" w:hAnsi="宋体" w:cs="Courier New"/>
          <w:color w:val="000000" w:themeColor="text1"/>
          <w:szCs w:val="21"/>
          <w:highlight w:val="none"/>
          <w14:textFill>
            <w14:solidFill>
              <w14:schemeClr w14:val="tx1"/>
            </w14:solidFill>
          </w14:textFill>
        </w:rPr>
        <w:t>成交供应商享受</w:t>
      </w:r>
      <w:r>
        <w:rPr>
          <w:rFonts w:hint="eastAsia" w:ascii="宋体" w:hAnsi="宋体"/>
          <w:color w:val="000000" w:themeColor="text1"/>
          <w:szCs w:val="21"/>
          <w:highlight w:val="none"/>
          <w14:textFill>
            <w14:solidFill>
              <w14:schemeClr w14:val="tx1"/>
            </w14:solidFill>
          </w14:textFill>
        </w:rPr>
        <w:t>《政府采购促进中小企业发展管理办法》（财库〔2020〕46号）规定的中小企业扶持</w:t>
      </w:r>
      <w:r>
        <w:rPr>
          <w:rFonts w:hint="eastAsia" w:ascii="宋体" w:hAnsi="宋体" w:cs="Courier New"/>
          <w:color w:val="000000" w:themeColor="text1"/>
          <w:szCs w:val="21"/>
          <w:highlight w:val="none"/>
          <w14:textFill>
            <w14:solidFill>
              <w14:schemeClr w14:val="tx1"/>
            </w14:solidFill>
          </w14:textFill>
        </w:rPr>
        <w:t>政策的，采购人、采购代理机构应当随成交结果公开成交供应商的《中小企业声明函》。</w:t>
      </w:r>
      <w:bookmarkEnd w:id="67"/>
    </w:p>
    <w:p w14:paraId="2972F512">
      <w:pPr>
        <w:spacing w:line="360" w:lineRule="auto"/>
        <w:ind w:firstLine="420" w:firstLineChars="200"/>
        <w:rPr>
          <w:rFonts w:ascii="宋体" w:hAnsi="宋体" w:cs="Courier New"/>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27.3出现下列情形之一的，采购人或者采购代理机构应当终止竞争性磋商采购活动，发布项目终止公告并说明原因，重新开展采购活动：</w:t>
      </w:r>
    </w:p>
    <w:p w14:paraId="4554DDB9">
      <w:pPr>
        <w:spacing w:line="360" w:lineRule="auto"/>
        <w:ind w:firstLine="420" w:firstLineChars="200"/>
        <w:rPr>
          <w:rFonts w:hint="eastAsia" w:ascii="宋体" w:hAnsi="宋体" w:eastAsia="宋体" w:cs="Courier New"/>
          <w:color w:val="000000" w:themeColor="text1"/>
          <w:szCs w:val="21"/>
          <w:highlight w:val="none"/>
          <w:lang w:eastAsia="zh-CN"/>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（1）因情况变化，不再符合规定的竞争性磋商采购方式适用情形的</w:t>
      </w:r>
      <w:r>
        <w:rPr>
          <w:rFonts w:hint="eastAsia" w:ascii="宋体" w:hAnsi="宋体" w:cs="Courier New"/>
          <w:color w:val="000000" w:themeColor="text1"/>
          <w:szCs w:val="21"/>
          <w:highlight w:val="none"/>
          <w:lang w:eastAsia="zh-CN"/>
          <w14:textFill>
            <w14:solidFill>
              <w14:schemeClr w14:val="tx1"/>
            </w14:solidFill>
          </w14:textFill>
        </w:rPr>
        <w:t>；</w:t>
      </w:r>
    </w:p>
    <w:p w14:paraId="16B4CF61">
      <w:pPr>
        <w:spacing w:line="360" w:lineRule="auto"/>
        <w:ind w:firstLine="420" w:firstLineChars="200"/>
        <w:rPr>
          <w:rFonts w:hint="eastAsia" w:ascii="宋体" w:hAnsi="宋体" w:eastAsia="宋体" w:cs="Courier New"/>
          <w:color w:val="000000" w:themeColor="text1"/>
          <w:szCs w:val="21"/>
          <w:highlight w:val="none"/>
          <w:lang w:eastAsia="zh-CN"/>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（2）出现影响采购公正的违法、违规行为的</w:t>
      </w:r>
      <w:r>
        <w:rPr>
          <w:rFonts w:hint="eastAsia" w:ascii="宋体" w:hAnsi="宋体" w:cs="Courier New"/>
          <w:color w:val="000000" w:themeColor="text1"/>
          <w:szCs w:val="21"/>
          <w:highlight w:val="none"/>
          <w:lang w:eastAsia="zh-CN"/>
          <w14:textFill>
            <w14:solidFill>
              <w14:schemeClr w14:val="tx1"/>
            </w14:solidFill>
          </w14:textFill>
        </w:rPr>
        <w:t>；</w:t>
      </w:r>
    </w:p>
    <w:p w14:paraId="05E12F5F">
      <w:pPr>
        <w:spacing w:line="360" w:lineRule="auto"/>
        <w:ind w:firstLine="420" w:firstLineChars="200"/>
        <w:rPr>
          <w:rFonts w:ascii="宋体" w:hAnsi="宋体" w:cs="Courier New"/>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（3）除“第四章 评审程序、评审方法和评审标准”第4.3条规定的情形外，在采购过程中符合要求的供应商或者报价未超过采购预算的供应商不足3家的。</w:t>
      </w:r>
    </w:p>
    <w:p w14:paraId="46AEDC8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27.4 在采购活动中因重大变故，采购任务取消的，采购人或者采购代理机构应当终止采购活动，通知所有参加采购活动的供应商，并将项目实施情况和采购任务取消原因报送本级财政部门。</w:t>
      </w:r>
    </w:p>
    <w:p w14:paraId="6FC07156">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28</w:t>
      </w:r>
      <w:r>
        <w:rPr>
          <w:rFonts w:hint="eastAsia" w:ascii="黑体" w:hAnsi="黑体" w:eastAsia="黑体" w:cs="宋体"/>
          <w:b/>
          <w:bCs/>
          <w:color w:val="000000" w:themeColor="text1"/>
          <w:sz w:val="24"/>
          <w:highlight w:val="none"/>
          <w14:textFill>
            <w14:solidFill>
              <w14:schemeClr w14:val="tx1"/>
            </w14:solidFill>
          </w14:textFill>
        </w:rPr>
        <w:t>.履约保证金</w:t>
      </w:r>
    </w:p>
    <w:p w14:paraId="1E81A2C3">
      <w:pPr>
        <w:spacing w:line="360" w:lineRule="auto"/>
        <w:ind w:firstLine="424" w:firstLineChars="202"/>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28</w:t>
      </w:r>
      <w:r>
        <w:rPr>
          <w:rFonts w:hint="eastAsia" w:ascii="宋体" w:hAnsi="宋体" w:cs="宋体"/>
          <w:color w:val="000000" w:themeColor="text1"/>
          <w:szCs w:val="21"/>
          <w:highlight w:val="none"/>
          <w14:textFill>
            <w14:solidFill>
              <w14:schemeClr w14:val="tx1"/>
            </w14:solidFill>
          </w14:textFill>
        </w:rPr>
        <w:t>.1</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履约保证金的金额、提交方式、退付的时间和条件详见 “供应商须知前附表”。成交供应商未按规定提交履约保证金的，视为拒绝</w:t>
      </w:r>
      <w:r>
        <w:rPr>
          <w:rFonts w:ascii="宋体" w:hAnsi="宋体"/>
          <w:color w:val="000000" w:themeColor="text1"/>
          <w:highlight w:val="none"/>
          <w14:textFill>
            <w14:solidFill>
              <w14:schemeClr w14:val="tx1"/>
            </w14:solidFill>
          </w14:textFill>
        </w:rPr>
        <w:t>与采购人</w:t>
      </w:r>
      <w:r>
        <w:rPr>
          <w:rFonts w:hint="eastAsia" w:ascii="宋体" w:hAnsi="宋体" w:cs="宋体"/>
          <w:color w:val="000000" w:themeColor="text1"/>
          <w:szCs w:val="21"/>
          <w:highlight w:val="none"/>
          <w14:textFill>
            <w14:solidFill>
              <w14:schemeClr w14:val="tx1"/>
            </w14:solidFill>
          </w14:textFill>
        </w:rPr>
        <w:t>签订合同。</w:t>
      </w:r>
    </w:p>
    <w:p w14:paraId="7039F3C0">
      <w:pPr>
        <w:spacing w:line="360" w:lineRule="auto"/>
        <w:ind w:firstLine="424" w:firstLineChars="202"/>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28</w:t>
      </w:r>
      <w:r>
        <w:rPr>
          <w:rFonts w:hint="eastAsia" w:ascii="宋体" w:hAnsi="宋体" w:cs="宋体"/>
          <w:color w:val="000000" w:themeColor="text1"/>
          <w:szCs w:val="21"/>
          <w:highlight w:val="none"/>
          <w14:textFill>
            <w14:solidFill>
              <w14:schemeClr w14:val="tx1"/>
            </w14:solidFill>
          </w14:textFill>
        </w:rPr>
        <w:t>.2在履约保证金退还日期前，若成交供应商的开户名称、开户银行、账号有变动的，请以书面形式通知履约保证金收取单位，否则由此产生的后果由成交供应商自行承担。</w:t>
      </w:r>
    </w:p>
    <w:p w14:paraId="5998538C">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29</w:t>
      </w:r>
      <w:r>
        <w:rPr>
          <w:rFonts w:hint="eastAsia" w:ascii="黑体" w:hAnsi="黑体" w:eastAsia="黑体" w:cs="宋体"/>
          <w:b/>
          <w:bCs/>
          <w:color w:val="000000" w:themeColor="text1"/>
          <w:sz w:val="24"/>
          <w:highlight w:val="none"/>
          <w14:textFill>
            <w14:solidFill>
              <w14:schemeClr w14:val="tx1"/>
            </w14:solidFill>
          </w14:textFill>
        </w:rPr>
        <w:t>.签订合同</w:t>
      </w:r>
    </w:p>
    <w:p w14:paraId="277EE0EB">
      <w:pPr>
        <w:spacing w:line="360" w:lineRule="auto"/>
        <w:ind w:firstLine="424" w:firstLineChars="202"/>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29.1签订电子采购合同：成交供应商领取电子成交通知书后，在</w:t>
      </w:r>
      <w:r>
        <w:rPr>
          <w:rFonts w:hint="eastAsia" w:ascii="宋体" w:hAnsi="宋体" w:cs="宋体"/>
          <w:color w:val="000000" w:themeColor="text1"/>
          <w:szCs w:val="21"/>
          <w:highlight w:val="none"/>
          <w:lang w:val="zh-CN"/>
          <w14:textFill>
            <w14:solidFill>
              <w14:schemeClr w14:val="tx1"/>
            </w14:solidFill>
          </w14:textFill>
        </w:rPr>
        <w:t>规定的日期、时间、地点，由法定代表人或其授权代表与采购人代表签订电子采购合同。如成交供应商为联合体的，由联合体成员各方法定代表人或其授权代表与采购人代表签订合同。</w:t>
      </w:r>
    </w:p>
    <w:p w14:paraId="3F3E815C">
      <w:pPr>
        <w:spacing w:line="360" w:lineRule="auto"/>
        <w:ind w:firstLine="424" w:firstLineChars="202"/>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线下签订纸质合同：供应商领取成交通知书后，按“供应商须知前附表”规定向采购人出示相关证明材料，经采购人核验合格后方可签订合同。</w:t>
      </w:r>
    </w:p>
    <w:p w14:paraId="3BD73D9C">
      <w:pPr>
        <w:spacing w:line="360" w:lineRule="auto"/>
        <w:ind w:firstLine="424" w:firstLineChars="202"/>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29.2签订合同时间：按成交通知书规定的时间与采购人签订合同。</w:t>
      </w:r>
    </w:p>
    <w:p w14:paraId="1B5C25EB">
      <w:pPr>
        <w:spacing w:line="360" w:lineRule="auto"/>
        <w:ind w:firstLine="424" w:firstLineChars="202"/>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w:t>
      </w: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3072D9DE">
      <w:pPr>
        <w:spacing w:line="360" w:lineRule="auto"/>
        <w:ind w:firstLine="424" w:firstLineChars="202"/>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3EFF93E9">
      <w:pPr>
        <w:spacing w:line="360" w:lineRule="auto"/>
        <w:ind w:firstLine="424" w:firstLineChars="202"/>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29.5采购人或成交供应商不得单方面向合同另一方提出任何磋商文件没有约定的条件或不合理的要求，作为签订合同的条件</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也不得协商另行订立背离磋商文件和合同实质性内容的协议。</w:t>
      </w:r>
    </w:p>
    <w:p w14:paraId="1CBE5D47">
      <w:pPr>
        <w:spacing w:line="360" w:lineRule="auto"/>
        <w:ind w:firstLine="424" w:firstLineChars="202"/>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29.6如签订合同并生效后，供应商无故拒绝或延期，除按照合同条款处理外，将承担相应的法律责任。</w:t>
      </w:r>
    </w:p>
    <w:p w14:paraId="32EBBB66">
      <w:pPr>
        <w:spacing w:line="360" w:lineRule="auto"/>
        <w:ind w:firstLine="424" w:firstLineChars="202"/>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62FE3DE1">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30</w:t>
      </w:r>
      <w:r>
        <w:rPr>
          <w:rFonts w:hint="eastAsia" w:ascii="黑体" w:hAnsi="黑体" w:eastAsia="黑体" w:cs="宋体"/>
          <w:b/>
          <w:bCs/>
          <w:color w:val="000000" w:themeColor="text1"/>
          <w:sz w:val="24"/>
          <w:highlight w:val="none"/>
          <w14:textFill>
            <w14:solidFill>
              <w14:schemeClr w14:val="tx1"/>
            </w14:solidFill>
          </w14:textFill>
        </w:rPr>
        <w:t>.政府采购合同公告</w:t>
      </w:r>
    </w:p>
    <w:p w14:paraId="652B9F0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254EC794">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31</w:t>
      </w:r>
      <w:r>
        <w:rPr>
          <w:rFonts w:hint="eastAsia" w:ascii="黑体" w:hAnsi="黑体" w:eastAsia="黑体" w:cs="宋体"/>
          <w:b/>
          <w:bCs/>
          <w:color w:val="000000" w:themeColor="text1"/>
          <w:sz w:val="24"/>
          <w:highlight w:val="none"/>
          <w14:textFill>
            <w14:solidFill>
              <w14:schemeClr w14:val="tx1"/>
            </w14:solidFill>
          </w14:textFill>
        </w:rPr>
        <w:t>. 询问、质疑和投诉</w:t>
      </w:r>
    </w:p>
    <w:p w14:paraId="2E408AF9">
      <w:pPr>
        <w:pStyle w:val="7"/>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.1供应商对政府采购活动事项有疑问的，可以向采购人、采购代理机构提出询问，采购人或者采购代理机构应当在3个工作日内对供应商依法提出的询问作出答复，</w:t>
      </w:r>
      <w:r>
        <w:rPr>
          <w:rFonts w:hint="eastAsia" w:ascii="宋体" w:hAnsi="宋体"/>
          <w:color w:val="000000" w:themeColor="text1"/>
          <w:szCs w:val="21"/>
          <w:highlight w:val="none"/>
          <w14:textFill>
            <w14:solidFill>
              <w14:schemeClr w14:val="tx1"/>
            </w14:solidFill>
          </w14:textFill>
        </w:rPr>
        <w:t>但答复的内容不得涉及商业秘密</w:t>
      </w:r>
      <w:r>
        <w:rPr>
          <w:rFonts w:hint="eastAsia" w:ascii="宋体" w:hAnsi="宋体" w:cs="宋体"/>
          <w:color w:val="000000" w:themeColor="text1"/>
          <w:highlight w:val="none"/>
          <w14:textFill>
            <w14:solidFill>
              <w14:schemeClr w14:val="tx1"/>
            </w14:solidFill>
          </w14:textFill>
        </w:rPr>
        <w:t>。</w:t>
      </w:r>
    </w:p>
    <w:p w14:paraId="1DE5C05C">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.2供应商认为磋商文件、采购过程或者成交结果使自己的合法权益受到损害的，应当在知道或者应知其权益受到损害之日起7个工作日内，以书面形式向采购人、采购代理机构提出质疑，</w:t>
      </w:r>
      <w:r>
        <w:rPr>
          <w:rFonts w:ascii="宋体" w:hAnsi="宋体" w:cs="Arial"/>
          <w:color w:val="000000" w:themeColor="text1"/>
          <w:highlight w:val="none"/>
          <w:shd w:val="clear" w:color="auto" w:fill="FFFFFF"/>
          <w14:textFill>
            <w14:solidFill>
              <w14:schemeClr w14:val="tx1"/>
            </w14:solidFill>
          </w14:textFill>
        </w:rPr>
        <w:t>接收质疑函的方式、联系部门、联系电话和通讯地址等信息</w:t>
      </w:r>
      <w:r>
        <w:rPr>
          <w:rFonts w:hint="eastAsia" w:ascii="宋体" w:hAnsi="宋体" w:cs="Arial"/>
          <w:color w:val="000000" w:themeColor="text1"/>
          <w:highlight w:val="none"/>
          <w:shd w:val="clear" w:color="auto" w:fill="FFFFFF"/>
          <w14:textFill>
            <w14:solidFill>
              <w14:schemeClr w14:val="tx1"/>
            </w14:solidFill>
          </w14:textFill>
        </w:rPr>
        <w:t>详见</w:t>
      </w:r>
      <w:r>
        <w:rPr>
          <w:rFonts w:hint="eastAsia" w:ascii="宋体" w:hAnsi="宋体" w:cs="宋体"/>
          <w:color w:val="000000" w:themeColor="text1"/>
          <w:szCs w:val="21"/>
          <w:highlight w:val="none"/>
          <w14:textFill>
            <w14:solidFill>
              <w14:schemeClr w14:val="tx1"/>
            </w14:solidFill>
          </w14:textFill>
        </w:rPr>
        <w:t>“供应商须知前附表”</w:t>
      </w:r>
      <w:r>
        <w:rPr>
          <w:rFonts w:hint="eastAsia" w:ascii="宋体" w:hAnsi="宋体" w:cs="宋体"/>
          <w:color w:val="000000" w:themeColor="text1"/>
          <w:highlight w:val="none"/>
          <w14:textFill>
            <w14:solidFill>
              <w14:schemeClr w14:val="tx1"/>
            </w14:solidFill>
          </w14:textFill>
        </w:rPr>
        <w:t>。具体质疑起算时间如下：</w:t>
      </w:r>
    </w:p>
    <w:p w14:paraId="30C6717F">
      <w:pPr>
        <w:spacing w:line="360" w:lineRule="auto"/>
        <w:ind w:firstLine="420" w:firstLineChars="20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（1）对可以质疑的磋商文件提出质疑的，为获取磋商文件之日或者</w:t>
      </w:r>
      <w:r>
        <w:rPr>
          <w:rFonts w:hint="eastAsia" w:ascii="宋体" w:hAnsi="宋体"/>
          <w:color w:val="000000" w:themeColor="text1"/>
          <w:highlight w:val="none"/>
          <w14:textFill>
            <w14:solidFill>
              <w14:schemeClr w14:val="tx1"/>
            </w14:solidFill>
          </w14:textFill>
        </w:rPr>
        <w:t>竞争性磋商公告期限届满之日</w:t>
      </w:r>
      <w:r>
        <w:rPr>
          <w:rFonts w:hint="eastAsia" w:ascii="宋体" w:hAnsi="宋体" w:cs="宋体"/>
          <w:color w:val="000000" w:themeColor="text1"/>
          <w:highlight w:val="none"/>
          <w:lang w:eastAsia="zh-CN"/>
          <w14:textFill>
            <w14:solidFill>
              <w14:schemeClr w14:val="tx1"/>
            </w14:solidFill>
          </w14:textFill>
        </w:rPr>
        <w:t>；</w:t>
      </w:r>
    </w:p>
    <w:p w14:paraId="066B4A5B">
      <w:pPr>
        <w:spacing w:line="360" w:lineRule="auto"/>
        <w:ind w:firstLine="420" w:firstLineChars="20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（2）对采购过程提出质疑的，为各采购程序环节结束之日</w:t>
      </w:r>
      <w:r>
        <w:rPr>
          <w:rFonts w:hint="eastAsia" w:ascii="宋体" w:hAnsi="宋体" w:cs="宋体"/>
          <w:color w:val="000000" w:themeColor="text1"/>
          <w:highlight w:val="none"/>
          <w:lang w:eastAsia="zh-CN"/>
          <w14:textFill>
            <w14:solidFill>
              <w14:schemeClr w14:val="tx1"/>
            </w14:solidFill>
          </w14:textFill>
        </w:rPr>
        <w:t>；</w:t>
      </w:r>
    </w:p>
    <w:p w14:paraId="193B34BE">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（3）对成交结果提出质疑的，为成交结果公告期限届满之日。</w:t>
      </w:r>
    </w:p>
    <w:p w14:paraId="00B811DE">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28FA14EE">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.4 供应商提出质疑应当提交质疑函和必要的证明材料，针对同一采购程序环节的质疑必须在法定质疑期内一次性提出。质疑函应当包括下列内容</w:t>
      </w:r>
      <w:r>
        <w:rPr>
          <w:rFonts w:hint="eastAsia" w:hAnsi="宋体"/>
          <w:bCs/>
          <w:color w:val="000000" w:themeColor="text1"/>
          <w:highlight w:val="none"/>
          <w14:textFill>
            <w14:solidFill>
              <w14:schemeClr w14:val="tx1"/>
            </w14:solidFill>
          </w14:textFill>
        </w:rPr>
        <w:t>（质疑函格式后附）</w:t>
      </w:r>
      <w:r>
        <w:rPr>
          <w:rFonts w:hint="eastAsia" w:ascii="宋体" w:hAnsi="宋体" w:cs="宋体"/>
          <w:color w:val="000000" w:themeColor="text1"/>
          <w:highlight w:val="none"/>
          <w14:textFill>
            <w14:solidFill>
              <w14:schemeClr w14:val="tx1"/>
            </w14:solidFill>
          </w14:textFill>
        </w:rPr>
        <w:t>：</w:t>
      </w:r>
    </w:p>
    <w:p w14:paraId="0D10F472">
      <w:pPr>
        <w:spacing w:line="360" w:lineRule="auto"/>
        <w:ind w:firstLine="420" w:firstLineChars="20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（1）供应商的姓名或者名称、地址、邮编、联系人及联系电话</w:t>
      </w:r>
      <w:r>
        <w:rPr>
          <w:rFonts w:hint="eastAsia" w:ascii="宋体" w:hAnsi="宋体" w:cs="宋体"/>
          <w:color w:val="000000" w:themeColor="text1"/>
          <w:highlight w:val="none"/>
          <w:lang w:eastAsia="zh-CN"/>
          <w14:textFill>
            <w14:solidFill>
              <w14:schemeClr w14:val="tx1"/>
            </w14:solidFill>
          </w14:textFill>
        </w:rPr>
        <w:t>；</w:t>
      </w:r>
    </w:p>
    <w:p w14:paraId="7A7E5B05">
      <w:pPr>
        <w:spacing w:line="360" w:lineRule="auto"/>
        <w:ind w:firstLine="420" w:firstLineChars="20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（2）质疑项目的名称、编号</w:t>
      </w:r>
      <w:r>
        <w:rPr>
          <w:rFonts w:hint="eastAsia" w:ascii="宋体" w:hAnsi="宋体" w:cs="宋体"/>
          <w:color w:val="000000" w:themeColor="text1"/>
          <w:highlight w:val="none"/>
          <w:lang w:eastAsia="zh-CN"/>
          <w14:textFill>
            <w14:solidFill>
              <w14:schemeClr w14:val="tx1"/>
            </w14:solidFill>
          </w14:textFill>
        </w:rPr>
        <w:t>；</w:t>
      </w:r>
    </w:p>
    <w:p w14:paraId="63E322A0">
      <w:pPr>
        <w:spacing w:line="360" w:lineRule="auto"/>
        <w:ind w:firstLine="420" w:firstLineChars="20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（3）具体、明确的质疑事项和与质疑事项相关的请求</w:t>
      </w:r>
      <w:r>
        <w:rPr>
          <w:rFonts w:hint="eastAsia" w:ascii="宋体" w:hAnsi="宋体" w:cs="宋体"/>
          <w:color w:val="000000" w:themeColor="text1"/>
          <w:highlight w:val="none"/>
          <w:lang w:eastAsia="zh-CN"/>
          <w14:textFill>
            <w14:solidFill>
              <w14:schemeClr w14:val="tx1"/>
            </w14:solidFill>
          </w14:textFill>
        </w:rPr>
        <w:t>；</w:t>
      </w:r>
    </w:p>
    <w:p w14:paraId="5E63A7D7">
      <w:pPr>
        <w:spacing w:line="360" w:lineRule="auto"/>
        <w:ind w:firstLine="420" w:firstLineChars="20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（4）事实依据</w:t>
      </w:r>
      <w:r>
        <w:rPr>
          <w:rFonts w:hint="eastAsia" w:ascii="宋体" w:hAnsi="宋体" w:cs="宋体"/>
          <w:color w:val="000000" w:themeColor="text1"/>
          <w:highlight w:val="none"/>
          <w:lang w:eastAsia="zh-CN"/>
          <w14:textFill>
            <w14:solidFill>
              <w14:schemeClr w14:val="tx1"/>
            </w14:solidFill>
          </w14:textFill>
        </w:rPr>
        <w:t>；</w:t>
      </w:r>
    </w:p>
    <w:p w14:paraId="3426A614">
      <w:pPr>
        <w:spacing w:line="360" w:lineRule="auto"/>
        <w:ind w:firstLine="420" w:firstLineChars="20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（5）必要的法律依据</w:t>
      </w:r>
      <w:r>
        <w:rPr>
          <w:rFonts w:hint="eastAsia" w:ascii="宋体" w:hAnsi="宋体" w:cs="宋体"/>
          <w:color w:val="000000" w:themeColor="text1"/>
          <w:highlight w:val="none"/>
          <w:lang w:eastAsia="zh-CN"/>
          <w14:textFill>
            <w14:solidFill>
              <w14:schemeClr w14:val="tx1"/>
            </w14:solidFill>
          </w14:textFill>
        </w:rPr>
        <w:t>；</w:t>
      </w:r>
    </w:p>
    <w:p w14:paraId="0A6B028B">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（6）提出质疑的日期。</w:t>
      </w:r>
    </w:p>
    <w:p w14:paraId="12A09902">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供应商为自然人的，应当由本人签字</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供应商为法人或者其他组织的，应当由法定代表人、主要负责人，或者其委托代理人签字或者盖章，并加盖公章。</w:t>
      </w:r>
    </w:p>
    <w:p w14:paraId="79300E1E">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r>
        <w:rPr>
          <w:rFonts w:ascii="宋体" w:hAnsi="宋体" w:cs="宋体"/>
          <w:color w:val="000000" w:themeColor="text1"/>
          <w:highlight w:val="none"/>
          <w14:textFill>
            <w14:solidFill>
              <w14:schemeClr w14:val="tx1"/>
            </w14:solidFill>
          </w14:textFill>
        </w:rPr>
        <w:t>1.5</w:t>
      </w:r>
      <w:r>
        <w:rPr>
          <w:rFonts w:hint="eastAsia" w:ascii="宋体" w:hAnsi="宋体" w:cs="宋体"/>
          <w:color w:val="000000" w:themeColor="text1"/>
          <w:highlight w:val="none"/>
          <w14:textFill>
            <w14:solidFill>
              <w14:schemeClr w14:val="tx1"/>
            </w14:solidFill>
          </w14:textFill>
        </w:rPr>
        <w:t>采购人、采购代理机构认为供应商质疑不成立，或者成立但未对成交结果构成影响的，继续开展采购活动</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认为供应商质疑成立且影响或者可能影响成交结果的，按照下列情况处理：</w:t>
      </w:r>
    </w:p>
    <w:p w14:paraId="255589C1">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（一）对采购文件提出的质疑，依法通过澄清或者修改可以继续开展采购活动的，澄清或者修改采购文件后继续开展采购活动</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否则应当修改采购文件后重新开展采购活动。</w:t>
      </w:r>
    </w:p>
    <w:p w14:paraId="5BC1ECB6">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（二）对采购过程或者成交结果提出的质疑，合格供应商符合法定数量时，可以从合格的成交候选人中另行确定成交供应商的，应当依法另行确定成交供应商</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否则应当重新开展采购活动。</w:t>
      </w:r>
    </w:p>
    <w:p w14:paraId="4F14C866">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质疑答复导致成交结果改变的，采购人或者采购代理机构应当将有关情况书面报告本级财政部门。</w:t>
      </w:r>
    </w:p>
    <w:p w14:paraId="04A01F98">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31</w:t>
      </w: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07058048">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32</w:t>
      </w:r>
      <w:r>
        <w:rPr>
          <w:rFonts w:hint="eastAsia" w:ascii="黑体" w:hAnsi="黑体" w:eastAsia="黑体" w:cs="宋体"/>
          <w:b/>
          <w:bCs/>
          <w:color w:val="000000" w:themeColor="text1"/>
          <w:sz w:val="24"/>
          <w:highlight w:val="none"/>
          <w14:textFill>
            <w14:solidFill>
              <w14:schemeClr w14:val="tx1"/>
            </w14:solidFill>
          </w14:textFill>
        </w:rPr>
        <w:t>.其他内容</w:t>
      </w:r>
    </w:p>
    <w:p w14:paraId="2C53A10E">
      <w:pPr>
        <w:tabs>
          <w:tab w:val="left" w:pos="2835"/>
        </w:tabs>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32</w:t>
      </w:r>
      <w:r>
        <w:rPr>
          <w:rFonts w:hint="eastAsia" w:ascii="宋体" w:hAnsi="宋体" w:cs="宋体"/>
          <w:color w:val="000000" w:themeColor="text1"/>
          <w:szCs w:val="21"/>
          <w:highlight w:val="none"/>
          <w14:textFill>
            <w14:solidFill>
              <w14:schemeClr w14:val="tx1"/>
            </w14:solidFill>
          </w14:textFill>
        </w:rPr>
        <w:t>.1代理服务收取标准及缴费账户详见“供应商须知前附表”，供应商为联合体的，可以由联合体中的一方或者多方共同交纳代理服务费。</w:t>
      </w:r>
    </w:p>
    <w:p w14:paraId="352E2EC6">
      <w:pPr>
        <w:tabs>
          <w:tab w:val="left" w:pos="2835"/>
        </w:tabs>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32.2</w:t>
      </w:r>
      <w:r>
        <w:rPr>
          <w:rFonts w:hint="eastAsia" w:ascii="宋体" w:hAnsi="宋体" w:cs="宋体"/>
          <w:color w:val="000000" w:themeColor="text1"/>
          <w:szCs w:val="21"/>
          <w:highlight w:val="none"/>
          <w14:textFill>
            <w14:solidFill>
              <w14:schemeClr w14:val="tx1"/>
            </w14:solidFill>
          </w14:textFill>
        </w:rPr>
        <w:t>代理服务费收费计算标准：</w:t>
      </w:r>
    </w:p>
    <w:tbl>
      <w:tblPr>
        <w:tblStyle w:val="4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13D2C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tcPr>
          <w:p w14:paraId="514C6291">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费率</w:t>
            </w:r>
          </w:p>
          <w:p w14:paraId="29505270">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金额</w:t>
            </w:r>
          </w:p>
        </w:tc>
        <w:tc>
          <w:tcPr>
            <w:tcW w:w="1659" w:type="dxa"/>
            <w:vAlign w:val="center"/>
          </w:tcPr>
          <w:p w14:paraId="03252F99">
            <w:pPr>
              <w:spacing w:line="360" w:lineRule="auto"/>
              <w:ind w:firstLine="105" w:firstLineChars="5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货物类</w:t>
            </w:r>
          </w:p>
        </w:tc>
        <w:tc>
          <w:tcPr>
            <w:tcW w:w="1532" w:type="dxa"/>
            <w:vAlign w:val="center"/>
          </w:tcPr>
          <w:p w14:paraId="02FF9738">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服务类</w:t>
            </w:r>
          </w:p>
        </w:tc>
        <w:tc>
          <w:tcPr>
            <w:tcW w:w="1546" w:type="dxa"/>
            <w:vAlign w:val="center"/>
          </w:tcPr>
          <w:p w14:paraId="6134A12F">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工程类</w:t>
            </w:r>
          </w:p>
        </w:tc>
      </w:tr>
      <w:tr w14:paraId="1EAE9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46AE7C0F">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100万元以下</w:t>
            </w:r>
          </w:p>
        </w:tc>
        <w:tc>
          <w:tcPr>
            <w:tcW w:w="1659" w:type="dxa"/>
          </w:tcPr>
          <w:p w14:paraId="5D3F1B31">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1.5%                </w:t>
            </w:r>
          </w:p>
        </w:tc>
        <w:tc>
          <w:tcPr>
            <w:tcW w:w="1532" w:type="dxa"/>
          </w:tcPr>
          <w:p w14:paraId="119E5E8B">
            <w:pPr>
              <w:spacing w:line="360" w:lineRule="auto"/>
              <w:ind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1.5%</w:t>
            </w:r>
          </w:p>
        </w:tc>
        <w:tc>
          <w:tcPr>
            <w:tcW w:w="1546" w:type="dxa"/>
          </w:tcPr>
          <w:p w14:paraId="6102E8D7">
            <w:pPr>
              <w:spacing w:line="360" w:lineRule="auto"/>
              <w:ind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1.0% </w:t>
            </w:r>
          </w:p>
        </w:tc>
      </w:tr>
      <w:tr w14:paraId="7205D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1A575CE">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100～500万元</w:t>
            </w:r>
          </w:p>
        </w:tc>
        <w:tc>
          <w:tcPr>
            <w:tcW w:w="1659" w:type="dxa"/>
          </w:tcPr>
          <w:p w14:paraId="77F920F3">
            <w:pPr>
              <w:spacing w:line="360" w:lineRule="auto"/>
              <w:ind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1.1%                 </w:t>
            </w:r>
          </w:p>
        </w:tc>
        <w:tc>
          <w:tcPr>
            <w:tcW w:w="1532" w:type="dxa"/>
          </w:tcPr>
          <w:p w14:paraId="65B52288">
            <w:pPr>
              <w:spacing w:line="360" w:lineRule="auto"/>
              <w:ind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0.8%</w:t>
            </w:r>
          </w:p>
        </w:tc>
        <w:tc>
          <w:tcPr>
            <w:tcW w:w="1546" w:type="dxa"/>
          </w:tcPr>
          <w:p w14:paraId="11AB5A71">
            <w:pPr>
              <w:spacing w:line="360" w:lineRule="auto"/>
              <w:ind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0.7% </w:t>
            </w:r>
          </w:p>
        </w:tc>
      </w:tr>
      <w:tr w14:paraId="6A526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B970A3F">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500～1000万元</w:t>
            </w:r>
          </w:p>
        </w:tc>
        <w:tc>
          <w:tcPr>
            <w:tcW w:w="1659" w:type="dxa"/>
          </w:tcPr>
          <w:p w14:paraId="36DEDE18">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0.8%                </w:t>
            </w:r>
          </w:p>
        </w:tc>
        <w:tc>
          <w:tcPr>
            <w:tcW w:w="1532" w:type="dxa"/>
          </w:tcPr>
          <w:p w14:paraId="2B2E8B67">
            <w:pPr>
              <w:spacing w:line="360" w:lineRule="auto"/>
              <w:ind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0.45%</w:t>
            </w:r>
          </w:p>
        </w:tc>
        <w:tc>
          <w:tcPr>
            <w:tcW w:w="1546" w:type="dxa"/>
          </w:tcPr>
          <w:p w14:paraId="6846ED85">
            <w:pPr>
              <w:spacing w:line="360" w:lineRule="auto"/>
              <w:ind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0.55%</w:t>
            </w:r>
          </w:p>
        </w:tc>
      </w:tr>
      <w:tr w14:paraId="2F6F1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91C42C5">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1000～5000万元</w:t>
            </w:r>
          </w:p>
        </w:tc>
        <w:tc>
          <w:tcPr>
            <w:tcW w:w="1659" w:type="dxa"/>
          </w:tcPr>
          <w:p w14:paraId="7B347BE6">
            <w:pPr>
              <w:spacing w:line="360" w:lineRule="auto"/>
              <w:ind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0.5%                </w:t>
            </w:r>
          </w:p>
        </w:tc>
        <w:tc>
          <w:tcPr>
            <w:tcW w:w="1532" w:type="dxa"/>
          </w:tcPr>
          <w:p w14:paraId="289648AE">
            <w:pPr>
              <w:spacing w:line="360" w:lineRule="auto"/>
              <w:ind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0.25%</w:t>
            </w:r>
          </w:p>
        </w:tc>
        <w:tc>
          <w:tcPr>
            <w:tcW w:w="1546" w:type="dxa"/>
          </w:tcPr>
          <w:p w14:paraId="50D25173">
            <w:pPr>
              <w:spacing w:line="360" w:lineRule="auto"/>
              <w:ind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0.35% </w:t>
            </w:r>
          </w:p>
        </w:tc>
      </w:tr>
      <w:tr w14:paraId="36F67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94EB278">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5000万元～1亿元</w:t>
            </w:r>
          </w:p>
        </w:tc>
        <w:tc>
          <w:tcPr>
            <w:tcW w:w="1659" w:type="dxa"/>
          </w:tcPr>
          <w:p w14:paraId="6C9CA446">
            <w:pPr>
              <w:spacing w:line="360" w:lineRule="auto"/>
              <w:ind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0.25%                 </w:t>
            </w:r>
          </w:p>
        </w:tc>
        <w:tc>
          <w:tcPr>
            <w:tcW w:w="1532" w:type="dxa"/>
          </w:tcPr>
          <w:p w14:paraId="364F1F93">
            <w:pPr>
              <w:spacing w:line="360" w:lineRule="auto"/>
              <w:ind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0.1%</w:t>
            </w:r>
          </w:p>
        </w:tc>
        <w:tc>
          <w:tcPr>
            <w:tcW w:w="1546" w:type="dxa"/>
          </w:tcPr>
          <w:p w14:paraId="3564D6EE">
            <w:pPr>
              <w:spacing w:line="360" w:lineRule="auto"/>
              <w:ind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0.2%</w:t>
            </w:r>
          </w:p>
        </w:tc>
      </w:tr>
      <w:tr w14:paraId="0CF6C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3DD0054">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1～5亿元</w:t>
            </w:r>
          </w:p>
        </w:tc>
        <w:tc>
          <w:tcPr>
            <w:tcW w:w="1659" w:type="dxa"/>
          </w:tcPr>
          <w:p w14:paraId="49D6C477">
            <w:pPr>
              <w:spacing w:line="360" w:lineRule="auto"/>
              <w:ind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0.05%</w:t>
            </w:r>
          </w:p>
        </w:tc>
        <w:tc>
          <w:tcPr>
            <w:tcW w:w="1532" w:type="dxa"/>
          </w:tcPr>
          <w:p w14:paraId="76B53BCB">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0.05%</w:t>
            </w:r>
          </w:p>
        </w:tc>
        <w:tc>
          <w:tcPr>
            <w:tcW w:w="1546" w:type="dxa"/>
          </w:tcPr>
          <w:p w14:paraId="3770C87D">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0.05%</w:t>
            </w:r>
          </w:p>
        </w:tc>
      </w:tr>
      <w:tr w14:paraId="366FE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3F7C988">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5～10亿元</w:t>
            </w:r>
          </w:p>
        </w:tc>
        <w:tc>
          <w:tcPr>
            <w:tcW w:w="1659" w:type="dxa"/>
          </w:tcPr>
          <w:p w14:paraId="076ED810">
            <w:pPr>
              <w:spacing w:line="360" w:lineRule="auto"/>
              <w:ind w:firstLine="105" w:firstLineChar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0.035%</w:t>
            </w:r>
          </w:p>
        </w:tc>
        <w:tc>
          <w:tcPr>
            <w:tcW w:w="1532" w:type="dxa"/>
          </w:tcPr>
          <w:p w14:paraId="4A1D769E">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0.035%</w:t>
            </w:r>
          </w:p>
        </w:tc>
        <w:tc>
          <w:tcPr>
            <w:tcW w:w="1546" w:type="dxa"/>
          </w:tcPr>
          <w:p w14:paraId="6E36FDBC">
            <w:pPr>
              <w:spacing w:line="360" w:lineRule="auto"/>
              <w:ind w:firstLine="105" w:firstLineChar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0.035%</w:t>
            </w:r>
          </w:p>
        </w:tc>
      </w:tr>
      <w:tr w14:paraId="02F9E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51AA613">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10～50亿元</w:t>
            </w:r>
          </w:p>
        </w:tc>
        <w:tc>
          <w:tcPr>
            <w:tcW w:w="1659" w:type="dxa"/>
          </w:tcPr>
          <w:p w14:paraId="7B30CBA5">
            <w:pPr>
              <w:spacing w:line="360" w:lineRule="auto"/>
              <w:ind w:firstLine="105" w:firstLineChar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0.008%</w:t>
            </w:r>
          </w:p>
        </w:tc>
        <w:tc>
          <w:tcPr>
            <w:tcW w:w="1532" w:type="dxa"/>
          </w:tcPr>
          <w:p w14:paraId="6D40A3A3">
            <w:pPr>
              <w:spacing w:line="360" w:lineRule="auto"/>
              <w:ind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0.008%</w:t>
            </w:r>
          </w:p>
        </w:tc>
        <w:tc>
          <w:tcPr>
            <w:tcW w:w="1546" w:type="dxa"/>
          </w:tcPr>
          <w:p w14:paraId="1DFEBF1A">
            <w:pPr>
              <w:spacing w:line="360" w:lineRule="auto"/>
              <w:ind w:firstLine="105" w:firstLineChar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0.008%</w:t>
            </w:r>
          </w:p>
        </w:tc>
      </w:tr>
      <w:tr w14:paraId="1C7AD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B03C9D7">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50～100亿元</w:t>
            </w:r>
          </w:p>
        </w:tc>
        <w:tc>
          <w:tcPr>
            <w:tcW w:w="1659" w:type="dxa"/>
          </w:tcPr>
          <w:p w14:paraId="3B8235D6">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0.006%</w:t>
            </w:r>
          </w:p>
        </w:tc>
        <w:tc>
          <w:tcPr>
            <w:tcW w:w="1532" w:type="dxa"/>
          </w:tcPr>
          <w:p w14:paraId="51142460">
            <w:pPr>
              <w:spacing w:line="360" w:lineRule="auto"/>
              <w:ind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0.006%</w:t>
            </w:r>
          </w:p>
        </w:tc>
        <w:tc>
          <w:tcPr>
            <w:tcW w:w="1546" w:type="dxa"/>
          </w:tcPr>
          <w:p w14:paraId="3258CE88">
            <w:pPr>
              <w:spacing w:line="360" w:lineRule="auto"/>
              <w:ind w:firstLine="105" w:firstLineChar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0.006%</w:t>
            </w:r>
          </w:p>
        </w:tc>
      </w:tr>
      <w:tr w14:paraId="45C01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BFF016A">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100亿以上</w:t>
            </w:r>
          </w:p>
        </w:tc>
        <w:tc>
          <w:tcPr>
            <w:tcW w:w="1659" w:type="dxa"/>
          </w:tcPr>
          <w:p w14:paraId="7EA7DD92">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0.004%</w:t>
            </w:r>
          </w:p>
        </w:tc>
        <w:tc>
          <w:tcPr>
            <w:tcW w:w="1532" w:type="dxa"/>
          </w:tcPr>
          <w:p w14:paraId="3506EE98">
            <w:pPr>
              <w:spacing w:line="360" w:lineRule="auto"/>
              <w:ind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0.004%</w:t>
            </w:r>
          </w:p>
        </w:tc>
        <w:tc>
          <w:tcPr>
            <w:tcW w:w="1546" w:type="dxa"/>
          </w:tcPr>
          <w:p w14:paraId="09026CB6">
            <w:pPr>
              <w:spacing w:line="360" w:lineRule="auto"/>
              <w:ind w:firstLine="105" w:firstLineChar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0.004%</w:t>
            </w:r>
          </w:p>
        </w:tc>
      </w:tr>
    </w:tbl>
    <w:p w14:paraId="4CFC63BB">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注：</w:t>
      </w:r>
    </w:p>
    <w:p w14:paraId="26EF671E">
      <w:pPr>
        <w:spacing w:line="360" w:lineRule="auto"/>
        <w:ind w:firstLine="420" w:firstLineChars="20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r>
        <w:rPr>
          <w:rFonts w:ascii="宋体" w:hAnsi="宋体" w:cs="宋体"/>
          <w:color w:val="000000" w:themeColor="text1"/>
          <w:highlight w:val="none"/>
          <w14:textFill>
            <w14:solidFill>
              <w14:schemeClr w14:val="tx1"/>
            </w14:solidFill>
          </w14:textFill>
        </w:rPr>
        <w:t>按本表费率计算的收费为</w:t>
      </w:r>
      <w:r>
        <w:rPr>
          <w:rFonts w:hint="eastAsia" w:ascii="宋体" w:hAnsi="宋体" w:cs="宋体"/>
          <w:color w:val="000000" w:themeColor="text1"/>
          <w:highlight w:val="none"/>
          <w14:textFill>
            <w14:solidFill>
              <w14:schemeClr w14:val="tx1"/>
            </w14:solidFill>
          </w14:textFill>
        </w:rPr>
        <w:t>采购</w:t>
      </w:r>
      <w:r>
        <w:rPr>
          <w:rFonts w:ascii="宋体" w:hAnsi="宋体" w:cs="宋体"/>
          <w:color w:val="000000" w:themeColor="text1"/>
          <w:highlight w:val="none"/>
          <w14:textFill>
            <w14:solidFill>
              <w14:schemeClr w14:val="tx1"/>
            </w14:solidFill>
          </w14:textFill>
        </w:rPr>
        <w:t>代理的收费基准价格</w:t>
      </w:r>
      <w:r>
        <w:rPr>
          <w:rFonts w:hint="eastAsia" w:ascii="宋体" w:hAnsi="宋体" w:cs="宋体"/>
          <w:color w:val="000000" w:themeColor="text1"/>
          <w:highlight w:val="none"/>
          <w:lang w:eastAsia="zh-CN"/>
          <w14:textFill>
            <w14:solidFill>
              <w14:schemeClr w14:val="tx1"/>
            </w14:solidFill>
          </w14:textFill>
        </w:rPr>
        <w:t>；</w:t>
      </w:r>
    </w:p>
    <w:p w14:paraId="67E5ACD7">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（2）采购</w:t>
      </w:r>
      <w:r>
        <w:rPr>
          <w:rFonts w:ascii="宋体" w:hAnsi="宋体" w:cs="宋体"/>
          <w:color w:val="000000" w:themeColor="text1"/>
          <w:highlight w:val="none"/>
          <w14:textFill>
            <w14:solidFill>
              <w14:schemeClr w14:val="tx1"/>
            </w14:solidFill>
          </w14:textFill>
        </w:rPr>
        <w:t>代理收费按差额定率累进法计算。</w:t>
      </w:r>
    </w:p>
    <w:p w14:paraId="6751B1BF">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例如：某</w:t>
      </w:r>
      <w:r>
        <w:rPr>
          <w:rFonts w:hint="eastAsia" w:ascii="宋体" w:hAnsi="宋体" w:cs="宋体"/>
          <w:color w:val="000000" w:themeColor="text1"/>
          <w:highlight w:val="none"/>
          <w14:textFill>
            <w14:solidFill>
              <w14:schemeClr w14:val="tx1"/>
            </w14:solidFill>
          </w14:textFill>
        </w:rPr>
        <w:t>工程项目采购</w:t>
      </w:r>
      <w:r>
        <w:rPr>
          <w:rFonts w:ascii="宋体" w:hAnsi="宋体" w:cs="宋体"/>
          <w:color w:val="000000" w:themeColor="text1"/>
          <w:highlight w:val="none"/>
          <w14:textFill>
            <w14:solidFill>
              <w14:schemeClr w14:val="tx1"/>
            </w14:solidFill>
          </w14:textFill>
        </w:rPr>
        <w:t>代理业务</w:t>
      </w:r>
      <w:r>
        <w:rPr>
          <w:rFonts w:hint="eastAsia" w:ascii="宋体" w:hAnsi="宋体" w:cs="宋体"/>
          <w:color w:val="000000" w:themeColor="text1"/>
          <w:highlight w:val="none"/>
          <w14:textFill>
            <w14:solidFill>
              <w14:schemeClr w14:val="tx1"/>
            </w14:solidFill>
          </w14:textFill>
        </w:rPr>
        <w:t>成交</w:t>
      </w:r>
      <w:r>
        <w:rPr>
          <w:rFonts w:ascii="宋体" w:hAnsi="宋体" w:cs="宋体"/>
          <w:color w:val="000000" w:themeColor="text1"/>
          <w:highlight w:val="none"/>
          <w14:textFill>
            <w14:solidFill>
              <w14:schemeClr w14:val="tx1"/>
            </w14:solidFill>
          </w14:textFill>
        </w:rPr>
        <w:t>金额为150万元，计算</w:t>
      </w:r>
      <w:r>
        <w:rPr>
          <w:rFonts w:hint="eastAsia" w:ascii="宋体" w:hAnsi="宋体" w:cs="宋体"/>
          <w:color w:val="000000" w:themeColor="text1"/>
          <w:highlight w:val="none"/>
          <w14:textFill>
            <w14:solidFill>
              <w14:schemeClr w14:val="tx1"/>
            </w14:solidFill>
          </w14:textFill>
        </w:rPr>
        <w:t>采购</w:t>
      </w:r>
      <w:r>
        <w:rPr>
          <w:rFonts w:ascii="宋体" w:hAnsi="宋体" w:cs="宋体"/>
          <w:color w:val="000000" w:themeColor="text1"/>
          <w:highlight w:val="none"/>
          <w14:textFill>
            <w14:solidFill>
              <w14:schemeClr w14:val="tx1"/>
            </w14:solidFill>
          </w14:textFill>
        </w:rPr>
        <w:t>代理收费额如下：</w:t>
      </w:r>
    </w:p>
    <w:p w14:paraId="19311C65">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100 万元 ×l.</w:t>
      </w:r>
      <w:r>
        <w:rPr>
          <w:rFonts w:hint="eastAsia" w:ascii="宋体" w:hAnsi="宋体" w:cs="宋体"/>
          <w:color w:val="000000" w:themeColor="text1"/>
          <w:highlight w:val="none"/>
          <w14:textFill>
            <w14:solidFill>
              <w14:schemeClr w14:val="tx1"/>
            </w14:solidFill>
          </w14:textFill>
        </w:rPr>
        <w:t>0</w:t>
      </w:r>
      <w:r>
        <w:rPr>
          <w:rFonts w:ascii="宋体" w:hAnsi="宋体" w:cs="宋体"/>
          <w:color w:val="000000" w:themeColor="text1"/>
          <w:highlight w:val="none"/>
          <w14:textFill>
            <w14:solidFill>
              <w14:schemeClr w14:val="tx1"/>
            </w14:solidFill>
          </w14:textFill>
        </w:rPr>
        <w:t xml:space="preserve"> %＝ 1.</w:t>
      </w:r>
      <w:r>
        <w:rPr>
          <w:rFonts w:hint="eastAsia" w:ascii="宋体" w:hAnsi="宋体" w:cs="宋体"/>
          <w:color w:val="000000" w:themeColor="text1"/>
          <w:highlight w:val="none"/>
          <w14:textFill>
            <w14:solidFill>
              <w14:schemeClr w14:val="tx1"/>
            </w14:solidFill>
          </w14:textFill>
        </w:rPr>
        <w:t>0</w:t>
      </w:r>
      <w:r>
        <w:rPr>
          <w:rFonts w:ascii="宋体" w:hAnsi="宋体" w:cs="宋体"/>
          <w:color w:val="000000" w:themeColor="text1"/>
          <w:highlight w:val="none"/>
          <w14:textFill>
            <w14:solidFill>
              <w14:schemeClr w14:val="tx1"/>
            </w14:solidFill>
          </w14:textFill>
        </w:rPr>
        <w:t>万元</w:t>
      </w:r>
    </w:p>
    <w:p w14:paraId="2710C3B5">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150</w:t>
      </w: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100 ）万元 ×0.</w:t>
      </w:r>
      <w:r>
        <w:rPr>
          <w:rFonts w:hint="eastAsia" w:ascii="宋体" w:hAnsi="宋体" w:cs="宋体"/>
          <w:color w:val="000000" w:themeColor="text1"/>
          <w:highlight w:val="none"/>
          <w14:textFill>
            <w14:solidFill>
              <w14:schemeClr w14:val="tx1"/>
            </w14:solidFill>
          </w14:textFill>
        </w:rPr>
        <w:t>7</w:t>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0.</w:t>
      </w:r>
      <w:r>
        <w:rPr>
          <w:rFonts w:hint="eastAsia" w:ascii="宋体" w:hAnsi="宋体" w:cs="宋体"/>
          <w:color w:val="000000" w:themeColor="text1"/>
          <w:highlight w:val="none"/>
          <w14:textFill>
            <w14:solidFill>
              <w14:schemeClr w14:val="tx1"/>
            </w14:solidFill>
          </w14:textFill>
        </w:rPr>
        <w:t>35</w:t>
      </w:r>
      <w:r>
        <w:rPr>
          <w:rFonts w:ascii="宋体" w:hAnsi="宋体" w:cs="宋体"/>
          <w:color w:val="000000" w:themeColor="text1"/>
          <w:highlight w:val="none"/>
          <w14:textFill>
            <w14:solidFill>
              <w14:schemeClr w14:val="tx1"/>
            </w14:solidFill>
          </w14:textFill>
        </w:rPr>
        <w:t>万元</w:t>
      </w:r>
    </w:p>
    <w:p w14:paraId="7632E87C">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合计收费＝ 1.</w:t>
      </w:r>
      <w:r>
        <w:rPr>
          <w:rFonts w:hint="eastAsia" w:ascii="宋体" w:hAnsi="宋体" w:cs="宋体"/>
          <w:color w:val="000000" w:themeColor="text1"/>
          <w:highlight w:val="none"/>
          <w14:textFill>
            <w14:solidFill>
              <w14:schemeClr w14:val="tx1"/>
            </w14:solidFill>
          </w14:textFill>
        </w:rPr>
        <w:t xml:space="preserve">0 + </w:t>
      </w:r>
      <w:r>
        <w:rPr>
          <w:rFonts w:ascii="宋体" w:hAnsi="宋体" w:cs="宋体"/>
          <w:color w:val="000000" w:themeColor="text1"/>
          <w:highlight w:val="none"/>
          <w14:textFill>
            <w14:solidFill>
              <w14:schemeClr w14:val="tx1"/>
            </w14:solidFill>
          </w14:textFill>
        </w:rPr>
        <w:t>0.</w:t>
      </w:r>
      <w:r>
        <w:rPr>
          <w:rFonts w:hint="eastAsia" w:ascii="宋体" w:hAnsi="宋体" w:cs="宋体"/>
          <w:color w:val="000000" w:themeColor="text1"/>
          <w:highlight w:val="none"/>
          <w14:textFill>
            <w14:solidFill>
              <w14:schemeClr w14:val="tx1"/>
            </w14:solidFill>
          </w14:textFill>
        </w:rPr>
        <w:t xml:space="preserve">35 </w:t>
      </w:r>
      <w:r>
        <w:rPr>
          <w:rFonts w:ascii="宋体" w:hAnsi="宋体" w:cs="宋体"/>
          <w:color w:val="000000" w:themeColor="text1"/>
          <w:highlight w:val="none"/>
          <w14:textFill>
            <w14:solidFill>
              <w14:schemeClr w14:val="tx1"/>
            </w14:solidFill>
          </w14:textFill>
        </w:rPr>
        <w:t>＝ 1.</w:t>
      </w:r>
      <w:r>
        <w:rPr>
          <w:rFonts w:hint="eastAsia" w:ascii="宋体" w:hAnsi="宋体" w:cs="宋体"/>
          <w:color w:val="000000" w:themeColor="text1"/>
          <w:highlight w:val="none"/>
          <w14:textFill>
            <w14:solidFill>
              <w14:schemeClr w14:val="tx1"/>
            </w14:solidFill>
          </w14:textFill>
        </w:rPr>
        <w:t>35</w:t>
      </w:r>
      <w:r>
        <w:rPr>
          <w:rFonts w:ascii="宋体" w:hAnsi="宋体" w:cs="宋体"/>
          <w:color w:val="000000" w:themeColor="text1"/>
          <w:highlight w:val="none"/>
          <w14:textFill>
            <w14:solidFill>
              <w14:schemeClr w14:val="tx1"/>
            </w14:solidFill>
          </w14:textFill>
        </w:rPr>
        <w:t xml:space="preserve"> 万元</w:t>
      </w:r>
    </w:p>
    <w:p w14:paraId="5AA14FAF">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3</w:t>
      </w:r>
      <w:r>
        <w:rPr>
          <w:rFonts w:ascii="黑体" w:hAnsi="黑体" w:eastAsia="黑体" w:cs="宋体"/>
          <w:b/>
          <w:bCs/>
          <w:color w:val="000000" w:themeColor="text1"/>
          <w:sz w:val="24"/>
          <w:highlight w:val="none"/>
          <w14:textFill>
            <w14:solidFill>
              <w14:schemeClr w14:val="tx1"/>
            </w14:solidFill>
          </w14:textFill>
        </w:rPr>
        <w:t>3.需要补充的其他内容</w:t>
      </w:r>
    </w:p>
    <w:p w14:paraId="31B1622E">
      <w:pPr>
        <w:pStyle w:val="25"/>
        <w:spacing w:line="360" w:lineRule="auto"/>
        <w:ind w:firstLine="420" w:firstLineChars="200"/>
        <w:textAlignment w:val="center"/>
        <w:rPr>
          <w:rFonts w:hAnsi="宋体" w:cs="宋体"/>
          <w:color w:val="000000" w:themeColor="text1"/>
          <w:kern w:val="2"/>
          <w:sz w:val="21"/>
          <w:highlight w:val="none"/>
          <w14:textFill>
            <w14:solidFill>
              <w14:schemeClr w14:val="tx1"/>
            </w14:solidFill>
          </w14:textFill>
        </w:rPr>
      </w:pPr>
      <w:r>
        <w:rPr>
          <w:rFonts w:hint="eastAsia" w:hAnsi="宋体" w:cs="宋体"/>
          <w:color w:val="000000" w:themeColor="text1"/>
          <w:kern w:val="2"/>
          <w:sz w:val="21"/>
          <w:highlight w:val="none"/>
          <w14:textFill>
            <w14:solidFill>
              <w14:schemeClr w14:val="tx1"/>
            </w14:solidFill>
          </w14:textFill>
        </w:rPr>
        <w:t>3</w:t>
      </w:r>
      <w:r>
        <w:rPr>
          <w:rFonts w:hAnsi="宋体" w:cs="宋体"/>
          <w:color w:val="000000" w:themeColor="text1"/>
          <w:kern w:val="2"/>
          <w:sz w:val="21"/>
          <w:highlight w:val="none"/>
          <w14:textFill>
            <w14:solidFill>
              <w14:schemeClr w14:val="tx1"/>
            </w14:solidFill>
          </w14:textFill>
        </w:rPr>
        <w:t>3.1</w:t>
      </w:r>
      <w:r>
        <w:rPr>
          <w:rFonts w:hint="eastAsia" w:hAnsi="宋体" w:cs="宋体"/>
          <w:color w:val="000000" w:themeColor="text1"/>
          <w:kern w:val="2"/>
          <w:sz w:val="21"/>
          <w:highlight w:val="none"/>
          <w14:textFill>
            <w14:solidFill>
              <w14:schemeClr w14:val="tx1"/>
            </w14:solidFill>
          </w14:textFill>
        </w:rPr>
        <w:t>本磋商文件解释规则详见“供应商须知前附表”。</w:t>
      </w:r>
    </w:p>
    <w:p w14:paraId="422C76EF">
      <w:pPr>
        <w:pStyle w:val="25"/>
        <w:spacing w:line="360" w:lineRule="auto"/>
        <w:ind w:firstLine="420" w:firstLineChars="200"/>
        <w:textAlignment w:val="center"/>
        <w:rPr>
          <w:rFonts w:hAnsi="宋体" w:cs="宋体"/>
          <w:color w:val="000000" w:themeColor="text1"/>
          <w:kern w:val="2"/>
          <w:sz w:val="21"/>
          <w:highlight w:val="none"/>
          <w14:textFill>
            <w14:solidFill>
              <w14:schemeClr w14:val="tx1"/>
            </w14:solidFill>
          </w14:textFill>
        </w:rPr>
      </w:pPr>
      <w:r>
        <w:rPr>
          <w:rFonts w:hint="eastAsia" w:hAnsi="宋体" w:cs="宋体"/>
          <w:color w:val="000000" w:themeColor="text1"/>
          <w:kern w:val="2"/>
          <w:sz w:val="21"/>
          <w:highlight w:val="none"/>
          <w14:textFill>
            <w14:solidFill>
              <w14:schemeClr w14:val="tx1"/>
            </w14:solidFill>
          </w14:textFill>
        </w:rPr>
        <w:t>33.2农民工工资保证金见“供应商须知前附表”。</w:t>
      </w:r>
    </w:p>
    <w:p w14:paraId="2A10B395">
      <w:pPr>
        <w:pStyle w:val="25"/>
        <w:spacing w:line="360" w:lineRule="auto"/>
        <w:ind w:firstLine="420" w:firstLineChars="200"/>
        <w:textAlignment w:val="center"/>
        <w:rPr>
          <w:rFonts w:hAnsi="宋体" w:cs="宋体"/>
          <w:color w:val="000000" w:themeColor="text1"/>
          <w:kern w:val="2"/>
          <w:sz w:val="21"/>
          <w:highlight w:val="none"/>
          <w14:textFill>
            <w14:solidFill>
              <w14:schemeClr w14:val="tx1"/>
            </w14:solidFill>
          </w14:textFill>
        </w:rPr>
      </w:pPr>
      <w:r>
        <w:rPr>
          <w:rFonts w:hAnsi="宋体" w:cs="宋体"/>
          <w:color w:val="000000" w:themeColor="text1"/>
          <w:kern w:val="2"/>
          <w:sz w:val="21"/>
          <w:highlight w:val="none"/>
          <w14:textFill>
            <w14:solidFill>
              <w14:schemeClr w14:val="tx1"/>
            </w14:solidFill>
          </w14:textFill>
        </w:rPr>
        <w:t>33.</w:t>
      </w:r>
      <w:r>
        <w:rPr>
          <w:rFonts w:hint="eastAsia" w:hAnsi="宋体" w:cs="宋体"/>
          <w:color w:val="000000" w:themeColor="text1"/>
          <w:kern w:val="2"/>
          <w:sz w:val="21"/>
          <w:highlight w:val="none"/>
          <w14:textFill>
            <w14:solidFill>
              <w14:schemeClr w14:val="tx1"/>
            </w14:solidFill>
          </w14:textFill>
        </w:rPr>
        <w:t>3 其他事项详见“供应商须知前附表”。</w:t>
      </w:r>
    </w:p>
    <w:p w14:paraId="25F998C8">
      <w:pPr>
        <w:pStyle w:val="25"/>
        <w:spacing w:line="360" w:lineRule="auto"/>
        <w:ind w:firstLine="420" w:firstLineChars="200"/>
        <w:textAlignment w:val="center"/>
        <w:rPr>
          <w:rFonts w:hAnsi="宋体" w:cs="宋体"/>
          <w:color w:val="000000" w:themeColor="text1"/>
          <w:kern w:val="2"/>
          <w:sz w:val="21"/>
          <w:highlight w:val="none"/>
          <w14:textFill>
            <w14:solidFill>
              <w14:schemeClr w14:val="tx1"/>
            </w14:solidFill>
          </w14:textFill>
        </w:rPr>
      </w:pPr>
      <w:r>
        <w:rPr>
          <w:rFonts w:hint="eastAsia" w:hAnsi="宋体" w:cs="宋体"/>
          <w:color w:val="000000" w:themeColor="text1"/>
          <w:kern w:val="2"/>
          <w:sz w:val="21"/>
          <w:highlight w:val="none"/>
          <w14:textFill>
            <w14:solidFill>
              <w14:schemeClr w14:val="tx1"/>
            </w14:solidFill>
          </w14:textFill>
        </w:rPr>
        <w:t>3</w:t>
      </w:r>
      <w:r>
        <w:rPr>
          <w:rFonts w:hAnsi="宋体" w:cs="宋体"/>
          <w:color w:val="000000" w:themeColor="text1"/>
          <w:kern w:val="2"/>
          <w:sz w:val="21"/>
          <w:highlight w:val="none"/>
          <w14:textFill>
            <w14:solidFill>
              <w14:schemeClr w14:val="tx1"/>
            </w14:solidFill>
          </w14:textFill>
        </w:rPr>
        <w:t>3.</w:t>
      </w:r>
      <w:r>
        <w:rPr>
          <w:rFonts w:hint="eastAsia" w:hAnsi="宋体" w:cs="宋体"/>
          <w:color w:val="000000" w:themeColor="text1"/>
          <w:kern w:val="2"/>
          <w:sz w:val="21"/>
          <w:highlight w:val="none"/>
          <w14:textFill>
            <w14:solidFill>
              <w14:schemeClr w14:val="tx1"/>
            </w14:solidFill>
          </w14:textFill>
        </w:rPr>
        <w:t>4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7E62C0B8">
      <w:pPr>
        <w:pStyle w:val="25"/>
        <w:spacing w:line="360" w:lineRule="auto"/>
        <w:ind w:firstLine="420" w:firstLineChars="200"/>
        <w:contextualSpacing/>
        <w:rPr>
          <w:rFonts w:hint="eastAsia" w:hAnsi="宋体" w:eastAsia="宋体"/>
          <w:color w:val="000000" w:themeColor="text1"/>
          <w:sz w:val="21"/>
          <w:highlight w:val="none"/>
          <w:lang w:eastAsia="zh-CN"/>
          <w14:textFill>
            <w14:solidFill>
              <w14:schemeClr w14:val="tx1"/>
            </w14:solidFill>
          </w14:textFill>
        </w:rPr>
      </w:pPr>
      <w:r>
        <w:rPr>
          <w:rFonts w:hint="eastAsia" w:hAnsi="宋体"/>
          <w:color w:val="000000" w:themeColor="text1"/>
          <w:sz w:val="21"/>
          <w:highlight w:val="none"/>
          <w14:textFill>
            <w14:solidFill>
              <w14:schemeClr w14:val="tx1"/>
            </w14:solidFill>
          </w14:textFill>
        </w:rPr>
        <w:t>（1）在货物采购项目中，货物由中小企业制造，即货物由中小企业生产且使用该中小企业商号或者注册商标，不对其中涉及的工程承建商和服务的承接商作出要求</w:t>
      </w:r>
      <w:r>
        <w:rPr>
          <w:rFonts w:hint="eastAsia" w:hAnsi="宋体"/>
          <w:color w:val="000000" w:themeColor="text1"/>
          <w:sz w:val="21"/>
          <w:highlight w:val="none"/>
          <w:lang w:eastAsia="zh-CN"/>
          <w14:textFill>
            <w14:solidFill>
              <w14:schemeClr w14:val="tx1"/>
            </w14:solidFill>
          </w14:textFill>
        </w:rPr>
        <w:t>；</w:t>
      </w:r>
    </w:p>
    <w:p w14:paraId="2C143F66">
      <w:pPr>
        <w:pStyle w:val="25"/>
        <w:spacing w:line="360" w:lineRule="auto"/>
        <w:ind w:firstLine="420" w:firstLineChars="200"/>
        <w:contextualSpacing/>
        <w:rPr>
          <w:rFonts w:hint="eastAsia" w:hAnsi="宋体" w:eastAsia="宋体"/>
          <w:color w:val="000000" w:themeColor="text1"/>
          <w:sz w:val="21"/>
          <w:highlight w:val="none"/>
          <w:lang w:eastAsia="zh-CN"/>
          <w14:textFill>
            <w14:solidFill>
              <w14:schemeClr w14:val="tx1"/>
            </w14:solidFill>
          </w14:textFill>
        </w:rPr>
      </w:pPr>
      <w:r>
        <w:rPr>
          <w:rFonts w:hint="eastAsia" w:hAnsi="宋体"/>
          <w:color w:val="000000" w:themeColor="text1"/>
          <w:sz w:val="21"/>
          <w:highlight w:val="none"/>
          <w14:textFill>
            <w14:solidFill>
              <w14:schemeClr w14:val="tx1"/>
            </w14:solidFill>
          </w14:textFill>
        </w:rPr>
        <w:t>（2）在工程采购项目中，工程由中小企业承建，即工程施工单位为中小企业，不对其中涉及的货物的制造商和服务的承接商作出要求</w:t>
      </w:r>
      <w:r>
        <w:rPr>
          <w:rFonts w:hint="eastAsia" w:hAnsi="宋体"/>
          <w:color w:val="000000" w:themeColor="text1"/>
          <w:sz w:val="21"/>
          <w:highlight w:val="none"/>
          <w:lang w:eastAsia="zh-CN"/>
          <w14:textFill>
            <w14:solidFill>
              <w14:schemeClr w14:val="tx1"/>
            </w14:solidFill>
          </w14:textFill>
        </w:rPr>
        <w:t>；</w:t>
      </w:r>
    </w:p>
    <w:p w14:paraId="02083FA2">
      <w:pPr>
        <w:pStyle w:val="25"/>
        <w:spacing w:line="360" w:lineRule="auto"/>
        <w:ind w:firstLine="420" w:firstLineChars="200"/>
        <w:contextualSpacing/>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（3）在服务采购项目中，服务由中小企业承接，即提供服务的人员为中小企业依照《中华人民共和国劳动合同法》订立劳动合同的从业人员，不对其中涉及的货物的制造商和工程承建商作出要求。</w:t>
      </w:r>
    </w:p>
    <w:p w14:paraId="34393022">
      <w:pPr>
        <w:pStyle w:val="25"/>
        <w:spacing w:line="360" w:lineRule="auto"/>
        <w:ind w:firstLine="420" w:firstLineChars="200"/>
        <w:contextualSpacing/>
        <w:rPr>
          <w:rFonts w:hAnsi="宋体"/>
          <w:color w:val="000000" w:themeColor="text1"/>
          <w:sz w:val="21"/>
          <w:highlight w:val="none"/>
          <w14:textFill>
            <w14:solidFill>
              <w14:schemeClr w14:val="tx1"/>
            </w14:solidFill>
          </w14:textFill>
        </w:rPr>
      </w:pPr>
      <w:r>
        <w:rPr>
          <w:rFonts w:hint="eastAsia" w:hAnsi="宋体" w:cs="宋体"/>
          <w:color w:val="000000" w:themeColor="text1"/>
          <w:kern w:val="2"/>
          <w:sz w:val="21"/>
          <w:highlight w:val="none"/>
          <w14:textFill>
            <w14:solidFill>
              <w14:schemeClr w14:val="tx1"/>
            </w14:solidFill>
          </w14:textFill>
        </w:rPr>
        <w:t>在货物采购项目中，供应商提供的货物既有中小企业制造货物，也有大型企业制造货物的，不享受本磋商文件规定的中小企业扶持政策。以联合体形式参加政府采购活动，联合体各方均为</w:t>
      </w:r>
      <w:r>
        <w:rPr>
          <w:rFonts w:hint="eastAsia" w:hAnsi="宋体"/>
          <w:color w:val="000000" w:themeColor="text1"/>
          <w:sz w:val="21"/>
          <w:highlight w:val="none"/>
          <w14:textFill>
            <w14:solidFill>
              <w14:schemeClr w14:val="tx1"/>
            </w14:solidFill>
          </w14:textFill>
        </w:rPr>
        <w:t>中小企业的，联合体视同中小企业。其中，联合体各方均为小微企业的，联合体视同小微企业。</w:t>
      </w:r>
    </w:p>
    <w:p w14:paraId="4D1F0372">
      <w:pPr>
        <w:pStyle w:val="25"/>
        <w:spacing w:line="360" w:lineRule="auto"/>
        <w:ind w:firstLine="420" w:firstLineChars="200"/>
        <w:contextualSpacing/>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依据本磋商文件规定享受扶持政策获得政府采购合同的，小微企业不得将合同分包给大中型企业，中型企业不得将合同分包给大型企业。</w:t>
      </w:r>
    </w:p>
    <w:p w14:paraId="2A8DFD02">
      <w:pPr>
        <w:pStyle w:val="2"/>
        <w:spacing w:before="0" w:after="0" w:line="360" w:lineRule="auto"/>
        <w:jc w:val="center"/>
        <w:rPr>
          <w:color w:val="000000" w:themeColor="text1"/>
          <w:highlight w:val="none"/>
          <w14:textFill>
            <w14:solidFill>
              <w14:schemeClr w14:val="tx1"/>
            </w14:solidFill>
          </w14:textFill>
        </w:rPr>
      </w:pPr>
      <w:r>
        <w:rPr>
          <w:rFonts w:hAnsi="宋体"/>
          <w:b w:val="0"/>
          <w:color w:val="000000" w:themeColor="text1"/>
          <w:highlight w:val="none"/>
          <w14:textFill>
            <w14:solidFill>
              <w14:schemeClr w14:val="tx1"/>
            </w14:solidFill>
          </w14:textFill>
        </w:rPr>
        <w:br w:type="page"/>
      </w:r>
      <w:bookmarkStart w:id="68" w:name="_Toc122424246"/>
      <w:r>
        <w:rPr>
          <w:rFonts w:hint="eastAsia"/>
          <w:color w:val="000000" w:themeColor="text1"/>
          <w:highlight w:val="none"/>
          <w14:textFill>
            <w14:solidFill>
              <w14:schemeClr w14:val="tx1"/>
            </w14:solidFill>
          </w14:textFill>
        </w:rPr>
        <w:t>第三章 采购需求</w:t>
      </w:r>
      <w:bookmarkEnd w:id="68"/>
    </w:p>
    <w:p w14:paraId="4C60BBC6">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说明：</w:t>
      </w:r>
    </w:p>
    <w:p w14:paraId="35A4AB5B">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 为落实政府采购政策需满足的要求</w:t>
      </w:r>
    </w:p>
    <w:p w14:paraId="72E99A57">
      <w:pPr>
        <w:spacing w:line="360" w:lineRule="auto"/>
        <w:ind w:firstLine="424" w:firstLineChars="202"/>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 “实质性要求”是指采购需求中带“▲”的条款或者不能负偏离的条款或者已经指明不满足按响应文件按无效处理的条款。</w:t>
      </w:r>
    </w:p>
    <w:p w14:paraId="1212B3F7">
      <w:pPr>
        <w:spacing w:line="360" w:lineRule="auto"/>
        <w:ind w:firstLine="424" w:firstLineChars="202"/>
        <w:jc w:val="left"/>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hint="eastAsia"/>
          <w:color w:val="000000" w:themeColor="text1"/>
          <w:highlight w:val="none"/>
          <w14:textFill>
            <w14:solidFill>
              <w14:schemeClr w14:val="tx1"/>
            </w14:solidFill>
          </w14:textFill>
        </w:rPr>
        <w:t>供应商必须自行为其竞标产品侵犯他人的知识产权或者专利成果的行为承担相应法律责任。</w:t>
      </w:r>
    </w:p>
    <w:p w14:paraId="41F09852">
      <w:pPr>
        <w:spacing w:line="360" w:lineRule="auto"/>
        <w:jc w:val="left"/>
        <w:rPr>
          <w:rFonts w:ascii="宋体" w:hAnsi="宋体" w:cs="Arial"/>
          <w:bCs/>
          <w:color w:val="000000" w:themeColor="text1"/>
          <w:szCs w:val="21"/>
          <w:highlight w:val="none"/>
          <w:u w:val="single"/>
          <w14:textFill>
            <w14:solidFill>
              <w14:schemeClr w14:val="tx1"/>
            </w14:solidFill>
          </w14:textFill>
        </w:rPr>
      </w:pPr>
    </w:p>
    <w:p w14:paraId="104983C7">
      <w:pPr>
        <w:spacing w:line="360" w:lineRule="auto"/>
        <w:jc w:val="left"/>
        <w:rPr>
          <w:rFonts w:ascii="宋体" w:hAnsi="宋体"/>
          <w:b/>
          <w:color w:val="000000" w:themeColor="text1"/>
          <w:szCs w:val="21"/>
          <w:highlight w:val="none"/>
          <w:u w:val="singl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所属行业：</w:t>
      </w:r>
      <w:r>
        <w:rPr>
          <w:rFonts w:hint="eastAsia" w:ascii="宋体" w:hAnsi="宋体"/>
          <w:b/>
          <w:color w:val="000000" w:themeColor="text1"/>
          <w:szCs w:val="21"/>
          <w:highlight w:val="none"/>
          <w:u w:val="single"/>
          <w14:textFill>
            <w14:solidFill>
              <w14:schemeClr w14:val="tx1"/>
            </w14:solidFill>
          </w14:textFill>
        </w:rPr>
        <w:t>建筑业</w:t>
      </w:r>
    </w:p>
    <w:tbl>
      <w:tblPr>
        <w:tblStyle w:val="43"/>
        <w:tblW w:w="978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2"/>
        <w:gridCol w:w="1462"/>
        <w:gridCol w:w="72"/>
        <w:gridCol w:w="751"/>
        <w:gridCol w:w="224"/>
        <w:gridCol w:w="6481"/>
        <w:gridCol w:w="46"/>
      </w:tblGrid>
      <w:tr w14:paraId="4FEBF0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46" w:type="dxa"/>
          <w:trHeight w:val="824" w:hRule="atLeast"/>
          <w:jc w:val="center"/>
        </w:trPr>
        <w:tc>
          <w:tcPr>
            <w:tcW w:w="752" w:type="dxa"/>
            <w:vAlign w:val="center"/>
          </w:tcPr>
          <w:p w14:paraId="144A7AFD">
            <w:pPr>
              <w:tabs>
                <w:tab w:val="left" w:pos="180"/>
                <w:tab w:val="left" w:pos="1620"/>
              </w:tabs>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1462" w:type="dxa"/>
            <w:vAlign w:val="center"/>
          </w:tcPr>
          <w:p w14:paraId="62DF3E1E">
            <w:pPr>
              <w:tabs>
                <w:tab w:val="left" w:pos="180"/>
                <w:tab w:val="left" w:pos="1620"/>
              </w:tabs>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标的的名称</w:t>
            </w:r>
          </w:p>
        </w:tc>
        <w:tc>
          <w:tcPr>
            <w:tcW w:w="1047" w:type="dxa"/>
            <w:gridSpan w:val="3"/>
            <w:vAlign w:val="center"/>
          </w:tcPr>
          <w:p w14:paraId="7325C3E9">
            <w:pPr>
              <w:tabs>
                <w:tab w:val="left" w:pos="180"/>
                <w:tab w:val="left" w:pos="1620"/>
              </w:tabs>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数量及单位</w:t>
            </w:r>
          </w:p>
        </w:tc>
        <w:tc>
          <w:tcPr>
            <w:tcW w:w="6481" w:type="dxa"/>
            <w:vAlign w:val="center"/>
          </w:tcPr>
          <w:p w14:paraId="747FF9AD">
            <w:pPr>
              <w:tabs>
                <w:tab w:val="left" w:pos="180"/>
                <w:tab w:val="left" w:pos="1620"/>
              </w:tabs>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技术要求</w:t>
            </w:r>
          </w:p>
        </w:tc>
      </w:tr>
      <w:tr w14:paraId="562B42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46" w:type="dxa"/>
          <w:trHeight w:val="1266" w:hRule="atLeast"/>
          <w:jc w:val="center"/>
        </w:trPr>
        <w:tc>
          <w:tcPr>
            <w:tcW w:w="752" w:type="dxa"/>
            <w:vAlign w:val="center"/>
          </w:tcPr>
          <w:p w14:paraId="3509B0B9">
            <w:pPr>
              <w:tabs>
                <w:tab w:val="left" w:pos="180"/>
                <w:tab w:val="left" w:pos="1620"/>
              </w:tabs>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1462" w:type="dxa"/>
            <w:vAlign w:val="center"/>
          </w:tcPr>
          <w:p w14:paraId="5B50E92F">
            <w:pPr>
              <w:tabs>
                <w:tab w:val="left" w:pos="180"/>
                <w:tab w:val="left" w:pos="1620"/>
              </w:tabs>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钦州市第十中学学生宿舍改造</w:t>
            </w:r>
          </w:p>
        </w:tc>
        <w:tc>
          <w:tcPr>
            <w:tcW w:w="1047" w:type="dxa"/>
            <w:gridSpan w:val="3"/>
            <w:vAlign w:val="center"/>
          </w:tcPr>
          <w:p w14:paraId="100D1BF7">
            <w:pPr>
              <w:tabs>
                <w:tab w:val="left" w:pos="180"/>
                <w:tab w:val="left" w:pos="1620"/>
              </w:tabs>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1项</w:t>
            </w:r>
          </w:p>
        </w:tc>
        <w:tc>
          <w:tcPr>
            <w:tcW w:w="6481" w:type="dxa"/>
            <w:vAlign w:val="center"/>
          </w:tcPr>
          <w:p w14:paraId="54051221">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一、建设地点：</w:t>
            </w:r>
            <w:r>
              <w:rPr>
                <w:rFonts w:hint="eastAsia"/>
                <w:color w:val="000000" w:themeColor="text1"/>
                <w:highlight w:val="none"/>
                <w14:textFill>
                  <w14:solidFill>
                    <w14:schemeClr w14:val="tx1"/>
                  </w14:solidFill>
                </w14:textFill>
              </w:rPr>
              <w:t>钦州市第十中学</w:t>
            </w:r>
            <w:r>
              <w:rPr>
                <w:rFonts w:hint="eastAsia"/>
                <w:color w:val="000000" w:themeColor="text1"/>
                <w:highlight w:val="none"/>
                <w:lang w:eastAsia="zh-CN"/>
                <w14:textFill>
                  <w14:solidFill>
                    <w14:schemeClr w14:val="tx1"/>
                  </w14:solidFill>
                </w14:textFill>
              </w:rPr>
              <w:t>校园内</w:t>
            </w:r>
            <w:r>
              <w:rPr>
                <w:rFonts w:hint="eastAsia" w:ascii="宋体" w:hAnsi="宋体"/>
                <w:color w:val="000000" w:themeColor="text1"/>
                <w:szCs w:val="21"/>
                <w:highlight w:val="none"/>
                <w14:textFill>
                  <w14:solidFill>
                    <w14:schemeClr w14:val="tx1"/>
                  </w14:solidFill>
                </w14:textFill>
              </w:rPr>
              <w:t>。</w:t>
            </w:r>
          </w:p>
          <w:p w14:paraId="7E4D3808">
            <w:pPr>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二、工程概况：</w:t>
            </w:r>
          </w:p>
          <w:p w14:paraId="08E0E794">
            <w:pPr>
              <w:spacing w:line="360" w:lineRule="auto"/>
              <w:ind w:firstLine="315" w:firstLineChars="15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本项目建设内容为：2栋学生宿舍维修改造，其中1#学生宿舍楼总建筑面积为1371.6平方米，共三层，2#学生宿舍楼总建筑面积为1400.55平方米，共五层。</w:t>
            </w:r>
          </w:p>
          <w:p w14:paraId="2C89A9BF">
            <w:pPr>
              <w:spacing w:line="360" w:lineRule="auto"/>
              <w:ind w:firstLine="315" w:firstLineChars="1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具体内容详见图纸及工程量清单</w:t>
            </w:r>
            <w:r>
              <w:rPr>
                <w:rFonts w:hint="eastAsia" w:ascii="宋体" w:hAnsi="宋体"/>
                <w:color w:val="000000" w:themeColor="text1"/>
                <w:szCs w:val="21"/>
                <w:highlight w:val="none"/>
                <w14:textFill>
                  <w14:solidFill>
                    <w14:schemeClr w14:val="tx1"/>
                  </w14:solidFill>
                </w14:textFill>
              </w:rPr>
              <w:t>。</w:t>
            </w:r>
          </w:p>
          <w:p w14:paraId="5DC6930B">
            <w:pPr>
              <w:spacing w:line="360" w:lineRule="auto"/>
              <w:rPr>
                <w:rFonts w:ascii="宋体" w:hAnsi="宋体"/>
                <w:color w:val="000000" w:themeColor="text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三、工程质量要求：</w:t>
            </w:r>
            <w:r>
              <w:rPr>
                <w:rFonts w:hint="eastAsia" w:ascii="宋体" w:hAnsi="宋体" w:cs="宋体"/>
                <w:color w:val="000000" w:themeColor="text1"/>
                <w:szCs w:val="21"/>
                <w:highlight w:val="none"/>
                <w14:textFill>
                  <w14:solidFill>
                    <w14:schemeClr w14:val="tx1"/>
                  </w14:solidFill>
                </w14:textFill>
              </w:rPr>
              <w:t>达到国家施工验收规范合格标准要求</w:t>
            </w:r>
          </w:p>
          <w:p w14:paraId="03A6B202">
            <w:pPr>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四、具体需求内容详见工程量清单（另册发放）</w:t>
            </w:r>
            <w:bookmarkStart w:id="69" w:name="_Toc333607989"/>
          </w:p>
          <w:p w14:paraId="7B3D25A0">
            <w:pPr>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五、单价说明：</w:t>
            </w:r>
          </w:p>
          <w:p w14:paraId="4C861C6E">
            <w:pPr>
              <w:widowControl/>
              <w:spacing w:line="360" w:lineRule="auto"/>
              <w:jc w:val="left"/>
              <w:rPr>
                <w:color w:val="000000" w:themeColor="text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 xml:space="preserve"> </w:t>
            </w:r>
            <w:bookmarkEnd w:id="69"/>
            <w:r>
              <w:rPr>
                <w:rFonts w:hint="eastAsia"/>
                <w:b w:val="0"/>
                <w:bCs/>
                <w:color w:val="000000" w:themeColor="text1"/>
                <w:szCs w:val="21"/>
                <w:highlight w:val="none"/>
                <w14:textFill>
                  <w14:solidFill>
                    <w14:schemeClr w14:val="tx1"/>
                  </w14:solidFill>
                </w14:textFill>
              </w:rPr>
              <w:t>本工程材料价格按《钦州市建设工程造价信息》2025年7月份（有上、下半月的取下半月）钦州市的材料价格计取，钦州市信息价没有的参考《南宁建设工程造价信息》2025年第7期上半月刊材料价或按市场调查价格</w:t>
            </w:r>
            <w:r>
              <w:rPr>
                <w:rFonts w:hint="eastAsia" w:ascii="宋体" w:hAnsi="宋体" w:cs="宋体"/>
                <w:b w:val="0"/>
                <w:bCs/>
                <w:color w:val="000000" w:themeColor="text1"/>
                <w:kern w:val="0"/>
                <w:szCs w:val="21"/>
                <w:highlight w:val="none"/>
                <w14:textFill>
                  <w14:solidFill>
                    <w14:schemeClr w14:val="tx1"/>
                  </w14:solidFill>
                </w14:textFill>
              </w:rPr>
              <w:t>。</w:t>
            </w:r>
          </w:p>
        </w:tc>
      </w:tr>
      <w:tr w14:paraId="29A57B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6" w:type="dxa"/>
          <w:jc w:val="center"/>
        </w:trPr>
        <w:tc>
          <w:tcPr>
            <w:tcW w:w="9742" w:type="dxa"/>
            <w:gridSpan w:val="6"/>
            <w:tcBorders>
              <w:top w:val="single" w:color="auto" w:sz="4" w:space="0"/>
              <w:left w:val="single" w:color="auto" w:sz="4" w:space="0"/>
              <w:bottom w:val="single" w:color="auto" w:sz="4" w:space="0"/>
              <w:right w:val="single" w:color="auto" w:sz="4" w:space="0"/>
            </w:tcBorders>
          </w:tcPr>
          <w:p w14:paraId="11AE3E61">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一、商务要求</w:t>
            </w:r>
          </w:p>
        </w:tc>
      </w:tr>
      <w:tr w14:paraId="022145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6" w:type="dxa"/>
          <w:jc w:val="center"/>
        </w:trPr>
        <w:tc>
          <w:tcPr>
            <w:tcW w:w="3037" w:type="dxa"/>
            <w:gridSpan w:val="4"/>
            <w:tcBorders>
              <w:top w:val="single" w:color="auto" w:sz="4" w:space="0"/>
              <w:left w:val="single" w:color="auto" w:sz="4" w:space="0"/>
              <w:bottom w:val="single" w:color="auto" w:sz="4" w:space="0"/>
              <w:right w:val="single" w:color="auto" w:sz="4" w:space="0"/>
            </w:tcBorders>
            <w:vAlign w:val="center"/>
          </w:tcPr>
          <w:p w14:paraId="0A3C5BB3">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计划工期</w:t>
            </w:r>
          </w:p>
        </w:tc>
        <w:tc>
          <w:tcPr>
            <w:tcW w:w="6705" w:type="dxa"/>
            <w:gridSpan w:val="2"/>
            <w:tcBorders>
              <w:top w:val="single" w:color="auto" w:sz="4" w:space="0"/>
              <w:left w:val="single" w:color="auto" w:sz="4" w:space="0"/>
              <w:bottom w:val="single" w:color="auto" w:sz="4" w:space="0"/>
              <w:right w:val="single" w:color="auto" w:sz="4" w:space="0"/>
            </w:tcBorders>
            <w:vAlign w:val="center"/>
          </w:tcPr>
          <w:p w14:paraId="0AD6F9E2">
            <w:pPr>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150</w:t>
            </w:r>
            <w:r>
              <w:rPr>
                <w:rFonts w:hint="eastAsia" w:ascii="宋体" w:hAnsi="宋体"/>
                <w:color w:val="000000" w:themeColor="text1"/>
                <w:highlight w:val="none"/>
                <w:lang w:val="zh-CN"/>
                <w14:textFill>
                  <w14:solidFill>
                    <w14:schemeClr w14:val="tx1"/>
                  </w14:solidFill>
                </w14:textFill>
              </w:rPr>
              <w:t>日历天</w:t>
            </w:r>
            <w:r>
              <w:rPr>
                <w:rFonts w:ascii="宋体" w:hAnsi="宋体"/>
                <w:color w:val="000000" w:themeColor="text1"/>
                <w:highlight w:val="none"/>
                <w:lang w:val="zh-CN"/>
                <w14:textFill>
                  <w14:solidFill>
                    <w14:schemeClr w14:val="tx1"/>
                  </w14:solidFill>
                </w14:textFill>
              </w:rPr>
              <w:t>。</w:t>
            </w:r>
          </w:p>
        </w:tc>
      </w:tr>
      <w:tr w14:paraId="590900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6" w:type="dxa"/>
          <w:jc w:val="center"/>
        </w:trPr>
        <w:tc>
          <w:tcPr>
            <w:tcW w:w="3037" w:type="dxa"/>
            <w:gridSpan w:val="4"/>
            <w:tcBorders>
              <w:top w:val="single" w:color="auto" w:sz="4" w:space="0"/>
              <w:left w:val="single" w:color="auto" w:sz="4" w:space="0"/>
              <w:bottom w:val="single" w:color="auto" w:sz="4" w:space="0"/>
              <w:right w:val="single" w:color="auto" w:sz="4" w:space="0"/>
            </w:tcBorders>
            <w:vAlign w:val="center"/>
          </w:tcPr>
          <w:p w14:paraId="7BA5C305">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▲建设地点</w:t>
            </w:r>
          </w:p>
        </w:tc>
        <w:tc>
          <w:tcPr>
            <w:tcW w:w="6705" w:type="dxa"/>
            <w:gridSpan w:val="2"/>
            <w:tcBorders>
              <w:top w:val="single" w:color="auto" w:sz="4" w:space="0"/>
              <w:left w:val="single" w:color="auto" w:sz="4" w:space="0"/>
              <w:bottom w:val="single" w:color="auto" w:sz="4" w:space="0"/>
              <w:right w:val="single" w:color="auto" w:sz="4" w:space="0"/>
            </w:tcBorders>
            <w:vAlign w:val="center"/>
          </w:tcPr>
          <w:p w14:paraId="19F60AAC">
            <w:pPr>
              <w:spacing w:line="360" w:lineRule="auto"/>
              <w:rPr>
                <w:rFonts w:ascii="宋体" w:hAns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钦州市第十中学校园内</w:t>
            </w:r>
            <w:r>
              <w:rPr>
                <w:rFonts w:hint="eastAsia" w:ascii="宋体" w:hAnsi="宋体"/>
                <w:color w:val="000000" w:themeColor="text1"/>
                <w:szCs w:val="21"/>
                <w:highlight w:val="none"/>
                <w14:textFill>
                  <w14:solidFill>
                    <w14:schemeClr w14:val="tx1"/>
                  </w14:solidFill>
                </w14:textFill>
              </w:rPr>
              <w:t>。</w:t>
            </w:r>
          </w:p>
        </w:tc>
      </w:tr>
      <w:tr w14:paraId="2BB72A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6" w:type="dxa"/>
          <w:jc w:val="center"/>
        </w:trPr>
        <w:tc>
          <w:tcPr>
            <w:tcW w:w="3037" w:type="dxa"/>
            <w:gridSpan w:val="4"/>
            <w:tcBorders>
              <w:top w:val="single" w:color="auto" w:sz="4" w:space="0"/>
              <w:left w:val="single" w:color="auto" w:sz="4" w:space="0"/>
              <w:bottom w:val="single" w:color="auto" w:sz="4" w:space="0"/>
              <w:right w:val="single" w:color="auto" w:sz="4" w:space="0"/>
            </w:tcBorders>
            <w:vAlign w:val="center"/>
          </w:tcPr>
          <w:p w14:paraId="2BDA339E">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▲合同签订时间</w:t>
            </w:r>
          </w:p>
        </w:tc>
        <w:tc>
          <w:tcPr>
            <w:tcW w:w="6705" w:type="dxa"/>
            <w:gridSpan w:val="2"/>
            <w:tcBorders>
              <w:top w:val="single" w:color="auto" w:sz="4" w:space="0"/>
              <w:left w:val="single" w:color="auto" w:sz="4" w:space="0"/>
              <w:bottom w:val="single" w:color="auto" w:sz="4" w:space="0"/>
              <w:right w:val="single" w:color="auto" w:sz="4" w:space="0"/>
            </w:tcBorders>
            <w:vAlign w:val="center"/>
          </w:tcPr>
          <w:p w14:paraId="4AA19F9F">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自成交通知书发出之日起</w:t>
            </w:r>
            <w:r>
              <w:rPr>
                <w:rFonts w:hint="eastAsia" w:ascii="宋体" w:hAnsi="宋体"/>
                <w:color w:val="000000" w:themeColor="text1"/>
                <w:szCs w:val="21"/>
                <w:highlight w:val="none"/>
                <w:u w:val="single"/>
                <w14:textFill>
                  <w14:solidFill>
                    <w14:schemeClr w14:val="tx1"/>
                  </w14:solidFill>
                </w14:textFill>
              </w:rPr>
              <w:t xml:space="preserve"> 25 </w:t>
            </w:r>
            <w:r>
              <w:rPr>
                <w:rFonts w:hint="eastAsia" w:ascii="宋体" w:hAnsi="宋体"/>
                <w:color w:val="000000" w:themeColor="text1"/>
                <w:szCs w:val="21"/>
                <w:highlight w:val="none"/>
                <w14:textFill>
                  <w14:solidFill>
                    <w14:schemeClr w14:val="tx1"/>
                  </w14:solidFill>
                </w14:textFill>
              </w:rPr>
              <w:t>日内。</w:t>
            </w:r>
          </w:p>
        </w:tc>
      </w:tr>
      <w:tr w14:paraId="08B6C7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6" w:type="dxa"/>
          <w:jc w:val="center"/>
        </w:trPr>
        <w:tc>
          <w:tcPr>
            <w:tcW w:w="3037" w:type="dxa"/>
            <w:gridSpan w:val="4"/>
            <w:tcBorders>
              <w:top w:val="single" w:color="auto" w:sz="4" w:space="0"/>
              <w:left w:val="single" w:color="auto" w:sz="4" w:space="0"/>
              <w:bottom w:val="single" w:color="auto" w:sz="4" w:space="0"/>
              <w:right w:val="single" w:color="auto" w:sz="4" w:space="0"/>
            </w:tcBorders>
            <w:vAlign w:val="center"/>
          </w:tcPr>
          <w:p w14:paraId="48F59A5E">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▲付款条件（进度和方式）</w:t>
            </w:r>
          </w:p>
        </w:tc>
        <w:tc>
          <w:tcPr>
            <w:tcW w:w="6705" w:type="dxa"/>
            <w:gridSpan w:val="2"/>
            <w:tcBorders>
              <w:top w:val="single" w:color="auto" w:sz="4" w:space="0"/>
              <w:left w:val="single" w:color="auto" w:sz="4" w:space="0"/>
              <w:bottom w:val="single" w:color="auto" w:sz="4" w:space="0"/>
              <w:right w:val="single" w:color="auto" w:sz="4" w:space="0"/>
            </w:tcBorders>
            <w:vAlign w:val="center"/>
          </w:tcPr>
          <w:p w14:paraId="6048C635">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预付款支付比例</w:t>
            </w:r>
            <w:r>
              <w:rPr>
                <w:rFonts w:hint="eastAsia" w:ascii="宋体" w:hAnsi="宋体"/>
                <w:color w:val="000000" w:themeColor="text1"/>
                <w:szCs w:val="21"/>
                <w:highlight w:val="none"/>
                <w:lang w:eastAsia="zh-CN"/>
                <w14:textFill>
                  <w14:solidFill>
                    <w14:schemeClr w14:val="tx1"/>
                  </w14:solidFill>
                </w14:textFill>
              </w:rPr>
              <w:t>：合同总价的</w:t>
            </w:r>
            <w:r>
              <w:rPr>
                <w:rFonts w:hint="eastAsia" w:ascii="宋体" w:hAnsi="宋体"/>
                <w:color w:val="000000" w:themeColor="text1"/>
                <w:szCs w:val="21"/>
                <w:highlight w:val="none"/>
                <w14:textFill>
                  <w14:solidFill>
                    <w14:schemeClr w14:val="tx1"/>
                  </w14:solidFill>
                </w14:textFill>
              </w:rPr>
              <w:t>25%</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预付款支付期限</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合同签订后5个工作日内</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预付款扣回的方式</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合同签订后，在具备施工条件的前提下，按照合同总价的25%预付工程款，工程预付款在第一次</w:t>
            </w:r>
            <w:r>
              <w:rPr>
                <w:rFonts w:hint="eastAsia" w:ascii="宋体" w:hAnsi="宋体"/>
                <w:color w:val="000000" w:themeColor="text1"/>
                <w:szCs w:val="21"/>
                <w:highlight w:val="none"/>
                <w:lang w:eastAsia="zh-CN"/>
                <w14:textFill>
                  <w14:solidFill>
                    <w14:schemeClr w14:val="tx1"/>
                  </w14:solidFill>
                </w14:textFill>
              </w:rPr>
              <w:t>申请</w:t>
            </w:r>
            <w:r>
              <w:rPr>
                <w:rFonts w:hint="eastAsia" w:ascii="宋体" w:hAnsi="宋体"/>
                <w:color w:val="000000" w:themeColor="text1"/>
                <w:szCs w:val="21"/>
                <w:highlight w:val="none"/>
                <w14:textFill>
                  <w14:solidFill>
                    <w14:schemeClr w14:val="tx1"/>
                  </w14:solidFill>
                </w14:textFill>
              </w:rPr>
              <w:t>进度款时回扣。工程进度款按月支付，合同内进度款支付限额为已完成工程量的80%，工程完工验收达到质量要求，工程进度款支付至合同价的 80%，结算经有关部门审定后，工程款支付至结算总价的97%；</w:t>
            </w:r>
            <w:r>
              <w:rPr>
                <w:rFonts w:hint="eastAsia" w:ascii="宋体" w:hAnsi="宋体"/>
                <w:color w:val="000000" w:themeColor="text1"/>
                <w:szCs w:val="21"/>
                <w:highlight w:val="none"/>
                <w:lang w:eastAsia="zh-CN"/>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按工程价款结算总额的3% 预留工程质量保修金，待工程缺陷责任期满并且</w:t>
            </w:r>
            <w:r>
              <w:rPr>
                <w:rFonts w:hint="eastAsia" w:ascii="宋体" w:hAnsi="宋体"/>
                <w:color w:val="000000" w:themeColor="text1"/>
                <w:szCs w:val="21"/>
                <w:highlight w:val="none"/>
                <w:lang w:eastAsia="zh-CN"/>
                <w14:textFill>
                  <w14:solidFill>
                    <w14:schemeClr w14:val="tx1"/>
                  </w14:solidFill>
                </w14:textFill>
              </w:rPr>
              <w:t>成交供应商</w:t>
            </w:r>
            <w:r>
              <w:rPr>
                <w:rFonts w:hint="eastAsia" w:ascii="宋体" w:hAnsi="宋体"/>
                <w:color w:val="000000" w:themeColor="text1"/>
                <w:szCs w:val="21"/>
                <w:highlight w:val="none"/>
                <w14:textFill>
                  <w14:solidFill>
                    <w14:schemeClr w14:val="tx1"/>
                  </w14:solidFill>
                </w14:textFill>
              </w:rPr>
              <w:t>完成缺陷修复后十个工作日内返还（无息）。</w:t>
            </w:r>
            <w:r>
              <w:rPr>
                <w:rFonts w:hint="eastAsia" w:ascii="宋体" w:hAnsi="宋体"/>
                <w:color w:val="000000" w:themeColor="text1"/>
                <w:szCs w:val="21"/>
                <w:highlight w:val="none"/>
                <w:lang w:val="en-US" w:eastAsia="zh-CN"/>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每次付款前，</w:t>
            </w:r>
            <w:r>
              <w:rPr>
                <w:rFonts w:hint="eastAsia" w:ascii="宋体" w:hAnsi="宋体"/>
                <w:color w:val="000000" w:themeColor="text1"/>
                <w:szCs w:val="21"/>
                <w:highlight w:val="none"/>
                <w:lang w:val="en-US" w:eastAsia="zh-CN"/>
                <w14:textFill>
                  <w14:solidFill>
                    <w14:schemeClr w14:val="tx1"/>
                  </w14:solidFill>
                </w14:textFill>
              </w:rPr>
              <w:t>成交供应商</w:t>
            </w:r>
            <w:r>
              <w:rPr>
                <w:rFonts w:hint="eastAsia" w:ascii="宋体" w:hAnsi="宋体"/>
                <w:color w:val="000000" w:themeColor="text1"/>
                <w:szCs w:val="21"/>
                <w:highlight w:val="none"/>
                <w14:textFill>
                  <w14:solidFill>
                    <w14:schemeClr w14:val="tx1"/>
                  </w14:solidFill>
                </w14:textFill>
              </w:rPr>
              <w:t>应向</w:t>
            </w:r>
            <w:r>
              <w:rPr>
                <w:rFonts w:hint="eastAsia" w:ascii="宋体" w:hAnsi="宋体"/>
                <w:color w:val="000000" w:themeColor="text1"/>
                <w:szCs w:val="21"/>
                <w:highlight w:val="none"/>
                <w:lang w:val="en-US" w:eastAsia="zh-CN"/>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开具同等金额的增值税专用发票，否则，</w:t>
            </w:r>
            <w:r>
              <w:rPr>
                <w:rFonts w:hint="eastAsia" w:ascii="宋体" w:hAnsi="宋体"/>
                <w:color w:val="000000" w:themeColor="text1"/>
                <w:szCs w:val="21"/>
                <w:highlight w:val="none"/>
                <w:lang w:val="en-US" w:eastAsia="zh-CN"/>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有权顺延付款。</w:t>
            </w:r>
            <w:r>
              <w:rPr>
                <w:rFonts w:hint="eastAsia" w:ascii="宋体" w:hAnsi="宋体"/>
                <w:color w:val="000000" w:themeColor="text1"/>
                <w:szCs w:val="21"/>
                <w:highlight w:val="none"/>
                <w:lang w:val="en-US" w:eastAsia="zh-CN"/>
                <w14:textFill>
                  <w14:solidFill>
                    <w14:schemeClr w14:val="tx1"/>
                  </w14:solidFill>
                </w14:textFill>
              </w:rPr>
              <w:t>成交供应商</w:t>
            </w:r>
            <w:r>
              <w:rPr>
                <w:rFonts w:hint="eastAsia" w:ascii="宋体" w:hAnsi="宋体"/>
                <w:color w:val="000000" w:themeColor="text1"/>
                <w:szCs w:val="21"/>
                <w:highlight w:val="none"/>
                <w14:textFill>
                  <w14:solidFill>
                    <w14:schemeClr w14:val="tx1"/>
                  </w14:solidFill>
                </w14:textFill>
              </w:rPr>
              <w:t>知晓</w:t>
            </w:r>
            <w:r>
              <w:rPr>
                <w:rFonts w:hint="eastAsia" w:ascii="宋体" w:hAnsi="宋体"/>
                <w:color w:val="000000" w:themeColor="text1"/>
                <w:szCs w:val="21"/>
                <w:highlight w:val="none"/>
                <w:lang w:val="en-US" w:eastAsia="zh-CN"/>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的费用来源于财政拨付及支付项目款项流程，如因财政拨付的原因导致延迟支付，</w:t>
            </w:r>
            <w:r>
              <w:rPr>
                <w:rFonts w:hint="eastAsia" w:ascii="宋体" w:hAnsi="宋体"/>
                <w:color w:val="000000" w:themeColor="text1"/>
                <w:szCs w:val="21"/>
                <w:highlight w:val="none"/>
                <w:lang w:val="en-US" w:eastAsia="zh-CN"/>
                <w14:textFill>
                  <w14:solidFill>
                    <w14:schemeClr w14:val="tx1"/>
                  </w14:solidFill>
                </w14:textFill>
              </w:rPr>
              <w:t>成交供应商</w:t>
            </w:r>
            <w:r>
              <w:rPr>
                <w:rFonts w:hint="eastAsia" w:ascii="宋体" w:hAnsi="宋体"/>
                <w:color w:val="000000" w:themeColor="text1"/>
                <w:szCs w:val="21"/>
                <w:highlight w:val="none"/>
                <w14:textFill>
                  <w14:solidFill>
                    <w14:schemeClr w14:val="tx1"/>
                  </w14:solidFill>
                </w14:textFill>
              </w:rPr>
              <w:t>承诺不因进度款延迟支付而停工，承诺放弃向</w:t>
            </w:r>
            <w:r>
              <w:rPr>
                <w:rFonts w:hint="eastAsia" w:ascii="宋体" w:hAnsi="宋体"/>
                <w:color w:val="000000" w:themeColor="text1"/>
                <w:szCs w:val="21"/>
                <w:highlight w:val="none"/>
                <w:lang w:val="en-US" w:eastAsia="zh-CN"/>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主张违约金或赔偿款之请求。</w:t>
            </w:r>
          </w:p>
        </w:tc>
      </w:tr>
      <w:tr w14:paraId="5685CF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6" w:type="dxa"/>
          <w:jc w:val="center"/>
        </w:trPr>
        <w:tc>
          <w:tcPr>
            <w:tcW w:w="3037" w:type="dxa"/>
            <w:gridSpan w:val="4"/>
            <w:tcBorders>
              <w:top w:val="single" w:color="auto" w:sz="4" w:space="0"/>
              <w:left w:val="single" w:color="auto" w:sz="4" w:space="0"/>
              <w:bottom w:val="single" w:color="auto" w:sz="4" w:space="0"/>
              <w:right w:val="single" w:color="auto" w:sz="4" w:space="0"/>
            </w:tcBorders>
            <w:vAlign w:val="center"/>
          </w:tcPr>
          <w:p w14:paraId="389CBEEF">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▲验收标准</w:t>
            </w:r>
          </w:p>
        </w:tc>
        <w:tc>
          <w:tcPr>
            <w:tcW w:w="6705" w:type="dxa"/>
            <w:gridSpan w:val="2"/>
            <w:tcBorders>
              <w:top w:val="single" w:color="auto" w:sz="4" w:space="0"/>
              <w:left w:val="single" w:color="auto" w:sz="4" w:space="0"/>
              <w:bottom w:val="single" w:color="auto" w:sz="4" w:space="0"/>
              <w:right w:val="single" w:color="auto" w:sz="4" w:space="0"/>
            </w:tcBorders>
            <w:vAlign w:val="center"/>
          </w:tcPr>
          <w:p w14:paraId="5EEF7989">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符合现行国家相关标准、行业标准、地方标准或者其他标准、规范。</w:t>
            </w:r>
          </w:p>
        </w:tc>
      </w:tr>
      <w:tr w14:paraId="257142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6" w:type="dxa"/>
          <w:jc w:val="center"/>
        </w:trPr>
        <w:tc>
          <w:tcPr>
            <w:tcW w:w="9742" w:type="dxa"/>
            <w:gridSpan w:val="6"/>
            <w:tcBorders>
              <w:top w:val="single" w:color="auto" w:sz="4" w:space="0"/>
              <w:left w:val="single" w:color="auto" w:sz="4" w:space="0"/>
              <w:bottom w:val="single" w:color="auto" w:sz="4" w:space="0"/>
              <w:right w:val="single" w:color="auto" w:sz="4" w:space="0"/>
            </w:tcBorders>
            <w:vAlign w:val="center"/>
          </w:tcPr>
          <w:p w14:paraId="5D0E23B1">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二、与实现项目目标相关的其他要求</w:t>
            </w:r>
          </w:p>
        </w:tc>
      </w:tr>
      <w:tr w14:paraId="59E332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86" w:type="dxa"/>
            <w:gridSpan w:val="3"/>
            <w:tcBorders>
              <w:top w:val="single" w:color="auto" w:sz="4" w:space="0"/>
              <w:left w:val="single" w:color="auto" w:sz="4" w:space="0"/>
              <w:bottom w:val="single" w:color="auto" w:sz="4" w:space="0"/>
              <w:right w:val="single" w:color="auto" w:sz="4" w:space="0"/>
            </w:tcBorders>
            <w:vAlign w:val="center"/>
          </w:tcPr>
          <w:p w14:paraId="2413F8AA">
            <w:pPr>
              <w:snapToGrid w:val="0"/>
              <w:spacing w:line="360" w:lineRule="auto"/>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业绩要求</w:t>
            </w:r>
          </w:p>
        </w:tc>
        <w:tc>
          <w:tcPr>
            <w:tcW w:w="7502" w:type="dxa"/>
            <w:gridSpan w:val="4"/>
            <w:tcBorders>
              <w:top w:val="single" w:color="auto" w:sz="4" w:space="0"/>
              <w:left w:val="single" w:color="auto" w:sz="4" w:space="0"/>
              <w:bottom w:val="single" w:color="auto" w:sz="4" w:space="0"/>
              <w:right w:val="single" w:color="auto" w:sz="4" w:space="0"/>
            </w:tcBorders>
            <w:vAlign w:val="center"/>
          </w:tcPr>
          <w:p w14:paraId="203FCF9E">
            <w:pPr>
              <w:spacing w:line="360" w:lineRule="auto"/>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2022年1月1日以来至响应文件递交截止日期止供应商提供同类工程施工项目业绩，符合第四章“评审标准”的可予以加分。</w:t>
            </w:r>
          </w:p>
        </w:tc>
      </w:tr>
      <w:tr w14:paraId="40759F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86" w:type="dxa"/>
            <w:gridSpan w:val="3"/>
            <w:tcBorders>
              <w:top w:val="single" w:color="auto" w:sz="4" w:space="0"/>
              <w:left w:val="single" w:color="auto" w:sz="4" w:space="0"/>
              <w:bottom w:val="single" w:color="auto" w:sz="4" w:space="0"/>
              <w:right w:val="single" w:color="auto" w:sz="4" w:space="0"/>
            </w:tcBorders>
            <w:vAlign w:val="center"/>
          </w:tcPr>
          <w:p w14:paraId="08D2C64B">
            <w:pPr>
              <w:snapToGrid w:val="0"/>
              <w:spacing w:line="360" w:lineRule="auto"/>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人员要求</w:t>
            </w:r>
          </w:p>
        </w:tc>
        <w:tc>
          <w:tcPr>
            <w:tcW w:w="7502" w:type="dxa"/>
            <w:gridSpan w:val="4"/>
            <w:tcBorders>
              <w:top w:val="single" w:color="auto" w:sz="4" w:space="0"/>
              <w:left w:val="single" w:color="auto" w:sz="4" w:space="0"/>
              <w:bottom w:val="single" w:color="auto" w:sz="4" w:space="0"/>
              <w:right w:val="single" w:color="auto" w:sz="4" w:space="0"/>
            </w:tcBorders>
            <w:vAlign w:val="center"/>
          </w:tcPr>
          <w:p w14:paraId="7FBB137C">
            <w:pPr>
              <w:spacing w:line="360" w:lineRule="auto"/>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拟投入本项目的人员应配置合理。</w:t>
            </w:r>
          </w:p>
        </w:tc>
      </w:tr>
      <w:tr w14:paraId="6C87CE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86" w:type="dxa"/>
            <w:gridSpan w:val="3"/>
            <w:tcBorders>
              <w:top w:val="single" w:color="auto" w:sz="4" w:space="0"/>
              <w:left w:val="single" w:color="auto" w:sz="4" w:space="0"/>
              <w:bottom w:val="single" w:color="auto" w:sz="4" w:space="0"/>
              <w:right w:val="single" w:color="auto" w:sz="4" w:space="0"/>
            </w:tcBorders>
            <w:vAlign w:val="center"/>
          </w:tcPr>
          <w:p w14:paraId="0130A255">
            <w:pPr>
              <w:wordWrap w:val="0"/>
              <w:spacing w:line="360" w:lineRule="auto"/>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其它</w:t>
            </w:r>
          </w:p>
        </w:tc>
        <w:tc>
          <w:tcPr>
            <w:tcW w:w="7502" w:type="dxa"/>
            <w:gridSpan w:val="4"/>
            <w:tcBorders>
              <w:top w:val="single" w:color="auto" w:sz="4" w:space="0"/>
              <w:left w:val="single" w:color="auto" w:sz="4" w:space="0"/>
              <w:bottom w:val="single" w:color="auto" w:sz="4" w:space="0"/>
              <w:right w:val="single" w:color="auto" w:sz="4" w:space="0"/>
            </w:tcBorders>
            <w:vAlign w:val="center"/>
          </w:tcPr>
          <w:p w14:paraId="7396C5D6">
            <w:pPr>
              <w:spacing w:line="360" w:lineRule="auto"/>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1.采购需求中，</w:t>
            </w:r>
            <w:r>
              <w:rPr>
                <w:rFonts w:hint="eastAsia" w:ascii="宋体" w:hAnsi="宋体" w:cs="宋体"/>
                <w:b/>
                <w:bCs/>
                <w:color w:val="000000" w:themeColor="text1"/>
                <w:szCs w:val="21"/>
                <w:highlight w:val="none"/>
                <w14:textFill>
                  <w14:solidFill>
                    <w14:schemeClr w14:val="tx1"/>
                  </w14:solidFill>
                </w14:textFill>
              </w:rPr>
              <w:t>技术要求允许负偏离的条款数为</w:t>
            </w:r>
            <w:r>
              <w:rPr>
                <w:rFonts w:hint="eastAsia" w:ascii="宋体" w:hAnsi="宋体" w:cs="宋体"/>
                <w:b/>
                <w:bCs/>
                <w:color w:val="000000" w:themeColor="text1"/>
                <w:szCs w:val="21"/>
                <w:highlight w:val="none"/>
                <w:u w:val="single"/>
                <w14:textFill>
                  <w14:solidFill>
                    <w14:schemeClr w14:val="tx1"/>
                  </w14:solidFill>
                </w14:textFill>
              </w:rPr>
              <w:t>0</w:t>
            </w:r>
            <w:r>
              <w:rPr>
                <w:rFonts w:hint="eastAsia" w:ascii="宋体" w:hAnsi="宋体" w:cs="宋体"/>
                <w:b/>
                <w:bCs/>
                <w:color w:val="000000" w:themeColor="text1"/>
                <w:szCs w:val="21"/>
                <w:highlight w:val="none"/>
                <w14:textFill>
                  <w14:solidFill>
                    <w14:schemeClr w14:val="tx1"/>
                  </w14:solidFill>
                </w14:textFill>
              </w:rPr>
              <w:t>项，商务要求允许负偏离的条款数为</w:t>
            </w:r>
            <w:r>
              <w:rPr>
                <w:rFonts w:hint="eastAsia" w:ascii="宋体" w:hAnsi="宋体" w:cs="宋体"/>
                <w:b/>
                <w:bCs/>
                <w:color w:val="000000" w:themeColor="text1"/>
                <w:szCs w:val="21"/>
                <w:highlight w:val="none"/>
                <w:u w:val="single"/>
                <w14:textFill>
                  <w14:solidFill>
                    <w14:schemeClr w14:val="tx1"/>
                  </w14:solidFill>
                </w14:textFill>
              </w:rPr>
              <w:t>0</w:t>
            </w:r>
            <w:r>
              <w:rPr>
                <w:rFonts w:hint="eastAsia" w:ascii="宋体" w:hAnsi="宋体" w:cs="宋体"/>
                <w:b/>
                <w:bCs/>
                <w:color w:val="000000" w:themeColor="text1"/>
                <w:szCs w:val="21"/>
                <w:highlight w:val="none"/>
                <w14:textFill>
                  <w14:solidFill>
                    <w14:schemeClr w14:val="tx1"/>
                  </w14:solidFill>
                </w14:textFill>
              </w:rPr>
              <w:t>项，必须满足或优于，否则响应文件按无效处理。</w:t>
            </w:r>
          </w:p>
          <w:p w14:paraId="610F27B4">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2.供应商</w:t>
            </w:r>
            <w:r>
              <w:rPr>
                <w:rFonts w:hint="eastAsia" w:ascii="宋体" w:hAnsi="宋体" w:cs="宋体"/>
                <w:color w:val="000000" w:themeColor="text1"/>
                <w:szCs w:val="21"/>
                <w:highlight w:val="none"/>
                <w14:textFill>
                  <w14:solidFill>
                    <w14:schemeClr w14:val="tx1"/>
                  </w14:solidFill>
                </w14:textFill>
              </w:rPr>
              <w:t>在竞标活动中如提供任何虚假材料，</w:t>
            </w:r>
            <w:r>
              <w:rPr>
                <w:rFonts w:hint="eastAsia" w:ascii="宋体" w:hAnsi="宋体" w:cs="宋体"/>
                <w:b/>
                <w:color w:val="000000" w:themeColor="text1"/>
                <w:szCs w:val="21"/>
                <w:highlight w:val="none"/>
                <w14:textFill>
                  <w14:solidFill>
                    <w14:schemeClr w14:val="tx1"/>
                  </w14:solidFill>
                </w14:textFill>
              </w:rPr>
              <w:t>其响应文件按无效处理，</w:t>
            </w:r>
            <w:r>
              <w:rPr>
                <w:rFonts w:hint="eastAsia" w:ascii="宋体" w:hAnsi="宋体" w:cs="宋体"/>
                <w:color w:val="000000" w:themeColor="text1"/>
                <w:szCs w:val="21"/>
                <w:highlight w:val="none"/>
                <w14:textFill>
                  <w14:solidFill>
                    <w14:schemeClr w14:val="tx1"/>
                  </w14:solidFill>
                </w14:textFill>
              </w:rPr>
              <w:t>并报监管部门查处。</w:t>
            </w:r>
          </w:p>
          <w:p w14:paraId="5628055A">
            <w:pPr>
              <w:wordWrap w:val="0"/>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3.供应商应在响应文件中提供施工组织设计方案</w:t>
            </w:r>
            <w:r>
              <w:rPr>
                <w:rFonts w:hint="eastAsia" w:ascii="宋体" w:hAnsi="宋体"/>
                <w:bCs/>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并就本项目投入具有相关能力的人员。</w:t>
            </w:r>
          </w:p>
        </w:tc>
      </w:tr>
    </w:tbl>
    <w:p w14:paraId="08A235F0">
      <w:pPr>
        <w:spacing w:line="360" w:lineRule="auto"/>
        <w:jc w:val="left"/>
        <w:rPr>
          <w:rFonts w:ascii="宋体" w:hAnsi="宋体" w:cs="Arial"/>
          <w:bCs/>
          <w:color w:val="000000" w:themeColor="text1"/>
          <w:szCs w:val="21"/>
          <w:highlight w:val="none"/>
          <w:u w:val="single"/>
          <w14:textFill>
            <w14:solidFill>
              <w14:schemeClr w14:val="tx1"/>
            </w14:solidFill>
          </w14:textFill>
        </w:rPr>
      </w:pPr>
    </w:p>
    <w:p w14:paraId="7D556F21">
      <w:pPr>
        <w:spacing w:line="360" w:lineRule="auto"/>
        <w:jc w:val="left"/>
        <w:rPr>
          <w:rFonts w:ascii="宋体" w:hAnsi="宋体" w:cs="Arial"/>
          <w:bCs/>
          <w:color w:val="000000" w:themeColor="text1"/>
          <w:szCs w:val="21"/>
          <w:highlight w:val="none"/>
          <w:u w:val="single"/>
          <w14:textFill>
            <w14:solidFill>
              <w14:schemeClr w14:val="tx1"/>
            </w14:solidFill>
          </w14:textFill>
        </w:rPr>
      </w:pPr>
    </w:p>
    <w:p w14:paraId="4F85FF57">
      <w:pPr>
        <w:spacing w:line="360" w:lineRule="auto"/>
        <w:jc w:val="left"/>
        <w:rPr>
          <w:rFonts w:ascii="宋体" w:hAnsi="宋体" w:cs="Arial"/>
          <w:bCs/>
          <w:color w:val="000000" w:themeColor="text1"/>
          <w:szCs w:val="21"/>
          <w:highlight w:val="none"/>
          <w:u w:val="single"/>
          <w14:textFill>
            <w14:solidFill>
              <w14:schemeClr w14:val="tx1"/>
            </w14:solidFill>
          </w14:textFill>
        </w:rPr>
      </w:pPr>
    </w:p>
    <w:p w14:paraId="7575573F">
      <w:pPr>
        <w:tabs>
          <w:tab w:val="left" w:pos="180"/>
          <w:tab w:val="left" w:pos="1620"/>
        </w:tabs>
        <w:spacing w:line="360" w:lineRule="auto"/>
        <w:ind w:firstLine="422" w:firstLineChars="200"/>
        <w:rPr>
          <w:rFonts w:ascii="宋体" w:hAnsi="宋体" w:cs="宋体"/>
          <w:b/>
          <w:bCs/>
          <w:color w:val="000000" w:themeColor="text1"/>
          <w:szCs w:val="21"/>
          <w:highlight w:val="none"/>
          <w14:textFill>
            <w14:solidFill>
              <w14:schemeClr w14:val="tx1"/>
            </w14:solidFill>
          </w14:textFill>
        </w:rPr>
      </w:pPr>
    </w:p>
    <w:p w14:paraId="482FFF1B">
      <w:pPr>
        <w:tabs>
          <w:tab w:val="left" w:pos="180"/>
          <w:tab w:val="left" w:pos="1620"/>
        </w:tabs>
        <w:spacing w:line="360" w:lineRule="auto"/>
        <w:ind w:firstLine="422" w:firstLineChars="200"/>
        <w:rPr>
          <w:rFonts w:ascii="宋体" w:hAnsi="宋体" w:cs="宋体"/>
          <w:b/>
          <w:bCs/>
          <w:color w:val="000000" w:themeColor="text1"/>
          <w:szCs w:val="21"/>
          <w:highlight w:val="none"/>
          <w14:textFill>
            <w14:solidFill>
              <w14:schemeClr w14:val="tx1"/>
            </w14:solidFill>
          </w14:textFill>
        </w:rPr>
      </w:pPr>
    </w:p>
    <w:p w14:paraId="2F856D8E">
      <w:pPr>
        <w:tabs>
          <w:tab w:val="left" w:pos="180"/>
          <w:tab w:val="left" w:pos="1620"/>
        </w:tabs>
        <w:spacing w:line="360" w:lineRule="auto"/>
        <w:ind w:firstLine="422" w:firstLineChars="200"/>
        <w:rPr>
          <w:rFonts w:ascii="宋体" w:hAnsi="宋体" w:cs="宋体"/>
          <w:b/>
          <w:bCs/>
          <w:color w:val="000000" w:themeColor="text1"/>
          <w:szCs w:val="21"/>
          <w:highlight w:val="none"/>
          <w14:textFill>
            <w14:solidFill>
              <w14:schemeClr w14:val="tx1"/>
            </w14:solidFill>
          </w14:textFill>
        </w:rPr>
      </w:pPr>
    </w:p>
    <w:p w14:paraId="0DB0279D">
      <w:pPr>
        <w:pStyle w:val="2"/>
        <w:spacing w:before="0" w:after="0" w:line="360" w:lineRule="auto"/>
        <w:jc w:val="center"/>
        <w:rPr>
          <w:color w:val="000000" w:themeColor="text1"/>
          <w:highlight w:val="none"/>
          <w14:textFill>
            <w14:solidFill>
              <w14:schemeClr w14:val="tx1"/>
            </w14:solidFill>
          </w14:textFill>
        </w:rPr>
      </w:pPr>
      <w:r>
        <w:rPr>
          <w:rFonts w:ascii="宋体" w:hAnsi="宋体" w:cs="宋体"/>
          <w:color w:val="000000" w:themeColor="text1"/>
          <w:sz w:val="20"/>
          <w:szCs w:val="20"/>
          <w:highlight w:val="none"/>
          <w14:textFill>
            <w14:solidFill>
              <w14:schemeClr w14:val="tx1"/>
            </w14:solidFill>
          </w14:textFill>
        </w:rPr>
        <w:br w:type="page"/>
      </w:r>
      <w:bookmarkStart w:id="70" w:name="_Toc122424247"/>
      <w:r>
        <w:rPr>
          <w:rFonts w:hint="eastAsia"/>
          <w:color w:val="000000" w:themeColor="text1"/>
          <w:highlight w:val="none"/>
          <w14:textFill>
            <w14:solidFill>
              <w14:schemeClr w14:val="tx1"/>
            </w14:solidFill>
          </w14:textFill>
        </w:rPr>
        <w:t>第四章  评审程序、评审方法和评审标准</w:t>
      </w:r>
      <w:bookmarkEnd w:id="70"/>
    </w:p>
    <w:p w14:paraId="417BB826">
      <w:pPr>
        <w:spacing w:line="360" w:lineRule="auto"/>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一、评审程序和评审方法</w:t>
      </w:r>
    </w:p>
    <w:p w14:paraId="1611D685">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1</w:t>
      </w:r>
      <w:r>
        <w:rPr>
          <w:rFonts w:hint="eastAsia" w:ascii="黑体" w:hAnsi="黑体" w:eastAsia="黑体" w:cs="宋体"/>
          <w:b/>
          <w:bCs/>
          <w:color w:val="000000" w:themeColor="text1"/>
          <w:sz w:val="24"/>
          <w:highlight w:val="none"/>
          <w14:textFill>
            <w14:solidFill>
              <w14:schemeClr w14:val="tx1"/>
            </w14:solidFill>
          </w14:textFill>
        </w:rPr>
        <w:t>.资格审查</w:t>
      </w:r>
    </w:p>
    <w:p w14:paraId="203FE76A">
      <w:pPr>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响应文件开启后，磋商小组依法对供应商的资格证明文件进行审查。</w:t>
      </w:r>
    </w:p>
    <w:p w14:paraId="7AB79CFD">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w:t>
      </w:r>
      <w:r>
        <w:rPr>
          <w:rFonts w:hint="eastAsia"/>
          <w:color w:val="000000" w:themeColor="text1"/>
          <w:highlight w:val="none"/>
          <w14:textFill>
            <w14:solidFill>
              <w14:schemeClr w14:val="tx1"/>
            </w14:solidFill>
          </w14:textFill>
        </w:rPr>
        <w:t>磋商小组</w:t>
      </w:r>
      <w:r>
        <w:rPr>
          <w:rFonts w:hint="eastAsia" w:ascii="宋体" w:hAnsi="宋体" w:cs="宋体"/>
          <w:color w:val="000000" w:themeColor="text1"/>
          <w:szCs w:val="21"/>
          <w:highlight w:val="none"/>
          <w14:textFill>
            <w14:solidFill>
              <w14:schemeClr w14:val="tx1"/>
            </w14:solidFill>
          </w14:textFill>
        </w:rPr>
        <w:t>在资格审查结束前，对供应商进行信用查询。</w:t>
      </w:r>
    </w:p>
    <w:p w14:paraId="589FC417">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（1）查询渠道：广西政府采购云平台“信用中国”网站（www.creditchina.gov.cn）、中国政府采购网（www.ccgp.gov.cn）链接入口。</w:t>
      </w:r>
    </w:p>
    <w:p w14:paraId="7DCF5074">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（2）信用查询截止时点：资格审查结束前。</w:t>
      </w:r>
    </w:p>
    <w:p w14:paraId="235B97CD">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（3）查询记录和证据留存方式：在查询网站中直接查询，截图另存为电子文档作为评审资料保存。</w:t>
      </w:r>
    </w:p>
    <w:p w14:paraId="1CDD53DC">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w:t>
      </w:r>
      <w:r>
        <w:rPr>
          <w:rFonts w:hint="eastAsia" w:ascii="宋体" w:hAnsi="宋体"/>
          <w:color w:val="000000" w:themeColor="text1"/>
          <w:szCs w:val="21"/>
          <w:highlight w:val="none"/>
          <w14:textFill>
            <w14:solidFill>
              <w14:schemeClr w14:val="tx1"/>
            </w14:solidFill>
          </w14:textFill>
        </w:rPr>
        <w:t>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r>
        <w:rPr>
          <w:rFonts w:hint="eastAsia" w:ascii="宋体" w:hAnsi="宋体" w:cs="宋体"/>
          <w:color w:val="000000" w:themeColor="text1"/>
          <w:szCs w:val="21"/>
          <w:highlight w:val="none"/>
          <w14:textFill>
            <w14:solidFill>
              <w14:schemeClr w14:val="tx1"/>
            </w14:solidFill>
          </w14:textFill>
        </w:rPr>
        <w:t>。</w:t>
      </w:r>
    </w:p>
    <w:p w14:paraId="35F9011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.2资格审查标准为本磋商文件中载明对供应商资格要求的条件。资格审查采用合格制，凡符合磋商文件规定的供应商资格要求的响应文件均通过资格审查。</w:t>
      </w:r>
    </w:p>
    <w:p w14:paraId="7A5481C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.3供应商有下列情形之一的，资格审查不通过，其响应文件按无效处理：</w:t>
      </w:r>
    </w:p>
    <w:p w14:paraId="49C42079">
      <w:pPr>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）不具备磋商文件中规定的资格要求的</w:t>
      </w:r>
      <w:r>
        <w:rPr>
          <w:rFonts w:hint="eastAsia" w:ascii="宋体" w:hAnsi="宋体" w:cs="宋体"/>
          <w:color w:val="000000" w:themeColor="text1"/>
          <w:szCs w:val="21"/>
          <w:highlight w:val="none"/>
          <w:lang w:eastAsia="zh-CN"/>
          <w14:textFill>
            <w14:solidFill>
              <w14:schemeClr w14:val="tx1"/>
            </w14:solidFill>
          </w14:textFill>
        </w:rPr>
        <w:t>；</w:t>
      </w:r>
    </w:p>
    <w:p w14:paraId="1128ABA5">
      <w:pPr>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（2）未按磋商文件规定的方式获取本磋商文件的供应商</w:t>
      </w:r>
      <w:r>
        <w:rPr>
          <w:rFonts w:hint="eastAsia" w:ascii="宋体" w:hAnsi="宋体" w:cs="宋体"/>
          <w:color w:val="000000" w:themeColor="text1"/>
          <w:szCs w:val="21"/>
          <w:highlight w:val="none"/>
          <w:lang w:eastAsia="zh-CN"/>
          <w14:textFill>
            <w14:solidFill>
              <w14:schemeClr w14:val="tx1"/>
            </w14:solidFill>
          </w14:textFill>
        </w:rPr>
        <w:t>；</w:t>
      </w:r>
    </w:p>
    <w:p w14:paraId="7F512602">
      <w:pPr>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）响应文件的资格证明文件缺少任一项“供应商须知前附表”资格证明文件规定的“必须提供”的文件资料的</w:t>
      </w:r>
      <w:r>
        <w:rPr>
          <w:rFonts w:hint="eastAsia" w:ascii="宋体" w:hAnsi="宋体" w:cs="宋体"/>
          <w:color w:val="000000" w:themeColor="text1"/>
          <w:szCs w:val="21"/>
          <w:highlight w:val="none"/>
          <w:lang w:eastAsia="zh-CN"/>
          <w14:textFill>
            <w14:solidFill>
              <w14:schemeClr w14:val="tx1"/>
            </w14:solidFill>
          </w14:textFill>
        </w:rPr>
        <w:t>；</w:t>
      </w:r>
    </w:p>
    <w:p w14:paraId="0408A8D1">
      <w:pPr>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）响应文件中的资格证明文件出现任一项不符合“供应商须知前附表”资格证明文件规定的“必须提供”的文件资料要求或者无效的</w:t>
      </w:r>
      <w:r>
        <w:rPr>
          <w:rFonts w:hint="eastAsia" w:ascii="宋体" w:hAnsi="宋体" w:cs="宋体"/>
          <w:color w:val="000000" w:themeColor="text1"/>
          <w:szCs w:val="21"/>
          <w:highlight w:val="none"/>
          <w:lang w:eastAsia="zh-CN"/>
          <w14:textFill>
            <w14:solidFill>
              <w14:schemeClr w14:val="tx1"/>
            </w14:solidFill>
          </w14:textFill>
        </w:rPr>
        <w:t>；</w:t>
      </w:r>
    </w:p>
    <w:p w14:paraId="65A7FD5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）有第二章“供应商须知”第3.2项规定的任何一种情形的。</w:t>
      </w:r>
    </w:p>
    <w:p w14:paraId="6421AABE">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.4通过资格审查的合格供应商不足3家的，不得进入符合性审查环节，</w:t>
      </w:r>
      <w:r>
        <w:rPr>
          <w:rFonts w:hint="eastAsia" w:ascii="宋体" w:hAnsi="宋体"/>
          <w:color w:val="000000" w:themeColor="text1"/>
          <w:szCs w:val="21"/>
          <w:highlight w:val="none"/>
          <w14:textFill>
            <w14:solidFill>
              <w14:schemeClr w14:val="tx1"/>
            </w14:solidFill>
          </w14:textFill>
        </w:rPr>
        <w:t>应当重新开展采购活动。</w:t>
      </w:r>
    </w:p>
    <w:p w14:paraId="0705EDFD">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2</w:t>
      </w:r>
      <w:r>
        <w:rPr>
          <w:rFonts w:hint="eastAsia" w:ascii="黑体" w:hAnsi="黑体" w:eastAsia="黑体" w:cs="宋体"/>
          <w:b/>
          <w:bCs/>
          <w:color w:val="000000" w:themeColor="text1"/>
          <w:sz w:val="24"/>
          <w:highlight w:val="none"/>
          <w14:textFill>
            <w14:solidFill>
              <w14:schemeClr w14:val="tx1"/>
            </w14:solidFill>
          </w14:textFill>
        </w:rPr>
        <w:t>.符合性审查</w:t>
      </w:r>
    </w:p>
    <w:p w14:paraId="487156C5">
      <w:pPr>
        <w:spacing w:line="360" w:lineRule="auto"/>
        <w:ind w:firstLine="420" w:firstLineChars="200"/>
        <w:rPr>
          <w:rFonts w:ascii="宋体" w:hAnsi="宋体" w:cs="宋体"/>
          <w:color w:val="000000" w:themeColor="text1"/>
          <w:szCs w:val="21"/>
          <w:highlight w:val="none"/>
          <w14:textFill>
            <w14:solidFill>
              <w14:schemeClr w14:val="tx1"/>
            </w14:solidFill>
          </w14:textFill>
        </w:rPr>
      </w:pPr>
      <w:bookmarkStart w:id="71" w:name="_Hlk42528882"/>
      <w:r>
        <w:rPr>
          <w:rFonts w:ascii="宋体" w:hAnsi="宋体" w:cs="宋体"/>
          <w:color w:val="000000" w:themeColor="text1"/>
          <w:szCs w:val="21"/>
          <w:highlight w:val="none"/>
          <w14:textFill>
            <w14:solidFill>
              <w14:schemeClr w14:val="tx1"/>
            </w14:solidFill>
          </w14:textFill>
        </w:rPr>
        <w:t>2.1</w:t>
      </w:r>
      <w:r>
        <w:rPr>
          <w:rFonts w:hint="eastAsia" w:ascii="宋体" w:hAnsi="宋体" w:cs="宋体"/>
          <w:color w:val="000000" w:themeColor="text1"/>
          <w:szCs w:val="21"/>
          <w:highlight w:val="none"/>
          <w14:textFill>
            <w14:solidFill>
              <w14:schemeClr w14:val="tx1"/>
            </w14:solidFill>
          </w14:textFill>
        </w:rPr>
        <w:t>磋商小组对</w:t>
      </w:r>
      <w:r>
        <w:rPr>
          <w:rFonts w:hint="eastAsia" w:ascii="宋体" w:hAnsi="宋体"/>
          <w:color w:val="000000" w:themeColor="text1"/>
          <w:szCs w:val="21"/>
          <w:highlight w:val="none"/>
          <w14:textFill>
            <w14:solidFill>
              <w14:schemeClr w14:val="tx1"/>
            </w14:solidFill>
          </w14:textFill>
        </w:rPr>
        <w:t>通过资格审查的合格供应商</w:t>
      </w:r>
      <w:r>
        <w:rPr>
          <w:rFonts w:hint="eastAsia" w:ascii="宋体" w:hAnsi="宋体" w:cs="宋体"/>
          <w:color w:val="000000" w:themeColor="text1"/>
          <w:szCs w:val="21"/>
          <w:highlight w:val="none"/>
          <w14:textFill>
            <w14:solidFill>
              <w14:schemeClr w14:val="tx1"/>
            </w14:solidFill>
          </w14:textFill>
        </w:rPr>
        <w:t>的响应文件的竞标报价、商务、技术等实质性要求进行符合性审查，以确定其是否满足磋商文件的实质性要求。</w:t>
      </w:r>
    </w:p>
    <w:bookmarkEnd w:id="71"/>
    <w:p w14:paraId="3527A8F7">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2.2</w:t>
      </w:r>
      <w:r>
        <w:rPr>
          <w:rFonts w:hint="eastAsia" w:ascii="宋体" w:hAnsi="宋体" w:cs="宋体"/>
          <w:color w:val="000000" w:themeColor="text1"/>
          <w:szCs w:val="21"/>
          <w:highlight w:val="none"/>
          <w14:textFill>
            <w14:solidFill>
              <w14:schemeClr w14:val="tx1"/>
            </w14:solidFill>
          </w14:textFill>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D7A24FE">
      <w:pPr>
        <w:spacing w:line="360" w:lineRule="auto"/>
        <w:ind w:firstLine="420" w:firstLineChars="200"/>
        <w:rPr>
          <w:rFonts w:ascii="宋体" w:hAnsi="宋体" w:cs="宋体"/>
          <w:color w:val="000000" w:themeColor="text1"/>
          <w:spacing w:val="-6"/>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磋商小组要求供应商澄清、说明或者更正响应文件应当以电子澄清函形式作出。供应商的澄清、说明或者更正应当</w:t>
      </w:r>
      <w:r>
        <w:rPr>
          <w:rFonts w:hint="eastAsia" w:ascii="宋体" w:hAnsi="宋体" w:cs="宋体"/>
          <w:color w:val="000000" w:themeColor="text1"/>
          <w:szCs w:val="21"/>
          <w:highlight w:val="none"/>
          <w:lang w:val="en-US" w:eastAsia="zh-CN"/>
          <w14:textFill>
            <w14:solidFill>
              <w14:schemeClr w14:val="tx1"/>
            </w14:solidFill>
          </w14:textFill>
        </w:rPr>
        <w:t>以</w:t>
      </w:r>
      <w:r>
        <w:rPr>
          <w:rFonts w:hint="eastAsia" w:ascii="宋体" w:hAnsi="宋体" w:cs="宋体"/>
          <w:color w:val="000000" w:themeColor="text1"/>
          <w:szCs w:val="21"/>
          <w:highlight w:val="none"/>
          <w14:textFill>
            <w14:solidFill>
              <w14:schemeClr w14:val="tx1"/>
            </w14:solidFill>
          </w14:textFill>
        </w:rPr>
        <w:t>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w:t>
      </w:r>
      <w:r>
        <w:rPr>
          <w:rFonts w:hint="eastAsia" w:hAnsi="宋体"/>
          <w:color w:val="000000" w:themeColor="text1"/>
          <w:highlight w:val="none"/>
          <w14:textFill>
            <w14:solidFill>
              <w14:schemeClr w14:val="tx1"/>
            </w14:solidFill>
          </w14:textFill>
        </w:rPr>
        <w:t>签章</w:t>
      </w:r>
      <w:r>
        <w:rPr>
          <w:rFonts w:hint="eastAsia" w:ascii="宋体" w:hAnsi="宋体" w:cs="宋体"/>
          <w:color w:val="000000" w:themeColor="text1"/>
          <w:spacing w:val="-6"/>
          <w:szCs w:val="21"/>
          <w:highlight w:val="none"/>
          <w14:textFill>
            <w14:solidFill>
              <w14:schemeClr w14:val="tx1"/>
            </w14:solidFill>
          </w14:textFill>
        </w:rPr>
        <w:t>。</w:t>
      </w:r>
    </w:p>
    <w:p w14:paraId="5D5838C2">
      <w:pPr>
        <w:spacing w:line="360" w:lineRule="auto"/>
        <w:ind w:firstLine="420" w:firstLineChars="200"/>
        <w:rPr>
          <w:rFonts w:ascii="宋体" w:hAnsi="宋体" w:cs="宋体"/>
          <w:color w:val="000000" w:themeColor="text1"/>
          <w:spacing w:val="-6"/>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14:paraId="543F9879">
      <w:pPr>
        <w:spacing w:line="360" w:lineRule="auto"/>
        <w:ind w:firstLine="396"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pacing w:val="-6"/>
          <w:szCs w:val="21"/>
          <w:highlight w:val="none"/>
          <w14:textFill>
            <w14:solidFill>
              <w14:schemeClr w14:val="tx1"/>
            </w14:solidFill>
          </w14:textFill>
        </w:rPr>
        <w:t>2.4</w:t>
      </w:r>
      <w:r>
        <w:rPr>
          <w:rFonts w:hint="eastAsia" w:ascii="宋体" w:hAnsi="宋体" w:cs="宋体"/>
          <w:color w:val="000000" w:themeColor="text1"/>
          <w:szCs w:val="21"/>
          <w:highlight w:val="none"/>
          <w14:textFill>
            <w14:solidFill>
              <w14:schemeClr w14:val="tx1"/>
            </w14:solidFill>
          </w14:textFill>
        </w:rPr>
        <w:t xml:space="preserve">首次响应文件报价出现前后不一致的，按照下列规定修正： </w:t>
      </w:r>
    </w:p>
    <w:p w14:paraId="3EEE9573">
      <w:pPr>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（1）响应文件中报价表内容与响应文件中相应内容不一致的，以报价表为准</w:t>
      </w:r>
      <w:r>
        <w:rPr>
          <w:rFonts w:hint="eastAsia" w:ascii="宋体" w:hAnsi="宋体" w:cs="宋体"/>
          <w:color w:val="000000" w:themeColor="text1"/>
          <w:szCs w:val="21"/>
          <w:highlight w:val="none"/>
          <w:lang w:eastAsia="zh-CN"/>
          <w14:textFill>
            <w14:solidFill>
              <w14:schemeClr w14:val="tx1"/>
            </w14:solidFill>
          </w14:textFill>
        </w:rPr>
        <w:t>；</w:t>
      </w:r>
    </w:p>
    <w:p w14:paraId="1A6AFA64">
      <w:pPr>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（2）大写金额和小写金额不一致的，以大写金额为准</w:t>
      </w:r>
      <w:r>
        <w:rPr>
          <w:rFonts w:hint="eastAsia" w:ascii="宋体" w:hAnsi="宋体" w:cs="宋体"/>
          <w:color w:val="000000" w:themeColor="text1"/>
          <w:szCs w:val="21"/>
          <w:highlight w:val="none"/>
          <w:lang w:eastAsia="zh-CN"/>
          <w14:textFill>
            <w14:solidFill>
              <w14:schemeClr w14:val="tx1"/>
            </w14:solidFill>
          </w14:textFill>
        </w:rPr>
        <w:t>；</w:t>
      </w:r>
    </w:p>
    <w:p w14:paraId="2666E294">
      <w:pPr>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（3）单价金额小数点或者百分比有明显错位的，以报价表的总价为准，并修改单价</w:t>
      </w:r>
      <w:r>
        <w:rPr>
          <w:rFonts w:hint="eastAsia" w:ascii="宋体" w:hAnsi="宋体" w:cs="宋体"/>
          <w:color w:val="000000" w:themeColor="text1"/>
          <w:szCs w:val="21"/>
          <w:highlight w:val="none"/>
          <w:lang w:eastAsia="zh-CN"/>
          <w14:textFill>
            <w14:solidFill>
              <w14:schemeClr w14:val="tx1"/>
            </w14:solidFill>
          </w14:textFill>
        </w:rPr>
        <w:t>；</w:t>
      </w:r>
    </w:p>
    <w:p w14:paraId="788A78BE">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（4）总价金额与按单价汇总金额不一致的，以单价金额计算结果为准。</w:t>
      </w:r>
    </w:p>
    <w:p w14:paraId="2FA3F0F5">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同时出现两种以上不一致的，按照以上（1）-（4）规定的顺序逐条进行修正。修正后的报价经供应商确认后产生约束力，供应商不确认的，其响应文件按无效处理。</w:t>
      </w:r>
    </w:p>
    <w:p w14:paraId="4564368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商务技术报价评审</w:t>
      </w:r>
    </w:p>
    <w:p w14:paraId="3CA2F5FC">
      <w:pPr>
        <w:spacing w:line="360" w:lineRule="auto"/>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在评审时，如发现下列情形之一的，将被视为响应文件无效处理：</w:t>
      </w:r>
    </w:p>
    <w:p w14:paraId="49DADFD3">
      <w:pPr>
        <w:spacing w:line="360" w:lineRule="auto"/>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（1）商务技术评审</w:t>
      </w:r>
    </w:p>
    <w:p w14:paraId="390E3D17">
      <w:pPr>
        <w:spacing w:line="360" w:lineRule="auto"/>
        <w:ind w:firstLine="422" w:firstLineChars="200"/>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1）响应文件未按磋商文件要求签署、盖章的</w:t>
      </w:r>
      <w:r>
        <w:rPr>
          <w:rFonts w:hint="eastAsia" w:ascii="宋体" w:hAnsi="宋体" w:cs="宋体"/>
          <w:b/>
          <w:color w:val="000000" w:themeColor="text1"/>
          <w:szCs w:val="21"/>
          <w:highlight w:val="none"/>
          <w:lang w:eastAsia="zh-CN"/>
          <w14:textFill>
            <w14:solidFill>
              <w14:schemeClr w14:val="tx1"/>
            </w14:solidFill>
          </w14:textFill>
        </w:rPr>
        <w:t>；</w:t>
      </w:r>
    </w:p>
    <w:p w14:paraId="714BE661">
      <w:pPr>
        <w:spacing w:line="360" w:lineRule="auto"/>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2）委托代理人未能出具有效身份证或者出具的身份证与授权委托书中的信息不符的</w:t>
      </w:r>
      <w:r>
        <w:rPr>
          <w:rFonts w:hint="eastAsia" w:ascii="宋体" w:hAnsi="宋体" w:cs="宋体"/>
          <w:b/>
          <w:color w:val="000000" w:themeColor="text1"/>
          <w:szCs w:val="21"/>
          <w:highlight w:val="none"/>
          <w:lang w:eastAsia="zh-CN"/>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 xml:space="preserve"> </w:t>
      </w:r>
    </w:p>
    <w:p w14:paraId="324DDB2F">
      <w:pPr>
        <w:spacing w:line="360" w:lineRule="auto"/>
        <w:ind w:firstLine="422" w:firstLineChars="200"/>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3）提交的磋商保证金无效的或者未按照磋商文件的规定提交磋商保证金的</w:t>
      </w:r>
      <w:r>
        <w:rPr>
          <w:rFonts w:hint="eastAsia" w:ascii="宋体" w:hAnsi="宋体" w:cs="宋体"/>
          <w:b/>
          <w:color w:val="000000" w:themeColor="text1"/>
          <w:szCs w:val="21"/>
          <w:highlight w:val="none"/>
          <w:lang w:eastAsia="zh-CN"/>
          <w14:textFill>
            <w14:solidFill>
              <w14:schemeClr w14:val="tx1"/>
            </w14:solidFill>
          </w14:textFill>
        </w:rPr>
        <w:t>；</w:t>
      </w:r>
    </w:p>
    <w:p w14:paraId="53D1C201">
      <w:pPr>
        <w:spacing w:line="360" w:lineRule="auto"/>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4）响应文件未提供任一项“供应商须知前附表”商务技术文件中 “必须提供”或者“委托时必须提供”的文件资料</w:t>
      </w:r>
      <w:r>
        <w:rPr>
          <w:rFonts w:hint="eastAsia" w:ascii="宋体" w:hAnsi="宋体" w:cs="宋体"/>
          <w:b/>
          <w:color w:val="000000" w:themeColor="text1"/>
          <w:szCs w:val="21"/>
          <w:highlight w:val="none"/>
          <w:lang w:eastAsia="zh-CN"/>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响应文件提供的商务技术文件出现任一项不符合“供应商须知前附表”商务技术文件中 “必须提供”或者“委托时必须提供”文件资料要求的规定或者提供的商务技术文件无效的。</w:t>
      </w:r>
    </w:p>
    <w:p w14:paraId="334B0F70">
      <w:pPr>
        <w:spacing w:line="360" w:lineRule="auto"/>
        <w:ind w:firstLine="422" w:firstLineChars="200"/>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5）响应文件的实质性内容未使用中文表述、使用计量单位不符合磋商文件要求的</w:t>
      </w:r>
      <w:r>
        <w:rPr>
          <w:rFonts w:hint="eastAsia" w:ascii="宋体" w:hAnsi="宋体" w:cs="宋体"/>
          <w:b/>
          <w:color w:val="000000" w:themeColor="text1"/>
          <w:szCs w:val="21"/>
          <w:highlight w:val="none"/>
          <w:lang w:eastAsia="zh-CN"/>
          <w14:textFill>
            <w14:solidFill>
              <w14:schemeClr w14:val="tx1"/>
            </w14:solidFill>
          </w14:textFill>
        </w:rPr>
        <w:t>；</w:t>
      </w:r>
    </w:p>
    <w:p w14:paraId="091FA7BF">
      <w:pPr>
        <w:spacing w:line="360" w:lineRule="auto"/>
        <w:ind w:firstLine="422" w:firstLineChars="200"/>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6）响应文件中的文件资料因填写不齐全或者内容虚假或者出现其他情形而导致被磋商小组认定无效的</w:t>
      </w:r>
      <w:r>
        <w:rPr>
          <w:rFonts w:hint="eastAsia" w:ascii="宋体" w:hAnsi="宋体" w:cs="宋体"/>
          <w:b/>
          <w:color w:val="000000" w:themeColor="text1"/>
          <w:szCs w:val="21"/>
          <w:highlight w:val="none"/>
          <w:lang w:eastAsia="zh-CN"/>
          <w14:textFill>
            <w14:solidFill>
              <w14:schemeClr w14:val="tx1"/>
            </w14:solidFill>
          </w14:textFill>
        </w:rPr>
        <w:t>；</w:t>
      </w:r>
    </w:p>
    <w:p w14:paraId="0C7EFAE4">
      <w:pPr>
        <w:spacing w:line="360" w:lineRule="auto"/>
        <w:ind w:firstLine="422" w:firstLineChars="200"/>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7）响应文件含有采购人不能接受的附加条件的</w:t>
      </w:r>
      <w:r>
        <w:rPr>
          <w:rFonts w:hint="eastAsia" w:ascii="宋体" w:hAnsi="宋体" w:cs="宋体"/>
          <w:b/>
          <w:color w:val="000000" w:themeColor="text1"/>
          <w:szCs w:val="21"/>
          <w:highlight w:val="none"/>
          <w:lang w:eastAsia="zh-CN"/>
          <w14:textFill>
            <w14:solidFill>
              <w14:schemeClr w14:val="tx1"/>
            </w14:solidFill>
          </w14:textFill>
        </w:rPr>
        <w:t>；</w:t>
      </w:r>
    </w:p>
    <w:p w14:paraId="3706E47A">
      <w:pPr>
        <w:spacing w:line="360" w:lineRule="auto"/>
        <w:ind w:firstLine="422" w:firstLineChars="200"/>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8）属于“供应商须知正文”第7.</w:t>
      </w:r>
      <w:r>
        <w:rPr>
          <w:rFonts w:ascii="宋体" w:hAnsi="宋体" w:cs="宋体"/>
          <w:b/>
          <w:color w:val="000000" w:themeColor="text1"/>
          <w:szCs w:val="21"/>
          <w:highlight w:val="none"/>
          <w14:textFill>
            <w14:solidFill>
              <w14:schemeClr w14:val="tx1"/>
            </w14:solidFill>
          </w14:textFill>
        </w:rPr>
        <w:t>5</w:t>
      </w:r>
      <w:r>
        <w:rPr>
          <w:rFonts w:hint="eastAsia" w:ascii="宋体" w:hAnsi="宋体" w:cs="宋体"/>
          <w:b/>
          <w:color w:val="000000" w:themeColor="text1"/>
          <w:szCs w:val="21"/>
          <w:highlight w:val="none"/>
          <w14:textFill>
            <w14:solidFill>
              <w14:schemeClr w14:val="tx1"/>
            </w14:solidFill>
          </w14:textFill>
        </w:rPr>
        <w:t>条供应商相互串通竞标情形的</w:t>
      </w:r>
      <w:r>
        <w:rPr>
          <w:rFonts w:hint="eastAsia" w:ascii="宋体" w:hAnsi="宋体" w:cs="宋体"/>
          <w:b/>
          <w:color w:val="000000" w:themeColor="text1"/>
          <w:szCs w:val="21"/>
          <w:highlight w:val="none"/>
          <w:lang w:eastAsia="zh-CN"/>
          <w14:textFill>
            <w14:solidFill>
              <w14:schemeClr w14:val="tx1"/>
            </w14:solidFill>
          </w14:textFill>
        </w:rPr>
        <w:t>；</w:t>
      </w:r>
    </w:p>
    <w:p w14:paraId="185881F8">
      <w:pPr>
        <w:spacing w:line="360" w:lineRule="auto"/>
        <w:ind w:firstLine="422" w:firstLineChars="200"/>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9）虚假竞标，或者出现其他情形而导致被磋商小组认定无效的</w:t>
      </w:r>
      <w:r>
        <w:rPr>
          <w:rFonts w:hint="eastAsia" w:ascii="宋体" w:hAnsi="宋体" w:cs="宋体"/>
          <w:b/>
          <w:color w:val="000000" w:themeColor="text1"/>
          <w:szCs w:val="21"/>
          <w:highlight w:val="none"/>
          <w:lang w:eastAsia="zh-CN"/>
          <w14:textFill>
            <w14:solidFill>
              <w14:schemeClr w14:val="tx1"/>
            </w14:solidFill>
          </w14:textFill>
        </w:rPr>
        <w:t>；</w:t>
      </w:r>
    </w:p>
    <w:p w14:paraId="2FBD6C1D">
      <w:pPr>
        <w:spacing w:line="360" w:lineRule="auto"/>
        <w:ind w:firstLine="422" w:firstLineChars="200"/>
        <w:rPr>
          <w:rFonts w:hint="eastAsia" w:ascii="宋体" w:hAnsi="宋体" w:eastAsia="宋体" w:cs="宋体"/>
          <w:b/>
          <w:color w:val="000000" w:themeColor="text1"/>
          <w:szCs w:val="21"/>
          <w:highlight w:val="none"/>
          <w:lang w:eastAsia="zh-CN"/>
          <w14:textFill>
            <w14:solidFill>
              <w14:schemeClr w14:val="tx1"/>
            </w14:solidFill>
          </w14:textFill>
        </w:rPr>
      </w:pPr>
      <w:r>
        <w:rPr>
          <w:rFonts w:ascii="宋体" w:hAnsi="宋体" w:cs="宋体"/>
          <w:b/>
          <w:color w:val="000000" w:themeColor="text1"/>
          <w:szCs w:val="21"/>
          <w:highlight w:val="none"/>
          <w14:textFill>
            <w14:solidFill>
              <w14:schemeClr w14:val="tx1"/>
            </w14:solidFill>
          </w14:textFill>
        </w:rPr>
        <w:t>1</w:t>
      </w:r>
      <w:r>
        <w:rPr>
          <w:rFonts w:hint="eastAsia" w:ascii="宋体" w:hAnsi="宋体" w:cs="宋体"/>
          <w:b/>
          <w:color w:val="000000" w:themeColor="text1"/>
          <w:szCs w:val="21"/>
          <w:highlight w:val="none"/>
          <w14:textFill>
            <w14:solidFill>
              <w14:schemeClr w14:val="tx1"/>
            </w14:solidFill>
          </w14:textFill>
        </w:rPr>
        <w:t>0）</w:t>
      </w:r>
      <w:bookmarkStart w:id="72" w:name="_Hlk71704147"/>
      <w:r>
        <w:rPr>
          <w:rFonts w:hint="eastAsia" w:ascii="宋体" w:hAnsi="宋体" w:cs="宋体"/>
          <w:b/>
          <w:color w:val="000000" w:themeColor="text1"/>
          <w:szCs w:val="21"/>
          <w:highlight w:val="none"/>
          <w14:textFill>
            <w14:solidFill>
              <w14:schemeClr w14:val="tx1"/>
            </w14:solidFill>
          </w14:textFill>
        </w:rPr>
        <w:t>磋商文件未载明允许提供备选（替代）竞标方案或明确不允许提供备选（替代）竞标方案时，供应商提供了备选（替代）竞标方案的</w:t>
      </w:r>
      <w:bookmarkEnd w:id="72"/>
      <w:r>
        <w:rPr>
          <w:rFonts w:hint="eastAsia" w:ascii="宋体" w:hAnsi="宋体" w:cs="宋体"/>
          <w:b/>
          <w:color w:val="000000" w:themeColor="text1"/>
          <w:szCs w:val="21"/>
          <w:highlight w:val="none"/>
          <w:lang w:eastAsia="zh-CN"/>
          <w14:textFill>
            <w14:solidFill>
              <w14:schemeClr w14:val="tx1"/>
            </w14:solidFill>
          </w14:textFill>
        </w:rPr>
        <w:t>；</w:t>
      </w:r>
    </w:p>
    <w:p w14:paraId="29B69735">
      <w:pPr>
        <w:spacing w:line="360" w:lineRule="auto"/>
        <w:ind w:firstLine="422" w:firstLineChars="200"/>
        <w:rPr>
          <w:rFonts w:hint="eastAsia" w:ascii="宋体" w:hAnsi="宋体" w:eastAsia="宋体" w:cs="宋体"/>
          <w:b/>
          <w:color w:val="000000" w:themeColor="text1"/>
          <w:szCs w:val="21"/>
          <w:highlight w:val="none"/>
          <w:lang w:eastAsia="zh-CN"/>
          <w14:textFill>
            <w14:solidFill>
              <w14:schemeClr w14:val="tx1"/>
            </w14:solidFill>
          </w14:textFill>
        </w:rPr>
      </w:pPr>
      <w:r>
        <w:rPr>
          <w:rFonts w:ascii="宋体" w:hAnsi="宋体" w:cs="宋体"/>
          <w:b/>
          <w:color w:val="000000" w:themeColor="text1"/>
          <w:szCs w:val="21"/>
          <w:highlight w:val="none"/>
          <w14:textFill>
            <w14:solidFill>
              <w14:schemeClr w14:val="tx1"/>
            </w14:solidFill>
          </w14:textFill>
        </w:rPr>
        <w:t>1</w:t>
      </w:r>
      <w:r>
        <w:rPr>
          <w:rFonts w:hint="eastAsia" w:ascii="宋体" w:hAnsi="宋体" w:cs="宋体"/>
          <w:b/>
          <w:color w:val="000000" w:themeColor="text1"/>
          <w:szCs w:val="21"/>
          <w:highlight w:val="none"/>
          <w14:textFill>
            <w14:solidFill>
              <w14:schemeClr w14:val="tx1"/>
            </w14:solidFill>
          </w14:textFill>
        </w:rPr>
        <w:t>1）响应文件标注的项目名称或者项目编号与磋商文件标注的项目名称或者项目编号不一致的</w:t>
      </w:r>
      <w:r>
        <w:rPr>
          <w:rFonts w:hint="eastAsia" w:ascii="宋体" w:hAnsi="宋体" w:cs="宋体"/>
          <w:b/>
          <w:color w:val="000000" w:themeColor="text1"/>
          <w:szCs w:val="21"/>
          <w:highlight w:val="none"/>
          <w:lang w:eastAsia="zh-CN"/>
          <w14:textFill>
            <w14:solidFill>
              <w14:schemeClr w14:val="tx1"/>
            </w14:solidFill>
          </w14:textFill>
        </w:rPr>
        <w:t>；</w:t>
      </w:r>
    </w:p>
    <w:p w14:paraId="7EC97C40">
      <w:pPr>
        <w:spacing w:line="360" w:lineRule="auto"/>
        <w:ind w:firstLine="422" w:firstLineChars="200"/>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12）</w:t>
      </w:r>
      <w:r>
        <w:rPr>
          <w:rFonts w:hint="eastAsia" w:ascii="宋体" w:hAnsi="宋体"/>
          <w:b/>
          <w:color w:val="000000" w:themeColor="text1"/>
          <w:szCs w:val="21"/>
          <w:highlight w:val="none"/>
          <w14:textFill>
            <w14:solidFill>
              <w14:schemeClr w14:val="tx1"/>
            </w14:solidFill>
          </w14:textFill>
        </w:rPr>
        <w:t>竞争性磋商文件明确不允许分包，响应文件拟分包的</w:t>
      </w:r>
      <w:r>
        <w:rPr>
          <w:rFonts w:hint="eastAsia" w:ascii="宋体" w:hAnsi="宋体"/>
          <w:b/>
          <w:color w:val="000000" w:themeColor="text1"/>
          <w:szCs w:val="21"/>
          <w:highlight w:val="none"/>
          <w:lang w:eastAsia="zh-CN"/>
          <w14:textFill>
            <w14:solidFill>
              <w14:schemeClr w14:val="tx1"/>
            </w14:solidFill>
          </w14:textFill>
        </w:rPr>
        <w:t>；</w:t>
      </w:r>
    </w:p>
    <w:p w14:paraId="28AD3841">
      <w:pPr>
        <w:spacing w:line="360" w:lineRule="auto"/>
        <w:ind w:firstLine="422" w:firstLineChars="200"/>
        <w:rPr>
          <w:rFonts w:hint="eastAsia" w:ascii="宋体" w:hAnsi="宋体" w:eastAsia="宋体" w:cs="宋体"/>
          <w:b/>
          <w:color w:val="000000" w:themeColor="text1"/>
          <w:szCs w:val="21"/>
          <w:highlight w:val="none"/>
          <w:lang w:eastAsia="zh-CN"/>
          <w14:textFill>
            <w14:solidFill>
              <w14:schemeClr w14:val="tx1"/>
            </w14:solidFill>
          </w14:textFill>
        </w:rPr>
      </w:pPr>
      <w:r>
        <w:rPr>
          <w:rFonts w:ascii="宋体" w:hAnsi="宋体" w:cs="宋体"/>
          <w:b/>
          <w:color w:val="000000" w:themeColor="text1"/>
          <w:szCs w:val="21"/>
          <w:highlight w:val="none"/>
          <w14:textFill>
            <w14:solidFill>
              <w14:schemeClr w14:val="tx1"/>
            </w14:solidFill>
          </w14:textFill>
        </w:rPr>
        <w:t>1</w:t>
      </w:r>
      <w:r>
        <w:rPr>
          <w:rFonts w:hint="eastAsia" w:ascii="宋体" w:hAnsi="宋体" w:cs="宋体"/>
          <w:b/>
          <w:color w:val="000000" w:themeColor="text1"/>
          <w:szCs w:val="21"/>
          <w:highlight w:val="none"/>
          <w14:textFill>
            <w14:solidFill>
              <w14:schemeClr w14:val="tx1"/>
            </w14:solidFill>
          </w14:textFill>
        </w:rPr>
        <w:t>3）未响应磋商文件实质性要求的</w:t>
      </w:r>
      <w:r>
        <w:rPr>
          <w:rFonts w:hint="eastAsia" w:ascii="宋体" w:hAnsi="宋体" w:cs="宋体"/>
          <w:b/>
          <w:color w:val="000000" w:themeColor="text1"/>
          <w:szCs w:val="21"/>
          <w:highlight w:val="none"/>
          <w:lang w:eastAsia="zh-CN"/>
          <w14:textFill>
            <w14:solidFill>
              <w14:schemeClr w14:val="tx1"/>
            </w14:solidFill>
          </w14:textFill>
        </w:rPr>
        <w:t>；</w:t>
      </w:r>
    </w:p>
    <w:p w14:paraId="5B89F62C">
      <w:pPr>
        <w:spacing w:line="360" w:lineRule="auto"/>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14）法律、法规和磋商文件规定的其他无效情形。</w:t>
      </w:r>
    </w:p>
    <w:p w14:paraId="1D2EA144">
      <w:pPr>
        <w:spacing w:line="360" w:lineRule="auto"/>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w:t>
      </w:r>
      <w:r>
        <w:rPr>
          <w:rFonts w:ascii="宋体" w:hAnsi="宋体" w:cs="宋体"/>
          <w:b/>
          <w:color w:val="000000" w:themeColor="text1"/>
          <w:szCs w:val="21"/>
          <w:highlight w:val="none"/>
          <w14:textFill>
            <w14:solidFill>
              <w14:schemeClr w14:val="tx1"/>
            </w14:solidFill>
          </w14:textFill>
        </w:rPr>
        <w:t>2</w:t>
      </w:r>
      <w:r>
        <w:rPr>
          <w:rFonts w:hint="eastAsia" w:ascii="宋体" w:hAnsi="宋体" w:cs="宋体"/>
          <w:b/>
          <w:color w:val="000000" w:themeColor="text1"/>
          <w:szCs w:val="21"/>
          <w:highlight w:val="none"/>
          <w14:textFill>
            <w14:solidFill>
              <w14:schemeClr w14:val="tx1"/>
            </w14:solidFill>
          </w14:textFill>
        </w:rPr>
        <w:t>）报价评审</w:t>
      </w:r>
    </w:p>
    <w:p w14:paraId="334CF538">
      <w:pPr>
        <w:spacing w:line="360" w:lineRule="auto"/>
        <w:ind w:firstLine="422" w:firstLineChars="200"/>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w:t>
      </w:r>
      <w:r>
        <w:rPr>
          <w:rFonts w:ascii="宋体" w:hAnsi="宋体" w:cs="宋体"/>
          <w:b/>
          <w:color w:val="000000" w:themeColor="text1"/>
          <w:szCs w:val="21"/>
          <w:highlight w:val="none"/>
          <w14:textFill>
            <w14:solidFill>
              <w14:schemeClr w14:val="tx1"/>
            </w14:solidFill>
          </w14:textFill>
        </w:rPr>
        <w:t xml:space="preserve"> </w:t>
      </w:r>
      <w:r>
        <w:rPr>
          <w:rFonts w:hint="eastAsia" w:ascii="宋体" w:hAnsi="宋体" w:cs="宋体"/>
          <w:b/>
          <w:color w:val="000000" w:themeColor="text1"/>
          <w:szCs w:val="21"/>
          <w:highlight w:val="none"/>
          <w14:textFill>
            <w14:solidFill>
              <w14:schemeClr w14:val="tx1"/>
            </w14:solidFill>
          </w14:textFill>
        </w:rPr>
        <w:t>响应文件未提供“供应商须知前附表” 报价文件中规定的“竞标报价表”的</w:t>
      </w:r>
      <w:r>
        <w:rPr>
          <w:rFonts w:hint="eastAsia" w:ascii="宋体" w:hAnsi="宋体" w:cs="宋体"/>
          <w:b/>
          <w:color w:val="000000" w:themeColor="text1"/>
          <w:szCs w:val="21"/>
          <w:highlight w:val="none"/>
          <w:lang w:eastAsia="zh-CN"/>
          <w14:textFill>
            <w14:solidFill>
              <w14:schemeClr w14:val="tx1"/>
            </w14:solidFill>
          </w14:textFill>
        </w:rPr>
        <w:t>；</w:t>
      </w:r>
    </w:p>
    <w:p w14:paraId="7C602D97">
      <w:pPr>
        <w:spacing w:line="360" w:lineRule="auto"/>
        <w:ind w:firstLine="422" w:firstLineChars="200"/>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2）未采用人民币报价或者未按照磋商文件标明的币种报价的</w:t>
      </w:r>
      <w:r>
        <w:rPr>
          <w:rFonts w:hint="eastAsia" w:ascii="宋体" w:hAnsi="宋体" w:cs="宋体"/>
          <w:b/>
          <w:color w:val="000000" w:themeColor="text1"/>
          <w:szCs w:val="21"/>
          <w:highlight w:val="none"/>
          <w:lang w:eastAsia="zh-CN"/>
          <w14:textFill>
            <w14:solidFill>
              <w14:schemeClr w14:val="tx1"/>
            </w14:solidFill>
          </w14:textFill>
        </w:rPr>
        <w:t>；</w:t>
      </w:r>
    </w:p>
    <w:p w14:paraId="5BD9F3A5">
      <w:pPr>
        <w:spacing w:line="360" w:lineRule="auto"/>
        <w:ind w:firstLine="422" w:firstLineChars="200"/>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3）供应商未就所竞标分标进行报价或者存在漏项报价</w:t>
      </w:r>
      <w:r>
        <w:rPr>
          <w:rFonts w:hint="eastAsia" w:ascii="宋体" w:hAnsi="宋体" w:cs="宋体"/>
          <w:b/>
          <w:color w:val="000000" w:themeColor="text1"/>
          <w:szCs w:val="21"/>
          <w:highlight w:val="none"/>
          <w:lang w:eastAsia="zh-CN"/>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供应商未就所竞标分标的单项内容作唯一报价</w:t>
      </w:r>
      <w:r>
        <w:rPr>
          <w:rFonts w:hint="eastAsia" w:ascii="宋体" w:hAnsi="宋体" w:cs="宋体"/>
          <w:b/>
          <w:color w:val="000000" w:themeColor="text1"/>
          <w:szCs w:val="21"/>
          <w:highlight w:val="none"/>
          <w:lang w:eastAsia="zh-CN"/>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供应商未就所竞标分标的全部内容作完整唯一总价报价</w:t>
      </w:r>
      <w:r>
        <w:rPr>
          <w:rFonts w:hint="eastAsia" w:ascii="宋体" w:hAnsi="宋体" w:cs="宋体"/>
          <w:b/>
          <w:color w:val="000000" w:themeColor="text1"/>
          <w:szCs w:val="21"/>
          <w:highlight w:val="none"/>
          <w:lang w:eastAsia="zh-CN"/>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供应商响应文件中存在有选择、有条件报价的（磋商文件允许有备选方案或者其他约定的除外）</w:t>
      </w:r>
      <w:r>
        <w:rPr>
          <w:rFonts w:hint="eastAsia" w:ascii="宋体" w:hAnsi="宋体" w:cs="宋体"/>
          <w:b/>
          <w:color w:val="000000" w:themeColor="text1"/>
          <w:szCs w:val="21"/>
          <w:highlight w:val="none"/>
          <w:lang w:eastAsia="zh-CN"/>
          <w14:textFill>
            <w14:solidFill>
              <w14:schemeClr w14:val="tx1"/>
            </w14:solidFill>
          </w14:textFill>
        </w:rPr>
        <w:t>；</w:t>
      </w:r>
    </w:p>
    <w:p w14:paraId="24D8004B">
      <w:pPr>
        <w:spacing w:line="360" w:lineRule="auto"/>
        <w:ind w:firstLine="422" w:firstLineChars="200"/>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4）竞标报价（包含首次报价、最后报价）超过所竞标分标规定的采购预算金额或者最高限价的（如本项目公布了最高限价）</w:t>
      </w:r>
      <w:bookmarkStart w:id="73" w:name="_Hlk42596405"/>
      <w:r>
        <w:rPr>
          <w:rFonts w:hint="eastAsia" w:ascii="宋体" w:hAnsi="宋体" w:cs="宋体"/>
          <w:b/>
          <w:color w:val="000000" w:themeColor="text1"/>
          <w:szCs w:val="21"/>
          <w:highlight w:val="none"/>
          <w:lang w:eastAsia="zh-CN"/>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竞标报价（包含首次报价、最后报价）</w:t>
      </w:r>
      <w:bookmarkEnd w:id="73"/>
      <w:bookmarkStart w:id="74" w:name="_Hlk42596276"/>
      <w:r>
        <w:rPr>
          <w:rFonts w:hint="eastAsia" w:ascii="宋体" w:hAnsi="宋体" w:cs="宋体"/>
          <w:b/>
          <w:color w:val="000000" w:themeColor="text1"/>
          <w:szCs w:val="21"/>
          <w:highlight w:val="none"/>
          <w14:textFill>
            <w14:solidFill>
              <w14:schemeClr w14:val="tx1"/>
            </w14:solidFill>
          </w14:textFill>
        </w:rPr>
        <w:t>超过磋商文件分项采购预算金额或者单价最高限价的</w:t>
      </w:r>
      <w:bookmarkEnd w:id="74"/>
      <w:r>
        <w:rPr>
          <w:rFonts w:hint="eastAsia" w:ascii="宋体" w:hAnsi="宋体" w:cs="宋体"/>
          <w:b/>
          <w:color w:val="000000" w:themeColor="text1"/>
          <w:szCs w:val="21"/>
          <w:highlight w:val="none"/>
          <w14:textFill>
            <w14:solidFill>
              <w14:schemeClr w14:val="tx1"/>
            </w14:solidFill>
          </w14:textFill>
        </w:rPr>
        <w:t>（如项目有要求并公布了分项采购预算金额或者单价最高限价）</w:t>
      </w:r>
      <w:r>
        <w:rPr>
          <w:rFonts w:hint="eastAsia" w:ascii="宋体" w:hAnsi="宋体" w:cs="宋体"/>
          <w:b/>
          <w:color w:val="000000" w:themeColor="text1"/>
          <w:szCs w:val="21"/>
          <w:highlight w:val="none"/>
          <w:lang w:eastAsia="zh-CN"/>
          <w14:textFill>
            <w14:solidFill>
              <w14:schemeClr w14:val="tx1"/>
            </w14:solidFill>
          </w14:textFill>
        </w:rPr>
        <w:t>；</w:t>
      </w:r>
    </w:p>
    <w:p w14:paraId="392B1C11">
      <w:pPr>
        <w:spacing w:line="360" w:lineRule="auto"/>
        <w:ind w:firstLine="422" w:firstLineChars="200"/>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5）修正后的报价，供应商不确认的</w:t>
      </w:r>
      <w:r>
        <w:rPr>
          <w:rFonts w:hint="eastAsia" w:ascii="宋体" w:hAnsi="宋体" w:cs="宋体"/>
          <w:b/>
          <w:color w:val="000000" w:themeColor="text1"/>
          <w:szCs w:val="21"/>
          <w:highlight w:val="none"/>
          <w:lang w:eastAsia="zh-CN"/>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或者经供应商确认修正后的竞标报价（包含首次报价、最后报价）超过所竞标分标规定的采购预算金额或者最高限价（如本项目公布了最高限价）</w:t>
      </w:r>
      <w:r>
        <w:rPr>
          <w:rFonts w:hint="eastAsia" w:ascii="宋体" w:hAnsi="宋体" w:cs="宋体"/>
          <w:b/>
          <w:color w:val="000000" w:themeColor="text1"/>
          <w:szCs w:val="21"/>
          <w:highlight w:val="none"/>
          <w:lang w:eastAsia="zh-CN"/>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或者经供应商确认修正后竞标报价（包含首次报价、最后报价）超过磋商文件分项采购预算金额或者最高限价的（如本项目有要求并公布了分项采购预算金额或者最高限价）</w:t>
      </w:r>
      <w:r>
        <w:rPr>
          <w:rFonts w:hint="eastAsia" w:ascii="宋体" w:hAnsi="宋体" w:cs="宋体"/>
          <w:b/>
          <w:color w:val="000000" w:themeColor="text1"/>
          <w:szCs w:val="21"/>
          <w:highlight w:val="none"/>
          <w:lang w:eastAsia="zh-CN"/>
          <w14:textFill>
            <w14:solidFill>
              <w14:schemeClr w14:val="tx1"/>
            </w14:solidFill>
          </w14:textFill>
        </w:rPr>
        <w:t>；</w:t>
      </w:r>
    </w:p>
    <w:p w14:paraId="3C9CC8C2">
      <w:pPr>
        <w:spacing w:line="360" w:lineRule="auto"/>
        <w:ind w:firstLine="422" w:firstLineChars="200"/>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6）在单价合同工程中供应商采用总价优惠或以总价百分比优惠的方式进行竞标报价的</w:t>
      </w:r>
      <w:r>
        <w:rPr>
          <w:rFonts w:hint="eastAsia" w:ascii="宋体" w:hAnsi="宋体" w:cs="宋体"/>
          <w:b/>
          <w:color w:val="000000" w:themeColor="text1"/>
          <w:szCs w:val="21"/>
          <w:highlight w:val="none"/>
          <w:lang w:eastAsia="zh-CN"/>
          <w14:textFill>
            <w14:solidFill>
              <w14:schemeClr w14:val="tx1"/>
            </w14:solidFill>
          </w14:textFill>
        </w:rPr>
        <w:t>；</w:t>
      </w:r>
    </w:p>
    <w:p w14:paraId="41183116">
      <w:pPr>
        <w:spacing w:line="360" w:lineRule="auto"/>
        <w:ind w:firstLine="422" w:firstLineChars="200"/>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7）竞标总报价与已标价工程量清单汇总表不一致的</w:t>
      </w:r>
      <w:r>
        <w:rPr>
          <w:rFonts w:hint="eastAsia" w:ascii="宋体" w:hAnsi="宋体" w:cs="宋体"/>
          <w:b/>
          <w:color w:val="000000" w:themeColor="text1"/>
          <w:szCs w:val="21"/>
          <w:highlight w:val="none"/>
          <w:lang w:eastAsia="zh-CN"/>
          <w14:textFill>
            <w14:solidFill>
              <w14:schemeClr w14:val="tx1"/>
            </w14:solidFill>
          </w14:textFill>
        </w:rPr>
        <w:t>；</w:t>
      </w:r>
    </w:p>
    <w:p w14:paraId="19AA5EE3">
      <w:pPr>
        <w:spacing w:line="360" w:lineRule="auto"/>
        <w:ind w:firstLine="422" w:firstLineChars="200"/>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8）安全文明施工费和规费、增值税不按广西区费用定额及造价管理相关文件规定报价的（园林绿化及仿古建筑工程除外）</w:t>
      </w:r>
      <w:r>
        <w:rPr>
          <w:rFonts w:hint="eastAsia" w:ascii="宋体" w:hAnsi="宋体" w:cs="宋体"/>
          <w:b/>
          <w:color w:val="000000" w:themeColor="text1"/>
          <w:szCs w:val="21"/>
          <w:highlight w:val="none"/>
          <w:lang w:eastAsia="zh-CN"/>
          <w14:textFill>
            <w14:solidFill>
              <w14:schemeClr w14:val="tx1"/>
            </w14:solidFill>
          </w14:textFill>
        </w:rPr>
        <w:t>；</w:t>
      </w:r>
    </w:p>
    <w:p w14:paraId="51A3CE82">
      <w:pPr>
        <w:spacing w:line="360" w:lineRule="auto"/>
        <w:ind w:firstLine="422" w:firstLineChars="200"/>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9）供应商已标价工程量清单的项目编码（12位）、计量单位、工程量任何一处与工程量清单不一致的</w:t>
      </w:r>
      <w:r>
        <w:rPr>
          <w:rFonts w:hint="eastAsia" w:ascii="宋体" w:hAnsi="宋体" w:cs="宋体"/>
          <w:b/>
          <w:color w:val="000000" w:themeColor="text1"/>
          <w:szCs w:val="21"/>
          <w:highlight w:val="none"/>
          <w:lang w:eastAsia="zh-CN"/>
          <w14:textFill>
            <w14:solidFill>
              <w14:schemeClr w14:val="tx1"/>
            </w14:solidFill>
          </w14:textFill>
        </w:rPr>
        <w:t>；</w:t>
      </w:r>
    </w:p>
    <w:p w14:paraId="754D4F95">
      <w:pPr>
        <w:spacing w:line="360" w:lineRule="auto"/>
        <w:ind w:firstLine="422" w:firstLineChars="200"/>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10）供应商已标价工程量清单的项目名称或项目特征与工程量清单不一致，磋商小组要求澄清、说明或补正，但供应商拒绝澄清、说明或补正的</w:t>
      </w:r>
      <w:r>
        <w:rPr>
          <w:rFonts w:hint="eastAsia" w:ascii="宋体" w:hAnsi="宋体" w:cs="宋体"/>
          <w:b/>
          <w:color w:val="000000" w:themeColor="text1"/>
          <w:szCs w:val="21"/>
          <w:highlight w:val="none"/>
          <w:lang w:eastAsia="zh-CN"/>
          <w14:textFill>
            <w14:solidFill>
              <w14:schemeClr w14:val="tx1"/>
            </w14:solidFill>
          </w14:textFill>
        </w:rPr>
        <w:t>；</w:t>
      </w:r>
    </w:p>
    <w:p w14:paraId="0EB8D578">
      <w:pPr>
        <w:spacing w:line="360" w:lineRule="auto"/>
        <w:ind w:firstLine="422" w:firstLineChars="200"/>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11）设有暂估价、暂列金额的，竞标时未按工程量清单给出的暂估价总价、暂列金额总价计入竞标总报价中的</w:t>
      </w:r>
      <w:r>
        <w:rPr>
          <w:rFonts w:hint="eastAsia" w:ascii="宋体" w:hAnsi="宋体" w:cs="宋体"/>
          <w:b/>
          <w:color w:val="000000" w:themeColor="text1"/>
          <w:szCs w:val="21"/>
          <w:highlight w:val="none"/>
          <w:lang w:eastAsia="zh-CN"/>
          <w14:textFill>
            <w14:solidFill>
              <w14:schemeClr w14:val="tx1"/>
            </w14:solidFill>
          </w14:textFill>
        </w:rPr>
        <w:t>；</w:t>
      </w:r>
    </w:p>
    <w:p w14:paraId="5EA577E2">
      <w:pPr>
        <w:spacing w:line="360" w:lineRule="auto"/>
        <w:ind w:firstLine="422" w:firstLineChars="200"/>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12）供应商对工程量清单内容进行增减或对竞标范围进行调整的</w:t>
      </w:r>
      <w:r>
        <w:rPr>
          <w:rFonts w:hint="eastAsia" w:ascii="宋体" w:hAnsi="宋体" w:cs="宋体"/>
          <w:b/>
          <w:color w:val="000000" w:themeColor="text1"/>
          <w:szCs w:val="21"/>
          <w:highlight w:val="none"/>
          <w:lang w:eastAsia="zh-CN"/>
          <w14:textFill>
            <w14:solidFill>
              <w14:schemeClr w14:val="tx1"/>
            </w14:solidFill>
          </w14:textFill>
        </w:rPr>
        <w:t>；</w:t>
      </w:r>
    </w:p>
    <w:p w14:paraId="6FE6A22C">
      <w:pPr>
        <w:spacing w:line="360" w:lineRule="auto"/>
        <w:ind w:firstLine="422" w:firstLineChars="200"/>
        <w:rPr>
          <w:rFonts w:hint="eastAsia" w:ascii="宋体" w:hAnsi="宋体" w:eastAsia="宋体"/>
          <w:b/>
          <w:color w:val="000000" w:themeColor="text1"/>
          <w:szCs w:val="21"/>
          <w:highlight w:val="none"/>
          <w:lang w:eastAsia="zh-CN"/>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13）</w:t>
      </w:r>
      <w:r>
        <w:rPr>
          <w:rFonts w:hint="eastAsia" w:ascii="宋体" w:hAnsi="宋体"/>
          <w:b/>
          <w:color w:val="000000" w:themeColor="text1"/>
          <w:szCs w:val="21"/>
          <w:highlight w:val="none"/>
          <w14:textFill>
            <w14:solidFill>
              <w14:schemeClr w14:val="tx1"/>
            </w14:solidFill>
          </w14:textFill>
        </w:rPr>
        <w:t>响应文件响应的标的数量及单位与竞争性磋商采购文件要求实质性不一致的</w:t>
      </w:r>
      <w:r>
        <w:rPr>
          <w:rFonts w:hint="eastAsia" w:ascii="宋体" w:hAnsi="宋体"/>
          <w:b/>
          <w:color w:val="000000" w:themeColor="text1"/>
          <w:szCs w:val="21"/>
          <w:highlight w:val="none"/>
          <w:lang w:eastAsia="zh-CN"/>
          <w14:textFill>
            <w14:solidFill>
              <w14:schemeClr w14:val="tx1"/>
            </w14:solidFill>
          </w14:textFill>
        </w:rPr>
        <w:t>；</w:t>
      </w:r>
    </w:p>
    <w:p w14:paraId="3AB03DA0">
      <w:pPr>
        <w:spacing w:line="360" w:lineRule="auto"/>
        <w:ind w:firstLine="422" w:firstLineChars="200"/>
        <w:rPr>
          <w:rFonts w:hint="eastAsia" w:ascii="宋体" w:hAnsi="宋体" w:eastAsia="宋体"/>
          <w:b/>
          <w:color w:val="000000" w:themeColor="text1"/>
          <w:szCs w:val="21"/>
          <w:highlight w:val="none"/>
          <w:lang w:eastAsia="zh-CN"/>
          <w14:textFill>
            <w14:solidFill>
              <w14:schemeClr w14:val="tx1"/>
            </w14:solidFill>
          </w14:textFill>
        </w:rPr>
      </w:pPr>
      <w:bookmarkStart w:id="75" w:name="_Hlk188371373"/>
      <w:r>
        <w:rPr>
          <w:rFonts w:hint="eastAsia" w:ascii="宋体" w:hAnsi="宋体"/>
          <w:b/>
          <w:color w:val="000000" w:themeColor="text1"/>
          <w:szCs w:val="21"/>
          <w:highlight w:val="none"/>
          <w14:textFill>
            <w14:solidFill>
              <w14:schemeClr w14:val="tx1"/>
            </w14:solidFill>
          </w14:textFill>
        </w:rPr>
        <w:t>14）竞标函附录的承诺</w:t>
      </w:r>
      <w:bookmarkStart w:id="76" w:name="_Hlk188372203"/>
      <w:r>
        <w:rPr>
          <w:rFonts w:hint="eastAsia" w:ascii="宋体" w:hAnsi="宋体"/>
          <w:b/>
          <w:color w:val="000000" w:themeColor="text1"/>
          <w:szCs w:val="21"/>
          <w:highlight w:val="none"/>
          <w14:textFill>
            <w14:solidFill>
              <w14:schemeClr w14:val="tx1"/>
            </w14:solidFill>
          </w14:textFill>
        </w:rPr>
        <w:t>不</w:t>
      </w:r>
      <w:bookmarkEnd w:id="76"/>
      <w:r>
        <w:rPr>
          <w:rFonts w:hint="eastAsia" w:ascii="宋体" w:hAnsi="宋体"/>
          <w:b/>
          <w:color w:val="000000" w:themeColor="text1"/>
          <w:szCs w:val="21"/>
          <w:highlight w:val="none"/>
          <w14:textFill>
            <w14:solidFill>
              <w14:schemeClr w14:val="tx1"/>
            </w14:solidFill>
          </w14:textFill>
        </w:rPr>
        <w:t>符合磋商文件的规定</w:t>
      </w:r>
      <w:bookmarkEnd w:id="75"/>
      <w:r>
        <w:rPr>
          <w:rFonts w:hint="eastAsia" w:ascii="宋体" w:hAnsi="宋体"/>
          <w:b/>
          <w:color w:val="000000" w:themeColor="text1"/>
          <w:szCs w:val="21"/>
          <w:highlight w:val="none"/>
          <w:lang w:eastAsia="zh-CN"/>
          <w14:textFill>
            <w14:solidFill>
              <w14:schemeClr w14:val="tx1"/>
            </w14:solidFill>
          </w14:textFill>
        </w:rPr>
        <w:t>；</w:t>
      </w:r>
    </w:p>
    <w:p w14:paraId="470FFEBE">
      <w:pPr>
        <w:spacing w:line="360" w:lineRule="auto"/>
        <w:ind w:firstLine="422" w:firstLineChars="200"/>
        <w:rPr>
          <w:rFonts w:ascii="宋体" w:hAnsi="宋体" w:cs="宋体"/>
          <w:b/>
          <w:color w:val="000000" w:themeColor="text1"/>
          <w:szCs w:val="21"/>
          <w:highlight w:val="none"/>
          <w14:textFill>
            <w14:solidFill>
              <w14:schemeClr w14:val="tx1"/>
            </w14:solidFill>
          </w14:textFill>
        </w:rPr>
      </w:pPr>
      <w:r>
        <w:rPr>
          <w:rFonts w:ascii="宋体" w:hAnsi="宋体" w:cs="宋体"/>
          <w:b/>
          <w:color w:val="000000" w:themeColor="text1"/>
          <w:szCs w:val="21"/>
          <w:highlight w:val="none"/>
          <w14:textFill>
            <w14:solidFill>
              <w14:schemeClr w14:val="tx1"/>
            </w14:solidFill>
          </w14:textFill>
        </w:rPr>
        <w:t>1</w:t>
      </w:r>
      <w:r>
        <w:rPr>
          <w:rFonts w:hint="eastAsia" w:ascii="宋体" w:hAnsi="宋体" w:cs="宋体"/>
          <w:b/>
          <w:color w:val="000000" w:themeColor="text1"/>
          <w:szCs w:val="21"/>
          <w:highlight w:val="none"/>
          <w14:textFill>
            <w14:solidFill>
              <w14:schemeClr w14:val="tx1"/>
            </w14:solidFill>
          </w14:textFill>
        </w:rPr>
        <w:t>5）未响应磋商文件实质性要求的。</w:t>
      </w:r>
    </w:p>
    <w:p w14:paraId="0ADD2D09">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2.6</w:t>
      </w:r>
      <w:r>
        <w:rPr>
          <w:rFonts w:hint="eastAsia" w:ascii="宋体" w:hAnsi="宋体" w:cs="宋体"/>
          <w:color w:val="000000" w:themeColor="text1"/>
          <w:szCs w:val="21"/>
          <w:highlight w:val="none"/>
          <w14:textFill>
            <w14:solidFill>
              <w14:schemeClr w14:val="tx1"/>
            </w14:solidFill>
          </w14:textFill>
        </w:rPr>
        <w:t>磋商小组对响应文件进行评审，未实质性响应磋商文件的响应文件按无效处理，磋商小组应当将资格和符合性不通过的情况告知有关供应商。</w:t>
      </w:r>
    </w:p>
    <w:p w14:paraId="56FAA60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2.7</w:t>
      </w:r>
      <w:r>
        <w:rPr>
          <w:rFonts w:hint="eastAsia" w:ascii="宋体" w:hAnsi="宋体"/>
          <w:color w:val="000000" w:themeColor="text1"/>
          <w:szCs w:val="21"/>
          <w:highlight w:val="none"/>
          <w14:textFill>
            <w14:solidFill>
              <w14:schemeClr w14:val="tx1"/>
            </w14:solidFill>
          </w14:textFill>
        </w:rPr>
        <w:t>通过符合性审查的合格供应商不足3家的，不得进入磋商环节，应当重新开展采购活动。</w:t>
      </w:r>
    </w:p>
    <w:p w14:paraId="15FAE3E5">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3</w:t>
      </w:r>
      <w:r>
        <w:rPr>
          <w:rFonts w:hint="eastAsia" w:ascii="黑体" w:hAnsi="黑体" w:eastAsia="黑体" w:cs="宋体"/>
          <w:b/>
          <w:bCs/>
          <w:color w:val="000000" w:themeColor="text1"/>
          <w:sz w:val="24"/>
          <w:highlight w:val="none"/>
          <w14:textFill>
            <w14:solidFill>
              <w14:schemeClr w14:val="tx1"/>
            </w14:solidFill>
          </w14:textFill>
        </w:rPr>
        <w:t>.磋商程序</w:t>
      </w:r>
    </w:p>
    <w:p w14:paraId="7F83693C">
      <w:pPr>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r>
        <w:rPr>
          <w:rFonts w:ascii="宋体" w:hAnsi="宋体" w:cs="宋体"/>
          <w:color w:val="000000" w:themeColor="text1"/>
          <w:kern w:val="0"/>
          <w:szCs w:val="21"/>
          <w:highlight w:val="none"/>
          <w14:textFill>
            <w14:solidFill>
              <w14:schemeClr w14:val="tx1"/>
            </w14:solidFill>
          </w14:textFill>
        </w:rPr>
        <w:t>.1</w:t>
      </w:r>
      <w:r>
        <w:rPr>
          <w:rFonts w:hint="eastAsia" w:ascii="宋体" w:hAnsi="宋体" w:cs="宋体"/>
          <w:color w:val="000000" w:themeColor="text1"/>
          <w:kern w:val="0"/>
          <w:szCs w:val="21"/>
          <w:highlight w:val="none"/>
          <w14:textFill>
            <w14:solidFill>
              <w14:schemeClr w14:val="tx1"/>
            </w14:solidFill>
          </w14:textFill>
        </w:rPr>
        <w:t>磋商小组</w:t>
      </w:r>
      <w:r>
        <w:rPr>
          <w:rFonts w:hint="eastAsia" w:ascii="宋体" w:hAnsi="宋体" w:cs="宋体"/>
          <w:color w:val="000000" w:themeColor="text1"/>
          <w:szCs w:val="21"/>
          <w:highlight w:val="none"/>
          <w14:textFill>
            <w14:solidFill>
              <w14:schemeClr w14:val="tx1"/>
            </w14:solidFill>
          </w14:textFill>
        </w:rPr>
        <w:t>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处理。</w:t>
      </w:r>
    </w:p>
    <w:p w14:paraId="7B5CE4A2">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3.2</w:t>
      </w:r>
      <w:r>
        <w:rPr>
          <w:rFonts w:hint="eastAsia" w:ascii="宋体" w:hAnsi="宋体" w:cs="宋体"/>
          <w:color w:val="000000" w:themeColor="text1"/>
          <w:szCs w:val="21"/>
          <w:highlight w:val="none"/>
          <w14:textFill>
            <w14:solidFill>
              <w14:schemeClr w14:val="tx1"/>
            </w14:solidFill>
          </w14:textFill>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1A1B0C62">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3.3</w:t>
      </w:r>
      <w:r>
        <w:rPr>
          <w:rFonts w:hint="eastAsia" w:ascii="宋体" w:hAnsi="宋体" w:cs="宋体"/>
          <w:color w:val="000000" w:themeColor="text1"/>
          <w:szCs w:val="21"/>
          <w:highlight w:val="none"/>
          <w14:textFill>
            <w14:solidFill>
              <w14:schemeClr w14:val="tx1"/>
            </w14:solidFill>
          </w14:textFill>
        </w:rPr>
        <w:t>对磋商文件作出的实质性变动是磋商文件的有效组成部分，由磋商小组及时以电子澄清函形式同时通知所有参加磋商的供应商。</w:t>
      </w:r>
    </w:p>
    <w:p w14:paraId="52B72681">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3.4</w:t>
      </w:r>
      <w:r>
        <w:rPr>
          <w:rFonts w:hint="eastAsia" w:ascii="宋体" w:hAnsi="宋体" w:cs="宋体"/>
          <w:color w:val="000000" w:themeColor="text1"/>
          <w:szCs w:val="21"/>
          <w:highlight w:val="none"/>
          <w14:textFill>
            <w14:solidFill>
              <w14:schemeClr w14:val="tx1"/>
            </w14:solidFill>
          </w14:textFill>
        </w:rPr>
        <w:t>供应商必须按照磋商文件的变动情况和磋商小组的要求以回函的形式重新提交响应文件，并加盖电子签章。参加磋商的供应商未在规定时间内重新提交响应文件的，视同退出磋商，其响应文件按无效处理。</w:t>
      </w:r>
    </w:p>
    <w:p w14:paraId="4362CBA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3.5</w:t>
      </w:r>
      <w:r>
        <w:rPr>
          <w:rFonts w:hint="eastAsia" w:ascii="宋体" w:hAnsi="宋体" w:cs="宋体"/>
          <w:color w:val="000000" w:themeColor="text1"/>
          <w:szCs w:val="21"/>
          <w:highlight w:val="none"/>
          <w14:textFill>
            <w14:solidFill>
              <w14:schemeClr w14:val="tx1"/>
            </w14:solidFill>
          </w14:textFill>
        </w:rPr>
        <w:t>磋商中，磋商的任何一方不得透露与磋商有关的其他供应商的技术资料、价格和其他信息</w:t>
      </w:r>
      <w:r>
        <w:rPr>
          <w:rFonts w:hint="eastAsia" w:ascii="宋体" w:hAnsi="宋体" w:cs="宋体"/>
          <w:color w:val="000000" w:themeColor="text1"/>
          <w:spacing w:val="-6"/>
          <w:szCs w:val="21"/>
          <w:highlight w:val="none"/>
          <w14:textFill>
            <w14:solidFill>
              <w14:schemeClr w14:val="tx1"/>
            </w14:solidFill>
          </w14:textFill>
        </w:rPr>
        <w:t>。</w:t>
      </w:r>
    </w:p>
    <w:p w14:paraId="0F66F09D">
      <w:pPr>
        <w:widowControl/>
        <w:tabs>
          <w:tab w:val="left" w:pos="540"/>
        </w:tabs>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3.6</w:t>
      </w:r>
      <w:r>
        <w:rPr>
          <w:rFonts w:hint="eastAsia" w:ascii="宋体" w:hAnsi="宋体" w:cs="宋体"/>
          <w:color w:val="000000" w:themeColor="text1"/>
          <w:szCs w:val="21"/>
          <w:highlight w:val="none"/>
          <w14:textFill>
            <w14:solidFill>
              <w14:schemeClr w14:val="tx1"/>
            </w14:solidFill>
          </w14:textFill>
        </w:rPr>
        <w:t>采购代理机构对磋商过程和磋商内容进行记录。</w:t>
      </w:r>
    </w:p>
    <w:p w14:paraId="2CF031EC">
      <w:pPr>
        <w:widowControl/>
        <w:tabs>
          <w:tab w:val="left" w:pos="540"/>
        </w:tabs>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ascii="宋体" w:hAnsi="宋体" w:cs="宋体"/>
          <w:color w:val="000000" w:themeColor="text1"/>
          <w:szCs w:val="21"/>
          <w:highlight w:val="none"/>
          <w14:textFill>
            <w14:solidFill>
              <w14:schemeClr w14:val="tx1"/>
            </w14:solidFill>
          </w14:textFill>
        </w:rPr>
        <w:t>.7</w:t>
      </w:r>
      <w:r>
        <w:rPr>
          <w:color w:val="000000" w:themeColor="text1"/>
          <w:highlight w:val="none"/>
          <w14:textFill>
            <w14:solidFill>
              <w14:schemeClr w14:val="tx1"/>
            </w14:solidFill>
          </w14:textFill>
        </w:rPr>
        <w:t>根据《</w:t>
      </w:r>
      <w:r>
        <w:rPr>
          <w:rFonts w:ascii="宋体" w:hAnsi="宋体"/>
          <w:color w:val="000000" w:themeColor="text1"/>
          <w:highlight w:val="none"/>
          <w14:textFill>
            <w14:solidFill>
              <w14:schemeClr w14:val="tx1"/>
            </w14:solidFill>
          </w14:textFill>
        </w:rPr>
        <w:t>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1F36EB3A">
      <w:pPr>
        <w:tabs>
          <w:tab w:val="left" w:pos="2835"/>
        </w:tabs>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3.8除</w:t>
      </w:r>
      <w:r>
        <w:rPr>
          <w:rFonts w:ascii="宋体" w:hAnsi="宋体"/>
          <w:color w:val="000000" w:themeColor="text1"/>
          <w:highlight w:val="none"/>
          <w14:textFill>
            <w14:solidFill>
              <w14:schemeClr w14:val="tx1"/>
            </w14:solidFill>
          </w14:textFill>
        </w:rPr>
        <w:t>本章第3.7条</w:t>
      </w:r>
      <w:r>
        <w:rPr>
          <w:rFonts w:hint="eastAsia" w:ascii="宋体" w:hAnsi="宋体"/>
          <w:color w:val="000000" w:themeColor="text1"/>
          <w:highlight w:val="none"/>
          <w14:textFill>
            <w14:solidFill>
              <w14:schemeClr w14:val="tx1"/>
            </w14:solidFill>
          </w14:textFill>
        </w:rPr>
        <w:t>规定的</w:t>
      </w:r>
      <w:r>
        <w:rPr>
          <w:rFonts w:ascii="宋体" w:hAnsi="宋体"/>
          <w:color w:val="000000" w:themeColor="text1"/>
          <w:highlight w:val="none"/>
          <w14:textFill>
            <w14:solidFill>
              <w14:schemeClr w14:val="tx1"/>
            </w14:solidFill>
          </w14:textFill>
        </w:rPr>
        <w:t>情形</w:t>
      </w:r>
      <w:r>
        <w:rPr>
          <w:rFonts w:hint="eastAsia" w:ascii="宋体" w:hAnsi="宋体"/>
          <w:color w:val="000000" w:themeColor="text1"/>
          <w:highlight w:val="none"/>
          <w14:textFill>
            <w14:solidFill>
              <w14:schemeClr w14:val="tx1"/>
            </w14:solidFill>
          </w14:textFill>
        </w:rPr>
        <w:t>外，</w:t>
      </w:r>
      <w:r>
        <w:rPr>
          <w:rFonts w:hint="eastAsia" w:ascii="宋体" w:hAnsi="宋体"/>
          <w:color w:val="000000" w:themeColor="text1"/>
          <w:szCs w:val="21"/>
          <w:highlight w:val="none"/>
          <w14:textFill>
            <w14:solidFill>
              <w14:schemeClr w14:val="tx1"/>
            </w14:solidFill>
          </w14:textFill>
        </w:rPr>
        <w:t>对磋商过程提交的响应文件进行有效性、完整性和响应程度审查，通过审查的合格供应商不足3家的，应当重新开展采购活动。</w:t>
      </w:r>
    </w:p>
    <w:p w14:paraId="6B53DF73">
      <w:pPr>
        <w:spacing w:line="360" w:lineRule="auto"/>
        <w:ind w:firstLine="482" w:firstLineChars="200"/>
        <w:rPr>
          <w:rFonts w:ascii="宋体" w:hAnsi="宋体" w:cs="宋体"/>
          <w:color w:val="000000" w:themeColor="text1"/>
          <w:szCs w:val="21"/>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4.</w:t>
      </w:r>
      <w:r>
        <w:rPr>
          <w:rFonts w:hint="eastAsia" w:ascii="黑体" w:hAnsi="黑体" w:eastAsia="黑体" w:cs="宋体"/>
          <w:b/>
          <w:bCs/>
          <w:color w:val="000000" w:themeColor="text1"/>
          <w:sz w:val="24"/>
          <w:highlight w:val="none"/>
          <w14:textFill>
            <w14:solidFill>
              <w14:schemeClr w14:val="tx1"/>
            </w14:solidFill>
          </w14:textFill>
        </w:rPr>
        <w:t xml:space="preserve"> 最后报价</w:t>
      </w:r>
    </w:p>
    <w:p w14:paraId="4F1A1738">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磋商文件能够详细列明采购标的的技术、服务要求的，磋商结束后，磋商小组应当要求所有继续参加磋商的供应商在规定时间内在广西政府采购云平台开标大厅提交加盖供应商电子签章的最后报价，除本章第</w:t>
      </w:r>
      <w:r>
        <w:rPr>
          <w:rFonts w:ascii="宋体" w:hAnsi="宋体" w:cs="宋体"/>
          <w:color w:val="000000" w:themeColor="text1"/>
          <w:szCs w:val="21"/>
          <w:highlight w:val="none"/>
          <w14:textFill>
            <w14:solidFill>
              <w14:schemeClr w14:val="tx1"/>
            </w14:solidFill>
          </w14:textFill>
        </w:rPr>
        <w:t>4.3</w:t>
      </w:r>
      <w:r>
        <w:rPr>
          <w:rFonts w:hint="eastAsia" w:ascii="宋体" w:hAnsi="宋体" w:cs="宋体"/>
          <w:color w:val="000000" w:themeColor="text1"/>
          <w:szCs w:val="21"/>
          <w:highlight w:val="none"/>
          <w14:textFill>
            <w14:solidFill>
              <w14:schemeClr w14:val="tx1"/>
            </w14:solidFill>
          </w14:textFill>
        </w:rPr>
        <w:t>条规定的情形外，提交最后报价的供应商不得少于3家，否则应当重新</w:t>
      </w:r>
      <w:r>
        <w:rPr>
          <w:rFonts w:hint="eastAsia" w:ascii="宋体" w:hAnsi="宋体"/>
          <w:color w:val="000000" w:themeColor="text1"/>
          <w:szCs w:val="21"/>
          <w:highlight w:val="none"/>
          <w14:textFill>
            <w14:solidFill>
              <w14:schemeClr w14:val="tx1"/>
            </w14:solidFill>
          </w14:textFill>
        </w:rPr>
        <w:t>开展采购活动</w:t>
      </w:r>
      <w:r>
        <w:rPr>
          <w:rFonts w:hint="eastAsia" w:ascii="宋体" w:hAnsi="宋体" w:cs="宋体"/>
          <w:color w:val="000000" w:themeColor="text1"/>
          <w:szCs w:val="21"/>
          <w:highlight w:val="none"/>
          <w14:textFill>
            <w14:solidFill>
              <w14:schemeClr w14:val="tx1"/>
            </w14:solidFill>
          </w14:textFill>
        </w:rPr>
        <w:t>。</w:t>
      </w:r>
    </w:p>
    <w:p w14:paraId="39C4501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广西政府采购云平台开标大厅提交最后报价。</w:t>
      </w:r>
      <w:r>
        <w:rPr>
          <w:rFonts w:hint="eastAsia" w:ascii="宋体" w:hAnsi="宋体" w:cs="宋体"/>
          <w:b/>
          <w:color w:val="000000" w:themeColor="text1"/>
          <w:szCs w:val="21"/>
          <w:highlight w:val="none"/>
          <w14:textFill>
            <w14:solidFill>
              <w14:schemeClr w14:val="tx1"/>
            </w14:solidFill>
          </w14:textFill>
        </w:rPr>
        <w:t>如果供应商的最后报价与首次报价不一致的，不能只报竞标总报价，必须同时提供“已标价工程量清单”，否则做无效响应处理。</w:t>
      </w:r>
    </w:p>
    <w:p w14:paraId="46B737C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4.3</w:t>
      </w:r>
      <w:r>
        <w:rPr>
          <w:rFonts w:hint="eastAsia" w:ascii="宋体" w:hAnsi="宋体" w:cs="宋体"/>
          <w:color w:val="000000" w:themeColor="text1"/>
          <w:szCs w:val="21"/>
          <w:highlight w:val="none"/>
          <w14:textFill>
            <w14:solidFill>
              <w14:schemeClr w14:val="tx1"/>
            </w14:solidFill>
          </w14:textFill>
        </w:rPr>
        <w:t xml:space="preserve"> 最后报价是供应商响应文件的有效组成部分。</w:t>
      </w:r>
    </w:p>
    <w:p w14:paraId="08983DC0">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符合《政府采购竞争性磋商采购方式管理暂行办法》（财库〔2014〕214号）第三条第四项“市场竞争不充分的科研项目，以及需要扶持的科技成果转化项目”和</w:t>
      </w:r>
      <w:r>
        <w:rPr>
          <w:color w:val="000000" w:themeColor="text1"/>
          <w:highlight w:val="none"/>
          <w14:textFill>
            <w14:solidFill>
              <w14:schemeClr w14:val="tx1"/>
            </w14:solidFill>
          </w14:textFill>
        </w:rPr>
        <w:t>本章</w:t>
      </w:r>
      <w:r>
        <w:rPr>
          <w:rFonts w:ascii="宋体" w:hAnsi="宋体"/>
          <w:color w:val="000000" w:themeColor="text1"/>
          <w:highlight w:val="none"/>
          <w14:textFill>
            <w14:solidFill>
              <w14:schemeClr w14:val="tx1"/>
            </w14:solidFill>
          </w14:textFill>
        </w:rPr>
        <w:t>第3.7条</w:t>
      </w:r>
      <w:r>
        <w:rPr>
          <w:rFonts w:hint="eastAsia" w:ascii="宋体" w:hAnsi="宋体" w:cs="宋体"/>
          <w:color w:val="000000" w:themeColor="text1"/>
          <w:szCs w:val="21"/>
          <w:highlight w:val="none"/>
          <w14:textFill>
            <w14:solidFill>
              <w14:schemeClr w14:val="tx1"/>
            </w14:solidFill>
          </w14:textFill>
        </w:rPr>
        <w:t>规定</w:t>
      </w:r>
      <w:r>
        <w:rPr>
          <w:color w:val="000000" w:themeColor="text1"/>
          <w:highlight w:val="none"/>
          <w14:textFill>
            <w14:solidFill>
              <w14:schemeClr w14:val="tx1"/>
            </w14:solidFill>
          </w14:textFill>
        </w:rPr>
        <w:t>情形的，</w:t>
      </w:r>
      <w:r>
        <w:rPr>
          <w:rFonts w:hint="eastAsia" w:ascii="宋体" w:hAnsi="宋体" w:cs="宋体"/>
          <w:color w:val="000000" w:themeColor="text1"/>
          <w:szCs w:val="21"/>
          <w:highlight w:val="none"/>
          <w14:textFill>
            <w14:solidFill>
              <w14:schemeClr w14:val="tx1"/>
            </w14:solidFill>
          </w14:textFill>
        </w:rPr>
        <w:t>提交最后报价的供应商可以为2家。</w:t>
      </w:r>
    </w:p>
    <w:p w14:paraId="553F8E3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4.4</w:t>
      </w:r>
      <w:r>
        <w:rPr>
          <w:rFonts w:hint="eastAsia" w:ascii="宋体" w:hAnsi="宋体" w:cs="宋体"/>
          <w:color w:val="000000" w:themeColor="text1"/>
          <w:szCs w:val="21"/>
          <w:highlight w:val="none"/>
          <w14:textFill>
            <w14:solidFill>
              <w14:schemeClr w14:val="tx1"/>
            </w14:solidFill>
          </w14:textFill>
        </w:rPr>
        <w:t>已经提交响应文件的供应商，在提交最后报价之前，可以根据磋商情况退出磋商，退出磋商的供应商的响应文件按无效处理。采购人、采购代理机构将退还退出磋商的供应商的保证金。</w:t>
      </w:r>
    </w:p>
    <w:p w14:paraId="74124AF7">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4.5</w:t>
      </w:r>
      <w:r>
        <w:rPr>
          <w:rFonts w:hint="eastAsia" w:ascii="宋体" w:hAnsi="宋体" w:cs="宋体"/>
          <w:color w:val="000000" w:themeColor="text1"/>
          <w:szCs w:val="21"/>
          <w:highlight w:val="none"/>
          <w14:textFill>
            <w14:solidFill>
              <w14:schemeClr w14:val="tx1"/>
            </w14:solidFill>
          </w14:textFill>
        </w:rPr>
        <w:t>供应商未在规定时间内提交最后报价的，视同退出磋商，其响应文件按无效处理。</w:t>
      </w:r>
    </w:p>
    <w:p w14:paraId="5BD7F576">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4.6</w:t>
      </w:r>
      <w:r>
        <w:rPr>
          <w:rFonts w:hint="eastAsia" w:ascii="宋体" w:hAnsi="宋体" w:cs="宋体"/>
          <w:color w:val="000000" w:themeColor="text1"/>
          <w:szCs w:val="21"/>
          <w:highlight w:val="none"/>
          <w14:textFill>
            <w14:solidFill>
              <w14:schemeClr w14:val="tx1"/>
            </w14:solidFill>
          </w14:textFill>
        </w:rPr>
        <w:t>最后报价统一开启后，磋商小组对最后报价进行有效性、完整性和响应程度的审查。</w:t>
      </w:r>
    </w:p>
    <w:p w14:paraId="5C6C0273">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4.7</w:t>
      </w:r>
      <w:r>
        <w:rPr>
          <w:rFonts w:hint="eastAsia" w:ascii="宋体" w:hAnsi="宋体" w:cs="宋体"/>
          <w:color w:val="000000" w:themeColor="text1"/>
          <w:szCs w:val="21"/>
          <w:highlight w:val="none"/>
          <w14:textFill>
            <w14:solidFill>
              <w14:schemeClr w14:val="tx1"/>
            </w14:solidFill>
          </w14:textFill>
        </w:rPr>
        <w:t>最后报价出现前后不一致的，按照本章第</w:t>
      </w:r>
      <w:r>
        <w:rPr>
          <w:rFonts w:ascii="宋体" w:hAnsi="宋体" w:cs="宋体"/>
          <w:color w:val="000000" w:themeColor="text1"/>
          <w:szCs w:val="21"/>
          <w:highlight w:val="none"/>
          <w14:textFill>
            <w14:solidFill>
              <w14:schemeClr w14:val="tx1"/>
            </w14:solidFill>
          </w14:textFill>
        </w:rPr>
        <w:t>2.4</w:t>
      </w:r>
      <w:r>
        <w:rPr>
          <w:rFonts w:hint="eastAsia" w:ascii="宋体" w:hAnsi="宋体" w:cs="宋体"/>
          <w:color w:val="000000" w:themeColor="text1"/>
          <w:szCs w:val="21"/>
          <w:highlight w:val="none"/>
          <w14:textFill>
            <w14:solidFill>
              <w14:schemeClr w14:val="tx1"/>
            </w14:solidFill>
          </w14:textFill>
        </w:rPr>
        <w:t xml:space="preserve">条的规定修正。 </w:t>
      </w:r>
    </w:p>
    <w:p w14:paraId="4D278673">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4.8</w:t>
      </w:r>
      <w:r>
        <w:rPr>
          <w:rFonts w:hint="eastAsia" w:ascii="宋体" w:hAnsi="宋体" w:cs="宋体"/>
          <w:color w:val="000000" w:themeColor="text1"/>
          <w:szCs w:val="21"/>
          <w:highlight w:val="none"/>
          <w14:textFill>
            <w14:solidFill>
              <w14:schemeClr w14:val="tx1"/>
            </w14:solidFill>
          </w14:textFill>
        </w:rPr>
        <w:t>修正后的报价出现下列情形的，按无效响应处理：</w:t>
      </w:r>
    </w:p>
    <w:p w14:paraId="14E01C91">
      <w:pPr>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（1）供应商不确认的（全流程电子化评标采取在线确认）</w:t>
      </w:r>
      <w:r>
        <w:rPr>
          <w:rFonts w:hint="eastAsia" w:ascii="宋体" w:hAnsi="宋体" w:cs="宋体"/>
          <w:color w:val="000000" w:themeColor="text1"/>
          <w:szCs w:val="21"/>
          <w:highlight w:val="none"/>
          <w:lang w:eastAsia="zh-CN"/>
          <w14:textFill>
            <w14:solidFill>
              <w14:schemeClr w14:val="tx1"/>
            </w14:solidFill>
          </w14:textFill>
        </w:rPr>
        <w:t>；</w:t>
      </w:r>
    </w:p>
    <w:p w14:paraId="1B81DEBA">
      <w:pPr>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（2）经供应商确认修正后的竞标报价（包含首次报价、最后报价）超过所竞标分标规定的采购预算金额或者最高限价的（如本项目公布了最高限价）</w:t>
      </w:r>
      <w:r>
        <w:rPr>
          <w:rFonts w:hint="eastAsia" w:ascii="宋体" w:hAnsi="宋体" w:cs="宋体"/>
          <w:color w:val="000000" w:themeColor="text1"/>
          <w:szCs w:val="21"/>
          <w:highlight w:val="none"/>
          <w:lang w:eastAsia="zh-CN"/>
          <w14:textFill>
            <w14:solidFill>
              <w14:schemeClr w14:val="tx1"/>
            </w14:solidFill>
          </w14:textFill>
        </w:rPr>
        <w:t>；</w:t>
      </w:r>
    </w:p>
    <w:p w14:paraId="787CC29E">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（3）经供应商确认修正后的竞标报价（包含首次报价、最后报价）超过分项采购预算金额或者单价最高限价的（如项目有要求并公布了分项采购预算金额或者单价最高限价）。</w:t>
      </w:r>
    </w:p>
    <w:p w14:paraId="04090765">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4.9</w:t>
      </w:r>
      <w:r>
        <w:rPr>
          <w:rFonts w:hint="eastAsia" w:ascii="宋体" w:hAnsi="宋体" w:cs="宋体"/>
          <w:color w:val="000000" w:themeColor="text1"/>
          <w:szCs w:val="21"/>
          <w:highlight w:val="none"/>
          <w14:textFill>
            <w14:solidFill>
              <w14:schemeClr w14:val="tx1"/>
            </w14:solidFill>
          </w14:textFill>
        </w:rPr>
        <w:t>经供应商确认修正后的最后报价作为评审及签订合同的依据。</w:t>
      </w:r>
    </w:p>
    <w:p w14:paraId="5A56247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4.10供应商出现最后报价按无效响应处理或者响应文件按无效处理时</w:t>
      </w:r>
      <w:r>
        <w:rPr>
          <w:rFonts w:hint="eastAsia" w:ascii="宋体" w:hAnsi="宋体"/>
          <w:color w:val="000000" w:themeColor="text1"/>
          <w:sz w:val="22"/>
          <w:szCs w:val="22"/>
          <w:highlight w:val="none"/>
          <w14:textFill>
            <w14:solidFill>
              <w14:schemeClr w14:val="tx1"/>
            </w14:solidFill>
          </w14:textFill>
        </w:rPr>
        <w:t>，磋商小组应当告知有关供应商</w:t>
      </w:r>
      <w:r>
        <w:rPr>
          <w:rFonts w:hint="eastAsia" w:ascii="宋体" w:hAnsi="宋体" w:cs="宋体"/>
          <w:color w:val="000000" w:themeColor="text1"/>
          <w:szCs w:val="21"/>
          <w:highlight w:val="none"/>
          <w14:textFill>
            <w14:solidFill>
              <w14:schemeClr w14:val="tx1"/>
            </w14:solidFill>
          </w14:textFill>
        </w:rPr>
        <w:t>。</w:t>
      </w:r>
    </w:p>
    <w:p w14:paraId="2A44075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1最后报价结束后，磋商小组不得再与供应商进行任何形式的商谈。</w:t>
      </w:r>
    </w:p>
    <w:p w14:paraId="5713476D">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5</w:t>
      </w:r>
      <w:r>
        <w:rPr>
          <w:rFonts w:ascii="黑体" w:hAnsi="黑体" w:eastAsia="黑体" w:cs="宋体"/>
          <w:b/>
          <w:bCs/>
          <w:color w:val="000000" w:themeColor="text1"/>
          <w:sz w:val="24"/>
          <w:highlight w:val="none"/>
          <w14:textFill>
            <w14:solidFill>
              <w14:schemeClr w14:val="tx1"/>
            </w14:solidFill>
          </w14:textFill>
        </w:rPr>
        <w:t>.</w:t>
      </w:r>
      <w:r>
        <w:rPr>
          <w:rFonts w:hint="eastAsia" w:ascii="黑体" w:hAnsi="黑体" w:eastAsia="黑体" w:cs="宋体"/>
          <w:b/>
          <w:bCs/>
          <w:color w:val="000000" w:themeColor="text1"/>
          <w:sz w:val="24"/>
          <w:highlight w:val="none"/>
          <w14:textFill>
            <w14:solidFill>
              <w14:schemeClr w14:val="tx1"/>
            </w14:solidFill>
          </w14:textFill>
        </w:rPr>
        <w:t>比较与评价</w:t>
      </w:r>
    </w:p>
    <w:p w14:paraId="3C177DC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5.1</w:t>
      </w:r>
      <w:r>
        <w:rPr>
          <w:rFonts w:hint="eastAsia" w:ascii="宋体" w:hAnsi="宋体" w:cs="宋体"/>
          <w:color w:val="000000" w:themeColor="text1"/>
          <w:szCs w:val="21"/>
          <w:highlight w:val="none"/>
          <w14:textFill>
            <w14:solidFill>
              <w14:schemeClr w14:val="tx1"/>
            </w14:solidFill>
          </w14:textFill>
        </w:rPr>
        <w:t>评审方法：综合评分法。</w:t>
      </w:r>
    </w:p>
    <w:p w14:paraId="40149A7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5.2</w:t>
      </w:r>
      <w:r>
        <w:rPr>
          <w:rFonts w:hint="eastAsia" w:ascii="宋体" w:hAnsi="宋体" w:cs="宋体"/>
          <w:color w:val="000000" w:themeColor="text1"/>
          <w:szCs w:val="21"/>
          <w:highlight w:val="none"/>
          <w14:textFill>
            <w14:solidFill>
              <w14:schemeClr w14:val="tx1"/>
            </w14:solidFill>
          </w14:textFill>
        </w:rPr>
        <w:t>经磋商确定最终采购需求和提交最后报价的供应商后，由磋商小组采用综合评分法对提交最后报价的供应商的响应文件和最后报价进行综合评分。</w:t>
      </w:r>
    </w:p>
    <w:p w14:paraId="32FBF622">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5.3</w:t>
      </w:r>
      <w:r>
        <w:rPr>
          <w:rFonts w:hint="eastAsia" w:ascii="宋体" w:hAnsi="宋体" w:cs="宋体"/>
          <w:color w:val="000000" w:themeColor="text1"/>
          <w:szCs w:val="21"/>
          <w:highlight w:val="none"/>
          <w14:textFill>
            <w14:solidFill>
              <w14:schemeClr w14:val="tx1"/>
            </w14:solidFill>
          </w14:textFill>
        </w:rPr>
        <w:t>评审时，磋商小组各成员应当独立对每个有效响应的文件进行评价、打分，然后汇总每个供应商每项评分因素的得分。</w:t>
      </w:r>
    </w:p>
    <w:p w14:paraId="366EBCD5">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（1）磋商小组按照磋商文件中规定的评审标准计算各供应商的报价得分。项目评审过程中，不得去掉最后报价中的最高报价和最低报价。</w:t>
      </w:r>
    </w:p>
    <w:p w14:paraId="769EEBF2">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（2）各供应商的得分为磋商小组所有成员的有效评分的算术平均数。</w:t>
      </w:r>
    </w:p>
    <w:p w14:paraId="30B2C53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5.4</w:t>
      </w:r>
      <w:r>
        <w:rPr>
          <w:rFonts w:hint="eastAsia" w:ascii="宋体" w:hAnsi="宋体" w:cs="宋体"/>
          <w:color w:val="000000" w:themeColor="text1"/>
          <w:szCs w:val="21"/>
          <w:highlight w:val="none"/>
          <w14:textFill>
            <w14:solidFill>
              <w14:schemeClr w14:val="tx1"/>
            </w14:solidFill>
          </w14:textFill>
        </w:rPr>
        <w:t>评审价为供应商的最后报价进行政策性扣除后的价格，评审价只是作为评审时使用。最终成交供应商的成交金额等于最后报价（如有修正，以确认修正后的最后报价为准）。</w:t>
      </w:r>
    </w:p>
    <w:p w14:paraId="3E488FBB">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6. 成交供应商荐原则</w:t>
      </w:r>
    </w:p>
    <w:p w14:paraId="5BCE59BA">
      <w:pPr>
        <w:spacing w:line="360" w:lineRule="auto"/>
        <w:ind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w:t>
      </w: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由磋商小组根据综合评分情况，按照评审得分由高到低顺序推荐3名以上成交候选供应商，并编写评审报告，</w:t>
      </w:r>
      <w:r>
        <w:rPr>
          <w:rFonts w:hint="eastAsia" w:ascii="宋体" w:hAnsi="宋体" w:cs="宋体"/>
          <w:color w:val="000000" w:themeColor="text1"/>
          <w:highlight w:val="none"/>
          <w14:textFill>
            <w14:solidFill>
              <w14:schemeClr w14:val="tx1"/>
            </w14:solidFill>
          </w14:textFill>
        </w:rPr>
        <w:t>评审报告</w:t>
      </w:r>
      <w:r>
        <w:rPr>
          <w:rFonts w:hint="eastAsia" w:hAnsi="宋体"/>
          <w:color w:val="000000" w:themeColor="text1"/>
          <w:highlight w:val="none"/>
          <w14:textFill>
            <w14:solidFill>
              <w14:schemeClr w14:val="tx1"/>
            </w14:solidFill>
          </w14:textFill>
        </w:rPr>
        <w:t>通过电子交易平台向采购人、采购代理机构提交。</w:t>
      </w:r>
      <w:r>
        <w:rPr>
          <w:rFonts w:hint="eastAsia" w:ascii="宋体" w:hAnsi="宋体"/>
          <w:bCs/>
          <w:color w:val="000000" w:themeColor="text1"/>
          <w:szCs w:val="21"/>
          <w:highlight w:val="none"/>
          <w14:textFill>
            <w14:solidFill>
              <w14:schemeClr w14:val="tx1"/>
            </w14:solidFill>
          </w14:textFill>
        </w:rPr>
        <w:t>符合本章第</w:t>
      </w:r>
      <w:r>
        <w:rPr>
          <w:rFonts w:ascii="宋体" w:hAnsi="宋体"/>
          <w:bCs/>
          <w:color w:val="000000" w:themeColor="text1"/>
          <w:szCs w:val="21"/>
          <w:highlight w:val="none"/>
          <w14:textFill>
            <w14:solidFill>
              <w14:schemeClr w14:val="tx1"/>
            </w14:solidFill>
          </w14:textFill>
        </w:rPr>
        <w:t>4.3</w:t>
      </w:r>
      <w:r>
        <w:rPr>
          <w:rFonts w:hint="eastAsia" w:ascii="宋体" w:hAnsi="宋体"/>
          <w:bCs/>
          <w:color w:val="000000" w:themeColor="text1"/>
          <w:szCs w:val="21"/>
          <w:highlight w:val="none"/>
          <w14:textFill>
            <w14:solidFill>
              <w14:schemeClr w14:val="tx1"/>
            </w14:solidFill>
          </w14:textFill>
        </w:rPr>
        <w:t>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技术要求偏离分由高到低排序）。评审得分、最后报价（不计算价格折扣）、技术得分均相同的，由磋商小组随机抽取推荐</w:t>
      </w:r>
      <w:r>
        <w:rPr>
          <w:rFonts w:hint="eastAsia" w:ascii="宋体" w:hAnsi="宋体"/>
          <w:color w:val="000000" w:themeColor="text1"/>
          <w:kern w:val="0"/>
          <w:szCs w:val="21"/>
          <w:highlight w:val="none"/>
          <w14:textFill>
            <w14:solidFill>
              <w14:schemeClr w14:val="tx1"/>
            </w14:solidFill>
          </w14:textFill>
        </w:rPr>
        <w:t>。</w:t>
      </w:r>
    </w:p>
    <w:p w14:paraId="42307707">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6</w:t>
      </w:r>
      <w:r>
        <w:rPr>
          <w:rFonts w:ascii="宋体" w:hAnsi="宋体"/>
          <w:color w:val="000000" w:themeColor="text1"/>
          <w:kern w:val="0"/>
          <w:szCs w:val="21"/>
          <w:highlight w:val="none"/>
          <w14:textFill>
            <w14:solidFill>
              <w14:schemeClr w14:val="tx1"/>
            </w14:solidFill>
          </w14:textFill>
        </w:rPr>
        <w:t>.</w:t>
      </w:r>
      <w:r>
        <w:rPr>
          <w:rFonts w:hint="eastAsia" w:ascii="宋体" w:hAnsi="宋体"/>
          <w:color w:val="000000" w:themeColor="text1"/>
          <w:kern w:val="0"/>
          <w:szCs w:val="21"/>
          <w:highlight w:val="none"/>
          <w14:textFill>
            <w14:solidFill>
              <w14:schemeClr w14:val="tx1"/>
            </w14:solidFill>
          </w14:textFill>
        </w:rPr>
        <w:t>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B3F7318">
      <w:pPr>
        <w:spacing w:line="360" w:lineRule="auto"/>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二、评审标准</w:t>
      </w:r>
    </w:p>
    <w:p w14:paraId="37465F35">
      <w:pPr>
        <w:spacing w:line="360" w:lineRule="auto"/>
        <w:ind w:firstLine="420" w:firstLineChars="200"/>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7</w:t>
      </w: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评审依据：磋商小组以磋商文件为评审依据，对供应商的报价、技术、商务等方面内容按百分制打分。（计分方法按四舍五入取至百分位）</w:t>
      </w:r>
    </w:p>
    <w:p w14:paraId="3882F917">
      <w:pPr>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br w:type="page"/>
      </w:r>
    </w:p>
    <w:tbl>
      <w:tblPr>
        <w:tblStyle w:val="43"/>
        <w:tblW w:w="9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8"/>
        <w:gridCol w:w="494"/>
        <w:gridCol w:w="1595"/>
        <w:gridCol w:w="5843"/>
        <w:gridCol w:w="878"/>
      </w:tblGrid>
      <w:tr w14:paraId="486D1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8" w:type="dxa"/>
            <w:noWrap w:val="0"/>
            <w:vAlign w:val="center"/>
          </w:tcPr>
          <w:p w14:paraId="00684037">
            <w:pPr>
              <w:widowControl/>
              <w:wordWrap w:val="0"/>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序号</w:t>
            </w:r>
          </w:p>
        </w:tc>
        <w:tc>
          <w:tcPr>
            <w:tcW w:w="2089" w:type="dxa"/>
            <w:gridSpan w:val="2"/>
            <w:noWrap w:val="0"/>
            <w:vAlign w:val="center"/>
          </w:tcPr>
          <w:p w14:paraId="31ADB9CE">
            <w:pPr>
              <w:widowControl/>
              <w:wordWrap w:val="0"/>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评审因素</w:t>
            </w:r>
          </w:p>
        </w:tc>
        <w:tc>
          <w:tcPr>
            <w:tcW w:w="5843" w:type="dxa"/>
            <w:noWrap w:val="0"/>
            <w:vAlign w:val="center"/>
          </w:tcPr>
          <w:p w14:paraId="4F0A353A">
            <w:pPr>
              <w:widowControl/>
              <w:wordWrap w:val="0"/>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评审标准</w:t>
            </w:r>
          </w:p>
        </w:tc>
        <w:tc>
          <w:tcPr>
            <w:tcW w:w="878" w:type="dxa"/>
            <w:noWrap w:val="0"/>
            <w:vAlign w:val="center"/>
          </w:tcPr>
          <w:p w14:paraId="0F175B11">
            <w:pPr>
              <w:widowControl/>
              <w:wordWrap w:val="0"/>
              <w:spacing w:line="40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分值</w:t>
            </w:r>
          </w:p>
        </w:tc>
      </w:tr>
      <w:tr w14:paraId="27ABA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8" w:type="dxa"/>
            <w:noWrap w:val="0"/>
            <w:vAlign w:val="center"/>
          </w:tcPr>
          <w:p w14:paraId="577BF4EA">
            <w:pPr>
              <w:widowControl/>
              <w:wordWrap w:val="0"/>
              <w:spacing w:line="40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c>
          <w:tcPr>
            <w:tcW w:w="2089" w:type="dxa"/>
            <w:gridSpan w:val="2"/>
            <w:noWrap w:val="0"/>
            <w:vAlign w:val="center"/>
          </w:tcPr>
          <w:p w14:paraId="103BCAE2">
            <w:pPr>
              <w:widowControl/>
              <w:wordWrap w:val="0"/>
              <w:spacing w:line="40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价格分</w:t>
            </w:r>
          </w:p>
        </w:tc>
        <w:tc>
          <w:tcPr>
            <w:tcW w:w="5843" w:type="dxa"/>
            <w:noWrap w:val="0"/>
            <w:vAlign w:val="top"/>
          </w:tcPr>
          <w:p w14:paraId="41E3814C">
            <w:pPr>
              <w:pStyle w:val="17"/>
              <w:rPr>
                <w:rFonts w:hAnsi="宋体" w:cs="Courier New"/>
                <w:bCs/>
                <w:color w:val="000000" w:themeColor="text1"/>
                <w:kern w:val="2"/>
                <w:sz w:val="21"/>
                <w:highlight w:val="none"/>
                <w14:textFill>
                  <w14:solidFill>
                    <w14:schemeClr w14:val="tx1"/>
                  </w14:solidFill>
                </w14:textFill>
              </w:rPr>
            </w:pPr>
            <w:r>
              <w:rPr>
                <w:rFonts w:hint="eastAsia" w:hAnsi="宋体" w:cs="Courier New"/>
                <w:bCs/>
                <w:color w:val="000000" w:themeColor="text1"/>
                <w:kern w:val="2"/>
                <w:sz w:val="21"/>
                <w:highlight w:val="none"/>
                <w14:textFill>
                  <w14:solidFill>
                    <w14:schemeClr w14:val="tx1"/>
                  </w14:solidFill>
                </w14:textFill>
              </w:rPr>
              <w:t>（1）</w:t>
            </w:r>
            <w:r>
              <w:rPr>
                <w:color w:val="000000" w:themeColor="text1"/>
                <w:highlight w:val="none"/>
                <w14:textFill>
                  <w14:solidFill>
                    <w14:schemeClr w14:val="tx1"/>
                  </w14:solidFill>
                </w14:textFill>
              </w:rPr>
              <w:t>本</w:t>
            </w:r>
            <w:r>
              <w:rPr>
                <w:rFonts w:hint="eastAsia"/>
                <w:color w:val="000000" w:themeColor="text1"/>
                <w:highlight w:val="none"/>
                <w14:textFill>
                  <w14:solidFill>
                    <w14:schemeClr w14:val="tx1"/>
                  </w14:solidFill>
                </w14:textFill>
              </w:rPr>
              <w:t>项目</w:t>
            </w:r>
            <w:r>
              <w:rPr>
                <w:color w:val="000000" w:themeColor="text1"/>
                <w:highlight w:val="none"/>
                <w14:textFill>
                  <w14:solidFill>
                    <w14:schemeClr w14:val="tx1"/>
                  </w14:solidFill>
                </w14:textFill>
              </w:rPr>
              <w:t>专门面向中小企业采购，根据《</w:t>
            </w:r>
            <w:r>
              <w:rPr>
                <w:rFonts w:hint="eastAsia"/>
                <w:color w:val="000000" w:themeColor="text1"/>
                <w:highlight w:val="none"/>
                <w14:textFill>
                  <w14:solidFill>
                    <w14:schemeClr w14:val="tx1"/>
                  </w14:solidFill>
                </w14:textFill>
              </w:rPr>
              <w:t>政府采购促进中小企业发展管理办法</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规定，不再针对小微企业执行</w:t>
            </w:r>
            <w:r>
              <w:rPr>
                <w:rFonts w:hint="eastAsia" w:hAnsi="宋体" w:cs="Courier New"/>
                <w:bCs/>
                <w:color w:val="000000" w:themeColor="text1"/>
                <w:kern w:val="2"/>
                <w:sz w:val="21"/>
                <w:highlight w:val="none"/>
                <w14:textFill>
                  <w14:solidFill>
                    <w14:schemeClr w14:val="tx1"/>
                  </w14:solidFill>
                </w14:textFill>
              </w:rPr>
              <w:t>价格扣除政策。</w:t>
            </w:r>
          </w:p>
          <w:p w14:paraId="10921AAB">
            <w:pPr>
              <w:pStyle w:val="25"/>
              <w:spacing w:line="360" w:lineRule="auto"/>
              <w:rPr>
                <w:rFonts w:hAnsi="宋体" w:cs="Courier New"/>
                <w:bCs/>
                <w:color w:val="000000" w:themeColor="text1"/>
                <w:kern w:val="2"/>
                <w:sz w:val="21"/>
                <w:highlight w:val="none"/>
                <w14:textFill>
                  <w14:solidFill>
                    <w14:schemeClr w14:val="tx1"/>
                  </w14:solidFill>
                </w14:textFill>
              </w:rPr>
            </w:pPr>
            <w:r>
              <w:rPr>
                <w:rFonts w:hint="eastAsia" w:hAnsi="宋体" w:cs="Courier New"/>
                <w:bCs/>
                <w:color w:val="000000" w:themeColor="text1"/>
                <w:kern w:val="2"/>
                <w:sz w:val="21"/>
                <w:highlight w:val="none"/>
                <w14:textFill>
                  <w14:solidFill>
                    <w14:schemeClr w14:val="tx1"/>
                  </w14:solidFill>
                </w14:textFill>
              </w:rPr>
              <w:t>（2）以进入比较与评价环节的最低的</w:t>
            </w:r>
            <w:r>
              <w:rPr>
                <w:rFonts w:hint="eastAsia" w:hAnsi="宋体" w:cs="Courier New"/>
                <w:bCs/>
                <w:color w:val="000000" w:themeColor="text1"/>
                <w:kern w:val="2"/>
                <w:sz w:val="21"/>
                <w:highlight w:val="none"/>
                <w:lang w:val="en-US" w:eastAsia="zh-CN"/>
                <w14:textFill>
                  <w14:solidFill>
                    <w14:schemeClr w14:val="tx1"/>
                  </w14:solidFill>
                </w14:textFill>
              </w:rPr>
              <w:t>最后报</w:t>
            </w:r>
            <w:r>
              <w:rPr>
                <w:rFonts w:hint="eastAsia" w:hAnsi="宋体" w:cs="Courier New"/>
                <w:bCs/>
                <w:color w:val="000000" w:themeColor="text1"/>
                <w:kern w:val="2"/>
                <w:sz w:val="21"/>
                <w:highlight w:val="none"/>
                <w14:textFill>
                  <w14:solidFill>
                    <w14:schemeClr w14:val="tx1"/>
                  </w14:solidFill>
                </w14:textFill>
              </w:rPr>
              <w:t>价为基准价，基准价得分为</w:t>
            </w:r>
            <w:r>
              <w:rPr>
                <w:rFonts w:hAnsi="宋体" w:cs="Courier New"/>
                <w:bCs/>
                <w:color w:val="000000" w:themeColor="text1"/>
                <w:kern w:val="2"/>
                <w:sz w:val="21"/>
                <w:highlight w:val="none"/>
                <w14:textFill>
                  <w14:solidFill>
                    <w14:schemeClr w14:val="tx1"/>
                  </w14:solidFill>
                </w14:textFill>
              </w:rPr>
              <w:t xml:space="preserve"> </w:t>
            </w:r>
            <w:r>
              <w:rPr>
                <w:rFonts w:hint="eastAsia" w:hAnsi="宋体" w:cs="Courier New"/>
                <w:bCs/>
                <w:color w:val="000000" w:themeColor="text1"/>
                <w:kern w:val="2"/>
                <w:sz w:val="21"/>
                <w:highlight w:val="none"/>
                <w:lang w:val="en-US" w:eastAsia="zh-CN"/>
                <w14:textFill>
                  <w14:solidFill>
                    <w14:schemeClr w14:val="tx1"/>
                  </w14:solidFill>
                </w14:textFill>
              </w:rPr>
              <w:t>2</w:t>
            </w:r>
            <w:r>
              <w:rPr>
                <w:rFonts w:hint="eastAsia" w:hAnsi="宋体" w:cs="Courier New"/>
                <w:bCs/>
                <w:color w:val="000000" w:themeColor="text1"/>
                <w:kern w:val="2"/>
                <w:sz w:val="21"/>
                <w:highlight w:val="none"/>
                <w14:textFill>
                  <w14:solidFill>
                    <w14:schemeClr w14:val="tx1"/>
                  </w14:solidFill>
                </w14:textFill>
              </w:rPr>
              <w:t>0分 。</w:t>
            </w:r>
          </w:p>
          <w:p w14:paraId="590A162F">
            <w:pPr>
              <w:pStyle w:val="25"/>
              <w:wordWrap w:val="0"/>
              <w:spacing w:line="400" w:lineRule="exact"/>
              <w:ind w:firstLine="420" w:firstLineChars="200"/>
              <w:rPr>
                <w:rFonts w:hint="eastAsia" w:hAnsi="宋体" w:cs="宋体"/>
                <w:bCs/>
                <w:color w:val="000000" w:themeColor="text1"/>
                <w:kern w:val="2"/>
                <w:sz w:val="21"/>
                <w:highlight w:val="none"/>
                <w:lang w:val="en-US" w:eastAsia="zh-CN"/>
                <w14:textFill>
                  <w14:solidFill>
                    <w14:schemeClr w14:val="tx1"/>
                  </w14:solidFill>
                </w14:textFill>
              </w:rPr>
            </w:pPr>
            <w:r>
              <w:rPr>
                <w:rFonts w:hint="eastAsia" w:hAnsi="宋体" w:cs="Courier New"/>
                <w:bCs/>
                <w:color w:val="000000" w:themeColor="text1"/>
                <w:kern w:val="2"/>
                <w:sz w:val="21"/>
                <w:highlight w:val="none"/>
                <w14:textFill>
                  <w14:solidFill>
                    <w14:schemeClr w14:val="tx1"/>
                  </w14:solidFill>
                </w14:textFill>
              </w:rPr>
              <w:t>（3）价格分计算公式：报价得分=（基准价/最后报价）×</w:t>
            </w:r>
            <w:r>
              <w:rPr>
                <w:rFonts w:hAnsi="宋体" w:cs="Courier New"/>
                <w:bCs/>
                <w:color w:val="000000" w:themeColor="text1"/>
                <w:kern w:val="2"/>
                <w:sz w:val="21"/>
                <w:highlight w:val="none"/>
                <w14:textFill>
                  <w14:solidFill>
                    <w14:schemeClr w14:val="tx1"/>
                  </w14:solidFill>
                </w14:textFill>
              </w:rPr>
              <w:t xml:space="preserve"> </w:t>
            </w:r>
            <w:r>
              <w:rPr>
                <w:rFonts w:hint="eastAsia" w:hAnsi="宋体" w:cs="Courier New"/>
                <w:bCs/>
                <w:color w:val="000000" w:themeColor="text1"/>
                <w:kern w:val="2"/>
                <w:sz w:val="21"/>
                <w:highlight w:val="none"/>
                <w:lang w:val="en-US" w:eastAsia="zh-CN"/>
                <w14:textFill>
                  <w14:solidFill>
                    <w14:schemeClr w14:val="tx1"/>
                  </w14:solidFill>
                </w14:textFill>
              </w:rPr>
              <w:t>2</w:t>
            </w:r>
            <w:r>
              <w:rPr>
                <w:rFonts w:hint="eastAsia" w:hAnsi="宋体" w:cs="Courier New"/>
                <w:bCs/>
                <w:color w:val="000000" w:themeColor="text1"/>
                <w:kern w:val="2"/>
                <w:sz w:val="21"/>
                <w:highlight w:val="none"/>
                <w14:textFill>
                  <w14:solidFill>
                    <w14:schemeClr w14:val="tx1"/>
                  </w14:solidFill>
                </w14:textFill>
              </w:rPr>
              <w:t>0分</w:t>
            </w:r>
          </w:p>
        </w:tc>
        <w:tc>
          <w:tcPr>
            <w:tcW w:w="878" w:type="dxa"/>
            <w:noWrap w:val="0"/>
            <w:vAlign w:val="center"/>
          </w:tcPr>
          <w:p w14:paraId="3CF0A123">
            <w:pPr>
              <w:widowControl/>
              <w:wordWrap w:val="0"/>
              <w:spacing w:line="40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20分</w:t>
            </w:r>
          </w:p>
        </w:tc>
      </w:tr>
      <w:tr w14:paraId="7E4E8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8" w:type="dxa"/>
            <w:noWrap w:val="0"/>
            <w:vAlign w:val="center"/>
          </w:tcPr>
          <w:p w14:paraId="6CF63F62">
            <w:pPr>
              <w:widowControl/>
              <w:wordWrap w:val="0"/>
              <w:spacing w:line="40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2</w:t>
            </w:r>
          </w:p>
        </w:tc>
        <w:tc>
          <w:tcPr>
            <w:tcW w:w="2089" w:type="dxa"/>
            <w:gridSpan w:val="2"/>
            <w:noWrap w:val="0"/>
            <w:vAlign w:val="center"/>
          </w:tcPr>
          <w:p w14:paraId="0CB2C1D1">
            <w:pPr>
              <w:widowControl/>
              <w:wordWrap w:val="0"/>
              <w:spacing w:line="40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技术分</w:t>
            </w:r>
          </w:p>
        </w:tc>
        <w:tc>
          <w:tcPr>
            <w:tcW w:w="5843" w:type="dxa"/>
            <w:noWrap w:val="0"/>
            <w:vAlign w:val="center"/>
          </w:tcPr>
          <w:p w14:paraId="6C04C652">
            <w:pPr>
              <w:wordWrap w:val="0"/>
              <w:spacing w:line="40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评审标准</w:t>
            </w:r>
          </w:p>
        </w:tc>
        <w:tc>
          <w:tcPr>
            <w:tcW w:w="878" w:type="dxa"/>
            <w:noWrap w:val="0"/>
            <w:vAlign w:val="center"/>
          </w:tcPr>
          <w:p w14:paraId="104CE39F">
            <w:pPr>
              <w:wordWrap w:val="0"/>
              <w:spacing w:line="40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70分</w:t>
            </w:r>
          </w:p>
        </w:tc>
      </w:tr>
      <w:tr w14:paraId="7FA1E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548" w:type="dxa"/>
            <w:vMerge w:val="restart"/>
            <w:noWrap w:val="0"/>
            <w:vAlign w:val="center"/>
          </w:tcPr>
          <w:p w14:paraId="1CB99E01">
            <w:pPr>
              <w:wordWrap w:val="0"/>
              <w:adjustRightInd w:val="0"/>
              <w:spacing w:line="400" w:lineRule="exact"/>
              <w:jc w:val="center"/>
              <w:textAlignment w:val="baseline"/>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2.1</w:t>
            </w:r>
          </w:p>
        </w:tc>
        <w:tc>
          <w:tcPr>
            <w:tcW w:w="494" w:type="dxa"/>
            <w:vMerge w:val="restart"/>
            <w:noWrap w:val="0"/>
            <w:vAlign w:val="center"/>
          </w:tcPr>
          <w:p w14:paraId="5A084E06">
            <w:pPr>
              <w:wordWrap w:val="0"/>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项目管理机构</w:t>
            </w:r>
          </w:p>
        </w:tc>
        <w:tc>
          <w:tcPr>
            <w:tcW w:w="1595" w:type="dxa"/>
            <w:noWrap w:val="0"/>
            <w:vAlign w:val="center"/>
          </w:tcPr>
          <w:p w14:paraId="7E3CF1BC">
            <w:pPr>
              <w:wordWrap w:val="0"/>
              <w:spacing w:line="4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项目经理任职资格</w:t>
            </w:r>
          </w:p>
        </w:tc>
        <w:tc>
          <w:tcPr>
            <w:tcW w:w="5843" w:type="dxa"/>
            <w:noWrap w:val="0"/>
            <w:vAlign w:val="center"/>
          </w:tcPr>
          <w:p w14:paraId="08E56EEF">
            <w:pPr>
              <w:wordWrap w:val="0"/>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项目经理具备建筑工程专业中级或以上技术职称的得3分。</w:t>
            </w:r>
          </w:p>
          <w:p w14:paraId="0A7A163D">
            <w:pPr>
              <w:wordWrap w:val="0"/>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注：响应文件中提供项目经理相应有效的职称证书复印件，复印件需加盖单位公章，否则不得分。</w:t>
            </w:r>
          </w:p>
        </w:tc>
        <w:tc>
          <w:tcPr>
            <w:tcW w:w="878" w:type="dxa"/>
            <w:noWrap w:val="0"/>
            <w:vAlign w:val="center"/>
          </w:tcPr>
          <w:p w14:paraId="076F901E">
            <w:pPr>
              <w:wordWrap w:val="0"/>
              <w:spacing w:line="40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3分</w:t>
            </w:r>
          </w:p>
        </w:tc>
      </w:tr>
      <w:tr w14:paraId="0704B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8" w:type="dxa"/>
            <w:vMerge w:val="continue"/>
            <w:noWrap w:val="0"/>
            <w:vAlign w:val="center"/>
          </w:tcPr>
          <w:p w14:paraId="07A527E0">
            <w:pPr>
              <w:wordWrap w:val="0"/>
              <w:adjustRightInd w:val="0"/>
              <w:spacing w:line="400" w:lineRule="exact"/>
              <w:jc w:val="center"/>
              <w:textAlignment w:val="baseline"/>
              <w:rPr>
                <w:rFonts w:hint="eastAsia" w:ascii="宋体" w:hAnsi="宋体" w:cs="宋体"/>
                <w:bCs/>
                <w:color w:val="000000" w:themeColor="text1"/>
                <w:kern w:val="0"/>
                <w:szCs w:val="21"/>
                <w:highlight w:val="none"/>
                <w14:textFill>
                  <w14:solidFill>
                    <w14:schemeClr w14:val="tx1"/>
                  </w14:solidFill>
                </w14:textFill>
              </w:rPr>
            </w:pPr>
          </w:p>
        </w:tc>
        <w:tc>
          <w:tcPr>
            <w:tcW w:w="494" w:type="dxa"/>
            <w:vMerge w:val="continue"/>
            <w:noWrap w:val="0"/>
            <w:vAlign w:val="center"/>
          </w:tcPr>
          <w:p w14:paraId="3C32EBFF">
            <w:pPr>
              <w:wordWrap w:val="0"/>
              <w:spacing w:line="400" w:lineRule="exact"/>
              <w:jc w:val="left"/>
              <w:rPr>
                <w:rFonts w:hint="eastAsia" w:ascii="宋体" w:hAnsi="宋体" w:cs="宋体"/>
                <w:color w:val="000000" w:themeColor="text1"/>
                <w:szCs w:val="21"/>
                <w:highlight w:val="none"/>
                <w14:textFill>
                  <w14:solidFill>
                    <w14:schemeClr w14:val="tx1"/>
                  </w14:solidFill>
                </w14:textFill>
              </w:rPr>
            </w:pPr>
          </w:p>
        </w:tc>
        <w:tc>
          <w:tcPr>
            <w:tcW w:w="1595" w:type="dxa"/>
            <w:noWrap w:val="0"/>
            <w:vAlign w:val="center"/>
          </w:tcPr>
          <w:p w14:paraId="0905D868">
            <w:pPr>
              <w:wordWrap w:val="0"/>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其他主要人员</w:t>
            </w:r>
          </w:p>
        </w:tc>
        <w:tc>
          <w:tcPr>
            <w:tcW w:w="5843" w:type="dxa"/>
            <w:noWrap w:val="0"/>
            <w:vAlign w:val="top"/>
          </w:tcPr>
          <w:p w14:paraId="2B2C6881">
            <w:pPr>
              <w:pStyle w:val="40"/>
              <w:wordWrap w:val="0"/>
              <w:snapToGrid w:val="0"/>
              <w:spacing w:line="400" w:lineRule="exac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拟投入本工程的技术人员中有施工员、质量员、材料员，且持证上岗的，每提供一种证书得1分，满分3分。</w:t>
            </w:r>
          </w:p>
          <w:p w14:paraId="5188414E">
            <w:pPr>
              <w:pStyle w:val="40"/>
              <w:wordWrap w:val="0"/>
              <w:snapToGrid w:val="0"/>
              <w:spacing w:line="400" w:lineRule="exac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注：响应文件中提供上述人员相应有效的证书复印件，复印件需加盖单位公章，否则不得分。</w:t>
            </w:r>
          </w:p>
        </w:tc>
        <w:tc>
          <w:tcPr>
            <w:tcW w:w="878" w:type="dxa"/>
            <w:noWrap w:val="0"/>
            <w:vAlign w:val="center"/>
          </w:tcPr>
          <w:p w14:paraId="13E2AD74">
            <w:pPr>
              <w:wordWrap w:val="0"/>
              <w:spacing w:line="40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3分</w:t>
            </w:r>
          </w:p>
        </w:tc>
      </w:tr>
      <w:tr w14:paraId="4D9F4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8" w:type="dxa"/>
            <w:vMerge w:val="restart"/>
            <w:noWrap w:val="0"/>
            <w:vAlign w:val="center"/>
          </w:tcPr>
          <w:p w14:paraId="5B40F8AC">
            <w:pPr>
              <w:wordWrap w:val="0"/>
              <w:adjustRightInd w:val="0"/>
              <w:spacing w:line="400" w:lineRule="exact"/>
              <w:jc w:val="center"/>
              <w:textAlignment w:val="baseline"/>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2.2</w:t>
            </w:r>
          </w:p>
        </w:tc>
        <w:tc>
          <w:tcPr>
            <w:tcW w:w="494" w:type="dxa"/>
            <w:vMerge w:val="restart"/>
            <w:noWrap w:val="0"/>
            <w:vAlign w:val="center"/>
          </w:tcPr>
          <w:p w14:paraId="595A0C64">
            <w:pPr>
              <w:wordWrap w:val="0"/>
              <w:adjustRightInd w:val="0"/>
              <w:spacing w:line="400" w:lineRule="exact"/>
              <w:jc w:val="center"/>
              <w:textAlignment w:val="baseline"/>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施工组织设计</w:t>
            </w:r>
          </w:p>
        </w:tc>
        <w:tc>
          <w:tcPr>
            <w:tcW w:w="1595" w:type="dxa"/>
            <w:noWrap w:val="0"/>
            <w:vAlign w:val="center"/>
          </w:tcPr>
          <w:p w14:paraId="76F4CB74">
            <w:pPr>
              <w:wordWrap w:val="0"/>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主要施工方法</w:t>
            </w:r>
          </w:p>
        </w:tc>
        <w:tc>
          <w:tcPr>
            <w:tcW w:w="5843" w:type="dxa"/>
            <w:noWrap w:val="0"/>
            <w:vAlign w:val="center"/>
          </w:tcPr>
          <w:p w14:paraId="01074983">
            <w:pPr>
              <w:widowControl/>
              <w:wordWrap w:val="0"/>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一档（2分）：各主要分部施工方法基本符合项目实际，施工技术方案考虑不够详细、不够切合项目。</w:t>
            </w:r>
          </w:p>
          <w:p w14:paraId="6512A07E">
            <w:pPr>
              <w:widowControl/>
              <w:wordWrap w:val="0"/>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二档（6分）：各主要分部施工方法符合项目实际，有详尽的施工技术方案，工艺基本可行、方法可行，能指导具体施工并确保安全。</w:t>
            </w:r>
          </w:p>
          <w:p w14:paraId="5B4F452E">
            <w:pPr>
              <w:widowControl/>
              <w:wordWrap w:val="0"/>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三档（10分）：各主要分部施工方法符合项目实际，有详尽的施工技术方案，工艺先进、方法科学合理、可行，能指导具体施工并确保安全。</w:t>
            </w:r>
          </w:p>
          <w:p w14:paraId="03EE4F71">
            <w:pPr>
              <w:widowControl/>
              <w:wordWrap w:val="0"/>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注：供应商未提供该方案或该方案未达到一档标准要求的，得0分。</w:t>
            </w:r>
          </w:p>
        </w:tc>
        <w:tc>
          <w:tcPr>
            <w:tcW w:w="878" w:type="dxa"/>
            <w:noWrap w:val="0"/>
            <w:vAlign w:val="center"/>
          </w:tcPr>
          <w:p w14:paraId="0AD9FCDA">
            <w:pPr>
              <w:wordWrap w:val="0"/>
              <w:spacing w:line="4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10分</w:t>
            </w:r>
          </w:p>
        </w:tc>
      </w:tr>
      <w:tr w14:paraId="6C6C9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8" w:type="dxa"/>
            <w:vMerge w:val="continue"/>
            <w:noWrap w:val="0"/>
            <w:vAlign w:val="center"/>
          </w:tcPr>
          <w:p w14:paraId="3D5BBD9D">
            <w:pPr>
              <w:wordWrap w:val="0"/>
              <w:adjustRightInd w:val="0"/>
              <w:spacing w:line="400" w:lineRule="exact"/>
              <w:jc w:val="center"/>
              <w:textAlignment w:val="baseline"/>
              <w:rPr>
                <w:rFonts w:hint="eastAsia" w:ascii="宋体" w:hAnsi="宋体" w:cs="宋体"/>
                <w:bCs/>
                <w:color w:val="000000" w:themeColor="text1"/>
                <w:kern w:val="0"/>
                <w:szCs w:val="21"/>
                <w:highlight w:val="none"/>
                <w14:textFill>
                  <w14:solidFill>
                    <w14:schemeClr w14:val="tx1"/>
                  </w14:solidFill>
                </w14:textFill>
              </w:rPr>
            </w:pPr>
          </w:p>
        </w:tc>
        <w:tc>
          <w:tcPr>
            <w:tcW w:w="494" w:type="dxa"/>
            <w:vMerge w:val="continue"/>
            <w:noWrap w:val="0"/>
            <w:vAlign w:val="center"/>
          </w:tcPr>
          <w:p w14:paraId="61A76008">
            <w:pPr>
              <w:wordWrap w:val="0"/>
              <w:adjustRightInd w:val="0"/>
              <w:spacing w:line="400" w:lineRule="exact"/>
              <w:jc w:val="center"/>
              <w:textAlignment w:val="baseline"/>
              <w:rPr>
                <w:rFonts w:hint="eastAsia" w:ascii="宋体" w:hAnsi="宋体" w:cs="宋体"/>
                <w:bCs/>
                <w:color w:val="000000" w:themeColor="text1"/>
                <w:kern w:val="0"/>
                <w:szCs w:val="21"/>
                <w:highlight w:val="none"/>
                <w14:textFill>
                  <w14:solidFill>
                    <w14:schemeClr w14:val="tx1"/>
                  </w14:solidFill>
                </w14:textFill>
              </w:rPr>
            </w:pPr>
          </w:p>
        </w:tc>
        <w:tc>
          <w:tcPr>
            <w:tcW w:w="1595" w:type="dxa"/>
            <w:noWrap w:val="0"/>
            <w:vAlign w:val="center"/>
          </w:tcPr>
          <w:p w14:paraId="60FDAB37">
            <w:pPr>
              <w:wordWrap w:val="0"/>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拟投入的主要物资计划</w:t>
            </w:r>
          </w:p>
        </w:tc>
        <w:tc>
          <w:tcPr>
            <w:tcW w:w="5843" w:type="dxa"/>
            <w:noWrap w:val="0"/>
            <w:vAlign w:val="center"/>
          </w:tcPr>
          <w:p w14:paraId="4501B8CA">
            <w:pPr>
              <w:wordWrap w:val="0"/>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一档（2分）：</w:t>
            </w:r>
            <w:r>
              <w:rPr>
                <w:rFonts w:hint="eastAsia" w:ascii="宋体" w:hAnsi="宋体" w:cs="宋体"/>
                <w:color w:val="000000" w:themeColor="text1"/>
                <w:kern w:val="0"/>
                <w:szCs w:val="21"/>
                <w:highlight w:val="none"/>
                <w14:textFill>
                  <w14:solidFill>
                    <w14:schemeClr w14:val="tx1"/>
                  </w14:solidFill>
                </w14:textFill>
              </w:rPr>
              <w:t>投入的施工材料有组织计划，数量、选型配置、进场时间基本满足施工需要</w:t>
            </w:r>
            <w:r>
              <w:rPr>
                <w:rFonts w:hint="eastAsia" w:ascii="宋体" w:hAnsi="宋体" w:cs="宋体"/>
                <w:color w:val="000000" w:themeColor="text1"/>
                <w:szCs w:val="21"/>
                <w:highlight w:val="none"/>
                <w14:textFill>
                  <w14:solidFill>
                    <w14:schemeClr w14:val="tx1"/>
                  </w14:solidFill>
                </w14:textFill>
              </w:rPr>
              <w:t>。</w:t>
            </w:r>
          </w:p>
          <w:p w14:paraId="6C85AEC7">
            <w:pPr>
              <w:wordWrap w:val="0"/>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二档（5分）：</w:t>
            </w:r>
            <w:r>
              <w:rPr>
                <w:rFonts w:hint="eastAsia" w:ascii="宋体" w:hAnsi="宋体" w:cs="宋体"/>
                <w:color w:val="000000" w:themeColor="text1"/>
                <w:kern w:val="0"/>
                <w:szCs w:val="21"/>
                <w:highlight w:val="none"/>
                <w14:textFill>
                  <w14:solidFill>
                    <w14:schemeClr w14:val="tx1"/>
                  </w14:solidFill>
                </w14:textFill>
              </w:rPr>
              <w:t>投入的施工材料有详细的组织计划且计划</w:t>
            </w:r>
            <w:r>
              <w:rPr>
                <w:rFonts w:hint="eastAsia" w:ascii="宋体" w:hAnsi="宋体" w:cs="宋体"/>
                <w:color w:val="000000" w:themeColor="text1"/>
                <w:szCs w:val="21"/>
                <w:highlight w:val="none"/>
                <w14:textFill>
                  <w14:solidFill>
                    <w14:schemeClr w14:val="tx1"/>
                  </w14:solidFill>
                </w14:textFill>
              </w:rPr>
              <w:t>考虑不够周全</w:t>
            </w:r>
            <w:r>
              <w:rPr>
                <w:rFonts w:hint="eastAsia" w:ascii="宋体" w:hAnsi="宋体" w:cs="宋体"/>
                <w:color w:val="000000" w:themeColor="text1"/>
                <w:kern w:val="0"/>
                <w:szCs w:val="21"/>
                <w:highlight w:val="none"/>
                <w14:textFill>
                  <w14:solidFill>
                    <w14:schemeClr w14:val="tx1"/>
                  </w14:solidFill>
                </w14:textFill>
              </w:rPr>
              <w:t>，数量、选型配置、进场时间安排较合理，满足施工需要</w:t>
            </w:r>
            <w:r>
              <w:rPr>
                <w:rFonts w:hint="eastAsia" w:ascii="宋体" w:hAnsi="宋体" w:cs="宋体"/>
                <w:color w:val="000000" w:themeColor="text1"/>
                <w:szCs w:val="21"/>
                <w:highlight w:val="none"/>
                <w14:textFill>
                  <w14:solidFill>
                    <w14:schemeClr w14:val="tx1"/>
                  </w14:solidFill>
                </w14:textFill>
              </w:rPr>
              <w:t xml:space="preserve">。 </w:t>
            </w:r>
          </w:p>
          <w:p w14:paraId="4F5FCC1A">
            <w:pPr>
              <w:wordWrap w:val="0"/>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三档（8分）：投入的施工材料有详细的组织计划且计划周密，数量、选型配置、进场时间安排合理，有拟配备本项目的试验和检测仪器设备表，完全满足施工需要。</w:t>
            </w:r>
          </w:p>
          <w:p w14:paraId="5DD92AAC">
            <w:pPr>
              <w:wordWrap w:val="0"/>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注：供应商未提供该方案或该方案未达到一档标准要求的，得0分。</w:t>
            </w:r>
          </w:p>
        </w:tc>
        <w:tc>
          <w:tcPr>
            <w:tcW w:w="878" w:type="dxa"/>
            <w:noWrap w:val="0"/>
            <w:vAlign w:val="center"/>
          </w:tcPr>
          <w:p w14:paraId="64CE6AE9">
            <w:pPr>
              <w:wordWrap w:val="0"/>
              <w:spacing w:line="40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8分</w:t>
            </w:r>
          </w:p>
        </w:tc>
      </w:tr>
      <w:tr w14:paraId="3C7F1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8" w:type="dxa"/>
            <w:vMerge w:val="continue"/>
            <w:noWrap w:val="0"/>
            <w:vAlign w:val="center"/>
          </w:tcPr>
          <w:p w14:paraId="31097E7D">
            <w:pPr>
              <w:wordWrap w:val="0"/>
              <w:adjustRightInd w:val="0"/>
              <w:spacing w:line="400" w:lineRule="exact"/>
              <w:jc w:val="center"/>
              <w:textAlignment w:val="baseline"/>
              <w:rPr>
                <w:rFonts w:hint="eastAsia" w:ascii="宋体" w:hAnsi="宋体" w:cs="宋体"/>
                <w:bCs/>
                <w:color w:val="000000" w:themeColor="text1"/>
                <w:kern w:val="0"/>
                <w:szCs w:val="21"/>
                <w:highlight w:val="none"/>
                <w14:textFill>
                  <w14:solidFill>
                    <w14:schemeClr w14:val="tx1"/>
                  </w14:solidFill>
                </w14:textFill>
              </w:rPr>
            </w:pPr>
          </w:p>
        </w:tc>
        <w:tc>
          <w:tcPr>
            <w:tcW w:w="494" w:type="dxa"/>
            <w:vMerge w:val="continue"/>
            <w:noWrap w:val="0"/>
            <w:vAlign w:val="center"/>
          </w:tcPr>
          <w:p w14:paraId="44138ED3">
            <w:pPr>
              <w:wordWrap w:val="0"/>
              <w:adjustRightInd w:val="0"/>
              <w:spacing w:line="400" w:lineRule="exact"/>
              <w:jc w:val="center"/>
              <w:textAlignment w:val="baseline"/>
              <w:rPr>
                <w:rFonts w:hint="eastAsia" w:ascii="宋体" w:hAnsi="宋体" w:cs="宋体"/>
                <w:bCs/>
                <w:color w:val="000000" w:themeColor="text1"/>
                <w:kern w:val="0"/>
                <w:szCs w:val="21"/>
                <w:highlight w:val="none"/>
                <w14:textFill>
                  <w14:solidFill>
                    <w14:schemeClr w14:val="tx1"/>
                  </w14:solidFill>
                </w14:textFill>
              </w:rPr>
            </w:pPr>
          </w:p>
        </w:tc>
        <w:tc>
          <w:tcPr>
            <w:tcW w:w="1595" w:type="dxa"/>
            <w:noWrap w:val="0"/>
            <w:vAlign w:val="center"/>
          </w:tcPr>
          <w:p w14:paraId="1A5CCC7D">
            <w:pPr>
              <w:wordWrap w:val="0"/>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拟投入的主要施工机械、设备计划</w:t>
            </w:r>
          </w:p>
        </w:tc>
        <w:tc>
          <w:tcPr>
            <w:tcW w:w="5843" w:type="dxa"/>
            <w:noWrap w:val="0"/>
            <w:vAlign w:val="center"/>
          </w:tcPr>
          <w:p w14:paraId="44855FB0">
            <w:pPr>
              <w:wordWrap w:val="0"/>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一档（2分）：投入的施工机械、设备、机具无详细的组织计划，设备数量、选型配置、进场时间安排不够合理。</w:t>
            </w:r>
          </w:p>
          <w:p w14:paraId="3D02715E">
            <w:pPr>
              <w:wordWrap w:val="0"/>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二档（5分）：投入的施工机械、设备、机具有组织计划且计划考虑基本切合项目实际，设备数量、选型配置、进场时间安排合理，基本满足施工需要。  </w:t>
            </w:r>
          </w:p>
          <w:p w14:paraId="0486019F">
            <w:pPr>
              <w:wordWrap w:val="0"/>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三档（8分）：投入的施工机械、设备、机具有详细的组织计划且计划周密，设备数量、选型配置、进场时间安排合理，满足施工需要。 </w:t>
            </w:r>
          </w:p>
          <w:p w14:paraId="260D375D">
            <w:pPr>
              <w:wordWrap w:val="0"/>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注：供应商未提供该方案或该方案未达到一档标准要求的，得0分。</w:t>
            </w:r>
          </w:p>
        </w:tc>
        <w:tc>
          <w:tcPr>
            <w:tcW w:w="878" w:type="dxa"/>
            <w:noWrap w:val="0"/>
            <w:vAlign w:val="center"/>
          </w:tcPr>
          <w:p w14:paraId="34BBD897">
            <w:pPr>
              <w:wordWrap w:val="0"/>
              <w:spacing w:line="4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8分</w:t>
            </w:r>
          </w:p>
        </w:tc>
      </w:tr>
      <w:tr w14:paraId="23199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8" w:type="dxa"/>
            <w:vMerge w:val="continue"/>
            <w:noWrap w:val="0"/>
            <w:vAlign w:val="center"/>
          </w:tcPr>
          <w:p w14:paraId="3C5F9F05">
            <w:pPr>
              <w:wordWrap w:val="0"/>
              <w:adjustRightInd w:val="0"/>
              <w:spacing w:line="400" w:lineRule="exact"/>
              <w:jc w:val="center"/>
              <w:textAlignment w:val="baseline"/>
              <w:rPr>
                <w:rFonts w:hint="eastAsia" w:ascii="宋体" w:hAnsi="宋体" w:cs="宋体"/>
                <w:bCs/>
                <w:color w:val="000000" w:themeColor="text1"/>
                <w:kern w:val="0"/>
                <w:szCs w:val="21"/>
                <w:highlight w:val="none"/>
                <w14:textFill>
                  <w14:solidFill>
                    <w14:schemeClr w14:val="tx1"/>
                  </w14:solidFill>
                </w14:textFill>
              </w:rPr>
            </w:pPr>
          </w:p>
        </w:tc>
        <w:tc>
          <w:tcPr>
            <w:tcW w:w="494" w:type="dxa"/>
            <w:vMerge w:val="continue"/>
            <w:noWrap w:val="0"/>
            <w:vAlign w:val="center"/>
          </w:tcPr>
          <w:p w14:paraId="751D7FE9">
            <w:pPr>
              <w:wordWrap w:val="0"/>
              <w:adjustRightInd w:val="0"/>
              <w:spacing w:line="400" w:lineRule="exact"/>
              <w:jc w:val="center"/>
              <w:textAlignment w:val="baseline"/>
              <w:rPr>
                <w:rFonts w:hint="eastAsia" w:ascii="宋体" w:hAnsi="宋体" w:cs="宋体"/>
                <w:bCs/>
                <w:color w:val="000000" w:themeColor="text1"/>
                <w:kern w:val="0"/>
                <w:szCs w:val="21"/>
                <w:highlight w:val="none"/>
                <w14:textFill>
                  <w14:solidFill>
                    <w14:schemeClr w14:val="tx1"/>
                  </w14:solidFill>
                </w14:textFill>
              </w:rPr>
            </w:pPr>
          </w:p>
        </w:tc>
        <w:tc>
          <w:tcPr>
            <w:tcW w:w="1595" w:type="dxa"/>
            <w:noWrap w:val="0"/>
            <w:vAlign w:val="center"/>
          </w:tcPr>
          <w:p w14:paraId="57C98B8A">
            <w:pPr>
              <w:wordWrap w:val="0"/>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劳动力安排计划</w:t>
            </w:r>
          </w:p>
        </w:tc>
        <w:tc>
          <w:tcPr>
            <w:tcW w:w="5843" w:type="dxa"/>
            <w:noWrap w:val="0"/>
            <w:vAlign w:val="center"/>
          </w:tcPr>
          <w:p w14:paraId="1244939F">
            <w:pPr>
              <w:wordWrap w:val="0"/>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一档（2分）：</w:t>
            </w:r>
            <w:r>
              <w:rPr>
                <w:rFonts w:hint="eastAsia" w:ascii="宋体" w:hAnsi="宋体" w:cs="宋体"/>
                <w:color w:val="000000" w:themeColor="text1"/>
                <w:kern w:val="0"/>
                <w:szCs w:val="21"/>
                <w:highlight w:val="none"/>
                <w14:textFill>
                  <w14:solidFill>
                    <w14:schemeClr w14:val="tx1"/>
                  </w14:solidFill>
                </w14:textFill>
              </w:rPr>
              <w:t>各主要施工工序有劳动力安排计划，劳动力投入基本满足施工需要</w:t>
            </w:r>
            <w:r>
              <w:rPr>
                <w:rFonts w:hint="eastAsia" w:ascii="宋体" w:hAnsi="宋体" w:cs="宋体"/>
                <w:color w:val="000000" w:themeColor="text1"/>
                <w:szCs w:val="21"/>
                <w:highlight w:val="none"/>
                <w14:textFill>
                  <w14:solidFill>
                    <w14:schemeClr w14:val="tx1"/>
                  </w14:solidFill>
                </w14:textFill>
              </w:rPr>
              <w:t xml:space="preserve">。 </w:t>
            </w:r>
          </w:p>
          <w:p w14:paraId="0F3B2705">
            <w:pPr>
              <w:wordWrap w:val="0"/>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二档（5分）：</w:t>
            </w:r>
            <w:r>
              <w:rPr>
                <w:rFonts w:hint="eastAsia" w:ascii="宋体" w:hAnsi="宋体" w:cs="宋体"/>
                <w:color w:val="000000" w:themeColor="text1"/>
                <w:kern w:val="0"/>
                <w:szCs w:val="21"/>
                <w:highlight w:val="none"/>
                <w14:textFill>
                  <w14:solidFill>
                    <w14:schemeClr w14:val="tx1"/>
                  </w14:solidFill>
                </w14:textFill>
              </w:rPr>
              <w:t>各主要施工工序有详细的劳动力安排计划，有各工种劳动力安排计划，劳动力投入较合理，满足施工需要</w:t>
            </w:r>
            <w:r>
              <w:rPr>
                <w:rFonts w:hint="eastAsia" w:ascii="宋体" w:hAnsi="宋体" w:cs="宋体"/>
                <w:color w:val="000000" w:themeColor="text1"/>
                <w:szCs w:val="21"/>
                <w:highlight w:val="none"/>
                <w14:textFill>
                  <w14:solidFill>
                    <w14:schemeClr w14:val="tx1"/>
                  </w14:solidFill>
                </w14:textFill>
              </w:rPr>
              <w:t>。</w:t>
            </w:r>
          </w:p>
          <w:p w14:paraId="00AA7EFD">
            <w:pPr>
              <w:wordWrap w:val="0"/>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三档（8分）：各主要施工工序有详细周密的劳动力安排计划，有各工种劳动力安排计划，劳动力投入合理，满足施工需要。</w:t>
            </w:r>
          </w:p>
          <w:p w14:paraId="7BB86CF2">
            <w:pPr>
              <w:wordWrap w:val="0"/>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注：供应商未提供该方案或该方案未达到一档标准要求的，得0分。</w:t>
            </w:r>
          </w:p>
        </w:tc>
        <w:tc>
          <w:tcPr>
            <w:tcW w:w="878" w:type="dxa"/>
            <w:noWrap w:val="0"/>
            <w:vAlign w:val="center"/>
          </w:tcPr>
          <w:p w14:paraId="3A6A6D51">
            <w:pPr>
              <w:wordWrap w:val="0"/>
              <w:spacing w:line="40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8分</w:t>
            </w:r>
          </w:p>
        </w:tc>
      </w:tr>
      <w:tr w14:paraId="439FD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8" w:type="dxa"/>
            <w:vMerge w:val="continue"/>
            <w:noWrap w:val="0"/>
            <w:vAlign w:val="center"/>
          </w:tcPr>
          <w:p w14:paraId="00096CDA">
            <w:pPr>
              <w:wordWrap w:val="0"/>
              <w:adjustRightInd w:val="0"/>
              <w:spacing w:line="400" w:lineRule="exact"/>
              <w:jc w:val="center"/>
              <w:textAlignment w:val="baseline"/>
              <w:rPr>
                <w:rFonts w:hint="eastAsia" w:ascii="宋体" w:hAnsi="宋体" w:cs="宋体"/>
                <w:bCs/>
                <w:color w:val="000000" w:themeColor="text1"/>
                <w:kern w:val="0"/>
                <w:szCs w:val="21"/>
                <w:highlight w:val="none"/>
                <w14:textFill>
                  <w14:solidFill>
                    <w14:schemeClr w14:val="tx1"/>
                  </w14:solidFill>
                </w14:textFill>
              </w:rPr>
            </w:pPr>
          </w:p>
        </w:tc>
        <w:tc>
          <w:tcPr>
            <w:tcW w:w="494" w:type="dxa"/>
            <w:vMerge w:val="continue"/>
            <w:noWrap w:val="0"/>
            <w:vAlign w:val="center"/>
          </w:tcPr>
          <w:p w14:paraId="5F8B0BA5">
            <w:pPr>
              <w:wordWrap w:val="0"/>
              <w:adjustRightInd w:val="0"/>
              <w:spacing w:line="400" w:lineRule="exact"/>
              <w:jc w:val="center"/>
              <w:textAlignment w:val="baseline"/>
              <w:rPr>
                <w:rFonts w:hint="eastAsia" w:ascii="宋体" w:hAnsi="宋体" w:cs="宋体"/>
                <w:bCs/>
                <w:color w:val="000000" w:themeColor="text1"/>
                <w:kern w:val="0"/>
                <w:szCs w:val="21"/>
                <w:highlight w:val="none"/>
                <w14:textFill>
                  <w14:solidFill>
                    <w14:schemeClr w14:val="tx1"/>
                  </w14:solidFill>
                </w14:textFill>
              </w:rPr>
            </w:pPr>
          </w:p>
        </w:tc>
        <w:tc>
          <w:tcPr>
            <w:tcW w:w="1595" w:type="dxa"/>
            <w:noWrap w:val="0"/>
            <w:vAlign w:val="center"/>
          </w:tcPr>
          <w:p w14:paraId="4F24ABF0">
            <w:pPr>
              <w:wordWrap w:val="0"/>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确保工程质量的技术组织措施</w:t>
            </w:r>
          </w:p>
        </w:tc>
        <w:tc>
          <w:tcPr>
            <w:tcW w:w="5843" w:type="dxa"/>
            <w:noWrap w:val="0"/>
            <w:vAlign w:val="center"/>
          </w:tcPr>
          <w:p w14:paraId="6EF50698">
            <w:pPr>
              <w:wordWrap w:val="0"/>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一档（2分）：有专门的质量技术管理班子和制度。主要工序有质量技术保证措施和手段，基本能保证技术质量，达到承诺的质量标准。</w:t>
            </w:r>
          </w:p>
          <w:p w14:paraId="2A4101A5">
            <w:pPr>
              <w:wordWrap w:val="0"/>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档（4分）：有专门的质量技术管理班子和制度，且人员配备较合理，制度较健全。有质量管理责任人和职责明确，正确完整列出针对本工程关键工序的质量验收流程和验收依据标准。主要工序有质量技术保证措施和手段，自控体系较完整，能有效保证技术质量，达到承诺的质量标准。</w:t>
            </w:r>
          </w:p>
          <w:p w14:paraId="7DE77EAF">
            <w:pPr>
              <w:wordWrap w:val="0"/>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档（6分）：有专门的质量技术管理班子和制度，且人员配备合理，制度健全。有质量管理责任人和职责明确，正确完整列出针对本工程关键工序的质量验收流程和验收依据标准，有针对施工过程质量控制日常管理制度流程，且满足本工程需要。主要工序有质量技术保证措施和手段，自控体系完整，能有效保证技术质量，达到承诺的质量标准。</w:t>
            </w:r>
          </w:p>
          <w:p w14:paraId="153D95FE">
            <w:pPr>
              <w:wordWrap w:val="0"/>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注：供应商未提供该方案或该方案未达到一档标准要求的，得0分。</w:t>
            </w:r>
          </w:p>
        </w:tc>
        <w:tc>
          <w:tcPr>
            <w:tcW w:w="878" w:type="dxa"/>
            <w:noWrap w:val="0"/>
            <w:vAlign w:val="center"/>
          </w:tcPr>
          <w:p w14:paraId="15BCA2CD">
            <w:pPr>
              <w:wordWrap w:val="0"/>
              <w:spacing w:line="4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6分</w:t>
            </w:r>
          </w:p>
        </w:tc>
      </w:tr>
      <w:tr w14:paraId="6F7EF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8" w:type="dxa"/>
            <w:vMerge w:val="continue"/>
            <w:noWrap w:val="0"/>
            <w:vAlign w:val="center"/>
          </w:tcPr>
          <w:p w14:paraId="51323804">
            <w:pPr>
              <w:wordWrap w:val="0"/>
              <w:adjustRightInd w:val="0"/>
              <w:spacing w:line="400" w:lineRule="exact"/>
              <w:jc w:val="center"/>
              <w:textAlignment w:val="baseline"/>
              <w:rPr>
                <w:rFonts w:hint="eastAsia" w:ascii="宋体" w:hAnsi="宋体" w:cs="宋体"/>
                <w:bCs/>
                <w:color w:val="000000" w:themeColor="text1"/>
                <w:kern w:val="0"/>
                <w:szCs w:val="21"/>
                <w:highlight w:val="none"/>
                <w14:textFill>
                  <w14:solidFill>
                    <w14:schemeClr w14:val="tx1"/>
                  </w14:solidFill>
                </w14:textFill>
              </w:rPr>
            </w:pPr>
          </w:p>
        </w:tc>
        <w:tc>
          <w:tcPr>
            <w:tcW w:w="494" w:type="dxa"/>
            <w:vMerge w:val="continue"/>
            <w:noWrap w:val="0"/>
            <w:vAlign w:val="center"/>
          </w:tcPr>
          <w:p w14:paraId="5995581E">
            <w:pPr>
              <w:wordWrap w:val="0"/>
              <w:adjustRightInd w:val="0"/>
              <w:spacing w:line="400" w:lineRule="exact"/>
              <w:jc w:val="center"/>
              <w:textAlignment w:val="baseline"/>
              <w:rPr>
                <w:rFonts w:hint="eastAsia" w:ascii="宋体" w:hAnsi="宋体" w:cs="宋体"/>
                <w:bCs/>
                <w:color w:val="000000" w:themeColor="text1"/>
                <w:kern w:val="0"/>
                <w:szCs w:val="21"/>
                <w:highlight w:val="none"/>
                <w14:textFill>
                  <w14:solidFill>
                    <w14:schemeClr w14:val="tx1"/>
                  </w14:solidFill>
                </w14:textFill>
              </w:rPr>
            </w:pPr>
          </w:p>
        </w:tc>
        <w:tc>
          <w:tcPr>
            <w:tcW w:w="1595" w:type="dxa"/>
            <w:noWrap w:val="0"/>
            <w:vAlign w:val="center"/>
          </w:tcPr>
          <w:p w14:paraId="7B244302">
            <w:pPr>
              <w:wordWrap w:val="0"/>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确保安全生产的技术组织措施</w:t>
            </w:r>
          </w:p>
        </w:tc>
        <w:tc>
          <w:tcPr>
            <w:tcW w:w="5843" w:type="dxa"/>
            <w:noWrap w:val="0"/>
            <w:vAlign w:val="center"/>
          </w:tcPr>
          <w:p w14:paraId="6E31525F">
            <w:pPr>
              <w:wordWrap w:val="0"/>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一档（2分）：有专门的安全管理人员和制度，且人员配备基本合理，制度基本健全，各道工序安全技术措施基本符合满足有关安全技术标准要求。现场防火、应急救援、社会治安安全措施基本可行。</w:t>
            </w:r>
          </w:p>
          <w:p w14:paraId="4FE07945">
            <w:pPr>
              <w:wordWrap w:val="0"/>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档（4分）：有专门的安全管理人员和制度，且人员配备较合理，制度较健全，各道工序安全技术措施针对性较强，符合实际且满足有关安全技术标准要求。现场防火、应急救援、社会治安安全措施较得力。有对本工程的全面风险分析、施工各项风险的专项防护措施、风险事件的应急处置预案，内容基本可行。</w:t>
            </w:r>
          </w:p>
          <w:p w14:paraId="1CFE4405">
            <w:pPr>
              <w:wordWrap w:val="0"/>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档（6分）：有专门的安全管理人员和制度，且人员配备合理，制度健全，各道工序安全技术措施针对性强，符合实际且满足有关安全技术标准要求。现场防火、应急救援、社会治安安全措施得力。有针对本工程的全面风险分析、施工各项风险的专项防护措施、风险事件的应急处置预案，且内容可行性强。有可行的对他方交叉作业安全管理措施和针对本工程突发异常天气等自然灾害环形的预防保障及应急处置措施。</w:t>
            </w:r>
          </w:p>
          <w:p w14:paraId="051F7367">
            <w:pPr>
              <w:wordWrap w:val="0"/>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注：供应商未提供该方案或该方案未达到一档标准要求的，得0分。</w:t>
            </w:r>
          </w:p>
        </w:tc>
        <w:tc>
          <w:tcPr>
            <w:tcW w:w="878" w:type="dxa"/>
            <w:noWrap w:val="0"/>
            <w:vAlign w:val="center"/>
          </w:tcPr>
          <w:p w14:paraId="13D732E6">
            <w:pPr>
              <w:wordWrap w:val="0"/>
              <w:spacing w:line="4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6分</w:t>
            </w:r>
          </w:p>
        </w:tc>
      </w:tr>
      <w:tr w14:paraId="278B1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8" w:type="dxa"/>
            <w:vMerge w:val="continue"/>
            <w:noWrap w:val="0"/>
            <w:vAlign w:val="center"/>
          </w:tcPr>
          <w:p w14:paraId="7F0FAB06">
            <w:pPr>
              <w:wordWrap w:val="0"/>
              <w:adjustRightInd w:val="0"/>
              <w:spacing w:line="400" w:lineRule="exact"/>
              <w:jc w:val="center"/>
              <w:textAlignment w:val="baseline"/>
              <w:rPr>
                <w:rFonts w:hint="eastAsia" w:ascii="宋体" w:hAnsi="宋体" w:cs="宋体"/>
                <w:bCs/>
                <w:color w:val="000000" w:themeColor="text1"/>
                <w:kern w:val="0"/>
                <w:szCs w:val="21"/>
                <w:highlight w:val="none"/>
                <w14:textFill>
                  <w14:solidFill>
                    <w14:schemeClr w14:val="tx1"/>
                  </w14:solidFill>
                </w14:textFill>
              </w:rPr>
            </w:pPr>
          </w:p>
        </w:tc>
        <w:tc>
          <w:tcPr>
            <w:tcW w:w="494" w:type="dxa"/>
            <w:vMerge w:val="continue"/>
            <w:noWrap w:val="0"/>
            <w:vAlign w:val="center"/>
          </w:tcPr>
          <w:p w14:paraId="66D62BAC">
            <w:pPr>
              <w:wordWrap w:val="0"/>
              <w:adjustRightInd w:val="0"/>
              <w:spacing w:line="400" w:lineRule="exact"/>
              <w:jc w:val="center"/>
              <w:textAlignment w:val="baseline"/>
              <w:rPr>
                <w:rFonts w:hint="eastAsia" w:ascii="宋体" w:hAnsi="宋体" w:cs="宋体"/>
                <w:bCs/>
                <w:color w:val="000000" w:themeColor="text1"/>
                <w:kern w:val="0"/>
                <w:szCs w:val="21"/>
                <w:highlight w:val="none"/>
                <w14:textFill>
                  <w14:solidFill>
                    <w14:schemeClr w14:val="tx1"/>
                  </w14:solidFill>
                </w14:textFill>
              </w:rPr>
            </w:pPr>
          </w:p>
        </w:tc>
        <w:tc>
          <w:tcPr>
            <w:tcW w:w="1595" w:type="dxa"/>
            <w:noWrap w:val="0"/>
            <w:vAlign w:val="center"/>
          </w:tcPr>
          <w:p w14:paraId="6849D133">
            <w:pPr>
              <w:wordWrap w:val="0"/>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确保工期的技术组织措施</w:t>
            </w:r>
          </w:p>
        </w:tc>
        <w:tc>
          <w:tcPr>
            <w:tcW w:w="5843" w:type="dxa"/>
            <w:noWrap w:val="0"/>
            <w:vAlign w:val="center"/>
          </w:tcPr>
          <w:p w14:paraId="38D33A04">
            <w:pPr>
              <w:wordWrap w:val="0"/>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一档（2分）：在施工工艺、施工方法、材料选用、劳动力安排、技术等方面有保证工期的措施。有控制工期的施工进度计划，基本符合本项目施工实际要求。</w:t>
            </w:r>
          </w:p>
          <w:p w14:paraId="2C9010C9">
            <w:pPr>
              <w:wordWrap w:val="0"/>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档（4分）：在施工工艺、施工方法、材料选用、劳动力安排、技术等方面有保证工期的具体措施且措施较得当。有控制工期的施工进度计划。有施工总进度表或施工网络图，各项计划图表编制较完善，安排较合理，符合本项目施工实际要求。</w:t>
            </w:r>
          </w:p>
          <w:p w14:paraId="7659488B">
            <w:pPr>
              <w:wordWrap w:val="0"/>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档（6分）：在施工工艺、施工方法、材料选用、劳动力安排、技术等方面有保证工期的具体措施且措施得当。有控制工期的施工进度计划。有施工总进度表或施工网络图，对关键线路节点控制管理措施得当，并对如果发生进度滞后有具体可行的纠偏及补救措施，各项计划图表编制完善，安排科学合理，符合本项目施工实际要求。</w:t>
            </w:r>
          </w:p>
          <w:p w14:paraId="6B80542A">
            <w:pPr>
              <w:wordWrap w:val="0"/>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注：供应商未提供该方案或该方案未达到一档标准要求的，得0分。</w:t>
            </w:r>
          </w:p>
        </w:tc>
        <w:tc>
          <w:tcPr>
            <w:tcW w:w="878" w:type="dxa"/>
            <w:noWrap w:val="0"/>
            <w:vAlign w:val="center"/>
          </w:tcPr>
          <w:p w14:paraId="71BDBA1B">
            <w:pPr>
              <w:wordWrap w:val="0"/>
              <w:spacing w:line="4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6分</w:t>
            </w:r>
          </w:p>
        </w:tc>
      </w:tr>
      <w:tr w14:paraId="31FE6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8" w:type="dxa"/>
            <w:vMerge w:val="continue"/>
            <w:noWrap w:val="0"/>
            <w:vAlign w:val="center"/>
          </w:tcPr>
          <w:p w14:paraId="6FF6A4E9">
            <w:pPr>
              <w:wordWrap w:val="0"/>
              <w:adjustRightInd w:val="0"/>
              <w:spacing w:line="400" w:lineRule="exact"/>
              <w:jc w:val="center"/>
              <w:textAlignment w:val="baseline"/>
              <w:rPr>
                <w:rFonts w:hint="eastAsia" w:ascii="宋体" w:hAnsi="宋体" w:cs="宋体"/>
                <w:bCs/>
                <w:color w:val="000000" w:themeColor="text1"/>
                <w:kern w:val="0"/>
                <w:szCs w:val="21"/>
                <w:highlight w:val="none"/>
                <w14:textFill>
                  <w14:solidFill>
                    <w14:schemeClr w14:val="tx1"/>
                  </w14:solidFill>
                </w14:textFill>
              </w:rPr>
            </w:pPr>
          </w:p>
        </w:tc>
        <w:tc>
          <w:tcPr>
            <w:tcW w:w="494" w:type="dxa"/>
            <w:vMerge w:val="continue"/>
            <w:noWrap w:val="0"/>
            <w:vAlign w:val="center"/>
          </w:tcPr>
          <w:p w14:paraId="48D7D586">
            <w:pPr>
              <w:wordWrap w:val="0"/>
              <w:adjustRightInd w:val="0"/>
              <w:spacing w:line="400" w:lineRule="exact"/>
              <w:jc w:val="center"/>
              <w:textAlignment w:val="baseline"/>
              <w:rPr>
                <w:rFonts w:hint="eastAsia" w:ascii="宋体" w:hAnsi="宋体" w:cs="宋体"/>
                <w:bCs/>
                <w:color w:val="000000" w:themeColor="text1"/>
                <w:kern w:val="0"/>
                <w:szCs w:val="21"/>
                <w:highlight w:val="none"/>
                <w14:textFill>
                  <w14:solidFill>
                    <w14:schemeClr w14:val="tx1"/>
                  </w14:solidFill>
                </w14:textFill>
              </w:rPr>
            </w:pPr>
          </w:p>
        </w:tc>
        <w:tc>
          <w:tcPr>
            <w:tcW w:w="1595" w:type="dxa"/>
            <w:noWrap w:val="0"/>
            <w:vAlign w:val="center"/>
          </w:tcPr>
          <w:p w14:paraId="528D02F5">
            <w:pPr>
              <w:wordWrap w:val="0"/>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确保文明施工的技术组织措施</w:t>
            </w:r>
          </w:p>
        </w:tc>
        <w:tc>
          <w:tcPr>
            <w:tcW w:w="5843" w:type="dxa"/>
            <w:noWrap w:val="0"/>
            <w:vAlign w:val="center"/>
          </w:tcPr>
          <w:p w14:paraId="0358D77F">
            <w:pPr>
              <w:wordWrap w:val="0"/>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档（2分）：应有现场文明施工、环境保护措施，且措施内容应达到《建筑施工安全生产检查标准》（JGJ59-2011）合格标准并符合《广西壮族自治区建筑工程文明施工导则》要求。各项措施不够合理。无具体实现现场文明施工目标的承诺。</w:t>
            </w:r>
          </w:p>
          <w:p w14:paraId="042FFCF6">
            <w:pPr>
              <w:wordWrap w:val="0"/>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档（4分）：有现场文明施工、环境保护措施，且措施内容达到《建筑施工安全生产检查标准》（JGJ59-2011）合格标准并符合《广西壮族自治区建筑工程文明施工导则》要求。各项措施详细，内容基本合理。有具体实现现场文明施工目标的承诺。</w:t>
            </w:r>
          </w:p>
          <w:p w14:paraId="3CFB6363">
            <w:pPr>
              <w:wordWrap w:val="0"/>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三档（6分）：针对本工程项目特点，有现场文明施工、环境保护措施，且措施内容达到《建筑施工安全生产检查标准》（JGJ59-2011）合格标准并符合《广西壮族自治区建筑工程文明施工导则》要求。各项措施详尽、周全、具体、有效。有具体实现现场文明施工目标的承诺。 </w:t>
            </w:r>
          </w:p>
          <w:p w14:paraId="4CA5DD21">
            <w:pPr>
              <w:wordWrap w:val="0"/>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注：供应商未提供该方案或该方案未达到一档标准要求的，得0分。</w:t>
            </w:r>
          </w:p>
        </w:tc>
        <w:tc>
          <w:tcPr>
            <w:tcW w:w="878" w:type="dxa"/>
            <w:noWrap w:val="0"/>
            <w:vAlign w:val="center"/>
          </w:tcPr>
          <w:p w14:paraId="0AD25D5E">
            <w:pPr>
              <w:wordWrap w:val="0"/>
              <w:spacing w:line="4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6分</w:t>
            </w:r>
          </w:p>
        </w:tc>
      </w:tr>
      <w:tr w14:paraId="408B6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8" w:type="dxa"/>
            <w:vMerge w:val="continue"/>
            <w:noWrap w:val="0"/>
            <w:vAlign w:val="center"/>
          </w:tcPr>
          <w:p w14:paraId="702DDA33">
            <w:pPr>
              <w:wordWrap w:val="0"/>
              <w:adjustRightInd w:val="0"/>
              <w:spacing w:line="400" w:lineRule="exact"/>
              <w:jc w:val="center"/>
              <w:textAlignment w:val="baseline"/>
              <w:rPr>
                <w:rFonts w:hint="eastAsia" w:ascii="宋体" w:hAnsi="宋体" w:cs="宋体"/>
                <w:bCs/>
                <w:color w:val="000000" w:themeColor="text1"/>
                <w:kern w:val="0"/>
                <w:szCs w:val="21"/>
                <w:highlight w:val="none"/>
                <w14:textFill>
                  <w14:solidFill>
                    <w14:schemeClr w14:val="tx1"/>
                  </w14:solidFill>
                </w14:textFill>
              </w:rPr>
            </w:pPr>
          </w:p>
        </w:tc>
        <w:tc>
          <w:tcPr>
            <w:tcW w:w="494" w:type="dxa"/>
            <w:vMerge w:val="continue"/>
            <w:noWrap w:val="0"/>
            <w:vAlign w:val="center"/>
          </w:tcPr>
          <w:p w14:paraId="25CD716D">
            <w:pPr>
              <w:wordWrap w:val="0"/>
              <w:adjustRightInd w:val="0"/>
              <w:spacing w:line="400" w:lineRule="exact"/>
              <w:jc w:val="center"/>
              <w:textAlignment w:val="baseline"/>
              <w:rPr>
                <w:rFonts w:hint="eastAsia" w:ascii="宋体" w:hAnsi="宋体" w:cs="宋体"/>
                <w:bCs/>
                <w:color w:val="000000" w:themeColor="text1"/>
                <w:kern w:val="0"/>
                <w:szCs w:val="21"/>
                <w:highlight w:val="none"/>
                <w14:textFill>
                  <w14:solidFill>
                    <w14:schemeClr w14:val="tx1"/>
                  </w14:solidFill>
                </w14:textFill>
              </w:rPr>
            </w:pPr>
          </w:p>
        </w:tc>
        <w:tc>
          <w:tcPr>
            <w:tcW w:w="1595" w:type="dxa"/>
            <w:noWrap w:val="0"/>
            <w:vAlign w:val="center"/>
          </w:tcPr>
          <w:p w14:paraId="69B8A408">
            <w:pPr>
              <w:wordWrap w:val="0"/>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工程施工的重点和难点及保证措施</w:t>
            </w:r>
          </w:p>
        </w:tc>
        <w:tc>
          <w:tcPr>
            <w:tcW w:w="5843" w:type="dxa"/>
            <w:noWrap w:val="0"/>
            <w:vAlign w:val="center"/>
          </w:tcPr>
          <w:p w14:paraId="257B41C9">
            <w:pPr>
              <w:wordWrap w:val="0"/>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一档（2分）：针对本工程的特点，阐述本工程的重点和难点，解决重点和难点问题的方法不够合理。</w:t>
            </w:r>
          </w:p>
          <w:p w14:paraId="6BA4AF5A">
            <w:pPr>
              <w:wordWrap w:val="0"/>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二档（4分）：针对本工程的特点，阐述本工程的重点和难点，解决重点和难点问题的方法基本合理。 </w:t>
            </w:r>
          </w:p>
          <w:p w14:paraId="358996F0">
            <w:pPr>
              <w:wordWrap w:val="0"/>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三档（6分）：针对本工程的特点，阐述本工程的重点和难点，解决重点和难点问题的方法科学合理且全面。</w:t>
            </w:r>
          </w:p>
          <w:p w14:paraId="679569FB">
            <w:pPr>
              <w:wordWrap w:val="0"/>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注：供应商未提供该方案或该方案未达到一档标准要求的，得0分。</w:t>
            </w:r>
          </w:p>
        </w:tc>
        <w:tc>
          <w:tcPr>
            <w:tcW w:w="878" w:type="dxa"/>
            <w:noWrap w:val="0"/>
            <w:vAlign w:val="center"/>
          </w:tcPr>
          <w:p w14:paraId="4272ECCB">
            <w:pPr>
              <w:wordWrap w:val="0"/>
              <w:spacing w:line="40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6分</w:t>
            </w:r>
          </w:p>
        </w:tc>
      </w:tr>
      <w:tr w14:paraId="26366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8" w:type="dxa"/>
            <w:noWrap w:val="0"/>
            <w:vAlign w:val="center"/>
          </w:tcPr>
          <w:p w14:paraId="7A43A791">
            <w:pPr>
              <w:widowControl/>
              <w:wordWrap w:val="0"/>
              <w:spacing w:line="40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p>
        </w:tc>
        <w:tc>
          <w:tcPr>
            <w:tcW w:w="2089" w:type="dxa"/>
            <w:gridSpan w:val="2"/>
            <w:noWrap w:val="0"/>
            <w:vAlign w:val="center"/>
          </w:tcPr>
          <w:p w14:paraId="245CCF4E">
            <w:pPr>
              <w:widowControl/>
              <w:wordWrap w:val="0"/>
              <w:spacing w:line="400" w:lineRule="exact"/>
              <w:jc w:val="center"/>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商务分</w:t>
            </w:r>
          </w:p>
        </w:tc>
        <w:tc>
          <w:tcPr>
            <w:tcW w:w="5843" w:type="dxa"/>
            <w:noWrap w:val="0"/>
            <w:vAlign w:val="center"/>
          </w:tcPr>
          <w:p w14:paraId="4C17593B">
            <w:pPr>
              <w:widowControl/>
              <w:wordWrap w:val="0"/>
              <w:spacing w:line="40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评审标准</w:t>
            </w:r>
          </w:p>
        </w:tc>
        <w:tc>
          <w:tcPr>
            <w:tcW w:w="878" w:type="dxa"/>
            <w:noWrap w:val="0"/>
            <w:vAlign w:val="center"/>
          </w:tcPr>
          <w:p w14:paraId="63204F08">
            <w:pPr>
              <w:widowControl/>
              <w:wordWrap w:val="0"/>
              <w:spacing w:line="40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10分</w:t>
            </w:r>
          </w:p>
        </w:tc>
      </w:tr>
      <w:tr w14:paraId="18F26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8" w:type="dxa"/>
            <w:noWrap w:val="0"/>
            <w:vAlign w:val="center"/>
          </w:tcPr>
          <w:p w14:paraId="74017F6A">
            <w:pPr>
              <w:widowControl/>
              <w:wordWrap w:val="0"/>
              <w:spacing w:line="40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3.1</w:t>
            </w:r>
          </w:p>
        </w:tc>
        <w:tc>
          <w:tcPr>
            <w:tcW w:w="2089" w:type="dxa"/>
            <w:gridSpan w:val="2"/>
            <w:noWrap w:val="0"/>
            <w:vAlign w:val="center"/>
          </w:tcPr>
          <w:p w14:paraId="4300830E">
            <w:pPr>
              <w:wordWrap w:val="0"/>
              <w:spacing w:line="4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业绩分</w:t>
            </w:r>
          </w:p>
        </w:tc>
        <w:tc>
          <w:tcPr>
            <w:tcW w:w="5843" w:type="dxa"/>
            <w:noWrap w:val="0"/>
            <w:vAlign w:val="center"/>
          </w:tcPr>
          <w:p w14:paraId="610B4F20">
            <w:pPr>
              <w:wordWrap w:val="0"/>
              <w:autoSpaceDE w:val="0"/>
              <w:autoSpaceDN w:val="0"/>
              <w:adjustRightInd w:val="0"/>
              <w:spacing w:line="400" w:lineRule="exact"/>
              <w:rPr>
                <w:rFonts w:hint="eastAsia" w:ascii="宋体" w:hAnsi="宋体" w:cs="宋体"/>
                <w:color w:val="000000" w:themeColor="text1"/>
                <w:szCs w:val="21"/>
                <w:highlight w:val="none"/>
                <w14:textFill>
                  <w14:solidFill>
                    <w14:schemeClr w14:val="tx1"/>
                  </w14:solidFill>
                </w14:textFill>
              </w:rPr>
            </w:pPr>
            <w:r>
              <w:rPr>
                <w:rFonts w:hint="eastAsia" w:hAnsi="宋体" w:cs="Courier New"/>
                <w:bCs/>
                <w:color w:val="000000" w:themeColor="text1"/>
                <w:kern w:val="2"/>
                <w:sz w:val="21"/>
                <w:highlight w:val="none"/>
                <w:lang w:val="en-US" w:eastAsia="zh-CN"/>
                <w14:textFill>
                  <w14:solidFill>
                    <w14:schemeClr w14:val="tx1"/>
                  </w14:solidFill>
                </w14:textFill>
              </w:rPr>
              <w:t>供应商自2022年1月1日以来（以合同签订时间为准）具有同类项目业绩的，每个得2.5分，满分10分。注：需在响应文件中提供中标（成交）通知书和施工合同复印件并加盖供应商公章，不提供或提供不齐全不得分。</w:t>
            </w:r>
          </w:p>
        </w:tc>
        <w:tc>
          <w:tcPr>
            <w:tcW w:w="878" w:type="dxa"/>
            <w:noWrap w:val="0"/>
            <w:vAlign w:val="center"/>
          </w:tcPr>
          <w:p w14:paraId="6E717207">
            <w:pPr>
              <w:widowControl/>
              <w:wordWrap w:val="0"/>
              <w:spacing w:line="40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10分</w:t>
            </w:r>
          </w:p>
        </w:tc>
      </w:tr>
      <w:tr w14:paraId="457D3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0" w:type="dxa"/>
            <w:gridSpan w:val="4"/>
            <w:noWrap w:val="0"/>
            <w:vAlign w:val="top"/>
          </w:tcPr>
          <w:p w14:paraId="60EF188E">
            <w:pPr>
              <w:pStyle w:val="25"/>
              <w:wordWrap w:val="0"/>
              <w:spacing w:line="400" w:lineRule="exact"/>
              <w:ind w:firstLine="420" w:firstLineChars="200"/>
              <w:rPr>
                <w:rFonts w:hint="eastAsia" w:hAnsi="宋体" w:cs="宋体"/>
                <w:bCs/>
                <w:color w:val="000000" w:themeColor="text1"/>
                <w:kern w:val="2"/>
                <w:sz w:val="21"/>
                <w:highlight w:val="none"/>
                <w:lang w:val="en-US" w:eastAsia="zh-CN"/>
                <w14:textFill>
                  <w14:solidFill>
                    <w14:schemeClr w14:val="tx1"/>
                  </w14:solidFill>
                </w14:textFill>
              </w:rPr>
            </w:pPr>
            <w:r>
              <w:rPr>
                <w:rFonts w:hint="eastAsia" w:hAnsi="宋体" w:cs="宋体"/>
                <w:bCs/>
                <w:color w:val="000000" w:themeColor="text1"/>
                <w:kern w:val="2"/>
                <w:sz w:val="21"/>
                <w:highlight w:val="none"/>
                <w:lang w:val="en-US" w:eastAsia="zh-CN"/>
                <w14:textFill>
                  <w14:solidFill>
                    <w14:schemeClr w14:val="tx1"/>
                  </w14:solidFill>
                </w14:textFill>
              </w:rPr>
              <w:t>总得分＝1＋2＋3</w:t>
            </w:r>
          </w:p>
        </w:tc>
        <w:tc>
          <w:tcPr>
            <w:tcW w:w="878" w:type="dxa"/>
            <w:noWrap w:val="0"/>
            <w:vAlign w:val="center"/>
          </w:tcPr>
          <w:p w14:paraId="743FC06F">
            <w:pPr>
              <w:widowControl/>
              <w:wordWrap w:val="0"/>
              <w:spacing w:line="40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100分</w:t>
            </w:r>
          </w:p>
        </w:tc>
      </w:tr>
      <w:tr w14:paraId="5CAEA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58" w:type="dxa"/>
            <w:gridSpan w:val="5"/>
            <w:noWrap w:val="0"/>
            <w:vAlign w:val="top"/>
          </w:tcPr>
          <w:p w14:paraId="578C0066">
            <w:pPr>
              <w:widowControl/>
              <w:wordWrap w:val="0"/>
              <w:spacing w:line="40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本项目为施工项目，不涉及政策功能的节能，环保分加分。</w:t>
            </w:r>
          </w:p>
        </w:tc>
      </w:tr>
    </w:tbl>
    <w:p w14:paraId="67FBA5B7">
      <w:pPr>
        <w:spacing w:line="360" w:lineRule="auto"/>
        <w:ind w:firstLine="420" w:firstLineChars="200"/>
        <w:rPr>
          <w:rFonts w:hint="eastAsia" w:ascii="宋体" w:hAnsi="宋体"/>
          <w:bCs/>
          <w:color w:val="000000" w:themeColor="text1"/>
          <w:szCs w:val="21"/>
          <w:highlight w:val="none"/>
          <w14:textFill>
            <w14:solidFill>
              <w14:schemeClr w14:val="tx1"/>
            </w14:solidFill>
          </w14:textFill>
        </w:rPr>
      </w:pPr>
    </w:p>
    <w:p w14:paraId="6FAECF30">
      <w:pPr>
        <w:pStyle w:val="2"/>
        <w:rPr>
          <w:rFonts w:ascii="宋体" w:hAnsi="宋体" w:cs="宋体"/>
          <w:color w:val="000000" w:themeColor="text1"/>
          <w:highlight w:val="none"/>
          <w14:textFill>
            <w14:solidFill>
              <w14:schemeClr w14:val="tx1"/>
            </w14:solidFill>
          </w14:textFill>
        </w:rPr>
      </w:pPr>
    </w:p>
    <w:p w14:paraId="2C0B4131">
      <w:pPr>
        <w:pStyle w:val="2"/>
        <w:jc w:val="center"/>
        <w:rPr>
          <w:rFonts w:ascii="宋体" w:hAnsi="宋体" w:cs="宋体"/>
          <w:color w:val="000000" w:themeColor="text1"/>
          <w:highlight w:val="none"/>
          <w14:textFill>
            <w14:solidFill>
              <w14:schemeClr w14:val="tx1"/>
            </w14:solidFill>
          </w14:textFill>
        </w:rPr>
      </w:pPr>
    </w:p>
    <w:p w14:paraId="3B65B64C">
      <w:pPr>
        <w:pStyle w:val="2"/>
        <w:jc w:val="center"/>
        <w:rPr>
          <w:rFonts w:ascii="宋体" w:hAnsi="宋体" w:cs="宋体"/>
          <w:color w:val="000000" w:themeColor="text1"/>
          <w:highlight w:val="none"/>
          <w14:textFill>
            <w14:solidFill>
              <w14:schemeClr w14:val="tx1"/>
            </w14:solidFill>
          </w14:textFill>
        </w:rPr>
      </w:pPr>
    </w:p>
    <w:p w14:paraId="184D4D74">
      <w:pPr>
        <w:rPr>
          <w:color w:val="000000" w:themeColor="text1"/>
          <w:highlight w:val="none"/>
          <w14:textFill>
            <w14:solidFill>
              <w14:schemeClr w14:val="tx1"/>
            </w14:solidFill>
          </w14:textFill>
        </w:rPr>
      </w:pPr>
    </w:p>
    <w:p w14:paraId="790C4849">
      <w:pPr>
        <w:pStyle w:val="2"/>
        <w:jc w:val="center"/>
        <w:rPr>
          <w:color w:val="000000" w:themeColor="text1"/>
          <w:highlight w:val="none"/>
          <w14:textFill>
            <w14:solidFill>
              <w14:schemeClr w14:val="tx1"/>
            </w14:solidFill>
          </w14:textFill>
        </w:rPr>
      </w:pPr>
      <w:bookmarkStart w:id="77" w:name="_Toc122424248"/>
      <w:r>
        <w:rPr>
          <w:rFonts w:hint="eastAsia"/>
          <w:color w:val="000000" w:themeColor="text1"/>
          <w:highlight w:val="none"/>
          <w14:textFill>
            <w14:solidFill>
              <w14:schemeClr w14:val="tx1"/>
            </w14:solidFill>
          </w14:textFill>
        </w:rPr>
        <w:t>第五章 工程量清单及图纸</w:t>
      </w:r>
      <w:bookmarkEnd w:id="77"/>
    </w:p>
    <w:p w14:paraId="7282C34D">
      <w:pPr>
        <w:pStyle w:val="2"/>
        <w:jc w:val="center"/>
        <w:rPr>
          <w:color w:val="000000" w:themeColor="text1"/>
          <w:highlight w:val="none"/>
          <w14:textFill>
            <w14:solidFill>
              <w14:schemeClr w14:val="tx1"/>
            </w14:solidFill>
          </w14:textFill>
        </w:rPr>
      </w:pPr>
    </w:p>
    <w:p w14:paraId="2812DA5A">
      <w:pPr>
        <w:pStyle w:val="2"/>
        <w:spacing w:before="0" w:after="0" w:line="360" w:lineRule="auto"/>
        <w:jc w:val="center"/>
        <w:rPr>
          <w:rFonts w:ascii="宋体" w:hAnsi="宋体" w:cs="宋体"/>
          <w:color w:val="000000" w:themeColor="text1"/>
          <w:sz w:val="32"/>
          <w:szCs w:val="32"/>
          <w:highlight w:val="none"/>
          <w14:textFill>
            <w14:solidFill>
              <w14:schemeClr w14:val="tx1"/>
            </w14:solidFill>
          </w14:textFill>
        </w:rPr>
      </w:pPr>
      <w:r>
        <w:rPr>
          <w:color w:val="000000" w:themeColor="text1"/>
          <w:highlight w:val="none"/>
          <w14:textFill>
            <w14:solidFill>
              <w14:schemeClr w14:val="tx1"/>
            </w14:solidFill>
          </w14:textFill>
        </w:rPr>
        <w:br w:type="page"/>
      </w:r>
    </w:p>
    <w:p w14:paraId="7492DC38">
      <w:pPr>
        <w:pStyle w:val="3"/>
        <w:spacing w:before="0" w:after="0" w:line="360" w:lineRule="auto"/>
        <w:rPr>
          <w:color w:val="000000" w:themeColor="text1"/>
          <w:kern w:val="44"/>
          <w:highlight w:val="none"/>
          <w14:textFill>
            <w14:solidFill>
              <w14:schemeClr w14:val="tx1"/>
            </w14:solidFill>
          </w14:textFill>
        </w:rPr>
      </w:pPr>
      <w:bookmarkStart w:id="78" w:name="_Toc122424001"/>
      <w:bookmarkStart w:id="79" w:name="_Toc1392571603"/>
      <w:bookmarkStart w:id="80" w:name="_Toc407135284"/>
      <w:bookmarkStart w:id="81" w:name="_Toc1386396751"/>
      <w:bookmarkStart w:id="82" w:name="_Toc78449869"/>
      <w:bookmarkStart w:id="83" w:name="_Toc122424250"/>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w:t>
      </w:r>
      <w:r>
        <w:rPr>
          <w:rFonts w:hint="eastAsia" w:cs="黑体"/>
          <w:color w:val="000000" w:themeColor="text1"/>
          <w:highlight w:val="none"/>
          <w14:textFill>
            <w14:solidFill>
              <w14:schemeClr w14:val="tx1"/>
            </w14:solidFill>
          </w14:textFill>
        </w:rPr>
        <w:t>工程量清单编制说明</w:t>
      </w:r>
      <w:bookmarkEnd w:id="78"/>
      <w:bookmarkEnd w:id="79"/>
      <w:bookmarkEnd w:id="80"/>
      <w:bookmarkEnd w:id="81"/>
      <w:bookmarkEnd w:id="82"/>
      <w:bookmarkEnd w:id="83"/>
    </w:p>
    <w:p w14:paraId="5835DC60">
      <w:pPr>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1.1</w:t>
      </w:r>
      <w:r>
        <w:rPr>
          <w:rFonts w:hint="eastAsia" w:hAnsi="宋体" w:cs="宋体"/>
          <w:color w:val="000000" w:themeColor="text1"/>
          <w:highlight w:val="none"/>
          <w14:textFill>
            <w14:solidFill>
              <w14:schemeClr w14:val="tx1"/>
            </w14:solidFill>
          </w14:textFill>
        </w:rPr>
        <w:t>本工程量清单依据1、《建设工程工程量清单计价规范》（GB50500-2013）及配套的广西壮族自治区实施细则。2、《房屋建筑与装饰工程工程量计算规范》(GB50854-2013)、《通用安装工程工程量计算规范》(GB50856-2013)、《市政工程工程量计算规范》(GB50857-2013)、2013建设工程工程量计算规范广西壮族自治区实施细则（修订本）。3、2024年《广西壮族自治区建筑装饰装修工程消耗量定额》。4、2024年《广西壮族自治区建筑工程拆除消耗量定额》。5、2023年《广西壮族自治区安装工程消耗量定额》。6、2016年《广西壮族自治区建设工程费用定额》。7、广西壮族自治区住房城乡建设厅关于调整建设工程计价增值税税率的通知（桂建标〔2019〕10号）及广西壮族自治区住房城乡建设厅关于调整人工及费率的通知(桂建标〔2018〕19号)。8、桂建标〔2023〕7号2023年5月25日起《关于调整建设工程定额人工费及有关费率的通知》。 9、本工程材料价格按《钦州市建设工程造价信息》2025年7月份（有上、下半月的取下半月）钦州市的材料价格计取，钦州市信息价没有的参考《南宁建设工程造价信息》2025年第7期上半月刊材料价或按市场调查价格等有关规定及相关资料</w:t>
      </w:r>
      <w:r>
        <w:rPr>
          <w:rFonts w:hint="eastAsia" w:hAnsi="宋体" w:cs="宋体"/>
          <w:color w:val="000000" w:themeColor="text1"/>
          <w:kern w:val="0"/>
          <w:highlight w:val="none"/>
          <w14:textFill>
            <w14:solidFill>
              <w14:schemeClr w14:val="tx1"/>
            </w14:solidFill>
          </w14:textFill>
        </w:rPr>
        <w:t>、磋商文件</w:t>
      </w:r>
      <w:r>
        <w:rPr>
          <w:rFonts w:hint="eastAsia" w:hAnsi="宋体" w:cs="宋体"/>
          <w:color w:val="000000" w:themeColor="text1"/>
          <w:highlight w:val="none"/>
          <w14:textFill>
            <w14:solidFill>
              <w14:schemeClr w14:val="tx1"/>
            </w14:solidFill>
          </w14:textFill>
        </w:rPr>
        <w:t>、施工图等编制。计算规范中没有的清单项目，应在本章第</w:t>
      </w:r>
      <w:r>
        <w:rPr>
          <w:color w:val="000000" w:themeColor="text1"/>
          <w:highlight w:val="none"/>
          <w14:textFill>
            <w14:solidFill>
              <w14:schemeClr w14:val="tx1"/>
            </w14:solidFill>
          </w14:textFill>
        </w:rPr>
        <w:t>1.4</w:t>
      </w:r>
      <w:r>
        <w:rPr>
          <w:rFonts w:hint="eastAsia" w:hAnsi="宋体" w:cs="宋体"/>
          <w:color w:val="000000" w:themeColor="text1"/>
          <w:highlight w:val="none"/>
          <w14:textFill>
            <w14:solidFill>
              <w14:schemeClr w14:val="tx1"/>
            </w14:solidFill>
          </w14:textFill>
        </w:rPr>
        <w:t>款约定。</w:t>
      </w:r>
    </w:p>
    <w:p w14:paraId="6D9AB52C">
      <w:pPr>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1.2 </w:t>
      </w:r>
      <w:r>
        <w:rPr>
          <w:rFonts w:hint="eastAsia"/>
          <w:color w:val="000000" w:themeColor="text1"/>
          <w:highlight w:val="none"/>
          <w14:textFill>
            <w14:solidFill>
              <w14:schemeClr w14:val="tx1"/>
            </w14:solidFill>
          </w14:textFill>
        </w:rPr>
        <w:t>工程量清单应与供应商须知、合同协议条款、合同的通用条款、合同专用条款、技术规范及图纸等文件一起结合使用。</w:t>
      </w:r>
    </w:p>
    <w:p w14:paraId="6E4FC27A">
      <w:pPr>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1.3 </w:t>
      </w:r>
      <w:r>
        <w:rPr>
          <w:rFonts w:hint="eastAsia" w:cs="宋体"/>
          <w:color w:val="000000" w:themeColor="text1"/>
          <w:highlight w:val="none"/>
          <w14:textFill>
            <w14:solidFill>
              <w14:schemeClr w14:val="tx1"/>
            </w14:solidFill>
          </w14:textFill>
        </w:rPr>
        <w:t>工程量清单是磋商文件的组成部分，是工程量清单计价的基础，作为编制</w:t>
      </w:r>
      <w:r>
        <w:rPr>
          <w:rFonts w:hint="eastAsia" w:cs="宋体"/>
          <w:color w:val="000000" w:themeColor="text1"/>
          <w:highlight w:val="none"/>
          <w:lang w:val="en-US" w:eastAsia="zh-CN"/>
          <w14:textFill>
            <w14:solidFill>
              <w14:schemeClr w14:val="tx1"/>
            </w14:solidFill>
          </w14:textFill>
        </w:rPr>
        <w:t>招标</w:t>
      </w:r>
      <w:r>
        <w:rPr>
          <w:rFonts w:hint="eastAsia" w:cs="宋体"/>
          <w:color w:val="000000" w:themeColor="text1"/>
          <w:highlight w:val="none"/>
          <w14:textFill>
            <w14:solidFill>
              <w14:schemeClr w14:val="tx1"/>
            </w14:solidFill>
          </w14:textFill>
        </w:rPr>
        <w:t>控制价、竞标报价、计算或调整工程量、索赔等的依据之一。</w:t>
      </w:r>
    </w:p>
    <w:p w14:paraId="2DFBE043">
      <w:pPr>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1.4 </w:t>
      </w:r>
      <w:r>
        <w:rPr>
          <w:rFonts w:hint="eastAsia" w:cs="宋体"/>
          <w:color w:val="000000" w:themeColor="text1"/>
          <w:highlight w:val="none"/>
          <w14:textFill>
            <w14:solidFill>
              <w14:schemeClr w14:val="tx1"/>
            </w14:solidFill>
          </w14:textFill>
        </w:rPr>
        <w:t>补充清单项目的特征、计量单位、工程量计算规则及工作内容说明如下：</w:t>
      </w:r>
    </w:p>
    <w:p w14:paraId="30D02D4E">
      <w:pPr>
        <w:spacing w:line="360" w:lineRule="auto"/>
        <w:ind w:left="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w:t>
      </w:r>
      <w:r>
        <w:rPr>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w:t>
      </w:r>
    </w:p>
    <w:p w14:paraId="58B4756F">
      <w:pPr>
        <w:pStyle w:val="25"/>
        <w:spacing w:line="360" w:lineRule="auto"/>
        <w:ind w:firstLine="420" w:firstLineChars="200"/>
        <w:rPr>
          <w:rFonts w:ascii="Times New Roman" w:hAnsi="Times New Roman"/>
          <w:color w:val="000000" w:themeColor="text1"/>
          <w:sz w:val="21"/>
          <w:highlight w:val="none"/>
          <w14:textFill>
            <w14:solidFill>
              <w14:schemeClr w14:val="tx1"/>
            </w14:solidFill>
          </w14:textFill>
        </w:rPr>
      </w:pPr>
      <w:r>
        <w:rPr>
          <w:rFonts w:ascii="Times New Roman" w:hAnsi="Times New Roman"/>
          <w:color w:val="000000" w:themeColor="text1"/>
          <w:sz w:val="21"/>
          <w:highlight w:val="none"/>
          <w14:textFill>
            <w14:solidFill>
              <w14:schemeClr w14:val="tx1"/>
            </w14:solidFill>
          </w14:textFill>
        </w:rPr>
        <w:t xml:space="preserve">1.5 </w:t>
      </w:r>
      <w:r>
        <w:rPr>
          <w:rFonts w:hint="eastAsia" w:ascii="Times New Roman" w:hAnsi="Times New Roman"/>
          <w:color w:val="000000" w:themeColor="text1"/>
          <w:sz w:val="21"/>
          <w:highlight w:val="none"/>
          <w14:textFill>
            <w14:solidFill>
              <w14:schemeClr w14:val="tx1"/>
            </w14:solidFill>
          </w14:textFill>
        </w:rPr>
        <w:t>《允许调整主要材料和工程设备一览表》（表</w:t>
      </w:r>
      <w:r>
        <w:rPr>
          <w:rFonts w:ascii="Times New Roman" w:hAnsi="Times New Roman"/>
          <w:color w:val="000000" w:themeColor="text1"/>
          <w:sz w:val="21"/>
          <w:highlight w:val="none"/>
          <w14:textFill>
            <w14:solidFill>
              <w14:schemeClr w14:val="tx1"/>
            </w14:solidFill>
          </w14:textFill>
        </w:rPr>
        <w:t>-22</w:t>
      </w:r>
      <w:r>
        <w:rPr>
          <w:rFonts w:hint="eastAsia" w:ascii="Times New Roman" w:hAnsi="Times New Roman"/>
          <w:color w:val="000000" w:themeColor="text1"/>
          <w:sz w:val="21"/>
          <w:highlight w:val="none"/>
          <w14:textFill>
            <w14:solidFill>
              <w14:schemeClr w14:val="tx1"/>
            </w14:solidFill>
          </w14:textFill>
        </w:rPr>
        <w:t>，表格编号为计价规范相应表格编号，下同）作为项目实施过程中材料和设备价格风险调整依据。</w:t>
      </w:r>
    </w:p>
    <w:p w14:paraId="7FB0054D">
      <w:pPr>
        <w:pStyle w:val="25"/>
        <w:spacing w:line="360" w:lineRule="auto"/>
        <w:ind w:firstLine="420" w:firstLineChars="200"/>
        <w:rPr>
          <w:rFonts w:ascii="Times New Roman" w:hAnsi="Times New Roman"/>
          <w:color w:val="000000" w:themeColor="text1"/>
          <w:sz w:val="21"/>
          <w:highlight w:val="none"/>
          <w14:textFill>
            <w14:solidFill>
              <w14:schemeClr w14:val="tx1"/>
            </w14:solidFill>
          </w14:textFill>
        </w:rPr>
      </w:pPr>
      <w:r>
        <w:rPr>
          <w:rFonts w:ascii="Times New Roman" w:hAnsi="Times New Roman"/>
          <w:color w:val="000000" w:themeColor="text1"/>
          <w:sz w:val="21"/>
          <w:highlight w:val="none"/>
          <w14:textFill>
            <w14:solidFill>
              <w14:schemeClr w14:val="tx1"/>
            </w14:solidFill>
          </w14:textFill>
        </w:rPr>
        <w:t xml:space="preserve">1.6 </w:t>
      </w:r>
      <w:r>
        <w:rPr>
          <w:rFonts w:hint="eastAsia" w:ascii="Times New Roman" w:hAnsi="Times New Roman"/>
          <w:color w:val="000000" w:themeColor="text1"/>
          <w:sz w:val="21"/>
          <w:highlight w:val="none"/>
          <w14:textFill>
            <w14:solidFill>
              <w14:schemeClr w14:val="tx1"/>
            </w14:solidFill>
          </w14:textFill>
        </w:rPr>
        <w:t>本工程暂列金额（约按合同造价</w:t>
      </w:r>
      <w:r>
        <w:rPr>
          <w:rFonts w:ascii="Times New Roman" w:hAnsi="Times New Roman"/>
          <w:color w:val="000000" w:themeColor="text1"/>
          <w:sz w:val="21"/>
          <w:highlight w:val="none"/>
          <w:u w:val="single"/>
          <w14:textFill>
            <w14:solidFill>
              <w14:schemeClr w14:val="tx1"/>
            </w14:solidFill>
          </w14:textFill>
        </w:rPr>
        <w:t xml:space="preserve">    </w:t>
      </w:r>
      <w:r>
        <w:rPr>
          <w:rFonts w:hint="eastAsia" w:ascii="Times New Roman" w:hAnsi="Times New Roman"/>
          <w:color w:val="000000" w:themeColor="text1"/>
          <w:sz w:val="21"/>
          <w:highlight w:val="none"/>
          <w:u w:val="single"/>
          <w14:textFill>
            <w14:solidFill>
              <w14:schemeClr w14:val="tx1"/>
            </w14:solidFill>
          </w14:textFill>
        </w:rPr>
        <w:t>/</w:t>
      </w:r>
      <w:r>
        <w:rPr>
          <w:rFonts w:ascii="Times New Roman" w:hAnsi="Times New Roman"/>
          <w:color w:val="000000" w:themeColor="text1"/>
          <w:sz w:val="21"/>
          <w:highlight w:val="none"/>
          <w:u w:val="single"/>
          <w14:textFill>
            <w14:solidFill>
              <w14:schemeClr w14:val="tx1"/>
            </w14:solidFill>
          </w14:textFill>
        </w:rPr>
        <w:t xml:space="preserve">    </w:t>
      </w:r>
      <w:r>
        <w:rPr>
          <w:rFonts w:ascii="Times New Roman" w:hAnsi="Times New Roman"/>
          <w:color w:val="000000" w:themeColor="text1"/>
          <w:sz w:val="21"/>
          <w:highlight w:val="none"/>
          <w14:textFill>
            <w14:solidFill>
              <w14:schemeClr w14:val="tx1"/>
            </w14:solidFill>
          </w14:textFill>
        </w:rPr>
        <w:t>%</w:t>
      </w:r>
      <w:r>
        <w:rPr>
          <w:rFonts w:hint="eastAsia" w:ascii="Times New Roman" w:hAnsi="Times New Roman"/>
          <w:color w:val="000000" w:themeColor="text1"/>
          <w:sz w:val="21"/>
          <w:highlight w:val="none"/>
          <w14:textFill>
            <w14:solidFill>
              <w14:schemeClr w14:val="tx1"/>
            </w14:solidFill>
          </w14:textFill>
        </w:rPr>
        <w:t>计算），共</w:t>
      </w:r>
      <w:r>
        <w:rPr>
          <w:rFonts w:ascii="Times New Roman" w:hAnsi="Times New Roman"/>
          <w:color w:val="000000" w:themeColor="text1"/>
          <w:sz w:val="21"/>
          <w:highlight w:val="none"/>
          <w:u w:val="single"/>
          <w14:textFill>
            <w14:solidFill>
              <w14:schemeClr w14:val="tx1"/>
            </w14:solidFill>
          </w14:textFill>
        </w:rPr>
        <w:t xml:space="preserve">     </w:t>
      </w:r>
      <w:r>
        <w:rPr>
          <w:rFonts w:hint="eastAsia" w:ascii="Times New Roman" w:hAnsi="Times New Roman"/>
          <w:color w:val="000000" w:themeColor="text1"/>
          <w:sz w:val="21"/>
          <w:highlight w:val="none"/>
          <w:u w:val="single"/>
          <w14:textFill>
            <w14:solidFill>
              <w14:schemeClr w14:val="tx1"/>
            </w14:solidFill>
          </w14:textFill>
        </w:rPr>
        <w:t>/</w:t>
      </w:r>
      <w:r>
        <w:rPr>
          <w:rFonts w:ascii="Times New Roman" w:hAnsi="Times New Roman"/>
          <w:color w:val="000000" w:themeColor="text1"/>
          <w:sz w:val="21"/>
          <w:highlight w:val="none"/>
          <w:u w:val="single"/>
          <w14:textFill>
            <w14:solidFill>
              <w14:schemeClr w14:val="tx1"/>
            </w14:solidFill>
          </w14:textFill>
        </w:rPr>
        <w:t xml:space="preserve">   </w:t>
      </w:r>
      <w:r>
        <w:rPr>
          <w:rFonts w:hint="eastAsia" w:ascii="Times New Roman" w:hAnsi="Times New Roman"/>
          <w:color w:val="000000" w:themeColor="text1"/>
          <w:sz w:val="21"/>
          <w:highlight w:val="none"/>
          <w14:textFill>
            <w14:solidFill>
              <w14:schemeClr w14:val="tx1"/>
            </w14:solidFill>
          </w14:textFill>
        </w:rPr>
        <w:t>元，作为合同签订时尚未确定或者不可预见但施工中可能发生的费用。</w:t>
      </w:r>
    </w:p>
    <w:p w14:paraId="0D37BA1E">
      <w:pPr>
        <w:pStyle w:val="25"/>
        <w:spacing w:line="360" w:lineRule="auto"/>
        <w:ind w:firstLine="420" w:firstLineChars="200"/>
        <w:rPr>
          <w:rFonts w:ascii="Times New Roman" w:hAnsi="Times New Roman"/>
          <w:color w:val="000000" w:themeColor="text1"/>
          <w:sz w:val="21"/>
          <w:highlight w:val="none"/>
          <w14:textFill>
            <w14:solidFill>
              <w14:schemeClr w14:val="tx1"/>
            </w14:solidFill>
          </w14:textFill>
        </w:rPr>
      </w:pPr>
      <w:r>
        <w:rPr>
          <w:rFonts w:ascii="Times New Roman" w:hAnsi="Times New Roman"/>
          <w:color w:val="000000" w:themeColor="text1"/>
          <w:sz w:val="21"/>
          <w:highlight w:val="none"/>
          <w14:textFill>
            <w14:solidFill>
              <w14:schemeClr w14:val="tx1"/>
            </w14:solidFill>
          </w14:textFill>
        </w:rPr>
        <w:t xml:space="preserve">1.7 </w:t>
      </w:r>
      <w:r>
        <w:rPr>
          <w:rFonts w:hint="eastAsia" w:ascii="Times New Roman" w:hAnsi="Times New Roman"/>
          <w:color w:val="000000" w:themeColor="text1"/>
          <w:sz w:val="21"/>
          <w:highlight w:val="none"/>
          <w14:textFill>
            <w14:solidFill>
              <w14:schemeClr w14:val="tx1"/>
            </w14:solidFill>
          </w14:textFill>
        </w:rPr>
        <w:t>本工程发包人提供的材料和设备详见《发包人提供的主要材料和工程设备一览表》（表</w:t>
      </w:r>
      <w:r>
        <w:rPr>
          <w:rFonts w:ascii="Times New Roman" w:hAnsi="Times New Roman"/>
          <w:color w:val="000000" w:themeColor="text1"/>
          <w:sz w:val="21"/>
          <w:highlight w:val="none"/>
          <w14:textFill>
            <w14:solidFill>
              <w14:schemeClr w14:val="tx1"/>
            </w14:solidFill>
          </w14:textFill>
        </w:rPr>
        <w:t>-21</w:t>
      </w:r>
      <w:r>
        <w:rPr>
          <w:rFonts w:hint="eastAsia" w:ascii="Times New Roman" w:hAnsi="Times New Roman"/>
          <w:color w:val="000000" w:themeColor="text1"/>
          <w:sz w:val="21"/>
          <w:highlight w:val="none"/>
          <w14:textFill>
            <w14:solidFill>
              <w14:schemeClr w14:val="tx1"/>
            </w14:solidFill>
          </w14:textFill>
        </w:rPr>
        <w:t>）。</w:t>
      </w:r>
    </w:p>
    <w:p w14:paraId="669C7970">
      <w:pPr>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1.8 </w:t>
      </w:r>
      <w:r>
        <w:rPr>
          <w:rFonts w:hint="eastAsia" w:cs="宋体"/>
          <w:color w:val="000000" w:themeColor="text1"/>
          <w:highlight w:val="none"/>
          <w14:textFill>
            <w14:solidFill>
              <w14:schemeClr w14:val="tx1"/>
            </w14:solidFill>
          </w14:textFill>
        </w:rPr>
        <w:t>本工程部分材料和设备在采购时作为暂估价计列，结算按实调整，具体内容详见《材料（工程设备）暂估单价及调整表》（表</w:t>
      </w:r>
      <w:r>
        <w:rPr>
          <w:color w:val="000000" w:themeColor="text1"/>
          <w:highlight w:val="none"/>
          <w14:textFill>
            <w14:solidFill>
              <w14:schemeClr w14:val="tx1"/>
            </w14:solidFill>
          </w14:textFill>
        </w:rPr>
        <w:t>12-2</w:t>
      </w:r>
      <w:r>
        <w:rPr>
          <w:rFonts w:hint="eastAsia" w:cs="宋体"/>
          <w:color w:val="000000" w:themeColor="text1"/>
          <w:highlight w:val="none"/>
          <w14:textFill>
            <w14:solidFill>
              <w14:schemeClr w14:val="tx1"/>
            </w14:solidFill>
          </w14:textFill>
        </w:rPr>
        <w:t>）。</w:t>
      </w:r>
    </w:p>
    <w:p w14:paraId="2A15560B">
      <w:pPr>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1.9 </w:t>
      </w:r>
      <w:r>
        <w:rPr>
          <w:rFonts w:hint="eastAsia" w:cs="宋体"/>
          <w:color w:val="000000" w:themeColor="text1"/>
          <w:highlight w:val="none"/>
          <w14:textFill>
            <w14:solidFill>
              <w14:schemeClr w14:val="tx1"/>
            </w14:solidFill>
          </w14:textFill>
        </w:rPr>
        <w:t>采购时暂估专业工程的价款属于暂估价，结算按实调整，具体内容详见《专业工程暂估价及结算价表》（表</w:t>
      </w:r>
      <w:r>
        <w:rPr>
          <w:color w:val="000000" w:themeColor="text1"/>
          <w:highlight w:val="none"/>
          <w14:textFill>
            <w14:solidFill>
              <w14:schemeClr w14:val="tx1"/>
            </w14:solidFill>
          </w14:textFill>
        </w:rPr>
        <w:t>12-3</w:t>
      </w:r>
      <w:r>
        <w:rPr>
          <w:rFonts w:hint="eastAsia" w:cs="宋体"/>
          <w:color w:val="000000" w:themeColor="text1"/>
          <w:highlight w:val="none"/>
          <w14:textFill>
            <w14:solidFill>
              <w14:schemeClr w14:val="tx1"/>
            </w14:solidFill>
          </w14:textFill>
        </w:rPr>
        <w:t>）。</w:t>
      </w:r>
    </w:p>
    <w:p w14:paraId="3303C50E">
      <w:pPr>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1.10 </w:t>
      </w:r>
      <w:r>
        <w:rPr>
          <w:rFonts w:hint="eastAsia" w:cs="宋体"/>
          <w:color w:val="000000" w:themeColor="text1"/>
          <w:highlight w:val="none"/>
          <w14:textFill>
            <w14:solidFill>
              <w14:schemeClr w14:val="tx1"/>
            </w14:solidFill>
          </w14:textFill>
        </w:rPr>
        <w:t>本工程量清单编码处标注</w:t>
      </w:r>
      <w:r>
        <w:rPr>
          <w:color w:val="000000" w:themeColor="text1"/>
          <w:highlight w:val="none"/>
          <w14:textFill>
            <w14:solidFill>
              <w14:schemeClr w14:val="tx1"/>
            </w14:solidFill>
          </w14:textFill>
        </w:rPr>
        <w:t>“*”</w:t>
      </w:r>
      <w:r>
        <w:rPr>
          <w:rFonts w:hint="eastAsia" w:cs="宋体"/>
          <w:color w:val="000000" w:themeColor="text1"/>
          <w:highlight w:val="none"/>
          <w14:textFill>
            <w14:solidFill>
              <w14:schemeClr w14:val="tx1"/>
            </w14:solidFill>
          </w14:textFill>
        </w:rPr>
        <w:t>号的清单项目作为主要清单项目，需要供应商提供</w:t>
      </w:r>
      <w:r>
        <w:rPr>
          <w:rFonts w:hint="eastAsia" w:hAnsi="宋体" w:cs="宋体"/>
          <w:color w:val="000000" w:themeColor="text1"/>
          <w:highlight w:val="none"/>
          <w14:textFill>
            <w14:solidFill>
              <w14:schemeClr w14:val="tx1"/>
            </w14:solidFill>
          </w14:textFill>
        </w:rPr>
        <w:t>《主要清单项目工料机分析表》（表</w:t>
      </w:r>
      <w:r>
        <w:rPr>
          <w:color w:val="000000" w:themeColor="text1"/>
          <w:highlight w:val="none"/>
          <w14:textFill>
            <w14:solidFill>
              <w14:schemeClr w14:val="tx1"/>
            </w14:solidFill>
          </w14:textFill>
        </w:rPr>
        <w:t>-10</w:t>
      </w:r>
      <w:r>
        <w:rPr>
          <w:rFonts w:hint="eastAsia" w:hAnsi="宋体" w:cs="宋体"/>
          <w:color w:val="000000" w:themeColor="text1"/>
          <w:highlight w:val="none"/>
          <w14:textFill>
            <w14:solidFill>
              <w14:schemeClr w14:val="tx1"/>
            </w14:solidFill>
          </w14:textFill>
        </w:rPr>
        <w:t>）</w:t>
      </w:r>
      <w:r>
        <w:rPr>
          <w:rFonts w:hint="eastAsia" w:cs="宋体"/>
          <w:color w:val="000000" w:themeColor="text1"/>
          <w:highlight w:val="none"/>
          <w14:textFill>
            <w14:solidFill>
              <w14:schemeClr w14:val="tx1"/>
            </w14:solidFill>
          </w14:textFill>
        </w:rPr>
        <w:t>。</w:t>
      </w:r>
    </w:p>
    <w:p w14:paraId="0ECEA012">
      <w:pPr>
        <w:spacing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1.11 </w:t>
      </w:r>
      <w:r>
        <w:rPr>
          <w:rFonts w:hint="eastAsia" w:cs="宋体"/>
          <w:color w:val="000000" w:themeColor="text1"/>
          <w:highlight w:val="none"/>
          <w14:textFill>
            <w14:solidFill>
              <w14:schemeClr w14:val="tx1"/>
            </w14:solidFill>
          </w14:textFill>
        </w:rPr>
        <w:t>其它需要说明的问题：</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w:t>
      </w:r>
      <w:r>
        <w:rPr>
          <w:color w:val="000000" w:themeColor="text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w:t>
      </w:r>
    </w:p>
    <w:p w14:paraId="485DE91D">
      <w:pPr>
        <w:spacing w:line="360" w:lineRule="auto"/>
        <w:ind w:firstLine="420" w:firstLineChars="20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1.12 </w:t>
      </w:r>
      <w:r>
        <w:rPr>
          <w:rFonts w:hint="eastAsia" w:cs="宋体"/>
          <w:color w:val="000000" w:themeColor="text1"/>
          <w:highlight w:val="none"/>
          <w14:textFill>
            <w14:solidFill>
              <w14:schemeClr w14:val="tx1"/>
            </w14:solidFill>
          </w14:textFill>
        </w:rPr>
        <w:t>工程量清单与磋商文件同时发布。</w:t>
      </w:r>
      <w:r>
        <w:rPr>
          <w:color w:val="000000" w:themeColor="text1"/>
          <w:highlight w:val="non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一般计税法建设工程的工程量清单表格按</w:t>
      </w:r>
      <w:r>
        <w:rPr>
          <w:rFonts w:hint="eastAsia" w:hAnsi="宋体" w:cs="宋体"/>
          <w:color w:val="000000" w:themeColor="text1"/>
          <w:kern w:val="0"/>
          <w:highlight w:val="none"/>
          <w14:textFill>
            <w14:solidFill>
              <w14:schemeClr w14:val="tx1"/>
            </w14:solidFill>
          </w14:textFill>
        </w:rPr>
        <w:t>《关于建筑业实施营业税改征增值税后广西壮族自治区建设工程计价依据调整的通知》（桂建标〔</w:t>
      </w:r>
      <w:r>
        <w:rPr>
          <w:rFonts w:hAnsi="宋体"/>
          <w:color w:val="000000" w:themeColor="text1"/>
          <w:kern w:val="0"/>
          <w:highlight w:val="none"/>
          <w14:textFill>
            <w14:solidFill>
              <w14:schemeClr w14:val="tx1"/>
            </w14:solidFill>
          </w14:textFill>
        </w:rPr>
        <w:t>2016</w:t>
      </w:r>
      <w:r>
        <w:rPr>
          <w:rFonts w:hint="eastAsia" w:hAnsi="宋体" w:cs="宋体"/>
          <w:color w:val="000000" w:themeColor="text1"/>
          <w:kern w:val="0"/>
          <w:highlight w:val="none"/>
          <w14:textFill>
            <w14:solidFill>
              <w14:schemeClr w14:val="tx1"/>
            </w14:solidFill>
          </w14:textFill>
        </w:rPr>
        <w:t>〕</w:t>
      </w:r>
      <w:r>
        <w:rPr>
          <w:rFonts w:hAnsi="宋体"/>
          <w:color w:val="000000" w:themeColor="text1"/>
          <w:kern w:val="0"/>
          <w:highlight w:val="none"/>
          <w14:textFill>
            <w14:solidFill>
              <w14:schemeClr w14:val="tx1"/>
            </w14:solidFill>
          </w14:textFill>
        </w:rPr>
        <w:t>17</w:t>
      </w:r>
      <w:r>
        <w:rPr>
          <w:rFonts w:hint="eastAsia" w:hAnsi="宋体" w:cs="宋体"/>
          <w:color w:val="000000" w:themeColor="text1"/>
          <w:kern w:val="0"/>
          <w:highlight w:val="none"/>
          <w14:textFill>
            <w14:solidFill>
              <w14:schemeClr w14:val="tx1"/>
            </w14:solidFill>
          </w14:textFill>
        </w:rPr>
        <w:t>号）</w:t>
      </w:r>
      <w:r>
        <w:rPr>
          <w:rFonts w:hint="eastAsia" w:ascii="宋体" w:hAnsi="宋体" w:cs="宋体"/>
          <w:color w:val="000000" w:themeColor="text1"/>
          <w:highlight w:val="none"/>
          <w14:textFill>
            <w14:solidFill>
              <w14:schemeClr w14:val="tx1"/>
            </w14:solidFill>
          </w14:textFill>
        </w:rPr>
        <w:t>附件“增值税一般计税方法工程计价表”要求提供</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简易计税法建设工程按照《计价规范》要求的</w:t>
      </w:r>
      <w:r>
        <w:rPr>
          <w:rFonts w:hint="eastAsia" w:cs="宋体"/>
          <w:color w:val="000000" w:themeColor="text1"/>
          <w:highlight w:val="none"/>
          <w14:textFill>
            <w14:solidFill>
              <w14:schemeClr w14:val="tx1"/>
            </w14:solidFill>
          </w14:textFill>
        </w:rPr>
        <w:t>表格提供，但规费和税费要按照《关于建筑业实施营业税改征增值税后广西壮族自治区建设工程计价依据调整的通知》（桂建标〔</w:t>
      </w:r>
      <w:r>
        <w:rPr>
          <w:color w:val="000000" w:themeColor="text1"/>
          <w:highlight w:val="none"/>
          <w14:textFill>
            <w14:solidFill>
              <w14:schemeClr w14:val="tx1"/>
            </w14:solidFill>
          </w14:textFill>
        </w:rPr>
        <w:t>2016</w:t>
      </w:r>
      <w:r>
        <w:rPr>
          <w:rFonts w:hint="eastAsia"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17</w:t>
      </w:r>
      <w:r>
        <w:rPr>
          <w:rFonts w:hint="eastAsia" w:cs="宋体"/>
          <w:color w:val="000000" w:themeColor="text1"/>
          <w:highlight w:val="none"/>
          <w14:textFill>
            <w14:solidFill>
              <w14:schemeClr w14:val="tx1"/>
            </w14:solidFill>
          </w14:textFill>
        </w:rPr>
        <w:t>号）</w:t>
      </w:r>
      <w:r>
        <w:rPr>
          <w:rFonts w:hint="eastAsia" w:ascii="宋体" w:hAnsi="宋体" w:cs="宋体"/>
          <w:color w:val="000000" w:themeColor="text1"/>
          <w:highlight w:val="none"/>
          <w14:textFill>
            <w14:solidFill>
              <w14:schemeClr w14:val="tx1"/>
            </w14:solidFill>
          </w14:textFill>
        </w:rPr>
        <w:t>要求调整，具体</w:t>
      </w:r>
      <w:r>
        <w:rPr>
          <w:rFonts w:hint="eastAsia" w:cs="宋体"/>
          <w:color w:val="000000" w:themeColor="text1"/>
          <w:highlight w:val="none"/>
          <w14:textFill>
            <w14:solidFill>
              <w14:schemeClr w14:val="tx1"/>
            </w14:solidFill>
          </w14:textFill>
        </w:rPr>
        <w:t>包括：</w:t>
      </w:r>
    </w:p>
    <w:p w14:paraId="39EF4741">
      <w:pPr>
        <w:spacing w:line="360" w:lineRule="auto"/>
        <w:ind w:firstLine="630" w:firstLineChars="30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1.1 </w:t>
      </w:r>
      <w:r>
        <w:rPr>
          <w:rFonts w:hint="eastAsia" w:cs="宋体"/>
          <w:color w:val="000000" w:themeColor="text1"/>
          <w:highlight w:val="none"/>
          <w14:textFill>
            <w14:solidFill>
              <w14:schemeClr w14:val="tx1"/>
            </w14:solidFill>
          </w14:textFill>
        </w:rPr>
        <w:t>工程量清单（封</w:t>
      </w:r>
      <w:r>
        <w:rPr>
          <w:color w:val="000000" w:themeColor="text1"/>
          <w:highlight w:val="none"/>
          <w14:textFill>
            <w14:solidFill>
              <w14:schemeClr w14:val="tx1"/>
            </w14:solidFill>
          </w14:textFill>
        </w:rPr>
        <w:t>-1</w:t>
      </w:r>
      <w:r>
        <w:rPr>
          <w:rFonts w:hint="eastAsia" w:cs="宋体"/>
          <w:color w:val="000000" w:themeColor="text1"/>
          <w:highlight w:val="none"/>
          <w14:textFill>
            <w14:solidFill>
              <w14:schemeClr w14:val="tx1"/>
            </w14:solidFill>
          </w14:textFill>
        </w:rPr>
        <w:t>）</w:t>
      </w:r>
    </w:p>
    <w:p w14:paraId="5E2B5540">
      <w:pPr>
        <w:spacing w:line="360" w:lineRule="auto"/>
        <w:ind w:firstLine="630" w:firstLineChars="30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1.2 </w:t>
      </w:r>
      <w:r>
        <w:rPr>
          <w:rFonts w:hint="eastAsia" w:cs="宋体"/>
          <w:color w:val="000000" w:themeColor="text1"/>
          <w:highlight w:val="none"/>
          <w14:textFill>
            <w14:solidFill>
              <w14:schemeClr w14:val="tx1"/>
            </w14:solidFill>
          </w14:textFill>
        </w:rPr>
        <w:t>工程量清单（封扉</w:t>
      </w:r>
      <w:r>
        <w:rPr>
          <w:color w:val="000000" w:themeColor="text1"/>
          <w:highlight w:val="none"/>
          <w14:textFill>
            <w14:solidFill>
              <w14:schemeClr w14:val="tx1"/>
            </w14:solidFill>
          </w14:textFill>
        </w:rPr>
        <w:t>-1</w:t>
      </w:r>
      <w:r>
        <w:rPr>
          <w:rFonts w:hint="eastAsia" w:cs="宋体"/>
          <w:color w:val="000000" w:themeColor="text1"/>
          <w:highlight w:val="none"/>
          <w14:textFill>
            <w14:solidFill>
              <w14:schemeClr w14:val="tx1"/>
            </w14:solidFill>
          </w14:textFill>
        </w:rPr>
        <w:t>）</w:t>
      </w:r>
    </w:p>
    <w:p w14:paraId="00D51960">
      <w:pPr>
        <w:spacing w:line="360" w:lineRule="auto"/>
        <w:ind w:firstLine="630" w:firstLineChars="30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1.3 </w:t>
      </w:r>
      <w:r>
        <w:rPr>
          <w:rFonts w:hint="eastAsia" w:cs="宋体"/>
          <w:color w:val="000000" w:themeColor="text1"/>
          <w:highlight w:val="none"/>
          <w14:textFill>
            <w14:solidFill>
              <w14:schemeClr w14:val="tx1"/>
            </w14:solidFill>
          </w14:textFill>
        </w:rPr>
        <w:t>总说明（表</w:t>
      </w:r>
      <w:r>
        <w:rPr>
          <w:color w:val="000000" w:themeColor="text1"/>
          <w:highlight w:val="none"/>
          <w14:textFill>
            <w14:solidFill>
              <w14:schemeClr w14:val="tx1"/>
            </w14:solidFill>
          </w14:textFill>
        </w:rPr>
        <w:t>-01</w:t>
      </w:r>
      <w:r>
        <w:rPr>
          <w:rFonts w:hint="eastAsia" w:cs="宋体"/>
          <w:color w:val="000000" w:themeColor="text1"/>
          <w:highlight w:val="none"/>
          <w14:textFill>
            <w14:solidFill>
              <w14:schemeClr w14:val="tx1"/>
            </w14:solidFill>
          </w14:textFill>
        </w:rPr>
        <w:t>）</w:t>
      </w:r>
    </w:p>
    <w:p w14:paraId="6ACC5D3D">
      <w:pPr>
        <w:spacing w:line="360" w:lineRule="auto"/>
        <w:ind w:firstLine="630" w:firstLineChars="30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1.4 </w:t>
      </w:r>
      <w:r>
        <w:rPr>
          <w:rFonts w:hint="eastAsia" w:cs="宋体"/>
          <w:color w:val="000000" w:themeColor="text1"/>
          <w:highlight w:val="none"/>
          <w14:textFill>
            <w14:solidFill>
              <w14:schemeClr w14:val="tx1"/>
            </w14:solidFill>
          </w14:textFill>
        </w:rPr>
        <w:t>建设项目汇总表（表</w:t>
      </w:r>
      <w:r>
        <w:rPr>
          <w:color w:val="000000" w:themeColor="text1"/>
          <w:highlight w:val="none"/>
          <w14:textFill>
            <w14:solidFill>
              <w14:schemeClr w14:val="tx1"/>
            </w14:solidFill>
          </w14:textFill>
        </w:rPr>
        <w:t>-02</w:t>
      </w:r>
      <w:r>
        <w:rPr>
          <w:rFonts w:hint="eastAsia" w:cs="宋体"/>
          <w:color w:val="000000" w:themeColor="text1"/>
          <w:highlight w:val="none"/>
          <w14:textFill>
            <w14:solidFill>
              <w14:schemeClr w14:val="tx1"/>
            </w14:solidFill>
          </w14:textFill>
        </w:rPr>
        <w:t>）</w:t>
      </w:r>
    </w:p>
    <w:p w14:paraId="79EB53C5">
      <w:pPr>
        <w:spacing w:line="360" w:lineRule="auto"/>
        <w:ind w:firstLine="630" w:firstLineChars="30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1.5 </w:t>
      </w:r>
      <w:r>
        <w:rPr>
          <w:rFonts w:hint="eastAsia" w:cs="宋体"/>
          <w:color w:val="000000" w:themeColor="text1"/>
          <w:highlight w:val="none"/>
          <w14:textFill>
            <w14:solidFill>
              <w14:schemeClr w14:val="tx1"/>
            </w14:solidFill>
          </w14:textFill>
        </w:rPr>
        <w:t>单项工程汇总表（表</w:t>
      </w:r>
      <w:r>
        <w:rPr>
          <w:color w:val="000000" w:themeColor="text1"/>
          <w:highlight w:val="none"/>
          <w14:textFill>
            <w14:solidFill>
              <w14:schemeClr w14:val="tx1"/>
            </w14:solidFill>
          </w14:textFill>
        </w:rPr>
        <w:t>-03</w:t>
      </w:r>
      <w:r>
        <w:rPr>
          <w:rFonts w:hint="eastAsia" w:cs="宋体"/>
          <w:color w:val="000000" w:themeColor="text1"/>
          <w:highlight w:val="none"/>
          <w14:textFill>
            <w14:solidFill>
              <w14:schemeClr w14:val="tx1"/>
            </w14:solidFill>
          </w14:textFill>
        </w:rPr>
        <w:t>）</w:t>
      </w:r>
    </w:p>
    <w:p w14:paraId="03385A63">
      <w:pPr>
        <w:spacing w:line="360" w:lineRule="auto"/>
        <w:ind w:firstLine="630" w:firstLineChars="30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1.6 </w:t>
      </w:r>
      <w:r>
        <w:rPr>
          <w:rFonts w:hint="eastAsia" w:cs="宋体"/>
          <w:color w:val="000000" w:themeColor="text1"/>
          <w:highlight w:val="none"/>
          <w14:textFill>
            <w14:solidFill>
              <w14:schemeClr w14:val="tx1"/>
            </w14:solidFill>
          </w14:textFill>
        </w:rPr>
        <w:t>单位工程汇总表（表</w:t>
      </w:r>
      <w:r>
        <w:rPr>
          <w:color w:val="000000" w:themeColor="text1"/>
          <w:highlight w:val="none"/>
          <w14:textFill>
            <w14:solidFill>
              <w14:schemeClr w14:val="tx1"/>
            </w14:solidFill>
          </w14:textFill>
        </w:rPr>
        <w:t>-04</w:t>
      </w:r>
      <w:r>
        <w:rPr>
          <w:rFonts w:hint="eastAsia" w:cs="宋体"/>
          <w:color w:val="000000" w:themeColor="text1"/>
          <w:highlight w:val="none"/>
          <w14:textFill>
            <w14:solidFill>
              <w14:schemeClr w14:val="tx1"/>
            </w14:solidFill>
          </w14:textFill>
        </w:rPr>
        <w:t>）</w:t>
      </w:r>
    </w:p>
    <w:p w14:paraId="4E49EF23">
      <w:pPr>
        <w:spacing w:line="360" w:lineRule="auto"/>
        <w:ind w:firstLine="630" w:firstLineChars="30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1.7 </w:t>
      </w:r>
      <w:r>
        <w:rPr>
          <w:rFonts w:hint="eastAsia" w:cs="宋体"/>
          <w:color w:val="000000" w:themeColor="text1"/>
          <w:highlight w:val="none"/>
          <w14:textFill>
            <w14:solidFill>
              <w14:schemeClr w14:val="tx1"/>
            </w14:solidFill>
          </w14:textFill>
        </w:rPr>
        <w:t>分部分项工程和单价措施项目清单与计价表（表</w:t>
      </w:r>
      <w:r>
        <w:rPr>
          <w:color w:val="000000" w:themeColor="text1"/>
          <w:highlight w:val="none"/>
          <w14:textFill>
            <w14:solidFill>
              <w14:schemeClr w14:val="tx1"/>
            </w14:solidFill>
          </w14:textFill>
        </w:rPr>
        <w:t>-08</w:t>
      </w:r>
      <w:r>
        <w:rPr>
          <w:rFonts w:hint="eastAsia" w:cs="宋体"/>
          <w:color w:val="000000" w:themeColor="text1"/>
          <w:highlight w:val="none"/>
          <w14:textFill>
            <w14:solidFill>
              <w14:schemeClr w14:val="tx1"/>
            </w14:solidFill>
          </w14:textFill>
        </w:rPr>
        <w:t>）</w:t>
      </w:r>
    </w:p>
    <w:p w14:paraId="221A80FA">
      <w:pPr>
        <w:spacing w:line="360" w:lineRule="auto"/>
        <w:ind w:firstLine="630" w:firstLineChars="30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1.8 </w:t>
      </w:r>
      <w:r>
        <w:rPr>
          <w:rFonts w:hint="eastAsia" w:cs="宋体"/>
          <w:color w:val="000000" w:themeColor="text1"/>
          <w:highlight w:val="none"/>
          <w14:textFill>
            <w14:solidFill>
              <w14:schemeClr w14:val="tx1"/>
            </w14:solidFill>
          </w14:textFill>
        </w:rPr>
        <w:t>总价措施项目清单与计价表（表</w:t>
      </w:r>
      <w:r>
        <w:rPr>
          <w:color w:val="000000" w:themeColor="text1"/>
          <w:highlight w:val="none"/>
          <w14:textFill>
            <w14:solidFill>
              <w14:schemeClr w14:val="tx1"/>
            </w14:solidFill>
          </w14:textFill>
        </w:rPr>
        <w:t>-11</w:t>
      </w:r>
      <w:r>
        <w:rPr>
          <w:rFonts w:hint="eastAsia" w:cs="宋体"/>
          <w:color w:val="000000" w:themeColor="text1"/>
          <w:highlight w:val="none"/>
          <w14:textFill>
            <w14:solidFill>
              <w14:schemeClr w14:val="tx1"/>
            </w14:solidFill>
          </w14:textFill>
        </w:rPr>
        <w:t>）</w:t>
      </w:r>
    </w:p>
    <w:p w14:paraId="549446EC">
      <w:pPr>
        <w:spacing w:line="360" w:lineRule="auto"/>
        <w:ind w:firstLine="630" w:firstLineChars="30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1.9 </w:t>
      </w:r>
      <w:r>
        <w:rPr>
          <w:rFonts w:hint="eastAsia" w:cs="宋体"/>
          <w:color w:val="000000" w:themeColor="text1"/>
          <w:highlight w:val="none"/>
          <w14:textFill>
            <w14:solidFill>
              <w14:schemeClr w14:val="tx1"/>
            </w14:solidFill>
          </w14:textFill>
        </w:rPr>
        <w:t>其他项目清单与计价汇总表（表</w:t>
      </w:r>
      <w:r>
        <w:rPr>
          <w:color w:val="000000" w:themeColor="text1"/>
          <w:highlight w:val="none"/>
          <w14:textFill>
            <w14:solidFill>
              <w14:schemeClr w14:val="tx1"/>
            </w14:solidFill>
          </w14:textFill>
        </w:rPr>
        <w:t>-12</w:t>
      </w:r>
      <w:r>
        <w:rPr>
          <w:rFonts w:hint="eastAsia" w:cs="宋体"/>
          <w:color w:val="000000" w:themeColor="text1"/>
          <w:highlight w:val="none"/>
          <w14:textFill>
            <w14:solidFill>
              <w14:schemeClr w14:val="tx1"/>
            </w14:solidFill>
          </w14:textFill>
        </w:rPr>
        <w:t>）</w:t>
      </w:r>
    </w:p>
    <w:p w14:paraId="6C8BE529">
      <w:pPr>
        <w:spacing w:line="360" w:lineRule="auto"/>
        <w:ind w:firstLine="630" w:firstLineChars="30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1.10 </w:t>
      </w:r>
      <w:r>
        <w:rPr>
          <w:rFonts w:hint="eastAsia" w:cs="宋体"/>
          <w:color w:val="000000" w:themeColor="text1"/>
          <w:highlight w:val="none"/>
          <w14:textFill>
            <w14:solidFill>
              <w14:schemeClr w14:val="tx1"/>
            </w14:solidFill>
          </w14:textFill>
        </w:rPr>
        <w:t>暂列金额明细表（表</w:t>
      </w:r>
      <w:r>
        <w:rPr>
          <w:color w:val="000000" w:themeColor="text1"/>
          <w:highlight w:val="none"/>
          <w14:textFill>
            <w14:solidFill>
              <w14:schemeClr w14:val="tx1"/>
            </w14:solidFill>
          </w14:textFill>
        </w:rPr>
        <w:t>12-1</w:t>
      </w:r>
      <w:r>
        <w:rPr>
          <w:rFonts w:hint="eastAsia" w:cs="宋体"/>
          <w:color w:val="000000" w:themeColor="text1"/>
          <w:highlight w:val="none"/>
          <w14:textFill>
            <w14:solidFill>
              <w14:schemeClr w14:val="tx1"/>
            </w14:solidFill>
          </w14:textFill>
        </w:rPr>
        <w:t>）</w:t>
      </w:r>
    </w:p>
    <w:p w14:paraId="6388DDBE">
      <w:pPr>
        <w:spacing w:line="360" w:lineRule="auto"/>
        <w:ind w:firstLine="630" w:firstLineChars="30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1.11 </w:t>
      </w:r>
      <w:r>
        <w:rPr>
          <w:rFonts w:hint="eastAsia" w:cs="宋体"/>
          <w:color w:val="000000" w:themeColor="text1"/>
          <w:highlight w:val="none"/>
          <w14:textFill>
            <w14:solidFill>
              <w14:schemeClr w14:val="tx1"/>
            </w14:solidFill>
          </w14:textFill>
        </w:rPr>
        <w:t>材料（工程设备）暂估单价及调整表（表</w:t>
      </w:r>
      <w:r>
        <w:rPr>
          <w:color w:val="000000" w:themeColor="text1"/>
          <w:highlight w:val="none"/>
          <w14:textFill>
            <w14:solidFill>
              <w14:schemeClr w14:val="tx1"/>
            </w14:solidFill>
          </w14:textFill>
        </w:rPr>
        <w:t>12-2</w:t>
      </w:r>
      <w:r>
        <w:rPr>
          <w:rFonts w:hint="eastAsia" w:cs="宋体"/>
          <w:color w:val="000000" w:themeColor="text1"/>
          <w:highlight w:val="none"/>
          <w14:textFill>
            <w14:solidFill>
              <w14:schemeClr w14:val="tx1"/>
            </w14:solidFill>
          </w14:textFill>
        </w:rPr>
        <w:t>）</w:t>
      </w:r>
    </w:p>
    <w:p w14:paraId="1479D818">
      <w:pPr>
        <w:spacing w:line="360" w:lineRule="auto"/>
        <w:ind w:firstLine="630" w:firstLineChars="30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1.12 </w:t>
      </w:r>
      <w:r>
        <w:rPr>
          <w:rFonts w:hint="eastAsia" w:cs="宋体"/>
          <w:color w:val="000000" w:themeColor="text1"/>
          <w:highlight w:val="none"/>
          <w14:textFill>
            <w14:solidFill>
              <w14:schemeClr w14:val="tx1"/>
            </w14:solidFill>
          </w14:textFill>
        </w:rPr>
        <w:t>专业工程暂估价</w:t>
      </w:r>
      <w:r>
        <w:rPr>
          <w:rFonts w:hint="eastAsia"/>
          <w:color w:val="000000" w:themeColor="text1"/>
          <w:highlight w:val="none"/>
          <w14:textFill>
            <w14:solidFill>
              <w14:schemeClr w14:val="tx1"/>
            </w14:solidFill>
          </w14:textFill>
        </w:rPr>
        <w:t>及结算价</w:t>
      </w:r>
      <w:r>
        <w:rPr>
          <w:rFonts w:hint="eastAsia" w:cs="宋体"/>
          <w:color w:val="000000" w:themeColor="text1"/>
          <w:highlight w:val="none"/>
          <w14:textFill>
            <w14:solidFill>
              <w14:schemeClr w14:val="tx1"/>
            </w14:solidFill>
          </w14:textFill>
        </w:rPr>
        <w:t>表（表</w:t>
      </w:r>
      <w:r>
        <w:rPr>
          <w:color w:val="000000" w:themeColor="text1"/>
          <w:highlight w:val="none"/>
          <w14:textFill>
            <w14:solidFill>
              <w14:schemeClr w14:val="tx1"/>
            </w14:solidFill>
          </w14:textFill>
        </w:rPr>
        <w:t>12-3</w:t>
      </w:r>
      <w:r>
        <w:rPr>
          <w:rFonts w:hint="eastAsia" w:cs="宋体"/>
          <w:color w:val="000000" w:themeColor="text1"/>
          <w:highlight w:val="none"/>
          <w14:textFill>
            <w14:solidFill>
              <w14:schemeClr w14:val="tx1"/>
            </w14:solidFill>
          </w14:textFill>
        </w:rPr>
        <w:t>）</w:t>
      </w:r>
    </w:p>
    <w:p w14:paraId="000219C3">
      <w:pPr>
        <w:spacing w:line="360" w:lineRule="auto"/>
        <w:ind w:firstLine="630" w:firstLineChars="30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1.13 </w:t>
      </w:r>
      <w:r>
        <w:rPr>
          <w:rFonts w:hint="eastAsia" w:cs="宋体"/>
          <w:color w:val="000000" w:themeColor="text1"/>
          <w:highlight w:val="none"/>
          <w14:textFill>
            <w14:solidFill>
              <w14:schemeClr w14:val="tx1"/>
            </w14:solidFill>
          </w14:textFill>
        </w:rPr>
        <w:t>计日工表（表</w:t>
      </w:r>
      <w:r>
        <w:rPr>
          <w:color w:val="000000" w:themeColor="text1"/>
          <w:highlight w:val="none"/>
          <w14:textFill>
            <w14:solidFill>
              <w14:schemeClr w14:val="tx1"/>
            </w14:solidFill>
          </w14:textFill>
        </w:rPr>
        <w:t>12-4</w:t>
      </w:r>
      <w:r>
        <w:rPr>
          <w:rFonts w:hint="eastAsia" w:cs="宋体"/>
          <w:color w:val="000000" w:themeColor="text1"/>
          <w:highlight w:val="none"/>
          <w14:textFill>
            <w14:solidFill>
              <w14:schemeClr w14:val="tx1"/>
            </w14:solidFill>
          </w14:textFill>
        </w:rPr>
        <w:t>）</w:t>
      </w:r>
    </w:p>
    <w:p w14:paraId="5EBDFC27">
      <w:pPr>
        <w:spacing w:line="360" w:lineRule="auto"/>
        <w:ind w:firstLine="630" w:firstLineChars="30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1.14 </w:t>
      </w:r>
      <w:r>
        <w:rPr>
          <w:rFonts w:hint="eastAsia" w:cs="宋体"/>
          <w:color w:val="000000" w:themeColor="text1"/>
          <w:highlight w:val="none"/>
          <w14:textFill>
            <w14:solidFill>
              <w14:schemeClr w14:val="tx1"/>
            </w14:solidFill>
          </w14:textFill>
        </w:rPr>
        <w:t>总承包服务费计价表（表</w:t>
      </w:r>
      <w:r>
        <w:rPr>
          <w:color w:val="000000" w:themeColor="text1"/>
          <w:highlight w:val="none"/>
          <w14:textFill>
            <w14:solidFill>
              <w14:schemeClr w14:val="tx1"/>
            </w14:solidFill>
          </w14:textFill>
        </w:rPr>
        <w:t>12-5</w:t>
      </w:r>
      <w:r>
        <w:rPr>
          <w:rFonts w:hint="eastAsia" w:cs="宋体"/>
          <w:color w:val="000000" w:themeColor="text1"/>
          <w:highlight w:val="none"/>
          <w14:textFill>
            <w14:solidFill>
              <w14:schemeClr w14:val="tx1"/>
            </w14:solidFill>
          </w14:textFill>
        </w:rPr>
        <w:t>）</w:t>
      </w:r>
    </w:p>
    <w:p w14:paraId="35CBF873">
      <w:pPr>
        <w:spacing w:line="360" w:lineRule="auto"/>
        <w:ind w:firstLine="630" w:firstLineChars="30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1.15 </w:t>
      </w:r>
      <w:r>
        <w:rPr>
          <w:rFonts w:hint="eastAsia" w:cs="宋体"/>
          <w:color w:val="000000" w:themeColor="text1"/>
          <w:highlight w:val="none"/>
          <w14:textFill>
            <w14:solidFill>
              <w14:schemeClr w14:val="tx1"/>
            </w14:solidFill>
          </w14:textFill>
        </w:rPr>
        <w:t>税前项目清单与计价表（表</w:t>
      </w:r>
      <w:r>
        <w:rPr>
          <w:color w:val="000000" w:themeColor="text1"/>
          <w:highlight w:val="none"/>
          <w14:textFill>
            <w14:solidFill>
              <w14:schemeClr w14:val="tx1"/>
            </w14:solidFill>
          </w14:textFill>
        </w:rPr>
        <w:t>-14</w:t>
      </w:r>
      <w:r>
        <w:rPr>
          <w:rFonts w:hint="eastAsia" w:cs="宋体"/>
          <w:color w:val="000000" w:themeColor="text1"/>
          <w:highlight w:val="none"/>
          <w14:textFill>
            <w14:solidFill>
              <w14:schemeClr w14:val="tx1"/>
            </w14:solidFill>
          </w14:textFill>
        </w:rPr>
        <w:t>）</w:t>
      </w:r>
    </w:p>
    <w:p w14:paraId="6F70CE87">
      <w:pPr>
        <w:spacing w:line="360" w:lineRule="auto"/>
        <w:ind w:firstLine="630" w:firstLineChars="30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1.16 </w:t>
      </w:r>
      <w:r>
        <w:rPr>
          <w:rFonts w:hint="eastAsia" w:cs="宋体"/>
          <w:color w:val="000000" w:themeColor="text1"/>
          <w:highlight w:val="none"/>
          <w14:textFill>
            <w14:solidFill>
              <w14:schemeClr w14:val="tx1"/>
            </w14:solidFill>
          </w14:textFill>
        </w:rPr>
        <w:t>规费、增值税计价表（表</w:t>
      </w:r>
      <w:r>
        <w:rPr>
          <w:color w:val="000000" w:themeColor="text1"/>
          <w:highlight w:val="none"/>
          <w14:textFill>
            <w14:solidFill>
              <w14:schemeClr w14:val="tx1"/>
            </w14:solidFill>
          </w14:textFill>
        </w:rPr>
        <w:t>-15</w:t>
      </w:r>
      <w:r>
        <w:rPr>
          <w:rFonts w:hint="eastAsia" w:cs="宋体"/>
          <w:color w:val="000000" w:themeColor="text1"/>
          <w:highlight w:val="none"/>
          <w14:textFill>
            <w14:solidFill>
              <w14:schemeClr w14:val="tx1"/>
            </w14:solidFill>
          </w14:textFill>
        </w:rPr>
        <w:t>）</w:t>
      </w:r>
    </w:p>
    <w:p w14:paraId="5F93B6DF">
      <w:pPr>
        <w:spacing w:line="360" w:lineRule="auto"/>
        <w:ind w:firstLine="630" w:firstLineChars="30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1.17 </w:t>
      </w:r>
      <w:r>
        <w:rPr>
          <w:rFonts w:hint="eastAsia" w:cs="宋体"/>
          <w:color w:val="000000" w:themeColor="text1"/>
          <w:highlight w:val="none"/>
          <w14:textFill>
            <w14:solidFill>
              <w14:schemeClr w14:val="tx1"/>
            </w14:solidFill>
          </w14:textFill>
        </w:rPr>
        <w:t>发包人提供主要材料和工程设备一览表（表</w:t>
      </w:r>
      <w:r>
        <w:rPr>
          <w:color w:val="000000" w:themeColor="text1"/>
          <w:highlight w:val="none"/>
          <w14:textFill>
            <w14:solidFill>
              <w14:schemeClr w14:val="tx1"/>
            </w14:solidFill>
          </w14:textFill>
        </w:rPr>
        <w:t>-21</w:t>
      </w:r>
      <w:r>
        <w:rPr>
          <w:rFonts w:hint="eastAsia" w:cs="宋体"/>
          <w:color w:val="000000" w:themeColor="text1"/>
          <w:highlight w:val="none"/>
          <w14:textFill>
            <w14:solidFill>
              <w14:schemeClr w14:val="tx1"/>
            </w14:solidFill>
          </w14:textFill>
        </w:rPr>
        <w:t>）</w:t>
      </w:r>
    </w:p>
    <w:p w14:paraId="2C42DD59">
      <w:pPr>
        <w:spacing w:line="360" w:lineRule="auto"/>
        <w:ind w:firstLine="630" w:firstLineChars="30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1.18 </w:t>
      </w:r>
      <w:r>
        <w:rPr>
          <w:rFonts w:hint="eastAsia" w:cs="宋体"/>
          <w:color w:val="000000" w:themeColor="text1"/>
          <w:highlight w:val="none"/>
          <w14:textFill>
            <w14:solidFill>
              <w14:schemeClr w14:val="tx1"/>
            </w14:solidFill>
          </w14:textFill>
        </w:rPr>
        <w:t>允许调整主要材料和工程设备一览表（适用于造价信息差额调整法）（表</w:t>
      </w:r>
      <w:r>
        <w:rPr>
          <w:color w:val="000000" w:themeColor="text1"/>
          <w:highlight w:val="none"/>
          <w14:textFill>
            <w14:solidFill>
              <w14:schemeClr w14:val="tx1"/>
            </w14:solidFill>
          </w14:textFill>
        </w:rPr>
        <w:t>-22</w:t>
      </w:r>
      <w:r>
        <w:rPr>
          <w:rFonts w:hint="eastAsia" w:cs="宋体"/>
          <w:color w:val="000000" w:themeColor="text1"/>
          <w:highlight w:val="none"/>
          <w14:textFill>
            <w14:solidFill>
              <w14:schemeClr w14:val="tx1"/>
            </w14:solidFill>
          </w14:textFill>
        </w:rPr>
        <w:t>）</w:t>
      </w:r>
    </w:p>
    <w:p w14:paraId="74373B10">
      <w:pPr>
        <w:spacing w:line="360" w:lineRule="auto"/>
        <w:ind w:firstLine="630" w:firstLineChars="300"/>
        <w:jc w:val="left"/>
        <w:rPr>
          <w:rFonts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1.19</w:t>
      </w:r>
      <w:r>
        <w:rPr>
          <w:rFonts w:hint="eastAsia" w:cs="宋体"/>
          <w:color w:val="000000" w:themeColor="text1"/>
          <w:highlight w:val="none"/>
          <w14:textFill>
            <w14:solidFill>
              <w14:schemeClr w14:val="tx1"/>
            </w14:solidFill>
          </w14:textFill>
        </w:rPr>
        <w:t>允许调整主要材料和工程设备一览表（适用于价格指数差额调整法）（表</w:t>
      </w:r>
      <w:r>
        <w:rPr>
          <w:color w:val="000000" w:themeColor="text1"/>
          <w:highlight w:val="none"/>
          <w14:textFill>
            <w14:solidFill>
              <w14:schemeClr w14:val="tx1"/>
            </w14:solidFill>
          </w14:textFill>
        </w:rPr>
        <w:t>-23</w:t>
      </w:r>
      <w:r>
        <w:rPr>
          <w:rFonts w:hint="eastAsia" w:cs="宋体"/>
          <w:color w:val="000000" w:themeColor="text1"/>
          <w:highlight w:val="none"/>
          <w14:textFill>
            <w14:solidFill>
              <w14:schemeClr w14:val="tx1"/>
            </w14:solidFill>
          </w14:textFill>
        </w:rPr>
        <w:t>）</w:t>
      </w:r>
    </w:p>
    <w:p w14:paraId="1A24028C">
      <w:pPr>
        <w:spacing w:line="360" w:lineRule="auto"/>
        <w:ind w:firstLine="630" w:firstLineChars="300"/>
        <w:jc w:val="left"/>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1.20本工程</w:t>
      </w:r>
      <w:r>
        <w:rPr>
          <w:rFonts w:cs="宋体"/>
          <w:color w:val="000000" w:themeColor="text1"/>
          <w:highlight w:val="none"/>
          <w14:textFill>
            <w14:solidFill>
              <w14:schemeClr w14:val="tx1"/>
            </w14:solidFill>
          </w14:textFill>
        </w:rPr>
        <w:t>材料和工程设备</w:t>
      </w:r>
      <w:r>
        <w:rPr>
          <w:rFonts w:hint="eastAsia" w:cs="宋体"/>
          <w:color w:val="000000" w:themeColor="text1"/>
          <w:highlight w:val="none"/>
          <w14:textFill>
            <w14:solidFill>
              <w14:schemeClr w14:val="tx1"/>
            </w14:solidFill>
          </w14:textFill>
        </w:rPr>
        <w:t>一览表（表-24）</w:t>
      </w:r>
    </w:p>
    <w:p w14:paraId="22E79783">
      <w:pPr>
        <w:spacing w:line="360" w:lineRule="auto"/>
        <w:ind w:firstLine="630" w:firstLineChars="300"/>
        <w:jc w:val="left"/>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注：如本工程在合同中约定采用造价信息价差调整法，1.</w:t>
      </w:r>
      <w:r>
        <w:rPr>
          <w:color w:val="000000" w:themeColor="text1"/>
          <w:highlight w:val="none"/>
          <w14:textFill>
            <w14:solidFill>
              <w14:schemeClr w14:val="tx1"/>
            </w14:solidFill>
          </w14:textFill>
        </w:rPr>
        <w:t xml:space="preserve">18 </w:t>
      </w:r>
      <w:r>
        <w:rPr>
          <w:rFonts w:cs="宋体"/>
          <w:color w:val="000000" w:themeColor="text1"/>
          <w:highlight w:val="none"/>
          <w14:textFill>
            <w14:solidFill>
              <w14:schemeClr w14:val="tx1"/>
            </w14:solidFill>
          </w14:textFill>
        </w:rPr>
        <w:t>允许调整</w:t>
      </w:r>
      <w:r>
        <w:rPr>
          <w:rFonts w:hint="eastAsia" w:cs="宋体"/>
          <w:color w:val="000000" w:themeColor="text1"/>
          <w:highlight w:val="none"/>
          <w14:textFill>
            <w14:solidFill>
              <w14:schemeClr w14:val="tx1"/>
            </w14:solidFill>
          </w14:textFill>
        </w:rPr>
        <w:t>主要材料和工程设备一览表（适用于造价信息差额调整法）（表</w:t>
      </w:r>
      <w:r>
        <w:rPr>
          <w:color w:val="000000" w:themeColor="text1"/>
          <w:highlight w:val="none"/>
          <w14:textFill>
            <w14:solidFill>
              <w14:schemeClr w14:val="tx1"/>
            </w14:solidFill>
          </w14:textFill>
        </w:rPr>
        <w:t>-22</w:t>
      </w:r>
      <w:r>
        <w:rPr>
          <w:rFonts w:hint="eastAsia" w:cs="宋体"/>
          <w:color w:val="000000" w:themeColor="text1"/>
          <w:highlight w:val="none"/>
          <w14:textFill>
            <w14:solidFill>
              <w14:schemeClr w14:val="tx1"/>
            </w14:solidFill>
          </w14:textFill>
        </w:rPr>
        <w:t>）载明的主要材料和工程设备为本工程允许调整材料和工程设备，工程量清单必须提供该表格，并应载明允许调整材料和工程设备名称型号规格、单位、风险系数、基准单价等内容，且不能提供空白表。</w:t>
      </w:r>
    </w:p>
    <w:p w14:paraId="012F70E8">
      <w:pPr>
        <w:spacing w:line="360" w:lineRule="auto"/>
        <w:ind w:firstLine="630" w:firstLineChars="300"/>
        <w:jc w:val="left"/>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以下表格视工程实际需要选用，如该工程不发生如下表格相关项目和费用，所编制工程量清单则不需列入相应表格：</w:t>
      </w:r>
    </w:p>
    <w:p w14:paraId="32CCD2E1">
      <w:pPr>
        <w:spacing w:line="360" w:lineRule="auto"/>
        <w:ind w:firstLine="630" w:firstLineChars="300"/>
        <w:jc w:val="lef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①</w:t>
      </w:r>
      <w:r>
        <w:rPr>
          <w:rFonts w:hint="eastAsia" w:cs="宋体"/>
          <w:color w:val="000000" w:themeColor="text1"/>
          <w:highlight w:val="none"/>
          <w14:textFill>
            <w14:solidFill>
              <w14:schemeClr w14:val="tx1"/>
            </w14:solidFill>
          </w14:textFill>
        </w:rPr>
        <w:t>建设项目竞标报价汇总表（表</w:t>
      </w:r>
      <w:r>
        <w:rPr>
          <w:color w:val="000000" w:themeColor="text1"/>
          <w:highlight w:val="none"/>
          <w14:textFill>
            <w14:solidFill>
              <w14:schemeClr w14:val="tx1"/>
            </w14:solidFill>
          </w14:textFill>
        </w:rPr>
        <w:t>-02</w:t>
      </w:r>
      <w:r>
        <w:rPr>
          <w:rFonts w:hint="eastAsia" w:cs="宋体"/>
          <w:color w:val="000000" w:themeColor="text1"/>
          <w:highlight w:val="none"/>
          <w14:textFill>
            <w14:solidFill>
              <w14:schemeClr w14:val="tx1"/>
            </w14:solidFill>
          </w14:textFill>
        </w:rPr>
        <w:t>）</w:t>
      </w:r>
    </w:p>
    <w:p w14:paraId="74529CB6">
      <w:pPr>
        <w:spacing w:line="360" w:lineRule="auto"/>
        <w:ind w:firstLine="630" w:firstLineChars="300"/>
        <w:jc w:val="left"/>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②暂列金额明细表（表</w:t>
      </w:r>
      <w:r>
        <w:rPr>
          <w:color w:val="000000" w:themeColor="text1"/>
          <w:highlight w:val="none"/>
          <w14:textFill>
            <w14:solidFill>
              <w14:schemeClr w14:val="tx1"/>
            </w14:solidFill>
          </w14:textFill>
        </w:rPr>
        <w:t>12-1</w:t>
      </w:r>
      <w:r>
        <w:rPr>
          <w:rFonts w:hint="eastAsia" w:cs="宋体"/>
          <w:color w:val="000000" w:themeColor="text1"/>
          <w:highlight w:val="none"/>
          <w14:textFill>
            <w14:solidFill>
              <w14:schemeClr w14:val="tx1"/>
            </w14:solidFill>
          </w14:textFill>
        </w:rPr>
        <w:t>）</w:t>
      </w:r>
    </w:p>
    <w:p w14:paraId="2123428A">
      <w:pPr>
        <w:spacing w:line="360" w:lineRule="auto"/>
        <w:ind w:firstLine="630" w:firstLineChars="300"/>
        <w:jc w:val="left"/>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③材料（工程设备）暂估单价及调整表（表</w:t>
      </w:r>
      <w:r>
        <w:rPr>
          <w:color w:val="000000" w:themeColor="text1"/>
          <w:highlight w:val="none"/>
          <w14:textFill>
            <w14:solidFill>
              <w14:schemeClr w14:val="tx1"/>
            </w14:solidFill>
          </w14:textFill>
        </w:rPr>
        <w:t>12-2</w:t>
      </w:r>
      <w:r>
        <w:rPr>
          <w:rFonts w:hint="eastAsia" w:cs="宋体"/>
          <w:color w:val="000000" w:themeColor="text1"/>
          <w:highlight w:val="none"/>
          <w14:textFill>
            <w14:solidFill>
              <w14:schemeClr w14:val="tx1"/>
            </w14:solidFill>
          </w14:textFill>
        </w:rPr>
        <w:t>）</w:t>
      </w:r>
    </w:p>
    <w:p w14:paraId="07B4FE27">
      <w:pPr>
        <w:spacing w:line="360" w:lineRule="auto"/>
        <w:ind w:firstLine="630" w:firstLineChars="300"/>
        <w:jc w:val="left"/>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④专业工程暂估价表（表</w:t>
      </w:r>
      <w:r>
        <w:rPr>
          <w:color w:val="000000" w:themeColor="text1"/>
          <w:highlight w:val="none"/>
          <w14:textFill>
            <w14:solidFill>
              <w14:schemeClr w14:val="tx1"/>
            </w14:solidFill>
          </w14:textFill>
        </w:rPr>
        <w:t>12-3</w:t>
      </w:r>
      <w:r>
        <w:rPr>
          <w:rFonts w:hint="eastAsia" w:cs="宋体"/>
          <w:color w:val="000000" w:themeColor="text1"/>
          <w:highlight w:val="none"/>
          <w14:textFill>
            <w14:solidFill>
              <w14:schemeClr w14:val="tx1"/>
            </w14:solidFill>
          </w14:textFill>
        </w:rPr>
        <w:t>）</w:t>
      </w:r>
    </w:p>
    <w:p w14:paraId="3F694310">
      <w:pPr>
        <w:spacing w:line="360" w:lineRule="auto"/>
        <w:ind w:firstLine="630" w:firstLineChars="300"/>
        <w:jc w:val="left"/>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⑤计日工表（表</w:t>
      </w:r>
      <w:r>
        <w:rPr>
          <w:color w:val="000000" w:themeColor="text1"/>
          <w:highlight w:val="none"/>
          <w14:textFill>
            <w14:solidFill>
              <w14:schemeClr w14:val="tx1"/>
            </w14:solidFill>
          </w14:textFill>
        </w:rPr>
        <w:t>12-4</w:t>
      </w:r>
      <w:r>
        <w:rPr>
          <w:rFonts w:hint="eastAsia" w:cs="宋体"/>
          <w:color w:val="000000" w:themeColor="text1"/>
          <w:highlight w:val="none"/>
          <w14:textFill>
            <w14:solidFill>
              <w14:schemeClr w14:val="tx1"/>
            </w14:solidFill>
          </w14:textFill>
        </w:rPr>
        <w:t>）</w:t>
      </w:r>
    </w:p>
    <w:p w14:paraId="59DABD36">
      <w:pPr>
        <w:spacing w:line="360" w:lineRule="auto"/>
        <w:ind w:firstLine="630" w:firstLineChars="300"/>
        <w:jc w:val="left"/>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⑥总承包服务费计价表（表</w:t>
      </w:r>
      <w:r>
        <w:rPr>
          <w:color w:val="000000" w:themeColor="text1"/>
          <w:highlight w:val="none"/>
          <w14:textFill>
            <w14:solidFill>
              <w14:schemeClr w14:val="tx1"/>
            </w14:solidFill>
          </w14:textFill>
        </w:rPr>
        <w:t>12-5</w:t>
      </w:r>
      <w:r>
        <w:rPr>
          <w:rFonts w:hint="eastAsia" w:cs="宋体"/>
          <w:color w:val="000000" w:themeColor="text1"/>
          <w:highlight w:val="none"/>
          <w14:textFill>
            <w14:solidFill>
              <w14:schemeClr w14:val="tx1"/>
            </w14:solidFill>
          </w14:textFill>
        </w:rPr>
        <w:t>）</w:t>
      </w:r>
    </w:p>
    <w:p w14:paraId="1070DD5E">
      <w:pPr>
        <w:spacing w:line="360" w:lineRule="auto"/>
        <w:ind w:firstLine="630" w:firstLineChars="300"/>
        <w:jc w:val="left"/>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⑦税前项目清单与计价表（表</w:t>
      </w:r>
      <w:r>
        <w:rPr>
          <w:color w:val="000000" w:themeColor="text1"/>
          <w:highlight w:val="none"/>
          <w14:textFill>
            <w14:solidFill>
              <w14:schemeClr w14:val="tx1"/>
            </w14:solidFill>
          </w14:textFill>
        </w:rPr>
        <w:t>-14</w:t>
      </w:r>
      <w:r>
        <w:rPr>
          <w:rFonts w:hint="eastAsia" w:cs="宋体"/>
          <w:color w:val="000000" w:themeColor="text1"/>
          <w:highlight w:val="none"/>
          <w14:textFill>
            <w14:solidFill>
              <w14:schemeClr w14:val="tx1"/>
            </w14:solidFill>
          </w14:textFill>
        </w:rPr>
        <w:t>）</w:t>
      </w:r>
    </w:p>
    <w:p w14:paraId="00AA1586">
      <w:pPr>
        <w:spacing w:line="360" w:lineRule="auto"/>
        <w:ind w:firstLine="630" w:firstLineChars="3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w:instrText>
      </w:r>
      <w:r>
        <w:rPr>
          <w:rFonts w:hint="eastAsia"/>
          <w:color w:val="000000" w:themeColor="text1"/>
          <w:highlight w:val="none"/>
          <w14:textFill>
            <w14:solidFill>
              <w14:schemeClr w14:val="tx1"/>
            </w14:solidFill>
          </w14:textFill>
        </w:rPr>
        <w:instrText xml:space="preserve">= 8 \* GB3</w:instrText>
      </w:r>
      <w:r>
        <w:rPr>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⑧</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允许调整主要材料和工程设备一览表（适用于价格指数差额调整法）（表</w:t>
      </w:r>
      <w:r>
        <w:rPr>
          <w:color w:val="000000" w:themeColor="text1"/>
          <w:highlight w:val="none"/>
          <w14:textFill>
            <w14:solidFill>
              <w14:schemeClr w14:val="tx1"/>
            </w14:solidFill>
          </w14:textFill>
        </w:rPr>
        <w:t>-23</w:t>
      </w:r>
      <w:r>
        <w:rPr>
          <w:rFonts w:hint="eastAsia" w:cs="宋体"/>
          <w:color w:val="000000" w:themeColor="text1"/>
          <w:highlight w:val="none"/>
          <w14:textFill>
            <w14:solidFill>
              <w14:schemeClr w14:val="tx1"/>
            </w14:solidFill>
          </w14:textFill>
        </w:rPr>
        <w:t>）</w:t>
      </w:r>
    </w:p>
    <w:p w14:paraId="5EB8CD7A">
      <w:pPr>
        <w:pStyle w:val="3"/>
        <w:spacing w:before="0" w:after="0" w:line="360" w:lineRule="auto"/>
        <w:rPr>
          <w:color w:val="000000" w:themeColor="text1"/>
          <w:highlight w:val="none"/>
          <w14:textFill>
            <w14:solidFill>
              <w14:schemeClr w14:val="tx1"/>
            </w14:solidFill>
          </w14:textFill>
        </w:rPr>
      </w:pPr>
      <w:bookmarkStart w:id="84" w:name="_Toc990933621"/>
      <w:bookmarkStart w:id="85" w:name="_Toc122424251"/>
      <w:bookmarkStart w:id="86" w:name="_Toc122424002"/>
      <w:bookmarkStart w:id="87" w:name="_Toc78449870"/>
      <w:bookmarkStart w:id="88" w:name="_Toc407135285"/>
      <w:bookmarkStart w:id="89" w:name="_Toc347872619"/>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w:t>
      </w:r>
      <w:r>
        <w:rPr>
          <w:rFonts w:hint="eastAsia" w:cs="黑体"/>
          <w:color w:val="000000" w:themeColor="text1"/>
          <w:highlight w:val="none"/>
          <w:lang w:val="en-US" w:eastAsia="zh-CN"/>
          <w14:textFill>
            <w14:solidFill>
              <w14:schemeClr w14:val="tx1"/>
            </w14:solidFill>
          </w14:textFill>
        </w:rPr>
        <w:t>招标</w:t>
      </w:r>
      <w:r>
        <w:rPr>
          <w:rFonts w:hint="eastAsia" w:cs="黑体"/>
          <w:color w:val="000000" w:themeColor="text1"/>
          <w:highlight w:val="none"/>
          <w14:textFill>
            <w14:solidFill>
              <w14:schemeClr w14:val="tx1"/>
            </w14:solidFill>
          </w14:textFill>
        </w:rPr>
        <w:t>控制价编制说明</w:t>
      </w:r>
      <w:bookmarkEnd w:id="84"/>
      <w:bookmarkEnd w:id="85"/>
      <w:bookmarkEnd w:id="86"/>
      <w:bookmarkEnd w:id="87"/>
      <w:bookmarkEnd w:id="88"/>
      <w:bookmarkEnd w:id="89"/>
    </w:p>
    <w:p w14:paraId="631807AC">
      <w:pPr>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2.1 </w:t>
      </w:r>
      <w:r>
        <w:rPr>
          <w:rFonts w:hint="eastAsia" w:hAnsi="宋体" w:cs="宋体"/>
          <w:color w:val="000000" w:themeColor="text1"/>
          <w:highlight w:val="none"/>
          <w:lang w:val="en-US" w:eastAsia="zh-CN"/>
          <w14:textFill>
            <w14:solidFill>
              <w14:schemeClr w14:val="tx1"/>
            </w14:solidFill>
          </w14:textFill>
        </w:rPr>
        <w:t>招标</w:t>
      </w:r>
      <w:r>
        <w:rPr>
          <w:rFonts w:hint="eastAsia" w:hAnsi="宋体" w:cs="宋体"/>
          <w:color w:val="000000" w:themeColor="text1"/>
          <w:highlight w:val="none"/>
          <w14:textFill>
            <w14:solidFill>
              <w14:schemeClr w14:val="tx1"/>
            </w14:solidFill>
          </w14:textFill>
        </w:rPr>
        <w:t>控制价编制依据：</w:t>
      </w:r>
    </w:p>
    <w:p w14:paraId="0F5CC437">
      <w:pPr>
        <w:spacing w:line="360" w:lineRule="auto"/>
        <w:ind w:firstLine="420" w:firstLineChars="200"/>
        <w:rPr>
          <w:rFonts w:hint="eastAsia" w:hAnsi="宋体" w:eastAsia="宋体"/>
          <w:color w:val="000000" w:themeColor="text1"/>
          <w:highlight w:val="none"/>
          <w:lang w:eastAsia="zh-CN"/>
          <w14:textFill>
            <w14:solidFill>
              <w14:schemeClr w14:val="tx1"/>
            </w14:solidFill>
          </w14:textFill>
        </w:rPr>
      </w:pPr>
      <w:r>
        <w:rPr>
          <w:rFonts w:hint="eastAsia"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1</w:t>
      </w:r>
      <w:r>
        <w:rPr>
          <w:rFonts w:hint="eastAsia" w:cs="宋体"/>
          <w:color w:val="000000" w:themeColor="text1"/>
          <w:highlight w:val="none"/>
          <w14:textFill>
            <w14:solidFill>
              <w14:schemeClr w14:val="tx1"/>
            </w14:solidFill>
          </w14:textFill>
        </w:rPr>
        <w:t>）</w:t>
      </w:r>
      <w:r>
        <w:rPr>
          <w:rFonts w:hint="eastAsia" w:hAnsi="宋体" w:cs="宋体"/>
          <w:color w:val="000000" w:themeColor="text1"/>
          <w:highlight w:val="none"/>
          <w14:textFill>
            <w14:solidFill>
              <w14:schemeClr w14:val="tx1"/>
            </w14:solidFill>
          </w14:textFill>
        </w:rPr>
        <w:t>《计价规范》及《计算规范》、</w:t>
      </w:r>
      <w:r>
        <w:rPr>
          <w:rFonts w:hint="eastAsia" w:hAnsi="宋体" w:cs="宋体"/>
          <w:color w:val="000000" w:themeColor="text1"/>
          <w:kern w:val="0"/>
          <w:highlight w:val="none"/>
          <w14:textFill>
            <w14:solidFill>
              <w14:schemeClr w14:val="tx1"/>
            </w14:solidFill>
          </w14:textFill>
        </w:rPr>
        <w:t>《关于建筑业实施营业税改征增值税后广西壮族自治区建设工程计价依据调整的通知》（桂建标〔</w:t>
      </w:r>
      <w:r>
        <w:rPr>
          <w:rFonts w:hAnsi="宋体"/>
          <w:color w:val="000000" w:themeColor="text1"/>
          <w:kern w:val="0"/>
          <w:highlight w:val="none"/>
          <w14:textFill>
            <w14:solidFill>
              <w14:schemeClr w14:val="tx1"/>
            </w14:solidFill>
          </w14:textFill>
        </w:rPr>
        <w:t>2016</w:t>
      </w:r>
      <w:r>
        <w:rPr>
          <w:rFonts w:hint="eastAsia" w:hAnsi="宋体" w:cs="宋体"/>
          <w:color w:val="000000" w:themeColor="text1"/>
          <w:kern w:val="0"/>
          <w:highlight w:val="none"/>
          <w14:textFill>
            <w14:solidFill>
              <w14:schemeClr w14:val="tx1"/>
            </w14:solidFill>
          </w14:textFill>
        </w:rPr>
        <w:t>〕</w:t>
      </w:r>
      <w:r>
        <w:rPr>
          <w:rFonts w:hAnsi="宋体"/>
          <w:color w:val="000000" w:themeColor="text1"/>
          <w:kern w:val="0"/>
          <w:highlight w:val="none"/>
          <w14:textFill>
            <w14:solidFill>
              <w14:schemeClr w14:val="tx1"/>
            </w14:solidFill>
          </w14:textFill>
        </w:rPr>
        <w:t>17</w:t>
      </w:r>
      <w:r>
        <w:rPr>
          <w:rFonts w:hint="eastAsia" w:hAnsi="宋体" w:cs="宋体"/>
          <w:color w:val="000000" w:themeColor="text1"/>
          <w:kern w:val="0"/>
          <w:highlight w:val="none"/>
          <w14:textFill>
            <w14:solidFill>
              <w14:schemeClr w14:val="tx1"/>
            </w14:solidFill>
          </w14:textFill>
        </w:rPr>
        <w:t>号）等</w:t>
      </w:r>
      <w:r>
        <w:rPr>
          <w:rFonts w:hint="eastAsia" w:hAnsi="宋体" w:cs="宋体"/>
          <w:color w:val="000000" w:themeColor="text1"/>
          <w:highlight w:val="none"/>
          <w:lang w:eastAsia="zh-CN"/>
          <w14:textFill>
            <w14:solidFill>
              <w14:schemeClr w14:val="tx1"/>
            </w14:solidFill>
          </w14:textFill>
        </w:rPr>
        <w:t>；</w:t>
      </w:r>
    </w:p>
    <w:p w14:paraId="12C1C25C">
      <w:pPr>
        <w:spacing w:line="360" w:lineRule="auto"/>
        <w:ind w:firstLine="420" w:firstLineChars="20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2</w:t>
      </w:r>
      <w:r>
        <w:rPr>
          <w:rFonts w:hint="eastAsia" w:cs="宋体"/>
          <w:color w:val="000000" w:themeColor="text1"/>
          <w:highlight w:val="none"/>
          <w14:textFill>
            <w14:solidFill>
              <w14:schemeClr w14:val="tx1"/>
            </w14:solidFill>
          </w14:textFill>
        </w:rPr>
        <w:t>）自治区住房城乡建设行政主管部门颁发的计价定额及有关规定：</w:t>
      </w:r>
      <w:r>
        <w:rPr>
          <w:rFonts w:hint="eastAsia"/>
          <w:color w:val="000000" w:themeColor="text1"/>
          <w:highlight w:val="none"/>
          <w:u w:val="single"/>
          <w14:textFill>
            <w14:solidFill>
              <w14:schemeClr w14:val="tx1"/>
            </w14:solidFill>
          </w14:textFill>
        </w:rPr>
        <w:t>详见</w:t>
      </w:r>
      <w:r>
        <w:rPr>
          <w:color w:val="000000" w:themeColor="text1"/>
          <w:highlight w:val="none"/>
          <w:u w:val="single"/>
          <w14:textFill>
            <w14:solidFill>
              <w14:schemeClr w14:val="tx1"/>
            </w14:solidFill>
          </w14:textFill>
        </w:rPr>
        <w:t xml:space="preserve">工程量清单说明   </w:t>
      </w:r>
      <w:r>
        <w:rPr>
          <w:rFonts w:hint="eastAsia" w:cs="宋体"/>
          <w:color w:val="000000" w:themeColor="text1"/>
          <w:highlight w:val="none"/>
          <w14:textFill>
            <w14:solidFill>
              <w14:schemeClr w14:val="tx1"/>
            </w14:solidFill>
          </w14:textFill>
        </w:rPr>
        <w:t>。</w:t>
      </w:r>
    </w:p>
    <w:p w14:paraId="68A2D56A">
      <w:pPr>
        <w:spacing w:line="360" w:lineRule="auto"/>
        <w:ind w:firstLine="420" w:firstLineChars="200"/>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3</w:t>
      </w:r>
      <w:r>
        <w:rPr>
          <w:rFonts w:hint="eastAsia" w:cs="宋体"/>
          <w:color w:val="000000" w:themeColor="text1"/>
          <w:highlight w:val="none"/>
          <w14:textFill>
            <w14:solidFill>
              <w14:schemeClr w14:val="tx1"/>
            </w14:solidFill>
          </w14:textFill>
        </w:rPr>
        <w:t>）建设工程设计文件及相关资料：</w:t>
      </w:r>
      <w:r>
        <w:rPr>
          <w:color w:val="000000" w:themeColor="text1"/>
          <w:highlight w:val="none"/>
          <w:u w:val="single"/>
          <w14:textFill>
            <w14:solidFill>
              <w14:schemeClr w14:val="tx1"/>
            </w14:solidFill>
          </w14:textFill>
        </w:rPr>
        <w:t>施工</w:t>
      </w:r>
      <w:r>
        <w:rPr>
          <w:rFonts w:hint="eastAsia"/>
          <w:color w:val="000000" w:themeColor="text1"/>
          <w:highlight w:val="none"/>
          <w:u w:val="single"/>
          <w14:textFill>
            <w14:solidFill>
              <w14:schemeClr w14:val="tx1"/>
            </w14:solidFill>
          </w14:textFill>
        </w:rPr>
        <w:t>图纸、工程量清单</w:t>
      </w:r>
      <w:r>
        <w:rPr>
          <w:color w:val="000000" w:themeColor="text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 xml:space="preserve"> </w:t>
      </w:r>
    </w:p>
    <w:p w14:paraId="42FEFBFE">
      <w:pPr>
        <w:spacing w:line="360" w:lineRule="auto"/>
        <w:ind w:firstLine="420" w:firstLineChars="200"/>
        <w:rPr>
          <w:rFonts w:hint="eastAsia" w:eastAsia="宋体"/>
          <w:color w:val="000000" w:themeColor="text1"/>
          <w:highlight w:val="none"/>
          <w:lang w:eastAsia="zh-CN"/>
          <w14:textFill>
            <w14:solidFill>
              <w14:schemeClr w14:val="tx1"/>
            </w14:solidFill>
          </w14:textFill>
        </w:rPr>
      </w:pPr>
      <w:r>
        <w:rPr>
          <w:rFonts w:hint="eastAsia"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4</w:t>
      </w:r>
      <w:r>
        <w:rPr>
          <w:rFonts w:hint="eastAsia" w:cs="宋体"/>
          <w:color w:val="000000" w:themeColor="text1"/>
          <w:highlight w:val="none"/>
          <w14:textFill>
            <w14:solidFill>
              <w14:schemeClr w14:val="tx1"/>
            </w14:solidFill>
          </w14:textFill>
        </w:rPr>
        <w:t>）本工程磋商文件及工程量清单</w:t>
      </w:r>
      <w:r>
        <w:rPr>
          <w:rFonts w:hint="eastAsia" w:cs="宋体"/>
          <w:color w:val="000000" w:themeColor="text1"/>
          <w:highlight w:val="none"/>
          <w:lang w:eastAsia="zh-CN"/>
          <w14:textFill>
            <w14:solidFill>
              <w14:schemeClr w14:val="tx1"/>
            </w14:solidFill>
          </w14:textFill>
        </w:rPr>
        <w:t>；</w:t>
      </w:r>
    </w:p>
    <w:p w14:paraId="4215C793">
      <w:pPr>
        <w:spacing w:line="360" w:lineRule="auto"/>
        <w:ind w:firstLine="420" w:firstLineChars="200"/>
        <w:rPr>
          <w:rFonts w:hint="eastAsia" w:eastAsia="宋体"/>
          <w:color w:val="000000" w:themeColor="text1"/>
          <w:highlight w:val="none"/>
          <w:lang w:eastAsia="zh-CN"/>
          <w14:textFill>
            <w14:solidFill>
              <w14:schemeClr w14:val="tx1"/>
            </w14:solidFill>
          </w14:textFill>
        </w:rPr>
      </w:pPr>
      <w:r>
        <w:rPr>
          <w:rFonts w:hint="eastAsia"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5</w:t>
      </w:r>
      <w:r>
        <w:rPr>
          <w:rFonts w:hint="eastAsia" w:cs="宋体"/>
          <w:color w:val="000000" w:themeColor="text1"/>
          <w:highlight w:val="none"/>
          <w14:textFill>
            <w14:solidFill>
              <w14:schemeClr w14:val="tx1"/>
            </w14:solidFill>
          </w14:textFill>
        </w:rPr>
        <w:t>）与建设项目相关的标准、规范、技术资料</w:t>
      </w:r>
      <w:r>
        <w:rPr>
          <w:rFonts w:hint="eastAsia" w:cs="宋体"/>
          <w:color w:val="000000" w:themeColor="text1"/>
          <w:highlight w:val="none"/>
          <w:lang w:eastAsia="zh-CN"/>
          <w14:textFill>
            <w14:solidFill>
              <w14:schemeClr w14:val="tx1"/>
            </w14:solidFill>
          </w14:textFill>
        </w:rPr>
        <w:t>；</w:t>
      </w:r>
    </w:p>
    <w:p w14:paraId="3C55D5B6">
      <w:pPr>
        <w:spacing w:line="360" w:lineRule="auto"/>
        <w:ind w:firstLine="420" w:firstLineChars="200"/>
        <w:rPr>
          <w:rFonts w:hint="eastAsia" w:eastAsia="宋体"/>
          <w:color w:val="000000" w:themeColor="text1"/>
          <w:highlight w:val="none"/>
          <w:lang w:eastAsia="zh-CN"/>
          <w14:textFill>
            <w14:solidFill>
              <w14:schemeClr w14:val="tx1"/>
            </w14:solidFill>
          </w14:textFill>
        </w:rPr>
      </w:pPr>
      <w:r>
        <w:rPr>
          <w:rFonts w:hint="eastAsia"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6</w:t>
      </w:r>
      <w:r>
        <w:rPr>
          <w:rFonts w:hint="eastAsia" w:cs="宋体"/>
          <w:color w:val="000000" w:themeColor="text1"/>
          <w:highlight w:val="none"/>
          <w14:textFill>
            <w14:solidFill>
              <w14:schemeClr w14:val="tx1"/>
            </w14:solidFill>
          </w14:textFill>
        </w:rPr>
        <w:t>）施工现场情况、工程特点及常规施工方案</w:t>
      </w:r>
      <w:r>
        <w:rPr>
          <w:rFonts w:hint="eastAsia" w:cs="宋体"/>
          <w:color w:val="000000" w:themeColor="text1"/>
          <w:highlight w:val="none"/>
          <w:lang w:eastAsia="zh-CN"/>
          <w14:textFill>
            <w14:solidFill>
              <w14:schemeClr w14:val="tx1"/>
            </w14:solidFill>
          </w14:textFill>
        </w:rPr>
        <w:t>；</w:t>
      </w:r>
    </w:p>
    <w:p w14:paraId="24F34C95">
      <w:pPr>
        <w:spacing w:line="360" w:lineRule="auto"/>
        <w:ind w:firstLine="420" w:firstLineChars="200"/>
        <w:rPr>
          <w:rFonts w:hAnsi="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7</w:t>
      </w:r>
      <w:r>
        <w:rPr>
          <w:rFonts w:hint="eastAsia" w:cs="宋体"/>
          <w:color w:val="000000" w:themeColor="text1"/>
          <w:highlight w:val="none"/>
          <w14:textFill>
            <w14:solidFill>
              <w14:schemeClr w14:val="tx1"/>
            </w14:solidFill>
          </w14:textFill>
        </w:rPr>
        <w:t>）材料价格信息</w:t>
      </w:r>
      <w:r>
        <w:rPr>
          <w:rFonts w:hint="eastAsia" w:hAnsi="宋体" w:cs="宋体"/>
          <w:color w:val="000000" w:themeColor="text1"/>
          <w:highlight w:val="none"/>
          <w14:textFill>
            <w14:solidFill>
              <w14:schemeClr w14:val="tx1"/>
            </w14:solidFill>
          </w14:textFill>
        </w:rPr>
        <w:t>：材料价参考</w:t>
      </w:r>
      <w:r>
        <w:rPr>
          <w:rFonts w:hint="eastAsia" w:hAnsi="宋体" w:cs="宋体"/>
          <w:color w:val="000000" w:themeColor="text1"/>
          <w:highlight w:val="none"/>
          <w:u w:val="single"/>
          <w14:textFill>
            <w14:solidFill>
              <w14:schemeClr w14:val="tx1"/>
            </w14:solidFill>
          </w14:textFill>
        </w:rPr>
        <w:t>按《钦州市建设工程造价信息》2025年7月份（有上、下半月的取下半月）钦州市的材料价格计取，钦州市信息价没有的参考《南宁建设工程造价信息》2025年第7期上半月刊材料价或按市场调查价格</w:t>
      </w:r>
      <w:r>
        <w:rPr>
          <w:rFonts w:hint="eastAsia" w:hAnsi="宋体" w:cs="宋体"/>
          <w:color w:val="000000" w:themeColor="text1"/>
          <w:highlight w:val="none"/>
          <w14:textFill>
            <w14:solidFill>
              <w14:schemeClr w14:val="tx1"/>
            </w14:solidFill>
          </w14:textFill>
        </w:rPr>
        <w:t>。</w:t>
      </w:r>
    </w:p>
    <w:p w14:paraId="76552271">
      <w:pPr>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2.2 </w:t>
      </w:r>
      <w:r>
        <w:rPr>
          <w:rFonts w:hint="eastAsia" w:hAnsi="宋体" w:cs="宋体"/>
          <w:color w:val="000000" w:themeColor="text1"/>
          <w:highlight w:val="none"/>
          <w14:textFill>
            <w14:solidFill>
              <w14:schemeClr w14:val="tx1"/>
            </w14:solidFill>
          </w14:textFill>
        </w:rPr>
        <w:t>分部分项及单价措施项目综合单价应包括磋商文件中采购人要求供应商所承担的风险内容及其范围（幅度）产生的风险费用。</w:t>
      </w:r>
    </w:p>
    <w:p w14:paraId="125023A6">
      <w:pPr>
        <w:spacing w:line="360" w:lineRule="auto"/>
        <w:ind w:firstLine="42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2.3 </w:t>
      </w:r>
      <w:r>
        <w:rPr>
          <w:rFonts w:hint="eastAsia" w:hAnsi="宋体" w:cs="宋体"/>
          <w:color w:val="000000" w:themeColor="text1"/>
          <w:highlight w:val="none"/>
          <w14:textFill>
            <w14:solidFill>
              <w14:schemeClr w14:val="tx1"/>
            </w14:solidFill>
          </w14:textFill>
        </w:rPr>
        <w:t>总价措施项目应根据拟定的磋商文件和常规施工方案按《计价规范》和《计算规范》规定编制。</w:t>
      </w:r>
    </w:p>
    <w:p w14:paraId="17324886">
      <w:pPr>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2.4 </w:t>
      </w:r>
      <w:r>
        <w:rPr>
          <w:rFonts w:hint="eastAsia" w:cs="宋体"/>
          <w:color w:val="000000" w:themeColor="text1"/>
          <w:highlight w:val="none"/>
          <w14:textFill>
            <w14:solidFill>
              <w14:schemeClr w14:val="tx1"/>
            </w14:solidFill>
          </w14:textFill>
        </w:rPr>
        <w:t>其他项目费应按下列规定报价：</w:t>
      </w:r>
    </w:p>
    <w:p w14:paraId="7378F9BB">
      <w:pPr>
        <w:spacing w:line="360" w:lineRule="auto"/>
        <w:ind w:firstLine="420" w:firstLineChars="200"/>
        <w:rPr>
          <w:rFonts w:hint="eastAsia" w:eastAsia="宋体"/>
          <w:color w:val="000000" w:themeColor="text1"/>
          <w:highlight w:val="none"/>
          <w:lang w:eastAsia="zh-CN"/>
          <w14:textFill>
            <w14:solidFill>
              <w14:schemeClr w14:val="tx1"/>
            </w14:solidFill>
          </w14:textFill>
        </w:rPr>
      </w:pPr>
      <w:r>
        <w:rPr>
          <w:rFonts w:hint="eastAsia"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1</w:t>
      </w:r>
      <w:r>
        <w:rPr>
          <w:rFonts w:hint="eastAsia" w:cs="宋体"/>
          <w:color w:val="000000" w:themeColor="text1"/>
          <w:highlight w:val="none"/>
          <w14:textFill>
            <w14:solidFill>
              <w14:schemeClr w14:val="tx1"/>
            </w14:solidFill>
          </w14:textFill>
        </w:rPr>
        <w:t>）暂列金额应按工程量清单中列出的金额填写</w:t>
      </w:r>
      <w:r>
        <w:rPr>
          <w:rFonts w:hint="eastAsia" w:cs="宋体"/>
          <w:color w:val="000000" w:themeColor="text1"/>
          <w:highlight w:val="none"/>
          <w:lang w:eastAsia="zh-CN"/>
          <w14:textFill>
            <w14:solidFill>
              <w14:schemeClr w14:val="tx1"/>
            </w14:solidFill>
          </w14:textFill>
        </w:rPr>
        <w:t>；</w:t>
      </w:r>
    </w:p>
    <w:p w14:paraId="3EEE2615">
      <w:pPr>
        <w:pStyle w:val="157"/>
        <w:spacing w:line="360" w:lineRule="auto"/>
        <w:ind w:firstLine="420" w:firstLineChars="200"/>
        <w:rPr>
          <w:rFonts w:hint="eastAsia" w:eastAsia="宋体"/>
          <w:color w:val="000000" w:themeColor="text1"/>
          <w:highlight w:val="none"/>
          <w:lang w:eastAsia="zh-CN"/>
          <w14:textFill>
            <w14:solidFill>
              <w14:schemeClr w14:val="tx1"/>
            </w14:solidFill>
          </w14:textFill>
        </w:rPr>
      </w:pPr>
      <w:r>
        <w:rPr>
          <w:rFonts w:hint="eastAsia"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2</w:t>
      </w:r>
      <w:r>
        <w:rPr>
          <w:rFonts w:hint="eastAsia" w:cs="宋体"/>
          <w:color w:val="000000" w:themeColor="text1"/>
          <w:highlight w:val="none"/>
          <w14:textFill>
            <w14:solidFill>
              <w14:schemeClr w14:val="tx1"/>
            </w14:solidFill>
          </w14:textFill>
        </w:rPr>
        <w:t>）材料、工程设备暂估价应按工程量清单中列出的单价计入综合单价</w:t>
      </w:r>
      <w:r>
        <w:rPr>
          <w:rFonts w:hint="eastAsia" w:cs="宋体"/>
          <w:color w:val="000000" w:themeColor="text1"/>
          <w:highlight w:val="none"/>
          <w:lang w:eastAsia="zh-CN"/>
          <w14:textFill>
            <w14:solidFill>
              <w14:schemeClr w14:val="tx1"/>
            </w14:solidFill>
          </w14:textFill>
        </w:rPr>
        <w:t>；</w:t>
      </w:r>
    </w:p>
    <w:p w14:paraId="314FE6BC">
      <w:pPr>
        <w:spacing w:line="360" w:lineRule="auto"/>
        <w:ind w:firstLine="420" w:firstLineChars="200"/>
        <w:rPr>
          <w:rFonts w:hint="eastAsia" w:eastAsia="宋体"/>
          <w:color w:val="000000" w:themeColor="text1"/>
          <w:highlight w:val="none"/>
          <w:lang w:eastAsia="zh-CN"/>
          <w14:textFill>
            <w14:solidFill>
              <w14:schemeClr w14:val="tx1"/>
            </w14:solidFill>
          </w14:textFill>
        </w:rPr>
      </w:pPr>
      <w:r>
        <w:rPr>
          <w:rFonts w:hint="eastAsia"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3</w:t>
      </w:r>
      <w:r>
        <w:rPr>
          <w:rFonts w:hint="eastAsia" w:cs="宋体"/>
          <w:color w:val="000000" w:themeColor="text1"/>
          <w:highlight w:val="none"/>
          <w14:textFill>
            <w14:solidFill>
              <w14:schemeClr w14:val="tx1"/>
            </w14:solidFill>
          </w14:textFill>
        </w:rPr>
        <w:t>）专业工程暂估价应按工程量清单中列出的金额填写</w:t>
      </w:r>
      <w:r>
        <w:rPr>
          <w:rFonts w:hint="eastAsia" w:cs="宋体"/>
          <w:color w:val="000000" w:themeColor="text1"/>
          <w:highlight w:val="none"/>
          <w:lang w:eastAsia="zh-CN"/>
          <w14:textFill>
            <w14:solidFill>
              <w14:schemeClr w14:val="tx1"/>
            </w14:solidFill>
          </w14:textFill>
        </w:rPr>
        <w:t>；</w:t>
      </w:r>
    </w:p>
    <w:p w14:paraId="655C712D">
      <w:pPr>
        <w:spacing w:line="360" w:lineRule="auto"/>
        <w:ind w:firstLine="420" w:firstLineChars="200"/>
        <w:rPr>
          <w:rFonts w:hint="eastAsia" w:eastAsia="宋体"/>
          <w:color w:val="000000" w:themeColor="text1"/>
          <w:highlight w:val="none"/>
          <w:lang w:eastAsia="zh-CN"/>
          <w14:textFill>
            <w14:solidFill>
              <w14:schemeClr w14:val="tx1"/>
            </w14:solidFill>
          </w14:textFill>
        </w:rPr>
      </w:pPr>
      <w:r>
        <w:rPr>
          <w:rFonts w:hint="eastAsia"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4</w:t>
      </w:r>
      <w:r>
        <w:rPr>
          <w:rFonts w:hint="eastAsia" w:cs="宋体"/>
          <w:color w:val="000000" w:themeColor="text1"/>
          <w:highlight w:val="none"/>
          <w14:textFill>
            <w14:solidFill>
              <w14:schemeClr w14:val="tx1"/>
            </w14:solidFill>
          </w14:textFill>
        </w:rPr>
        <w:t>）计日工应按工程量清单中列出的项目和数量，根据工程特点和有关计价依据确定的综合单价计算</w:t>
      </w:r>
      <w:r>
        <w:rPr>
          <w:rFonts w:hint="eastAsia" w:cs="宋体"/>
          <w:color w:val="000000" w:themeColor="text1"/>
          <w:highlight w:val="none"/>
          <w:lang w:eastAsia="zh-CN"/>
          <w14:textFill>
            <w14:solidFill>
              <w14:schemeClr w14:val="tx1"/>
            </w14:solidFill>
          </w14:textFill>
        </w:rPr>
        <w:t>；</w:t>
      </w:r>
    </w:p>
    <w:p w14:paraId="6DEF3BC6">
      <w:pPr>
        <w:spacing w:line="360" w:lineRule="auto"/>
        <w:ind w:firstLine="420" w:firstLineChars="20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5</w:t>
      </w:r>
      <w:r>
        <w:rPr>
          <w:rFonts w:hint="eastAsia" w:cs="宋体"/>
          <w:color w:val="000000" w:themeColor="text1"/>
          <w:highlight w:val="none"/>
          <w14:textFill>
            <w14:solidFill>
              <w14:schemeClr w14:val="tx1"/>
            </w14:solidFill>
          </w14:textFill>
        </w:rPr>
        <w:t>）总承包服务费应根据工程量清单列出的内容</w:t>
      </w:r>
      <w:r>
        <w:rPr>
          <w:rFonts w:hint="eastAsia" w:hAnsi="宋体" w:cs="宋体"/>
          <w:color w:val="000000" w:themeColor="text1"/>
          <w:highlight w:val="none"/>
          <w14:textFill>
            <w14:solidFill>
              <w14:schemeClr w14:val="tx1"/>
            </w14:solidFill>
          </w14:textFill>
        </w:rPr>
        <w:t>和要求，按自治区住房城乡建设行政主管部门颁发的计价定额及有关规定计算</w:t>
      </w:r>
      <w:r>
        <w:rPr>
          <w:rFonts w:hint="eastAsia" w:cs="宋体"/>
          <w:color w:val="000000" w:themeColor="text1"/>
          <w:highlight w:val="none"/>
          <w14:textFill>
            <w14:solidFill>
              <w14:schemeClr w14:val="tx1"/>
            </w14:solidFill>
          </w14:textFill>
        </w:rPr>
        <w:t>。</w:t>
      </w:r>
    </w:p>
    <w:p w14:paraId="1FAC5BAD">
      <w:pPr>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（6）对建设单位创建优质工程的，鼓励在采购控制价和预算中按广西区工程建设定额规定计列工程优质费，并明确工程优质费不可竞争。</w:t>
      </w:r>
    </w:p>
    <w:p w14:paraId="497B6DEC">
      <w:pPr>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2.5 </w:t>
      </w:r>
      <w:r>
        <w:rPr>
          <w:rFonts w:hint="eastAsia" w:cs="宋体"/>
          <w:color w:val="000000" w:themeColor="text1"/>
          <w:highlight w:val="none"/>
          <w14:textFill>
            <w14:solidFill>
              <w14:schemeClr w14:val="tx1"/>
            </w14:solidFill>
          </w14:textFill>
        </w:rPr>
        <w:t>规费和增值税应按规定确定，作为不可竞争费用。</w:t>
      </w:r>
    </w:p>
    <w:p w14:paraId="2881E1A8">
      <w:pPr>
        <w:spacing w:line="360" w:lineRule="auto"/>
        <w:rPr>
          <w:rFonts w:hAnsi="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2.6 </w:t>
      </w:r>
      <w:r>
        <w:rPr>
          <w:rFonts w:hint="eastAsia" w:hAnsi="宋体" w:cs="宋体"/>
          <w:color w:val="000000" w:themeColor="text1"/>
          <w:highlight w:val="none"/>
          <w14:textFill>
            <w14:solidFill>
              <w14:schemeClr w14:val="tx1"/>
            </w14:solidFill>
          </w14:textFill>
        </w:rPr>
        <w:t>其它需要说明的问题：</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w:t>
      </w:r>
      <w:r>
        <w:rPr>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w:t>
      </w:r>
    </w:p>
    <w:p w14:paraId="6F5DC526">
      <w:pPr>
        <w:pStyle w:val="3"/>
        <w:spacing w:before="0" w:after="0" w:line="360" w:lineRule="auto"/>
        <w:rPr>
          <w:color w:val="000000" w:themeColor="text1"/>
          <w:highlight w:val="none"/>
          <w14:textFill>
            <w14:solidFill>
              <w14:schemeClr w14:val="tx1"/>
            </w14:solidFill>
          </w14:textFill>
        </w:rPr>
      </w:pPr>
      <w:bookmarkStart w:id="90" w:name="_Toc122424252"/>
      <w:bookmarkStart w:id="91" w:name="_Toc122424003"/>
      <w:bookmarkStart w:id="92" w:name="_Toc407135286"/>
      <w:bookmarkStart w:id="93" w:name="_Toc378483916"/>
      <w:bookmarkStart w:id="94" w:name="_Toc879821176"/>
      <w:bookmarkStart w:id="95" w:name="_Toc78449871"/>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w:t>
      </w:r>
      <w:r>
        <w:rPr>
          <w:rFonts w:hint="eastAsia" w:cs="黑体"/>
          <w:color w:val="000000" w:themeColor="text1"/>
          <w:highlight w:val="none"/>
          <w14:textFill>
            <w14:solidFill>
              <w14:schemeClr w14:val="tx1"/>
            </w14:solidFill>
          </w14:textFill>
        </w:rPr>
        <w:t>竞标报价（已标价工程量清单）编制说明</w:t>
      </w:r>
      <w:bookmarkEnd w:id="90"/>
      <w:bookmarkEnd w:id="91"/>
      <w:bookmarkEnd w:id="92"/>
      <w:bookmarkEnd w:id="93"/>
      <w:bookmarkEnd w:id="94"/>
      <w:bookmarkEnd w:id="95"/>
    </w:p>
    <w:p w14:paraId="3D34A529">
      <w:pPr>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3.1 </w:t>
      </w:r>
      <w:r>
        <w:rPr>
          <w:rFonts w:hint="eastAsia" w:cs="宋体"/>
          <w:color w:val="000000" w:themeColor="text1"/>
          <w:highlight w:val="none"/>
          <w14:textFill>
            <w14:solidFill>
              <w14:schemeClr w14:val="tx1"/>
            </w14:solidFill>
          </w14:textFill>
        </w:rPr>
        <w:t>供应商应依据磋商文件、工程量清单以及《计价规范》、《计算规范》自主报价，自主报价</w:t>
      </w:r>
      <w:r>
        <w:rPr>
          <w:rFonts w:hint="eastAsia" w:hAnsi="宋体" w:cs="宋体"/>
          <w:color w:val="000000" w:themeColor="text1"/>
          <w:highlight w:val="none"/>
          <w14:textFill>
            <w14:solidFill>
              <w14:schemeClr w14:val="tx1"/>
            </w14:solidFill>
          </w14:textFill>
        </w:rPr>
        <w:t>不得违反计价规范强制性条文规定。</w:t>
      </w:r>
      <w:r>
        <w:rPr>
          <w:rFonts w:hint="eastAsia" w:cs="宋体"/>
          <w:color w:val="000000" w:themeColor="text1"/>
          <w:highlight w:val="none"/>
          <w14:textFill>
            <w14:solidFill>
              <w14:schemeClr w14:val="tx1"/>
            </w14:solidFill>
          </w14:textFill>
        </w:rPr>
        <w:t>供应商不得采用总价让利或以百分比让利等形式进行报价，任何优惠（或降价、让利）均应反映在相应清单项目的综合单价中。同时，不得出现任意一项单价重大让利，</w:t>
      </w:r>
      <w:r>
        <w:rPr>
          <w:rFonts w:hint="eastAsia" w:hAnsi="宋体" w:cs="宋体"/>
          <w:color w:val="000000" w:themeColor="text1"/>
          <w:highlight w:val="none"/>
          <w14:textFill>
            <w14:solidFill>
              <w14:schemeClr w14:val="tx1"/>
            </w14:solidFill>
          </w14:textFill>
        </w:rPr>
        <w:t>不得以自有机械闲置、自有材料等不计成本为由</w:t>
      </w:r>
      <w:r>
        <w:rPr>
          <w:rFonts w:hint="eastAsia" w:cs="宋体"/>
          <w:color w:val="000000" w:themeColor="text1"/>
          <w:highlight w:val="none"/>
          <w14:textFill>
            <w14:solidFill>
              <w14:schemeClr w14:val="tx1"/>
            </w14:solidFill>
          </w14:textFill>
        </w:rPr>
        <w:t>低于工程成本报价。</w:t>
      </w:r>
    </w:p>
    <w:p w14:paraId="64CD6FA0">
      <w:pPr>
        <w:spacing w:line="360" w:lineRule="auto"/>
        <w:ind w:firstLine="420" w:firstLineChars="200"/>
        <w:rPr>
          <w:rFonts w:hAnsi="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3.2 </w:t>
      </w:r>
      <w:r>
        <w:rPr>
          <w:rFonts w:hint="eastAsia" w:cs="宋体"/>
          <w:color w:val="000000" w:themeColor="text1"/>
          <w:highlight w:val="none"/>
          <w14:textFill>
            <w14:solidFill>
              <w14:schemeClr w14:val="tx1"/>
            </w14:solidFill>
          </w14:textFill>
        </w:rPr>
        <w:t>供应商应按工程量清单填报价格。项目编码、项目名称、项目特征、计量单位、工程量必须与工程量清单一致，</w:t>
      </w:r>
      <w:r>
        <w:rPr>
          <w:rFonts w:hint="eastAsia" w:hAnsi="宋体" w:cs="宋体"/>
          <w:color w:val="000000" w:themeColor="text1"/>
          <w:highlight w:val="none"/>
          <w14:textFill>
            <w14:solidFill>
              <w14:schemeClr w14:val="tx1"/>
            </w14:solidFill>
          </w14:textFill>
        </w:rPr>
        <w:t>供应商不得对工程量清单项目进行增减调整。</w:t>
      </w:r>
    </w:p>
    <w:p w14:paraId="5F6B123E">
      <w:pPr>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3.3 </w:t>
      </w:r>
      <w:r>
        <w:rPr>
          <w:rFonts w:hint="eastAsia" w:cs="宋体"/>
          <w:color w:val="000000" w:themeColor="text1"/>
          <w:highlight w:val="none"/>
          <w14:textFill>
            <w14:solidFill>
              <w14:schemeClr w14:val="tx1"/>
            </w14:solidFill>
          </w14:textFill>
        </w:rPr>
        <w:t>综合单价中应包含磋商文件中划分的应由供应商承担的风险范围及其费用。</w:t>
      </w:r>
    </w:p>
    <w:p w14:paraId="2FE6BF28">
      <w:pPr>
        <w:spacing w:line="360" w:lineRule="auto"/>
        <w:ind w:firstLine="420" w:firstLineChars="200"/>
        <w:rPr>
          <w:rFonts w:hAnsi="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3.4 </w:t>
      </w:r>
      <w:r>
        <w:rPr>
          <w:rFonts w:hint="eastAsia" w:hAnsi="宋体" w:cs="宋体"/>
          <w:color w:val="000000" w:themeColor="text1"/>
          <w:highlight w:val="none"/>
          <w14:textFill>
            <w14:solidFill>
              <w14:schemeClr w14:val="tx1"/>
            </w14:solidFill>
          </w14:textFill>
        </w:rPr>
        <w:t>分部分项工程项目和单价措施项目，应根据磋商文件和工程量清单项目中的特征描述确定综合单价计算。如出现工程量清单特征描述与设计图纸不符时，供应商应以工程量清单的项目特征描述为准，确定竞标报价的综合单价。</w:t>
      </w:r>
    </w:p>
    <w:p w14:paraId="59896BF3">
      <w:pPr>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3.5 </w:t>
      </w:r>
      <w:r>
        <w:rPr>
          <w:rFonts w:hint="eastAsia" w:hAnsi="宋体" w:cs="宋体"/>
          <w:color w:val="000000" w:themeColor="text1"/>
          <w:highlight w:val="none"/>
          <w14:textFill>
            <w14:solidFill>
              <w14:schemeClr w14:val="tx1"/>
            </w14:solidFill>
          </w14:textFill>
        </w:rPr>
        <w:t>总价措施项目的金额应根据磋商文件及竞标时拟定的施工组织设计或施工方案，按计价规范的规定自主确定。但</w:t>
      </w:r>
      <w:r>
        <w:rPr>
          <w:rFonts w:hint="eastAsia" w:cs="宋体"/>
          <w:color w:val="000000" w:themeColor="text1"/>
          <w:highlight w:val="none"/>
          <w14:textFill>
            <w14:solidFill>
              <w14:schemeClr w14:val="tx1"/>
            </w14:solidFill>
          </w14:textFill>
        </w:rPr>
        <w:t>安全文明施工费按国家、省级或行业建设主管部门的有关规定执行，作为不竞争费用单列。</w:t>
      </w:r>
    </w:p>
    <w:p w14:paraId="1922FE12">
      <w:pPr>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3.6 </w:t>
      </w:r>
      <w:r>
        <w:rPr>
          <w:rFonts w:hint="eastAsia" w:cs="宋体"/>
          <w:color w:val="000000" w:themeColor="text1"/>
          <w:highlight w:val="none"/>
          <w14:textFill>
            <w14:solidFill>
              <w14:schemeClr w14:val="tx1"/>
            </w14:solidFill>
          </w14:textFill>
        </w:rPr>
        <w:t>其他项目费应按下列规定报价：</w:t>
      </w:r>
    </w:p>
    <w:p w14:paraId="352343D2">
      <w:pPr>
        <w:spacing w:line="360" w:lineRule="auto"/>
        <w:ind w:firstLine="420" w:firstLineChars="200"/>
        <w:rPr>
          <w:rFonts w:hint="eastAsia" w:eastAsia="宋体"/>
          <w:color w:val="000000" w:themeColor="text1"/>
          <w:highlight w:val="none"/>
          <w:lang w:eastAsia="zh-CN"/>
          <w14:textFill>
            <w14:solidFill>
              <w14:schemeClr w14:val="tx1"/>
            </w14:solidFill>
          </w14:textFill>
        </w:rPr>
      </w:pPr>
      <w:r>
        <w:rPr>
          <w:rFonts w:hint="eastAsia"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1</w:t>
      </w:r>
      <w:r>
        <w:rPr>
          <w:rFonts w:hint="eastAsia" w:cs="宋体"/>
          <w:color w:val="000000" w:themeColor="text1"/>
          <w:highlight w:val="none"/>
          <w14:textFill>
            <w14:solidFill>
              <w14:schemeClr w14:val="tx1"/>
            </w14:solidFill>
          </w14:textFill>
        </w:rPr>
        <w:t>）暂列金额应按工程量清单中列出的金额填写</w:t>
      </w:r>
      <w:r>
        <w:rPr>
          <w:rFonts w:hint="eastAsia" w:cs="宋体"/>
          <w:color w:val="000000" w:themeColor="text1"/>
          <w:highlight w:val="none"/>
          <w:lang w:eastAsia="zh-CN"/>
          <w14:textFill>
            <w14:solidFill>
              <w14:schemeClr w14:val="tx1"/>
            </w14:solidFill>
          </w14:textFill>
        </w:rPr>
        <w:t>；</w:t>
      </w:r>
    </w:p>
    <w:p w14:paraId="2CC69413">
      <w:pPr>
        <w:pStyle w:val="157"/>
        <w:spacing w:line="360" w:lineRule="auto"/>
        <w:ind w:firstLine="420" w:firstLineChars="200"/>
        <w:rPr>
          <w:rFonts w:hint="eastAsia" w:eastAsia="宋体"/>
          <w:color w:val="000000" w:themeColor="text1"/>
          <w:highlight w:val="none"/>
          <w:lang w:eastAsia="zh-CN"/>
          <w14:textFill>
            <w14:solidFill>
              <w14:schemeClr w14:val="tx1"/>
            </w14:solidFill>
          </w14:textFill>
        </w:rPr>
      </w:pPr>
      <w:r>
        <w:rPr>
          <w:rFonts w:hint="eastAsia"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2</w:t>
      </w:r>
      <w:r>
        <w:rPr>
          <w:rFonts w:hint="eastAsia" w:cs="宋体"/>
          <w:color w:val="000000" w:themeColor="text1"/>
          <w:highlight w:val="none"/>
          <w14:textFill>
            <w14:solidFill>
              <w14:schemeClr w14:val="tx1"/>
            </w14:solidFill>
          </w14:textFill>
        </w:rPr>
        <w:t>）材料、工程设备暂估价应按工程量清单中列出的单价计入综合单价</w:t>
      </w:r>
      <w:r>
        <w:rPr>
          <w:rFonts w:hint="eastAsia" w:cs="宋体"/>
          <w:color w:val="000000" w:themeColor="text1"/>
          <w:highlight w:val="none"/>
          <w:lang w:eastAsia="zh-CN"/>
          <w14:textFill>
            <w14:solidFill>
              <w14:schemeClr w14:val="tx1"/>
            </w14:solidFill>
          </w14:textFill>
        </w:rPr>
        <w:t>；</w:t>
      </w:r>
    </w:p>
    <w:p w14:paraId="422BC286">
      <w:pPr>
        <w:spacing w:line="360" w:lineRule="auto"/>
        <w:ind w:firstLine="420" w:firstLineChars="200"/>
        <w:rPr>
          <w:rFonts w:hint="eastAsia" w:eastAsia="宋体"/>
          <w:color w:val="000000" w:themeColor="text1"/>
          <w:highlight w:val="none"/>
          <w:lang w:eastAsia="zh-CN"/>
          <w14:textFill>
            <w14:solidFill>
              <w14:schemeClr w14:val="tx1"/>
            </w14:solidFill>
          </w14:textFill>
        </w:rPr>
      </w:pPr>
      <w:r>
        <w:rPr>
          <w:rFonts w:hint="eastAsia"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3</w:t>
      </w:r>
      <w:r>
        <w:rPr>
          <w:rFonts w:hint="eastAsia" w:cs="宋体"/>
          <w:color w:val="000000" w:themeColor="text1"/>
          <w:highlight w:val="none"/>
          <w14:textFill>
            <w14:solidFill>
              <w14:schemeClr w14:val="tx1"/>
            </w14:solidFill>
          </w14:textFill>
        </w:rPr>
        <w:t>）专业工程暂估价应按工程量清单中列出的金额填写</w:t>
      </w:r>
      <w:r>
        <w:rPr>
          <w:rFonts w:hint="eastAsia" w:cs="宋体"/>
          <w:color w:val="000000" w:themeColor="text1"/>
          <w:highlight w:val="none"/>
          <w:lang w:eastAsia="zh-CN"/>
          <w14:textFill>
            <w14:solidFill>
              <w14:schemeClr w14:val="tx1"/>
            </w14:solidFill>
          </w14:textFill>
        </w:rPr>
        <w:t>；</w:t>
      </w:r>
    </w:p>
    <w:p w14:paraId="04C1995B">
      <w:pPr>
        <w:spacing w:line="360" w:lineRule="auto"/>
        <w:ind w:firstLine="420" w:firstLineChars="200"/>
        <w:rPr>
          <w:rFonts w:hint="eastAsia" w:eastAsia="宋体"/>
          <w:color w:val="000000" w:themeColor="text1"/>
          <w:highlight w:val="none"/>
          <w:lang w:eastAsia="zh-CN"/>
          <w14:textFill>
            <w14:solidFill>
              <w14:schemeClr w14:val="tx1"/>
            </w14:solidFill>
          </w14:textFill>
        </w:rPr>
      </w:pPr>
      <w:r>
        <w:rPr>
          <w:rFonts w:hint="eastAsia"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4</w:t>
      </w:r>
      <w:r>
        <w:rPr>
          <w:rFonts w:hint="eastAsia" w:cs="宋体"/>
          <w:color w:val="000000" w:themeColor="text1"/>
          <w:highlight w:val="none"/>
          <w14:textFill>
            <w14:solidFill>
              <w14:schemeClr w14:val="tx1"/>
            </w14:solidFill>
          </w14:textFill>
        </w:rPr>
        <w:t>）计日工应按工程量清单中列出的项目和估算数量，自主确定综合单价并计算计日工总额</w:t>
      </w:r>
      <w:r>
        <w:rPr>
          <w:rFonts w:hint="eastAsia" w:cs="宋体"/>
          <w:color w:val="000000" w:themeColor="text1"/>
          <w:highlight w:val="none"/>
          <w:lang w:eastAsia="zh-CN"/>
          <w14:textFill>
            <w14:solidFill>
              <w14:schemeClr w14:val="tx1"/>
            </w14:solidFill>
          </w14:textFill>
        </w:rPr>
        <w:t>；</w:t>
      </w:r>
      <w:r>
        <w:rPr>
          <w:rFonts w:hint="eastAsia" w:cs="宋体"/>
          <w:color w:val="000000" w:themeColor="text1"/>
          <w:highlight w:val="none"/>
          <w14:textFill>
            <w14:solidFill>
              <w14:schemeClr w14:val="tx1"/>
            </w14:solidFill>
          </w14:textFill>
        </w:rPr>
        <w:t>计日工单价均不含规费和税金</w:t>
      </w:r>
      <w:r>
        <w:rPr>
          <w:rFonts w:hint="eastAsia" w:cs="宋体"/>
          <w:color w:val="000000" w:themeColor="text1"/>
          <w:highlight w:val="none"/>
          <w:lang w:eastAsia="zh-CN"/>
          <w14:textFill>
            <w14:solidFill>
              <w14:schemeClr w14:val="tx1"/>
            </w14:solidFill>
          </w14:textFill>
        </w:rPr>
        <w:t>；</w:t>
      </w:r>
    </w:p>
    <w:p w14:paraId="5AB14DA2">
      <w:pPr>
        <w:spacing w:line="360" w:lineRule="auto"/>
        <w:ind w:firstLine="420" w:firstLineChars="20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5</w:t>
      </w:r>
      <w:r>
        <w:rPr>
          <w:rFonts w:hint="eastAsia" w:cs="宋体"/>
          <w:color w:val="000000" w:themeColor="text1"/>
          <w:highlight w:val="none"/>
          <w14:textFill>
            <w14:solidFill>
              <w14:schemeClr w14:val="tx1"/>
            </w14:solidFill>
          </w14:textFill>
        </w:rPr>
        <w:t>）总承包服务费应根据工程量清单中列出的内容</w:t>
      </w:r>
      <w:r>
        <w:rPr>
          <w:rFonts w:hint="eastAsia" w:hAnsi="宋体" w:cs="宋体"/>
          <w:color w:val="000000" w:themeColor="text1"/>
          <w:highlight w:val="none"/>
          <w14:textFill>
            <w14:solidFill>
              <w14:schemeClr w14:val="tx1"/>
            </w14:solidFill>
          </w14:textFill>
        </w:rPr>
        <w:t>和供应材料、设备情况，按照采购人提出的协调、配合与服务要求和施工现场管理需要</w:t>
      </w:r>
      <w:r>
        <w:rPr>
          <w:rFonts w:hint="eastAsia" w:cs="宋体"/>
          <w:color w:val="000000" w:themeColor="text1"/>
          <w:highlight w:val="none"/>
          <w14:textFill>
            <w14:solidFill>
              <w14:schemeClr w14:val="tx1"/>
            </w14:solidFill>
          </w14:textFill>
        </w:rPr>
        <w:t>自主确定。</w:t>
      </w:r>
    </w:p>
    <w:p w14:paraId="4EC2F455">
      <w:pPr>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（6）对建设单位创建优质工程的，鼓励在采购控制价和预算中按我区工程建设定额规定计列工程优质费，并明确工程优质费不可竞争。</w:t>
      </w:r>
    </w:p>
    <w:p w14:paraId="7245BEA6">
      <w:pPr>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3.7 </w:t>
      </w:r>
      <w:r>
        <w:rPr>
          <w:rFonts w:hint="eastAsia" w:cs="宋体"/>
          <w:color w:val="000000" w:themeColor="text1"/>
          <w:highlight w:val="none"/>
          <w14:textFill>
            <w14:solidFill>
              <w14:schemeClr w14:val="tx1"/>
            </w14:solidFill>
          </w14:textFill>
        </w:rPr>
        <w:t>规费和增值税应按规定确定，作为不可竞争费用。</w:t>
      </w:r>
    </w:p>
    <w:p w14:paraId="52C23178">
      <w:pPr>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3.8 </w:t>
      </w:r>
      <w:r>
        <w:rPr>
          <w:rFonts w:hint="eastAsia" w:cs="宋体"/>
          <w:color w:val="000000" w:themeColor="text1"/>
          <w:highlight w:val="none"/>
          <w14:textFill>
            <w14:solidFill>
              <w14:schemeClr w14:val="tx1"/>
            </w14:solidFill>
          </w14:textFill>
        </w:rPr>
        <w:t>工程量清单与计价表中列明的所有需要填写的单价和合价的项目，供应商均应填写且只允许有一个报价。未填写单价和合价的项目，视为此项费用已包含在已标价工程量清单中其他项目的单价和合价之中。竣工结算时，此项目不得重新组价予以调整。</w:t>
      </w:r>
    </w:p>
    <w:p w14:paraId="7CC14D97">
      <w:pPr>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3.9 </w:t>
      </w:r>
      <w:r>
        <w:rPr>
          <w:rFonts w:hint="eastAsia" w:cs="宋体"/>
          <w:color w:val="000000" w:themeColor="text1"/>
          <w:highlight w:val="none"/>
          <w14:textFill>
            <w14:solidFill>
              <w14:schemeClr w14:val="tx1"/>
            </w14:solidFill>
          </w14:textFill>
        </w:rPr>
        <w:t>竞标总价应当与分部分项工程费、措施项目费、其他项目费和规费、增值税的合计金额一致。</w:t>
      </w:r>
    </w:p>
    <w:p w14:paraId="38CECA21">
      <w:pPr>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3.1</w:t>
      </w:r>
      <w:r>
        <w:rPr>
          <w:rFonts w:hint="eastAsia"/>
          <w:color w:val="000000" w:themeColor="text1"/>
          <w:highlight w:val="none"/>
          <w14:textFill>
            <w14:solidFill>
              <w14:schemeClr w14:val="tx1"/>
            </w14:solidFill>
          </w14:textFill>
        </w:rPr>
        <w:t>0</w:t>
      </w:r>
      <w:r>
        <w:rPr>
          <w:color w:val="000000" w:themeColor="text1"/>
          <w:highlight w:val="non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供应商应按《允许调整主要材料和工程设备一览表》的内容填报，不得擅自调整材料和设备名称型号规格、单位、风险系数、基准单价。</w:t>
      </w:r>
    </w:p>
    <w:p w14:paraId="76CA637F">
      <w:pPr>
        <w:spacing w:line="360" w:lineRule="auto"/>
        <w:ind w:firstLine="420" w:firstLineChars="200"/>
        <w:rPr>
          <w:rFonts w:hAnsi="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3.1</w:t>
      </w:r>
      <w:r>
        <w:rPr>
          <w:rFonts w:hint="eastAsia"/>
          <w:color w:val="000000" w:themeColor="text1"/>
          <w:highlight w:val="none"/>
          <w14:textFill>
            <w14:solidFill>
              <w14:schemeClr w14:val="tx1"/>
            </w14:solidFill>
          </w14:textFill>
        </w:rPr>
        <w:t>1</w:t>
      </w:r>
      <w:r>
        <w:rPr>
          <w:rFonts w:hint="eastAsia" w:hAnsi="宋体" w:cs="宋体"/>
          <w:color w:val="000000" w:themeColor="text1"/>
          <w:highlight w:val="none"/>
          <w14:textFill>
            <w14:solidFill>
              <w14:schemeClr w14:val="tx1"/>
            </w14:solidFill>
          </w14:textFill>
        </w:rPr>
        <w:t>竞标报价</w:t>
      </w:r>
      <w:r>
        <w:rPr>
          <w:rFonts w:hint="eastAsia" w:cs="宋体"/>
          <w:color w:val="000000" w:themeColor="text1"/>
          <w:highlight w:val="none"/>
          <w14:textFill>
            <w14:solidFill>
              <w14:schemeClr w14:val="tx1"/>
            </w14:solidFill>
          </w14:textFill>
        </w:rPr>
        <w:t>表格按本工程工程量清单表格要求填写，并</w:t>
      </w:r>
      <w:r>
        <w:rPr>
          <w:rFonts w:hint="eastAsia" w:hAnsi="宋体" w:cs="宋体"/>
          <w:color w:val="000000" w:themeColor="text1"/>
          <w:highlight w:val="none"/>
          <w14:textFill>
            <w14:solidFill>
              <w14:schemeClr w14:val="tx1"/>
            </w14:solidFill>
          </w14:textFill>
        </w:rPr>
        <w:t>应按磋商文件的要求，附上《工程量清单综合单价分析表》（表</w:t>
      </w:r>
      <w:r>
        <w:rPr>
          <w:color w:val="000000" w:themeColor="text1"/>
          <w:highlight w:val="none"/>
          <w14:textFill>
            <w14:solidFill>
              <w14:schemeClr w14:val="tx1"/>
            </w14:solidFill>
          </w14:textFill>
        </w:rPr>
        <w:t>-09</w:t>
      </w:r>
      <w:r>
        <w:rPr>
          <w:rFonts w:hint="eastAsia" w:hAnsi="宋体" w:cs="宋体"/>
          <w:color w:val="000000" w:themeColor="text1"/>
          <w:highlight w:val="none"/>
          <w14:textFill>
            <w14:solidFill>
              <w14:schemeClr w14:val="tx1"/>
            </w14:solidFill>
          </w14:textFill>
        </w:rPr>
        <w:t>）和《主要清单项目工料机分析表》（表</w:t>
      </w:r>
      <w:r>
        <w:rPr>
          <w:color w:val="000000" w:themeColor="text1"/>
          <w:highlight w:val="none"/>
          <w14:textFill>
            <w14:solidFill>
              <w14:schemeClr w14:val="tx1"/>
            </w14:solidFill>
          </w14:textFill>
        </w:rPr>
        <w:t>-10</w:t>
      </w:r>
      <w:r>
        <w:rPr>
          <w:rFonts w:hint="eastAsia" w:hAnsi="宋体" w:cs="宋体"/>
          <w:color w:val="000000" w:themeColor="text1"/>
          <w:highlight w:val="none"/>
          <w14:textFill>
            <w14:solidFill>
              <w14:schemeClr w14:val="tx1"/>
            </w14:solidFill>
          </w14:textFill>
        </w:rPr>
        <w:t>）。</w:t>
      </w:r>
    </w:p>
    <w:p w14:paraId="250F559C">
      <w:pPr>
        <w:spacing w:line="360" w:lineRule="auto"/>
        <w:ind w:firstLine="420" w:firstLineChars="200"/>
        <w:rPr>
          <w:color w:val="000000" w:themeColor="text1"/>
          <w:highlight w:val="none"/>
          <w:u w:val="single"/>
          <w14:textFill>
            <w14:solidFill>
              <w14:schemeClr w14:val="tx1"/>
            </w14:solidFill>
          </w14:textFill>
        </w:rPr>
      </w:pPr>
      <w:r>
        <w:rPr>
          <w:rFonts w:hint="eastAsia" w:cs="宋体"/>
          <w:color w:val="000000" w:themeColor="text1"/>
          <w:highlight w:val="none"/>
          <w14:textFill>
            <w14:solidFill>
              <w14:schemeClr w14:val="tx1"/>
            </w14:solidFill>
          </w14:textFill>
        </w:rPr>
        <w:t>未尽事宜详见本工程工程量清单、采购控制价编制说明以及现行《计价规范》等有关规定执行。</w:t>
      </w:r>
    </w:p>
    <w:p w14:paraId="45EEF6CF">
      <w:pPr>
        <w:spacing w:line="360" w:lineRule="auto"/>
        <w:ind w:firstLine="420" w:firstLineChars="20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注：因2021年《广西壮族自治区园林绿化及仿古建筑工程费用定额》采用全费用综合单价形式，故园林绿化及仿古建筑工程的工程量清单及计价采用《自治区住房和城乡建设厅关于建设工程造价改革试点项目招竞标及计价规定调整的通知》（桂建标〔2021〕6号）中附件1《建设工程工程量清单计价规范（GB50500-2013）广西壮族自治区实施细则》（适用于工程造价改革试点项目）相关表格，具体以采购人另册发放的工程量清单及相关说明为准。</w:t>
      </w:r>
    </w:p>
    <w:p w14:paraId="2DD4073E">
      <w:pPr>
        <w:pStyle w:val="3"/>
        <w:spacing w:before="0" w:after="0" w:line="360" w:lineRule="auto"/>
        <w:rPr>
          <w:rFonts w:cs="黑体"/>
          <w:color w:val="000000" w:themeColor="text1"/>
          <w:highlight w:val="none"/>
          <w14:textFill>
            <w14:solidFill>
              <w14:schemeClr w14:val="tx1"/>
            </w14:solidFill>
          </w14:textFill>
        </w:rPr>
      </w:pPr>
      <w:bookmarkStart w:id="96" w:name="_Toc122424253"/>
      <w:bookmarkStart w:id="97" w:name="_Toc122424004"/>
      <w:r>
        <w:rPr>
          <w:rFonts w:hint="eastAsia" w:cs="黑体"/>
          <w:color w:val="000000" w:themeColor="text1"/>
          <w:highlight w:val="none"/>
          <w14:textFill>
            <w14:solidFill>
              <w14:schemeClr w14:val="tx1"/>
            </w14:solidFill>
          </w14:textFill>
        </w:rPr>
        <w:t>4.</w:t>
      </w:r>
      <w:r>
        <w:rPr>
          <w:rFonts w:hint="eastAsia"/>
          <w:color w:val="000000" w:themeColor="text1"/>
          <w:highlight w:val="none"/>
          <w14:textFill>
            <w14:solidFill>
              <w14:schemeClr w14:val="tx1"/>
            </w14:solidFill>
          </w14:textFill>
        </w:rPr>
        <w:t>工程量清单及</w:t>
      </w:r>
      <w:r>
        <w:rPr>
          <w:rFonts w:hint="eastAsia" w:cs="黑体"/>
          <w:color w:val="000000" w:themeColor="text1"/>
          <w:highlight w:val="none"/>
          <w14:textFill>
            <w14:solidFill>
              <w14:schemeClr w14:val="tx1"/>
            </w14:solidFill>
          </w14:textFill>
        </w:rPr>
        <w:t>图纸（另册）</w:t>
      </w:r>
      <w:bookmarkEnd w:id="96"/>
      <w:bookmarkEnd w:id="97"/>
    </w:p>
    <w:p w14:paraId="422A264D">
      <w:pPr>
        <w:pStyle w:val="4"/>
        <w:spacing w:before="0" w:after="0" w:line="360" w:lineRule="auto"/>
        <w:rPr>
          <w:color w:val="000000" w:themeColor="text1"/>
          <w:highlight w:val="none"/>
          <w14:textFill>
            <w14:solidFill>
              <w14:schemeClr w14:val="tx1"/>
            </w14:solidFill>
          </w14:textFill>
        </w:rPr>
      </w:pPr>
      <w:r>
        <w:rPr>
          <w:rFonts w:cs="黑体"/>
          <w:color w:val="000000" w:themeColor="text1"/>
          <w:highlight w:val="none"/>
          <w14:textFill>
            <w14:solidFill>
              <w14:schemeClr w14:val="tx1"/>
            </w14:solidFill>
          </w14:textFill>
        </w:rPr>
        <w:br w:type="page"/>
      </w:r>
    </w:p>
    <w:p w14:paraId="0820D523">
      <w:pPr>
        <w:rPr>
          <w:color w:val="000000" w:themeColor="text1"/>
          <w:highlight w:val="none"/>
          <w14:textFill>
            <w14:solidFill>
              <w14:schemeClr w14:val="tx1"/>
            </w14:solidFill>
          </w14:textFill>
        </w:rPr>
      </w:pPr>
    </w:p>
    <w:p w14:paraId="6B247C16">
      <w:pPr>
        <w:rPr>
          <w:color w:val="000000" w:themeColor="text1"/>
          <w:highlight w:val="none"/>
          <w14:textFill>
            <w14:solidFill>
              <w14:schemeClr w14:val="tx1"/>
            </w14:solidFill>
          </w14:textFill>
        </w:rPr>
      </w:pPr>
    </w:p>
    <w:p w14:paraId="24406129">
      <w:pPr>
        <w:rPr>
          <w:color w:val="000000" w:themeColor="text1"/>
          <w:highlight w:val="none"/>
          <w14:textFill>
            <w14:solidFill>
              <w14:schemeClr w14:val="tx1"/>
            </w14:solidFill>
          </w14:textFill>
        </w:rPr>
      </w:pPr>
    </w:p>
    <w:p w14:paraId="0A1BB3C6">
      <w:pPr>
        <w:rPr>
          <w:color w:val="000000" w:themeColor="text1"/>
          <w:highlight w:val="none"/>
          <w14:textFill>
            <w14:solidFill>
              <w14:schemeClr w14:val="tx1"/>
            </w14:solidFill>
          </w14:textFill>
        </w:rPr>
      </w:pPr>
    </w:p>
    <w:p w14:paraId="62537427">
      <w:pPr>
        <w:rPr>
          <w:color w:val="000000" w:themeColor="text1"/>
          <w:highlight w:val="none"/>
          <w14:textFill>
            <w14:solidFill>
              <w14:schemeClr w14:val="tx1"/>
            </w14:solidFill>
          </w14:textFill>
        </w:rPr>
      </w:pPr>
    </w:p>
    <w:p w14:paraId="014E2C32">
      <w:pPr>
        <w:rPr>
          <w:color w:val="000000" w:themeColor="text1"/>
          <w:highlight w:val="none"/>
          <w14:textFill>
            <w14:solidFill>
              <w14:schemeClr w14:val="tx1"/>
            </w14:solidFill>
          </w14:textFill>
        </w:rPr>
      </w:pPr>
    </w:p>
    <w:p w14:paraId="2A915A26">
      <w:pPr>
        <w:rPr>
          <w:color w:val="000000" w:themeColor="text1"/>
          <w:highlight w:val="none"/>
          <w14:textFill>
            <w14:solidFill>
              <w14:schemeClr w14:val="tx1"/>
            </w14:solidFill>
          </w14:textFill>
        </w:rPr>
      </w:pPr>
    </w:p>
    <w:p w14:paraId="7625017D">
      <w:pPr>
        <w:rPr>
          <w:color w:val="000000" w:themeColor="text1"/>
          <w:highlight w:val="none"/>
          <w14:textFill>
            <w14:solidFill>
              <w14:schemeClr w14:val="tx1"/>
            </w14:solidFill>
          </w14:textFill>
        </w:rPr>
      </w:pPr>
    </w:p>
    <w:p w14:paraId="378A9009">
      <w:pPr>
        <w:rPr>
          <w:color w:val="000000" w:themeColor="text1"/>
          <w:highlight w:val="none"/>
          <w14:textFill>
            <w14:solidFill>
              <w14:schemeClr w14:val="tx1"/>
            </w14:solidFill>
          </w14:textFill>
        </w:rPr>
      </w:pPr>
    </w:p>
    <w:p w14:paraId="0B6799D5">
      <w:pPr>
        <w:rPr>
          <w:color w:val="000000" w:themeColor="text1"/>
          <w:highlight w:val="none"/>
          <w14:textFill>
            <w14:solidFill>
              <w14:schemeClr w14:val="tx1"/>
            </w14:solidFill>
          </w14:textFill>
        </w:rPr>
      </w:pPr>
    </w:p>
    <w:p w14:paraId="69C9E13E">
      <w:pPr>
        <w:rPr>
          <w:color w:val="000000" w:themeColor="text1"/>
          <w:highlight w:val="none"/>
          <w14:textFill>
            <w14:solidFill>
              <w14:schemeClr w14:val="tx1"/>
            </w14:solidFill>
          </w14:textFill>
        </w:rPr>
      </w:pPr>
    </w:p>
    <w:p w14:paraId="7EB9A177">
      <w:pPr>
        <w:rPr>
          <w:color w:val="000000" w:themeColor="text1"/>
          <w:highlight w:val="none"/>
          <w14:textFill>
            <w14:solidFill>
              <w14:schemeClr w14:val="tx1"/>
            </w14:solidFill>
          </w14:textFill>
        </w:rPr>
      </w:pPr>
    </w:p>
    <w:p w14:paraId="6C7F7D01">
      <w:pPr>
        <w:rPr>
          <w:color w:val="000000" w:themeColor="text1"/>
          <w:highlight w:val="none"/>
          <w14:textFill>
            <w14:solidFill>
              <w14:schemeClr w14:val="tx1"/>
            </w14:solidFill>
          </w14:textFill>
        </w:rPr>
      </w:pPr>
    </w:p>
    <w:p w14:paraId="10032C17">
      <w:pPr>
        <w:rPr>
          <w:color w:val="000000" w:themeColor="text1"/>
          <w:highlight w:val="none"/>
          <w14:textFill>
            <w14:solidFill>
              <w14:schemeClr w14:val="tx1"/>
            </w14:solidFill>
          </w14:textFill>
        </w:rPr>
      </w:pPr>
    </w:p>
    <w:p w14:paraId="42D8375C">
      <w:pPr>
        <w:rPr>
          <w:color w:val="000000" w:themeColor="text1"/>
          <w:highlight w:val="none"/>
          <w14:textFill>
            <w14:solidFill>
              <w14:schemeClr w14:val="tx1"/>
            </w14:solidFill>
          </w14:textFill>
        </w:rPr>
      </w:pPr>
    </w:p>
    <w:p w14:paraId="4395943B">
      <w:pPr>
        <w:rPr>
          <w:color w:val="000000" w:themeColor="text1"/>
          <w:highlight w:val="none"/>
          <w14:textFill>
            <w14:solidFill>
              <w14:schemeClr w14:val="tx1"/>
            </w14:solidFill>
          </w14:textFill>
        </w:rPr>
      </w:pPr>
    </w:p>
    <w:p w14:paraId="43789DA9">
      <w:pPr>
        <w:rPr>
          <w:color w:val="000000" w:themeColor="text1"/>
          <w:highlight w:val="none"/>
          <w14:textFill>
            <w14:solidFill>
              <w14:schemeClr w14:val="tx1"/>
            </w14:solidFill>
          </w14:textFill>
        </w:rPr>
      </w:pPr>
    </w:p>
    <w:p w14:paraId="701EF5F1">
      <w:pPr>
        <w:pStyle w:val="2"/>
        <w:jc w:val="center"/>
        <w:rPr>
          <w:color w:val="000000" w:themeColor="text1"/>
          <w:highlight w:val="none"/>
          <w14:textFill>
            <w14:solidFill>
              <w14:schemeClr w14:val="tx1"/>
            </w14:solidFill>
          </w14:textFill>
        </w:rPr>
      </w:pPr>
      <w:bookmarkStart w:id="98" w:name="_Toc122424265"/>
      <w:r>
        <w:rPr>
          <w:rFonts w:hint="eastAsia"/>
          <w:color w:val="000000" w:themeColor="text1"/>
          <w:highlight w:val="none"/>
          <w14:textFill>
            <w14:solidFill>
              <w14:schemeClr w14:val="tx1"/>
            </w14:solidFill>
          </w14:textFill>
        </w:rPr>
        <w:t>第六章 响应文件格式</w:t>
      </w:r>
      <w:bookmarkEnd w:id="98"/>
    </w:p>
    <w:p w14:paraId="6A5657B5">
      <w:pPr>
        <w:spacing w:line="240" w:lineRule="atLeast"/>
        <w:rPr>
          <w:rFonts w:ascii="宋体" w:hAnsi="宋体"/>
          <w:b/>
          <w:color w:val="000000" w:themeColor="text1"/>
          <w:sz w:val="32"/>
          <w:szCs w:val="32"/>
          <w:highlight w:val="none"/>
          <w14:textFill>
            <w14:solidFill>
              <w14:schemeClr w14:val="tx1"/>
            </w14:solidFill>
          </w14:textFill>
        </w:rPr>
      </w:pPr>
    </w:p>
    <w:p w14:paraId="7448AF09">
      <w:pPr>
        <w:spacing w:line="240" w:lineRule="atLeast"/>
        <w:rPr>
          <w:rFonts w:ascii="宋体" w:hAnsi="宋体"/>
          <w:b/>
          <w:color w:val="000000" w:themeColor="text1"/>
          <w:sz w:val="32"/>
          <w:szCs w:val="32"/>
          <w:highlight w:val="none"/>
          <w14:textFill>
            <w14:solidFill>
              <w14:schemeClr w14:val="tx1"/>
            </w14:solidFill>
          </w14:textFill>
        </w:rPr>
      </w:pPr>
    </w:p>
    <w:p w14:paraId="7EC04E73">
      <w:pPr>
        <w:spacing w:line="240" w:lineRule="atLeast"/>
        <w:rPr>
          <w:rFonts w:ascii="宋体" w:hAnsi="宋体"/>
          <w:b/>
          <w:color w:val="000000" w:themeColor="text1"/>
          <w:sz w:val="32"/>
          <w:szCs w:val="32"/>
          <w:highlight w:val="none"/>
          <w14:textFill>
            <w14:solidFill>
              <w14:schemeClr w14:val="tx1"/>
            </w14:solidFill>
          </w14:textFill>
        </w:rPr>
      </w:pPr>
    </w:p>
    <w:p w14:paraId="73FE7891">
      <w:pPr>
        <w:spacing w:line="240" w:lineRule="atLeast"/>
        <w:rPr>
          <w:rFonts w:ascii="宋体" w:hAnsi="宋体"/>
          <w:b/>
          <w:color w:val="000000" w:themeColor="text1"/>
          <w:sz w:val="32"/>
          <w:szCs w:val="32"/>
          <w:highlight w:val="none"/>
          <w14:textFill>
            <w14:solidFill>
              <w14:schemeClr w14:val="tx1"/>
            </w14:solidFill>
          </w14:textFill>
        </w:rPr>
      </w:pPr>
    </w:p>
    <w:p w14:paraId="06C3A90A">
      <w:pPr>
        <w:spacing w:line="240" w:lineRule="atLeast"/>
        <w:rPr>
          <w:rFonts w:ascii="宋体" w:hAnsi="宋体"/>
          <w:b/>
          <w:color w:val="000000" w:themeColor="text1"/>
          <w:sz w:val="32"/>
          <w:szCs w:val="32"/>
          <w:highlight w:val="none"/>
          <w14:textFill>
            <w14:solidFill>
              <w14:schemeClr w14:val="tx1"/>
            </w14:solidFill>
          </w14:textFill>
        </w:rPr>
      </w:pPr>
    </w:p>
    <w:p w14:paraId="1B6EC939">
      <w:pPr>
        <w:spacing w:line="240" w:lineRule="atLeast"/>
        <w:rPr>
          <w:rFonts w:ascii="宋体" w:hAnsi="宋体"/>
          <w:b/>
          <w:color w:val="000000" w:themeColor="text1"/>
          <w:sz w:val="32"/>
          <w:szCs w:val="32"/>
          <w:highlight w:val="none"/>
          <w14:textFill>
            <w14:solidFill>
              <w14:schemeClr w14:val="tx1"/>
            </w14:solidFill>
          </w14:textFill>
        </w:rPr>
      </w:pPr>
    </w:p>
    <w:p w14:paraId="1458E236">
      <w:pPr>
        <w:spacing w:line="240" w:lineRule="atLeast"/>
        <w:rPr>
          <w:rFonts w:ascii="宋体" w:hAnsi="宋体"/>
          <w:b/>
          <w:color w:val="000000" w:themeColor="text1"/>
          <w:sz w:val="32"/>
          <w:szCs w:val="32"/>
          <w:highlight w:val="none"/>
          <w14:textFill>
            <w14:solidFill>
              <w14:schemeClr w14:val="tx1"/>
            </w14:solidFill>
          </w14:textFill>
        </w:rPr>
      </w:pPr>
    </w:p>
    <w:p w14:paraId="26EB43DB">
      <w:pPr>
        <w:spacing w:line="240" w:lineRule="atLeast"/>
        <w:rPr>
          <w:rFonts w:ascii="宋体" w:hAnsi="宋体"/>
          <w:b/>
          <w:color w:val="000000" w:themeColor="text1"/>
          <w:sz w:val="32"/>
          <w:szCs w:val="32"/>
          <w:highlight w:val="none"/>
          <w14:textFill>
            <w14:solidFill>
              <w14:schemeClr w14:val="tx1"/>
            </w14:solidFill>
          </w14:textFill>
        </w:rPr>
      </w:pPr>
    </w:p>
    <w:p w14:paraId="5ECA08F8">
      <w:pPr>
        <w:spacing w:line="240" w:lineRule="atLeast"/>
        <w:rPr>
          <w:rFonts w:ascii="宋体" w:hAnsi="宋体"/>
          <w:b/>
          <w:color w:val="000000" w:themeColor="text1"/>
          <w:sz w:val="32"/>
          <w:szCs w:val="32"/>
          <w:highlight w:val="none"/>
          <w14:textFill>
            <w14:solidFill>
              <w14:schemeClr w14:val="tx1"/>
            </w14:solidFill>
          </w14:textFill>
        </w:rPr>
      </w:pPr>
    </w:p>
    <w:p w14:paraId="4A5EBBEF">
      <w:pPr>
        <w:spacing w:line="240" w:lineRule="atLeast"/>
        <w:rPr>
          <w:rFonts w:ascii="宋体" w:hAnsi="宋体"/>
          <w:b/>
          <w:color w:val="000000" w:themeColor="text1"/>
          <w:sz w:val="32"/>
          <w:szCs w:val="32"/>
          <w:highlight w:val="none"/>
          <w14:textFill>
            <w14:solidFill>
              <w14:schemeClr w14:val="tx1"/>
            </w14:solidFill>
          </w14:textFill>
        </w:rPr>
      </w:pPr>
    </w:p>
    <w:p w14:paraId="5C93C5E1">
      <w:pPr>
        <w:snapToGrid w:val="0"/>
        <w:spacing w:before="50" w:after="50"/>
        <w:outlineLvl w:val="1"/>
        <w:rPr>
          <w:rFonts w:ascii="宋体" w:hAnsi="宋体"/>
          <w:b/>
          <w:bCs/>
          <w:color w:val="000000" w:themeColor="text1"/>
          <w:sz w:val="24"/>
          <w:highlight w:val="none"/>
          <w14:textFill>
            <w14:solidFill>
              <w14:schemeClr w14:val="tx1"/>
            </w14:solidFill>
          </w14:textFill>
        </w:rPr>
      </w:pPr>
    </w:p>
    <w:p w14:paraId="4C21880F">
      <w:pPr>
        <w:rPr>
          <w:b/>
          <w:color w:val="000000" w:themeColor="text1"/>
          <w:sz w:val="32"/>
          <w:szCs w:val="32"/>
          <w:highlight w:val="none"/>
          <w14:textFill>
            <w14:solidFill>
              <w14:schemeClr w14:val="tx1"/>
            </w14:solidFill>
          </w14:textFill>
        </w:rPr>
      </w:pPr>
      <w:bookmarkStart w:id="99" w:name="_Toc35611516"/>
      <w:bookmarkStart w:id="100" w:name="_Toc71366186"/>
      <w:bookmarkStart w:id="101" w:name="_Toc31723070"/>
      <w:bookmarkStart w:id="102" w:name="_Toc44229899"/>
      <w:bookmarkStart w:id="103" w:name="_Toc35611438"/>
      <w:bookmarkStart w:id="104" w:name="_Toc31728084"/>
      <w:r>
        <w:rPr>
          <w:b/>
          <w:color w:val="000000" w:themeColor="text1"/>
          <w:sz w:val="32"/>
          <w:szCs w:val="32"/>
          <w:highlight w:val="none"/>
          <w14:textFill>
            <w14:solidFill>
              <w14:schemeClr w14:val="tx1"/>
            </w14:solidFill>
          </w14:textFill>
        </w:rPr>
        <w:br w:type="page"/>
      </w:r>
      <w:r>
        <w:rPr>
          <w:rFonts w:hint="eastAsia"/>
          <w:b/>
          <w:color w:val="000000" w:themeColor="text1"/>
          <w:sz w:val="32"/>
          <w:szCs w:val="32"/>
          <w:highlight w:val="none"/>
          <w14:textFill>
            <w14:solidFill>
              <w14:schemeClr w14:val="tx1"/>
            </w14:solidFill>
          </w14:textFill>
        </w:rPr>
        <w:t>一、资格证明文件格式</w:t>
      </w:r>
      <w:bookmarkEnd w:id="99"/>
      <w:bookmarkEnd w:id="100"/>
      <w:bookmarkEnd w:id="101"/>
      <w:bookmarkEnd w:id="102"/>
      <w:bookmarkEnd w:id="103"/>
      <w:bookmarkEnd w:id="104"/>
    </w:p>
    <w:p w14:paraId="5B8234F7">
      <w:pPr>
        <w:snapToGrid w:val="0"/>
        <w:spacing w:beforeLines="50" w:after="50" w:line="360" w:lineRule="auto"/>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1.资格证明文件封面格式：</w:t>
      </w:r>
      <w:r>
        <w:rPr>
          <w:rFonts w:hint="eastAsia" w:ascii="宋体" w:hAnsi="宋体"/>
          <w:b/>
          <w:color w:val="000000" w:themeColor="text1"/>
          <w:sz w:val="24"/>
          <w:highlight w:val="none"/>
          <w14:textFill>
            <w14:solidFill>
              <w14:schemeClr w14:val="tx1"/>
            </w14:solidFill>
          </w14:textFill>
        </w:rPr>
        <w:t xml:space="preserve"> </w:t>
      </w:r>
    </w:p>
    <w:p w14:paraId="3277847A">
      <w:pPr>
        <w:snapToGrid w:val="0"/>
        <w:spacing w:beforeLines="50" w:after="50"/>
        <w:jc w:val="center"/>
        <w:rPr>
          <w:rFonts w:ascii="宋体" w:hAnsi="宋体"/>
          <w:color w:val="000000" w:themeColor="text1"/>
          <w:sz w:val="44"/>
          <w:szCs w:val="44"/>
          <w:highlight w:val="none"/>
          <w14:textFill>
            <w14:solidFill>
              <w14:schemeClr w14:val="tx1"/>
            </w14:solidFill>
          </w14:textFill>
        </w:rPr>
      </w:pPr>
    </w:p>
    <w:p w14:paraId="205808D4">
      <w:pPr>
        <w:snapToGrid w:val="0"/>
        <w:spacing w:beforeLines="50" w:after="50"/>
        <w:jc w:val="center"/>
        <w:rPr>
          <w:rFonts w:ascii="宋体" w:hAnsi="宋体"/>
          <w:color w:val="000000" w:themeColor="text1"/>
          <w:sz w:val="44"/>
          <w:szCs w:val="44"/>
          <w:highlight w:val="none"/>
          <w14:textFill>
            <w14:solidFill>
              <w14:schemeClr w14:val="tx1"/>
            </w14:solidFill>
          </w14:textFill>
        </w:rPr>
      </w:pPr>
      <w:r>
        <w:rPr>
          <w:rFonts w:hint="eastAsia" w:ascii="宋体" w:hAnsi="宋体"/>
          <w:color w:val="000000" w:themeColor="text1"/>
          <w:sz w:val="44"/>
          <w:szCs w:val="44"/>
          <w:highlight w:val="none"/>
          <w14:textFill>
            <w14:solidFill>
              <w14:schemeClr w14:val="tx1"/>
            </w14:solidFill>
          </w14:textFill>
        </w:rPr>
        <w:t>电 子 响 应 文 件</w:t>
      </w:r>
    </w:p>
    <w:p w14:paraId="0B57EB23">
      <w:pPr>
        <w:snapToGrid w:val="0"/>
        <w:spacing w:beforeLines="50" w:after="50"/>
        <w:rPr>
          <w:rFonts w:ascii="宋体" w:hAnsi="宋体"/>
          <w:color w:val="000000" w:themeColor="text1"/>
          <w:sz w:val="24"/>
          <w:szCs w:val="20"/>
          <w:highlight w:val="none"/>
          <w14:textFill>
            <w14:solidFill>
              <w14:schemeClr w14:val="tx1"/>
            </w14:solidFill>
          </w14:textFill>
        </w:rPr>
      </w:pPr>
    </w:p>
    <w:p w14:paraId="740F38CE">
      <w:pPr>
        <w:snapToGrid w:val="0"/>
        <w:spacing w:beforeLines="50" w:after="50"/>
        <w:jc w:val="center"/>
        <w:rPr>
          <w:rFonts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资  格  证  明  文  件</w:t>
      </w:r>
    </w:p>
    <w:p w14:paraId="29323839">
      <w:pPr>
        <w:snapToGrid w:val="0"/>
        <w:spacing w:beforeLines="50" w:after="50"/>
        <w:rPr>
          <w:rFonts w:ascii="宋体" w:hAnsi="宋体"/>
          <w:bCs/>
          <w:color w:val="000000" w:themeColor="text1"/>
          <w:sz w:val="24"/>
          <w:szCs w:val="20"/>
          <w:highlight w:val="none"/>
          <w14:textFill>
            <w14:solidFill>
              <w14:schemeClr w14:val="tx1"/>
            </w14:solidFill>
          </w14:textFill>
        </w:rPr>
      </w:pPr>
    </w:p>
    <w:p w14:paraId="5B583D31">
      <w:pPr>
        <w:snapToGrid w:val="0"/>
        <w:spacing w:beforeLines="50" w:after="50"/>
        <w:rPr>
          <w:rFonts w:ascii="宋体" w:hAnsi="宋体"/>
          <w:bCs/>
          <w:color w:val="000000" w:themeColor="text1"/>
          <w:sz w:val="24"/>
          <w:szCs w:val="20"/>
          <w:highlight w:val="none"/>
          <w14:textFill>
            <w14:solidFill>
              <w14:schemeClr w14:val="tx1"/>
            </w14:solidFill>
          </w14:textFill>
        </w:rPr>
      </w:pPr>
    </w:p>
    <w:p w14:paraId="713FEAB1">
      <w:pPr>
        <w:snapToGrid w:val="0"/>
        <w:spacing w:beforeLines="50" w:after="50"/>
        <w:rPr>
          <w:rFonts w:ascii="宋体" w:hAnsi="宋体"/>
          <w:bCs/>
          <w:color w:val="000000" w:themeColor="text1"/>
          <w:sz w:val="24"/>
          <w:szCs w:val="20"/>
          <w:highlight w:val="none"/>
          <w14:textFill>
            <w14:solidFill>
              <w14:schemeClr w14:val="tx1"/>
            </w14:solidFill>
          </w14:textFill>
        </w:rPr>
      </w:pPr>
    </w:p>
    <w:p w14:paraId="55E4A1B9">
      <w:pPr>
        <w:snapToGrid w:val="0"/>
        <w:spacing w:beforeLines="50" w:after="50"/>
        <w:rPr>
          <w:rFonts w:ascii="宋体" w:hAnsi="宋体"/>
          <w:bCs/>
          <w:color w:val="000000" w:themeColor="text1"/>
          <w:sz w:val="24"/>
          <w:szCs w:val="20"/>
          <w:highlight w:val="none"/>
          <w14:textFill>
            <w14:solidFill>
              <w14:schemeClr w14:val="tx1"/>
            </w14:solidFill>
          </w14:textFill>
        </w:rPr>
      </w:pPr>
    </w:p>
    <w:p w14:paraId="604D1B2E">
      <w:pPr>
        <w:snapToGrid w:val="0"/>
        <w:spacing w:beforeLines="50" w:after="50"/>
        <w:rPr>
          <w:rFonts w:ascii="宋体" w:hAnsi="宋体"/>
          <w:bCs/>
          <w:color w:val="000000" w:themeColor="text1"/>
          <w:sz w:val="24"/>
          <w:szCs w:val="20"/>
          <w:highlight w:val="none"/>
          <w14:textFill>
            <w14:solidFill>
              <w14:schemeClr w14:val="tx1"/>
            </w14:solidFill>
          </w14:textFill>
        </w:rPr>
      </w:pPr>
    </w:p>
    <w:p w14:paraId="686F4E40">
      <w:pPr>
        <w:snapToGrid w:val="0"/>
        <w:spacing w:beforeLines="50" w:after="50"/>
        <w:ind w:firstLine="640" w:firstLineChars="200"/>
        <w:rPr>
          <w:rFonts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项目名称：</w:t>
      </w:r>
    </w:p>
    <w:p w14:paraId="69A196C7">
      <w:pPr>
        <w:snapToGrid w:val="0"/>
        <w:spacing w:beforeLines="50" w:after="50"/>
        <w:ind w:firstLine="720" w:firstLineChars="225"/>
        <w:rPr>
          <w:rFonts w:ascii="宋体" w:hAnsi="宋体" w:cs="仿宋_GB2312"/>
          <w:bCs/>
          <w:color w:val="000000" w:themeColor="text1"/>
          <w:sz w:val="32"/>
          <w:szCs w:val="32"/>
          <w:highlight w:val="none"/>
          <w14:textFill>
            <w14:solidFill>
              <w14:schemeClr w14:val="tx1"/>
            </w14:solidFill>
          </w14:textFill>
        </w:rPr>
      </w:pPr>
    </w:p>
    <w:p w14:paraId="0203B189">
      <w:pPr>
        <w:snapToGrid w:val="0"/>
        <w:spacing w:beforeLines="50" w:after="50"/>
        <w:ind w:firstLine="720" w:firstLineChars="225"/>
        <w:rPr>
          <w:rFonts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项目编号：</w:t>
      </w:r>
    </w:p>
    <w:p w14:paraId="0E7F68B8">
      <w:pPr>
        <w:snapToGrid w:val="0"/>
        <w:spacing w:beforeLines="50" w:after="50"/>
        <w:ind w:firstLine="720" w:firstLineChars="225"/>
        <w:rPr>
          <w:rFonts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 xml:space="preserve"> </w:t>
      </w:r>
    </w:p>
    <w:p w14:paraId="06252AB4">
      <w:pPr>
        <w:snapToGrid w:val="0"/>
        <w:spacing w:beforeLines="50" w:after="50"/>
        <w:ind w:firstLine="720" w:firstLineChars="225"/>
        <w:rPr>
          <w:rFonts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所竞分标（如有则填写，无分标时填写“无”或者留空）：</w:t>
      </w:r>
    </w:p>
    <w:p w14:paraId="25E8CA6D">
      <w:pPr>
        <w:snapToGrid w:val="0"/>
        <w:spacing w:beforeLines="50" w:after="50"/>
        <w:ind w:firstLine="720" w:firstLineChars="225"/>
        <w:rPr>
          <w:rFonts w:ascii="宋体" w:hAnsi="宋体" w:cs="仿宋_GB2312"/>
          <w:bCs/>
          <w:color w:val="000000" w:themeColor="text1"/>
          <w:sz w:val="32"/>
          <w:szCs w:val="32"/>
          <w:highlight w:val="none"/>
          <w14:textFill>
            <w14:solidFill>
              <w14:schemeClr w14:val="tx1"/>
            </w14:solidFill>
          </w14:textFill>
        </w:rPr>
      </w:pPr>
    </w:p>
    <w:p w14:paraId="12DBC030">
      <w:pPr>
        <w:pStyle w:val="7"/>
        <w:snapToGrid w:val="0"/>
        <w:spacing w:before="50" w:after="50"/>
        <w:ind w:firstLine="720" w:firstLineChars="225"/>
        <w:rPr>
          <w:rFonts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供应商名称：</w:t>
      </w:r>
    </w:p>
    <w:p w14:paraId="75FD3AA1">
      <w:pPr>
        <w:snapToGrid w:val="0"/>
        <w:spacing w:beforeLines="50" w:after="50"/>
        <w:ind w:firstLine="640" w:firstLineChars="200"/>
        <w:rPr>
          <w:rFonts w:ascii="宋体" w:hAnsi="宋体" w:cs="仿宋_GB2312"/>
          <w:bCs/>
          <w:color w:val="000000" w:themeColor="text1"/>
          <w:sz w:val="32"/>
          <w:szCs w:val="32"/>
          <w:highlight w:val="none"/>
          <w14:textFill>
            <w14:solidFill>
              <w14:schemeClr w14:val="tx1"/>
            </w14:solidFill>
          </w14:textFill>
        </w:rPr>
      </w:pPr>
    </w:p>
    <w:p w14:paraId="2FB723EF">
      <w:pPr>
        <w:pStyle w:val="7"/>
        <w:snapToGrid w:val="0"/>
        <w:spacing w:before="50" w:after="50"/>
        <w:ind w:firstLine="720" w:firstLineChars="225"/>
        <w:rPr>
          <w:rFonts w:ascii="宋体" w:hAnsi="宋体" w:cs="仿宋_GB2312"/>
          <w:bCs/>
          <w:color w:val="000000" w:themeColor="text1"/>
          <w:sz w:val="32"/>
          <w:szCs w:val="32"/>
          <w:highlight w:val="none"/>
          <w14:textFill>
            <w14:solidFill>
              <w14:schemeClr w14:val="tx1"/>
            </w14:solidFill>
          </w14:textFill>
        </w:rPr>
      </w:pPr>
    </w:p>
    <w:p w14:paraId="2A665832">
      <w:pPr>
        <w:pStyle w:val="7"/>
        <w:snapToGrid w:val="0"/>
        <w:spacing w:before="50" w:after="50"/>
        <w:ind w:firstLine="720" w:firstLineChars="225"/>
        <w:rPr>
          <w:rFonts w:ascii="宋体" w:hAnsi="宋体" w:cs="仿宋_GB2312"/>
          <w:bCs/>
          <w:color w:val="000000" w:themeColor="text1"/>
          <w:sz w:val="32"/>
          <w:szCs w:val="32"/>
          <w:highlight w:val="none"/>
          <w14:textFill>
            <w14:solidFill>
              <w14:schemeClr w14:val="tx1"/>
            </w14:solidFill>
          </w14:textFill>
        </w:rPr>
      </w:pPr>
    </w:p>
    <w:p w14:paraId="17CD41E5">
      <w:pPr>
        <w:pStyle w:val="7"/>
        <w:snapToGrid w:val="0"/>
        <w:spacing w:before="50" w:after="50"/>
        <w:ind w:firstLine="1280" w:firstLineChars="400"/>
        <w:rPr>
          <w:rFonts w:ascii="宋体" w:hAnsi="宋体" w:cs="仿宋_GB2312"/>
          <w:bCs/>
          <w:color w:val="000000" w:themeColor="text1"/>
          <w:sz w:val="32"/>
          <w:szCs w:val="32"/>
          <w:highlight w:val="none"/>
          <w14:textFill>
            <w14:solidFill>
              <w14:schemeClr w14:val="tx1"/>
            </w14:solidFill>
          </w14:textFill>
        </w:rPr>
      </w:pPr>
    </w:p>
    <w:p w14:paraId="0B1A81C6">
      <w:pPr>
        <w:snapToGrid w:val="0"/>
        <w:spacing w:beforeLines="50" w:after="50"/>
        <w:jc w:val="center"/>
        <w:rPr>
          <w:rFonts w:ascii="宋体" w:hAnsi="宋体" w:cs="仿宋_GB2312"/>
          <w:color w:val="000000" w:themeColor="text1"/>
          <w:sz w:val="32"/>
          <w:szCs w:val="32"/>
          <w:highlight w:val="none"/>
          <w14:textFill>
            <w14:solidFill>
              <w14:schemeClr w14:val="tx1"/>
            </w14:solidFill>
          </w14:textFill>
        </w:rPr>
      </w:pPr>
      <w:r>
        <w:rPr>
          <w:rFonts w:hint="eastAsia" w:ascii="宋体" w:hAnsi="宋体" w:cs="仿宋_GB2312"/>
          <w:color w:val="000000" w:themeColor="text1"/>
          <w:sz w:val="32"/>
          <w:szCs w:val="32"/>
          <w:highlight w:val="none"/>
          <w14:textFill>
            <w14:solidFill>
              <w14:schemeClr w14:val="tx1"/>
            </w14:solidFill>
          </w14:textFill>
        </w:rPr>
        <w:t>年    月    日</w:t>
      </w:r>
    </w:p>
    <w:p w14:paraId="112C2C86">
      <w:pPr>
        <w:snapToGrid w:val="0"/>
        <w:spacing w:beforeLines="50" w:after="50" w:line="360" w:lineRule="auto"/>
        <w:ind w:left="142"/>
        <w:jc w:val="left"/>
        <w:rPr>
          <w:rFonts w:ascii="宋体" w:hAnsi="宋体"/>
          <w:b/>
          <w:bCs/>
          <w:color w:val="000000" w:themeColor="text1"/>
          <w:sz w:val="32"/>
          <w:szCs w:val="32"/>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br w:type="page"/>
      </w:r>
      <w:r>
        <w:rPr>
          <w:rFonts w:hint="eastAsia" w:ascii="宋体" w:hAnsi="宋体"/>
          <w:b/>
          <w:bCs/>
          <w:color w:val="000000" w:themeColor="text1"/>
          <w:sz w:val="32"/>
          <w:szCs w:val="32"/>
          <w:highlight w:val="none"/>
          <w14:textFill>
            <w14:solidFill>
              <w14:schemeClr w14:val="tx1"/>
            </w14:solidFill>
          </w14:textFill>
        </w:rPr>
        <w:t>2.资格证明文件目录</w:t>
      </w:r>
    </w:p>
    <w:p w14:paraId="68B7D110">
      <w:pPr>
        <w:snapToGrid w:val="0"/>
        <w:spacing w:beforeLines="50" w:after="50" w:line="360" w:lineRule="auto"/>
        <w:ind w:firstLine="645"/>
        <w:rPr>
          <w:rFonts w:ascii="宋体" w:hAnsi="宋体"/>
          <w:color w:val="000000" w:themeColor="text1"/>
          <w:sz w:val="32"/>
          <w:szCs w:val="32"/>
          <w:highlight w:val="none"/>
          <w14:textFill>
            <w14:solidFill>
              <w14:schemeClr w14:val="tx1"/>
            </w14:solidFill>
          </w14:textFill>
        </w:rPr>
      </w:pPr>
      <w:r>
        <w:rPr>
          <w:rFonts w:hint="eastAsia" w:ascii="宋体" w:hAnsi="宋体"/>
          <w:color w:val="000000" w:themeColor="text1"/>
          <w:sz w:val="32"/>
          <w:szCs w:val="32"/>
          <w:highlight w:val="none"/>
          <w14:textFill>
            <w14:solidFill>
              <w14:schemeClr w14:val="tx1"/>
            </w14:solidFill>
          </w14:textFill>
        </w:rPr>
        <w:t>根据磋商文件规定及供应商提供的材料自行编写目录（部分格式后附）。</w:t>
      </w:r>
    </w:p>
    <w:p w14:paraId="62E852C1">
      <w:pPr>
        <w:snapToGrid w:val="0"/>
        <w:spacing w:beforeLines="50" w:after="50"/>
        <w:rPr>
          <w:rFonts w:ascii="宋体" w:hAnsi="宋体"/>
          <w:color w:val="000000" w:themeColor="text1"/>
          <w:sz w:val="24"/>
          <w:szCs w:val="20"/>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t xml:space="preserve"> </w:t>
      </w:r>
    </w:p>
    <w:p w14:paraId="57EF7064">
      <w:pPr>
        <w:spacing w:line="300" w:lineRule="auto"/>
        <w:rPr>
          <w:rFonts w:ascii="宋体" w:hAnsi="宋体"/>
          <w:color w:val="000000" w:themeColor="text1"/>
          <w:szCs w:val="21"/>
          <w:highlight w:val="none"/>
          <w14:textFill>
            <w14:solidFill>
              <w14:schemeClr w14:val="tx1"/>
            </w14:solidFill>
          </w14:textFill>
        </w:rPr>
      </w:pPr>
    </w:p>
    <w:p w14:paraId="1C50D006">
      <w:pPr>
        <w:spacing w:line="300" w:lineRule="auto"/>
        <w:rPr>
          <w:rFonts w:ascii="宋体" w:hAnsi="宋体"/>
          <w:color w:val="000000" w:themeColor="text1"/>
          <w:szCs w:val="21"/>
          <w:highlight w:val="none"/>
          <w14:textFill>
            <w14:solidFill>
              <w14:schemeClr w14:val="tx1"/>
            </w14:solidFill>
          </w14:textFill>
        </w:rPr>
      </w:pPr>
    </w:p>
    <w:p w14:paraId="44602D32">
      <w:pPr>
        <w:spacing w:line="300" w:lineRule="auto"/>
        <w:rPr>
          <w:rFonts w:ascii="宋体" w:hAnsi="宋体"/>
          <w:color w:val="000000" w:themeColor="text1"/>
          <w:szCs w:val="21"/>
          <w:highlight w:val="none"/>
          <w14:textFill>
            <w14:solidFill>
              <w14:schemeClr w14:val="tx1"/>
            </w14:solidFill>
          </w14:textFill>
        </w:rPr>
      </w:pPr>
    </w:p>
    <w:p w14:paraId="7FCA3D6C">
      <w:pPr>
        <w:spacing w:line="300" w:lineRule="auto"/>
        <w:rPr>
          <w:rFonts w:ascii="宋体" w:hAnsi="宋体"/>
          <w:color w:val="000000" w:themeColor="text1"/>
          <w:szCs w:val="21"/>
          <w:highlight w:val="none"/>
          <w14:textFill>
            <w14:solidFill>
              <w14:schemeClr w14:val="tx1"/>
            </w14:solidFill>
          </w14:textFill>
        </w:rPr>
      </w:pPr>
    </w:p>
    <w:p w14:paraId="4C3F6595">
      <w:pPr>
        <w:spacing w:line="300" w:lineRule="auto"/>
        <w:rPr>
          <w:rFonts w:ascii="宋体" w:hAnsi="宋体"/>
          <w:color w:val="000000" w:themeColor="text1"/>
          <w:szCs w:val="21"/>
          <w:highlight w:val="none"/>
          <w14:textFill>
            <w14:solidFill>
              <w14:schemeClr w14:val="tx1"/>
            </w14:solidFill>
          </w14:textFill>
        </w:rPr>
      </w:pPr>
    </w:p>
    <w:p w14:paraId="7D88D069">
      <w:pPr>
        <w:spacing w:line="300" w:lineRule="auto"/>
        <w:rPr>
          <w:rFonts w:ascii="宋体" w:hAnsi="宋体"/>
          <w:color w:val="000000" w:themeColor="text1"/>
          <w:szCs w:val="21"/>
          <w:highlight w:val="none"/>
          <w14:textFill>
            <w14:solidFill>
              <w14:schemeClr w14:val="tx1"/>
            </w14:solidFill>
          </w14:textFill>
        </w:rPr>
      </w:pPr>
    </w:p>
    <w:p w14:paraId="19596B0A">
      <w:pPr>
        <w:spacing w:line="300" w:lineRule="auto"/>
        <w:rPr>
          <w:rFonts w:ascii="宋体" w:hAnsi="宋体"/>
          <w:color w:val="000000" w:themeColor="text1"/>
          <w:szCs w:val="21"/>
          <w:highlight w:val="none"/>
          <w14:textFill>
            <w14:solidFill>
              <w14:schemeClr w14:val="tx1"/>
            </w14:solidFill>
          </w14:textFill>
        </w:rPr>
      </w:pPr>
    </w:p>
    <w:p w14:paraId="4581264A">
      <w:pPr>
        <w:spacing w:line="300" w:lineRule="auto"/>
        <w:rPr>
          <w:rFonts w:ascii="宋体" w:hAnsi="宋体"/>
          <w:color w:val="000000" w:themeColor="text1"/>
          <w:szCs w:val="21"/>
          <w:highlight w:val="none"/>
          <w14:textFill>
            <w14:solidFill>
              <w14:schemeClr w14:val="tx1"/>
            </w14:solidFill>
          </w14:textFill>
        </w:rPr>
      </w:pPr>
    </w:p>
    <w:p w14:paraId="5E3DD4A7">
      <w:pPr>
        <w:spacing w:line="300" w:lineRule="auto"/>
        <w:rPr>
          <w:rFonts w:ascii="宋体" w:hAnsi="宋体"/>
          <w:color w:val="000000" w:themeColor="text1"/>
          <w:szCs w:val="21"/>
          <w:highlight w:val="none"/>
          <w14:textFill>
            <w14:solidFill>
              <w14:schemeClr w14:val="tx1"/>
            </w14:solidFill>
          </w14:textFill>
        </w:rPr>
      </w:pPr>
    </w:p>
    <w:p w14:paraId="7D1E9775">
      <w:pPr>
        <w:spacing w:line="300" w:lineRule="auto"/>
        <w:rPr>
          <w:rFonts w:ascii="宋体" w:hAnsi="宋体"/>
          <w:color w:val="000000" w:themeColor="text1"/>
          <w:szCs w:val="21"/>
          <w:highlight w:val="none"/>
          <w14:textFill>
            <w14:solidFill>
              <w14:schemeClr w14:val="tx1"/>
            </w14:solidFill>
          </w14:textFill>
        </w:rPr>
      </w:pPr>
    </w:p>
    <w:p w14:paraId="1A582249">
      <w:pPr>
        <w:spacing w:line="300" w:lineRule="auto"/>
        <w:rPr>
          <w:rFonts w:ascii="宋体" w:hAnsi="宋体"/>
          <w:color w:val="000000" w:themeColor="text1"/>
          <w:szCs w:val="21"/>
          <w:highlight w:val="none"/>
          <w14:textFill>
            <w14:solidFill>
              <w14:schemeClr w14:val="tx1"/>
            </w14:solidFill>
          </w14:textFill>
        </w:rPr>
      </w:pPr>
    </w:p>
    <w:p w14:paraId="4F5E910D">
      <w:pPr>
        <w:spacing w:line="300" w:lineRule="auto"/>
        <w:rPr>
          <w:rFonts w:ascii="宋体" w:hAnsi="宋体"/>
          <w:color w:val="000000" w:themeColor="text1"/>
          <w:szCs w:val="21"/>
          <w:highlight w:val="none"/>
          <w14:textFill>
            <w14:solidFill>
              <w14:schemeClr w14:val="tx1"/>
            </w14:solidFill>
          </w14:textFill>
        </w:rPr>
      </w:pPr>
    </w:p>
    <w:p w14:paraId="1D379B18">
      <w:pPr>
        <w:spacing w:line="300" w:lineRule="auto"/>
        <w:rPr>
          <w:rFonts w:ascii="宋体" w:hAnsi="宋体"/>
          <w:color w:val="000000" w:themeColor="text1"/>
          <w:szCs w:val="21"/>
          <w:highlight w:val="none"/>
          <w14:textFill>
            <w14:solidFill>
              <w14:schemeClr w14:val="tx1"/>
            </w14:solidFill>
          </w14:textFill>
        </w:rPr>
      </w:pPr>
    </w:p>
    <w:p w14:paraId="5B725928">
      <w:pPr>
        <w:spacing w:line="300" w:lineRule="auto"/>
        <w:rPr>
          <w:rFonts w:ascii="宋体" w:hAnsi="宋体"/>
          <w:color w:val="000000" w:themeColor="text1"/>
          <w:szCs w:val="21"/>
          <w:highlight w:val="none"/>
          <w14:textFill>
            <w14:solidFill>
              <w14:schemeClr w14:val="tx1"/>
            </w14:solidFill>
          </w14:textFill>
        </w:rPr>
      </w:pPr>
    </w:p>
    <w:p w14:paraId="36BCF19C">
      <w:pPr>
        <w:spacing w:line="300" w:lineRule="auto"/>
        <w:rPr>
          <w:rFonts w:ascii="宋体" w:hAnsi="宋体"/>
          <w:color w:val="000000" w:themeColor="text1"/>
          <w:szCs w:val="21"/>
          <w:highlight w:val="none"/>
          <w14:textFill>
            <w14:solidFill>
              <w14:schemeClr w14:val="tx1"/>
            </w14:solidFill>
          </w14:textFill>
        </w:rPr>
      </w:pPr>
    </w:p>
    <w:p w14:paraId="44E7119F">
      <w:pPr>
        <w:spacing w:line="320" w:lineRule="exact"/>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br w:type="page"/>
      </w:r>
      <w:r>
        <w:rPr>
          <w:rFonts w:hint="eastAsia" w:ascii="宋体" w:hAnsi="宋体"/>
          <w:color w:val="000000" w:themeColor="text1"/>
          <w:szCs w:val="21"/>
          <w:highlight w:val="none"/>
          <w14:textFill>
            <w14:solidFill>
              <w14:schemeClr w14:val="tx1"/>
            </w14:solidFill>
          </w14:textFill>
        </w:rPr>
        <w:t xml:space="preserve"> </w:t>
      </w:r>
    </w:p>
    <w:p w14:paraId="6393788D">
      <w:pPr>
        <w:wordWrap w:val="0"/>
        <w:spacing w:beforeLines="50" w:after="50" w:line="320" w:lineRule="exact"/>
        <w:ind w:right="482" w:firstLine="210" w:firstLineChars="100"/>
        <w:contextualSpacing/>
        <w:jc w:val="center"/>
        <w:rPr>
          <w:rFonts w:ascii="宋体" w:hAnsi="宋体"/>
          <w:color w:val="000000" w:themeColor="text1"/>
          <w:szCs w:val="21"/>
          <w:highlight w:val="none"/>
          <w14:textFill>
            <w14:solidFill>
              <w14:schemeClr w14:val="tx1"/>
            </w14:solidFill>
          </w14:textFill>
        </w:rPr>
      </w:pPr>
    </w:p>
    <w:p w14:paraId="209E9F39">
      <w:pPr>
        <w:spacing w:line="360" w:lineRule="auto"/>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供应商直接控股、管理关系信息表</w:t>
      </w:r>
    </w:p>
    <w:p w14:paraId="52B8C4DB">
      <w:pPr>
        <w:snapToGrid w:val="0"/>
        <w:spacing w:beforeLines="50" w:after="50" w:line="360" w:lineRule="auto"/>
        <w:jc w:val="center"/>
        <w:rPr>
          <w:rFonts w:ascii="宋体" w:hAnsi="宋体"/>
          <w:b/>
          <w:color w:val="000000" w:themeColor="text1"/>
          <w:sz w:val="24"/>
          <w:highlight w:val="none"/>
          <w14:textFill>
            <w14:solidFill>
              <w14:schemeClr w14:val="tx1"/>
            </w14:solidFill>
          </w14:textFill>
        </w:rPr>
      </w:pPr>
    </w:p>
    <w:p w14:paraId="05C5B15E">
      <w:pPr>
        <w:spacing w:line="360" w:lineRule="auto"/>
        <w:contextualSpacing/>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供应商直接控股股东信息表</w:t>
      </w:r>
    </w:p>
    <w:p w14:paraId="0F24E072">
      <w:pPr>
        <w:spacing w:line="360" w:lineRule="auto"/>
        <w:contextualSpacing/>
        <w:jc w:val="center"/>
        <w:rPr>
          <w:rFonts w:ascii="宋体" w:hAnsi="宋体"/>
          <w:b/>
          <w:color w:val="000000" w:themeColor="text1"/>
          <w:sz w:val="24"/>
          <w:highlight w:val="none"/>
          <w14:textFill>
            <w14:solidFill>
              <w14:schemeClr w14:val="tx1"/>
            </w14:solidFill>
          </w14:textFill>
        </w:rPr>
      </w:pPr>
    </w:p>
    <w:tbl>
      <w:tblPr>
        <w:tblStyle w:val="43"/>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676139A0">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7BE5781">
            <w:pPr>
              <w:widowControl/>
              <w:spacing w:line="360" w:lineRule="auto"/>
              <w:contextualSpacing/>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2C60044">
            <w:pPr>
              <w:widowControl/>
              <w:spacing w:line="360" w:lineRule="auto"/>
              <w:contextualSpacing/>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05D3788">
            <w:pPr>
              <w:widowControl/>
              <w:spacing w:line="360" w:lineRule="auto"/>
              <w:contextualSpacing/>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380B6B0">
            <w:pPr>
              <w:widowControl/>
              <w:spacing w:line="360" w:lineRule="auto"/>
              <w:contextualSpacing/>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BDB458D">
            <w:pPr>
              <w:widowControl/>
              <w:spacing w:line="360" w:lineRule="auto"/>
              <w:contextualSpacing/>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备注</w:t>
            </w:r>
          </w:p>
        </w:tc>
      </w:tr>
      <w:tr w14:paraId="6D4F84AC">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3624F6F">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A95DD5E">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6715C53">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E1A118C">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37DDEED">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r>
      <w:tr w14:paraId="3B53249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E1A57CD">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C1D9587">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8E18955">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B42C88D">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A5BBD11">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r>
      <w:tr w14:paraId="2D929229">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9F8E4BA">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F663567">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56F8B05">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C3B2F45">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95B59AC">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r>
      <w:tr w14:paraId="52C4B124">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CF72AF0">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B47FBEE">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FBE32ED">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5671748">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BA3D28B">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r>
    </w:tbl>
    <w:p w14:paraId="0E3E6490">
      <w:pPr>
        <w:spacing w:line="360" w:lineRule="auto"/>
        <w:contextualSpacing/>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w:t>
      </w:r>
    </w:p>
    <w:p w14:paraId="6DC7C26E">
      <w:pPr>
        <w:spacing w:line="360" w:lineRule="auto"/>
        <w:ind w:firstLine="480" w:firstLineChars="200"/>
        <w:contextualSpacing/>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1.直接控股股东：是指其出资额占有限责任公司资本总额百分之五十以上或者其持有的股份占股份有限公司股份总额百分之五十以上的股东</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出资额或者持有股份的比例虽然不足百分之五十，但依其出资额或者持有的股份所享有的表决权已足以对股东会、股东大会的决议产生重大影响的股东。</w:t>
      </w:r>
    </w:p>
    <w:p w14:paraId="2115A161">
      <w:pPr>
        <w:spacing w:line="360" w:lineRule="auto"/>
        <w:ind w:firstLine="480" w:firstLineChars="200"/>
        <w:contextualSpacing/>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2.本表所指的控股关系仅限于直接控股关系，不包括间接的控股关系。公司实际控制人与公司之间的关系不属于本表所指的直接控股关系。</w:t>
      </w:r>
    </w:p>
    <w:p w14:paraId="1C850A4D">
      <w:pPr>
        <w:spacing w:line="360" w:lineRule="auto"/>
        <w:ind w:firstLine="480" w:firstLineChars="200"/>
        <w:contextualSpacing/>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3.供应商不存在直接控股股东的，</w:t>
      </w:r>
      <w:r>
        <w:rPr>
          <w:rFonts w:hint="eastAsia" w:ascii="宋体" w:hAnsi="宋体"/>
          <w:color w:val="000000" w:themeColor="text1"/>
          <w:sz w:val="24"/>
          <w:highlight w:val="none"/>
          <w14:textFill>
            <w14:solidFill>
              <w14:schemeClr w14:val="tx1"/>
            </w14:solidFill>
          </w14:textFill>
        </w:rPr>
        <w:t>则在“直接控股股东名称”填“无”</w:t>
      </w:r>
      <w:r>
        <w:rPr>
          <w:rFonts w:hint="eastAsia" w:ascii="宋体" w:hAnsi="宋体" w:cs="宋体"/>
          <w:color w:val="000000" w:themeColor="text1"/>
          <w:sz w:val="24"/>
          <w:highlight w:val="none"/>
          <w14:textFill>
            <w14:solidFill>
              <w14:schemeClr w14:val="tx1"/>
            </w14:solidFill>
          </w14:textFill>
        </w:rPr>
        <w:t>。</w:t>
      </w:r>
    </w:p>
    <w:p w14:paraId="4CB55FE0">
      <w:pPr>
        <w:spacing w:line="360" w:lineRule="auto"/>
        <w:ind w:firstLine="420" w:firstLineChars="200"/>
        <w:contextualSpacing/>
        <w:jc w:val="left"/>
        <w:rPr>
          <w:rFonts w:ascii="宋体" w:hAnsi="宋体" w:cs="宋体"/>
          <w:color w:val="000000" w:themeColor="text1"/>
          <w:szCs w:val="21"/>
          <w:highlight w:val="none"/>
          <w14:textFill>
            <w14:solidFill>
              <w14:schemeClr w14:val="tx1"/>
            </w14:solidFill>
          </w14:textFill>
        </w:rPr>
      </w:pPr>
    </w:p>
    <w:p w14:paraId="118F8397">
      <w:pPr>
        <w:spacing w:line="360" w:lineRule="auto"/>
        <w:ind w:firstLine="560" w:firstLineChars="200"/>
        <w:contextualSpacing/>
        <w:jc w:val="left"/>
        <w:rPr>
          <w:rFonts w:ascii="宋体" w:hAnsi="宋体" w:cs="宋体"/>
          <w:color w:val="000000" w:themeColor="text1"/>
          <w:sz w:val="28"/>
          <w:szCs w:val="28"/>
          <w:highlight w:val="none"/>
          <w14:textFill>
            <w14:solidFill>
              <w14:schemeClr w14:val="tx1"/>
            </w14:solidFill>
          </w14:textFill>
        </w:rPr>
      </w:pPr>
    </w:p>
    <w:p w14:paraId="4C669016">
      <w:pPr>
        <w:spacing w:line="360" w:lineRule="auto"/>
        <w:ind w:right="480"/>
        <w:contextualSpacing/>
        <w:jc w:val="center"/>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法定代表人或者委托代理人</w:t>
      </w:r>
      <w:r>
        <w:rPr>
          <w:rFonts w:hint="eastAsia" w:ascii="宋体" w:hAnsi="宋体"/>
          <w:color w:val="000000" w:themeColor="text1"/>
          <w:sz w:val="24"/>
          <w:highlight w:val="none"/>
          <w14:textFill>
            <w14:solidFill>
              <w14:schemeClr w14:val="tx1"/>
            </w14:solidFill>
          </w14:textFill>
        </w:rPr>
        <w:t>（签字或者电子签名）</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r>
        <w:rPr>
          <w:rFonts w:ascii="宋体" w:hAnsi="宋体" w:cs="宋体"/>
          <w:color w:val="000000" w:themeColor="text1"/>
          <w:sz w:val="24"/>
          <w:highlight w:val="none"/>
          <w:u w:val="single"/>
          <w14:textFill>
            <w14:solidFill>
              <w14:schemeClr w14:val="tx1"/>
            </w14:solidFill>
          </w14:textFill>
        </w:rPr>
        <w:t xml:space="preserve">      </w:t>
      </w:r>
    </w:p>
    <w:p w14:paraId="397047F9">
      <w:pPr>
        <w:spacing w:line="360" w:lineRule="auto"/>
        <w:ind w:right="480" w:firstLine="3000" w:firstLineChars="1250"/>
        <w:contextualSpacing/>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（电子签章）</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14:paraId="54C31129">
      <w:pPr>
        <w:spacing w:line="360" w:lineRule="auto"/>
        <w:ind w:firstLine="480" w:firstLineChars="200"/>
        <w:contextualSpacing/>
        <w:jc w:val="right"/>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年    月    日</w:t>
      </w:r>
    </w:p>
    <w:p w14:paraId="472E9763">
      <w:pPr>
        <w:snapToGrid w:val="0"/>
        <w:jc w:val="center"/>
        <w:rPr>
          <w:rFonts w:ascii="宋体" w:hAnsi="宋体"/>
          <w:b/>
          <w:color w:val="000000" w:themeColor="text1"/>
          <w:sz w:val="28"/>
          <w:szCs w:val="28"/>
          <w:highlight w:val="none"/>
          <w14:textFill>
            <w14:solidFill>
              <w14:schemeClr w14:val="tx1"/>
            </w14:solidFill>
          </w14:textFill>
        </w:rPr>
      </w:pPr>
      <w:r>
        <w:rPr>
          <w:rFonts w:ascii="宋体" w:hAnsi="宋体"/>
          <w:b/>
          <w:color w:val="000000" w:themeColor="text1"/>
          <w:sz w:val="28"/>
          <w:szCs w:val="28"/>
          <w:highlight w:val="none"/>
          <w14:textFill>
            <w14:solidFill>
              <w14:schemeClr w14:val="tx1"/>
            </w14:solidFill>
          </w14:textFill>
        </w:rPr>
        <w:br w:type="page"/>
      </w:r>
    </w:p>
    <w:p w14:paraId="4A2E37C4">
      <w:pPr>
        <w:spacing w:line="360" w:lineRule="auto"/>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供应商直接管理关系信息表</w:t>
      </w:r>
    </w:p>
    <w:p w14:paraId="12207E19">
      <w:pPr>
        <w:snapToGrid w:val="0"/>
        <w:spacing w:line="360" w:lineRule="auto"/>
        <w:jc w:val="center"/>
        <w:rPr>
          <w:rFonts w:ascii="宋体" w:hAnsi="宋体"/>
          <w:b/>
          <w:color w:val="000000" w:themeColor="text1"/>
          <w:sz w:val="24"/>
          <w:highlight w:val="none"/>
          <w14:textFill>
            <w14:solidFill>
              <w14:schemeClr w14:val="tx1"/>
            </w14:solidFill>
          </w14:textFill>
        </w:rPr>
      </w:pPr>
    </w:p>
    <w:tbl>
      <w:tblPr>
        <w:tblStyle w:val="43"/>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72F8C4FD">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B2B136A">
            <w:pPr>
              <w:widowControl/>
              <w:spacing w:line="360" w:lineRule="auto"/>
              <w:contextualSpacing/>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A2DCEF4">
            <w:pPr>
              <w:widowControl/>
              <w:spacing w:line="360" w:lineRule="auto"/>
              <w:contextualSpacing/>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521B0DB">
            <w:pPr>
              <w:widowControl/>
              <w:spacing w:line="360" w:lineRule="auto"/>
              <w:contextualSpacing/>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07546BE">
            <w:pPr>
              <w:widowControl/>
              <w:spacing w:line="360" w:lineRule="auto"/>
              <w:contextualSpacing/>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相互关系</w:t>
            </w:r>
          </w:p>
        </w:tc>
      </w:tr>
      <w:tr w14:paraId="1836639D">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46D38BE">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A096368">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7507A46">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3B372AE">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r>
      <w:tr w14:paraId="70F5D86B">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FC9E403">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4E57B61">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88E2E14">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3A0204D">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r>
      <w:tr w14:paraId="67550BF5">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0BBCC74">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0EA369F">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8EC0885">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44EA950">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r>
      <w:tr w14:paraId="443B6908">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8275DE0">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93B084E">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E6984D8">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AF915B9">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r>
    </w:tbl>
    <w:p w14:paraId="13162E27">
      <w:pPr>
        <w:spacing w:line="360" w:lineRule="auto"/>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w:t>
      </w:r>
    </w:p>
    <w:p w14:paraId="464A5930">
      <w:pPr>
        <w:spacing w:line="360" w:lineRule="auto"/>
        <w:ind w:firstLine="480" w:firstLineChars="200"/>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1.管理关系：是指不具有出资持股关系的其他单位之间存在的管理与被管理关系，如一些上下级关系的事业单位和团体组织。</w:t>
      </w:r>
    </w:p>
    <w:p w14:paraId="66E8D904">
      <w:pPr>
        <w:spacing w:line="360" w:lineRule="auto"/>
        <w:ind w:firstLine="480" w:firstLineChars="200"/>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w:t>
      </w:r>
      <w:r>
        <w:rPr>
          <w:rFonts w:hint="eastAsia" w:ascii="宋体" w:hAnsi="宋体"/>
          <w:color w:val="000000" w:themeColor="text1"/>
          <w:spacing w:val="-6"/>
          <w:sz w:val="24"/>
          <w:highlight w:val="none"/>
          <w14:textFill>
            <w14:solidFill>
              <w14:schemeClr w14:val="tx1"/>
            </w14:solidFill>
          </w14:textFill>
        </w:rPr>
        <w:t>本表所指的管理关系仅限于直接管理关系，不包括间接的管理关系。</w:t>
      </w:r>
    </w:p>
    <w:p w14:paraId="778D6F37">
      <w:pPr>
        <w:spacing w:line="360" w:lineRule="auto"/>
        <w:ind w:firstLine="480" w:firstLineChars="200"/>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3.供应商不存在直接管理关系的，则在“直接管理关系单位名称”填“无”。</w:t>
      </w:r>
    </w:p>
    <w:p w14:paraId="6CBD546A">
      <w:pPr>
        <w:spacing w:line="360" w:lineRule="auto"/>
        <w:contextualSpacing/>
        <w:jc w:val="left"/>
        <w:rPr>
          <w:color w:val="000000" w:themeColor="text1"/>
          <w:sz w:val="28"/>
          <w:szCs w:val="28"/>
          <w:highlight w:val="none"/>
          <w14:textFill>
            <w14:solidFill>
              <w14:schemeClr w14:val="tx1"/>
            </w14:solidFill>
          </w14:textFill>
        </w:rPr>
      </w:pPr>
    </w:p>
    <w:p w14:paraId="283D7FB3">
      <w:pPr>
        <w:spacing w:line="360" w:lineRule="auto"/>
        <w:contextualSpacing/>
        <w:jc w:val="left"/>
        <w:rPr>
          <w:rFonts w:ascii="宋体" w:hAnsi="宋体"/>
          <w:color w:val="000000" w:themeColor="text1"/>
          <w:sz w:val="28"/>
          <w:szCs w:val="28"/>
          <w:highlight w:val="none"/>
          <w14:textFill>
            <w14:solidFill>
              <w14:schemeClr w14:val="tx1"/>
            </w14:solidFill>
          </w14:textFill>
        </w:rPr>
      </w:pPr>
    </w:p>
    <w:p w14:paraId="2FAE5A1D">
      <w:pPr>
        <w:spacing w:line="360" w:lineRule="auto"/>
        <w:ind w:right="480"/>
        <w:contextualSpacing/>
        <w:jc w:val="center"/>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法定代表人或者委托代理人（签字或者电子签名）：</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p>
    <w:p w14:paraId="0387228E">
      <w:pPr>
        <w:spacing w:line="360" w:lineRule="auto"/>
        <w:ind w:right="480" w:firstLine="3360" w:firstLineChars="1400"/>
        <w:contextualSpacing/>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供应商（电子签章）：</w:t>
      </w:r>
      <w:r>
        <w:rPr>
          <w:rFonts w:hint="eastAsia" w:ascii="宋体" w:hAnsi="宋体"/>
          <w:color w:val="000000" w:themeColor="text1"/>
          <w:sz w:val="24"/>
          <w:highlight w:val="none"/>
          <w:u w:val="single"/>
          <w14:textFill>
            <w14:solidFill>
              <w14:schemeClr w14:val="tx1"/>
            </w14:solidFill>
          </w14:textFill>
        </w:rPr>
        <w:t xml:space="preserve">                </w:t>
      </w:r>
    </w:p>
    <w:p w14:paraId="4BD00C24">
      <w:pPr>
        <w:spacing w:line="360" w:lineRule="auto"/>
        <w:ind w:firstLine="480" w:firstLineChars="200"/>
        <w:contextualSpacing/>
        <w:jc w:val="left"/>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年    月    日</w:t>
      </w:r>
    </w:p>
    <w:p w14:paraId="614D9127">
      <w:pPr>
        <w:spacing w:line="320" w:lineRule="exact"/>
        <w:jc w:val="center"/>
        <w:rPr>
          <w:rFonts w:ascii="宋体" w:hAnsi="宋体"/>
          <w:b/>
          <w:color w:val="000000" w:themeColor="text1"/>
          <w:sz w:val="32"/>
          <w:szCs w:val="32"/>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br w:type="page"/>
      </w:r>
      <w:r>
        <w:rPr>
          <w:rFonts w:hint="eastAsia" w:ascii="宋体" w:hAnsi="宋体"/>
          <w:b/>
          <w:color w:val="000000" w:themeColor="text1"/>
          <w:sz w:val="32"/>
          <w:szCs w:val="32"/>
          <w:highlight w:val="none"/>
          <w14:textFill>
            <w14:solidFill>
              <w14:schemeClr w14:val="tx1"/>
            </w14:solidFill>
          </w14:textFill>
        </w:rPr>
        <w:t>竞标声明</w:t>
      </w:r>
    </w:p>
    <w:p w14:paraId="5D0445D7">
      <w:pPr>
        <w:spacing w:line="320" w:lineRule="exact"/>
        <w:jc w:val="center"/>
        <w:rPr>
          <w:rFonts w:ascii="宋体" w:hAnsi="宋体"/>
          <w:color w:val="000000" w:themeColor="text1"/>
          <w:sz w:val="24"/>
          <w:szCs w:val="20"/>
          <w:highlight w:val="none"/>
          <w14:textFill>
            <w14:solidFill>
              <w14:schemeClr w14:val="tx1"/>
            </w14:solidFill>
          </w14:textFill>
        </w:rPr>
      </w:pPr>
    </w:p>
    <w:p w14:paraId="03A4F639">
      <w:pPr>
        <w:spacing w:line="360" w:lineRule="auto"/>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致：</w:t>
      </w:r>
      <w:r>
        <w:rPr>
          <w:rFonts w:hint="eastAsia" w:ascii="宋体" w:hAnsi="宋体" w:cs="宋体"/>
          <w:color w:val="000000" w:themeColor="text1"/>
          <w:sz w:val="24"/>
          <w:highlight w:val="none"/>
          <w:u w:val="single"/>
          <w14:textFill>
            <w14:solidFill>
              <w14:schemeClr w14:val="tx1"/>
            </w14:solidFill>
          </w14:textFill>
        </w:rPr>
        <w:t>（采购人名称）</w:t>
      </w:r>
      <w:r>
        <w:rPr>
          <w:rFonts w:hint="eastAsia" w:ascii="宋体" w:hAnsi="宋体" w:cs="宋体"/>
          <w:color w:val="000000" w:themeColor="text1"/>
          <w:sz w:val="24"/>
          <w:highlight w:val="none"/>
          <w14:textFill>
            <w14:solidFill>
              <w14:schemeClr w14:val="tx1"/>
            </w14:solidFill>
          </w14:textFill>
        </w:rPr>
        <w:t>：</w:t>
      </w:r>
    </w:p>
    <w:p w14:paraId="62126B78">
      <w:pPr>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我方</w:t>
      </w:r>
      <w:r>
        <w:rPr>
          <w:rFonts w:hint="eastAsia" w:ascii="宋体" w:hAnsi="宋体" w:cs="宋体"/>
          <w:color w:val="000000" w:themeColor="text1"/>
          <w:sz w:val="24"/>
          <w:highlight w:val="none"/>
          <w:u w:val="single"/>
          <w14:textFill>
            <w14:solidFill>
              <w14:schemeClr w14:val="tx1"/>
            </w14:solidFill>
          </w14:textFill>
        </w:rPr>
        <w:t>（供应商名称）</w:t>
      </w:r>
      <w:r>
        <w:rPr>
          <w:rFonts w:hint="eastAsia" w:ascii="宋体" w:hAnsi="宋体" w:cs="宋体"/>
          <w:color w:val="000000" w:themeColor="text1"/>
          <w:sz w:val="24"/>
          <w:highlight w:val="none"/>
          <w14:textFill>
            <w14:solidFill>
              <w14:schemeClr w14:val="tx1"/>
            </w14:solidFill>
          </w14:textFill>
        </w:rPr>
        <w:t>系中华人民共和国合法供应商，经营地址</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p w14:paraId="531C2C6E">
      <w:pPr>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我方愿意参加贵方组织的</w:t>
      </w:r>
      <w:r>
        <w:rPr>
          <w:rFonts w:hint="eastAsia" w:ascii="宋体" w:hAnsi="宋体" w:cs="宋体"/>
          <w:color w:val="000000" w:themeColor="text1"/>
          <w:sz w:val="24"/>
          <w:highlight w:val="none"/>
          <w:u w:val="single"/>
          <w14:textFill>
            <w14:solidFill>
              <w14:schemeClr w14:val="tx1"/>
            </w14:solidFill>
          </w14:textFill>
        </w:rPr>
        <w:t>（项目名称）（项目编号）</w:t>
      </w:r>
      <w:r>
        <w:rPr>
          <w:rFonts w:hint="eastAsia" w:ascii="宋体" w:hAnsi="宋体" w:cs="宋体"/>
          <w:color w:val="000000" w:themeColor="text1"/>
          <w:sz w:val="24"/>
          <w:highlight w:val="none"/>
          <w14:textFill>
            <w14:solidFill>
              <w14:schemeClr w14:val="tx1"/>
            </w14:solidFill>
          </w14:textFill>
        </w:rPr>
        <w:t>项目的竞标，为便于贵方公正、择优地确定成交供应商及其服务，我方就本次竞标有关事项郑重声明如下：</w:t>
      </w:r>
    </w:p>
    <w:p w14:paraId="44B0B42B">
      <w:pPr>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1.我方向贵方提交的所有响应文件、资料都是准确的和真实的。</w:t>
      </w:r>
    </w:p>
    <w:p w14:paraId="6F971617">
      <w:pPr>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我方不是为本次采购项目提供整体设计、规范编制或者项目管理、监理、检测等服务的供应商</w:t>
      </w:r>
      <w:r>
        <w:rPr>
          <w:rFonts w:hint="eastAsia" w:ascii="宋体" w:hAnsi="宋体" w:cs="宋体"/>
          <w:color w:val="000000" w:themeColor="text1"/>
          <w:sz w:val="24"/>
          <w:highlight w:val="none"/>
          <w14:textFill>
            <w14:solidFill>
              <w14:schemeClr w14:val="tx1"/>
            </w14:solidFill>
          </w14:textFill>
        </w:rPr>
        <w:t>。</w:t>
      </w:r>
    </w:p>
    <w:p w14:paraId="226F9CC4">
      <w:pPr>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3.在此，我方宣布同意如下：</w:t>
      </w:r>
    </w:p>
    <w:p w14:paraId="630EACEC">
      <w:pPr>
        <w:spacing w:line="360" w:lineRule="auto"/>
        <w:ind w:firstLine="480" w:firstLineChars="200"/>
        <w:contextualSpacing/>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（1）将按磋商文件的约定履行合同责任和义务</w:t>
      </w:r>
      <w:r>
        <w:rPr>
          <w:rFonts w:hint="eastAsia" w:ascii="宋体" w:hAnsi="宋体" w:cs="宋体"/>
          <w:color w:val="000000" w:themeColor="text1"/>
          <w:sz w:val="24"/>
          <w:highlight w:val="none"/>
          <w:lang w:eastAsia="zh-CN"/>
          <w14:textFill>
            <w14:solidFill>
              <w14:schemeClr w14:val="tx1"/>
            </w14:solidFill>
          </w14:textFill>
        </w:rPr>
        <w:t>；</w:t>
      </w:r>
    </w:p>
    <w:p w14:paraId="31964984">
      <w:pPr>
        <w:spacing w:line="360" w:lineRule="auto"/>
        <w:ind w:firstLine="480" w:firstLineChars="200"/>
        <w:contextualSpacing/>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（2）已详细审查全部磋商文件，包括澄清或者更正公告（如有）</w:t>
      </w:r>
      <w:r>
        <w:rPr>
          <w:rFonts w:hint="eastAsia" w:ascii="宋体" w:hAnsi="宋体" w:cs="宋体"/>
          <w:color w:val="000000" w:themeColor="text1"/>
          <w:sz w:val="24"/>
          <w:highlight w:val="none"/>
          <w:lang w:eastAsia="zh-CN"/>
          <w14:textFill>
            <w14:solidFill>
              <w14:schemeClr w14:val="tx1"/>
            </w14:solidFill>
          </w14:textFill>
        </w:rPr>
        <w:t>；</w:t>
      </w:r>
    </w:p>
    <w:p w14:paraId="32286B05">
      <w:pPr>
        <w:spacing w:line="360" w:lineRule="auto"/>
        <w:ind w:firstLine="480" w:firstLineChars="200"/>
        <w:contextualSpacing/>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（3）同意提供按照贵方可能要求的与磋商有关的一切数据或者资料</w:t>
      </w:r>
      <w:r>
        <w:rPr>
          <w:rFonts w:hint="eastAsia" w:ascii="宋体" w:hAnsi="宋体" w:cs="宋体"/>
          <w:color w:val="000000" w:themeColor="text1"/>
          <w:sz w:val="24"/>
          <w:highlight w:val="none"/>
          <w:lang w:eastAsia="zh-CN"/>
          <w14:textFill>
            <w14:solidFill>
              <w14:schemeClr w14:val="tx1"/>
            </w14:solidFill>
          </w14:textFill>
        </w:rPr>
        <w:t>；</w:t>
      </w:r>
    </w:p>
    <w:p w14:paraId="32BF8C69">
      <w:pPr>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（4）响应磋商文件规定的竞标有效期。</w:t>
      </w:r>
    </w:p>
    <w:p w14:paraId="5382F75F">
      <w:pPr>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4.我方承诺符合《中华人民共和国政府采购法》第二十二条规定：</w:t>
      </w:r>
    </w:p>
    <w:p w14:paraId="6062619B">
      <w:pPr>
        <w:spacing w:line="360" w:lineRule="auto"/>
        <w:ind w:firstLine="480" w:firstLineChars="200"/>
        <w:contextualSpacing/>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（1）具有独立承担民事责任的能力</w:t>
      </w:r>
      <w:r>
        <w:rPr>
          <w:rFonts w:hint="eastAsia" w:ascii="宋体" w:hAnsi="宋体" w:cs="宋体"/>
          <w:color w:val="000000" w:themeColor="text1"/>
          <w:sz w:val="24"/>
          <w:highlight w:val="none"/>
          <w:lang w:eastAsia="zh-CN"/>
          <w14:textFill>
            <w14:solidFill>
              <w14:schemeClr w14:val="tx1"/>
            </w14:solidFill>
          </w14:textFill>
        </w:rPr>
        <w:t>；</w:t>
      </w:r>
    </w:p>
    <w:p w14:paraId="5B7C1E48">
      <w:pPr>
        <w:spacing w:line="360" w:lineRule="auto"/>
        <w:ind w:firstLine="480" w:firstLineChars="200"/>
        <w:contextualSpacing/>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（2）具有良好的商业信誉和健全的财务会计制度</w:t>
      </w:r>
      <w:r>
        <w:rPr>
          <w:rFonts w:hint="eastAsia" w:ascii="宋体" w:hAnsi="宋体" w:cs="宋体"/>
          <w:color w:val="000000" w:themeColor="text1"/>
          <w:sz w:val="24"/>
          <w:highlight w:val="none"/>
          <w:lang w:eastAsia="zh-CN"/>
          <w14:textFill>
            <w14:solidFill>
              <w14:schemeClr w14:val="tx1"/>
            </w14:solidFill>
          </w14:textFill>
        </w:rPr>
        <w:t>；</w:t>
      </w:r>
    </w:p>
    <w:p w14:paraId="26B9DD6E">
      <w:pPr>
        <w:spacing w:line="360" w:lineRule="auto"/>
        <w:ind w:firstLine="480" w:firstLineChars="200"/>
        <w:contextualSpacing/>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（3）具有履行合同所必需的设备和专业技术能力</w:t>
      </w:r>
      <w:r>
        <w:rPr>
          <w:rFonts w:hint="eastAsia" w:ascii="宋体" w:hAnsi="宋体" w:cs="宋体"/>
          <w:color w:val="000000" w:themeColor="text1"/>
          <w:sz w:val="24"/>
          <w:highlight w:val="none"/>
          <w:lang w:eastAsia="zh-CN"/>
          <w14:textFill>
            <w14:solidFill>
              <w14:schemeClr w14:val="tx1"/>
            </w14:solidFill>
          </w14:textFill>
        </w:rPr>
        <w:t>；</w:t>
      </w:r>
    </w:p>
    <w:p w14:paraId="44183D0C">
      <w:pPr>
        <w:spacing w:line="360" w:lineRule="auto"/>
        <w:ind w:firstLine="480" w:firstLineChars="200"/>
        <w:contextualSpacing/>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（4）有依法缴纳税收和社会保障资金的良好记录</w:t>
      </w:r>
      <w:r>
        <w:rPr>
          <w:rFonts w:hint="eastAsia" w:ascii="宋体" w:hAnsi="宋体" w:cs="宋体"/>
          <w:color w:val="000000" w:themeColor="text1"/>
          <w:sz w:val="24"/>
          <w:highlight w:val="none"/>
          <w:lang w:eastAsia="zh-CN"/>
          <w14:textFill>
            <w14:solidFill>
              <w14:schemeClr w14:val="tx1"/>
            </w14:solidFill>
          </w14:textFill>
        </w:rPr>
        <w:t>；</w:t>
      </w:r>
    </w:p>
    <w:p w14:paraId="362CE868">
      <w:pPr>
        <w:spacing w:line="360" w:lineRule="auto"/>
        <w:ind w:firstLine="480" w:firstLineChars="200"/>
        <w:contextualSpacing/>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（5）参加政府采购活动前三年内，在经营活动中没有重大违法记录</w:t>
      </w:r>
      <w:r>
        <w:rPr>
          <w:rFonts w:hint="eastAsia" w:ascii="宋体" w:hAnsi="宋体" w:cs="宋体"/>
          <w:color w:val="000000" w:themeColor="text1"/>
          <w:sz w:val="24"/>
          <w:highlight w:val="none"/>
          <w:lang w:eastAsia="zh-CN"/>
          <w14:textFill>
            <w14:solidFill>
              <w14:schemeClr w14:val="tx1"/>
            </w14:solidFill>
          </w14:textFill>
        </w:rPr>
        <w:t>；</w:t>
      </w:r>
    </w:p>
    <w:p w14:paraId="2FA7A0A2">
      <w:pPr>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（6）法律、行政法规规定的其他条件。</w:t>
      </w:r>
    </w:p>
    <w:p w14:paraId="11B57C05">
      <w:pPr>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6F9CB69B">
      <w:pPr>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488A8F40">
      <w:pPr>
        <w:spacing w:line="360" w:lineRule="auto"/>
        <w:ind w:firstLine="480" w:firstLineChars="200"/>
        <w:contextualSpacing/>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□我方本次响应文件</w:t>
      </w:r>
      <w:r>
        <w:rPr>
          <w:rFonts w:hint="eastAsia" w:ascii="宋体" w:hAnsi="宋体" w:cs="宋体"/>
          <w:color w:val="000000" w:themeColor="text1"/>
          <w:kern w:val="0"/>
          <w:sz w:val="24"/>
          <w:highlight w:val="none"/>
          <w14:textFill>
            <w14:solidFill>
              <w14:schemeClr w14:val="tx1"/>
            </w14:solidFill>
          </w14:textFill>
        </w:rPr>
        <w:t>内容中</w:t>
      </w:r>
      <w:r>
        <w:rPr>
          <w:rFonts w:hint="eastAsia" w:ascii="宋体" w:hAnsi="宋体" w:cs="宋体"/>
          <w:color w:val="000000" w:themeColor="text1"/>
          <w:sz w:val="24"/>
          <w:highlight w:val="none"/>
          <w14:textFill>
            <w14:solidFill>
              <w14:schemeClr w14:val="tx1"/>
            </w14:solidFill>
          </w14:textFill>
        </w:rPr>
        <w:t>未</w:t>
      </w:r>
      <w:r>
        <w:rPr>
          <w:rFonts w:hint="eastAsia" w:ascii="宋体" w:hAnsi="宋体" w:cs="宋体"/>
          <w:color w:val="000000" w:themeColor="text1"/>
          <w:kern w:val="0"/>
          <w:sz w:val="24"/>
          <w:highlight w:val="none"/>
          <w14:textFill>
            <w14:solidFill>
              <w14:schemeClr w14:val="tx1"/>
            </w14:solidFill>
          </w14:textFill>
        </w:rPr>
        <w:t>涉及商业秘密</w:t>
      </w:r>
      <w:r>
        <w:rPr>
          <w:rFonts w:hint="eastAsia" w:ascii="宋体" w:hAnsi="宋体" w:cs="宋体"/>
          <w:color w:val="000000" w:themeColor="text1"/>
          <w:kern w:val="0"/>
          <w:sz w:val="24"/>
          <w:highlight w:val="none"/>
          <w:lang w:eastAsia="zh-CN"/>
          <w14:textFill>
            <w14:solidFill>
              <w14:schemeClr w14:val="tx1"/>
            </w14:solidFill>
          </w14:textFill>
        </w:rPr>
        <w:t>；</w:t>
      </w:r>
    </w:p>
    <w:p w14:paraId="54D1D9BC">
      <w:pPr>
        <w:spacing w:line="360" w:lineRule="auto"/>
        <w:ind w:firstLine="480" w:firstLineChars="200"/>
        <w:contextualSpacing/>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□我方本次响应文件</w:t>
      </w:r>
      <w:r>
        <w:rPr>
          <w:rFonts w:hint="eastAsia" w:ascii="宋体" w:hAnsi="宋体" w:cs="宋体"/>
          <w:color w:val="000000" w:themeColor="text1"/>
          <w:kern w:val="0"/>
          <w:sz w:val="24"/>
          <w:highlight w:val="none"/>
          <w14:textFill>
            <w14:solidFill>
              <w14:schemeClr w14:val="tx1"/>
            </w14:solidFill>
          </w14:textFill>
        </w:rPr>
        <w:t>涉及商业秘密的内容有：</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lang w:eastAsia="zh-CN"/>
          <w14:textFill>
            <w14:solidFill>
              <w14:schemeClr w14:val="tx1"/>
            </w14:solidFill>
          </w14:textFill>
        </w:rPr>
        <w:t>；</w:t>
      </w:r>
    </w:p>
    <w:p w14:paraId="15E93032">
      <w:pPr>
        <w:pStyle w:val="25"/>
        <w:spacing w:line="360" w:lineRule="auto"/>
        <w:ind w:firstLine="480" w:firstLineChars="200"/>
        <w:contextualSpacing/>
        <w:rPr>
          <w:rFonts w:hAnsi="宋体" w:cs="宋体"/>
          <w:color w:val="000000" w:themeColor="text1"/>
          <w:sz w:val="24"/>
          <w:szCs w:val="24"/>
          <w:highlight w:val="none"/>
          <w:u w:val="singl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7.与本磋商有关的一切正式往来信函请寄：</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邮政编号：</w:t>
      </w:r>
      <w:r>
        <w:rPr>
          <w:rFonts w:hint="eastAsia" w:hAnsi="宋体" w:cs="宋体"/>
          <w:color w:val="000000" w:themeColor="text1"/>
          <w:sz w:val="24"/>
          <w:szCs w:val="24"/>
          <w:highlight w:val="none"/>
          <w:u w:val="single"/>
          <w14:textFill>
            <w14:solidFill>
              <w14:schemeClr w14:val="tx1"/>
            </w14:solidFill>
          </w14:textFill>
        </w:rPr>
        <w:t xml:space="preserve">        </w:t>
      </w:r>
    </w:p>
    <w:p w14:paraId="26C92C7D">
      <w:pPr>
        <w:pStyle w:val="25"/>
        <w:spacing w:line="360" w:lineRule="auto"/>
        <w:ind w:firstLine="480" w:firstLineChars="200"/>
        <w:contextualSpacing/>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电话/传真：</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 xml:space="preserve"> 电子邮箱：</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 xml:space="preserve">    </w:t>
      </w:r>
    </w:p>
    <w:p w14:paraId="294A740E">
      <w:pPr>
        <w:pStyle w:val="21"/>
        <w:tabs>
          <w:tab w:val="left" w:pos="939"/>
        </w:tabs>
        <w:spacing w:line="360" w:lineRule="auto"/>
        <w:ind w:left="141" w:leftChars="67" w:firstLine="360" w:firstLineChars="1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开户银行：</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账号：</w:t>
      </w:r>
      <w:r>
        <w:rPr>
          <w:rFonts w:hint="eastAsia" w:ascii="宋体" w:hAnsi="宋体" w:cs="宋体"/>
          <w:color w:val="000000" w:themeColor="text1"/>
          <w:sz w:val="24"/>
          <w:highlight w:val="none"/>
          <w:u w:val="single"/>
          <w14:textFill>
            <w14:solidFill>
              <w14:schemeClr w14:val="tx1"/>
            </w14:solidFill>
          </w14:textFill>
        </w:rPr>
        <w:t xml:space="preserve">                               </w:t>
      </w:r>
    </w:p>
    <w:p w14:paraId="6883839B">
      <w:pPr>
        <w:pStyle w:val="21"/>
        <w:tabs>
          <w:tab w:val="left" w:pos="939"/>
        </w:tabs>
        <w:spacing w:line="360" w:lineRule="auto"/>
        <w:ind w:left="0" w:leftChars="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8.以上事项如有虚假或者隐瞒，我方愿意承担一切后果，并不再寻求任何旨在减轻或者免除法律责任的辩解。</w:t>
      </w:r>
    </w:p>
    <w:p w14:paraId="425AA991">
      <w:pPr>
        <w:pStyle w:val="21"/>
        <w:tabs>
          <w:tab w:val="left" w:pos="939"/>
        </w:tabs>
        <w:spacing w:line="360" w:lineRule="auto"/>
        <w:ind w:left="141" w:leftChars="67" w:firstLine="360" w:firstLineChars="1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特此承诺。</w:t>
      </w:r>
    </w:p>
    <w:p w14:paraId="5A5F0307">
      <w:pPr>
        <w:spacing w:line="360" w:lineRule="auto"/>
        <w:ind w:firstLine="482" w:firstLineChars="200"/>
        <w:contextualSpacing/>
        <w:jc w:val="left"/>
        <w:rPr>
          <w:rFonts w:ascii="宋体" w:hAnsi="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注：</w:t>
      </w:r>
      <w:r>
        <w:rPr>
          <w:rFonts w:hint="eastAsia" w:ascii="宋体" w:hAnsi="宋体"/>
          <w:b/>
          <w:color w:val="000000" w:themeColor="text1"/>
          <w:sz w:val="24"/>
          <w:highlight w:val="none"/>
          <w14:textFill>
            <w14:solidFill>
              <w14:schemeClr w14:val="tx1"/>
            </w14:solidFill>
          </w14:textFill>
        </w:rPr>
        <w:t>如为联合体竞标，盖章处须加盖联合体牵头人电子签章并由联合体牵头人法定代表人签字或者盖章或者电子签名，否则响应文件按无效处理。</w:t>
      </w:r>
    </w:p>
    <w:p w14:paraId="4E4456D3">
      <w:pPr>
        <w:spacing w:line="360" w:lineRule="auto"/>
        <w:contextualSpacing/>
        <w:jc w:val="left"/>
        <w:rPr>
          <w:rFonts w:ascii="宋体" w:hAnsi="宋体" w:cs="宋体"/>
          <w:color w:val="000000" w:themeColor="text1"/>
          <w:sz w:val="24"/>
          <w:highlight w:val="none"/>
          <w14:textFill>
            <w14:solidFill>
              <w14:schemeClr w14:val="tx1"/>
            </w14:solidFill>
          </w14:textFill>
        </w:rPr>
      </w:pPr>
    </w:p>
    <w:p w14:paraId="61EBA48E">
      <w:pPr>
        <w:spacing w:line="360" w:lineRule="auto"/>
        <w:ind w:firstLine="1800" w:firstLineChars="750"/>
        <w:contextualSpacing/>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法定代表人（</w:t>
      </w:r>
      <w:r>
        <w:rPr>
          <w:rFonts w:hint="eastAsia" w:ascii="宋体" w:hAnsi="宋体"/>
          <w:color w:val="000000" w:themeColor="text1"/>
          <w:sz w:val="24"/>
          <w:highlight w:val="none"/>
          <w14:textFill>
            <w14:solidFill>
              <w14:schemeClr w14:val="tx1"/>
            </w14:solidFill>
          </w14:textFill>
        </w:rPr>
        <w:t>签字或者盖章或者电子签名</w:t>
      </w:r>
      <w:r>
        <w:rPr>
          <w:rFonts w:hint="eastAsia"/>
          <w:color w:val="000000" w:themeColor="text1"/>
          <w:sz w:val="24"/>
          <w:highlight w:val="none"/>
          <w14:textFill>
            <w14:solidFill>
              <w14:schemeClr w14:val="tx1"/>
            </w14:solidFill>
          </w14:textFill>
        </w:rPr>
        <w:t>）：</w:t>
      </w:r>
      <w:r>
        <w:rPr>
          <w:rFonts w:hint="eastAsia"/>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 xml:space="preserve">                                     </w:t>
      </w:r>
    </w:p>
    <w:p w14:paraId="356D8EA9">
      <w:pPr>
        <w:spacing w:line="360" w:lineRule="auto"/>
        <w:ind w:firstLine="4320" w:firstLineChars="1800"/>
        <w:contextualSpacing/>
        <w:rPr>
          <w:rFonts w:ascii="宋体" w:hAnsi="宋体" w:cs="宋体"/>
          <w:color w:val="000000" w:themeColor="text1"/>
          <w:sz w:val="24"/>
          <w:highlight w:val="none"/>
          <w:u w:val="single"/>
          <w14:textFill>
            <w14:solidFill>
              <w14:schemeClr w14:val="tx1"/>
            </w14:solidFill>
          </w14:textFill>
        </w:rPr>
      </w:pPr>
      <w:r>
        <w:rPr>
          <w:rFonts w:hint="eastAsia"/>
          <w:color w:val="000000" w:themeColor="text1"/>
          <w:sz w:val="24"/>
          <w:highlight w:val="none"/>
          <w14:textFill>
            <w14:solidFill>
              <w14:schemeClr w14:val="tx1"/>
            </w14:solidFill>
          </w14:textFill>
        </w:rPr>
        <w:t>供应商（电子签章）：</w:t>
      </w:r>
      <w:r>
        <w:rPr>
          <w:rFonts w:hint="eastAsia"/>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p>
    <w:p w14:paraId="47463234">
      <w:pPr>
        <w:pStyle w:val="21"/>
        <w:tabs>
          <w:tab w:val="left" w:pos="939"/>
        </w:tabs>
        <w:spacing w:line="360" w:lineRule="auto"/>
        <w:ind w:left="0" w:leftChars="0" w:firstLine="480" w:firstLineChars="200"/>
        <w:rPr>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年    月    日</w:t>
      </w:r>
    </w:p>
    <w:p w14:paraId="783F4E70">
      <w:pPr>
        <w:spacing w:line="360" w:lineRule="auto"/>
        <w:ind w:right="420"/>
        <w:contextualSpacing/>
        <w:jc w:val="left"/>
        <w:rPr>
          <w:rFonts w:ascii="宋体" w:hAnsi="宋体"/>
          <w:b/>
          <w:color w:val="000000" w:themeColor="text1"/>
          <w:sz w:val="32"/>
          <w:szCs w:val="32"/>
          <w:highlight w:val="none"/>
          <w14:textFill>
            <w14:solidFill>
              <w14:schemeClr w14:val="tx1"/>
            </w14:solidFill>
          </w14:textFill>
        </w:rPr>
      </w:pPr>
      <w:r>
        <w:rPr>
          <w:rFonts w:hint="eastAsia"/>
          <w:color w:val="000000" w:themeColor="text1"/>
          <w:sz w:val="24"/>
          <w:highlight w:val="none"/>
          <w14:textFill>
            <w14:solidFill>
              <w14:schemeClr w14:val="tx1"/>
            </w14:solidFill>
          </w14:textFill>
        </w:rPr>
        <w:br w:type="page"/>
      </w:r>
      <w:r>
        <w:rPr>
          <w:rFonts w:hint="eastAsia" w:ascii="宋体" w:hAnsi="宋体"/>
          <w:b/>
          <w:bCs/>
          <w:color w:val="000000" w:themeColor="text1"/>
          <w:sz w:val="32"/>
          <w:szCs w:val="32"/>
          <w:highlight w:val="none"/>
          <w14:textFill>
            <w14:solidFill>
              <w14:schemeClr w14:val="tx1"/>
            </w14:solidFill>
          </w14:textFill>
        </w:rPr>
        <w:t>二、</w:t>
      </w:r>
      <w:r>
        <w:rPr>
          <w:rFonts w:hint="eastAsia" w:ascii="宋体" w:hAnsi="宋体"/>
          <w:b/>
          <w:color w:val="000000" w:themeColor="text1"/>
          <w:sz w:val="32"/>
          <w:szCs w:val="32"/>
          <w:highlight w:val="none"/>
          <w14:textFill>
            <w14:solidFill>
              <w14:schemeClr w14:val="tx1"/>
            </w14:solidFill>
          </w14:textFill>
        </w:rPr>
        <w:t xml:space="preserve">报价文件格式 </w:t>
      </w:r>
    </w:p>
    <w:p w14:paraId="6C72892D">
      <w:pPr>
        <w:snapToGrid w:val="0"/>
        <w:spacing w:beforeLines="50" w:after="50" w:line="360" w:lineRule="auto"/>
        <w:jc w:val="left"/>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1.报价文件封面格式</w:t>
      </w:r>
    </w:p>
    <w:p w14:paraId="292DE92D">
      <w:pPr>
        <w:snapToGrid w:val="0"/>
        <w:spacing w:beforeLines="50" w:after="50"/>
        <w:rPr>
          <w:rFonts w:ascii="宋体" w:hAnsi="宋体"/>
          <w:bCs/>
          <w:color w:val="000000" w:themeColor="text1"/>
          <w:sz w:val="32"/>
          <w:szCs w:val="20"/>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14:paraId="5A3935A9">
      <w:pPr>
        <w:snapToGrid w:val="0"/>
        <w:spacing w:beforeLines="50" w:after="5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44"/>
          <w:szCs w:val="44"/>
          <w:highlight w:val="none"/>
          <w14:textFill>
            <w14:solidFill>
              <w14:schemeClr w14:val="tx1"/>
            </w14:solidFill>
          </w14:textFill>
        </w:rPr>
        <w:t>电 子 响 应 文 件</w:t>
      </w:r>
    </w:p>
    <w:p w14:paraId="444AEDD1">
      <w:pPr>
        <w:snapToGrid w:val="0"/>
        <w:spacing w:beforeLines="50" w:after="50"/>
        <w:rPr>
          <w:rFonts w:ascii="宋体" w:hAnsi="宋体"/>
          <w:color w:val="000000" w:themeColor="text1"/>
          <w:sz w:val="24"/>
          <w:szCs w:val="20"/>
          <w:highlight w:val="none"/>
          <w14:textFill>
            <w14:solidFill>
              <w14:schemeClr w14:val="tx1"/>
            </w14:solidFill>
          </w14:textFill>
        </w:rPr>
      </w:pPr>
    </w:p>
    <w:p w14:paraId="6BF095EF">
      <w:pPr>
        <w:snapToGrid w:val="0"/>
        <w:spacing w:beforeLines="50" w:after="50"/>
        <w:rPr>
          <w:rFonts w:ascii="宋体" w:hAnsi="宋体"/>
          <w:color w:val="000000" w:themeColor="text1"/>
          <w:sz w:val="24"/>
          <w:szCs w:val="20"/>
          <w:highlight w:val="none"/>
          <w14:textFill>
            <w14:solidFill>
              <w14:schemeClr w14:val="tx1"/>
            </w14:solidFill>
          </w14:textFill>
        </w:rPr>
      </w:pPr>
    </w:p>
    <w:p w14:paraId="1129D702">
      <w:pPr>
        <w:snapToGrid w:val="0"/>
        <w:spacing w:beforeLines="50" w:after="50"/>
        <w:jc w:val="center"/>
        <w:rPr>
          <w:rFonts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报  价  文  件</w:t>
      </w:r>
    </w:p>
    <w:p w14:paraId="04D468B0">
      <w:pPr>
        <w:snapToGrid w:val="0"/>
        <w:spacing w:beforeLines="50" w:after="50"/>
        <w:rPr>
          <w:rFonts w:ascii="宋体" w:hAnsi="宋体"/>
          <w:bCs/>
          <w:color w:val="000000" w:themeColor="text1"/>
          <w:sz w:val="24"/>
          <w:szCs w:val="20"/>
          <w:highlight w:val="none"/>
          <w14:textFill>
            <w14:solidFill>
              <w14:schemeClr w14:val="tx1"/>
            </w14:solidFill>
          </w14:textFill>
        </w:rPr>
      </w:pPr>
    </w:p>
    <w:p w14:paraId="4B25335A">
      <w:pPr>
        <w:snapToGrid w:val="0"/>
        <w:spacing w:beforeLines="50" w:after="50"/>
        <w:rPr>
          <w:rFonts w:ascii="宋体" w:hAnsi="宋体"/>
          <w:bCs/>
          <w:color w:val="000000" w:themeColor="text1"/>
          <w:sz w:val="24"/>
          <w:szCs w:val="20"/>
          <w:highlight w:val="none"/>
          <w14:textFill>
            <w14:solidFill>
              <w14:schemeClr w14:val="tx1"/>
            </w14:solidFill>
          </w14:textFill>
        </w:rPr>
      </w:pPr>
    </w:p>
    <w:p w14:paraId="303CD352">
      <w:pPr>
        <w:snapToGrid w:val="0"/>
        <w:spacing w:beforeLines="50" w:after="50"/>
        <w:rPr>
          <w:rFonts w:ascii="宋体" w:hAnsi="宋体"/>
          <w:bCs/>
          <w:color w:val="000000" w:themeColor="text1"/>
          <w:sz w:val="24"/>
          <w:szCs w:val="20"/>
          <w:highlight w:val="none"/>
          <w14:textFill>
            <w14:solidFill>
              <w14:schemeClr w14:val="tx1"/>
            </w14:solidFill>
          </w14:textFill>
        </w:rPr>
      </w:pPr>
    </w:p>
    <w:p w14:paraId="4E08136B">
      <w:pPr>
        <w:snapToGrid w:val="0"/>
        <w:spacing w:beforeLines="50" w:after="50"/>
        <w:rPr>
          <w:rFonts w:ascii="宋体" w:hAnsi="宋体"/>
          <w:bCs/>
          <w:color w:val="000000" w:themeColor="text1"/>
          <w:sz w:val="24"/>
          <w:szCs w:val="20"/>
          <w:highlight w:val="none"/>
          <w14:textFill>
            <w14:solidFill>
              <w14:schemeClr w14:val="tx1"/>
            </w14:solidFill>
          </w14:textFill>
        </w:rPr>
      </w:pPr>
    </w:p>
    <w:p w14:paraId="4947E242">
      <w:pPr>
        <w:snapToGrid w:val="0"/>
        <w:spacing w:beforeLines="50" w:after="50"/>
        <w:rPr>
          <w:rFonts w:ascii="宋体" w:hAnsi="宋体"/>
          <w:bCs/>
          <w:color w:val="000000" w:themeColor="text1"/>
          <w:sz w:val="24"/>
          <w:szCs w:val="20"/>
          <w:highlight w:val="none"/>
          <w14:textFill>
            <w14:solidFill>
              <w14:schemeClr w14:val="tx1"/>
            </w14:solidFill>
          </w14:textFill>
        </w:rPr>
      </w:pPr>
    </w:p>
    <w:p w14:paraId="7BE0FC7D">
      <w:pPr>
        <w:snapToGrid w:val="0"/>
        <w:spacing w:beforeLines="50" w:after="50"/>
        <w:ind w:firstLine="640" w:firstLineChars="200"/>
        <w:rPr>
          <w:rFonts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项目名称：</w:t>
      </w:r>
    </w:p>
    <w:p w14:paraId="7E7D17C7">
      <w:pPr>
        <w:snapToGrid w:val="0"/>
        <w:spacing w:beforeLines="50" w:after="50"/>
        <w:ind w:firstLine="720" w:firstLineChars="225"/>
        <w:rPr>
          <w:rFonts w:ascii="宋体" w:hAnsi="宋体" w:cs="仿宋_GB2312"/>
          <w:bCs/>
          <w:color w:val="000000" w:themeColor="text1"/>
          <w:sz w:val="32"/>
          <w:szCs w:val="32"/>
          <w:highlight w:val="none"/>
          <w14:textFill>
            <w14:solidFill>
              <w14:schemeClr w14:val="tx1"/>
            </w14:solidFill>
          </w14:textFill>
        </w:rPr>
      </w:pPr>
    </w:p>
    <w:p w14:paraId="0BEF39B0">
      <w:pPr>
        <w:snapToGrid w:val="0"/>
        <w:spacing w:beforeLines="50" w:after="50"/>
        <w:ind w:firstLine="640" w:firstLineChars="200"/>
        <w:rPr>
          <w:rFonts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项目编号：</w:t>
      </w:r>
    </w:p>
    <w:p w14:paraId="63D4ACED">
      <w:pPr>
        <w:snapToGrid w:val="0"/>
        <w:spacing w:beforeLines="50" w:after="50"/>
        <w:ind w:firstLine="720" w:firstLineChars="225"/>
        <w:rPr>
          <w:rFonts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 xml:space="preserve"> </w:t>
      </w:r>
    </w:p>
    <w:p w14:paraId="106380AD">
      <w:pPr>
        <w:snapToGrid w:val="0"/>
        <w:spacing w:beforeLines="50" w:after="50"/>
        <w:ind w:firstLine="640" w:firstLineChars="200"/>
        <w:rPr>
          <w:rFonts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所竞分标（如有则填写，无分标时填写“无”或者留空）：</w:t>
      </w:r>
    </w:p>
    <w:p w14:paraId="6A895362">
      <w:pPr>
        <w:snapToGrid w:val="0"/>
        <w:spacing w:beforeLines="50" w:after="50"/>
        <w:ind w:firstLine="720" w:firstLineChars="225"/>
        <w:rPr>
          <w:rFonts w:ascii="宋体" w:hAnsi="宋体" w:cs="仿宋_GB2312"/>
          <w:bCs/>
          <w:color w:val="000000" w:themeColor="text1"/>
          <w:sz w:val="32"/>
          <w:szCs w:val="32"/>
          <w:highlight w:val="none"/>
          <w14:textFill>
            <w14:solidFill>
              <w14:schemeClr w14:val="tx1"/>
            </w14:solidFill>
          </w14:textFill>
        </w:rPr>
      </w:pPr>
    </w:p>
    <w:p w14:paraId="30E2E064">
      <w:pPr>
        <w:pStyle w:val="7"/>
        <w:snapToGrid w:val="0"/>
        <w:spacing w:before="50" w:after="50"/>
        <w:ind w:firstLine="640" w:firstLineChars="200"/>
        <w:rPr>
          <w:rFonts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供应商名称：</w:t>
      </w:r>
    </w:p>
    <w:p w14:paraId="6836E064">
      <w:pPr>
        <w:pStyle w:val="7"/>
        <w:snapToGrid w:val="0"/>
        <w:spacing w:before="50" w:after="50"/>
        <w:ind w:firstLine="640" w:firstLineChars="200"/>
        <w:rPr>
          <w:rFonts w:ascii="宋体" w:hAnsi="宋体" w:cs="仿宋_GB2312"/>
          <w:bCs/>
          <w:color w:val="000000" w:themeColor="text1"/>
          <w:sz w:val="32"/>
          <w:szCs w:val="32"/>
          <w:highlight w:val="none"/>
          <w14:textFill>
            <w14:solidFill>
              <w14:schemeClr w14:val="tx1"/>
            </w14:solidFill>
          </w14:textFill>
        </w:rPr>
      </w:pPr>
    </w:p>
    <w:p w14:paraId="77A9AD8B">
      <w:pPr>
        <w:pStyle w:val="7"/>
        <w:snapToGrid w:val="0"/>
        <w:spacing w:before="50" w:after="50"/>
        <w:ind w:firstLine="720" w:firstLineChars="225"/>
        <w:rPr>
          <w:rFonts w:ascii="宋体" w:hAnsi="宋体" w:cs="仿宋_GB2312"/>
          <w:bCs/>
          <w:color w:val="000000" w:themeColor="text1"/>
          <w:sz w:val="32"/>
          <w:szCs w:val="32"/>
          <w:highlight w:val="none"/>
          <w14:textFill>
            <w14:solidFill>
              <w14:schemeClr w14:val="tx1"/>
            </w14:solidFill>
          </w14:textFill>
        </w:rPr>
      </w:pPr>
    </w:p>
    <w:p w14:paraId="3C2489A6">
      <w:pPr>
        <w:pStyle w:val="7"/>
        <w:snapToGrid w:val="0"/>
        <w:spacing w:before="50" w:after="50"/>
        <w:ind w:firstLine="0"/>
        <w:rPr>
          <w:rFonts w:ascii="宋体" w:hAnsi="宋体" w:cs="仿宋_GB2312"/>
          <w:bCs/>
          <w:color w:val="000000" w:themeColor="text1"/>
          <w:sz w:val="32"/>
          <w:szCs w:val="32"/>
          <w:highlight w:val="none"/>
          <w14:textFill>
            <w14:solidFill>
              <w14:schemeClr w14:val="tx1"/>
            </w14:solidFill>
          </w14:textFill>
        </w:rPr>
      </w:pPr>
    </w:p>
    <w:p w14:paraId="4D378885">
      <w:pPr>
        <w:pStyle w:val="7"/>
        <w:snapToGrid w:val="0"/>
        <w:spacing w:before="50" w:after="50"/>
        <w:ind w:firstLine="1280" w:firstLineChars="400"/>
        <w:rPr>
          <w:rFonts w:ascii="宋体" w:hAnsi="宋体" w:cs="仿宋_GB2312"/>
          <w:bCs/>
          <w:color w:val="000000" w:themeColor="text1"/>
          <w:sz w:val="32"/>
          <w:szCs w:val="32"/>
          <w:highlight w:val="none"/>
          <w14:textFill>
            <w14:solidFill>
              <w14:schemeClr w14:val="tx1"/>
            </w14:solidFill>
          </w14:textFill>
        </w:rPr>
      </w:pPr>
    </w:p>
    <w:p w14:paraId="1D23442C">
      <w:pPr>
        <w:snapToGrid w:val="0"/>
        <w:spacing w:beforeLines="50" w:after="50"/>
        <w:jc w:val="center"/>
        <w:rPr>
          <w:rFonts w:ascii="宋体" w:hAnsi="宋体" w:cs="仿宋_GB2312"/>
          <w:color w:val="000000" w:themeColor="text1"/>
          <w:sz w:val="32"/>
          <w:szCs w:val="32"/>
          <w:highlight w:val="none"/>
          <w14:textFill>
            <w14:solidFill>
              <w14:schemeClr w14:val="tx1"/>
            </w14:solidFill>
          </w14:textFill>
        </w:rPr>
      </w:pPr>
      <w:r>
        <w:rPr>
          <w:rFonts w:hint="eastAsia" w:ascii="宋体" w:hAnsi="宋体" w:cs="仿宋_GB2312"/>
          <w:color w:val="000000" w:themeColor="text1"/>
          <w:sz w:val="32"/>
          <w:szCs w:val="32"/>
          <w:highlight w:val="none"/>
          <w14:textFill>
            <w14:solidFill>
              <w14:schemeClr w14:val="tx1"/>
            </w14:solidFill>
          </w14:textFill>
        </w:rPr>
        <w:t>年    月    日</w:t>
      </w:r>
    </w:p>
    <w:p w14:paraId="07AAAF31">
      <w:pPr>
        <w:snapToGrid w:val="0"/>
        <w:spacing w:beforeLines="50" w:after="50" w:line="360" w:lineRule="auto"/>
        <w:ind w:left="142"/>
        <w:jc w:val="left"/>
        <w:rPr>
          <w:rFonts w:ascii="宋体" w:hAnsi="宋体"/>
          <w:b/>
          <w:bCs/>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r>
        <w:rPr>
          <w:rFonts w:hint="eastAsia" w:ascii="宋体" w:hAnsi="宋体"/>
          <w:b/>
          <w:bCs/>
          <w:color w:val="000000" w:themeColor="text1"/>
          <w:sz w:val="32"/>
          <w:szCs w:val="32"/>
          <w:highlight w:val="none"/>
          <w14:textFill>
            <w14:solidFill>
              <w14:schemeClr w14:val="tx1"/>
            </w14:solidFill>
          </w14:textFill>
        </w:rPr>
        <w:t>2.报价文件目录</w:t>
      </w:r>
    </w:p>
    <w:p w14:paraId="33D72496">
      <w:pPr>
        <w:spacing w:line="520" w:lineRule="exact"/>
        <w:jc w:val="left"/>
        <w:rPr>
          <w:rFonts w:ascii="宋体" w:hAnsi="宋体"/>
          <w:color w:val="000000" w:themeColor="text1"/>
          <w:sz w:val="32"/>
          <w:szCs w:val="32"/>
          <w:highlight w:val="none"/>
          <w14:textFill>
            <w14:solidFill>
              <w14:schemeClr w14:val="tx1"/>
            </w14:solidFill>
          </w14:textFill>
        </w:rPr>
      </w:pPr>
      <w:r>
        <w:rPr>
          <w:rFonts w:hint="eastAsia" w:ascii="宋体" w:hAnsi="宋体"/>
          <w:color w:val="000000" w:themeColor="text1"/>
          <w:sz w:val="32"/>
          <w:szCs w:val="32"/>
          <w:highlight w:val="none"/>
          <w14:textFill>
            <w14:solidFill>
              <w14:schemeClr w14:val="tx1"/>
            </w14:solidFill>
          </w14:textFill>
        </w:rPr>
        <w:t>根据磋商文件规定及供应商提供的材料自行编写目录（部分格式后附）。</w:t>
      </w:r>
    </w:p>
    <w:p w14:paraId="09F05EDB">
      <w:pPr>
        <w:spacing w:line="520" w:lineRule="exact"/>
        <w:jc w:val="center"/>
        <w:rPr>
          <w:rFonts w:ascii="宋体" w:hAnsi="宋体" w:cs="方正小标宋简体"/>
          <w:b/>
          <w:bCs/>
          <w:color w:val="000000" w:themeColor="text1"/>
          <w:sz w:val="32"/>
          <w:szCs w:val="32"/>
          <w:highlight w:val="none"/>
          <w14:textFill>
            <w14:solidFill>
              <w14:schemeClr w14:val="tx1"/>
            </w14:solidFill>
          </w14:textFill>
        </w:rPr>
      </w:pPr>
      <w:r>
        <w:rPr>
          <w:rFonts w:ascii="宋体" w:hAnsi="宋体"/>
          <w:b/>
          <w:bCs/>
          <w:color w:val="000000" w:themeColor="text1"/>
          <w:sz w:val="32"/>
          <w:szCs w:val="32"/>
          <w:highlight w:val="none"/>
          <w14:textFill>
            <w14:solidFill>
              <w14:schemeClr w14:val="tx1"/>
            </w14:solidFill>
          </w14:textFill>
        </w:rPr>
        <w:br w:type="page"/>
      </w:r>
      <w:r>
        <w:rPr>
          <w:rFonts w:hint="eastAsia" w:ascii="宋体" w:hAnsi="宋体" w:cs="方正小标宋简体"/>
          <w:b/>
          <w:bCs/>
          <w:color w:val="000000" w:themeColor="text1"/>
          <w:sz w:val="32"/>
          <w:szCs w:val="32"/>
          <w:highlight w:val="none"/>
          <w14:textFill>
            <w14:solidFill>
              <w14:schemeClr w14:val="tx1"/>
            </w14:solidFill>
          </w14:textFill>
        </w:rPr>
        <w:t>竞标函及竞标函附录</w:t>
      </w:r>
    </w:p>
    <w:p w14:paraId="27ADA714">
      <w:pPr>
        <w:spacing w:line="520" w:lineRule="exact"/>
        <w:jc w:val="center"/>
        <w:rPr>
          <w:rFonts w:ascii="宋体" w:hAnsi="宋体" w:cs="方正小标宋简体"/>
          <w:b/>
          <w:bCs/>
          <w:color w:val="000000" w:themeColor="text1"/>
          <w:sz w:val="32"/>
          <w:szCs w:val="32"/>
          <w:highlight w:val="none"/>
          <w14:textFill>
            <w14:solidFill>
              <w14:schemeClr w14:val="tx1"/>
            </w14:solidFill>
          </w14:textFill>
        </w:rPr>
      </w:pPr>
    </w:p>
    <w:p w14:paraId="4142F147">
      <w:pPr>
        <w:spacing w:line="520" w:lineRule="exact"/>
        <w:jc w:val="center"/>
        <w:rPr>
          <w:rFonts w:ascii="宋体" w:hAnsi="宋体" w:cs="方正小标宋简体"/>
          <w:b/>
          <w:bCs/>
          <w:color w:val="000000" w:themeColor="text1"/>
          <w:sz w:val="32"/>
          <w:szCs w:val="32"/>
          <w:highlight w:val="none"/>
          <w14:textFill>
            <w14:solidFill>
              <w14:schemeClr w14:val="tx1"/>
            </w14:solidFill>
          </w14:textFill>
        </w:rPr>
      </w:pPr>
      <w:r>
        <w:rPr>
          <w:rFonts w:hint="eastAsia" w:ascii="宋体" w:hAnsi="宋体" w:cs="方正小标宋简体"/>
          <w:b/>
          <w:bCs/>
          <w:color w:val="000000" w:themeColor="text1"/>
          <w:sz w:val="32"/>
          <w:szCs w:val="32"/>
          <w:highlight w:val="none"/>
          <w14:textFill>
            <w14:solidFill>
              <w14:schemeClr w14:val="tx1"/>
            </w14:solidFill>
          </w14:textFill>
        </w:rPr>
        <w:t>（一）竞标函</w:t>
      </w:r>
    </w:p>
    <w:p w14:paraId="1EB404D9">
      <w:pPr>
        <w:spacing w:line="520" w:lineRule="exact"/>
        <w:jc w:val="center"/>
        <w:rPr>
          <w:rFonts w:ascii="宋体" w:hAnsi="宋体" w:cs="方正小标宋简体"/>
          <w:b/>
          <w:bCs/>
          <w:color w:val="000000" w:themeColor="text1"/>
          <w:sz w:val="32"/>
          <w:szCs w:val="32"/>
          <w:highlight w:val="none"/>
          <w14:textFill>
            <w14:solidFill>
              <w14:schemeClr w14:val="tx1"/>
            </w14:solidFill>
          </w14:textFill>
        </w:rPr>
      </w:pPr>
    </w:p>
    <w:p w14:paraId="07FE78A0">
      <w:pPr>
        <w:spacing w:line="360" w:lineRule="auto"/>
        <w:rPr>
          <w:color w:val="000000" w:themeColor="text1"/>
          <w:szCs w:val="21"/>
          <w:highlight w:val="none"/>
          <w14:textFill>
            <w14:solidFill>
              <w14:schemeClr w14:val="tx1"/>
            </w14:solidFill>
          </w14:textFill>
        </w:rPr>
      </w:pP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 xml:space="preserve">                 </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w:t>
      </w:r>
      <w:r>
        <w:rPr>
          <w:rFonts w:hint="eastAsia"/>
          <w:color w:val="000000" w:themeColor="text1"/>
          <w:szCs w:val="21"/>
          <w:highlight w:val="none"/>
          <w:lang w:val="zh-CN" w:bidi="zh-CN"/>
          <w14:textFill>
            <w14:solidFill>
              <w14:schemeClr w14:val="tx1"/>
            </w14:solidFill>
          </w14:textFill>
        </w:rPr>
        <w:t>采购人</w:t>
      </w:r>
      <w:r>
        <w:rPr>
          <w:color w:val="000000" w:themeColor="text1"/>
          <w:szCs w:val="21"/>
          <w:highlight w:val="none"/>
          <w:lang w:val="zh-CN" w:bidi="zh-CN"/>
          <w14:textFill>
            <w14:solidFill>
              <w14:schemeClr w14:val="tx1"/>
            </w14:solidFill>
          </w14:textFill>
        </w:rPr>
        <w:t>名称</w:t>
      </w:r>
      <w:r>
        <w:rPr>
          <w:color w:val="000000" w:themeColor="text1"/>
          <w:szCs w:val="21"/>
          <w:highlight w:val="none"/>
          <w14:textFill>
            <w14:solidFill>
              <w14:schemeClr w14:val="tx1"/>
            </w14:solidFill>
          </w14:textFill>
        </w:rPr>
        <w:t>）：</w:t>
      </w:r>
    </w:p>
    <w:p w14:paraId="1ED6408B">
      <w:pPr>
        <w:pStyle w:val="178"/>
        <w:numPr>
          <w:ilvl w:val="0"/>
          <w:numId w:val="3"/>
        </w:numPr>
        <w:tabs>
          <w:tab w:val="left" w:pos="762"/>
          <w:tab w:val="left" w:pos="2074"/>
          <w:tab w:val="left" w:pos="3430"/>
          <w:tab w:val="left" w:pos="4687"/>
          <w:tab w:val="left" w:pos="7898"/>
        </w:tabs>
        <w:ind w:firstLine="440"/>
        <w:rPr>
          <w:rFonts w:ascii="Times New Roman" w:hAnsi="Times New Roman" w:cs="Times New Roman"/>
          <w:color w:val="000000" w:themeColor="text1"/>
          <w:szCs w:val="21"/>
          <w:highlight w:val="none"/>
          <w14:textFill>
            <w14:solidFill>
              <w14:schemeClr w14:val="tx1"/>
            </w14:solidFill>
          </w14:textFill>
        </w:rPr>
      </w:pPr>
      <w:bookmarkStart w:id="105" w:name="bookmark2065"/>
      <w:bookmarkEnd w:id="105"/>
      <w:r>
        <w:rPr>
          <w:rFonts w:ascii="Times New Roman" w:hAnsi="Times New Roman" w:cs="Times New Roman"/>
          <w:color w:val="000000" w:themeColor="text1"/>
          <w:szCs w:val="21"/>
          <w:highlight w:val="none"/>
          <w14:textFill>
            <w14:solidFill>
              <w14:schemeClr w14:val="tx1"/>
            </w14:solidFill>
          </w14:textFill>
        </w:rPr>
        <w:t>我方已仔细研究了</w:t>
      </w:r>
      <w:r>
        <w:rPr>
          <w:rFonts w:hint="eastAsia" w:ascii="Times New Roman" w:hAnsi="Times New Roman" w:cs="Times New Roman"/>
          <w:color w:val="000000" w:themeColor="text1"/>
          <w:szCs w:val="21"/>
          <w:highlight w:val="none"/>
          <w:u w:val="single"/>
          <w:lang w:val="en-US"/>
          <w14:textFill>
            <w14:solidFill>
              <w14:schemeClr w14:val="tx1"/>
            </w14:solidFill>
          </w14:textFill>
        </w:rPr>
        <w:t xml:space="preserve">           </w:t>
      </w:r>
      <w:r>
        <w:rPr>
          <w:rFonts w:ascii="Times New Roman" w:hAnsi="Times New Roman" w:cs="Times New Roman"/>
          <w:color w:val="000000" w:themeColor="text1"/>
          <w:szCs w:val="21"/>
          <w:highlight w:val="none"/>
          <w:u w:val="single"/>
          <w14:textFill>
            <w14:solidFill>
              <w14:schemeClr w14:val="tx1"/>
            </w14:solidFill>
          </w14:textFill>
        </w:rPr>
        <w:t>（项目名称</w:t>
      </w:r>
      <w:r>
        <w:rPr>
          <w:rFonts w:hint="eastAsia" w:ascii="Times New Roman" w:hAnsi="Times New Roman" w:cs="Times New Roman"/>
          <w:color w:val="000000" w:themeColor="text1"/>
          <w:szCs w:val="21"/>
          <w:highlight w:val="none"/>
          <w:u w:val="single"/>
          <w14:textFill>
            <w14:solidFill>
              <w14:schemeClr w14:val="tx1"/>
            </w14:solidFill>
          </w14:textFill>
        </w:rPr>
        <w:t>、项目编号</w:t>
      </w:r>
      <w:r>
        <w:rPr>
          <w:rFonts w:ascii="Times New Roman" w:hAnsi="Times New Roman" w:cs="Times New Roman"/>
          <w:color w:val="000000" w:themeColor="text1"/>
          <w:szCs w:val="21"/>
          <w:highlight w:val="none"/>
          <w:u w:val="single"/>
          <w14:textFill>
            <w14:solidFill>
              <w14:schemeClr w14:val="tx1"/>
            </w14:solidFill>
          </w14:textFill>
        </w:rPr>
        <w:t>）</w:t>
      </w:r>
      <w:r>
        <w:rPr>
          <w:rFonts w:hint="eastAsia" w:ascii="Times New Roman" w:hAnsi="Times New Roman" w:cs="Times New Roman"/>
          <w:color w:val="000000" w:themeColor="text1"/>
          <w:szCs w:val="21"/>
          <w:highlight w:val="none"/>
          <w:u w:val="single"/>
          <w:lang w:val="en-US"/>
          <w14:textFill>
            <w14:solidFill>
              <w14:schemeClr w14:val="tx1"/>
            </w14:solidFill>
          </w14:textFill>
        </w:rPr>
        <w:t xml:space="preserve">          </w:t>
      </w:r>
      <w:r>
        <w:rPr>
          <w:rFonts w:hint="eastAsia" w:ascii="Times New Roman" w:hAnsi="Times New Roman" w:cs="Times New Roman"/>
          <w:color w:val="000000" w:themeColor="text1"/>
          <w:szCs w:val="21"/>
          <w:highlight w:val="none"/>
          <w14:textFill>
            <w14:solidFill>
              <w14:schemeClr w14:val="tx1"/>
            </w14:solidFill>
          </w14:textFill>
        </w:rPr>
        <w:t>磋商</w:t>
      </w:r>
      <w:r>
        <w:rPr>
          <w:rFonts w:ascii="Times New Roman" w:hAnsi="Times New Roman" w:cs="Times New Roman"/>
          <w:color w:val="000000" w:themeColor="text1"/>
          <w:szCs w:val="21"/>
          <w:highlight w:val="none"/>
          <w14:textFill>
            <w14:solidFill>
              <w14:schemeClr w14:val="tx1"/>
            </w14:solidFill>
          </w14:textFill>
        </w:rPr>
        <w:t>文件的全部内容，愿意以人民币（大写）</w:t>
      </w:r>
      <w:r>
        <w:rPr>
          <w:rFonts w:hint="eastAsia" w:ascii="Times New Roman" w:hAnsi="Times New Roman" w:cs="Times New Roman"/>
          <w:color w:val="000000" w:themeColor="text1"/>
          <w:szCs w:val="21"/>
          <w:highlight w:val="none"/>
          <w:u w:val="single"/>
          <w:lang w:val="en-US"/>
          <w14:textFill>
            <w14:solidFill>
              <w14:schemeClr w14:val="tx1"/>
            </w14:solidFill>
          </w14:textFill>
        </w:rPr>
        <w:t xml:space="preserve">            </w:t>
      </w:r>
      <w:r>
        <w:rPr>
          <w:rFonts w:ascii="Times New Roman" w:hAnsi="Times New Roman" w:cs="Times New Roman"/>
          <w:color w:val="000000" w:themeColor="text1"/>
          <w:szCs w:val="21"/>
          <w:highlight w:val="none"/>
          <w14:textFill>
            <w14:solidFill>
              <w14:schemeClr w14:val="tx1"/>
            </w14:solidFill>
          </w14:textFill>
        </w:rPr>
        <w:t>元（¥</w:t>
      </w:r>
      <w:r>
        <w:rPr>
          <w:rFonts w:hint="eastAsia" w:ascii="Times New Roman" w:hAnsi="Times New Roman" w:cs="Times New Roman"/>
          <w:color w:val="000000" w:themeColor="text1"/>
          <w:szCs w:val="21"/>
          <w:highlight w:val="none"/>
          <w:u w:val="single"/>
          <w:lang w:val="en-US"/>
          <w14:textFill>
            <w14:solidFill>
              <w14:schemeClr w14:val="tx1"/>
            </w14:solidFill>
          </w14:textFill>
        </w:rPr>
        <w:t xml:space="preserve">        </w:t>
      </w:r>
      <w:r>
        <w:rPr>
          <w:rFonts w:ascii="Times New Roman" w:hAnsi="Times New Roman" w:cs="Times New Roman"/>
          <w:color w:val="000000" w:themeColor="text1"/>
          <w:szCs w:val="21"/>
          <w:highlight w:val="none"/>
          <w14:textFill>
            <w14:solidFill>
              <w14:schemeClr w14:val="tx1"/>
            </w14:solidFill>
          </w14:textFill>
        </w:rPr>
        <w:t>）的</w:t>
      </w:r>
      <w:r>
        <w:rPr>
          <w:rFonts w:hint="eastAsia" w:ascii="Times New Roman" w:hAnsi="Times New Roman" w:cs="Times New Roman"/>
          <w:color w:val="000000" w:themeColor="text1"/>
          <w:szCs w:val="21"/>
          <w:highlight w:val="none"/>
          <w14:textFill>
            <w14:solidFill>
              <w14:schemeClr w14:val="tx1"/>
            </w14:solidFill>
          </w14:textFill>
        </w:rPr>
        <w:t>竞</w:t>
      </w:r>
      <w:r>
        <w:rPr>
          <w:rFonts w:ascii="Times New Roman" w:hAnsi="Times New Roman" w:cs="Times New Roman"/>
          <w:color w:val="000000" w:themeColor="text1"/>
          <w:szCs w:val="21"/>
          <w:highlight w:val="none"/>
          <w14:textFill>
            <w14:solidFill>
              <w14:schemeClr w14:val="tx1"/>
            </w14:solidFill>
          </w14:textFill>
        </w:rPr>
        <w:t>标总报价，工期</w:t>
      </w:r>
      <w:r>
        <w:rPr>
          <w:rFonts w:hint="eastAsia" w:ascii="Times New Roman" w:hAnsi="Times New Roman" w:cs="Times New Roman"/>
          <w:color w:val="000000" w:themeColor="text1"/>
          <w:szCs w:val="21"/>
          <w:highlight w:val="none"/>
          <w:u w:val="single"/>
          <w:lang w:val="en-US"/>
          <w14:textFill>
            <w14:solidFill>
              <w14:schemeClr w14:val="tx1"/>
            </w14:solidFill>
          </w14:textFill>
        </w:rPr>
        <w:t xml:space="preserve">            </w:t>
      </w:r>
      <w:r>
        <w:rPr>
          <w:rFonts w:ascii="Times New Roman" w:hAnsi="Times New Roman" w:cs="Times New Roman"/>
          <w:color w:val="000000" w:themeColor="text1"/>
          <w:szCs w:val="21"/>
          <w:highlight w:val="none"/>
          <w14:textFill>
            <w14:solidFill>
              <w14:schemeClr w14:val="tx1"/>
            </w14:solidFill>
          </w14:textFill>
        </w:rPr>
        <w:t>日历天，按合同约定实施和完成承包工程，修补工程中的任何缺陷，工程质量达到</w:t>
      </w:r>
      <w:r>
        <w:rPr>
          <w:rFonts w:hint="eastAsia" w:ascii="Times New Roman" w:hAnsi="Times New Roman" w:cs="Times New Roman"/>
          <w:color w:val="000000" w:themeColor="text1"/>
          <w:szCs w:val="21"/>
          <w:highlight w:val="none"/>
          <w:u w:val="single"/>
          <w:lang w:val="en-US"/>
          <w14:textFill>
            <w14:solidFill>
              <w14:schemeClr w14:val="tx1"/>
            </w14:solidFill>
          </w14:textFill>
        </w:rPr>
        <w:t xml:space="preserve">           </w:t>
      </w:r>
      <w:r>
        <w:rPr>
          <w:rFonts w:ascii="Times New Roman" w:hAnsi="Times New Roman" w:cs="Times New Roman"/>
          <w:color w:val="000000" w:themeColor="text1"/>
          <w:szCs w:val="21"/>
          <w:highlight w:val="none"/>
          <w:u w:val="single"/>
          <w14:textFill>
            <w14:solidFill>
              <w14:schemeClr w14:val="tx1"/>
            </w14:solidFill>
          </w14:textFill>
        </w:rPr>
        <w:t xml:space="preserve"> </w:t>
      </w:r>
      <w:r>
        <w:rPr>
          <w:rFonts w:ascii="Times New Roman" w:hAnsi="Times New Roman" w:cs="Times New Roman"/>
          <w:color w:val="000000" w:themeColor="text1"/>
          <w:szCs w:val="21"/>
          <w:highlight w:val="none"/>
          <w:lang w:val="en-US" w:bidi="en-US"/>
          <w14:textFill>
            <w14:solidFill>
              <w14:schemeClr w14:val="tx1"/>
            </w14:solidFill>
          </w14:textFill>
        </w:rPr>
        <w:t>。</w:t>
      </w:r>
    </w:p>
    <w:p w14:paraId="1A125258">
      <w:pPr>
        <w:pStyle w:val="178"/>
        <w:numPr>
          <w:ilvl w:val="0"/>
          <w:numId w:val="3"/>
        </w:numPr>
        <w:tabs>
          <w:tab w:val="left" w:pos="762"/>
        </w:tabs>
        <w:ind w:firstLine="420"/>
        <w:rPr>
          <w:rFonts w:ascii="Times New Roman" w:hAnsi="Times New Roman" w:cs="Times New Roman"/>
          <w:color w:val="000000" w:themeColor="text1"/>
          <w:szCs w:val="21"/>
          <w:highlight w:val="none"/>
          <w14:textFill>
            <w14:solidFill>
              <w14:schemeClr w14:val="tx1"/>
            </w14:solidFill>
          </w14:textFill>
        </w:rPr>
      </w:pPr>
      <w:bookmarkStart w:id="106" w:name="bookmark2066"/>
      <w:bookmarkEnd w:id="106"/>
      <w:bookmarkStart w:id="107" w:name="bookmark2067"/>
      <w:bookmarkEnd w:id="107"/>
      <w:bookmarkStart w:id="108" w:name="bookmark2068"/>
      <w:bookmarkEnd w:id="108"/>
      <w:r>
        <w:rPr>
          <w:rFonts w:hint="eastAsia"/>
          <w:color w:val="000000" w:themeColor="text1"/>
          <w:highlight w:val="none"/>
          <w14:textFill>
            <w14:solidFill>
              <w14:schemeClr w14:val="tx1"/>
            </w14:solidFill>
          </w14:textFill>
        </w:rPr>
        <w:t>我方承认竞标函附录是我方竞标函的组成部分。</w:t>
      </w:r>
    </w:p>
    <w:p w14:paraId="362E501F">
      <w:pPr>
        <w:pStyle w:val="178"/>
        <w:numPr>
          <w:ilvl w:val="0"/>
          <w:numId w:val="3"/>
        </w:numPr>
        <w:tabs>
          <w:tab w:val="left" w:pos="762"/>
        </w:tabs>
        <w:ind w:firstLine="420"/>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如我方</w:t>
      </w:r>
      <w:r>
        <w:rPr>
          <w:rFonts w:hint="eastAsia" w:ascii="Times New Roman" w:hAnsi="Times New Roman" w:cs="Times New Roman"/>
          <w:color w:val="000000" w:themeColor="text1"/>
          <w:szCs w:val="21"/>
          <w:highlight w:val="none"/>
          <w14:textFill>
            <w14:solidFill>
              <w14:schemeClr w14:val="tx1"/>
            </w14:solidFill>
          </w14:textFill>
        </w:rPr>
        <w:t>成交</w:t>
      </w:r>
      <w:r>
        <w:rPr>
          <w:rFonts w:ascii="Times New Roman" w:hAnsi="Times New Roman" w:cs="Times New Roman"/>
          <w:color w:val="000000" w:themeColor="text1"/>
          <w:szCs w:val="21"/>
          <w:highlight w:val="none"/>
          <w14:textFill>
            <w14:solidFill>
              <w14:schemeClr w14:val="tx1"/>
            </w14:solidFill>
          </w14:textFill>
        </w:rPr>
        <w:t>：</w:t>
      </w:r>
    </w:p>
    <w:p w14:paraId="1D94CE18">
      <w:pPr>
        <w:pStyle w:val="178"/>
        <w:tabs>
          <w:tab w:val="left" w:pos="903"/>
        </w:tabs>
        <w:ind w:firstLine="420"/>
        <w:rPr>
          <w:rFonts w:ascii="Times New Roman" w:hAnsi="Times New Roman" w:cs="Times New Roman"/>
          <w:color w:val="000000" w:themeColor="text1"/>
          <w:szCs w:val="21"/>
          <w:highlight w:val="none"/>
          <w14:textFill>
            <w14:solidFill>
              <w14:schemeClr w14:val="tx1"/>
            </w14:solidFill>
          </w14:textFill>
        </w:rPr>
      </w:pPr>
      <w:bookmarkStart w:id="109" w:name="bookmark2069"/>
      <w:r>
        <w:rPr>
          <w:rFonts w:ascii="Times New Roman" w:hAnsi="Times New Roman" w:cs="Times New Roman"/>
          <w:color w:val="000000" w:themeColor="text1"/>
          <w:szCs w:val="21"/>
          <w:highlight w:val="none"/>
          <w14:textFill>
            <w14:solidFill>
              <w14:schemeClr w14:val="tx1"/>
            </w14:solidFill>
          </w14:textFill>
        </w:rPr>
        <w:t>（</w:t>
      </w:r>
      <w:bookmarkEnd w:id="109"/>
      <w:r>
        <w:rPr>
          <w:rFonts w:ascii="Times New Roman" w:hAnsi="Times New Roman" w:cs="Times New Roman"/>
          <w:color w:val="000000" w:themeColor="text1"/>
          <w:szCs w:val="21"/>
          <w:highlight w:val="none"/>
          <w14:textFill>
            <w14:solidFill>
              <w14:schemeClr w14:val="tx1"/>
            </w14:solidFill>
          </w14:textFill>
        </w:rPr>
        <w:t>1）我方承诺在收到</w:t>
      </w:r>
      <w:r>
        <w:rPr>
          <w:rFonts w:hint="eastAsia" w:ascii="Times New Roman" w:hAnsi="Times New Roman" w:cs="Times New Roman"/>
          <w:color w:val="000000" w:themeColor="text1"/>
          <w:szCs w:val="21"/>
          <w:highlight w:val="none"/>
          <w14:textFill>
            <w14:solidFill>
              <w14:schemeClr w14:val="tx1"/>
            </w14:solidFill>
          </w14:textFill>
        </w:rPr>
        <w:t>成交</w:t>
      </w:r>
      <w:r>
        <w:rPr>
          <w:rFonts w:ascii="Times New Roman" w:hAnsi="Times New Roman" w:cs="Times New Roman"/>
          <w:color w:val="000000" w:themeColor="text1"/>
          <w:szCs w:val="21"/>
          <w:highlight w:val="none"/>
          <w14:textFill>
            <w14:solidFill>
              <w14:schemeClr w14:val="tx1"/>
            </w14:solidFill>
          </w14:textFill>
        </w:rPr>
        <w:t>通知书后，在</w:t>
      </w:r>
      <w:r>
        <w:rPr>
          <w:rFonts w:hint="eastAsia" w:ascii="Times New Roman" w:hAnsi="Times New Roman" w:cs="Times New Roman"/>
          <w:color w:val="000000" w:themeColor="text1"/>
          <w:szCs w:val="21"/>
          <w:highlight w:val="none"/>
          <w14:textFill>
            <w14:solidFill>
              <w14:schemeClr w14:val="tx1"/>
            </w14:solidFill>
          </w14:textFill>
        </w:rPr>
        <w:t>成交</w:t>
      </w:r>
      <w:r>
        <w:rPr>
          <w:rFonts w:ascii="Times New Roman" w:hAnsi="Times New Roman" w:cs="Times New Roman"/>
          <w:color w:val="000000" w:themeColor="text1"/>
          <w:szCs w:val="21"/>
          <w:highlight w:val="none"/>
          <w14:textFill>
            <w14:solidFill>
              <w14:schemeClr w14:val="tx1"/>
            </w14:solidFill>
          </w14:textFill>
        </w:rPr>
        <w:t>通知书规定的期限内与你方签订合同。</w:t>
      </w:r>
    </w:p>
    <w:p w14:paraId="68FCC11A">
      <w:pPr>
        <w:pStyle w:val="178"/>
        <w:tabs>
          <w:tab w:val="left" w:pos="903"/>
        </w:tabs>
        <w:ind w:firstLine="420"/>
        <w:rPr>
          <w:rFonts w:ascii="Times New Roman" w:hAnsi="Times New Roman" w:cs="Times New Roman"/>
          <w:color w:val="000000" w:themeColor="text1"/>
          <w:szCs w:val="21"/>
          <w:highlight w:val="none"/>
          <w14:textFill>
            <w14:solidFill>
              <w14:schemeClr w14:val="tx1"/>
            </w14:solidFill>
          </w14:textFill>
        </w:rPr>
      </w:pPr>
      <w:bookmarkStart w:id="110" w:name="bookmark2070"/>
      <w:r>
        <w:rPr>
          <w:rFonts w:ascii="Times New Roman" w:hAnsi="Times New Roman" w:cs="Times New Roman"/>
          <w:color w:val="000000" w:themeColor="text1"/>
          <w:szCs w:val="21"/>
          <w:highlight w:val="none"/>
          <w14:textFill>
            <w14:solidFill>
              <w14:schemeClr w14:val="tx1"/>
            </w14:solidFill>
          </w14:textFill>
        </w:rPr>
        <w:t>（</w:t>
      </w:r>
      <w:bookmarkEnd w:id="110"/>
      <w:r>
        <w:rPr>
          <w:rFonts w:ascii="Times New Roman" w:hAnsi="Times New Roman" w:cs="Times New Roman"/>
          <w:color w:val="000000" w:themeColor="text1"/>
          <w:szCs w:val="21"/>
          <w:highlight w:val="none"/>
          <w14:textFill>
            <w14:solidFill>
              <w14:schemeClr w14:val="tx1"/>
            </w14:solidFill>
          </w14:textFill>
        </w:rPr>
        <w:t>2）</w:t>
      </w:r>
      <w:r>
        <w:rPr>
          <w:color w:val="000000" w:themeColor="text1"/>
          <w:highlight w:val="none"/>
          <w14:textFill>
            <w14:solidFill>
              <w14:schemeClr w14:val="tx1"/>
            </w14:solidFill>
          </w14:textFill>
        </w:rPr>
        <w:t>在签订合同时不向你方提出附加条件</w:t>
      </w:r>
      <w:r>
        <w:rPr>
          <w:rFonts w:ascii="Times New Roman" w:hAnsi="Times New Roman" w:cs="Times New Roman"/>
          <w:color w:val="000000" w:themeColor="text1"/>
          <w:szCs w:val="21"/>
          <w:highlight w:val="none"/>
          <w14:textFill>
            <w14:solidFill>
              <w14:schemeClr w14:val="tx1"/>
            </w14:solidFill>
          </w14:textFill>
        </w:rPr>
        <w:t>。</w:t>
      </w:r>
    </w:p>
    <w:p w14:paraId="55D79DAC">
      <w:pPr>
        <w:pStyle w:val="178"/>
        <w:tabs>
          <w:tab w:val="left" w:pos="903"/>
        </w:tabs>
        <w:ind w:firstLine="420"/>
        <w:rPr>
          <w:rFonts w:ascii="Times New Roman" w:hAnsi="Times New Roman" w:cs="Times New Roman"/>
          <w:color w:val="000000" w:themeColor="text1"/>
          <w:szCs w:val="21"/>
          <w:highlight w:val="none"/>
          <w14:textFill>
            <w14:solidFill>
              <w14:schemeClr w14:val="tx1"/>
            </w14:solidFill>
          </w14:textFill>
        </w:rPr>
      </w:pPr>
      <w:bookmarkStart w:id="111" w:name="bookmark2071"/>
      <w:r>
        <w:rPr>
          <w:rFonts w:ascii="Times New Roman" w:hAnsi="Times New Roman" w:cs="Times New Roman"/>
          <w:color w:val="000000" w:themeColor="text1"/>
          <w:szCs w:val="21"/>
          <w:highlight w:val="none"/>
          <w14:textFill>
            <w14:solidFill>
              <w14:schemeClr w14:val="tx1"/>
            </w14:solidFill>
          </w14:textFill>
        </w:rPr>
        <w:t>（</w:t>
      </w:r>
      <w:bookmarkEnd w:id="111"/>
      <w:r>
        <w:rPr>
          <w:rFonts w:ascii="Times New Roman" w:hAnsi="Times New Roman" w:cs="Times New Roman"/>
          <w:color w:val="000000" w:themeColor="text1"/>
          <w:szCs w:val="21"/>
          <w:highlight w:val="none"/>
          <w14:textFill>
            <w14:solidFill>
              <w14:schemeClr w14:val="tx1"/>
            </w14:solidFill>
          </w14:textFill>
        </w:rPr>
        <w:t>3）我方承诺按照</w:t>
      </w:r>
      <w:r>
        <w:rPr>
          <w:rFonts w:hint="eastAsia" w:ascii="Times New Roman" w:hAnsi="Times New Roman" w:cs="Times New Roman"/>
          <w:color w:val="000000" w:themeColor="text1"/>
          <w:szCs w:val="21"/>
          <w:highlight w:val="none"/>
          <w14:textFill>
            <w14:solidFill>
              <w14:schemeClr w14:val="tx1"/>
            </w14:solidFill>
          </w14:textFill>
        </w:rPr>
        <w:t>磋商</w:t>
      </w:r>
      <w:r>
        <w:rPr>
          <w:rFonts w:ascii="Times New Roman" w:hAnsi="Times New Roman" w:cs="Times New Roman"/>
          <w:color w:val="000000" w:themeColor="text1"/>
          <w:szCs w:val="21"/>
          <w:highlight w:val="none"/>
          <w14:textFill>
            <w14:solidFill>
              <w14:schemeClr w14:val="tx1"/>
            </w14:solidFill>
          </w14:textFill>
        </w:rPr>
        <w:t>文件规定向你方递交履约担保。</w:t>
      </w:r>
    </w:p>
    <w:p w14:paraId="1872A305">
      <w:pPr>
        <w:pStyle w:val="178"/>
        <w:tabs>
          <w:tab w:val="left" w:pos="903"/>
        </w:tabs>
        <w:ind w:firstLine="420"/>
        <w:rPr>
          <w:rFonts w:ascii="Times New Roman" w:hAnsi="Times New Roman" w:cs="Times New Roman"/>
          <w:color w:val="000000" w:themeColor="text1"/>
          <w:szCs w:val="21"/>
          <w:highlight w:val="none"/>
          <w14:textFill>
            <w14:solidFill>
              <w14:schemeClr w14:val="tx1"/>
            </w14:solidFill>
          </w14:textFill>
        </w:rPr>
      </w:pPr>
      <w:bookmarkStart w:id="112" w:name="bookmark2072"/>
      <w:r>
        <w:rPr>
          <w:rFonts w:ascii="Times New Roman" w:hAnsi="Times New Roman" w:cs="Times New Roman"/>
          <w:color w:val="000000" w:themeColor="text1"/>
          <w:szCs w:val="21"/>
          <w:highlight w:val="none"/>
          <w14:textFill>
            <w14:solidFill>
              <w14:schemeClr w14:val="tx1"/>
            </w14:solidFill>
          </w14:textFill>
        </w:rPr>
        <w:t>（</w:t>
      </w:r>
      <w:bookmarkEnd w:id="112"/>
      <w:r>
        <w:rPr>
          <w:rFonts w:ascii="Times New Roman" w:hAnsi="Times New Roman" w:cs="Times New Roman"/>
          <w:color w:val="000000" w:themeColor="text1"/>
          <w:szCs w:val="21"/>
          <w:highlight w:val="none"/>
          <w14:textFill>
            <w14:solidFill>
              <w14:schemeClr w14:val="tx1"/>
            </w14:solidFill>
          </w14:textFill>
        </w:rPr>
        <w:t>4）我方承诺在合同约定的期限内完成并移交全部合同工程。</w:t>
      </w:r>
    </w:p>
    <w:p w14:paraId="24BCEFF9">
      <w:pPr>
        <w:pStyle w:val="178"/>
        <w:numPr>
          <w:ilvl w:val="0"/>
          <w:numId w:val="3"/>
        </w:numPr>
        <w:tabs>
          <w:tab w:val="left" w:pos="762"/>
        </w:tabs>
        <w:ind w:firstLine="440"/>
        <w:rPr>
          <w:rFonts w:ascii="Times New Roman" w:hAnsi="Times New Roman" w:cs="Times New Roman"/>
          <w:color w:val="000000" w:themeColor="text1"/>
          <w:szCs w:val="21"/>
          <w:highlight w:val="none"/>
          <w14:textFill>
            <w14:solidFill>
              <w14:schemeClr w14:val="tx1"/>
            </w14:solidFill>
          </w14:textFill>
        </w:rPr>
      </w:pPr>
      <w:bookmarkStart w:id="113" w:name="bookmark2073"/>
      <w:bookmarkEnd w:id="113"/>
      <w:r>
        <w:rPr>
          <w:color w:val="000000" w:themeColor="text1"/>
          <w:highlight w:val="none"/>
          <w14:textFill>
            <w14:solidFill>
              <w14:schemeClr w14:val="tx1"/>
            </w14:solidFill>
          </w14:textFill>
        </w:rPr>
        <w:t>在合同协议书正式签署生效之前，本</w:t>
      </w:r>
      <w:r>
        <w:rPr>
          <w:rFonts w:hint="eastAsia" w:ascii="Times New Roman" w:hAnsi="Times New Roman" w:cs="Times New Roman"/>
          <w:color w:val="000000" w:themeColor="text1"/>
          <w:szCs w:val="21"/>
          <w:highlight w:val="none"/>
          <w14:textFill>
            <w14:solidFill>
              <w14:schemeClr w14:val="tx1"/>
            </w14:solidFill>
          </w14:textFill>
        </w:rPr>
        <w:t>竞</w:t>
      </w:r>
      <w:r>
        <w:rPr>
          <w:rFonts w:ascii="Times New Roman" w:hAnsi="Times New Roman" w:cs="Times New Roman"/>
          <w:color w:val="000000" w:themeColor="text1"/>
          <w:szCs w:val="21"/>
          <w:highlight w:val="none"/>
          <w14:textFill>
            <w14:solidFill>
              <w14:schemeClr w14:val="tx1"/>
            </w14:solidFill>
          </w14:textFill>
        </w:rPr>
        <w:t>标</w:t>
      </w:r>
      <w:r>
        <w:rPr>
          <w:color w:val="000000" w:themeColor="text1"/>
          <w:highlight w:val="none"/>
          <w14:textFill>
            <w14:solidFill>
              <w14:schemeClr w14:val="tx1"/>
            </w14:solidFill>
          </w14:textFill>
        </w:rPr>
        <w:t>函连同你方的</w:t>
      </w:r>
      <w:r>
        <w:rPr>
          <w:rFonts w:hint="eastAsia"/>
          <w:color w:val="000000" w:themeColor="text1"/>
          <w:highlight w:val="none"/>
          <w14:textFill>
            <w14:solidFill>
              <w14:schemeClr w14:val="tx1"/>
            </w14:solidFill>
          </w14:textFill>
        </w:rPr>
        <w:t>成交</w:t>
      </w:r>
      <w:r>
        <w:rPr>
          <w:color w:val="000000" w:themeColor="text1"/>
          <w:highlight w:val="none"/>
          <w14:textFill>
            <w14:solidFill>
              <w14:schemeClr w14:val="tx1"/>
            </w14:solidFill>
          </w14:textFill>
        </w:rPr>
        <w:t>通知书将构成我们双方之间共同遵守的文件，对双方具有约束力</w:t>
      </w:r>
      <w:r>
        <w:rPr>
          <w:rFonts w:ascii="Times New Roman" w:hAnsi="Times New Roman" w:cs="Times New Roman"/>
          <w:color w:val="000000" w:themeColor="text1"/>
          <w:szCs w:val="21"/>
          <w:highlight w:val="none"/>
          <w14:textFill>
            <w14:solidFill>
              <w14:schemeClr w14:val="tx1"/>
            </w14:solidFill>
          </w14:textFill>
        </w:rPr>
        <w:t>。</w:t>
      </w:r>
    </w:p>
    <w:p w14:paraId="219C97D8">
      <w:pPr>
        <w:spacing w:line="360" w:lineRule="auto"/>
        <w:ind w:firstLine="420" w:firstLineChars="200"/>
        <w:rPr>
          <w:color w:val="000000" w:themeColor="text1"/>
          <w:szCs w:val="21"/>
          <w:highlight w:val="none"/>
          <w14:textFill>
            <w14:solidFill>
              <w14:schemeClr w14:val="tx1"/>
            </w14:solidFill>
          </w14:textFill>
        </w:rPr>
      </w:pPr>
      <w:bookmarkStart w:id="114" w:name="bookmark2074"/>
      <w:bookmarkEnd w:id="114"/>
      <w:r>
        <w:rPr>
          <w:rFonts w:hint="eastAsia"/>
          <w:color w:val="000000" w:themeColor="text1"/>
          <w:szCs w:val="21"/>
          <w:highlight w:val="none"/>
          <w14:textFill>
            <w14:solidFill>
              <w14:schemeClr w14:val="tx1"/>
            </w14:solidFill>
          </w14:textFill>
        </w:rPr>
        <w:t>5.</w:t>
      </w:r>
      <w:r>
        <w:rPr>
          <w:rFonts w:hint="eastAsia"/>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（其他补充说明）。</w:t>
      </w:r>
    </w:p>
    <w:p w14:paraId="4A2ACE95">
      <w:pPr>
        <w:spacing w:line="360" w:lineRule="auto"/>
        <w:jc w:val="center"/>
        <w:rPr>
          <w:rFonts w:ascii="宋体" w:hAnsi="宋体" w:cs="方正小标宋简体"/>
          <w:b/>
          <w:bCs/>
          <w:color w:val="000000" w:themeColor="text1"/>
          <w:sz w:val="32"/>
          <w:szCs w:val="32"/>
          <w:highlight w:val="none"/>
          <w14:textFill>
            <w14:solidFill>
              <w14:schemeClr w14:val="tx1"/>
            </w14:solidFill>
          </w14:textFill>
        </w:rPr>
      </w:pPr>
    </w:p>
    <w:p w14:paraId="0FEC81D6">
      <w:pPr>
        <w:spacing w:line="360" w:lineRule="auto"/>
        <w:ind w:right="-817" w:rightChars="-389" w:firstLine="720" w:firstLineChars="3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法定代表人或者委托代理人（签字或者电子签名）：</w:t>
      </w:r>
      <w:r>
        <w:rPr>
          <w:rFonts w:hint="eastAsia" w:ascii="宋体" w:hAnsi="宋体" w:cs="仿宋_GB2312"/>
          <w:color w:val="000000" w:themeColor="text1"/>
          <w:sz w:val="24"/>
          <w:highlight w:val="none"/>
          <w:u w:val="single"/>
          <w:lang w:val="en-US" w:eastAsia="zh-CN"/>
          <w14:textFill>
            <w14:solidFill>
              <w14:schemeClr w14:val="tx1"/>
            </w14:solidFill>
          </w14:textFill>
        </w:rPr>
        <w:t xml:space="preserve">              </w:t>
      </w:r>
      <w:r>
        <w:rPr>
          <w:rFonts w:hint="eastAsia"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 xml:space="preserve">                  </w:t>
      </w:r>
    </w:p>
    <w:p w14:paraId="50975BD1">
      <w:pPr>
        <w:spacing w:line="360" w:lineRule="auto"/>
        <w:ind w:right="-817" w:rightChars="-389" w:firstLine="2640" w:firstLineChars="11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供应商（电子签章）：</w:t>
      </w:r>
      <w:r>
        <w:rPr>
          <w:rFonts w:hint="eastAsia" w:ascii="宋体" w:hAnsi="宋体" w:cs="仿宋_GB2312"/>
          <w:color w:val="000000" w:themeColor="text1"/>
          <w:sz w:val="24"/>
          <w:highlight w:val="none"/>
          <w:u w:val="single"/>
          <w:lang w:val="en-US" w:eastAsia="zh-CN"/>
          <w14:textFill>
            <w14:solidFill>
              <w14:schemeClr w14:val="tx1"/>
            </w14:solidFill>
          </w14:textFill>
        </w:rPr>
        <w:t xml:space="preserve">              </w:t>
      </w:r>
      <w:r>
        <w:rPr>
          <w:rFonts w:hint="eastAsia"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 xml:space="preserve">      </w:t>
      </w:r>
    </w:p>
    <w:p w14:paraId="3076D3F8">
      <w:pPr>
        <w:spacing w:line="360" w:lineRule="auto"/>
        <w:jc w:val="center"/>
        <w:rPr>
          <w:rFonts w:ascii="宋体" w:hAnsi="宋体" w:cs="方正小标宋简体"/>
          <w:b/>
          <w:bCs/>
          <w:color w:val="000000" w:themeColor="text1"/>
          <w:sz w:val="32"/>
          <w:szCs w:val="32"/>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日期：   年   月   日</w:t>
      </w:r>
      <w:r>
        <w:rPr>
          <w:rFonts w:ascii="宋体" w:hAnsi="宋体" w:cs="方正小标宋简体"/>
          <w:b/>
          <w:bCs/>
          <w:color w:val="000000" w:themeColor="text1"/>
          <w:sz w:val="32"/>
          <w:szCs w:val="32"/>
          <w:highlight w:val="none"/>
          <w14:textFill>
            <w14:solidFill>
              <w14:schemeClr w14:val="tx1"/>
            </w14:solidFill>
          </w14:textFill>
        </w:rPr>
        <w:br w:type="page"/>
      </w:r>
      <w:r>
        <w:rPr>
          <w:rFonts w:hint="eastAsia" w:ascii="宋体" w:hAnsi="宋体" w:cs="方正小标宋简体"/>
          <w:b/>
          <w:bCs/>
          <w:color w:val="000000" w:themeColor="text1"/>
          <w:sz w:val="32"/>
          <w:szCs w:val="32"/>
          <w:highlight w:val="none"/>
          <w14:textFill>
            <w14:solidFill>
              <w14:schemeClr w14:val="tx1"/>
            </w14:solidFill>
          </w14:textFill>
        </w:rPr>
        <w:t>（二）竞标函附录</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985"/>
        <w:gridCol w:w="2126"/>
        <w:gridCol w:w="1984"/>
        <w:gridCol w:w="1843"/>
      </w:tblGrid>
      <w:tr w14:paraId="11B60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1CD84667">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序</w:t>
            </w:r>
            <w:r>
              <w:rPr>
                <w:color w:val="000000" w:themeColor="text1"/>
                <w:highlight w:val="non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号</w:t>
            </w:r>
          </w:p>
        </w:tc>
        <w:tc>
          <w:tcPr>
            <w:tcW w:w="1985" w:type="dxa"/>
            <w:vAlign w:val="center"/>
          </w:tcPr>
          <w:p w14:paraId="32AEFFC5">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条款内容</w:t>
            </w:r>
          </w:p>
        </w:tc>
        <w:tc>
          <w:tcPr>
            <w:tcW w:w="2126" w:type="dxa"/>
            <w:vAlign w:val="center"/>
          </w:tcPr>
          <w:p w14:paraId="3F5B745B">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合同条款号</w:t>
            </w:r>
          </w:p>
        </w:tc>
        <w:tc>
          <w:tcPr>
            <w:tcW w:w="1984" w:type="dxa"/>
            <w:vAlign w:val="center"/>
          </w:tcPr>
          <w:p w14:paraId="1C432AD1">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约定内容</w:t>
            </w:r>
          </w:p>
        </w:tc>
        <w:tc>
          <w:tcPr>
            <w:tcW w:w="1843" w:type="dxa"/>
            <w:vAlign w:val="center"/>
          </w:tcPr>
          <w:p w14:paraId="44202016">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供应商响应情况</w:t>
            </w:r>
          </w:p>
        </w:tc>
      </w:tr>
      <w:tr w14:paraId="103BF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595100A8">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1985" w:type="dxa"/>
            <w:vAlign w:val="center"/>
          </w:tcPr>
          <w:p w14:paraId="78C7B7FF">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项目经理</w:t>
            </w:r>
          </w:p>
        </w:tc>
        <w:tc>
          <w:tcPr>
            <w:tcW w:w="2126" w:type="dxa"/>
            <w:tcMar>
              <w:left w:w="170" w:type="dxa"/>
            </w:tcMar>
            <w:vAlign w:val="center"/>
          </w:tcPr>
          <w:p w14:paraId="15965E2D">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专用条款</w:t>
            </w:r>
          </w:p>
        </w:tc>
        <w:tc>
          <w:tcPr>
            <w:tcW w:w="1984" w:type="dxa"/>
            <w:vAlign w:val="center"/>
          </w:tcPr>
          <w:p w14:paraId="2B2218CB">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姓名：</w:t>
            </w:r>
            <w:r>
              <w:rPr>
                <w:color w:val="000000" w:themeColor="text1"/>
                <w:highlight w:val="none"/>
                <w:u w:val="single"/>
                <w14:textFill>
                  <w14:solidFill>
                    <w14:schemeClr w14:val="tx1"/>
                  </w14:solidFill>
                </w14:textFill>
              </w:rPr>
              <w:t xml:space="preserve">          </w:t>
            </w:r>
          </w:p>
        </w:tc>
        <w:tc>
          <w:tcPr>
            <w:tcW w:w="1843" w:type="dxa"/>
            <w:vAlign w:val="center"/>
          </w:tcPr>
          <w:p w14:paraId="478F48E0">
            <w:pPr>
              <w:jc w:val="center"/>
              <w:rPr>
                <w:color w:val="000000" w:themeColor="text1"/>
                <w:highlight w:val="none"/>
                <w14:textFill>
                  <w14:solidFill>
                    <w14:schemeClr w14:val="tx1"/>
                  </w14:solidFill>
                </w14:textFill>
              </w:rPr>
            </w:pPr>
          </w:p>
        </w:tc>
      </w:tr>
      <w:tr w14:paraId="7874E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6C98C129">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p>
        </w:tc>
        <w:tc>
          <w:tcPr>
            <w:tcW w:w="1985" w:type="dxa"/>
            <w:vAlign w:val="center"/>
          </w:tcPr>
          <w:p w14:paraId="7556F5D9">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竞标有效期</w:t>
            </w:r>
          </w:p>
        </w:tc>
        <w:tc>
          <w:tcPr>
            <w:tcW w:w="2126" w:type="dxa"/>
            <w:tcMar>
              <w:left w:w="170" w:type="dxa"/>
            </w:tcMar>
            <w:vAlign w:val="center"/>
          </w:tcPr>
          <w:p w14:paraId="3A0AB2CE">
            <w:pPr>
              <w:rPr>
                <w:color w:val="000000" w:themeColor="text1"/>
                <w:highlight w:val="none"/>
                <w14:textFill>
                  <w14:solidFill>
                    <w14:schemeClr w14:val="tx1"/>
                  </w14:solidFill>
                </w14:textFill>
              </w:rPr>
            </w:pPr>
          </w:p>
        </w:tc>
        <w:tc>
          <w:tcPr>
            <w:tcW w:w="1984" w:type="dxa"/>
            <w:vAlign w:val="center"/>
          </w:tcPr>
          <w:p w14:paraId="7D9163B5">
            <w:pPr>
              <w:jc w:val="center"/>
              <w:rPr>
                <w:color w:val="000000" w:themeColor="text1"/>
                <w:highlight w:val="none"/>
                <w:u w:val="single"/>
                <w14:textFill>
                  <w14:solidFill>
                    <w14:schemeClr w14:val="tx1"/>
                  </w14:solidFill>
                </w14:textFill>
              </w:rPr>
            </w:pPr>
          </w:p>
        </w:tc>
        <w:tc>
          <w:tcPr>
            <w:tcW w:w="1843" w:type="dxa"/>
            <w:vAlign w:val="center"/>
          </w:tcPr>
          <w:p w14:paraId="13AE0FFE">
            <w:pPr>
              <w:jc w:val="center"/>
              <w:rPr>
                <w:color w:val="000000" w:themeColor="text1"/>
                <w:highlight w:val="none"/>
                <w14:textFill>
                  <w14:solidFill>
                    <w14:schemeClr w14:val="tx1"/>
                  </w14:solidFill>
                </w14:textFill>
              </w:rPr>
            </w:pPr>
          </w:p>
        </w:tc>
      </w:tr>
      <w:tr w14:paraId="205A6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5FB68FEE">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p>
        </w:tc>
        <w:tc>
          <w:tcPr>
            <w:tcW w:w="1985" w:type="dxa"/>
            <w:vAlign w:val="center"/>
          </w:tcPr>
          <w:p w14:paraId="0382D510">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工期</w:t>
            </w:r>
          </w:p>
        </w:tc>
        <w:tc>
          <w:tcPr>
            <w:tcW w:w="2126" w:type="dxa"/>
            <w:tcMar>
              <w:left w:w="170" w:type="dxa"/>
            </w:tcMar>
            <w:vAlign w:val="center"/>
          </w:tcPr>
          <w:p w14:paraId="266C9DF2">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专用条款</w:t>
            </w:r>
          </w:p>
        </w:tc>
        <w:tc>
          <w:tcPr>
            <w:tcW w:w="1984" w:type="dxa"/>
            <w:vAlign w:val="center"/>
          </w:tcPr>
          <w:p w14:paraId="510D30CB">
            <w:pPr>
              <w:jc w:val="center"/>
              <w:rPr>
                <w:color w:val="000000" w:themeColor="text1"/>
                <w:highlight w:val="none"/>
                <w14:textFill>
                  <w14:solidFill>
                    <w14:schemeClr w14:val="tx1"/>
                  </w14:solidFill>
                </w14:textFill>
              </w:rPr>
            </w:pPr>
            <w:r>
              <w:rPr>
                <w:color w:val="000000" w:themeColor="text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日历天</w:t>
            </w:r>
          </w:p>
        </w:tc>
        <w:tc>
          <w:tcPr>
            <w:tcW w:w="1843" w:type="dxa"/>
            <w:vAlign w:val="center"/>
          </w:tcPr>
          <w:p w14:paraId="1C54CA3E">
            <w:pPr>
              <w:jc w:val="center"/>
              <w:rPr>
                <w:color w:val="000000" w:themeColor="text1"/>
                <w:highlight w:val="none"/>
                <w14:textFill>
                  <w14:solidFill>
                    <w14:schemeClr w14:val="tx1"/>
                  </w14:solidFill>
                </w14:textFill>
              </w:rPr>
            </w:pPr>
          </w:p>
        </w:tc>
      </w:tr>
      <w:tr w14:paraId="65D5C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5BA91A70">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w:t>
            </w:r>
          </w:p>
        </w:tc>
        <w:tc>
          <w:tcPr>
            <w:tcW w:w="1985" w:type="dxa"/>
            <w:vAlign w:val="center"/>
          </w:tcPr>
          <w:p w14:paraId="046A9BF4">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缺陷责任期</w:t>
            </w:r>
          </w:p>
        </w:tc>
        <w:tc>
          <w:tcPr>
            <w:tcW w:w="2126" w:type="dxa"/>
            <w:tcMar>
              <w:left w:w="170" w:type="dxa"/>
            </w:tcMar>
            <w:vAlign w:val="center"/>
          </w:tcPr>
          <w:p w14:paraId="1C6E2268">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专用条款</w:t>
            </w:r>
          </w:p>
        </w:tc>
        <w:tc>
          <w:tcPr>
            <w:tcW w:w="1984" w:type="dxa"/>
            <w:vAlign w:val="center"/>
          </w:tcPr>
          <w:p w14:paraId="6ED247FF">
            <w:pPr>
              <w:jc w:val="center"/>
              <w:rPr>
                <w:color w:val="000000" w:themeColor="text1"/>
                <w:highlight w:val="none"/>
                <w14:textFill>
                  <w14:solidFill>
                    <w14:schemeClr w14:val="tx1"/>
                  </w14:solidFill>
                </w14:textFill>
              </w:rPr>
            </w:pPr>
          </w:p>
        </w:tc>
        <w:tc>
          <w:tcPr>
            <w:tcW w:w="1843" w:type="dxa"/>
            <w:vAlign w:val="center"/>
          </w:tcPr>
          <w:p w14:paraId="346E4AE4">
            <w:pPr>
              <w:jc w:val="center"/>
              <w:rPr>
                <w:color w:val="000000" w:themeColor="text1"/>
                <w:highlight w:val="none"/>
                <w14:textFill>
                  <w14:solidFill>
                    <w14:schemeClr w14:val="tx1"/>
                  </w14:solidFill>
                </w14:textFill>
              </w:rPr>
            </w:pPr>
          </w:p>
        </w:tc>
      </w:tr>
      <w:tr w14:paraId="10A38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376D46D5">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w:t>
            </w:r>
          </w:p>
        </w:tc>
        <w:tc>
          <w:tcPr>
            <w:tcW w:w="1985" w:type="dxa"/>
            <w:vAlign w:val="center"/>
          </w:tcPr>
          <w:p w14:paraId="1D5C9380">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发包人支付担保</w:t>
            </w:r>
          </w:p>
        </w:tc>
        <w:tc>
          <w:tcPr>
            <w:tcW w:w="2126" w:type="dxa"/>
            <w:tcMar>
              <w:left w:w="170" w:type="dxa"/>
            </w:tcMar>
            <w:vAlign w:val="center"/>
          </w:tcPr>
          <w:p w14:paraId="6DA9CC11">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专用条款</w:t>
            </w:r>
          </w:p>
        </w:tc>
        <w:tc>
          <w:tcPr>
            <w:tcW w:w="1984" w:type="dxa"/>
            <w:vAlign w:val="center"/>
          </w:tcPr>
          <w:p w14:paraId="7AE7F510">
            <w:pPr>
              <w:jc w:val="center"/>
              <w:rPr>
                <w:color w:val="000000" w:themeColor="text1"/>
                <w:highlight w:val="none"/>
                <w14:textFill>
                  <w14:solidFill>
                    <w14:schemeClr w14:val="tx1"/>
                  </w14:solidFill>
                </w14:textFill>
              </w:rPr>
            </w:pPr>
          </w:p>
        </w:tc>
        <w:tc>
          <w:tcPr>
            <w:tcW w:w="1843" w:type="dxa"/>
            <w:vAlign w:val="center"/>
          </w:tcPr>
          <w:p w14:paraId="4A0755C1">
            <w:pPr>
              <w:jc w:val="center"/>
              <w:rPr>
                <w:color w:val="000000" w:themeColor="text1"/>
                <w:highlight w:val="none"/>
                <w14:textFill>
                  <w14:solidFill>
                    <w14:schemeClr w14:val="tx1"/>
                  </w14:solidFill>
                </w14:textFill>
              </w:rPr>
            </w:pPr>
          </w:p>
        </w:tc>
      </w:tr>
      <w:tr w14:paraId="502AE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73FA14C0">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w:t>
            </w:r>
          </w:p>
        </w:tc>
        <w:tc>
          <w:tcPr>
            <w:tcW w:w="1985" w:type="dxa"/>
            <w:vAlign w:val="center"/>
          </w:tcPr>
          <w:p w14:paraId="62D52550">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承包人履约担保金额</w:t>
            </w:r>
          </w:p>
        </w:tc>
        <w:tc>
          <w:tcPr>
            <w:tcW w:w="2126" w:type="dxa"/>
            <w:tcMar>
              <w:left w:w="170" w:type="dxa"/>
            </w:tcMar>
            <w:vAlign w:val="center"/>
          </w:tcPr>
          <w:p w14:paraId="7BC92696">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专用条款</w:t>
            </w:r>
          </w:p>
        </w:tc>
        <w:tc>
          <w:tcPr>
            <w:tcW w:w="1984" w:type="dxa"/>
            <w:vAlign w:val="center"/>
          </w:tcPr>
          <w:p w14:paraId="385B3A78">
            <w:pPr>
              <w:jc w:val="center"/>
              <w:rPr>
                <w:color w:val="000000" w:themeColor="text1"/>
                <w:highlight w:val="none"/>
                <w14:textFill>
                  <w14:solidFill>
                    <w14:schemeClr w14:val="tx1"/>
                  </w14:solidFill>
                </w14:textFill>
              </w:rPr>
            </w:pPr>
          </w:p>
        </w:tc>
        <w:tc>
          <w:tcPr>
            <w:tcW w:w="1843" w:type="dxa"/>
            <w:vAlign w:val="center"/>
          </w:tcPr>
          <w:p w14:paraId="159D0636">
            <w:pPr>
              <w:jc w:val="center"/>
              <w:rPr>
                <w:color w:val="000000" w:themeColor="text1"/>
                <w:highlight w:val="none"/>
                <w14:textFill>
                  <w14:solidFill>
                    <w14:schemeClr w14:val="tx1"/>
                  </w14:solidFill>
                </w14:textFill>
              </w:rPr>
            </w:pPr>
          </w:p>
        </w:tc>
      </w:tr>
      <w:tr w14:paraId="7A250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4370E5A2">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7</w:t>
            </w:r>
          </w:p>
        </w:tc>
        <w:tc>
          <w:tcPr>
            <w:tcW w:w="1985" w:type="dxa"/>
            <w:vAlign w:val="center"/>
          </w:tcPr>
          <w:p w14:paraId="26DBF496">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分包</w:t>
            </w:r>
          </w:p>
        </w:tc>
        <w:tc>
          <w:tcPr>
            <w:tcW w:w="2126" w:type="dxa"/>
            <w:tcMar>
              <w:left w:w="170" w:type="dxa"/>
            </w:tcMar>
            <w:vAlign w:val="center"/>
          </w:tcPr>
          <w:p w14:paraId="10708D02">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专用条款</w:t>
            </w:r>
          </w:p>
        </w:tc>
        <w:tc>
          <w:tcPr>
            <w:tcW w:w="1984" w:type="dxa"/>
            <w:vAlign w:val="center"/>
          </w:tcPr>
          <w:p w14:paraId="7BC7E423">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见分包项目情况表</w:t>
            </w:r>
          </w:p>
        </w:tc>
        <w:tc>
          <w:tcPr>
            <w:tcW w:w="1843" w:type="dxa"/>
            <w:vAlign w:val="center"/>
          </w:tcPr>
          <w:p w14:paraId="2E2B438B">
            <w:pPr>
              <w:jc w:val="center"/>
              <w:rPr>
                <w:color w:val="000000" w:themeColor="text1"/>
                <w:highlight w:val="none"/>
                <w14:textFill>
                  <w14:solidFill>
                    <w14:schemeClr w14:val="tx1"/>
                  </w14:solidFill>
                </w14:textFill>
              </w:rPr>
            </w:pPr>
          </w:p>
        </w:tc>
      </w:tr>
      <w:tr w14:paraId="5991E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2EC88C1A">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8</w:t>
            </w:r>
          </w:p>
        </w:tc>
        <w:tc>
          <w:tcPr>
            <w:tcW w:w="1985" w:type="dxa"/>
            <w:vAlign w:val="center"/>
          </w:tcPr>
          <w:p w14:paraId="20E2FD15">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逾期竣工违约金</w:t>
            </w:r>
          </w:p>
        </w:tc>
        <w:tc>
          <w:tcPr>
            <w:tcW w:w="2126" w:type="dxa"/>
            <w:tcMar>
              <w:left w:w="170" w:type="dxa"/>
            </w:tcMar>
            <w:vAlign w:val="center"/>
          </w:tcPr>
          <w:p w14:paraId="5B85366C">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专用条款</w:t>
            </w:r>
          </w:p>
        </w:tc>
        <w:tc>
          <w:tcPr>
            <w:tcW w:w="1984" w:type="dxa"/>
            <w:vAlign w:val="center"/>
          </w:tcPr>
          <w:p w14:paraId="22604FD2">
            <w:pPr>
              <w:rPr>
                <w:color w:val="000000" w:themeColor="text1"/>
                <w:highlight w:val="none"/>
                <w14:textFill>
                  <w14:solidFill>
                    <w14:schemeClr w14:val="tx1"/>
                  </w14:solidFill>
                </w14:textFill>
              </w:rPr>
            </w:pPr>
          </w:p>
        </w:tc>
        <w:tc>
          <w:tcPr>
            <w:tcW w:w="1843" w:type="dxa"/>
            <w:vAlign w:val="center"/>
          </w:tcPr>
          <w:p w14:paraId="3341DC31">
            <w:pPr>
              <w:jc w:val="center"/>
              <w:rPr>
                <w:color w:val="000000" w:themeColor="text1"/>
                <w:highlight w:val="none"/>
                <w14:textFill>
                  <w14:solidFill>
                    <w14:schemeClr w14:val="tx1"/>
                  </w14:solidFill>
                </w14:textFill>
              </w:rPr>
            </w:pPr>
          </w:p>
        </w:tc>
      </w:tr>
      <w:tr w14:paraId="25949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17CE2AB0">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9</w:t>
            </w:r>
          </w:p>
        </w:tc>
        <w:tc>
          <w:tcPr>
            <w:tcW w:w="1985" w:type="dxa"/>
            <w:vAlign w:val="center"/>
          </w:tcPr>
          <w:p w14:paraId="0AB28659">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逾期竣工违约金最高限额</w:t>
            </w:r>
          </w:p>
        </w:tc>
        <w:tc>
          <w:tcPr>
            <w:tcW w:w="2126" w:type="dxa"/>
            <w:tcMar>
              <w:left w:w="170" w:type="dxa"/>
            </w:tcMar>
            <w:vAlign w:val="center"/>
          </w:tcPr>
          <w:p w14:paraId="03487E24">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专用条款</w:t>
            </w:r>
          </w:p>
        </w:tc>
        <w:tc>
          <w:tcPr>
            <w:tcW w:w="1984" w:type="dxa"/>
            <w:vAlign w:val="center"/>
          </w:tcPr>
          <w:p w14:paraId="56B91D7E">
            <w:pPr>
              <w:rPr>
                <w:color w:val="000000" w:themeColor="text1"/>
                <w:highlight w:val="none"/>
                <w14:textFill>
                  <w14:solidFill>
                    <w14:schemeClr w14:val="tx1"/>
                  </w14:solidFill>
                </w14:textFill>
              </w:rPr>
            </w:pPr>
          </w:p>
        </w:tc>
        <w:tc>
          <w:tcPr>
            <w:tcW w:w="1843" w:type="dxa"/>
            <w:vAlign w:val="center"/>
          </w:tcPr>
          <w:p w14:paraId="2CCC78B9">
            <w:pPr>
              <w:jc w:val="center"/>
              <w:rPr>
                <w:color w:val="000000" w:themeColor="text1"/>
                <w:highlight w:val="none"/>
                <w14:textFill>
                  <w14:solidFill>
                    <w14:schemeClr w14:val="tx1"/>
                  </w14:solidFill>
                </w14:textFill>
              </w:rPr>
            </w:pPr>
          </w:p>
        </w:tc>
      </w:tr>
      <w:tr w14:paraId="4E756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3DC666A2">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10</w:t>
            </w:r>
          </w:p>
        </w:tc>
        <w:tc>
          <w:tcPr>
            <w:tcW w:w="1985" w:type="dxa"/>
            <w:vAlign w:val="center"/>
          </w:tcPr>
          <w:p w14:paraId="7825FEA7">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质量标准</w:t>
            </w:r>
          </w:p>
        </w:tc>
        <w:tc>
          <w:tcPr>
            <w:tcW w:w="2126" w:type="dxa"/>
            <w:tcMar>
              <w:left w:w="170" w:type="dxa"/>
            </w:tcMar>
            <w:vAlign w:val="center"/>
          </w:tcPr>
          <w:p w14:paraId="6DCB3495">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专用条款</w:t>
            </w:r>
          </w:p>
        </w:tc>
        <w:tc>
          <w:tcPr>
            <w:tcW w:w="1984" w:type="dxa"/>
            <w:vAlign w:val="center"/>
          </w:tcPr>
          <w:p w14:paraId="5927B806">
            <w:pPr>
              <w:jc w:val="center"/>
              <w:rPr>
                <w:color w:val="000000" w:themeColor="text1"/>
                <w:highlight w:val="none"/>
                <w14:textFill>
                  <w14:solidFill>
                    <w14:schemeClr w14:val="tx1"/>
                  </w14:solidFill>
                </w14:textFill>
              </w:rPr>
            </w:pPr>
          </w:p>
        </w:tc>
        <w:tc>
          <w:tcPr>
            <w:tcW w:w="1843" w:type="dxa"/>
            <w:vAlign w:val="center"/>
          </w:tcPr>
          <w:p w14:paraId="3C0BB9A4">
            <w:pPr>
              <w:jc w:val="center"/>
              <w:rPr>
                <w:color w:val="000000" w:themeColor="text1"/>
                <w:highlight w:val="none"/>
                <w14:textFill>
                  <w14:solidFill>
                    <w14:schemeClr w14:val="tx1"/>
                  </w14:solidFill>
                </w14:textFill>
              </w:rPr>
            </w:pPr>
          </w:p>
        </w:tc>
      </w:tr>
      <w:tr w14:paraId="6926B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02B937C2">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11</w:t>
            </w:r>
          </w:p>
        </w:tc>
        <w:tc>
          <w:tcPr>
            <w:tcW w:w="1985" w:type="dxa"/>
            <w:vAlign w:val="center"/>
          </w:tcPr>
          <w:p w14:paraId="1BA854EE">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预付款额度</w:t>
            </w:r>
          </w:p>
        </w:tc>
        <w:tc>
          <w:tcPr>
            <w:tcW w:w="2126" w:type="dxa"/>
            <w:tcMar>
              <w:left w:w="170" w:type="dxa"/>
            </w:tcMar>
            <w:vAlign w:val="center"/>
          </w:tcPr>
          <w:p w14:paraId="2BC1FE6C">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专用条款</w:t>
            </w:r>
          </w:p>
        </w:tc>
        <w:tc>
          <w:tcPr>
            <w:tcW w:w="1984" w:type="dxa"/>
            <w:vAlign w:val="center"/>
          </w:tcPr>
          <w:p w14:paraId="27F00379">
            <w:pPr>
              <w:jc w:val="center"/>
              <w:rPr>
                <w:color w:val="000000" w:themeColor="text1"/>
                <w:highlight w:val="none"/>
                <w14:textFill>
                  <w14:solidFill>
                    <w14:schemeClr w14:val="tx1"/>
                  </w14:solidFill>
                </w14:textFill>
              </w:rPr>
            </w:pPr>
          </w:p>
        </w:tc>
        <w:tc>
          <w:tcPr>
            <w:tcW w:w="1843" w:type="dxa"/>
            <w:vAlign w:val="center"/>
          </w:tcPr>
          <w:p w14:paraId="7E911696">
            <w:pPr>
              <w:jc w:val="center"/>
              <w:rPr>
                <w:color w:val="000000" w:themeColor="text1"/>
                <w:highlight w:val="none"/>
                <w14:textFill>
                  <w14:solidFill>
                    <w14:schemeClr w14:val="tx1"/>
                  </w14:solidFill>
                </w14:textFill>
              </w:rPr>
            </w:pPr>
          </w:p>
        </w:tc>
      </w:tr>
      <w:tr w14:paraId="169EF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6BD4FFEE">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12</w:t>
            </w:r>
          </w:p>
        </w:tc>
        <w:tc>
          <w:tcPr>
            <w:tcW w:w="1985" w:type="dxa"/>
            <w:vAlign w:val="center"/>
          </w:tcPr>
          <w:p w14:paraId="01090C8B">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预付款保函金额</w:t>
            </w:r>
          </w:p>
        </w:tc>
        <w:tc>
          <w:tcPr>
            <w:tcW w:w="2126" w:type="dxa"/>
            <w:tcMar>
              <w:left w:w="170" w:type="dxa"/>
            </w:tcMar>
            <w:vAlign w:val="center"/>
          </w:tcPr>
          <w:p w14:paraId="1E2C420D">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专用条款</w:t>
            </w:r>
          </w:p>
        </w:tc>
        <w:tc>
          <w:tcPr>
            <w:tcW w:w="1984" w:type="dxa"/>
            <w:vAlign w:val="center"/>
          </w:tcPr>
          <w:p w14:paraId="39BFA413">
            <w:pPr>
              <w:jc w:val="center"/>
              <w:rPr>
                <w:color w:val="000000" w:themeColor="text1"/>
                <w:highlight w:val="none"/>
                <w14:textFill>
                  <w14:solidFill>
                    <w14:schemeClr w14:val="tx1"/>
                  </w14:solidFill>
                </w14:textFill>
              </w:rPr>
            </w:pPr>
          </w:p>
        </w:tc>
        <w:tc>
          <w:tcPr>
            <w:tcW w:w="1843" w:type="dxa"/>
            <w:vAlign w:val="center"/>
          </w:tcPr>
          <w:p w14:paraId="341F0FCC">
            <w:pPr>
              <w:jc w:val="center"/>
              <w:rPr>
                <w:color w:val="000000" w:themeColor="text1"/>
                <w:highlight w:val="none"/>
                <w14:textFill>
                  <w14:solidFill>
                    <w14:schemeClr w14:val="tx1"/>
                  </w14:solidFill>
                </w14:textFill>
              </w:rPr>
            </w:pPr>
          </w:p>
        </w:tc>
      </w:tr>
      <w:tr w14:paraId="5E93B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33C64750">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13</w:t>
            </w:r>
          </w:p>
        </w:tc>
        <w:tc>
          <w:tcPr>
            <w:tcW w:w="1985" w:type="dxa"/>
            <w:vAlign w:val="center"/>
          </w:tcPr>
          <w:p w14:paraId="46C32ADC">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质量保证金额度</w:t>
            </w:r>
          </w:p>
        </w:tc>
        <w:tc>
          <w:tcPr>
            <w:tcW w:w="2126" w:type="dxa"/>
            <w:tcMar>
              <w:left w:w="170" w:type="dxa"/>
            </w:tcMar>
            <w:vAlign w:val="center"/>
          </w:tcPr>
          <w:p w14:paraId="144B1A93">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专用条款</w:t>
            </w:r>
          </w:p>
        </w:tc>
        <w:tc>
          <w:tcPr>
            <w:tcW w:w="1984" w:type="dxa"/>
            <w:vAlign w:val="center"/>
          </w:tcPr>
          <w:p w14:paraId="4FEBEA5D">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结算价的</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p>
        </w:tc>
        <w:tc>
          <w:tcPr>
            <w:tcW w:w="1843" w:type="dxa"/>
            <w:vAlign w:val="center"/>
          </w:tcPr>
          <w:p w14:paraId="7D0AACC4">
            <w:pPr>
              <w:jc w:val="center"/>
              <w:rPr>
                <w:color w:val="000000" w:themeColor="text1"/>
                <w:highlight w:val="none"/>
                <w14:textFill>
                  <w14:solidFill>
                    <w14:schemeClr w14:val="tx1"/>
                  </w14:solidFill>
                </w14:textFill>
              </w:rPr>
            </w:pPr>
          </w:p>
        </w:tc>
      </w:tr>
      <w:tr w14:paraId="7D829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31952F61">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p>
        </w:tc>
        <w:tc>
          <w:tcPr>
            <w:tcW w:w="1985" w:type="dxa"/>
            <w:vAlign w:val="center"/>
          </w:tcPr>
          <w:p w14:paraId="589DCB28">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p>
        </w:tc>
        <w:tc>
          <w:tcPr>
            <w:tcW w:w="2126" w:type="dxa"/>
            <w:tcMar>
              <w:left w:w="170" w:type="dxa"/>
            </w:tcMar>
            <w:vAlign w:val="center"/>
          </w:tcPr>
          <w:p w14:paraId="57C54B95">
            <w:pPr>
              <w:rPr>
                <w:color w:val="000000" w:themeColor="text1"/>
                <w:highlight w:val="none"/>
                <w14:textFill>
                  <w14:solidFill>
                    <w14:schemeClr w14:val="tx1"/>
                  </w14:solidFill>
                </w14:textFill>
              </w:rPr>
            </w:pPr>
          </w:p>
        </w:tc>
        <w:tc>
          <w:tcPr>
            <w:tcW w:w="1984" w:type="dxa"/>
            <w:vAlign w:val="center"/>
          </w:tcPr>
          <w:p w14:paraId="452DF66E">
            <w:pPr>
              <w:jc w:val="center"/>
              <w:rPr>
                <w:color w:val="000000" w:themeColor="text1"/>
                <w:highlight w:val="none"/>
                <w14:textFill>
                  <w14:solidFill>
                    <w14:schemeClr w14:val="tx1"/>
                  </w14:solidFill>
                </w14:textFill>
              </w:rPr>
            </w:pPr>
          </w:p>
        </w:tc>
        <w:tc>
          <w:tcPr>
            <w:tcW w:w="1843" w:type="dxa"/>
            <w:vAlign w:val="center"/>
          </w:tcPr>
          <w:p w14:paraId="058F248E">
            <w:pPr>
              <w:jc w:val="center"/>
              <w:rPr>
                <w:color w:val="000000" w:themeColor="text1"/>
                <w:highlight w:val="none"/>
                <w14:textFill>
                  <w14:solidFill>
                    <w14:schemeClr w14:val="tx1"/>
                  </w14:solidFill>
                </w14:textFill>
              </w:rPr>
            </w:pPr>
          </w:p>
        </w:tc>
      </w:tr>
      <w:tr w14:paraId="57B39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8930" w:type="dxa"/>
            <w:gridSpan w:val="5"/>
            <w:vAlign w:val="center"/>
          </w:tcPr>
          <w:p w14:paraId="4F4A8913">
            <w:pPr>
              <w:spacing w:line="360" w:lineRule="auto"/>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说明：供应商在响应磋商文件中规定的实质性要求和条件的基础上，可做出其他有利于采购人的承诺。此类承诺可在本表中予以补充填写。</w:t>
            </w:r>
          </w:p>
        </w:tc>
      </w:tr>
    </w:tbl>
    <w:p w14:paraId="438BFE4F">
      <w:pPr>
        <w:spacing w:line="360" w:lineRule="auto"/>
        <w:ind w:right="-817" w:rightChars="-389" w:firstLine="2640" w:firstLineChars="1100"/>
        <w:contextualSpacing/>
        <w:rPr>
          <w:rFonts w:ascii="宋体" w:hAnsi="宋体" w:cs="仿宋_GB2312"/>
          <w:color w:val="000000" w:themeColor="text1"/>
          <w:sz w:val="24"/>
          <w:highlight w:val="none"/>
          <w14:textFill>
            <w14:solidFill>
              <w14:schemeClr w14:val="tx1"/>
            </w14:solidFill>
          </w14:textFill>
        </w:rPr>
      </w:pPr>
    </w:p>
    <w:p w14:paraId="479C1CFB">
      <w:pPr>
        <w:spacing w:line="360" w:lineRule="auto"/>
        <w:ind w:right="-817" w:rightChars="-389"/>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法定代表人或者委托代理人（签字或者电子签名）：</w:t>
      </w:r>
      <w:r>
        <w:rPr>
          <w:rFonts w:hint="eastAsia" w:ascii="宋体" w:hAnsi="宋体" w:cs="仿宋_GB2312"/>
          <w:color w:val="000000" w:themeColor="text1"/>
          <w:sz w:val="24"/>
          <w:highlight w:val="none"/>
          <w:u w:val="single"/>
          <w:lang w:val="en-US" w:eastAsia="zh-CN"/>
          <w14:textFill>
            <w14:solidFill>
              <w14:schemeClr w14:val="tx1"/>
            </w14:solidFill>
          </w14:textFill>
        </w:rPr>
        <w:t xml:space="preserve">              </w:t>
      </w:r>
      <w:r>
        <w:rPr>
          <w:rFonts w:hint="eastAsia"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 xml:space="preserve">                    </w:t>
      </w:r>
    </w:p>
    <w:p w14:paraId="51CCC49B">
      <w:pPr>
        <w:spacing w:line="360" w:lineRule="auto"/>
        <w:ind w:right="-817" w:rightChars="-389" w:firstLine="2640" w:firstLineChars="11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供应商（电子签章）：</w:t>
      </w:r>
      <w:r>
        <w:rPr>
          <w:rFonts w:hint="eastAsia" w:ascii="宋体" w:hAnsi="宋体" w:cs="仿宋_GB2312"/>
          <w:color w:val="000000" w:themeColor="text1"/>
          <w:sz w:val="24"/>
          <w:highlight w:val="none"/>
          <w:u w:val="single"/>
          <w:lang w:val="en-US" w:eastAsia="zh-CN"/>
          <w14:textFill>
            <w14:solidFill>
              <w14:schemeClr w14:val="tx1"/>
            </w14:solidFill>
          </w14:textFill>
        </w:rPr>
        <w:t xml:space="preserve">              </w:t>
      </w:r>
      <w:r>
        <w:rPr>
          <w:rFonts w:hint="eastAsia"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 xml:space="preserve">      </w:t>
      </w:r>
    </w:p>
    <w:p w14:paraId="4B824BA6">
      <w:pPr>
        <w:spacing w:line="360" w:lineRule="auto"/>
        <w:jc w:val="center"/>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日期：   年   月   日</w:t>
      </w:r>
    </w:p>
    <w:p w14:paraId="20D9D0E3">
      <w:pPr>
        <w:spacing w:line="360" w:lineRule="auto"/>
        <w:rPr>
          <w:rFonts w:ascii="宋体" w:hAnsi="宋体" w:cs="仿宋_GB2312"/>
          <w:color w:val="000000" w:themeColor="text1"/>
          <w:sz w:val="24"/>
          <w:highlight w:val="none"/>
          <w14:textFill>
            <w14:solidFill>
              <w14:schemeClr w14:val="tx1"/>
            </w14:solidFill>
          </w14:textFill>
        </w:rPr>
      </w:pPr>
    </w:p>
    <w:p w14:paraId="0E2EEA96">
      <w:pPr>
        <w:spacing w:line="360" w:lineRule="auto"/>
        <w:jc w:val="center"/>
        <w:rPr>
          <w:rFonts w:ascii="方正小标宋简体" w:hAnsi="方正小标宋简体" w:eastAsia="方正小标宋简体" w:cs="方正小标宋简体"/>
          <w:bCs/>
          <w:color w:val="000000" w:themeColor="text1"/>
          <w:sz w:val="32"/>
          <w:szCs w:val="32"/>
          <w:highlight w:val="none"/>
          <w14:textFill>
            <w14:solidFill>
              <w14:schemeClr w14:val="tx1"/>
            </w14:solidFill>
          </w14:textFill>
        </w:rPr>
      </w:pPr>
      <w:r>
        <w:rPr>
          <w:rFonts w:ascii="宋体" w:hAnsi="宋体"/>
          <w:b/>
          <w:bCs/>
          <w:color w:val="000000" w:themeColor="text1"/>
          <w:sz w:val="32"/>
          <w:szCs w:val="32"/>
          <w:highlight w:val="none"/>
          <w14:textFill>
            <w14:solidFill>
              <w14:schemeClr w14:val="tx1"/>
            </w14:solidFill>
          </w14:textFill>
        </w:rPr>
        <w:br w:type="page"/>
      </w:r>
      <w:r>
        <w:rPr>
          <w:rFonts w:hint="eastAsia" w:ascii="宋体" w:hAnsi="宋体" w:cs="方正小标宋简体"/>
          <w:b/>
          <w:bCs/>
          <w:color w:val="000000" w:themeColor="text1"/>
          <w:sz w:val="32"/>
          <w:szCs w:val="32"/>
          <w:highlight w:val="none"/>
          <w14:textFill>
            <w14:solidFill>
              <w14:schemeClr w14:val="tx1"/>
            </w14:solidFill>
          </w14:textFill>
        </w:rPr>
        <w:t>竞标报价表</w:t>
      </w:r>
    </w:p>
    <w:p w14:paraId="5439E838">
      <w:pPr>
        <w:spacing w:line="440" w:lineRule="exact"/>
        <w:jc w:val="center"/>
        <w:rPr>
          <w:rFonts w:ascii="方正小标宋简体" w:hAnsi="方正小标宋简体" w:eastAsia="方正小标宋简体" w:cs="方正小标宋简体"/>
          <w:bCs/>
          <w:color w:val="000000" w:themeColor="text1"/>
          <w:sz w:val="32"/>
          <w:szCs w:val="32"/>
          <w:highlight w:val="none"/>
          <w14:textFill>
            <w14:solidFill>
              <w14:schemeClr w14:val="tx1"/>
            </w14:solidFill>
          </w14:textFill>
        </w:rPr>
      </w:pPr>
    </w:p>
    <w:p w14:paraId="528907A4">
      <w:pPr>
        <w:spacing w:line="360" w:lineRule="auto"/>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项目名称：</w:t>
      </w:r>
      <w:r>
        <w:rPr>
          <w:rFonts w:hint="eastAsia"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项目编号：</w:t>
      </w:r>
      <w:r>
        <w:rPr>
          <w:rFonts w:hint="eastAsia"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 xml:space="preserve">     </w:t>
      </w:r>
    </w:p>
    <w:p w14:paraId="6178AF7C">
      <w:pPr>
        <w:spacing w:line="360" w:lineRule="auto"/>
        <w:contextualSpacing/>
        <w:rPr>
          <w:rFonts w:ascii="宋体" w:hAnsi="宋体" w:cs="仿宋_GB2312"/>
          <w:color w:val="000000" w:themeColor="text1"/>
          <w:sz w:val="24"/>
          <w:highlight w:val="none"/>
          <w:u w:val="singl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分标（如有）：</w:t>
      </w:r>
      <w:r>
        <w:rPr>
          <w:rFonts w:hint="eastAsia" w:ascii="宋体" w:hAnsi="宋体" w:cs="仿宋_GB2312"/>
          <w:color w:val="000000" w:themeColor="text1"/>
          <w:sz w:val="24"/>
          <w:highlight w:val="none"/>
          <w:u w:val="single"/>
          <w14:textFill>
            <w14:solidFill>
              <w14:schemeClr w14:val="tx1"/>
            </w14:solidFill>
          </w14:textFill>
        </w:rPr>
        <w:t xml:space="preserve">            </w:t>
      </w:r>
    </w:p>
    <w:p w14:paraId="2A3F5327">
      <w:pPr>
        <w:spacing w:line="360" w:lineRule="auto"/>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供应商名称：</w:t>
      </w:r>
      <w:r>
        <w:rPr>
          <w:rFonts w:hint="eastAsia"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 xml:space="preserve">   </w:t>
      </w:r>
    </w:p>
    <w:p w14:paraId="6BE592A8">
      <w:pPr>
        <w:spacing w:line="360" w:lineRule="auto"/>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                                                单位：元</w:t>
      </w:r>
    </w:p>
    <w:tbl>
      <w:tblPr>
        <w:tblStyle w:val="43"/>
        <w:tblW w:w="9095"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712"/>
        <w:gridCol w:w="1505"/>
        <w:gridCol w:w="3107"/>
        <w:gridCol w:w="1184"/>
      </w:tblGrid>
      <w:tr w14:paraId="1EE23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092BCF78">
            <w:pPr>
              <w:spacing w:line="360" w:lineRule="auto"/>
              <w:contextualSpacing/>
              <w:jc w:val="center"/>
              <w:rPr>
                <w:rFonts w:ascii="宋体" w:hAnsi="宋体" w:cs="仿宋_GB2312"/>
                <w:color w:val="000000" w:themeColor="text1"/>
                <w:sz w:val="24"/>
                <w:highlight w:val="none"/>
                <w14:textFill>
                  <w14:solidFill>
                    <w14:schemeClr w14:val="tx1"/>
                  </w14:solidFill>
                </w14:textFill>
              </w:rPr>
            </w:pPr>
            <w:r>
              <w:rPr>
                <w:rFonts w:ascii="宋体" w:hAnsi="宋体" w:cs="仿宋_GB2312"/>
                <w:color w:val="000000" w:themeColor="text1"/>
                <w:sz w:val="24"/>
                <w:highlight w:val="none"/>
                <w14:textFill>
                  <w14:solidFill>
                    <w14:schemeClr w14:val="tx1"/>
                  </w14:solidFill>
                </w14:textFill>
              </w:rPr>
              <w:t>序号</w:t>
            </w:r>
          </w:p>
        </w:tc>
        <w:tc>
          <w:tcPr>
            <w:tcW w:w="2712" w:type="dxa"/>
            <w:tcBorders>
              <w:top w:val="single" w:color="auto" w:sz="4" w:space="0"/>
              <w:left w:val="single" w:color="auto" w:sz="4" w:space="0"/>
              <w:bottom w:val="single" w:color="auto" w:sz="4" w:space="0"/>
              <w:right w:val="single" w:color="auto" w:sz="4" w:space="0"/>
            </w:tcBorders>
            <w:vAlign w:val="center"/>
          </w:tcPr>
          <w:p w14:paraId="6D106604">
            <w:pPr>
              <w:spacing w:line="360" w:lineRule="auto"/>
              <w:contextualSpacing/>
              <w:jc w:val="center"/>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项目</w:t>
            </w:r>
            <w:r>
              <w:rPr>
                <w:rFonts w:ascii="宋体" w:hAnsi="宋体" w:cs="仿宋_GB2312"/>
                <w:color w:val="000000" w:themeColor="text1"/>
                <w:sz w:val="24"/>
                <w:highlight w:val="none"/>
                <w14:textFill>
                  <w14:solidFill>
                    <w14:schemeClr w14:val="tx1"/>
                  </w14:solidFill>
                </w14:textFill>
              </w:rPr>
              <w:t>名称</w:t>
            </w:r>
          </w:p>
        </w:tc>
        <w:tc>
          <w:tcPr>
            <w:tcW w:w="1505" w:type="dxa"/>
            <w:tcBorders>
              <w:top w:val="single" w:color="auto" w:sz="4" w:space="0"/>
              <w:left w:val="single" w:color="auto" w:sz="4" w:space="0"/>
              <w:bottom w:val="single" w:color="auto" w:sz="4" w:space="0"/>
              <w:right w:val="single" w:color="auto" w:sz="4" w:space="0"/>
            </w:tcBorders>
            <w:vAlign w:val="center"/>
          </w:tcPr>
          <w:p w14:paraId="2C90A9D5">
            <w:pPr>
              <w:spacing w:line="360" w:lineRule="auto"/>
              <w:contextualSpacing/>
              <w:jc w:val="center"/>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数量及单位</w:t>
            </w:r>
          </w:p>
        </w:tc>
        <w:tc>
          <w:tcPr>
            <w:tcW w:w="3107" w:type="dxa"/>
            <w:tcBorders>
              <w:top w:val="single" w:color="auto" w:sz="4" w:space="0"/>
              <w:left w:val="single" w:color="auto" w:sz="4" w:space="0"/>
              <w:bottom w:val="single" w:color="auto" w:sz="4" w:space="0"/>
              <w:right w:val="single" w:color="auto" w:sz="4" w:space="0"/>
            </w:tcBorders>
            <w:vAlign w:val="center"/>
          </w:tcPr>
          <w:p w14:paraId="5DCFADF9">
            <w:pPr>
              <w:spacing w:line="360" w:lineRule="auto"/>
              <w:contextualSpacing/>
              <w:jc w:val="center"/>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总价</w:t>
            </w:r>
          </w:p>
        </w:tc>
        <w:tc>
          <w:tcPr>
            <w:tcW w:w="1184" w:type="dxa"/>
            <w:tcBorders>
              <w:top w:val="single" w:color="auto" w:sz="4" w:space="0"/>
              <w:left w:val="single" w:color="auto" w:sz="4" w:space="0"/>
              <w:bottom w:val="single" w:color="auto" w:sz="4" w:space="0"/>
              <w:right w:val="single" w:color="auto" w:sz="4" w:space="0"/>
            </w:tcBorders>
            <w:vAlign w:val="center"/>
          </w:tcPr>
          <w:p w14:paraId="4E07E7F0">
            <w:pPr>
              <w:spacing w:line="360" w:lineRule="auto"/>
              <w:contextualSpacing/>
              <w:jc w:val="center"/>
              <w:rPr>
                <w:rFonts w:ascii="宋体" w:hAnsi="宋体" w:cs="仿宋_GB2312"/>
                <w:color w:val="000000" w:themeColor="text1"/>
                <w:sz w:val="24"/>
                <w:highlight w:val="none"/>
                <w14:textFill>
                  <w14:solidFill>
                    <w14:schemeClr w14:val="tx1"/>
                  </w14:solidFill>
                </w14:textFill>
              </w:rPr>
            </w:pPr>
            <w:r>
              <w:rPr>
                <w:rFonts w:ascii="宋体" w:hAnsi="宋体" w:cs="仿宋_GB2312"/>
                <w:color w:val="000000" w:themeColor="text1"/>
                <w:sz w:val="24"/>
                <w:highlight w:val="none"/>
                <w14:textFill>
                  <w14:solidFill>
                    <w14:schemeClr w14:val="tx1"/>
                  </w14:solidFill>
                </w14:textFill>
              </w:rPr>
              <w:t>备注</w:t>
            </w:r>
          </w:p>
        </w:tc>
      </w:tr>
      <w:tr w14:paraId="083F2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2312C4A3">
            <w:pPr>
              <w:spacing w:line="360" w:lineRule="auto"/>
              <w:contextualSpacing/>
              <w:jc w:val="center"/>
              <w:rPr>
                <w:rFonts w:ascii="宋体" w:hAnsi="宋体" w:cs="仿宋_GB2312"/>
                <w:color w:val="000000" w:themeColor="text1"/>
                <w:sz w:val="24"/>
                <w:highlight w:val="none"/>
                <w14:textFill>
                  <w14:solidFill>
                    <w14:schemeClr w14:val="tx1"/>
                  </w14:solidFill>
                </w14:textFill>
              </w:rPr>
            </w:pPr>
            <w:r>
              <w:rPr>
                <w:rFonts w:ascii="宋体" w:hAnsi="宋体" w:cs="仿宋_GB2312"/>
                <w:color w:val="000000" w:themeColor="text1"/>
                <w:sz w:val="24"/>
                <w:highlight w:val="none"/>
                <w14:textFill>
                  <w14:solidFill>
                    <w14:schemeClr w14:val="tx1"/>
                  </w14:solidFill>
                </w14:textFill>
              </w:rPr>
              <w:t>1</w:t>
            </w:r>
          </w:p>
        </w:tc>
        <w:tc>
          <w:tcPr>
            <w:tcW w:w="2712" w:type="dxa"/>
            <w:tcBorders>
              <w:top w:val="single" w:color="auto" w:sz="4" w:space="0"/>
              <w:left w:val="single" w:color="auto" w:sz="4" w:space="0"/>
              <w:bottom w:val="single" w:color="auto" w:sz="4" w:space="0"/>
              <w:right w:val="single" w:color="auto" w:sz="4" w:space="0"/>
            </w:tcBorders>
            <w:vAlign w:val="center"/>
          </w:tcPr>
          <w:p w14:paraId="003A93FE">
            <w:pPr>
              <w:spacing w:line="360" w:lineRule="auto"/>
              <w:contextualSpacing/>
              <w:jc w:val="center"/>
              <w:rPr>
                <w:rFonts w:ascii="宋体" w:hAnsi="宋体" w:cs="仿宋_GB2312"/>
                <w:color w:val="000000" w:themeColor="text1"/>
                <w:sz w:val="24"/>
                <w:highlight w:val="none"/>
                <w14:textFill>
                  <w14:solidFill>
                    <w14:schemeClr w14:val="tx1"/>
                  </w14:solidFill>
                </w14:textFill>
              </w:rPr>
            </w:pPr>
          </w:p>
        </w:tc>
        <w:tc>
          <w:tcPr>
            <w:tcW w:w="1505" w:type="dxa"/>
            <w:tcBorders>
              <w:top w:val="single" w:color="auto" w:sz="4" w:space="0"/>
              <w:left w:val="single" w:color="auto" w:sz="4" w:space="0"/>
              <w:bottom w:val="single" w:color="auto" w:sz="4" w:space="0"/>
              <w:right w:val="single" w:color="auto" w:sz="4" w:space="0"/>
            </w:tcBorders>
            <w:vAlign w:val="center"/>
          </w:tcPr>
          <w:p w14:paraId="646ECF9F">
            <w:pPr>
              <w:spacing w:line="360" w:lineRule="auto"/>
              <w:contextualSpacing/>
              <w:jc w:val="center"/>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1项</w:t>
            </w:r>
          </w:p>
        </w:tc>
        <w:tc>
          <w:tcPr>
            <w:tcW w:w="3107" w:type="dxa"/>
            <w:tcBorders>
              <w:top w:val="single" w:color="auto" w:sz="4" w:space="0"/>
              <w:left w:val="single" w:color="auto" w:sz="4" w:space="0"/>
              <w:bottom w:val="single" w:color="auto" w:sz="4" w:space="0"/>
              <w:right w:val="single" w:color="auto" w:sz="4" w:space="0"/>
            </w:tcBorders>
          </w:tcPr>
          <w:p w14:paraId="49AF751B">
            <w:pPr>
              <w:spacing w:line="360" w:lineRule="auto"/>
              <w:contextualSpacing/>
              <w:rPr>
                <w:rFonts w:ascii="宋体" w:hAnsi="宋体" w:cs="仿宋_GB2312"/>
                <w:color w:val="000000" w:themeColor="text1"/>
                <w:sz w:val="24"/>
                <w:highlight w:val="none"/>
                <w14:textFill>
                  <w14:solidFill>
                    <w14:schemeClr w14:val="tx1"/>
                  </w14:solidFill>
                </w14:textFill>
              </w:rPr>
            </w:pPr>
          </w:p>
        </w:tc>
        <w:tc>
          <w:tcPr>
            <w:tcW w:w="1184" w:type="dxa"/>
            <w:tcBorders>
              <w:top w:val="single" w:color="auto" w:sz="4" w:space="0"/>
              <w:left w:val="single" w:color="auto" w:sz="4" w:space="0"/>
              <w:bottom w:val="single" w:color="auto" w:sz="4" w:space="0"/>
              <w:right w:val="single" w:color="auto" w:sz="4" w:space="0"/>
            </w:tcBorders>
            <w:vAlign w:val="center"/>
          </w:tcPr>
          <w:p w14:paraId="3D862958">
            <w:pPr>
              <w:spacing w:line="360" w:lineRule="auto"/>
              <w:contextualSpacing/>
              <w:rPr>
                <w:rFonts w:ascii="宋体" w:hAnsi="宋体" w:cs="仿宋_GB2312"/>
                <w:color w:val="000000" w:themeColor="text1"/>
                <w:sz w:val="24"/>
                <w:highlight w:val="none"/>
                <w14:textFill>
                  <w14:solidFill>
                    <w14:schemeClr w14:val="tx1"/>
                  </w14:solidFill>
                </w14:textFill>
              </w:rPr>
            </w:pPr>
          </w:p>
        </w:tc>
      </w:tr>
      <w:tr w14:paraId="0FFA1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5"/>
            <w:tcBorders>
              <w:top w:val="single" w:color="auto" w:sz="4" w:space="0"/>
              <w:left w:val="single" w:color="auto" w:sz="4" w:space="0"/>
              <w:bottom w:val="single" w:color="auto" w:sz="4" w:space="0"/>
              <w:right w:val="single" w:color="auto" w:sz="4" w:space="0"/>
            </w:tcBorders>
            <w:vAlign w:val="center"/>
          </w:tcPr>
          <w:p w14:paraId="01B7A512">
            <w:pPr>
              <w:pStyle w:val="17"/>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合计金额（人民币）</w:t>
            </w:r>
            <w:r>
              <w:rPr>
                <w:rFonts w:hint="eastAsia" w:ascii="宋体" w:hAnsi="宋体" w:cs="仿宋_GB2312"/>
                <w:color w:val="000000" w:themeColor="text1"/>
                <w:sz w:val="24"/>
                <w:highlight w:val="none"/>
                <w:u w:val="single"/>
                <w14:textFill>
                  <w14:solidFill>
                    <w14:schemeClr w14:val="tx1"/>
                  </w14:solidFill>
                </w14:textFill>
              </w:rPr>
              <w:t xml:space="preserve">大写：                      </w:t>
            </w:r>
            <w:r>
              <w:rPr>
                <w:rFonts w:hint="eastAsia" w:ascii="宋体" w:hAnsi="宋体" w:cs="仿宋_GB2312"/>
                <w:color w:val="000000" w:themeColor="text1"/>
                <w:sz w:val="24"/>
                <w:highlight w:val="none"/>
                <w14:textFill>
                  <w14:solidFill>
                    <w14:schemeClr w14:val="tx1"/>
                  </w14:solidFill>
                </w14:textFill>
              </w:rPr>
              <w:t xml:space="preserve"> （</w:t>
            </w:r>
            <w:r>
              <w:rPr>
                <w:color w:val="000000" w:themeColor="text1"/>
                <w:szCs w:val="21"/>
                <w:highlight w:val="none"/>
                <w14:textFill>
                  <w14:solidFill>
                    <w14:schemeClr w14:val="tx1"/>
                  </w14:solidFill>
                </w14:textFill>
              </w:rPr>
              <w:t>¥</w:t>
            </w:r>
            <w:r>
              <w:rPr>
                <w:rFonts w:hint="eastAsia"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w:t>
            </w:r>
          </w:p>
        </w:tc>
      </w:tr>
    </w:tbl>
    <w:p w14:paraId="485C1F65">
      <w:pPr>
        <w:spacing w:line="360" w:lineRule="auto"/>
        <w:contextualSpacing/>
        <w:jc w:val="left"/>
        <w:rPr>
          <w:rFonts w:ascii="宋体" w:hAnsi="宋体" w:cs="仿宋_GB2312"/>
          <w:color w:val="000000" w:themeColor="text1"/>
          <w:sz w:val="24"/>
          <w:highlight w:val="none"/>
          <w14:textFill>
            <w14:solidFill>
              <w14:schemeClr w14:val="tx1"/>
            </w14:solidFill>
          </w14:textFill>
        </w:rPr>
      </w:pPr>
    </w:p>
    <w:p w14:paraId="2DAAB329">
      <w:pPr>
        <w:spacing w:line="360" w:lineRule="auto"/>
        <w:contextualSpacing/>
        <w:jc w:val="left"/>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注: </w:t>
      </w:r>
    </w:p>
    <w:p w14:paraId="007102CA">
      <w:pPr>
        <w:spacing w:line="360" w:lineRule="auto"/>
        <w:ind w:firstLine="480" w:firstLineChars="200"/>
        <w:contextualSpacing/>
        <w:jc w:val="left"/>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1. 供应商的报价表必须加盖供应商电子签章并由法定代表人或者委托代理人签字或者电子签名，</w:t>
      </w:r>
      <w:r>
        <w:rPr>
          <w:rFonts w:hint="eastAsia" w:ascii="宋体" w:hAnsi="宋体" w:cs="仿宋_GB2312"/>
          <w:b/>
          <w:color w:val="000000" w:themeColor="text1"/>
          <w:sz w:val="24"/>
          <w:highlight w:val="none"/>
          <w14:textFill>
            <w14:solidFill>
              <w14:schemeClr w14:val="tx1"/>
            </w14:solidFill>
          </w14:textFill>
        </w:rPr>
        <w:t>否则其响应文件按无效处理</w:t>
      </w:r>
      <w:r>
        <w:rPr>
          <w:rFonts w:hint="eastAsia" w:ascii="宋体" w:hAnsi="宋体" w:cs="仿宋_GB2312"/>
          <w:color w:val="000000" w:themeColor="text1"/>
          <w:sz w:val="24"/>
          <w:highlight w:val="none"/>
          <w14:textFill>
            <w14:solidFill>
              <w14:schemeClr w14:val="tx1"/>
            </w14:solidFill>
          </w14:textFill>
        </w:rPr>
        <w:t>。</w:t>
      </w:r>
    </w:p>
    <w:p w14:paraId="6E3E52EC">
      <w:pPr>
        <w:spacing w:line="360" w:lineRule="auto"/>
        <w:ind w:firstLine="480" w:firstLineChars="200"/>
        <w:contextualSpacing/>
        <w:jc w:val="left"/>
        <w:rPr>
          <w:rFonts w:ascii="宋体" w:hAnsi="宋体" w:cs="仿宋_GB2312"/>
          <w:b/>
          <w:color w:val="000000" w:themeColor="text1"/>
          <w:sz w:val="24"/>
          <w:highlight w:val="none"/>
          <w14:textFill>
            <w14:solidFill>
              <w14:schemeClr w14:val="tx1"/>
            </w14:solidFill>
          </w14:textFill>
        </w:rPr>
      </w:pPr>
      <w:r>
        <w:rPr>
          <w:rFonts w:hint="eastAsia" w:ascii="宋体" w:hAnsi="宋体" w:cs="仿宋_GB2312"/>
          <w:bCs/>
          <w:color w:val="000000" w:themeColor="text1"/>
          <w:sz w:val="24"/>
          <w:highlight w:val="none"/>
          <w14:textFill>
            <w14:solidFill>
              <w14:schemeClr w14:val="tx1"/>
            </w14:solidFill>
          </w14:textFill>
        </w:rPr>
        <w:t>2.</w:t>
      </w:r>
      <w:r>
        <w:rPr>
          <w:rFonts w:hint="eastAsia" w:ascii="宋体" w:hAnsi="宋体" w:cs="仿宋_GB2312"/>
          <w:color w:val="000000" w:themeColor="text1"/>
          <w:sz w:val="24"/>
          <w:highlight w:val="none"/>
          <w14:textFill>
            <w14:solidFill>
              <w14:schemeClr w14:val="tx1"/>
            </w14:solidFill>
          </w14:textFill>
        </w:rPr>
        <w:t xml:space="preserve"> 报价一经涂改，应在涂改处加盖供应商公章或者加盖电子签章或者由法定代表人或者授权委托人签字</w:t>
      </w:r>
      <w:r>
        <w:rPr>
          <w:rFonts w:hint="eastAsia" w:ascii="宋体" w:hAnsi="宋体"/>
          <w:color w:val="000000" w:themeColor="text1"/>
          <w:sz w:val="24"/>
          <w:highlight w:val="none"/>
          <w14:textFill>
            <w14:solidFill>
              <w14:schemeClr w14:val="tx1"/>
            </w14:solidFill>
          </w14:textFill>
        </w:rPr>
        <w:t>（或者电子签名）</w:t>
      </w:r>
      <w:r>
        <w:rPr>
          <w:rFonts w:hint="eastAsia" w:ascii="宋体" w:hAnsi="宋体" w:cs="仿宋_GB2312"/>
          <w:b/>
          <w:color w:val="000000" w:themeColor="text1"/>
          <w:sz w:val="24"/>
          <w:highlight w:val="none"/>
          <w14:textFill>
            <w14:solidFill>
              <w14:schemeClr w14:val="tx1"/>
            </w14:solidFill>
          </w14:textFill>
        </w:rPr>
        <w:t>，否则其响应文件按无效处理。</w:t>
      </w:r>
    </w:p>
    <w:p w14:paraId="39802808">
      <w:pPr>
        <w:spacing w:line="360" w:lineRule="auto"/>
        <w:ind w:right="-817" w:rightChars="-389"/>
        <w:contextualSpacing/>
        <w:rPr>
          <w:rFonts w:ascii="宋体" w:hAnsi="宋体" w:cs="仿宋_GB2312"/>
          <w:color w:val="000000" w:themeColor="text1"/>
          <w:sz w:val="24"/>
          <w:highlight w:val="none"/>
          <w14:textFill>
            <w14:solidFill>
              <w14:schemeClr w14:val="tx1"/>
            </w14:solidFill>
          </w14:textFill>
        </w:rPr>
      </w:pPr>
    </w:p>
    <w:p w14:paraId="2DEFBC32">
      <w:pPr>
        <w:spacing w:line="360" w:lineRule="auto"/>
        <w:ind w:right="-817" w:rightChars="-389" w:firstLine="480" w:firstLineChars="2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法定代表人或者委托代理人（签字或者电子签名）：</w:t>
      </w:r>
      <w:r>
        <w:rPr>
          <w:rFonts w:hint="eastAsia" w:ascii="宋体" w:hAnsi="宋体" w:cs="仿宋_GB2312"/>
          <w:color w:val="000000" w:themeColor="text1"/>
          <w:sz w:val="24"/>
          <w:highlight w:val="none"/>
          <w:u w:val="single"/>
          <w:lang w:val="en-US" w:eastAsia="zh-CN"/>
          <w14:textFill>
            <w14:solidFill>
              <w14:schemeClr w14:val="tx1"/>
            </w14:solidFill>
          </w14:textFill>
        </w:rPr>
        <w:t xml:space="preserve">              </w:t>
      </w:r>
      <w:r>
        <w:rPr>
          <w:rFonts w:hint="eastAsia"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 xml:space="preserve">                    </w:t>
      </w:r>
    </w:p>
    <w:p w14:paraId="472FD62E">
      <w:pPr>
        <w:spacing w:line="360" w:lineRule="auto"/>
        <w:ind w:right="-817" w:rightChars="-389" w:firstLine="2640" w:firstLineChars="11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供应商（电子签章）：</w:t>
      </w:r>
      <w:r>
        <w:rPr>
          <w:rFonts w:hint="eastAsia" w:ascii="宋体" w:hAnsi="宋体" w:cs="仿宋_GB2312"/>
          <w:color w:val="000000" w:themeColor="text1"/>
          <w:sz w:val="24"/>
          <w:highlight w:val="none"/>
          <w:u w:val="single"/>
          <w:lang w:val="en-US" w:eastAsia="zh-CN"/>
          <w14:textFill>
            <w14:solidFill>
              <w14:schemeClr w14:val="tx1"/>
            </w14:solidFill>
          </w14:textFill>
        </w:rPr>
        <w:t xml:space="preserve">              </w:t>
      </w:r>
      <w:r>
        <w:rPr>
          <w:rFonts w:hint="eastAsia"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 xml:space="preserve">      </w:t>
      </w:r>
    </w:p>
    <w:p w14:paraId="644E45DB">
      <w:pPr>
        <w:spacing w:line="360" w:lineRule="auto"/>
        <w:ind w:right="-817" w:rightChars="-389" w:firstLine="4080" w:firstLineChars="17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日期：   年   月   日</w:t>
      </w:r>
    </w:p>
    <w:p w14:paraId="685D537F">
      <w:pPr>
        <w:spacing w:line="360" w:lineRule="auto"/>
        <w:contextualSpacing/>
        <w:jc w:val="center"/>
        <w:rPr>
          <w:rFonts w:ascii="宋体" w:hAnsi="宋体" w:cs="仿宋_GB2312"/>
          <w:b/>
          <w:color w:val="000000" w:themeColor="text1"/>
          <w:sz w:val="32"/>
          <w:szCs w:val="32"/>
          <w:highlight w:val="none"/>
          <w14:textFill>
            <w14:solidFill>
              <w14:schemeClr w14:val="tx1"/>
            </w14:solidFill>
          </w14:textFill>
        </w:rPr>
      </w:pPr>
      <w:r>
        <w:rPr>
          <w:rFonts w:ascii="宋体" w:hAnsi="宋体" w:cs="仿宋_GB2312"/>
          <w:color w:val="000000" w:themeColor="text1"/>
          <w:sz w:val="24"/>
          <w:highlight w:val="none"/>
          <w14:textFill>
            <w14:solidFill>
              <w14:schemeClr w14:val="tx1"/>
            </w14:solidFill>
          </w14:textFill>
        </w:rPr>
        <w:br w:type="page"/>
      </w:r>
      <w:r>
        <w:rPr>
          <w:rFonts w:hint="eastAsia" w:ascii="宋体" w:hAnsi="宋体" w:cs="宋体"/>
          <w:b/>
          <w:color w:val="000000" w:themeColor="text1"/>
          <w:sz w:val="32"/>
          <w:szCs w:val="32"/>
          <w:highlight w:val="none"/>
          <w14:textFill>
            <w14:solidFill>
              <w14:schemeClr w14:val="tx1"/>
            </w14:solidFill>
          </w14:textFill>
        </w:rPr>
        <w:t>已标价工程量清单</w:t>
      </w:r>
    </w:p>
    <w:p w14:paraId="110B8C6A">
      <w:pPr>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 </w:t>
      </w:r>
      <w:r>
        <w:rPr>
          <w:rFonts w:hint="eastAsia" w:cs="宋体"/>
          <w:color w:val="000000" w:themeColor="text1"/>
          <w:highlight w:val="none"/>
          <w14:textFill>
            <w14:solidFill>
              <w14:schemeClr w14:val="tx1"/>
            </w14:solidFill>
          </w14:textFill>
        </w:rPr>
        <w:t>已标价工程量清单应按第五章</w:t>
      </w:r>
      <w:r>
        <w:rPr>
          <w:rFonts w:hint="eastAsia"/>
          <w:color w:val="000000" w:themeColor="text1"/>
          <w:highlight w:val="none"/>
          <w14:textFill>
            <w14:solidFill>
              <w14:schemeClr w14:val="tx1"/>
            </w14:solidFill>
          </w14:textFill>
        </w:rPr>
        <w:t>“工程量清单及图纸”</w:t>
      </w:r>
      <w:r>
        <w:rPr>
          <w:rFonts w:hint="eastAsia" w:cs="宋体"/>
          <w:color w:val="000000" w:themeColor="text1"/>
          <w:highlight w:val="none"/>
          <w14:textFill>
            <w14:solidFill>
              <w14:schemeClr w14:val="tx1"/>
            </w14:solidFill>
          </w14:textFill>
        </w:rPr>
        <w:t>中的相关表格及竞标报价说明填写。构成合同文件的已标价工程量清单包括第五章</w:t>
      </w:r>
      <w:r>
        <w:rPr>
          <w:rFonts w:hint="eastAsia"/>
          <w:color w:val="000000" w:themeColor="text1"/>
          <w:highlight w:val="none"/>
          <w14:textFill>
            <w14:solidFill>
              <w14:schemeClr w14:val="tx1"/>
            </w14:solidFill>
          </w14:textFill>
        </w:rPr>
        <w:t>“工程量清单及图纸”</w:t>
      </w:r>
      <w:r>
        <w:rPr>
          <w:rFonts w:hint="eastAsia" w:cs="宋体"/>
          <w:color w:val="000000" w:themeColor="text1"/>
          <w:highlight w:val="none"/>
          <w14:textFill>
            <w14:solidFill>
              <w14:schemeClr w14:val="tx1"/>
            </w14:solidFill>
          </w14:textFill>
        </w:rPr>
        <w:t>有关工程量清单、竞标报价以及其他说明的内容。</w:t>
      </w:r>
    </w:p>
    <w:p w14:paraId="0ABC8658">
      <w:pPr>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2. </w:t>
      </w:r>
      <w:r>
        <w:rPr>
          <w:rFonts w:hint="eastAsia" w:cs="宋体"/>
          <w:color w:val="000000" w:themeColor="text1"/>
          <w:highlight w:val="none"/>
          <w14:textFill>
            <w14:solidFill>
              <w14:schemeClr w14:val="tx1"/>
            </w14:solidFill>
          </w14:textFill>
        </w:rPr>
        <w:t>一般计税法建设工程已标价工程量清单表格按</w:t>
      </w:r>
      <w:r>
        <w:rPr>
          <w:rFonts w:hint="eastAsia" w:hAnsi="宋体" w:cs="宋体"/>
          <w:color w:val="000000" w:themeColor="text1"/>
          <w:kern w:val="0"/>
          <w:highlight w:val="none"/>
          <w14:textFill>
            <w14:solidFill>
              <w14:schemeClr w14:val="tx1"/>
            </w14:solidFill>
          </w14:textFill>
        </w:rPr>
        <w:t>《关于建筑业实施营业税改征增值税后广西壮族自治区建设工程计价依据调整的通知》（桂建标〔</w:t>
      </w:r>
      <w:r>
        <w:rPr>
          <w:rFonts w:hAnsi="宋体"/>
          <w:color w:val="000000" w:themeColor="text1"/>
          <w:kern w:val="0"/>
          <w:highlight w:val="none"/>
          <w14:textFill>
            <w14:solidFill>
              <w14:schemeClr w14:val="tx1"/>
            </w14:solidFill>
          </w14:textFill>
        </w:rPr>
        <w:t>2016</w:t>
      </w:r>
      <w:r>
        <w:rPr>
          <w:rFonts w:hint="eastAsia" w:hAnsi="宋体" w:cs="宋体"/>
          <w:color w:val="000000" w:themeColor="text1"/>
          <w:kern w:val="0"/>
          <w:highlight w:val="none"/>
          <w14:textFill>
            <w14:solidFill>
              <w14:schemeClr w14:val="tx1"/>
            </w14:solidFill>
          </w14:textFill>
        </w:rPr>
        <w:t>〕</w:t>
      </w:r>
      <w:r>
        <w:rPr>
          <w:rFonts w:hAnsi="宋体"/>
          <w:color w:val="000000" w:themeColor="text1"/>
          <w:kern w:val="0"/>
          <w:highlight w:val="none"/>
          <w14:textFill>
            <w14:solidFill>
              <w14:schemeClr w14:val="tx1"/>
            </w14:solidFill>
          </w14:textFill>
        </w:rPr>
        <w:t>17</w:t>
      </w:r>
      <w:r>
        <w:rPr>
          <w:rFonts w:hint="eastAsia" w:hAnsi="宋体" w:cs="宋体"/>
          <w:color w:val="000000" w:themeColor="text1"/>
          <w:kern w:val="0"/>
          <w:highlight w:val="none"/>
          <w14:textFill>
            <w14:solidFill>
              <w14:schemeClr w14:val="tx1"/>
            </w14:solidFill>
          </w14:textFill>
        </w:rPr>
        <w:t>号）</w:t>
      </w:r>
      <w:r>
        <w:rPr>
          <w:rFonts w:hint="eastAsia" w:ascii="宋体" w:hAnsi="宋体" w:cs="宋体"/>
          <w:color w:val="000000" w:themeColor="text1"/>
          <w:highlight w:val="none"/>
          <w14:textFill>
            <w14:solidFill>
              <w14:schemeClr w14:val="tx1"/>
            </w14:solidFill>
          </w14:textFill>
        </w:rPr>
        <w:t>附件“增值税一般计税方法工程计价表”</w:t>
      </w:r>
      <w:r>
        <w:rPr>
          <w:rFonts w:hint="eastAsia" w:cs="宋体"/>
          <w:color w:val="000000" w:themeColor="text1"/>
          <w:highlight w:val="none"/>
          <w14:textFill>
            <w14:solidFill>
              <w14:schemeClr w14:val="tx1"/>
            </w14:solidFill>
          </w14:textFill>
        </w:rPr>
        <w:t>要求提供，简易计税法表格按《</w:t>
      </w:r>
      <w:r>
        <w:rPr>
          <w:color w:val="000000" w:themeColor="text1"/>
          <w:highlight w:val="none"/>
          <w14:textFill>
            <w14:solidFill>
              <w14:schemeClr w14:val="tx1"/>
            </w14:solidFill>
          </w14:textFill>
        </w:rPr>
        <w:t>&lt;</w:t>
      </w:r>
      <w:r>
        <w:rPr>
          <w:rFonts w:hint="eastAsia" w:cs="宋体"/>
          <w:color w:val="000000" w:themeColor="text1"/>
          <w:highlight w:val="none"/>
          <w14:textFill>
            <w14:solidFill>
              <w14:schemeClr w14:val="tx1"/>
            </w14:solidFill>
          </w14:textFill>
        </w:rPr>
        <w:t>建设工程工程量清单计价规范</w:t>
      </w:r>
      <w:r>
        <w:rPr>
          <w:color w:val="000000" w:themeColor="text1"/>
          <w:highlight w:val="none"/>
          <w14:textFill>
            <w14:solidFill>
              <w14:schemeClr w14:val="tx1"/>
            </w14:solidFill>
          </w14:textFill>
        </w:rPr>
        <w:t>&gt;</w:t>
      </w:r>
      <w:r>
        <w:rPr>
          <w:rFonts w:hint="eastAsia"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GB5050-2013</w:t>
      </w:r>
      <w:r>
        <w:rPr>
          <w:rFonts w:hint="eastAsia" w:cs="宋体"/>
          <w:color w:val="000000" w:themeColor="text1"/>
          <w:highlight w:val="none"/>
          <w14:textFill>
            <w14:solidFill>
              <w14:schemeClr w14:val="tx1"/>
            </w14:solidFill>
          </w14:textFill>
        </w:rPr>
        <w:t>）广西壮族自治区实施细则》要求的表格提供，但规费和税费按照</w:t>
      </w:r>
      <w:r>
        <w:rPr>
          <w:rFonts w:hint="eastAsia" w:hAnsi="宋体" w:cs="宋体"/>
          <w:color w:val="000000" w:themeColor="text1"/>
          <w:kern w:val="0"/>
          <w:highlight w:val="none"/>
          <w14:textFill>
            <w14:solidFill>
              <w14:schemeClr w14:val="tx1"/>
            </w14:solidFill>
          </w14:textFill>
        </w:rPr>
        <w:t>《关于建筑业实施营业税改征增值税后广西壮族自治区建设工程计价依据调整的通知》（桂建标〔</w:t>
      </w:r>
      <w:r>
        <w:rPr>
          <w:rFonts w:hAnsi="宋体"/>
          <w:color w:val="000000" w:themeColor="text1"/>
          <w:kern w:val="0"/>
          <w:highlight w:val="none"/>
          <w14:textFill>
            <w14:solidFill>
              <w14:schemeClr w14:val="tx1"/>
            </w14:solidFill>
          </w14:textFill>
        </w:rPr>
        <w:t>2016</w:t>
      </w:r>
      <w:r>
        <w:rPr>
          <w:rFonts w:hint="eastAsia" w:hAnsi="宋体" w:cs="宋体"/>
          <w:color w:val="000000" w:themeColor="text1"/>
          <w:kern w:val="0"/>
          <w:highlight w:val="none"/>
          <w14:textFill>
            <w14:solidFill>
              <w14:schemeClr w14:val="tx1"/>
            </w14:solidFill>
          </w14:textFill>
        </w:rPr>
        <w:t>〕</w:t>
      </w:r>
      <w:r>
        <w:rPr>
          <w:rFonts w:hAnsi="宋体"/>
          <w:color w:val="000000" w:themeColor="text1"/>
          <w:kern w:val="0"/>
          <w:highlight w:val="none"/>
          <w14:textFill>
            <w14:solidFill>
              <w14:schemeClr w14:val="tx1"/>
            </w14:solidFill>
          </w14:textFill>
        </w:rPr>
        <w:t>17</w:t>
      </w:r>
      <w:r>
        <w:rPr>
          <w:rFonts w:hint="eastAsia" w:hAnsi="宋体" w:cs="宋体"/>
          <w:color w:val="000000" w:themeColor="text1"/>
          <w:kern w:val="0"/>
          <w:highlight w:val="none"/>
          <w14:textFill>
            <w14:solidFill>
              <w14:schemeClr w14:val="tx1"/>
            </w14:solidFill>
          </w14:textFill>
        </w:rPr>
        <w:t>号）、《自治区住房城乡建设厅关于调整建设工程计价增值税税率的通知》（桂建标〔2018〕14号）、《自治区住房城乡建设厅关于调整建设工程计价增值税税率的通知》（桂建标〔2019〕12号）</w:t>
      </w:r>
      <w:r>
        <w:rPr>
          <w:rFonts w:hint="eastAsia" w:ascii="宋体" w:hAnsi="宋体" w:cs="宋体"/>
          <w:color w:val="000000" w:themeColor="text1"/>
          <w:highlight w:val="none"/>
          <w14:textFill>
            <w14:solidFill>
              <w14:schemeClr w14:val="tx1"/>
            </w14:solidFill>
          </w14:textFill>
        </w:rPr>
        <w:t>调整</w:t>
      </w:r>
      <w:r>
        <w:rPr>
          <w:rFonts w:hint="eastAsia" w:cs="宋体"/>
          <w:color w:val="000000" w:themeColor="text1"/>
          <w:highlight w:val="none"/>
          <w14:textFill>
            <w14:solidFill>
              <w14:schemeClr w14:val="tx1"/>
            </w14:solidFill>
          </w14:textFill>
        </w:rPr>
        <w:t>，具体内容包括：</w:t>
      </w:r>
    </w:p>
    <w:p w14:paraId="5CEA5B68">
      <w:pPr>
        <w:spacing w:line="360" w:lineRule="auto"/>
        <w:ind w:firstLine="630" w:firstLineChars="3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1.1 </w:t>
      </w:r>
      <w:r>
        <w:rPr>
          <w:rFonts w:hint="eastAsia" w:cs="宋体"/>
          <w:color w:val="000000" w:themeColor="text1"/>
          <w:highlight w:val="none"/>
          <w14:textFill>
            <w14:solidFill>
              <w14:schemeClr w14:val="tx1"/>
            </w14:solidFill>
          </w14:textFill>
        </w:rPr>
        <w:t>竞标总价（封</w:t>
      </w:r>
      <w:r>
        <w:rPr>
          <w:color w:val="000000" w:themeColor="text1"/>
          <w:highlight w:val="none"/>
          <w14:textFill>
            <w14:solidFill>
              <w14:schemeClr w14:val="tx1"/>
            </w14:solidFill>
          </w14:textFill>
        </w:rPr>
        <w:t>-3</w:t>
      </w:r>
      <w:r>
        <w:rPr>
          <w:rFonts w:hint="eastAsia" w:cs="宋体"/>
          <w:color w:val="000000" w:themeColor="text1"/>
          <w:highlight w:val="none"/>
          <w14:textFill>
            <w14:solidFill>
              <w14:schemeClr w14:val="tx1"/>
            </w14:solidFill>
          </w14:textFill>
        </w:rPr>
        <w:t>）</w:t>
      </w:r>
    </w:p>
    <w:p w14:paraId="6E99CA88">
      <w:pPr>
        <w:spacing w:line="360" w:lineRule="auto"/>
        <w:ind w:firstLine="630" w:firstLineChars="3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1.2 </w:t>
      </w:r>
      <w:r>
        <w:rPr>
          <w:rFonts w:hint="eastAsia" w:cs="宋体"/>
          <w:color w:val="000000" w:themeColor="text1"/>
          <w:highlight w:val="none"/>
          <w14:textFill>
            <w14:solidFill>
              <w14:schemeClr w14:val="tx1"/>
            </w14:solidFill>
          </w14:textFill>
        </w:rPr>
        <w:t>竞标总价（扉</w:t>
      </w:r>
      <w:r>
        <w:rPr>
          <w:color w:val="000000" w:themeColor="text1"/>
          <w:highlight w:val="none"/>
          <w14:textFill>
            <w14:solidFill>
              <w14:schemeClr w14:val="tx1"/>
            </w14:solidFill>
          </w14:textFill>
        </w:rPr>
        <w:t>-3</w:t>
      </w:r>
      <w:r>
        <w:rPr>
          <w:rFonts w:hint="eastAsia" w:cs="宋体"/>
          <w:color w:val="000000" w:themeColor="text1"/>
          <w:highlight w:val="none"/>
          <w14:textFill>
            <w14:solidFill>
              <w14:schemeClr w14:val="tx1"/>
            </w14:solidFill>
          </w14:textFill>
        </w:rPr>
        <w:t>）</w:t>
      </w:r>
    </w:p>
    <w:p w14:paraId="2CFE6D0E">
      <w:pPr>
        <w:spacing w:line="360" w:lineRule="auto"/>
        <w:ind w:firstLine="630" w:firstLineChars="3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1.3 </w:t>
      </w:r>
      <w:r>
        <w:rPr>
          <w:rFonts w:hint="eastAsia" w:cs="宋体"/>
          <w:color w:val="000000" w:themeColor="text1"/>
          <w:highlight w:val="none"/>
          <w14:textFill>
            <w14:solidFill>
              <w14:schemeClr w14:val="tx1"/>
            </w14:solidFill>
          </w14:textFill>
        </w:rPr>
        <w:t>总说明（表</w:t>
      </w:r>
      <w:r>
        <w:rPr>
          <w:color w:val="000000" w:themeColor="text1"/>
          <w:highlight w:val="none"/>
          <w14:textFill>
            <w14:solidFill>
              <w14:schemeClr w14:val="tx1"/>
            </w14:solidFill>
          </w14:textFill>
        </w:rPr>
        <w:t>-01</w:t>
      </w:r>
      <w:r>
        <w:rPr>
          <w:rFonts w:hint="eastAsia" w:cs="宋体"/>
          <w:color w:val="000000" w:themeColor="text1"/>
          <w:highlight w:val="none"/>
          <w14:textFill>
            <w14:solidFill>
              <w14:schemeClr w14:val="tx1"/>
            </w14:solidFill>
          </w14:textFill>
        </w:rPr>
        <w:t>）</w:t>
      </w:r>
    </w:p>
    <w:p w14:paraId="049B44D1">
      <w:pPr>
        <w:spacing w:line="360" w:lineRule="auto"/>
        <w:ind w:firstLine="630" w:firstLineChars="3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1.4 </w:t>
      </w:r>
      <w:r>
        <w:rPr>
          <w:rFonts w:hint="eastAsia" w:cs="宋体"/>
          <w:color w:val="000000" w:themeColor="text1"/>
          <w:highlight w:val="none"/>
          <w14:textFill>
            <w14:solidFill>
              <w14:schemeClr w14:val="tx1"/>
            </w14:solidFill>
          </w14:textFill>
        </w:rPr>
        <w:t>建设项目竞标报价汇总表（表</w:t>
      </w:r>
      <w:r>
        <w:rPr>
          <w:color w:val="000000" w:themeColor="text1"/>
          <w:highlight w:val="none"/>
          <w14:textFill>
            <w14:solidFill>
              <w14:schemeClr w14:val="tx1"/>
            </w14:solidFill>
          </w14:textFill>
        </w:rPr>
        <w:t>-02</w:t>
      </w:r>
      <w:r>
        <w:rPr>
          <w:rFonts w:hint="eastAsia" w:cs="宋体"/>
          <w:color w:val="000000" w:themeColor="text1"/>
          <w:highlight w:val="none"/>
          <w14:textFill>
            <w14:solidFill>
              <w14:schemeClr w14:val="tx1"/>
            </w14:solidFill>
          </w14:textFill>
        </w:rPr>
        <w:t>）</w:t>
      </w:r>
    </w:p>
    <w:p w14:paraId="1423482F">
      <w:pPr>
        <w:spacing w:line="360" w:lineRule="auto"/>
        <w:ind w:firstLine="630" w:firstLineChars="3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1.5 </w:t>
      </w:r>
      <w:r>
        <w:rPr>
          <w:rFonts w:hint="eastAsia" w:cs="宋体"/>
          <w:color w:val="000000" w:themeColor="text1"/>
          <w:highlight w:val="none"/>
          <w14:textFill>
            <w14:solidFill>
              <w14:schemeClr w14:val="tx1"/>
            </w14:solidFill>
          </w14:textFill>
        </w:rPr>
        <w:t>单项工程竞标报价汇总表（表</w:t>
      </w:r>
      <w:r>
        <w:rPr>
          <w:color w:val="000000" w:themeColor="text1"/>
          <w:highlight w:val="none"/>
          <w14:textFill>
            <w14:solidFill>
              <w14:schemeClr w14:val="tx1"/>
            </w14:solidFill>
          </w14:textFill>
        </w:rPr>
        <w:t>-03</w:t>
      </w:r>
      <w:r>
        <w:rPr>
          <w:rFonts w:hint="eastAsia" w:cs="宋体"/>
          <w:color w:val="000000" w:themeColor="text1"/>
          <w:highlight w:val="none"/>
          <w14:textFill>
            <w14:solidFill>
              <w14:schemeClr w14:val="tx1"/>
            </w14:solidFill>
          </w14:textFill>
        </w:rPr>
        <w:t>）</w:t>
      </w:r>
    </w:p>
    <w:p w14:paraId="330FEECA">
      <w:pPr>
        <w:spacing w:line="360" w:lineRule="auto"/>
        <w:ind w:firstLine="630" w:firstLineChars="3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1.6 </w:t>
      </w:r>
      <w:r>
        <w:rPr>
          <w:rFonts w:hint="eastAsia" w:cs="宋体"/>
          <w:color w:val="000000" w:themeColor="text1"/>
          <w:highlight w:val="none"/>
          <w14:textFill>
            <w14:solidFill>
              <w14:schemeClr w14:val="tx1"/>
            </w14:solidFill>
          </w14:textFill>
        </w:rPr>
        <w:t>单位工程竞标报价汇总表（表</w:t>
      </w:r>
      <w:r>
        <w:rPr>
          <w:color w:val="000000" w:themeColor="text1"/>
          <w:highlight w:val="none"/>
          <w14:textFill>
            <w14:solidFill>
              <w14:schemeClr w14:val="tx1"/>
            </w14:solidFill>
          </w14:textFill>
        </w:rPr>
        <w:t>-04</w:t>
      </w:r>
      <w:r>
        <w:rPr>
          <w:rFonts w:hint="eastAsia" w:cs="宋体"/>
          <w:color w:val="000000" w:themeColor="text1"/>
          <w:highlight w:val="none"/>
          <w14:textFill>
            <w14:solidFill>
              <w14:schemeClr w14:val="tx1"/>
            </w14:solidFill>
          </w14:textFill>
        </w:rPr>
        <w:t>）</w:t>
      </w:r>
    </w:p>
    <w:p w14:paraId="59A1CB23">
      <w:pPr>
        <w:spacing w:line="360" w:lineRule="auto"/>
        <w:ind w:firstLine="630" w:firstLineChars="3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1.7 </w:t>
      </w:r>
      <w:r>
        <w:rPr>
          <w:rFonts w:hint="eastAsia" w:cs="宋体"/>
          <w:color w:val="000000" w:themeColor="text1"/>
          <w:highlight w:val="none"/>
          <w14:textFill>
            <w14:solidFill>
              <w14:schemeClr w14:val="tx1"/>
            </w14:solidFill>
          </w14:textFill>
        </w:rPr>
        <w:t>分部分项工程和单价措施项目清单与计价表（表</w:t>
      </w:r>
      <w:r>
        <w:rPr>
          <w:color w:val="000000" w:themeColor="text1"/>
          <w:highlight w:val="none"/>
          <w14:textFill>
            <w14:solidFill>
              <w14:schemeClr w14:val="tx1"/>
            </w14:solidFill>
          </w14:textFill>
        </w:rPr>
        <w:t>-08</w:t>
      </w:r>
      <w:r>
        <w:rPr>
          <w:rFonts w:hint="eastAsia" w:cs="宋体"/>
          <w:color w:val="000000" w:themeColor="text1"/>
          <w:highlight w:val="none"/>
          <w14:textFill>
            <w14:solidFill>
              <w14:schemeClr w14:val="tx1"/>
            </w14:solidFill>
          </w14:textFill>
        </w:rPr>
        <w:t>）</w:t>
      </w:r>
    </w:p>
    <w:p w14:paraId="33D71547">
      <w:pPr>
        <w:spacing w:line="360" w:lineRule="auto"/>
        <w:ind w:firstLine="630" w:firstLineChars="3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1.8 </w:t>
      </w:r>
      <w:r>
        <w:rPr>
          <w:rFonts w:hint="eastAsia" w:cs="宋体"/>
          <w:color w:val="000000" w:themeColor="text1"/>
          <w:highlight w:val="none"/>
          <w14:textFill>
            <w14:solidFill>
              <w14:schemeClr w14:val="tx1"/>
            </w14:solidFill>
          </w14:textFill>
        </w:rPr>
        <w:t>工程量清单综合单价分析表（表</w:t>
      </w:r>
      <w:r>
        <w:rPr>
          <w:color w:val="000000" w:themeColor="text1"/>
          <w:highlight w:val="none"/>
          <w14:textFill>
            <w14:solidFill>
              <w14:schemeClr w14:val="tx1"/>
            </w14:solidFill>
          </w14:textFill>
        </w:rPr>
        <w:t>-09</w:t>
      </w:r>
      <w:r>
        <w:rPr>
          <w:rFonts w:hint="eastAsia" w:cs="宋体"/>
          <w:color w:val="000000" w:themeColor="text1"/>
          <w:highlight w:val="none"/>
          <w14:textFill>
            <w14:solidFill>
              <w14:schemeClr w14:val="tx1"/>
            </w14:solidFill>
          </w14:textFill>
        </w:rPr>
        <w:t>）</w:t>
      </w:r>
    </w:p>
    <w:p w14:paraId="28210756">
      <w:pPr>
        <w:spacing w:line="360" w:lineRule="auto"/>
        <w:ind w:firstLine="630" w:firstLineChars="3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1.9 </w:t>
      </w:r>
      <w:r>
        <w:rPr>
          <w:rFonts w:hint="eastAsia" w:cs="宋体"/>
          <w:color w:val="000000" w:themeColor="text1"/>
          <w:highlight w:val="none"/>
          <w14:textFill>
            <w14:solidFill>
              <w14:schemeClr w14:val="tx1"/>
            </w14:solidFill>
          </w14:textFill>
        </w:rPr>
        <w:t>主要清单项目工料机分析表（表</w:t>
      </w:r>
      <w:r>
        <w:rPr>
          <w:color w:val="000000" w:themeColor="text1"/>
          <w:highlight w:val="none"/>
          <w14:textFill>
            <w14:solidFill>
              <w14:schemeClr w14:val="tx1"/>
            </w14:solidFill>
          </w14:textFill>
        </w:rPr>
        <w:t>-10</w:t>
      </w:r>
      <w:r>
        <w:rPr>
          <w:rFonts w:hint="eastAsia" w:cs="宋体"/>
          <w:color w:val="000000" w:themeColor="text1"/>
          <w:highlight w:val="none"/>
          <w14:textFill>
            <w14:solidFill>
              <w14:schemeClr w14:val="tx1"/>
            </w14:solidFill>
          </w14:textFill>
        </w:rPr>
        <w:t>）【备注：可按要求有选择的提供】</w:t>
      </w:r>
    </w:p>
    <w:p w14:paraId="56EEA873">
      <w:pPr>
        <w:spacing w:line="360" w:lineRule="auto"/>
        <w:ind w:firstLine="630" w:firstLineChars="3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1.10 </w:t>
      </w:r>
      <w:r>
        <w:rPr>
          <w:rFonts w:hint="eastAsia" w:cs="宋体"/>
          <w:color w:val="000000" w:themeColor="text1"/>
          <w:highlight w:val="none"/>
          <w14:textFill>
            <w14:solidFill>
              <w14:schemeClr w14:val="tx1"/>
            </w14:solidFill>
          </w14:textFill>
        </w:rPr>
        <w:t>总价措施项目清单与计价表（表</w:t>
      </w:r>
      <w:r>
        <w:rPr>
          <w:color w:val="000000" w:themeColor="text1"/>
          <w:highlight w:val="none"/>
          <w14:textFill>
            <w14:solidFill>
              <w14:schemeClr w14:val="tx1"/>
            </w14:solidFill>
          </w14:textFill>
        </w:rPr>
        <w:t>-11</w:t>
      </w:r>
      <w:r>
        <w:rPr>
          <w:rFonts w:hint="eastAsia" w:cs="宋体"/>
          <w:color w:val="000000" w:themeColor="text1"/>
          <w:highlight w:val="none"/>
          <w14:textFill>
            <w14:solidFill>
              <w14:schemeClr w14:val="tx1"/>
            </w14:solidFill>
          </w14:textFill>
        </w:rPr>
        <w:t>）</w:t>
      </w:r>
    </w:p>
    <w:p w14:paraId="4EA6FB72">
      <w:pPr>
        <w:spacing w:line="360" w:lineRule="auto"/>
        <w:ind w:firstLine="630" w:firstLineChars="3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1.11 </w:t>
      </w:r>
      <w:r>
        <w:rPr>
          <w:rFonts w:hint="eastAsia" w:cs="宋体"/>
          <w:color w:val="000000" w:themeColor="text1"/>
          <w:highlight w:val="none"/>
          <w14:textFill>
            <w14:solidFill>
              <w14:schemeClr w14:val="tx1"/>
            </w14:solidFill>
          </w14:textFill>
        </w:rPr>
        <w:t>其他项目清单与计价汇总表（表</w:t>
      </w:r>
      <w:r>
        <w:rPr>
          <w:color w:val="000000" w:themeColor="text1"/>
          <w:highlight w:val="none"/>
          <w14:textFill>
            <w14:solidFill>
              <w14:schemeClr w14:val="tx1"/>
            </w14:solidFill>
          </w14:textFill>
        </w:rPr>
        <w:t>-12</w:t>
      </w:r>
      <w:r>
        <w:rPr>
          <w:rFonts w:hint="eastAsia" w:cs="宋体"/>
          <w:color w:val="000000" w:themeColor="text1"/>
          <w:highlight w:val="none"/>
          <w14:textFill>
            <w14:solidFill>
              <w14:schemeClr w14:val="tx1"/>
            </w14:solidFill>
          </w14:textFill>
        </w:rPr>
        <w:t>）</w:t>
      </w:r>
    </w:p>
    <w:p w14:paraId="5D30171A">
      <w:pPr>
        <w:spacing w:line="360" w:lineRule="auto"/>
        <w:ind w:firstLine="630" w:firstLineChars="3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1.12 </w:t>
      </w:r>
      <w:r>
        <w:rPr>
          <w:rFonts w:hint="eastAsia" w:cs="宋体"/>
          <w:color w:val="000000" w:themeColor="text1"/>
          <w:highlight w:val="none"/>
          <w14:textFill>
            <w14:solidFill>
              <w14:schemeClr w14:val="tx1"/>
            </w14:solidFill>
          </w14:textFill>
        </w:rPr>
        <w:t>暂列金额明细表（表</w:t>
      </w:r>
      <w:r>
        <w:rPr>
          <w:color w:val="000000" w:themeColor="text1"/>
          <w:highlight w:val="none"/>
          <w14:textFill>
            <w14:solidFill>
              <w14:schemeClr w14:val="tx1"/>
            </w14:solidFill>
          </w14:textFill>
        </w:rPr>
        <w:t>12-1</w:t>
      </w:r>
      <w:r>
        <w:rPr>
          <w:rFonts w:hint="eastAsia" w:cs="宋体"/>
          <w:color w:val="000000" w:themeColor="text1"/>
          <w:highlight w:val="none"/>
          <w14:textFill>
            <w14:solidFill>
              <w14:schemeClr w14:val="tx1"/>
            </w14:solidFill>
          </w14:textFill>
        </w:rPr>
        <w:t>）</w:t>
      </w:r>
    </w:p>
    <w:p w14:paraId="31E16B0B">
      <w:pPr>
        <w:spacing w:line="360" w:lineRule="auto"/>
        <w:ind w:firstLine="630" w:firstLineChars="3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1.13 </w:t>
      </w:r>
      <w:r>
        <w:rPr>
          <w:rFonts w:hint="eastAsia" w:cs="宋体"/>
          <w:color w:val="000000" w:themeColor="text1"/>
          <w:highlight w:val="none"/>
          <w14:textFill>
            <w14:solidFill>
              <w14:schemeClr w14:val="tx1"/>
            </w14:solidFill>
          </w14:textFill>
        </w:rPr>
        <w:t>材料（工程设备）暂估单价及调整表（表</w:t>
      </w:r>
      <w:r>
        <w:rPr>
          <w:color w:val="000000" w:themeColor="text1"/>
          <w:highlight w:val="none"/>
          <w14:textFill>
            <w14:solidFill>
              <w14:schemeClr w14:val="tx1"/>
            </w14:solidFill>
          </w14:textFill>
        </w:rPr>
        <w:t>12-2</w:t>
      </w:r>
      <w:r>
        <w:rPr>
          <w:rFonts w:hint="eastAsia" w:cs="宋体"/>
          <w:color w:val="000000" w:themeColor="text1"/>
          <w:highlight w:val="none"/>
          <w14:textFill>
            <w14:solidFill>
              <w14:schemeClr w14:val="tx1"/>
            </w14:solidFill>
          </w14:textFill>
        </w:rPr>
        <w:t>）</w:t>
      </w:r>
    </w:p>
    <w:p w14:paraId="1321AF93">
      <w:pPr>
        <w:spacing w:line="360" w:lineRule="auto"/>
        <w:ind w:firstLine="630" w:firstLineChars="3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1.14 </w:t>
      </w:r>
      <w:r>
        <w:rPr>
          <w:rFonts w:hint="eastAsia" w:cs="宋体"/>
          <w:color w:val="000000" w:themeColor="text1"/>
          <w:highlight w:val="none"/>
          <w14:textFill>
            <w14:solidFill>
              <w14:schemeClr w14:val="tx1"/>
            </w14:solidFill>
          </w14:textFill>
        </w:rPr>
        <w:t>专业工程暂估价及结算价表（表</w:t>
      </w:r>
      <w:r>
        <w:rPr>
          <w:color w:val="000000" w:themeColor="text1"/>
          <w:highlight w:val="none"/>
          <w14:textFill>
            <w14:solidFill>
              <w14:schemeClr w14:val="tx1"/>
            </w14:solidFill>
          </w14:textFill>
        </w:rPr>
        <w:t>12-3</w:t>
      </w:r>
      <w:r>
        <w:rPr>
          <w:rFonts w:hint="eastAsia" w:cs="宋体"/>
          <w:color w:val="000000" w:themeColor="text1"/>
          <w:highlight w:val="none"/>
          <w14:textFill>
            <w14:solidFill>
              <w14:schemeClr w14:val="tx1"/>
            </w14:solidFill>
          </w14:textFill>
        </w:rPr>
        <w:t>）</w:t>
      </w:r>
    </w:p>
    <w:p w14:paraId="4F5E3BB1">
      <w:pPr>
        <w:spacing w:line="360" w:lineRule="auto"/>
        <w:ind w:firstLine="630" w:firstLineChars="3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1.15</w:t>
      </w:r>
      <w:r>
        <w:rPr>
          <w:rFonts w:hint="eastAsia" w:cs="宋体"/>
          <w:color w:val="000000" w:themeColor="text1"/>
          <w:highlight w:val="none"/>
          <w14:textFill>
            <w14:solidFill>
              <w14:schemeClr w14:val="tx1"/>
            </w14:solidFill>
          </w14:textFill>
        </w:rPr>
        <w:t>计日工表（表</w:t>
      </w:r>
      <w:r>
        <w:rPr>
          <w:color w:val="000000" w:themeColor="text1"/>
          <w:highlight w:val="none"/>
          <w14:textFill>
            <w14:solidFill>
              <w14:schemeClr w14:val="tx1"/>
            </w14:solidFill>
          </w14:textFill>
        </w:rPr>
        <w:t>12-4</w:t>
      </w:r>
      <w:r>
        <w:rPr>
          <w:rFonts w:hint="eastAsia" w:cs="宋体"/>
          <w:color w:val="000000" w:themeColor="text1"/>
          <w:highlight w:val="none"/>
          <w14:textFill>
            <w14:solidFill>
              <w14:schemeClr w14:val="tx1"/>
            </w14:solidFill>
          </w14:textFill>
        </w:rPr>
        <w:t>）</w:t>
      </w:r>
    </w:p>
    <w:p w14:paraId="5AF8CBA3">
      <w:pPr>
        <w:spacing w:line="360" w:lineRule="auto"/>
        <w:ind w:firstLine="630" w:firstLineChars="3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1.16 </w:t>
      </w:r>
      <w:r>
        <w:rPr>
          <w:rFonts w:hint="eastAsia" w:cs="宋体"/>
          <w:color w:val="000000" w:themeColor="text1"/>
          <w:highlight w:val="none"/>
          <w14:textFill>
            <w14:solidFill>
              <w14:schemeClr w14:val="tx1"/>
            </w14:solidFill>
          </w14:textFill>
        </w:rPr>
        <w:t>总承包服务费计价表（表</w:t>
      </w:r>
      <w:r>
        <w:rPr>
          <w:color w:val="000000" w:themeColor="text1"/>
          <w:highlight w:val="none"/>
          <w14:textFill>
            <w14:solidFill>
              <w14:schemeClr w14:val="tx1"/>
            </w14:solidFill>
          </w14:textFill>
        </w:rPr>
        <w:t>12-5</w:t>
      </w:r>
      <w:r>
        <w:rPr>
          <w:rFonts w:hint="eastAsia" w:cs="宋体"/>
          <w:color w:val="000000" w:themeColor="text1"/>
          <w:highlight w:val="none"/>
          <w14:textFill>
            <w14:solidFill>
              <w14:schemeClr w14:val="tx1"/>
            </w14:solidFill>
          </w14:textFill>
        </w:rPr>
        <w:t>）</w:t>
      </w:r>
    </w:p>
    <w:p w14:paraId="08DC7F2C">
      <w:pPr>
        <w:spacing w:line="360" w:lineRule="auto"/>
        <w:ind w:firstLine="630" w:firstLineChars="3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1.17 </w:t>
      </w:r>
      <w:r>
        <w:rPr>
          <w:rFonts w:hint="eastAsia" w:cs="宋体"/>
          <w:color w:val="000000" w:themeColor="text1"/>
          <w:highlight w:val="none"/>
          <w14:textFill>
            <w14:solidFill>
              <w14:schemeClr w14:val="tx1"/>
            </w14:solidFill>
          </w14:textFill>
        </w:rPr>
        <w:t>税前项目清单与计价表（表</w:t>
      </w:r>
      <w:r>
        <w:rPr>
          <w:color w:val="000000" w:themeColor="text1"/>
          <w:highlight w:val="none"/>
          <w14:textFill>
            <w14:solidFill>
              <w14:schemeClr w14:val="tx1"/>
            </w14:solidFill>
          </w14:textFill>
        </w:rPr>
        <w:t>-14</w:t>
      </w:r>
      <w:r>
        <w:rPr>
          <w:rFonts w:hint="eastAsia" w:cs="宋体"/>
          <w:color w:val="000000" w:themeColor="text1"/>
          <w:highlight w:val="none"/>
          <w14:textFill>
            <w14:solidFill>
              <w14:schemeClr w14:val="tx1"/>
            </w14:solidFill>
          </w14:textFill>
        </w:rPr>
        <w:t>）</w:t>
      </w:r>
    </w:p>
    <w:p w14:paraId="2F07B32D">
      <w:pPr>
        <w:spacing w:line="360" w:lineRule="auto"/>
        <w:ind w:firstLine="630" w:firstLineChars="3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1.18 </w:t>
      </w:r>
      <w:r>
        <w:rPr>
          <w:rFonts w:hint="eastAsia" w:cs="宋体"/>
          <w:color w:val="000000" w:themeColor="text1"/>
          <w:highlight w:val="none"/>
          <w14:textFill>
            <w14:solidFill>
              <w14:schemeClr w14:val="tx1"/>
            </w14:solidFill>
          </w14:textFill>
        </w:rPr>
        <w:t>规费、增值税计价表（表</w:t>
      </w:r>
      <w:r>
        <w:rPr>
          <w:color w:val="000000" w:themeColor="text1"/>
          <w:highlight w:val="none"/>
          <w14:textFill>
            <w14:solidFill>
              <w14:schemeClr w14:val="tx1"/>
            </w14:solidFill>
          </w14:textFill>
        </w:rPr>
        <w:t>-15</w:t>
      </w:r>
      <w:r>
        <w:rPr>
          <w:rFonts w:hint="eastAsia" w:cs="宋体"/>
          <w:color w:val="000000" w:themeColor="text1"/>
          <w:highlight w:val="none"/>
          <w14:textFill>
            <w14:solidFill>
              <w14:schemeClr w14:val="tx1"/>
            </w14:solidFill>
          </w14:textFill>
        </w:rPr>
        <w:t>）</w:t>
      </w:r>
    </w:p>
    <w:p w14:paraId="2E893AFC">
      <w:pPr>
        <w:spacing w:line="360" w:lineRule="auto"/>
        <w:ind w:firstLine="630" w:firstLineChars="3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1.19 </w:t>
      </w:r>
      <w:r>
        <w:rPr>
          <w:rFonts w:hint="eastAsia" w:cs="宋体"/>
          <w:color w:val="000000" w:themeColor="text1"/>
          <w:highlight w:val="none"/>
          <w14:textFill>
            <w14:solidFill>
              <w14:schemeClr w14:val="tx1"/>
            </w14:solidFill>
          </w14:textFill>
        </w:rPr>
        <w:t>发包人提供主要材料和工程设备一览表（表</w:t>
      </w:r>
      <w:r>
        <w:rPr>
          <w:color w:val="000000" w:themeColor="text1"/>
          <w:highlight w:val="none"/>
          <w14:textFill>
            <w14:solidFill>
              <w14:schemeClr w14:val="tx1"/>
            </w14:solidFill>
          </w14:textFill>
        </w:rPr>
        <w:t>-21</w:t>
      </w:r>
      <w:r>
        <w:rPr>
          <w:rFonts w:hint="eastAsia" w:cs="宋体"/>
          <w:color w:val="000000" w:themeColor="text1"/>
          <w:highlight w:val="none"/>
          <w14:textFill>
            <w14:solidFill>
              <w14:schemeClr w14:val="tx1"/>
            </w14:solidFill>
          </w14:textFill>
        </w:rPr>
        <w:t>）</w:t>
      </w:r>
    </w:p>
    <w:p w14:paraId="1842D31E">
      <w:pPr>
        <w:spacing w:line="360" w:lineRule="auto"/>
        <w:ind w:firstLine="630" w:firstLineChars="3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1.20 </w:t>
      </w:r>
      <w:r>
        <w:rPr>
          <w:rFonts w:hint="eastAsia" w:cs="宋体"/>
          <w:color w:val="000000" w:themeColor="text1"/>
          <w:highlight w:val="none"/>
          <w14:textFill>
            <w14:solidFill>
              <w14:schemeClr w14:val="tx1"/>
            </w14:solidFill>
          </w14:textFill>
        </w:rPr>
        <w:t>允许调整主要材料和工程设备一览表（适用于造价信息差额调整法）（表</w:t>
      </w:r>
      <w:r>
        <w:rPr>
          <w:color w:val="000000" w:themeColor="text1"/>
          <w:highlight w:val="none"/>
          <w14:textFill>
            <w14:solidFill>
              <w14:schemeClr w14:val="tx1"/>
            </w14:solidFill>
          </w14:textFill>
        </w:rPr>
        <w:t>-22</w:t>
      </w:r>
      <w:r>
        <w:rPr>
          <w:rFonts w:hint="eastAsia" w:cs="宋体"/>
          <w:color w:val="000000" w:themeColor="text1"/>
          <w:highlight w:val="none"/>
          <w14:textFill>
            <w14:solidFill>
              <w14:schemeClr w14:val="tx1"/>
            </w14:solidFill>
          </w14:textFill>
        </w:rPr>
        <w:t>）</w:t>
      </w:r>
    </w:p>
    <w:p w14:paraId="1C884ADD">
      <w:pPr>
        <w:spacing w:line="360" w:lineRule="auto"/>
        <w:ind w:firstLine="630" w:firstLineChars="3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1.21 </w:t>
      </w:r>
      <w:r>
        <w:rPr>
          <w:rFonts w:hint="eastAsia" w:cs="宋体"/>
          <w:color w:val="000000" w:themeColor="text1"/>
          <w:highlight w:val="none"/>
          <w14:textFill>
            <w14:solidFill>
              <w14:schemeClr w14:val="tx1"/>
            </w14:solidFill>
          </w14:textFill>
        </w:rPr>
        <w:t>允许调整主要材料和工程设备一览表（适用于价格指数差额调整法）（表</w:t>
      </w:r>
      <w:r>
        <w:rPr>
          <w:color w:val="000000" w:themeColor="text1"/>
          <w:highlight w:val="none"/>
          <w14:textFill>
            <w14:solidFill>
              <w14:schemeClr w14:val="tx1"/>
            </w14:solidFill>
          </w14:textFill>
        </w:rPr>
        <w:t>-23</w:t>
      </w:r>
      <w:r>
        <w:rPr>
          <w:rFonts w:hint="eastAsia" w:cs="宋体"/>
          <w:color w:val="000000" w:themeColor="text1"/>
          <w:highlight w:val="none"/>
          <w14:textFill>
            <w14:solidFill>
              <w14:schemeClr w14:val="tx1"/>
            </w14:solidFill>
          </w14:textFill>
        </w:rPr>
        <w:t>）</w:t>
      </w:r>
    </w:p>
    <w:p w14:paraId="0F7FA4C5">
      <w:pPr>
        <w:spacing w:line="360" w:lineRule="auto"/>
        <w:ind w:firstLine="630" w:firstLineChars="3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1.22</w:t>
      </w:r>
      <w:r>
        <w:rPr>
          <w:rFonts w:hint="eastAsia" w:cs="宋体"/>
          <w:color w:val="000000" w:themeColor="text1"/>
          <w:highlight w:val="none"/>
          <w14:textFill>
            <w14:solidFill>
              <w14:schemeClr w14:val="tx1"/>
            </w14:solidFill>
          </w14:textFill>
        </w:rPr>
        <w:t>本工程</w:t>
      </w:r>
      <w:r>
        <w:rPr>
          <w:rFonts w:cs="宋体"/>
          <w:color w:val="000000" w:themeColor="text1"/>
          <w:highlight w:val="none"/>
          <w14:textFill>
            <w14:solidFill>
              <w14:schemeClr w14:val="tx1"/>
            </w14:solidFill>
          </w14:textFill>
        </w:rPr>
        <w:t>材料和工程设备</w:t>
      </w:r>
      <w:r>
        <w:rPr>
          <w:rFonts w:hint="eastAsia" w:cs="宋体"/>
          <w:color w:val="000000" w:themeColor="text1"/>
          <w:highlight w:val="none"/>
          <w14:textFill>
            <w14:solidFill>
              <w14:schemeClr w14:val="tx1"/>
            </w14:solidFill>
          </w14:textFill>
        </w:rPr>
        <w:t>一览表（表-24）</w:t>
      </w:r>
    </w:p>
    <w:p w14:paraId="5AB73F80">
      <w:pPr>
        <w:spacing w:line="360" w:lineRule="auto"/>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备注：</w:t>
      </w:r>
    </w:p>
    <w:p w14:paraId="746D3725">
      <w:pPr>
        <w:spacing w:line="360" w:lineRule="auto"/>
        <w:ind w:firstLine="420" w:firstLineChars="200"/>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1</w:t>
      </w:r>
      <w:r>
        <w:rPr>
          <w:rFonts w:hint="eastAsia" w:cs="宋体"/>
          <w:color w:val="000000" w:themeColor="text1"/>
          <w:highlight w:val="none"/>
          <w14:textFill>
            <w14:solidFill>
              <w14:schemeClr w14:val="tx1"/>
            </w14:solidFill>
          </w14:textFill>
        </w:rPr>
        <w:t>）供应商在上传竞标报价文件时应上传纸质竞标总价封面的原件扫描件。报标总价封面必须经供应商盖章，并由法定代表人（或其授权人）签字（或盖章），同时由编制人签字盖专用章。</w:t>
      </w:r>
    </w:p>
    <w:p w14:paraId="5686345D">
      <w:pPr>
        <w:spacing w:line="360" w:lineRule="auto"/>
        <w:ind w:firstLine="420" w:firstLineChars="200"/>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2</w:t>
      </w:r>
      <w:r>
        <w:rPr>
          <w:rFonts w:hint="eastAsia"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1.8</w:t>
      </w:r>
      <w:r>
        <w:rPr>
          <w:rFonts w:hint="eastAsia" w:cs="宋体"/>
          <w:color w:val="000000" w:themeColor="text1"/>
          <w:highlight w:val="none"/>
          <w14:textFill>
            <w14:solidFill>
              <w14:schemeClr w14:val="tx1"/>
            </w14:solidFill>
          </w14:textFill>
        </w:rPr>
        <w:t>工程量清单综合单价分析表和</w:t>
      </w:r>
      <w:r>
        <w:rPr>
          <w:color w:val="000000" w:themeColor="text1"/>
          <w:highlight w:val="none"/>
          <w14:textFill>
            <w14:solidFill>
              <w14:schemeClr w14:val="tx1"/>
            </w14:solidFill>
          </w14:textFill>
        </w:rPr>
        <w:t>1.9</w:t>
      </w:r>
      <w:r>
        <w:rPr>
          <w:rFonts w:hint="eastAsia" w:cs="宋体"/>
          <w:color w:val="000000" w:themeColor="text1"/>
          <w:highlight w:val="none"/>
          <w14:textFill>
            <w14:solidFill>
              <w14:schemeClr w14:val="tx1"/>
            </w14:solidFill>
          </w14:textFill>
        </w:rPr>
        <w:t>主要清单项目工料机分析表要求附上。</w:t>
      </w:r>
    </w:p>
    <w:p w14:paraId="681D9825">
      <w:pPr>
        <w:spacing w:line="360" w:lineRule="auto"/>
        <w:ind w:firstLine="420" w:firstLineChars="200"/>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3</w:t>
      </w:r>
      <w:r>
        <w:rPr>
          <w:rFonts w:hint="eastAsia" w:cs="宋体"/>
          <w:color w:val="000000" w:themeColor="text1"/>
          <w:highlight w:val="none"/>
          <w14:textFill>
            <w14:solidFill>
              <w14:schemeClr w14:val="tx1"/>
            </w14:solidFill>
          </w14:textFill>
        </w:rPr>
        <w:t>）已标价工程量清单表格要严格按照采购工程量清单给出的表格要求和内容填报。如本工程在合同中约定采用造价信息价差调整法，1.</w:t>
      </w:r>
      <w:r>
        <w:rPr>
          <w:color w:val="000000" w:themeColor="text1"/>
          <w:highlight w:val="none"/>
          <w14:textFill>
            <w14:solidFill>
              <w14:schemeClr w14:val="tx1"/>
            </w14:solidFill>
          </w14:textFill>
        </w:rPr>
        <w:t xml:space="preserve">18 </w:t>
      </w:r>
      <w:r>
        <w:rPr>
          <w:rFonts w:hint="eastAsia" w:cs="宋体"/>
          <w:color w:val="000000" w:themeColor="text1"/>
          <w:highlight w:val="none"/>
          <w14:textFill>
            <w14:solidFill>
              <w14:schemeClr w14:val="tx1"/>
            </w14:solidFill>
          </w14:textFill>
        </w:rPr>
        <w:t>允许调整主要材料和工程设备一览表（适用于造价信息差额调整法）（表</w:t>
      </w:r>
      <w:r>
        <w:rPr>
          <w:color w:val="000000" w:themeColor="text1"/>
          <w:highlight w:val="none"/>
          <w14:textFill>
            <w14:solidFill>
              <w14:schemeClr w14:val="tx1"/>
            </w14:solidFill>
          </w14:textFill>
        </w:rPr>
        <w:t>-22</w:t>
      </w:r>
      <w:r>
        <w:rPr>
          <w:rFonts w:hint="eastAsia" w:cs="宋体"/>
          <w:color w:val="000000" w:themeColor="text1"/>
          <w:highlight w:val="none"/>
          <w14:textFill>
            <w14:solidFill>
              <w14:schemeClr w14:val="tx1"/>
            </w14:solidFill>
          </w14:textFill>
        </w:rPr>
        <w:t>）载明的主要材料和工程设备为本工程允许调整的材料和工程设备，采购工程量清单必须提供该表格，且不能提供空白表。以下表格视工程实际需要选用，如该工程不发生如下表格相关项目和费用，采购工程量清单不应列入该部分表格，已标价工程量清单亦不包括这部分表格。</w:t>
      </w:r>
    </w:p>
    <w:p w14:paraId="15FB7B83">
      <w:pPr>
        <w:spacing w:line="360" w:lineRule="auto"/>
        <w:ind w:firstLine="420" w:firstLineChars="20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①</w:t>
      </w:r>
      <w:r>
        <w:rPr>
          <w:rFonts w:hint="eastAsia" w:cs="宋体"/>
          <w:color w:val="000000" w:themeColor="text1"/>
          <w:highlight w:val="none"/>
          <w14:textFill>
            <w14:solidFill>
              <w14:schemeClr w14:val="tx1"/>
            </w14:solidFill>
          </w14:textFill>
        </w:rPr>
        <w:t>建设项目竞标报价汇总表（表</w:t>
      </w:r>
      <w:r>
        <w:rPr>
          <w:color w:val="000000" w:themeColor="text1"/>
          <w:highlight w:val="none"/>
          <w14:textFill>
            <w14:solidFill>
              <w14:schemeClr w14:val="tx1"/>
            </w14:solidFill>
          </w14:textFill>
        </w:rPr>
        <w:t>-02</w:t>
      </w:r>
      <w:r>
        <w:rPr>
          <w:rFonts w:hint="eastAsia" w:cs="宋体"/>
          <w:color w:val="000000" w:themeColor="text1"/>
          <w:highlight w:val="none"/>
          <w14:textFill>
            <w14:solidFill>
              <w14:schemeClr w14:val="tx1"/>
            </w14:solidFill>
          </w14:textFill>
        </w:rPr>
        <w:t>）</w:t>
      </w:r>
    </w:p>
    <w:p w14:paraId="5E748C98">
      <w:pPr>
        <w:spacing w:line="360" w:lineRule="auto"/>
        <w:ind w:firstLine="420" w:firstLineChars="200"/>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②暂列金额明细表（表</w:t>
      </w:r>
      <w:r>
        <w:rPr>
          <w:color w:val="000000" w:themeColor="text1"/>
          <w:highlight w:val="none"/>
          <w14:textFill>
            <w14:solidFill>
              <w14:schemeClr w14:val="tx1"/>
            </w14:solidFill>
          </w14:textFill>
        </w:rPr>
        <w:t>12-1</w:t>
      </w:r>
      <w:r>
        <w:rPr>
          <w:rFonts w:hint="eastAsia" w:cs="宋体"/>
          <w:color w:val="000000" w:themeColor="text1"/>
          <w:highlight w:val="none"/>
          <w14:textFill>
            <w14:solidFill>
              <w14:schemeClr w14:val="tx1"/>
            </w14:solidFill>
          </w14:textFill>
        </w:rPr>
        <w:t>）</w:t>
      </w:r>
    </w:p>
    <w:p w14:paraId="6B6BEA78">
      <w:pPr>
        <w:spacing w:line="360" w:lineRule="auto"/>
        <w:ind w:firstLine="420" w:firstLineChars="200"/>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③材料（工程设备）暂估单位及调整表（表</w:t>
      </w:r>
      <w:r>
        <w:rPr>
          <w:color w:val="000000" w:themeColor="text1"/>
          <w:highlight w:val="none"/>
          <w14:textFill>
            <w14:solidFill>
              <w14:schemeClr w14:val="tx1"/>
            </w14:solidFill>
          </w14:textFill>
        </w:rPr>
        <w:t>12-2</w:t>
      </w:r>
      <w:r>
        <w:rPr>
          <w:rFonts w:hint="eastAsia" w:cs="宋体"/>
          <w:color w:val="000000" w:themeColor="text1"/>
          <w:highlight w:val="none"/>
          <w14:textFill>
            <w14:solidFill>
              <w14:schemeClr w14:val="tx1"/>
            </w14:solidFill>
          </w14:textFill>
        </w:rPr>
        <w:t>）</w:t>
      </w:r>
    </w:p>
    <w:p w14:paraId="3E98880A">
      <w:pPr>
        <w:spacing w:line="360" w:lineRule="auto"/>
        <w:ind w:firstLine="420" w:firstLineChars="200"/>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④专业工程暂估价及结算价表（表</w:t>
      </w:r>
      <w:r>
        <w:rPr>
          <w:color w:val="000000" w:themeColor="text1"/>
          <w:highlight w:val="none"/>
          <w14:textFill>
            <w14:solidFill>
              <w14:schemeClr w14:val="tx1"/>
            </w14:solidFill>
          </w14:textFill>
        </w:rPr>
        <w:t>12-3</w:t>
      </w:r>
      <w:r>
        <w:rPr>
          <w:rFonts w:hint="eastAsia" w:cs="宋体"/>
          <w:color w:val="000000" w:themeColor="text1"/>
          <w:highlight w:val="none"/>
          <w14:textFill>
            <w14:solidFill>
              <w14:schemeClr w14:val="tx1"/>
            </w14:solidFill>
          </w14:textFill>
        </w:rPr>
        <w:t>）</w:t>
      </w:r>
    </w:p>
    <w:p w14:paraId="247A8E36">
      <w:pPr>
        <w:spacing w:line="360" w:lineRule="auto"/>
        <w:ind w:firstLine="420" w:firstLineChars="200"/>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⑤计日工表表</w:t>
      </w:r>
      <w:r>
        <w:rPr>
          <w:color w:val="000000" w:themeColor="text1"/>
          <w:highlight w:val="none"/>
          <w14:textFill>
            <w14:solidFill>
              <w14:schemeClr w14:val="tx1"/>
            </w14:solidFill>
          </w14:textFill>
        </w:rPr>
        <w:t>12-4</w:t>
      </w:r>
      <w:r>
        <w:rPr>
          <w:rFonts w:hint="eastAsia" w:cs="宋体"/>
          <w:color w:val="000000" w:themeColor="text1"/>
          <w:highlight w:val="none"/>
          <w14:textFill>
            <w14:solidFill>
              <w14:schemeClr w14:val="tx1"/>
            </w14:solidFill>
          </w14:textFill>
        </w:rPr>
        <w:t>）</w:t>
      </w:r>
    </w:p>
    <w:p w14:paraId="7039A16F">
      <w:pPr>
        <w:spacing w:line="360" w:lineRule="auto"/>
        <w:ind w:firstLine="420" w:firstLineChars="200"/>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⑥总承包服务费计价表（表</w:t>
      </w:r>
      <w:r>
        <w:rPr>
          <w:color w:val="000000" w:themeColor="text1"/>
          <w:highlight w:val="none"/>
          <w14:textFill>
            <w14:solidFill>
              <w14:schemeClr w14:val="tx1"/>
            </w14:solidFill>
          </w14:textFill>
        </w:rPr>
        <w:t>12-5</w:t>
      </w:r>
      <w:r>
        <w:rPr>
          <w:rFonts w:hint="eastAsia" w:cs="宋体"/>
          <w:color w:val="000000" w:themeColor="text1"/>
          <w:highlight w:val="none"/>
          <w14:textFill>
            <w14:solidFill>
              <w14:schemeClr w14:val="tx1"/>
            </w14:solidFill>
          </w14:textFill>
        </w:rPr>
        <w:t>）</w:t>
      </w:r>
    </w:p>
    <w:p w14:paraId="76E7B355">
      <w:pPr>
        <w:spacing w:line="360" w:lineRule="auto"/>
        <w:ind w:firstLine="420" w:firstLineChars="200"/>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⑦税前项目清单与计价表（表</w:t>
      </w:r>
      <w:r>
        <w:rPr>
          <w:color w:val="000000" w:themeColor="text1"/>
          <w:highlight w:val="none"/>
          <w14:textFill>
            <w14:solidFill>
              <w14:schemeClr w14:val="tx1"/>
            </w14:solidFill>
          </w14:textFill>
        </w:rPr>
        <w:t>-14</w:t>
      </w:r>
      <w:r>
        <w:rPr>
          <w:rFonts w:hint="eastAsia" w:cs="宋体"/>
          <w:color w:val="000000" w:themeColor="text1"/>
          <w:highlight w:val="none"/>
          <w14:textFill>
            <w14:solidFill>
              <w14:schemeClr w14:val="tx1"/>
            </w14:solidFill>
          </w14:textFill>
        </w:rPr>
        <w:t>）</w:t>
      </w:r>
    </w:p>
    <w:p w14:paraId="004CBFCA">
      <w:pPr>
        <w:spacing w:line="360" w:lineRule="auto"/>
        <w:ind w:firstLine="420" w:firstLineChars="200"/>
        <w:rPr>
          <w:rFonts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w:instrText>
      </w:r>
      <w:r>
        <w:rPr>
          <w:rFonts w:hint="eastAsia"/>
          <w:color w:val="000000" w:themeColor="text1"/>
          <w:highlight w:val="none"/>
          <w14:textFill>
            <w14:solidFill>
              <w14:schemeClr w14:val="tx1"/>
            </w14:solidFill>
          </w14:textFill>
        </w:rPr>
        <w:instrText xml:space="preserve">= 8 \* GB3</w:instrText>
      </w:r>
      <w:r>
        <w:rPr>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⑧</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允许调整主要材料和工程设备一览表（适用于价格指数差额调整法）（表</w:t>
      </w:r>
      <w:r>
        <w:rPr>
          <w:color w:val="000000" w:themeColor="text1"/>
          <w:highlight w:val="none"/>
          <w14:textFill>
            <w14:solidFill>
              <w14:schemeClr w14:val="tx1"/>
            </w14:solidFill>
          </w14:textFill>
        </w:rPr>
        <w:t>-23</w:t>
      </w:r>
      <w:r>
        <w:rPr>
          <w:rFonts w:hint="eastAsia" w:cs="宋体"/>
          <w:color w:val="000000" w:themeColor="text1"/>
          <w:highlight w:val="none"/>
          <w14:textFill>
            <w14:solidFill>
              <w14:schemeClr w14:val="tx1"/>
            </w14:solidFill>
          </w14:textFill>
        </w:rPr>
        <w:t>）</w:t>
      </w:r>
    </w:p>
    <w:p w14:paraId="32823EBB">
      <w:pPr>
        <w:spacing w:line="360" w:lineRule="auto"/>
        <w:ind w:firstLine="420" w:firstLineChars="200"/>
        <w:contextualSpacing/>
        <w:jc w:val="left"/>
        <w:rPr>
          <w:rFonts w:hAnsi="宋体" w:cs="宋体"/>
          <w:color w:val="000000" w:themeColor="text1"/>
          <w:kern w:val="0"/>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注：</w:t>
      </w:r>
      <w:r>
        <w:rPr>
          <w:rFonts w:hint="eastAsia" w:hAnsi="宋体" w:cs="宋体"/>
          <w:color w:val="000000" w:themeColor="text1"/>
          <w:kern w:val="0"/>
          <w:highlight w:val="none"/>
          <w14:textFill>
            <w14:solidFill>
              <w14:schemeClr w14:val="tx1"/>
            </w14:solidFill>
          </w14:textFill>
        </w:rPr>
        <w:t>因2021年《广西壮族自治区园林绿化及仿古建筑工程费用定额》采用全费用综合单价形式，故园林绿化及仿古建筑工程的已标价工程量清单</w:t>
      </w:r>
      <w:r>
        <w:rPr>
          <w:rFonts w:hint="eastAsia" w:cs="黑体"/>
          <w:color w:val="000000" w:themeColor="text1"/>
          <w:highlight w:val="none"/>
          <w14:textFill>
            <w14:solidFill>
              <w14:schemeClr w14:val="tx1"/>
            </w14:solidFill>
          </w14:textFill>
        </w:rPr>
        <w:t>采用</w:t>
      </w:r>
      <w:r>
        <w:rPr>
          <w:rFonts w:hint="eastAsia" w:hAnsi="宋体" w:cs="宋体"/>
          <w:color w:val="000000" w:themeColor="text1"/>
          <w:kern w:val="0"/>
          <w:highlight w:val="none"/>
          <w14:textFill>
            <w14:solidFill>
              <w14:schemeClr w14:val="tx1"/>
            </w14:solidFill>
          </w14:textFill>
        </w:rPr>
        <w:t>《自治区住房和城乡建设厅关于建设工程造价改革试点项目招竞标及计价规定调整的通知》（桂建标〔2021〕6号）中附件1《建设工程工程量清单计价规范（GB50500-2013）广西壮族自治区实施细则》（适用于工程造价改革试点项目）相关表格，具体以采购人另册发放的工程量清单及相关说明为准。</w:t>
      </w:r>
    </w:p>
    <w:p w14:paraId="108B4AC9">
      <w:pPr>
        <w:spacing w:line="360" w:lineRule="auto"/>
        <w:contextualSpacing/>
        <w:jc w:val="left"/>
        <w:rPr>
          <w:color w:val="000000" w:themeColor="text1"/>
          <w:highlight w:val="none"/>
          <w14:textFill>
            <w14:solidFill>
              <w14:schemeClr w14:val="tx1"/>
            </w14:solidFill>
          </w14:textFill>
        </w:rPr>
      </w:pPr>
    </w:p>
    <w:p w14:paraId="06581E6C">
      <w:pPr>
        <w:spacing w:line="360" w:lineRule="auto"/>
        <w:ind w:firstLine="643" w:firstLineChars="200"/>
        <w:contextualSpacing/>
        <w:jc w:val="center"/>
        <w:rPr>
          <w:rFonts w:ascii="宋体" w:hAnsi="宋体"/>
          <w:b/>
          <w:color w:val="000000" w:themeColor="text1"/>
          <w:sz w:val="32"/>
          <w:szCs w:val="32"/>
          <w:highlight w:val="none"/>
          <w14:textFill>
            <w14:solidFill>
              <w14:schemeClr w14:val="tx1"/>
            </w14:solidFill>
          </w14:textFill>
        </w:rPr>
      </w:pPr>
      <w:r>
        <w:rPr>
          <w:rFonts w:ascii="宋体" w:hAnsi="宋体"/>
          <w:b/>
          <w:bCs/>
          <w:color w:val="000000" w:themeColor="text1"/>
          <w:sz w:val="32"/>
          <w:szCs w:val="32"/>
          <w:highlight w:val="none"/>
          <w14:textFill>
            <w14:solidFill>
              <w14:schemeClr w14:val="tx1"/>
            </w14:solidFill>
          </w14:textFill>
        </w:rPr>
        <w:br w:type="page"/>
      </w:r>
      <w:r>
        <w:rPr>
          <w:rFonts w:hint="eastAsia" w:ascii="宋体" w:hAnsi="宋体"/>
          <w:b/>
          <w:bCs/>
          <w:color w:val="000000" w:themeColor="text1"/>
          <w:sz w:val="32"/>
          <w:szCs w:val="32"/>
          <w:highlight w:val="none"/>
          <w14:textFill>
            <w14:solidFill>
              <w14:schemeClr w14:val="tx1"/>
            </w14:solidFill>
          </w14:textFill>
        </w:rPr>
        <w:t>三、</w:t>
      </w:r>
      <w:r>
        <w:rPr>
          <w:rFonts w:hint="eastAsia" w:ascii="宋体" w:hAnsi="宋体"/>
          <w:b/>
          <w:color w:val="000000" w:themeColor="text1"/>
          <w:sz w:val="32"/>
          <w:szCs w:val="32"/>
          <w:highlight w:val="none"/>
          <w14:textFill>
            <w14:solidFill>
              <w14:schemeClr w14:val="tx1"/>
            </w14:solidFill>
          </w14:textFill>
        </w:rPr>
        <w:t>商务技术文件格式</w:t>
      </w:r>
    </w:p>
    <w:p w14:paraId="29C56DAF">
      <w:pPr>
        <w:snapToGrid w:val="0"/>
        <w:spacing w:beforeLines="50" w:after="50" w:line="360" w:lineRule="auto"/>
        <w:jc w:val="left"/>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1.商务技术文件封面格式</w:t>
      </w:r>
    </w:p>
    <w:p w14:paraId="5CD644D7">
      <w:pPr>
        <w:snapToGrid w:val="0"/>
        <w:spacing w:beforeLines="50" w:after="50"/>
        <w:rPr>
          <w:rFonts w:ascii="宋体" w:hAnsi="宋体"/>
          <w:bCs/>
          <w:color w:val="000000" w:themeColor="text1"/>
          <w:sz w:val="32"/>
          <w:szCs w:val="20"/>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14:paraId="47981FD6">
      <w:pPr>
        <w:snapToGrid w:val="0"/>
        <w:spacing w:beforeLines="50" w:after="5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44"/>
          <w:szCs w:val="44"/>
          <w:highlight w:val="none"/>
          <w14:textFill>
            <w14:solidFill>
              <w14:schemeClr w14:val="tx1"/>
            </w14:solidFill>
          </w14:textFill>
        </w:rPr>
        <w:t>电 子 响 应 文 件</w:t>
      </w:r>
    </w:p>
    <w:p w14:paraId="09377884">
      <w:pPr>
        <w:snapToGrid w:val="0"/>
        <w:spacing w:beforeLines="50" w:after="50"/>
        <w:rPr>
          <w:rFonts w:ascii="宋体" w:hAnsi="宋体"/>
          <w:color w:val="000000" w:themeColor="text1"/>
          <w:sz w:val="24"/>
          <w:szCs w:val="20"/>
          <w:highlight w:val="none"/>
          <w14:textFill>
            <w14:solidFill>
              <w14:schemeClr w14:val="tx1"/>
            </w14:solidFill>
          </w14:textFill>
        </w:rPr>
      </w:pPr>
    </w:p>
    <w:p w14:paraId="2B807718">
      <w:pPr>
        <w:snapToGrid w:val="0"/>
        <w:spacing w:beforeLines="50" w:after="50"/>
        <w:rPr>
          <w:rFonts w:ascii="宋体" w:hAnsi="宋体"/>
          <w:color w:val="000000" w:themeColor="text1"/>
          <w:sz w:val="24"/>
          <w:szCs w:val="20"/>
          <w:highlight w:val="none"/>
          <w14:textFill>
            <w14:solidFill>
              <w14:schemeClr w14:val="tx1"/>
            </w14:solidFill>
          </w14:textFill>
        </w:rPr>
      </w:pPr>
    </w:p>
    <w:p w14:paraId="1D32249A">
      <w:pPr>
        <w:snapToGrid w:val="0"/>
        <w:spacing w:beforeLines="50" w:after="50"/>
        <w:jc w:val="center"/>
        <w:rPr>
          <w:rFonts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商  务  技  术  文  件</w:t>
      </w:r>
    </w:p>
    <w:p w14:paraId="4757BF29">
      <w:pPr>
        <w:snapToGrid w:val="0"/>
        <w:spacing w:beforeLines="50" w:after="50"/>
        <w:rPr>
          <w:rFonts w:ascii="宋体" w:hAnsi="宋体"/>
          <w:bCs/>
          <w:color w:val="000000" w:themeColor="text1"/>
          <w:sz w:val="24"/>
          <w:szCs w:val="20"/>
          <w:highlight w:val="none"/>
          <w14:textFill>
            <w14:solidFill>
              <w14:schemeClr w14:val="tx1"/>
            </w14:solidFill>
          </w14:textFill>
        </w:rPr>
      </w:pPr>
    </w:p>
    <w:p w14:paraId="6493308E">
      <w:pPr>
        <w:snapToGrid w:val="0"/>
        <w:spacing w:beforeLines="50" w:after="50"/>
        <w:rPr>
          <w:rFonts w:ascii="宋体" w:hAnsi="宋体"/>
          <w:bCs/>
          <w:color w:val="000000" w:themeColor="text1"/>
          <w:sz w:val="24"/>
          <w:szCs w:val="20"/>
          <w:highlight w:val="none"/>
          <w14:textFill>
            <w14:solidFill>
              <w14:schemeClr w14:val="tx1"/>
            </w14:solidFill>
          </w14:textFill>
        </w:rPr>
      </w:pPr>
    </w:p>
    <w:p w14:paraId="74EDA225">
      <w:pPr>
        <w:snapToGrid w:val="0"/>
        <w:spacing w:beforeLines="50" w:after="50"/>
        <w:rPr>
          <w:rFonts w:ascii="宋体" w:hAnsi="宋体"/>
          <w:bCs/>
          <w:color w:val="000000" w:themeColor="text1"/>
          <w:sz w:val="24"/>
          <w:szCs w:val="20"/>
          <w:highlight w:val="none"/>
          <w14:textFill>
            <w14:solidFill>
              <w14:schemeClr w14:val="tx1"/>
            </w14:solidFill>
          </w14:textFill>
        </w:rPr>
      </w:pPr>
    </w:p>
    <w:p w14:paraId="1237F5C8">
      <w:pPr>
        <w:snapToGrid w:val="0"/>
        <w:spacing w:beforeLines="50" w:after="50"/>
        <w:rPr>
          <w:rFonts w:ascii="宋体" w:hAnsi="宋体"/>
          <w:bCs/>
          <w:color w:val="000000" w:themeColor="text1"/>
          <w:sz w:val="24"/>
          <w:szCs w:val="20"/>
          <w:highlight w:val="none"/>
          <w14:textFill>
            <w14:solidFill>
              <w14:schemeClr w14:val="tx1"/>
            </w14:solidFill>
          </w14:textFill>
        </w:rPr>
      </w:pPr>
    </w:p>
    <w:p w14:paraId="51764DC4">
      <w:pPr>
        <w:snapToGrid w:val="0"/>
        <w:spacing w:beforeLines="50" w:after="50"/>
        <w:rPr>
          <w:rFonts w:ascii="宋体" w:hAnsi="宋体"/>
          <w:bCs/>
          <w:color w:val="000000" w:themeColor="text1"/>
          <w:sz w:val="24"/>
          <w:szCs w:val="20"/>
          <w:highlight w:val="none"/>
          <w14:textFill>
            <w14:solidFill>
              <w14:schemeClr w14:val="tx1"/>
            </w14:solidFill>
          </w14:textFill>
        </w:rPr>
      </w:pPr>
    </w:p>
    <w:p w14:paraId="5B2A61E1">
      <w:pPr>
        <w:snapToGrid w:val="0"/>
        <w:spacing w:beforeLines="50" w:after="50"/>
        <w:ind w:firstLine="640" w:firstLineChars="200"/>
        <w:rPr>
          <w:rFonts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项目名称：</w:t>
      </w:r>
    </w:p>
    <w:p w14:paraId="0A2DC8EB">
      <w:pPr>
        <w:snapToGrid w:val="0"/>
        <w:spacing w:beforeLines="50" w:after="50"/>
        <w:ind w:firstLine="720" w:firstLineChars="225"/>
        <w:rPr>
          <w:rFonts w:ascii="宋体" w:hAnsi="宋体" w:cs="仿宋_GB2312"/>
          <w:bCs/>
          <w:color w:val="000000" w:themeColor="text1"/>
          <w:sz w:val="32"/>
          <w:szCs w:val="32"/>
          <w:highlight w:val="none"/>
          <w14:textFill>
            <w14:solidFill>
              <w14:schemeClr w14:val="tx1"/>
            </w14:solidFill>
          </w14:textFill>
        </w:rPr>
      </w:pPr>
    </w:p>
    <w:p w14:paraId="6BD6ED8E">
      <w:pPr>
        <w:snapToGrid w:val="0"/>
        <w:spacing w:beforeLines="50" w:after="50"/>
        <w:ind w:firstLine="640" w:firstLineChars="200"/>
        <w:rPr>
          <w:rFonts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项目编号：</w:t>
      </w:r>
    </w:p>
    <w:p w14:paraId="3D320042">
      <w:pPr>
        <w:snapToGrid w:val="0"/>
        <w:spacing w:beforeLines="50" w:after="50"/>
        <w:ind w:firstLine="720" w:firstLineChars="225"/>
        <w:rPr>
          <w:rFonts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 xml:space="preserve"> </w:t>
      </w:r>
    </w:p>
    <w:p w14:paraId="6EC2A7A6">
      <w:pPr>
        <w:snapToGrid w:val="0"/>
        <w:spacing w:beforeLines="50" w:after="50"/>
        <w:ind w:firstLine="640" w:firstLineChars="200"/>
        <w:rPr>
          <w:rFonts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所竞分标（如有则填写，无分标时填写“无”或者留空）：</w:t>
      </w:r>
    </w:p>
    <w:p w14:paraId="0283BAA0">
      <w:pPr>
        <w:snapToGrid w:val="0"/>
        <w:spacing w:beforeLines="50" w:after="50"/>
        <w:ind w:firstLine="720" w:firstLineChars="225"/>
        <w:rPr>
          <w:rFonts w:ascii="宋体" w:hAnsi="宋体" w:cs="仿宋_GB2312"/>
          <w:bCs/>
          <w:color w:val="000000" w:themeColor="text1"/>
          <w:sz w:val="32"/>
          <w:szCs w:val="32"/>
          <w:highlight w:val="none"/>
          <w14:textFill>
            <w14:solidFill>
              <w14:schemeClr w14:val="tx1"/>
            </w14:solidFill>
          </w14:textFill>
        </w:rPr>
      </w:pPr>
    </w:p>
    <w:p w14:paraId="263309BC">
      <w:pPr>
        <w:pStyle w:val="7"/>
        <w:snapToGrid w:val="0"/>
        <w:spacing w:before="50" w:after="50"/>
        <w:ind w:firstLine="640" w:firstLineChars="200"/>
        <w:rPr>
          <w:rFonts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供应商名称：</w:t>
      </w:r>
    </w:p>
    <w:p w14:paraId="792917EC">
      <w:pPr>
        <w:pStyle w:val="7"/>
        <w:snapToGrid w:val="0"/>
        <w:spacing w:before="50" w:after="50"/>
        <w:ind w:firstLine="640" w:firstLineChars="200"/>
        <w:rPr>
          <w:rFonts w:ascii="宋体" w:hAnsi="宋体" w:cs="仿宋_GB2312"/>
          <w:bCs/>
          <w:color w:val="000000" w:themeColor="text1"/>
          <w:sz w:val="32"/>
          <w:szCs w:val="32"/>
          <w:highlight w:val="none"/>
          <w14:textFill>
            <w14:solidFill>
              <w14:schemeClr w14:val="tx1"/>
            </w14:solidFill>
          </w14:textFill>
        </w:rPr>
      </w:pPr>
    </w:p>
    <w:p w14:paraId="64665BE7">
      <w:pPr>
        <w:pStyle w:val="7"/>
        <w:snapToGrid w:val="0"/>
        <w:spacing w:before="50" w:after="50"/>
        <w:ind w:firstLine="720" w:firstLineChars="225"/>
        <w:rPr>
          <w:rFonts w:ascii="宋体" w:hAnsi="宋体" w:cs="仿宋_GB2312"/>
          <w:bCs/>
          <w:color w:val="000000" w:themeColor="text1"/>
          <w:sz w:val="32"/>
          <w:szCs w:val="32"/>
          <w:highlight w:val="none"/>
          <w14:textFill>
            <w14:solidFill>
              <w14:schemeClr w14:val="tx1"/>
            </w14:solidFill>
          </w14:textFill>
        </w:rPr>
      </w:pPr>
    </w:p>
    <w:p w14:paraId="5E0DA4DF">
      <w:pPr>
        <w:pStyle w:val="7"/>
        <w:snapToGrid w:val="0"/>
        <w:spacing w:before="50" w:after="50"/>
        <w:ind w:firstLine="0"/>
        <w:rPr>
          <w:rFonts w:ascii="宋体" w:hAnsi="宋体" w:cs="仿宋_GB2312"/>
          <w:bCs/>
          <w:color w:val="000000" w:themeColor="text1"/>
          <w:sz w:val="32"/>
          <w:szCs w:val="32"/>
          <w:highlight w:val="none"/>
          <w14:textFill>
            <w14:solidFill>
              <w14:schemeClr w14:val="tx1"/>
            </w14:solidFill>
          </w14:textFill>
        </w:rPr>
      </w:pPr>
    </w:p>
    <w:p w14:paraId="38AB0816">
      <w:pPr>
        <w:pStyle w:val="7"/>
        <w:snapToGrid w:val="0"/>
        <w:spacing w:before="50" w:after="50"/>
        <w:ind w:firstLine="1280" w:firstLineChars="400"/>
        <w:rPr>
          <w:rFonts w:ascii="宋体" w:hAnsi="宋体" w:cs="仿宋_GB2312"/>
          <w:bCs/>
          <w:color w:val="000000" w:themeColor="text1"/>
          <w:sz w:val="32"/>
          <w:szCs w:val="32"/>
          <w:highlight w:val="none"/>
          <w14:textFill>
            <w14:solidFill>
              <w14:schemeClr w14:val="tx1"/>
            </w14:solidFill>
          </w14:textFill>
        </w:rPr>
      </w:pPr>
    </w:p>
    <w:p w14:paraId="2B1E2CF0">
      <w:pPr>
        <w:snapToGrid w:val="0"/>
        <w:spacing w:beforeLines="50" w:after="50"/>
        <w:jc w:val="center"/>
        <w:rPr>
          <w:rFonts w:ascii="宋体" w:hAnsi="宋体" w:cs="仿宋_GB2312"/>
          <w:color w:val="000000" w:themeColor="text1"/>
          <w:sz w:val="32"/>
          <w:szCs w:val="32"/>
          <w:highlight w:val="none"/>
          <w14:textFill>
            <w14:solidFill>
              <w14:schemeClr w14:val="tx1"/>
            </w14:solidFill>
          </w14:textFill>
        </w:rPr>
      </w:pPr>
      <w:r>
        <w:rPr>
          <w:rFonts w:hint="eastAsia" w:ascii="宋体" w:hAnsi="宋体" w:cs="仿宋_GB2312"/>
          <w:color w:val="000000" w:themeColor="text1"/>
          <w:sz w:val="32"/>
          <w:szCs w:val="32"/>
          <w:highlight w:val="none"/>
          <w14:textFill>
            <w14:solidFill>
              <w14:schemeClr w14:val="tx1"/>
            </w14:solidFill>
          </w14:textFill>
        </w:rPr>
        <w:t>年    月    日</w:t>
      </w:r>
    </w:p>
    <w:p w14:paraId="0B7727E6">
      <w:pPr>
        <w:snapToGrid w:val="0"/>
        <w:spacing w:beforeLines="50" w:after="50" w:line="360" w:lineRule="auto"/>
        <w:ind w:right="480" w:firstLine="240" w:firstLineChars="100"/>
        <w:jc w:val="left"/>
        <w:rPr>
          <w:rFonts w:ascii="宋体" w:hAnsi="宋体"/>
          <w:b/>
          <w:bCs/>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br w:type="page"/>
      </w:r>
      <w:r>
        <w:rPr>
          <w:rFonts w:hint="eastAsia" w:ascii="宋体" w:hAnsi="宋体"/>
          <w:b/>
          <w:bCs/>
          <w:color w:val="000000" w:themeColor="text1"/>
          <w:sz w:val="32"/>
          <w:szCs w:val="32"/>
          <w:highlight w:val="none"/>
          <w14:textFill>
            <w14:solidFill>
              <w14:schemeClr w14:val="tx1"/>
            </w14:solidFill>
          </w14:textFill>
        </w:rPr>
        <w:t>2.商务技术文件目录</w:t>
      </w:r>
    </w:p>
    <w:p w14:paraId="57D4448E">
      <w:pPr>
        <w:snapToGrid w:val="0"/>
        <w:spacing w:beforeLines="50" w:after="50" w:line="360" w:lineRule="auto"/>
        <w:ind w:firstLine="640" w:firstLineChars="200"/>
        <w:rPr>
          <w:rFonts w:ascii="宋体" w:hAnsi="宋体"/>
          <w:color w:val="000000" w:themeColor="text1"/>
          <w:sz w:val="32"/>
          <w:szCs w:val="32"/>
          <w:highlight w:val="none"/>
          <w14:textFill>
            <w14:solidFill>
              <w14:schemeClr w14:val="tx1"/>
            </w14:solidFill>
          </w14:textFill>
        </w:rPr>
      </w:pPr>
      <w:r>
        <w:rPr>
          <w:rFonts w:hint="eastAsia" w:ascii="宋体" w:hAnsi="宋体"/>
          <w:color w:val="000000" w:themeColor="text1"/>
          <w:sz w:val="32"/>
          <w:szCs w:val="32"/>
          <w:highlight w:val="none"/>
          <w14:textFill>
            <w14:solidFill>
              <w14:schemeClr w14:val="tx1"/>
            </w14:solidFill>
          </w14:textFill>
        </w:rPr>
        <w:t>根据磋商文件规定及供应商提供的材料自行编写目录（部分格式后附）。</w:t>
      </w:r>
    </w:p>
    <w:p w14:paraId="3554E3A9">
      <w:pPr>
        <w:spacing w:line="400" w:lineRule="exact"/>
        <w:rPr>
          <w:rFonts w:ascii="仿宋_GB2312" w:hAnsi="仿宋_GB2312" w:eastAsia="仿宋_GB2312" w:cs="仿宋_GB2312"/>
          <w:color w:val="000000" w:themeColor="text1"/>
          <w:sz w:val="32"/>
          <w:szCs w:val="32"/>
          <w:highlight w:val="none"/>
          <w14:textFill>
            <w14:solidFill>
              <w14:schemeClr w14:val="tx1"/>
            </w14:solidFill>
          </w14:textFill>
        </w:rPr>
      </w:pPr>
    </w:p>
    <w:p w14:paraId="2A35BAE6">
      <w:pPr>
        <w:spacing w:line="520" w:lineRule="exact"/>
        <w:jc w:val="center"/>
        <w:rPr>
          <w:rFonts w:ascii="宋体" w:hAnsi="宋体" w:cs="仿宋_GB2312"/>
          <w:b/>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br w:type="page"/>
      </w:r>
      <w:r>
        <w:rPr>
          <w:rFonts w:hint="eastAsia" w:ascii="宋体" w:hAnsi="宋体" w:cs="方正小标宋简体"/>
          <w:b/>
          <w:color w:val="000000" w:themeColor="text1"/>
          <w:sz w:val="32"/>
          <w:szCs w:val="32"/>
          <w:highlight w:val="none"/>
          <w14:textFill>
            <w14:solidFill>
              <w14:schemeClr w14:val="tx1"/>
            </w14:solidFill>
          </w14:textFill>
        </w:rPr>
        <w:t>无串通竞标行为的承诺函</w:t>
      </w:r>
    </w:p>
    <w:p w14:paraId="4AC18B11">
      <w:pPr>
        <w:spacing w:line="360" w:lineRule="auto"/>
        <w:ind w:firstLine="640" w:firstLineChars="200"/>
        <w:contextualSpacing/>
        <w:rPr>
          <w:rFonts w:ascii="仿宋_GB2312" w:hAnsi="仿宋_GB2312" w:eastAsia="仿宋_GB2312" w:cs="仿宋_GB2312"/>
          <w:color w:val="000000" w:themeColor="text1"/>
          <w:sz w:val="32"/>
          <w:szCs w:val="32"/>
          <w:highlight w:val="none"/>
          <w14:textFill>
            <w14:solidFill>
              <w14:schemeClr w14:val="tx1"/>
            </w14:solidFill>
          </w14:textFill>
        </w:rPr>
      </w:pPr>
    </w:p>
    <w:p w14:paraId="3A8AB1D1">
      <w:pPr>
        <w:spacing w:line="360" w:lineRule="auto"/>
        <w:ind w:firstLine="482" w:firstLineChars="200"/>
        <w:contextualSpacing/>
        <w:rPr>
          <w:rFonts w:ascii="宋体" w:hAnsi="宋体" w:cs="仿宋_GB2312"/>
          <w:b/>
          <w:bCs/>
          <w:color w:val="000000" w:themeColor="text1"/>
          <w:sz w:val="24"/>
          <w:highlight w:val="none"/>
          <w14:textFill>
            <w14:solidFill>
              <w14:schemeClr w14:val="tx1"/>
            </w14:solidFill>
          </w14:textFill>
        </w:rPr>
      </w:pPr>
      <w:r>
        <w:rPr>
          <w:rFonts w:hint="eastAsia" w:ascii="宋体" w:hAnsi="宋体" w:cs="仿宋_GB2312"/>
          <w:b/>
          <w:bCs/>
          <w:color w:val="000000" w:themeColor="text1"/>
          <w:sz w:val="24"/>
          <w:highlight w:val="none"/>
          <w14:textFill>
            <w14:solidFill>
              <w14:schemeClr w14:val="tx1"/>
            </w14:solidFill>
          </w14:textFill>
        </w:rPr>
        <w:t>一、我方承诺无下列相互串通竞标的情形：</w:t>
      </w:r>
    </w:p>
    <w:p w14:paraId="4343E631">
      <w:pPr>
        <w:spacing w:line="360" w:lineRule="auto"/>
        <w:ind w:firstLine="480" w:firstLineChars="2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1.不同供应商的响应文件由同一单位或者个人编制</w:t>
      </w:r>
      <w:r>
        <w:rPr>
          <w:rFonts w:hint="eastAsia" w:ascii="宋体" w:hAnsi="宋体" w:cs="仿宋_GB2312"/>
          <w:color w:val="000000" w:themeColor="text1"/>
          <w:sz w:val="24"/>
          <w:highlight w:val="none"/>
          <w:lang w:eastAsia="zh-CN"/>
          <w14:textFill>
            <w14:solidFill>
              <w14:schemeClr w14:val="tx1"/>
            </w14:solidFill>
          </w14:textFill>
        </w:rPr>
        <w:t>；</w:t>
      </w:r>
      <w:r>
        <w:rPr>
          <w:rFonts w:hint="eastAsia" w:ascii="宋体" w:hAnsi="宋体" w:cs="仿宋_GB2312"/>
          <w:color w:val="000000" w:themeColor="text1"/>
          <w:sz w:val="24"/>
          <w:highlight w:val="none"/>
          <w14:textFill>
            <w14:solidFill>
              <w14:schemeClr w14:val="tx1"/>
            </w14:solidFill>
          </w14:textFill>
        </w:rPr>
        <w:t xml:space="preserve"> </w:t>
      </w:r>
    </w:p>
    <w:p w14:paraId="2F0632FE">
      <w:pPr>
        <w:spacing w:line="360" w:lineRule="auto"/>
        <w:ind w:firstLine="480" w:firstLineChars="200"/>
        <w:contextualSpacing/>
        <w:rPr>
          <w:rFonts w:hint="eastAsia" w:ascii="宋体" w:hAnsi="宋体" w:eastAsia="宋体" w:cs="仿宋_GB2312"/>
          <w:color w:val="000000" w:themeColor="text1"/>
          <w:sz w:val="24"/>
          <w:highlight w:val="none"/>
          <w:lang w:eastAsia="zh-CN"/>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2.不同供应商委托同一单位或者个人办理竞标事宜</w:t>
      </w:r>
      <w:r>
        <w:rPr>
          <w:rFonts w:hint="eastAsia" w:ascii="宋体" w:hAnsi="宋体" w:cs="仿宋_GB2312"/>
          <w:color w:val="000000" w:themeColor="text1"/>
          <w:sz w:val="24"/>
          <w:highlight w:val="none"/>
          <w:lang w:eastAsia="zh-CN"/>
          <w14:textFill>
            <w14:solidFill>
              <w14:schemeClr w14:val="tx1"/>
            </w14:solidFill>
          </w14:textFill>
        </w:rPr>
        <w:t>；</w:t>
      </w:r>
    </w:p>
    <w:p w14:paraId="1AF682AA">
      <w:pPr>
        <w:spacing w:line="360" w:lineRule="auto"/>
        <w:ind w:firstLine="480" w:firstLineChars="200"/>
        <w:contextualSpacing/>
        <w:rPr>
          <w:rFonts w:hint="eastAsia" w:ascii="宋体" w:hAnsi="宋体" w:eastAsia="宋体" w:cs="仿宋_GB2312"/>
          <w:color w:val="000000" w:themeColor="text1"/>
          <w:sz w:val="24"/>
          <w:highlight w:val="none"/>
          <w:lang w:eastAsia="zh-CN"/>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3.不同供应商的响应文件载明的项目管理员为同一个人</w:t>
      </w:r>
      <w:r>
        <w:rPr>
          <w:rFonts w:hint="eastAsia" w:ascii="宋体" w:hAnsi="宋体" w:cs="仿宋_GB2312"/>
          <w:color w:val="000000" w:themeColor="text1"/>
          <w:sz w:val="24"/>
          <w:highlight w:val="none"/>
          <w:lang w:eastAsia="zh-CN"/>
          <w14:textFill>
            <w14:solidFill>
              <w14:schemeClr w14:val="tx1"/>
            </w14:solidFill>
          </w14:textFill>
        </w:rPr>
        <w:t>；</w:t>
      </w:r>
    </w:p>
    <w:p w14:paraId="3AF80EE7">
      <w:pPr>
        <w:spacing w:line="360" w:lineRule="auto"/>
        <w:ind w:firstLine="480" w:firstLineChars="200"/>
        <w:contextualSpacing/>
        <w:rPr>
          <w:rFonts w:hint="eastAsia" w:ascii="宋体" w:hAnsi="宋体" w:eastAsia="宋体" w:cs="仿宋_GB2312"/>
          <w:color w:val="000000" w:themeColor="text1"/>
          <w:sz w:val="24"/>
          <w:highlight w:val="none"/>
          <w:lang w:eastAsia="zh-CN"/>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4.不</w:t>
      </w:r>
      <w:r>
        <w:rPr>
          <w:rFonts w:hint="eastAsia" w:ascii="宋体" w:hAnsi="宋体" w:cs="仿宋_GB2312"/>
          <w:color w:val="000000" w:themeColor="text1"/>
          <w:spacing w:val="-6"/>
          <w:sz w:val="24"/>
          <w:highlight w:val="none"/>
          <w14:textFill>
            <w14:solidFill>
              <w14:schemeClr w14:val="tx1"/>
            </w14:solidFill>
          </w14:textFill>
        </w:rPr>
        <w:t>同供应商的响应文件异常一致或者竞标报价呈规律性差异</w:t>
      </w:r>
      <w:r>
        <w:rPr>
          <w:rFonts w:hint="eastAsia" w:ascii="宋体" w:hAnsi="宋体" w:cs="仿宋_GB2312"/>
          <w:color w:val="000000" w:themeColor="text1"/>
          <w:spacing w:val="-6"/>
          <w:sz w:val="24"/>
          <w:highlight w:val="none"/>
          <w:lang w:eastAsia="zh-CN"/>
          <w14:textFill>
            <w14:solidFill>
              <w14:schemeClr w14:val="tx1"/>
            </w14:solidFill>
          </w14:textFill>
        </w:rPr>
        <w:t>；</w:t>
      </w:r>
    </w:p>
    <w:p w14:paraId="38BF8ABC">
      <w:pPr>
        <w:spacing w:line="360" w:lineRule="auto"/>
        <w:ind w:firstLine="480" w:firstLineChars="200"/>
        <w:contextualSpacing/>
        <w:rPr>
          <w:rFonts w:hint="eastAsia" w:ascii="宋体" w:hAnsi="宋体" w:eastAsia="宋体" w:cs="仿宋_GB2312"/>
          <w:color w:val="000000" w:themeColor="text1"/>
          <w:sz w:val="24"/>
          <w:highlight w:val="none"/>
          <w:lang w:eastAsia="zh-CN"/>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5.不同供应商的响应文件相互混装</w:t>
      </w:r>
      <w:r>
        <w:rPr>
          <w:rFonts w:hint="eastAsia" w:ascii="宋体" w:hAnsi="宋体" w:cs="仿宋_GB2312"/>
          <w:color w:val="000000" w:themeColor="text1"/>
          <w:sz w:val="24"/>
          <w:highlight w:val="none"/>
          <w:lang w:eastAsia="zh-CN"/>
          <w14:textFill>
            <w14:solidFill>
              <w14:schemeClr w14:val="tx1"/>
            </w14:solidFill>
          </w14:textFill>
        </w:rPr>
        <w:t>；</w:t>
      </w:r>
    </w:p>
    <w:p w14:paraId="068E1863">
      <w:pPr>
        <w:spacing w:line="360" w:lineRule="auto"/>
        <w:ind w:firstLine="480" w:firstLineChars="2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6.不同供应商的磋商保证金从同一单位或者个人账户转出。</w:t>
      </w:r>
    </w:p>
    <w:p w14:paraId="379A9122">
      <w:pPr>
        <w:spacing w:line="360" w:lineRule="auto"/>
        <w:ind w:firstLine="482" w:firstLineChars="200"/>
        <w:contextualSpacing/>
        <w:rPr>
          <w:rFonts w:ascii="宋体" w:hAnsi="宋体" w:cs="仿宋_GB2312"/>
          <w:b/>
          <w:bCs/>
          <w:color w:val="000000" w:themeColor="text1"/>
          <w:sz w:val="24"/>
          <w:highlight w:val="none"/>
          <w14:textFill>
            <w14:solidFill>
              <w14:schemeClr w14:val="tx1"/>
            </w14:solidFill>
          </w14:textFill>
        </w:rPr>
      </w:pPr>
      <w:r>
        <w:rPr>
          <w:rFonts w:hint="eastAsia" w:ascii="宋体" w:hAnsi="宋体" w:cs="仿宋_GB2312"/>
          <w:b/>
          <w:bCs/>
          <w:color w:val="000000" w:themeColor="text1"/>
          <w:sz w:val="24"/>
          <w:highlight w:val="none"/>
          <w14:textFill>
            <w14:solidFill>
              <w14:schemeClr w14:val="tx1"/>
            </w14:solidFill>
          </w14:textFill>
        </w:rPr>
        <w:t>二、我方承诺无下列恶意串通的情形：</w:t>
      </w:r>
    </w:p>
    <w:p w14:paraId="1C86A080">
      <w:pPr>
        <w:spacing w:line="360" w:lineRule="auto"/>
        <w:ind w:firstLine="480" w:firstLineChars="200"/>
        <w:contextualSpacing/>
        <w:rPr>
          <w:rFonts w:hint="eastAsia" w:ascii="宋体" w:hAnsi="宋体" w:eastAsia="宋体" w:cs="仿宋_GB2312"/>
          <w:color w:val="000000" w:themeColor="text1"/>
          <w:sz w:val="24"/>
          <w:highlight w:val="none"/>
          <w:lang w:eastAsia="zh-CN"/>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1.供应商直接或者间接从采购人或者采购代理机构处获得其他供应商的相关信息并修改其响应文件</w:t>
      </w:r>
      <w:r>
        <w:rPr>
          <w:rFonts w:hint="eastAsia" w:ascii="宋体" w:hAnsi="宋体" w:cs="仿宋_GB2312"/>
          <w:color w:val="000000" w:themeColor="text1"/>
          <w:sz w:val="24"/>
          <w:highlight w:val="none"/>
          <w:lang w:eastAsia="zh-CN"/>
          <w14:textFill>
            <w14:solidFill>
              <w14:schemeClr w14:val="tx1"/>
            </w14:solidFill>
          </w14:textFill>
        </w:rPr>
        <w:t>；</w:t>
      </w:r>
    </w:p>
    <w:p w14:paraId="34D94096">
      <w:pPr>
        <w:spacing w:line="360" w:lineRule="auto"/>
        <w:ind w:firstLine="480" w:firstLineChars="200"/>
        <w:contextualSpacing/>
        <w:rPr>
          <w:rFonts w:hint="eastAsia" w:ascii="宋体" w:hAnsi="宋体" w:eastAsia="宋体" w:cs="仿宋_GB2312"/>
          <w:color w:val="000000" w:themeColor="text1"/>
          <w:sz w:val="24"/>
          <w:highlight w:val="none"/>
          <w:lang w:eastAsia="zh-CN"/>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2.供应商按照采购人或者采购代理机构的授意撤换、修改响应文件</w:t>
      </w:r>
      <w:r>
        <w:rPr>
          <w:rFonts w:hint="eastAsia" w:ascii="宋体" w:hAnsi="宋体" w:cs="仿宋_GB2312"/>
          <w:color w:val="000000" w:themeColor="text1"/>
          <w:sz w:val="24"/>
          <w:highlight w:val="none"/>
          <w:lang w:eastAsia="zh-CN"/>
          <w14:textFill>
            <w14:solidFill>
              <w14:schemeClr w14:val="tx1"/>
            </w14:solidFill>
          </w14:textFill>
        </w:rPr>
        <w:t>；</w:t>
      </w:r>
    </w:p>
    <w:p w14:paraId="4760E550">
      <w:pPr>
        <w:spacing w:line="360" w:lineRule="auto"/>
        <w:ind w:firstLine="480" w:firstLineChars="200"/>
        <w:contextualSpacing/>
        <w:rPr>
          <w:rFonts w:hint="eastAsia" w:ascii="宋体" w:hAnsi="宋体" w:eastAsia="宋体" w:cs="仿宋_GB2312"/>
          <w:color w:val="000000" w:themeColor="text1"/>
          <w:sz w:val="24"/>
          <w:highlight w:val="none"/>
          <w:lang w:eastAsia="zh-CN"/>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3.供</w:t>
      </w:r>
      <w:r>
        <w:rPr>
          <w:rFonts w:hint="eastAsia" w:ascii="宋体" w:hAnsi="宋体" w:cs="仿宋_GB2312"/>
          <w:color w:val="000000" w:themeColor="text1"/>
          <w:spacing w:val="-6"/>
          <w:sz w:val="24"/>
          <w:highlight w:val="none"/>
          <w14:textFill>
            <w14:solidFill>
              <w14:schemeClr w14:val="tx1"/>
            </w14:solidFill>
          </w14:textFill>
        </w:rPr>
        <w:t>应商之间协商报价、技术方案等响应文件的实质性内容</w:t>
      </w:r>
      <w:r>
        <w:rPr>
          <w:rFonts w:hint="eastAsia" w:ascii="宋体" w:hAnsi="宋体" w:cs="仿宋_GB2312"/>
          <w:color w:val="000000" w:themeColor="text1"/>
          <w:spacing w:val="-6"/>
          <w:sz w:val="24"/>
          <w:highlight w:val="none"/>
          <w:lang w:eastAsia="zh-CN"/>
          <w14:textFill>
            <w14:solidFill>
              <w14:schemeClr w14:val="tx1"/>
            </w14:solidFill>
          </w14:textFill>
        </w:rPr>
        <w:t>；</w:t>
      </w:r>
    </w:p>
    <w:p w14:paraId="62C5E313">
      <w:pPr>
        <w:spacing w:line="360" w:lineRule="auto"/>
        <w:ind w:firstLine="480" w:firstLineChars="200"/>
        <w:contextualSpacing/>
        <w:rPr>
          <w:rFonts w:hint="eastAsia" w:ascii="宋体" w:hAnsi="宋体" w:eastAsia="宋体" w:cs="仿宋_GB2312"/>
          <w:color w:val="000000" w:themeColor="text1"/>
          <w:sz w:val="24"/>
          <w:highlight w:val="none"/>
          <w:lang w:eastAsia="zh-CN"/>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4.属于同一集团、协会、商会等组织成员的供应商按照该组织要求协同参加政府采购活动</w:t>
      </w:r>
      <w:r>
        <w:rPr>
          <w:rFonts w:hint="eastAsia" w:ascii="宋体" w:hAnsi="宋体" w:cs="仿宋_GB2312"/>
          <w:color w:val="000000" w:themeColor="text1"/>
          <w:sz w:val="24"/>
          <w:highlight w:val="none"/>
          <w:lang w:eastAsia="zh-CN"/>
          <w14:textFill>
            <w14:solidFill>
              <w14:schemeClr w14:val="tx1"/>
            </w14:solidFill>
          </w14:textFill>
        </w:rPr>
        <w:t>；</w:t>
      </w:r>
    </w:p>
    <w:p w14:paraId="61D53645">
      <w:pPr>
        <w:spacing w:line="360" w:lineRule="auto"/>
        <w:ind w:firstLine="480" w:firstLineChars="200"/>
        <w:contextualSpacing/>
        <w:rPr>
          <w:rFonts w:hint="eastAsia" w:ascii="宋体" w:hAnsi="宋体" w:eastAsia="宋体" w:cs="仿宋_GB2312"/>
          <w:color w:val="000000" w:themeColor="text1"/>
          <w:sz w:val="24"/>
          <w:highlight w:val="none"/>
          <w:lang w:eastAsia="zh-CN"/>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5.供应商之间事先约定一致抬高或者压低竞标报价，或者在竞争性磋商项目中事先约定轮流以高价位或者低价位成交，或者事先约定由某一特定供应商成交，然后再参加竞标</w:t>
      </w:r>
      <w:r>
        <w:rPr>
          <w:rFonts w:hint="eastAsia" w:ascii="宋体" w:hAnsi="宋体" w:cs="仿宋_GB2312"/>
          <w:color w:val="000000" w:themeColor="text1"/>
          <w:sz w:val="24"/>
          <w:highlight w:val="none"/>
          <w:lang w:eastAsia="zh-CN"/>
          <w14:textFill>
            <w14:solidFill>
              <w14:schemeClr w14:val="tx1"/>
            </w14:solidFill>
          </w14:textFill>
        </w:rPr>
        <w:t>；</w:t>
      </w:r>
    </w:p>
    <w:p w14:paraId="3F4EC40A">
      <w:pPr>
        <w:spacing w:line="360" w:lineRule="auto"/>
        <w:ind w:firstLine="480" w:firstLineChars="200"/>
        <w:contextualSpacing/>
        <w:rPr>
          <w:rFonts w:hint="eastAsia" w:ascii="宋体" w:hAnsi="宋体" w:eastAsia="宋体" w:cs="仿宋_GB2312"/>
          <w:color w:val="000000" w:themeColor="text1"/>
          <w:sz w:val="24"/>
          <w:highlight w:val="none"/>
          <w:lang w:eastAsia="zh-CN"/>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6.供应商之间商定部分供应商放弃参加政府采购活动或者放弃成交</w:t>
      </w:r>
      <w:r>
        <w:rPr>
          <w:rFonts w:hint="eastAsia" w:ascii="宋体" w:hAnsi="宋体" w:cs="仿宋_GB2312"/>
          <w:color w:val="000000" w:themeColor="text1"/>
          <w:sz w:val="24"/>
          <w:highlight w:val="none"/>
          <w:lang w:eastAsia="zh-CN"/>
          <w14:textFill>
            <w14:solidFill>
              <w14:schemeClr w14:val="tx1"/>
            </w14:solidFill>
          </w14:textFill>
        </w:rPr>
        <w:t>；</w:t>
      </w:r>
    </w:p>
    <w:p w14:paraId="032F057B">
      <w:pPr>
        <w:spacing w:line="360" w:lineRule="auto"/>
        <w:ind w:firstLine="480" w:firstLineChars="2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7.供应商与采购人或者采购代理机构之间、供应商相互之间，为</w:t>
      </w:r>
      <w:r>
        <w:rPr>
          <w:rFonts w:hint="eastAsia" w:ascii="宋体" w:hAnsi="宋体" w:cs="仿宋_GB2312"/>
          <w:color w:val="000000" w:themeColor="text1"/>
          <w:spacing w:val="-6"/>
          <w:sz w:val="24"/>
          <w:highlight w:val="none"/>
          <w14:textFill>
            <w14:solidFill>
              <w14:schemeClr w14:val="tx1"/>
            </w14:solidFill>
          </w14:textFill>
        </w:rPr>
        <w:t>谋求特定供应商成交或者排斥其他供应商的其他串通行为。</w:t>
      </w:r>
    </w:p>
    <w:p w14:paraId="6D99AA10">
      <w:pPr>
        <w:spacing w:line="360" w:lineRule="auto"/>
        <w:ind w:firstLine="480" w:firstLineChars="200"/>
        <w:contextualSpacing/>
        <w:rPr>
          <w:rFonts w:ascii="宋体" w:hAnsi="宋体" w:cs="仿宋_GB2312"/>
          <w:color w:val="000000" w:themeColor="text1"/>
          <w:sz w:val="24"/>
          <w:highlight w:val="none"/>
          <w14:textFill>
            <w14:solidFill>
              <w14:schemeClr w14:val="tx1"/>
            </w14:solidFill>
          </w14:textFill>
        </w:rPr>
      </w:pPr>
    </w:p>
    <w:p w14:paraId="099959B6">
      <w:pPr>
        <w:spacing w:line="360" w:lineRule="auto"/>
        <w:ind w:firstLine="482" w:firstLineChars="200"/>
        <w:contextualSpacing/>
        <w:rPr>
          <w:rFonts w:ascii="宋体" w:hAnsi="宋体" w:cs="仿宋_GB2312"/>
          <w:b/>
          <w:bCs/>
          <w:color w:val="000000" w:themeColor="text1"/>
          <w:sz w:val="24"/>
          <w:highlight w:val="none"/>
          <w14:textFill>
            <w14:solidFill>
              <w14:schemeClr w14:val="tx1"/>
            </w14:solidFill>
          </w14:textFill>
        </w:rPr>
      </w:pPr>
      <w:r>
        <w:rPr>
          <w:rFonts w:hint="eastAsia" w:ascii="宋体" w:hAnsi="宋体" w:cs="仿宋_GB2312"/>
          <w:b/>
          <w:bCs/>
          <w:color w:val="000000" w:themeColor="text1"/>
          <w:sz w:val="24"/>
          <w:highlight w:val="none"/>
          <w14:textFill>
            <w14:solidFill>
              <w14:schemeClr w14:val="tx1"/>
            </w14:solidFill>
          </w14:textFill>
        </w:rPr>
        <w:t>以上情形一经核查属实，我方愿意承担一切后果，并不再寻求任何旨在减轻或者免除法律责任的辩解。</w:t>
      </w:r>
    </w:p>
    <w:p w14:paraId="1E92DC12">
      <w:pPr>
        <w:spacing w:line="360" w:lineRule="auto"/>
        <w:contextualSpacing/>
        <w:rPr>
          <w:rFonts w:ascii="宋体" w:hAnsi="宋体" w:cs="仿宋_GB2312"/>
          <w:color w:val="000000" w:themeColor="text1"/>
          <w:sz w:val="24"/>
          <w:highlight w:val="none"/>
          <w14:textFill>
            <w14:solidFill>
              <w14:schemeClr w14:val="tx1"/>
            </w14:solidFill>
          </w14:textFill>
        </w:rPr>
      </w:pPr>
    </w:p>
    <w:p w14:paraId="24C85552">
      <w:pPr>
        <w:spacing w:line="360" w:lineRule="auto"/>
        <w:ind w:firstLine="3600" w:firstLineChars="15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供应商（电子签章）：</w:t>
      </w:r>
      <w:r>
        <w:rPr>
          <w:rFonts w:hint="eastAsia" w:ascii="宋体" w:hAnsi="宋体" w:cs="仿宋_GB2312"/>
          <w:color w:val="000000" w:themeColor="text1"/>
          <w:sz w:val="24"/>
          <w:highlight w:val="none"/>
          <w:u w:val="single"/>
          <w:lang w:val="en-US" w:eastAsia="zh-CN"/>
          <w14:textFill>
            <w14:solidFill>
              <w14:schemeClr w14:val="tx1"/>
            </w14:solidFill>
          </w14:textFill>
        </w:rPr>
        <w:t xml:space="preserve">              </w:t>
      </w:r>
      <w:r>
        <w:rPr>
          <w:rFonts w:hint="eastAsia" w:ascii="宋体" w:hAnsi="宋体" w:cs="仿宋_GB2312"/>
          <w:color w:val="000000" w:themeColor="text1"/>
          <w:sz w:val="24"/>
          <w:highlight w:val="none"/>
          <w:u w:val="single"/>
          <w14:textFill>
            <w14:solidFill>
              <w14:schemeClr w14:val="tx1"/>
            </w14:solidFill>
          </w14:textFill>
        </w:rPr>
        <w:t xml:space="preserve">  </w:t>
      </w:r>
    </w:p>
    <w:p w14:paraId="134E612F">
      <w:pPr>
        <w:spacing w:line="360" w:lineRule="auto"/>
        <w:ind w:firstLine="480" w:firstLineChars="200"/>
        <w:contextualSpacing/>
        <w:jc w:val="center"/>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                               年   月   日</w:t>
      </w:r>
    </w:p>
    <w:p w14:paraId="1C170148">
      <w:pPr>
        <w:spacing w:line="520" w:lineRule="exact"/>
        <w:jc w:val="center"/>
        <w:rPr>
          <w:rFonts w:ascii="宋体" w:hAnsi="宋体" w:cs="仿宋_GB2312"/>
          <w:b/>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br w:type="page"/>
      </w:r>
      <w:r>
        <w:rPr>
          <w:rFonts w:hint="eastAsia" w:ascii="宋体" w:hAnsi="宋体" w:cs="方正小标宋简体"/>
          <w:b/>
          <w:bCs/>
          <w:color w:val="000000" w:themeColor="text1"/>
          <w:sz w:val="32"/>
          <w:szCs w:val="32"/>
          <w:highlight w:val="none"/>
          <w14:textFill>
            <w14:solidFill>
              <w14:schemeClr w14:val="tx1"/>
            </w14:solidFill>
          </w14:textFill>
        </w:rPr>
        <w:t>法定代表人证明书</w:t>
      </w:r>
    </w:p>
    <w:p w14:paraId="3720C318">
      <w:pPr>
        <w:spacing w:line="360" w:lineRule="auto"/>
        <w:ind w:left="540"/>
        <w:contextualSpacing/>
        <w:rPr>
          <w:rFonts w:ascii="仿宋_GB2312" w:hAnsi="仿宋_GB2312" w:eastAsia="仿宋_GB2312" w:cs="仿宋_GB2312"/>
          <w:color w:val="000000" w:themeColor="text1"/>
          <w:sz w:val="32"/>
          <w:szCs w:val="32"/>
          <w:highlight w:val="none"/>
          <w14:textFill>
            <w14:solidFill>
              <w14:schemeClr w14:val="tx1"/>
            </w14:solidFill>
          </w14:textFill>
        </w:rPr>
      </w:pPr>
    </w:p>
    <w:p w14:paraId="5DE16268">
      <w:pPr>
        <w:spacing w:line="360" w:lineRule="auto"/>
        <w:ind w:left="54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供应商名称：</w:t>
      </w:r>
      <w:r>
        <w:rPr>
          <w:rFonts w:hint="eastAsia" w:ascii="宋体" w:hAnsi="宋体" w:cs="仿宋_GB2312"/>
          <w:color w:val="000000" w:themeColor="text1"/>
          <w:sz w:val="24"/>
          <w:highlight w:val="none"/>
          <w:u w:val="single"/>
          <w14:textFill>
            <w14:solidFill>
              <w14:schemeClr w14:val="tx1"/>
            </w14:solidFill>
          </w14:textFill>
        </w:rPr>
        <w:t xml:space="preserve">                                                        </w:t>
      </w:r>
    </w:p>
    <w:p w14:paraId="21805E75">
      <w:pPr>
        <w:spacing w:line="360" w:lineRule="auto"/>
        <w:ind w:left="54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地    址：</w:t>
      </w:r>
      <w:r>
        <w:rPr>
          <w:rFonts w:hint="eastAsia" w:ascii="宋体" w:hAnsi="宋体" w:cs="仿宋_GB2312"/>
          <w:color w:val="000000" w:themeColor="text1"/>
          <w:sz w:val="24"/>
          <w:highlight w:val="none"/>
          <w:u w:val="single"/>
          <w14:textFill>
            <w14:solidFill>
              <w14:schemeClr w14:val="tx1"/>
            </w14:solidFill>
          </w14:textFill>
        </w:rPr>
        <w:t xml:space="preserve">                                                        </w:t>
      </w:r>
    </w:p>
    <w:p w14:paraId="4C90F876">
      <w:pPr>
        <w:spacing w:line="360" w:lineRule="auto"/>
        <w:ind w:left="54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姓    名：</w:t>
      </w:r>
      <w:r>
        <w:rPr>
          <w:rFonts w:hint="eastAsia"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性     别：</w:t>
      </w:r>
      <w:r>
        <w:rPr>
          <w:rFonts w:hint="eastAsia" w:ascii="宋体" w:hAnsi="宋体" w:cs="仿宋_GB2312"/>
          <w:color w:val="000000" w:themeColor="text1"/>
          <w:sz w:val="24"/>
          <w:highlight w:val="none"/>
          <w:u w:val="single"/>
          <w14:textFill>
            <w14:solidFill>
              <w14:schemeClr w14:val="tx1"/>
            </w14:solidFill>
          </w14:textFill>
        </w:rPr>
        <w:t xml:space="preserve">                </w:t>
      </w:r>
    </w:p>
    <w:p w14:paraId="7E2F6F30">
      <w:pPr>
        <w:spacing w:line="360" w:lineRule="auto"/>
        <w:ind w:left="540"/>
        <w:contextualSpacing/>
        <w:rPr>
          <w:rFonts w:ascii="宋体" w:hAnsi="宋体" w:cs="仿宋_GB2312"/>
          <w:color w:val="000000" w:themeColor="text1"/>
          <w:sz w:val="24"/>
          <w:highlight w:val="none"/>
          <w:u w:val="singl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年    龄：</w:t>
      </w:r>
      <w:r>
        <w:rPr>
          <w:rFonts w:hint="eastAsia"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职     务：</w:t>
      </w:r>
      <w:r>
        <w:rPr>
          <w:rFonts w:hint="eastAsia" w:ascii="宋体" w:hAnsi="宋体" w:cs="仿宋_GB2312"/>
          <w:color w:val="000000" w:themeColor="text1"/>
          <w:sz w:val="24"/>
          <w:highlight w:val="none"/>
          <w:u w:val="single"/>
          <w14:textFill>
            <w14:solidFill>
              <w14:schemeClr w14:val="tx1"/>
            </w14:solidFill>
          </w14:textFill>
        </w:rPr>
        <w:t xml:space="preserve">                </w:t>
      </w:r>
    </w:p>
    <w:p w14:paraId="48B8C8D9">
      <w:pPr>
        <w:spacing w:line="360" w:lineRule="auto"/>
        <w:ind w:left="54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身份证号码：</w:t>
      </w:r>
      <w:r>
        <w:rPr>
          <w:rFonts w:hint="eastAsia" w:ascii="宋体" w:hAnsi="宋体" w:cs="仿宋_GB2312"/>
          <w:color w:val="000000" w:themeColor="text1"/>
          <w:sz w:val="24"/>
          <w:highlight w:val="none"/>
          <w:u w:val="single"/>
          <w14:textFill>
            <w14:solidFill>
              <w14:schemeClr w14:val="tx1"/>
            </w14:solidFill>
          </w14:textFill>
        </w:rPr>
        <w:t xml:space="preserve">                                        </w:t>
      </w:r>
    </w:p>
    <w:p w14:paraId="0E8597FD">
      <w:pPr>
        <w:spacing w:line="360" w:lineRule="auto"/>
        <w:ind w:firstLine="480" w:firstLineChars="2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系</w:t>
      </w:r>
      <w:r>
        <w:rPr>
          <w:rFonts w:hint="eastAsia" w:ascii="宋体" w:hAnsi="宋体" w:cs="仿宋_GB2312"/>
          <w:color w:val="000000" w:themeColor="text1"/>
          <w:sz w:val="24"/>
          <w:highlight w:val="none"/>
          <w:u w:val="single"/>
          <w14:textFill>
            <w14:solidFill>
              <w14:schemeClr w14:val="tx1"/>
            </w14:solidFill>
          </w14:textFill>
        </w:rPr>
        <w:t>（供应商名称）</w:t>
      </w:r>
      <w:r>
        <w:rPr>
          <w:rFonts w:hint="eastAsia" w:ascii="宋体" w:hAnsi="宋体" w:cs="仿宋_GB2312"/>
          <w:color w:val="000000" w:themeColor="text1"/>
          <w:sz w:val="24"/>
          <w:highlight w:val="none"/>
          <w14:textFill>
            <w14:solidFill>
              <w14:schemeClr w14:val="tx1"/>
            </w14:solidFill>
          </w14:textFill>
        </w:rPr>
        <w:t>的法定代表人。</w:t>
      </w:r>
    </w:p>
    <w:p w14:paraId="2D7AAB88">
      <w:pPr>
        <w:spacing w:line="360" w:lineRule="auto"/>
        <w:ind w:left="54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特此证明。</w:t>
      </w:r>
    </w:p>
    <w:p w14:paraId="5B54D1C8">
      <w:pPr>
        <w:spacing w:line="360" w:lineRule="auto"/>
        <w:ind w:left="540"/>
        <w:contextualSpacing/>
        <w:rPr>
          <w:rFonts w:ascii="宋体" w:hAnsi="宋体" w:cs="仿宋_GB2312"/>
          <w:color w:val="000000" w:themeColor="text1"/>
          <w:sz w:val="24"/>
          <w:highlight w:val="none"/>
          <w14:textFill>
            <w14:solidFill>
              <w14:schemeClr w14:val="tx1"/>
            </w14:solidFill>
          </w14:textFill>
        </w:rPr>
      </w:pPr>
    </w:p>
    <w:p w14:paraId="5B3A2757">
      <w:pPr>
        <w:spacing w:line="360" w:lineRule="auto"/>
        <w:ind w:left="540"/>
        <w:contextualSpacing/>
        <w:rPr>
          <w:rFonts w:ascii="宋体" w:hAnsi="宋体" w:cs="仿宋_GB2312"/>
          <w:color w:val="000000" w:themeColor="text1"/>
          <w:sz w:val="24"/>
          <w:highlight w:val="none"/>
          <w14:textFill>
            <w14:solidFill>
              <w14:schemeClr w14:val="tx1"/>
            </w14:solidFill>
          </w14:textFill>
        </w:rPr>
      </w:pPr>
    </w:p>
    <w:p w14:paraId="369C6421">
      <w:pPr>
        <w:spacing w:line="360" w:lineRule="auto"/>
        <w:ind w:left="540"/>
        <w:contextualSpacing/>
        <w:rPr>
          <w:rFonts w:ascii="宋体" w:hAnsi="宋体" w:cs="仿宋_GB2312"/>
          <w:color w:val="000000" w:themeColor="text1"/>
          <w:sz w:val="24"/>
          <w:highlight w:val="none"/>
          <w14:textFill>
            <w14:solidFill>
              <w14:schemeClr w14:val="tx1"/>
            </w14:solidFill>
          </w14:textFill>
        </w:rPr>
      </w:pPr>
    </w:p>
    <w:p w14:paraId="4B9BA14B">
      <w:pPr>
        <w:spacing w:line="360" w:lineRule="auto"/>
        <w:ind w:left="54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附件：法定代表人有效身份证正反面复印件</w:t>
      </w:r>
    </w:p>
    <w:p w14:paraId="3F992E8D">
      <w:pPr>
        <w:spacing w:line="360" w:lineRule="auto"/>
        <w:ind w:left="540"/>
        <w:contextualSpacing/>
        <w:rPr>
          <w:rFonts w:ascii="宋体" w:hAnsi="宋体" w:cs="仿宋_GB2312"/>
          <w:color w:val="000000" w:themeColor="text1"/>
          <w:sz w:val="24"/>
          <w:highlight w:val="none"/>
          <w14:textFill>
            <w14:solidFill>
              <w14:schemeClr w14:val="tx1"/>
            </w14:solidFill>
          </w14:textFill>
        </w:rPr>
      </w:pPr>
    </w:p>
    <w:p w14:paraId="0CE77AB9">
      <w:pPr>
        <w:spacing w:line="360" w:lineRule="auto"/>
        <w:ind w:left="540" w:firstLine="3000" w:firstLineChars="1250"/>
        <w:contextualSpacing/>
        <w:jc w:val="left"/>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供应商（电子签章）：</w:t>
      </w:r>
      <w:r>
        <w:rPr>
          <w:rFonts w:hint="eastAsia" w:ascii="宋体" w:hAnsi="宋体" w:cs="仿宋_GB2312"/>
          <w:color w:val="000000" w:themeColor="text1"/>
          <w:sz w:val="24"/>
          <w:highlight w:val="none"/>
          <w:u w:val="single"/>
          <w14:textFill>
            <w14:solidFill>
              <w14:schemeClr w14:val="tx1"/>
            </w14:solidFill>
          </w14:textFill>
        </w:rPr>
        <w:t xml:space="preserve">               </w:t>
      </w:r>
    </w:p>
    <w:p w14:paraId="1FE2665F">
      <w:pPr>
        <w:spacing w:line="360" w:lineRule="auto"/>
        <w:ind w:firstLine="4080" w:firstLineChars="17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年</w:t>
      </w:r>
      <w:r>
        <w:rPr>
          <w:rFonts w:hint="eastAsia"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月</w:t>
      </w:r>
      <w:r>
        <w:rPr>
          <w:rFonts w:hint="eastAsia"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日</w:t>
      </w:r>
    </w:p>
    <w:p w14:paraId="5F36045A">
      <w:pPr>
        <w:spacing w:line="360" w:lineRule="auto"/>
        <w:contextualSpacing/>
        <w:jc w:val="center"/>
        <w:rPr>
          <w:rFonts w:ascii="宋体" w:hAnsi="宋体" w:cs="仿宋_GB2312"/>
          <w:b/>
          <w:color w:val="000000" w:themeColor="text1"/>
          <w:sz w:val="24"/>
          <w:highlight w:val="none"/>
          <w14:textFill>
            <w14:solidFill>
              <w14:schemeClr w14:val="tx1"/>
            </w14:solidFill>
          </w14:textFill>
        </w:rPr>
      </w:pPr>
    </w:p>
    <w:p w14:paraId="5044510B">
      <w:pPr>
        <w:spacing w:line="360" w:lineRule="auto"/>
        <w:contextualSpacing/>
        <w:jc w:val="left"/>
        <w:rPr>
          <w:rFonts w:ascii="宋体" w:hAnsi="宋体" w:cs="仿宋_GB2312"/>
          <w:color w:val="000000" w:themeColor="text1"/>
          <w:sz w:val="24"/>
          <w:highlight w:val="none"/>
          <w14:textFill>
            <w14:solidFill>
              <w14:schemeClr w14:val="tx1"/>
            </w14:solidFill>
          </w14:textFill>
        </w:rPr>
      </w:pPr>
    </w:p>
    <w:p w14:paraId="674B8C00">
      <w:pPr>
        <w:spacing w:line="360" w:lineRule="auto"/>
        <w:contextualSpacing/>
        <w:jc w:val="left"/>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注：联合体竞标的只需牵头人出具。</w:t>
      </w:r>
    </w:p>
    <w:p w14:paraId="2F545572">
      <w:pPr>
        <w:adjustRightInd w:val="0"/>
        <w:snapToGrid w:val="0"/>
        <w:spacing w:line="300" w:lineRule="auto"/>
        <w:jc w:val="left"/>
        <w:rPr>
          <w:rFonts w:ascii="宋体" w:hAnsi="宋体"/>
          <w:b/>
          <w:color w:val="000000" w:themeColor="text1"/>
          <w:szCs w:val="21"/>
          <w:highlight w:val="none"/>
          <w14:textFill>
            <w14:solidFill>
              <w14:schemeClr w14:val="tx1"/>
            </w14:solidFill>
          </w14:textFill>
        </w:rPr>
      </w:pPr>
    </w:p>
    <w:p w14:paraId="318E3CAE">
      <w:pPr>
        <w:spacing w:line="500" w:lineRule="exact"/>
        <w:jc w:val="center"/>
        <w:rPr>
          <w:rFonts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br w:type="page"/>
      </w:r>
      <w:r>
        <w:rPr>
          <w:rFonts w:ascii="方正小标宋简体" w:hAnsi="方正小标宋简体" w:eastAsia="方正小标宋简体" w:cs="方正小标宋简体"/>
          <w:color w:val="000000" w:themeColor="text1"/>
          <w:sz w:val="44"/>
          <w:szCs w:val="44"/>
          <w:highlight w:val="none"/>
          <w14:textFill>
            <w14:solidFill>
              <w14:schemeClr w14:val="tx1"/>
            </w14:solidFill>
          </w14:textFill>
        </w:rPr>
        <w:t xml:space="preserve"> </w:t>
      </w:r>
    </w:p>
    <w:p w14:paraId="2FD9ECD7">
      <w:pPr>
        <w:spacing w:line="520" w:lineRule="exact"/>
        <w:jc w:val="center"/>
        <w:rPr>
          <w:rFonts w:ascii="宋体" w:hAnsi="宋体" w:cs="方正小标宋简体"/>
          <w:b/>
          <w:color w:val="000000" w:themeColor="text1"/>
          <w:sz w:val="32"/>
          <w:szCs w:val="32"/>
          <w:highlight w:val="none"/>
          <w14:textFill>
            <w14:solidFill>
              <w14:schemeClr w14:val="tx1"/>
            </w14:solidFill>
          </w14:textFill>
        </w:rPr>
      </w:pPr>
      <w:bookmarkStart w:id="115" w:name="_Hlk65853643"/>
      <w:r>
        <w:rPr>
          <w:rFonts w:hint="eastAsia" w:ascii="宋体" w:hAnsi="宋体" w:cs="方正小标宋简体"/>
          <w:b/>
          <w:color w:val="000000" w:themeColor="text1"/>
          <w:sz w:val="32"/>
          <w:szCs w:val="32"/>
          <w:highlight w:val="none"/>
          <w14:textFill>
            <w14:solidFill>
              <w14:schemeClr w14:val="tx1"/>
            </w14:solidFill>
          </w14:textFill>
        </w:rPr>
        <w:t>授权委托书</w:t>
      </w:r>
    </w:p>
    <w:p w14:paraId="75657EDE">
      <w:pPr>
        <w:spacing w:line="520" w:lineRule="exact"/>
        <w:jc w:val="center"/>
        <w:rPr>
          <w:rFonts w:ascii="宋体" w:hAnsi="宋体" w:cs="方正小标宋简体"/>
          <w:b/>
          <w:color w:val="000000" w:themeColor="text1"/>
          <w:sz w:val="24"/>
          <w:highlight w:val="none"/>
          <w14:textFill>
            <w14:solidFill>
              <w14:schemeClr w14:val="tx1"/>
            </w14:solidFill>
          </w14:textFill>
        </w:rPr>
      </w:pPr>
      <w:r>
        <w:rPr>
          <w:rFonts w:hint="eastAsia" w:ascii="宋体" w:hAnsi="宋体" w:cs="方正小标宋简体"/>
          <w:b/>
          <w:color w:val="000000" w:themeColor="text1"/>
          <w:sz w:val="24"/>
          <w:highlight w:val="none"/>
          <w14:textFill>
            <w14:solidFill>
              <w14:schemeClr w14:val="tx1"/>
            </w14:solidFill>
          </w14:textFill>
        </w:rPr>
        <w:t>（非联合体竞标格式）</w:t>
      </w:r>
    </w:p>
    <w:p w14:paraId="6584C3A0">
      <w:pPr>
        <w:spacing w:line="520" w:lineRule="exact"/>
        <w:jc w:val="center"/>
        <w:rPr>
          <w:rFonts w:ascii="宋体" w:hAnsi="宋体" w:cs="方正小标宋简体"/>
          <w:b/>
          <w:color w:val="000000" w:themeColor="text1"/>
          <w:sz w:val="24"/>
          <w:highlight w:val="none"/>
          <w14:textFill>
            <w14:solidFill>
              <w14:schemeClr w14:val="tx1"/>
            </w14:solidFill>
          </w14:textFill>
        </w:rPr>
      </w:pPr>
      <w:r>
        <w:rPr>
          <w:rFonts w:hint="eastAsia" w:ascii="宋体" w:hAnsi="宋体" w:cs="方正小标宋简体"/>
          <w:b/>
          <w:color w:val="000000" w:themeColor="text1"/>
          <w:sz w:val="24"/>
          <w:highlight w:val="none"/>
          <w14:textFill>
            <w14:solidFill>
              <w14:schemeClr w14:val="tx1"/>
            </w14:solidFill>
          </w14:textFill>
        </w:rPr>
        <w:t>（如有委托时）</w:t>
      </w:r>
    </w:p>
    <w:p w14:paraId="4E7724E3">
      <w:pPr>
        <w:spacing w:line="520" w:lineRule="exact"/>
        <w:rPr>
          <w:rFonts w:ascii="仿宋_GB2312" w:hAnsi="仿宋_GB2312" w:eastAsia="仿宋_GB2312" w:cs="仿宋_GB2312"/>
          <w:color w:val="000000" w:themeColor="text1"/>
          <w:sz w:val="32"/>
          <w:szCs w:val="32"/>
          <w:highlight w:val="none"/>
          <w14:textFill>
            <w14:solidFill>
              <w14:schemeClr w14:val="tx1"/>
            </w14:solidFill>
          </w14:textFill>
        </w:rPr>
      </w:pPr>
    </w:p>
    <w:p w14:paraId="6C0F237D">
      <w:pPr>
        <w:spacing w:line="360" w:lineRule="auto"/>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致：</w:t>
      </w:r>
      <w:r>
        <w:rPr>
          <w:rFonts w:hint="eastAsia" w:ascii="宋体" w:hAnsi="宋体" w:cs="仿宋_GB2312"/>
          <w:color w:val="000000" w:themeColor="text1"/>
          <w:sz w:val="24"/>
          <w:highlight w:val="none"/>
          <w:u w:val="single"/>
          <w14:textFill>
            <w14:solidFill>
              <w14:schemeClr w14:val="tx1"/>
            </w14:solidFill>
          </w14:textFill>
        </w:rPr>
        <w:t>（采购人名称）</w:t>
      </w:r>
      <w:r>
        <w:rPr>
          <w:rFonts w:hint="eastAsia" w:ascii="宋体" w:hAnsi="宋体" w:cs="仿宋_GB2312"/>
          <w:color w:val="000000" w:themeColor="text1"/>
          <w:sz w:val="24"/>
          <w:highlight w:val="none"/>
          <w14:textFill>
            <w14:solidFill>
              <w14:schemeClr w14:val="tx1"/>
            </w14:solidFill>
          </w14:textFill>
        </w:rPr>
        <w:t>：</w:t>
      </w:r>
    </w:p>
    <w:p w14:paraId="5D18358D">
      <w:pPr>
        <w:spacing w:line="360" w:lineRule="auto"/>
        <w:ind w:firstLine="480" w:firstLineChars="200"/>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我</w:t>
      </w:r>
      <w:r>
        <w:rPr>
          <w:rFonts w:hint="eastAsia" w:ascii="宋体" w:hAnsi="宋体" w:cs="仿宋_GB2312"/>
          <w:color w:val="000000" w:themeColor="text1"/>
          <w:sz w:val="24"/>
          <w:highlight w:val="none"/>
          <w:u w:val="single"/>
          <w14:textFill>
            <w14:solidFill>
              <w14:schemeClr w14:val="tx1"/>
            </w14:solidFill>
          </w14:textFill>
        </w:rPr>
        <w:t xml:space="preserve">  （姓名）  </w:t>
      </w:r>
      <w:r>
        <w:rPr>
          <w:rFonts w:hint="eastAsia" w:ascii="宋体" w:hAnsi="宋体" w:cs="仿宋_GB2312"/>
          <w:color w:val="000000" w:themeColor="text1"/>
          <w:sz w:val="24"/>
          <w:highlight w:val="none"/>
          <w14:textFill>
            <w14:solidFill>
              <w14:schemeClr w14:val="tx1"/>
            </w14:solidFill>
          </w14:textFill>
        </w:rPr>
        <w:t>系</w:t>
      </w:r>
      <w:r>
        <w:rPr>
          <w:rFonts w:hint="eastAsia" w:ascii="宋体" w:hAnsi="宋体" w:cs="仿宋_GB2312"/>
          <w:color w:val="000000" w:themeColor="text1"/>
          <w:sz w:val="24"/>
          <w:highlight w:val="none"/>
          <w:u w:val="single"/>
          <w14:textFill>
            <w14:solidFill>
              <w14:schemeClr w14:val="tx1"/>
            </w14:solidFill>
          </w14:textFill>
        </w:rPr>
        <w:t xml:space="preserve">  （供应商名称）  </w:t>
      </w:r>
      <w:r>
        <w:rPr>
          <w:rFonts w:hint="eastAsia" w:ascii="宋体" w:hAnsi="宋体" w:cs="仿宋_GB2312"/>
          <w:color w:val="000000" w:themeColor="text1"/>
          <w:sz w:val="24"/>
          <w:highlight w:val="none"/>
          <w14:textFill>
            <w14:solidFill>
              <w14:schemeClr w14:val="tx1"/>
            </w14:solidFill>
          </w14:textFill>
        </w:rPr>
        <w:t>的（</w:t>
      </w:r>
      <w:r>
        <w:rPr>
          <w:rFonts w:hint="eastAsia" w:ascii="宋体" w:hAnsi="宋体" w:cs="仿宋_GB2312"/>
          <w:color w:val="000000" w:themeColor="text1"/>
          <w:sz w:val="24"/>
          <w:highlight w:val="none"/>
          <w:u w:val="single"/>
          <w14:textFill>
            <w14:solidFill>
              <w14:schemeClr w14:val="tx1"/>
            </w14:solidFill>
          </w14:textFill>
        </w:rPr>
        <w:t>□法定代表人/□负责人</w:t>
      </w:r>
      <w:r>
        <w:rPr>
          <w:rFonts w:hint="eastAsia" w:ascii="宋体" w:hAnsi="宋体" w:cs="仿宋_GB2312"/>
          <w:color w:val="000000" w:themeColor="text1"/>
          <w:sz w:val="24"/>
          <w:highlight w:val="none"/>
          <w14:textFill>
            <w14:solidFill>
              <w14:schemeClr w14:val="tx1"/>
            </w14:solidFill>
          </w14:textFill>
        </w:rPr>
        <w:t>），现授权</w:t>
      </w:r>
      <w:r>
        <w:rPr>
          <w:rFonts w:hint="eastAsia" w:ascii="宋体" w:hAnsi="宋体" w:cs="仿宋_GB2312"/>
          <w:color w:val="000000" w:themeColor="text1"/>
          <w:sz w:val="24"/>
          <w:highlight w:val="none"/>
          <w:u w:val="single"/>
          <w14:textFill>
            <w14:solidFill>
              <w14:schemeClr w14:val="tx1"/>
            </w14:solidFill>
          </w14:textFill>
        </w:rPr>
        <w:t xml:space="preserve"> （姓名） </w:t>
      </w:r>
      <w:r>
        <w:rPr>
          <w:rFonts w:hint="eastAsia" w:ascii="宋体" w:hAnsi="宋体" w:cs="仿宋_GB2312"/>
          <w:color w:val="000000" w:themeColor="text1"/>
          <w:sz w:val="24"/>
          <w:highlight w:val="none"/>
          <w14:textFill>
            <w14:solidFill>
              <w14:schemeClr w14:val="tx1"/>
            </w14:solidFill>
          </w14:textFill>
        </w:rPr>
        <w:t>以我方的名义参加</w:t>
      </w:r>
      <w:r>
        <w:rPr>
          <w:rFonts w:hint="eastAsia"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u w:val="single"/>
          <w:lang w:eastAsia="zh-CN"/>
          <w14:textFill>
            <w14:solidFill>
              <w14:schemeClr w14:val="tx1"/>
            </w14:solidFill>
          </w14:textFill>
        </w:rPr>
        <w:t>（项目名称）（项目编号）</w:t>
      </w:r>
      <w:r>
        <w:rPr>
          <w:rFonts w:hint="eastAsia"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项目的竞标活动，并代表我方全权办理针对上述项目的所有采购程序和环节的具体事务和签署相关文件。</w:t>
      </w:r>
    </w:p>
    <w:p w14:paraId="5A6F096B">
      <w:pPr>
        <w:spacing w:line="360" w:lineRule="auto"/>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    我方对委托代理人的签字</w:t>
      </w:r>
      <w:r>
        <w:rPr>
          <w:rFonts w:hint="eastAsia" w:ascii="宋体" w:hAnsi="宋体"/>
          <w:color w:val="000000" w:themeColor="text1"/>
          <w:sz w:val="24"/>
          <w:highlight w:val="none"/>
          <w14:textFill>
            <w14:solidFill>
              <w14:schemeClr w14:val="tx1"/>
            </w14:solidFill>
          </w14:textFill>
        </w:rPr>
        <w:t>或者电子签名</w:t>
      </w:r>
      <w:r>
        <w:rPr>
          <w:rFonts w:hint="eastAsia" w:ascii="宋体" w:hAnsi="宋体" w:cs="仿宋_GB2312"/>
          <w:color w:val="000000" w:themeColor="text1"/>
          <w:sz w:val="24"/>
          <w:highlight w:val="none"/>
          <w14:textFill>
            <w14:solidFill>
              <w14:schemeClr w14:val="tx1"/>
            </w14:solidFill>
          </w14:textFill>
        </w:rPr>
        <w:t>事项负全部责任。</w:t>
      </w:r>
    </w:p>
    <w:p w14:paraId="0ECB543D">
      <w:pPr>
        <w:spacing w:line="360" w:lineRule="auto"/>
        <w:ind w:firstLine="480" w:firstLineChars="200"/>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本授权书自签署之日起生效，在撤销授权的书面通知以前，本授权书一直有效。委托代理人在授权书有效期内签署的所有文件不因授权的撤销而失效。</w:t>
      </w:r>
    </w:p>
    <w:p w14:paraId="40F9DCB9">
      <w:pPr>
        <w:spacing w:line="360" w:lineRule="auto"/>
        <w:ind w:firstLine="480" w:firstLineChars="200"/>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委托代理人无转委托权，特此委托。</w:t>
      </w:r>
    </w:p>
    <w:p w14:paraId="510F0BC0">
      <w:pPr>
        <w:spacing w:line="360" w:lineRule="auto"/>
        <w:ind w:firstLine="480" w:firstLineChars="200"/>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附：法定代表人身份证明书及委托代理人有效身份证正反面复印件</w:t>
      </w:r>
    </w:p>
    <w:p w14:paraId="2C25E059">
      <w:pPr>
        <w:spacing w:line="360" w:lineRule="auto"/>
        <w:rPr>
          <w:rFonts w:ascii="宋体" w:hAnsi="宋体" w:cs="仿宋_GB2312"/>
          <w:color w:val="000000" w:themeColor="text1"/>
          <w:sz w:val="24"/>
          <w:highlight w:val="none"/>
          <w14:textFill>
            <w14:solidFill>
              <w14:schemeClr w14:val="tx1"/>
            </w14:solidFill>
          </w14:textFill>
        </w:rPr>
      </w:pPr>
    </w:p>
    <w:p w14:paraId="622C32D5">
      <w:pPr>
        <w:spacing w:line="360" w:lineRule="auto"/>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委托代理人（</w:t>
      </w:r>
      <w:r>
        <w:rPr>
          <w:rFonts w:hint="eastAsia" w:ascii="宋体" w:hAnsi="宋体"/>
          <w:color w:val="000000" w:themeColor="text1"/>
          <w:sz w:val="24"/>
          <w:highlight w:val="none"/>
          <w14:textFill>
            <w14:solidFill>
              <w14:schemeClr w14:val="tx1"/>
            </w14:solidFill>
          </w14:textFill>
        </w:rPr>
        <w:t>签字或者电子签名</w:t>
      </w:r>
      <w:r>
        <w:rPr>
          <w:rFonts w:hint="eastAsia" w:ascii="宋体" w:hAnsi="宋体" w:cs="仿宋_GB2312"/>
          <w:color w:val="000000" w:themeColor="text1"/>
          <w:sz w:val="24"/>
          <w:highlight w:val="none"/>
          <w14:textFill>
            <w14:solidFill>
              <w14:schemeClr w14:val="tx1"/>
            </w14:solidFill>
          </w14:textFill>
        </w:rPr>
        <w:t xml:space="preserve">）：     法定代表人（签字或者盖章或者电子签名）：                    </w:t>
      </w:r>
    </w:p>
    <w:p w14:paraId="25FBEE31">
      <w:pPr>
        <w:spacing w:line="360" w:lineRule="auto"/>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委托代理人身份证号码：</w:t>
      </w:r>
    </w:p>
    <w:p w14:paraId="49D5B4D1">
      <w:pPr>
        <w:spacing w:line="360" w:lineRule="auto"/>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lang w:eastAsia="zh-CN"/>
          <w14:textFill>
            <w14:solidFill>
              <w14:schemeClr w14:val="tx1"/>
            </w14:solidFill>
          </w14:textFill>
        </w:rPr>
        <w:t>委托代理人联系方式：</w:t>
      </w:r>
      <w:r>
        <w:rPr>
          <w:rFonts w:hint="eastAsia" w:ascii="宋体" w:hAnsi="宋体" w:cs="仿宋_GB2312"/>
          <w:color w:val="000000" w:themeColor="text1"/>
          <w:sz w:val="24"/>
          <w:highlight w:val="none"/>
          <w14:textFill>
            <w14:solidFill>
              <w14:schemeClr w14:val="tx1"/>
            </w14:solidFill>
          </w14:textFill>
        </w:rPr>
        <w:t xml:space="preserve">                              </w:t>
      </w:r>
    </w:p>
    <w:p w14:paraId="00EDBF06">
      <w:pPr>
        <w:spacing w:line="360" w:lineRule="auto"/>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                                </w:t>
      </w:r>
    </w:p>
    <w:p w14:paraId="69FA3BE2">
      <w:pPr>
        <w:spacing w:line="360" w:lineRule="auto"/>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                         供应商（电子签章）：</w:t>
      </w:r>
      <w:r>
        <w:rPr>
          <w:rFonts w:hint="eastAsia" w:ascii="宋体" w:hAnsi="宋体" w:cs="仿宋_GB2312"/>
          <w:color w:val="000000" w:themeColor="text1"/>
          <w:sz w:val="24"/>
          <w:highlight w:val="none"/>
          <w:u w:val="single"/>
          <w:lang w:val="en-US" w:eastAsia="zh-CN"/>
          <w14:textFill>
            <w14:solidFill>
              <w14:schemeClr w14:val="tx1"/>
            </w14:solidFill>
          </w14:textFill>
        </w:rPr>
        <w:t xml:space="preserve">              </w:t>
      </w:r>
      <w:r>
        <w:rPr>
          <w:rFonts w:hint="eastAsia"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 xml:space="preserve">                      </w:t>
      </w:r>
    </w:p>
    <w:p w14:paraId="78000545">
      <w:pPr>
        <w:spacing w:line="360" w:lineRule="auto"/>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                                         年    月    日</w:t>
      </w:r>
    </w:p>
    <w:p w14:paraId="5B4D3771">
      <w:pPr>
        <w:spacing w:line="360" w:lineRule="auto"/>
        <w:rPr>
          <w:rFonts w:ascii="宋体" w:hAnsi="宋体" w:cs="仿宋_GB2312"/>
          <w:color w:val="000000" w:themeColor="text1"/>
          <w:sz w:val="24"/>
          <w:highlight w:val="none"/>
          <w14:textFill>
            <w14:solidFill>
              <w14:schemeClr w14:val="tx1"/>
            </w14:solidFill>
          </w14:textFill>
        </w:rPr>
      </w:pPr>
    </w:p>
    <w:p w14:paraId="0302F0F5">
      <w:pPr>
        <w:spacing w:line="360" w:lineRule="auto"/>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注：法定代表人必须在授权委托书上签字或者盖章</w:t>
      </w:r>
      <w:r>
        <w:rPr>
          <w:rFonts w:hint="eastAsia" w:ascii="宋体" w:hAnsi="宋体"/>
          <w:color w:val="000000" w:themeColor="text1"/>
          <w:sz w:val="24"/>
          <w:highlight w:val="none"/>
          <w14:textFill>
            <w14:solidFill>
              <w14:schemeClr w14:val="tx1"/>
            </w14:solidFill>
          </w14:textFill>
        </w:rPr>
        <w:t>或者电子签名</w:t>
      </w:r>
      <w:r>
        <w:rPr>
          <w:rFonts w:hint="eastAsia" w:ascii="宋体" w:hAnsi="宋体" w:cs="仿宋_GB2312"/>
          <w:color w:val="000000" w:themeColor="text1"/>
          <w:sz w:val="24"/>
          <w:highlight w:val="none"/>
          <w14:textFill>
            <w14:solidFill>
              <w14:schemeClr w14:val="tx1"/>
            </w14:solidFill>
          </w14:textFill>
        </w:rPr>
        <w:t>，委托代理人必须在授权委托书上签字或者电子签名，</w:t>
      </w:r>
      <w:r>
        <w:rPr>
          <w:rFonts w:hint="eastAsia" w:ascii="宋体" w:hAnsi="宋体" w:cs="仿宋_GB2312"/>
          <w:b/>
          <w:color w:val="000000" w:themeColor="text1"/>
          <w:sz w:val="24"/>
          <w:highlight w:val="none"/>
          <w14:textFill>
            <w14:solidFill>
              <w14:schemeClr w14:val="tx1"/>
            </w14:solidFill>
          </w14:textFill>
        </w:rPr>
        <w:t>否则其响应文件按无效处理。</w:t>
      </w:r>
    </w:p>
    <w:p w14:paraId="115F3CE4">
      <w:pPr>
        <w:spacing w:line="360" w:lineRule="auto"/>
        <w:ind w:firstLine="420" w:firstLineChars="200"/>
        <w:jc w:val="left"/>
        <w:rPr>
          <w:rFonts w:ascii="仿宋_GB2312" w:hAnsi="仿宋_GB2312" w:eastAsia="仿宋_GB2312" w:cs="仿宋_GB2312"/>
          <w:color w:val="000000" w:themeColor="text1"/>
          <w:szCs w:val="21"/>
          <w:highlight w:val="none"/>
          <w14:textFill>
            <w14:solidFill>
              <w14:schemeClr w14:val="tx1"/>
            </w14:solidFill>
          </w14:textFill>
        </w:rPr>
      </w:pPr>
    </w:p>
    <w:p w14:paraId="01CE04A4">
      <w:pPr>
        <w:spacing w:line="360" w:lineRule="auto"/>
        <w:contextualSpacing/>
        <w:rPr>
          <w:rFonts w:ascii="宋体" w:hAnsi="宋体" w:cs="仿宋_GB2312"/>
          <w:color w:val="000000" w:themeColor="text1"/>
          <w:sz w:val="24"/>
          <w:highlight w:val="none"/>
          <w14:textFill>
            <w14:solidFill>
              <w14:schemeClr w14:val="tx1"/>
            </w14:solidFill>
          </w14:textFill>
        </w:rPr>
      </w:pPr>
    </w:p>
    <w:bookmarkEnd w:id="115"/>
    <w:p w14:paraId="62362927">
      <w:pPr>
        <w:spacing w:line="360" w:lineRule="auto"/>
        <w:jc w:val="center"/>
        <w:rPr>
          <w:rFonts w:ascii="宋体" w:hAnsi="宋体" w:cs="方正小标宋简体"/>
          <w:b/>
          <w:color w:val="000000" w:themeColor="text1"/>
          <w:sz w:val="32"/>
          <w:szCs w:val="32"/>
          <w:highlight w:val="none"/>
          <w14:textFill>
            <w14:solidFill>
              <w14:schemeClr w14:val="tx1"/>
            </w14:solidFill>
          </w14:textFill>
        </w:rPr>
      </w:pPr>
      <w:r>
        <w:rPr>
          <w:rFonts w:ascii="仿宋_GB2312" w:hAnsi="仿宋_GB2312" w:eastAsia="仿宋_GB2312" w:cs="仿宋_GB2312"/>
          <w:color w:val="000000" w:themeColor="text1"/>
          <w:sz w:val="32"/>
          <w:szCs w:val="32"/>
          <w:highlight w:val="none"/>
          <w14:textFill>
            <w14:solidFill>
              <w14:schemeClr w14:val="tx1"/>
            </w14:solidFill>
          </w14:textFill>
        </w:rPr>
        <w:br w:type="page"/>
      </w:r>
      <w:r>
        <w:rPr>
          <w:rFonts w:hint="eastAsia" w:ascii="宋体" w:hAnsi="宋体" w:cs="方正小标宋简体"/>
          <w:b/>
          <w:color w:val="000000" w:themeColor="text1"/>
          <w:sz w:val="32"/>
          <w:szCs w:val="32"/>
          <w:highlight w:val="none"/>
          <w14:textFill>
            <w14:solidFill>
              <w14:schemeClr w14:val="tx1"/>
            </w14:solidFill>
          </w14:textFill>
        </w:rPr>
        <w:t>建筑材料和设备节能环保要求承诺书</w:t>
      </w:r>
    </w:p>
    <w:p w14:paraId="1FD2A16A">
      <w:pPr>
        <w:spacing w:line="360" w:lineRule="auto"/>
        <w:jc w:val="center"/>
        <w:rPr>
          <w:rFonts w:ascii="宋体" w:hAnsi="宋体" w:cs="宋体"/>
          <w:color w:val="000000" w:themeColor="text1"/>
          <w:szCs w:val="21"/>
          <w:highlight w:val="none"/>
          <w14:textFill>
            <w14:solidFill>
              <w14:schemeClr w14:val="tx1"/>
            </w14:solidFill>
          </w14:textFill>
        </w:rPr>
      </w:pPr>
    </w:p>
    <w:p w14:paraId="4ACB16A0">
      <w:pPr>
        <w:spacing w:line="36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我方承诺，一旦成交，我方保证严格执行</w:t>
      </w:r>
      <w:r>
        <w:rPr>
          <w:rFonts w:hint="eastAsia" w:cs="宋体"/>
          <w:color w:val="000000" w:themeColor="text1"/>
          <w:sz w:val="24"/>
          <w:highlight w:val="none"/>
          <w14:textFill>
            <w14:solidFill>
              <w14:schemeClr w14:val="tx1"/>
            </w14:solidFill>
          </w14:textFill>
        </w:rPr>
        <w:t>《财政部</w:t>
      </w:r>
      <w:r>
        <w:rPr>
          <w:rFonts w:cs="宋体"/>
          <w:color w:val="000000" w:themeColor="text1"/>
          <w:sz w:val="24"/>
          <w:highlight w:val="none"/>
          <w14:textFill>
            <w14:solidFill>
              <w14:schemeClr w14:val="tx1"/>
            </w14:solidFill>
          </w14:textFill>
        </w:rPr>
        <w:t xml:space="preserve"> </w:t>
      </w:r>
      <w:r>
        <w:rPr>
          <w:rFonts w:hint="eastAsia" w:cs="宋体"/>
          <w:color w:val="000000" w:themeColor="text1"/>
          <w:sz w:val="24"/>
          <w:highlight w:val="none"/>
          <w14:textFill>
            <w14:solidFill>
              <w14:schemeClr w14:val="tx1"/>
            </w14:solidFill>
          </w14:textFill>
        </w:rPr>
        <w:t>发展改革委</w:t>
      </w:r>
      <w:r>
        <w:rPr>
          <w:rFonts w:cs="宋体"/>
          <w:color w:val="000000" w:themeColor="text1"/>
          <w:sz w:val="24"/>
          <w:highlight w:val="none"/>
          <w14:textFill>
            <w14:solidFill>
              <w14:schemeClr w14:val="tx1"/>
            </w14:solidFill>
          </w14:textFill>
        </w:rPr>
        <w:t xml:space="preserve"> </w:t>
      </w:r>
      <w:r>
        <w:rPr>
          <w:rFonts w:hint="eastAsia" w:cs="宋体"/>
          <w:color w:val="000000" w:themeColor="text1"/>
          <w:sz w:val="24"/>
          <w:highlight w:val="none"/>
          <w14:textFill>
            <w14:solidFill>
              <w14:schemeClr w14:val="tx1"/>
            </w14:solidFill>
          </w14:textFill>
        </w:rPr>
        <w:t>生态环境部</w:t>
      </w:r>
      <w:r>
        <w:rPr>
          <w:rFonts w:cs="宋体"/>
          <w:color w:val="000000" w:themeColor="text1"/>
          <w:sz w:val="24"/>
          <w:highlight w:val="none"/>
          <w14:textFill>
            <w14:solidFill>
              <w14:schemeClr w14:val="tx1"/>
            </w14:solidFill>
          </w14:textFill>
        </w:rPr>
        <w:t xml:space="preserve"> </w:t>
      </w:r>
      <w:r>
        <w:rPr>
          <w:rFonts w:hint="eastAsia" w:cs="宋体"/>
          <w:color w:val="000000" w:themeColor="text1"/>
          <w:sz w:val="24"/>
          <w:highlight w:val="none"/>
          <w14:textFill>
            <w14:solidFill>
              <w14:schemeClr w14:val="tx1"/>
            </w14:solidFill>
          </w14:textFill>
        </w:rPr>
        <w:t>市场监管总局关于调整优化节能产品、环境标志产品政府采购执行机制的通知》（财库〔</w:t>
      </w:r>
      <w:r>
        <w:rPr>
          <w:rFonts w:cs="宋体"/>
          <w:color w:val="000000" w:themeColor="text1"/>
          <w:sz w:val="24"/>
          <w:highlight w:val="none"/>
          <w14:textFill>
            <w14:solidFill>
              <w14:schemeClr w14:val="tx1"/>
            </w14:solidFill>
          </w14:textFill>
        </w:rPr>
        <w:t>2019</w:t>
      </w:r>
      <w:r>
        <w:rPr>
          <w:rFonts w:hint="eastAsia" w:cs="宋体"/>
          <w:color w:val="000000" w:themeColor="text1"/>
          <w:sz w:val="24"/>
          <w:highlight w:val="none"/>
          <w14:textFill>
            <w14:solidFill>
              <w14:schemeClr w14:val="tx1"/>
            </w14:solidFill>
          </w14:textFill>
        </w:rPr>
        <w:t>〕</w:t>
      </w:r>
      <w:r>
        <w:rPr>
          <w:rFonts w:cs="宋体"/>
          <w:color w:val="000000" w:themeColor="text1"/>
          <w:sz w:val="24"/>
          <w:highlight w:val="none"/>
          <w14:textFill>
            <w14:solidFill>
              <w14:schemeClr w14:val="tx1"/>
            </w14:solidFill>
          </w14:textFill>
        </w:rPr>
        <w:t>9</w:t>
      </w:r>
      <w:r>
        <w:rPr>
          <w:rFonts w:hint="eastAsia" w:cs="宋体"/>
          <w:color w:val="000000" w:themeColor="text1"/>
          <w:sz w:val="24"/>
          <w:highlight w:val="none"/>
          <w14:textFill>
            <w14:solidFill>
              <w14:schemeClr w14:val="tx1"/>
            </w14:solidFill>
          </w14:textFill>
        </w:rPr>
        <w:t>号）和《关于印发节能产品政府采购品目清单的通知》（财库〔</w:t>
      </w:r>
      <w:r>
        <w:rPr>
          <w:rFonts w:cs="宋体"/>
          <w:color w:val="000000" w:themeColor="text1"/>
          <w:sz w:val="24"/>
          <w:highlight w:val="none"/>
          <w14:textFill>
            <w14:solidFill>
              <w14:schemeClr w14:val="tx1"/>
            </w14:solidFill>
          </w14:textFill>
        </w:rPr>
        <w:t>2019</w:t>
      </w:r>
      <w:r>
        <w:rPr>
          <w:rFonts w:hint="eastAsia" w:cs="宋体"/>
          <w:color w:val="000000" w:themeColor="text1"/>
          <w:sz w:val="24"/>
          <w:highlight w:val="none"/>
          <w14:textFill>
            <w14:solidFill>
              <w14:schemeClr w14:val="tx1"/>
            </w14:solidFill>
          </w14:textFill>
        </w:rPr>
        <w:t>〕</w:t>
      </w:r>
      <w:r>
        <w:rPr>
          <w:rFonts w:cs="宋体"/>
          <w:color w:val="000000" w:themeColor="text1"/>
          <w:sz w:val="24"/>
          <w:highlight w:val="none"/>
          <w14:textFill>
            <w14:solidFill>
              <w14:schemeClr w14:val="tx1"/>
            </w14:solidFill>
          </w14:textFill>
        </w:rPr>
        <w:t>19</w:t>
      </w:r>
      <w:r>
        <w:rPr>
          <w:rFonts w:hint="eastAsia" w:cs="宋体"/>
          <w:color w:val="000000" w:themeColor="text1"/>
          <w:sz w:val="24"/>
          <w:highlight w:val="none"/>
          <w14:textFill>
            <w14:solidFill>
              <w14:schemeClr w14:val="tx1"/>
            </w14:solidFill>
          </w14:textFill>
        </w:rPr>
        <w:t>号）的规定，所有工程中涉及的建筑材料和设备如属于财库〔</w:t>
      </w:r>
      <w:r>
        <w:rPr>
          <w:rFonts w:cs="宋体"/>
          <w:color w:val="000000" w:themeColor="text1"/>
          <w:sz w:val="24"/>
          <w:highlight w:val="none"/>
          <w14:textFill>
            <w14:solidFill>
              <w14:schemeClr w14:val="tx1"/>
            </w14:solidFill>
          </w14:textFill>
        </w:rPr>
        <w:t>2019</w:t>
      </w:r>
      <w:r>
        <w:rPr>
          <w:rFonts w:hint="eastAsia" w:cs="宋体"/>
          <w:color w:val="000000" w:themeColor="text1"/>
          <w:sz w:val="24"/>
          <w:highlight w:val="none"/>
          <w14:textFill>
            <w14:solidFill>
              <w14:schemeClr w14:val="tx1"/>
            </w14:solidFill>
          </w14:textFill>
        </w:rPr>
        <w:t>〕</w:t>
      </w:r>
      <w:r>
        <w:rPr>
          <w:rFonts w:cs="宋体"/>
          <w:color w:val="000000" w:themeColor="text1"/>
          <w:sz w:val="24"/>
          <w:highlight w:val="none"/>
          <w14:textFill>
            <w14:solidFill>
              <w14:schemeClr w14:val="tx1"/>
            </w14:solidFill>
          </w14:textFill>
        </w:rPr>
        <w:t>19</w:t>
      </w:r>
      <w:r>
        <w:rPr>
          <w:rFonts w:hint="eastAsia" w:cs="宋体"/>
          <w:color w:val="000000" w:themeColor="text1"/>
          <w:sz w:val="24"/>
          <w:highlight w:val="none"/>
          <w14:textFill>
            <w14:solidFill>
              <w14:schemeClr w14:val="tx1"/>
            </w14:solidFill>
          </w14:textFill>
        </w:rPr>
        <w:t>号文中《节能产品政府采购品目清单》内标注“★”的产品，都使用政府强制采购的节能产品。</w:t>
      </w:r>
      <w:r>
        <w:rPr>
          <w:rFonts w:hint="eastAsia"/>
          <w:color w:val="000000" w:themeColor="text1"/>
          <w:sz w:val="24"/>
          <w:highlight w:val="none"/>
          <w14:textFill>
            <w14:solidFill>
              <w14:schemeClr w14:val="tx1"/>
            </w14:solidFill>
          </w14:textFill>
        </w:rPr>
        <w:t>如我方在该项目的承包中出现未按规定执行的情形，我方愿意按照相关规定接受采购人及有关行政主管部门的处罚，愿意承担一切后果，并不再寻求任何旨在减轻或者免除法律责任的辩解。</w:t>
      </w:r>
    </w:p>
    <w:p w14:paraId="12C7DFC0">
      <w:pPr>
        <w:spacing w:line="360" w:lineRule="auto"/>
        <w:ind w:firstLine="480" w:firstLineChars="200"/>
        <w:jc w:val="center"/>
        <w:rPr>
          <w:color w:val="000000" w:themeColor="text1"/>
          <w:sz w:val="24"/>
          <w:highlight w:val="none"/>
          <w14:textFill>
            <w14:solidFill>
              <w14:schemeClr w14:val="tx1"/>
            </w14:solidFill>
          </w14:textFill>
        </w:rPr>
      </w:pPr>
    </w:p>
    <w:p w14:paraId="53CEE00E">
      <w:pPr>
        <w:spacing w:line="360" w:lineRule="auto"/>
        <w:contextualSpacing/>
        <w:rPr>
          <w:rFonts w:ascii="宋体" w:hAnsi="宋体" w:cs="仿宋_GB2312"/>
          <w:color w:val="000000" w:themeColor="text1"/>
          <w:sz w:val="24"/>
          <w:highlight w:val="none"/>
          <w14:textFill>
            <w14:solidFill>
              <w14:schemeClr w14:val="tx1"/>
            </w14:solidFill>
          </w14:textFill>
        </w:rPr>
      </w:pPr>
    </w:p>
    <w:p w14:paraId="46094518">
      <w:pPr>
        <w:spacing w:line="360" w:lineRule="auto"/>
        <w:ind w:firstLine="3600" w:firstLineChars="15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供应商（电子签章）：</w:t>
      </w:r>
      <w:r>
        <w:rPr>
          <w:rFonts w:hint="eastAsia" w:ascii="宋体" w:hAnsi="宋体" w:cs="仿宋_GB2312"/>
          <w:color w:val="000000" w:themeColor="text1"/>
          <w:sz w:val="24"/>
          <w:highlight w:val="none"/>
          <w:u w:val="single"/>
          <w:lang w:val="en-US" w:eastAsia="zh-CN"/>
          <w14:textFill>
            <w14:solidFill>
              <w14:schemeClr w14:val="tx1"/>
            </w14:solidFill>
          </w14:textFill>
        </w:rPr>
        <w:t xml:space="preserve">              </w:t>
      </w:r>
      <w:r>
        <w:rPr>
          <w:rFonts w:hint="eastAsia" w:ascii="宋体" w:hAnsi="宋体" w:cs="仿宋_GB2312"/>
          <w:color w:val="000000" w:themeColor="text1"/>
          <w:sz w:val="24"/>
          <w:highlight w:val="none"/>
          <w:u w:val="single"/>
          <w14:textFill>
            <w14:solidFill>
              <w14:schemeClr w14:val="tx1"/>
            </w14:solidFill>
          </w14:textFill>
        </w:rPr>
        <w:t xml:space="preserve">  </w:t>
      </w:r>
    </w:p>
    <w:p w14:paraId="26435918">
      <w:pPr>
        <w:snapToGrid w:val="0"/>
        <w:spacing w:beforeLines="50" w:after="50"/>
        <w:jc w:val="left"/>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                               年   月   日</w:t>
      </w:r>
    </w:p>
    <w:p w14:paraId="25701D46">
      <w:pPr>
        <w:snapToGrid w:val="0"/>
        <w:spacing w:beforeLines="50" w:after="50"/>
        <w:jc w:val="center"/>
        <w:rPr>
          <w:rFonts w:hint="eastAsia" w:ascii="宋体" w:hAnsi="宋体" w:cs="方正小标宋简体"/>
          <w:b/>
          <w:color w:val="000000" w:themeColor="text1"/>
          <w:sz w:val="32"/>
          <w:szCs w:val="32"/>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br w:type="page"/>
      </w:r>
      <w:r>
        <w:rPr>
          <w:rFonts w:hint="eastAsia" w:ascii="宋体" w:hAnsi="宋体" w:cs="方正小标宋简体"/>
          <w:b/>
          <w:color w:val="000000" w:themeColor="text1"/>
          <w:sz w:val="32"/>
          <w:szCs w:val="32"/>
          <w:highlight w:val="none"/>
          <w14:textFill>
            <w14:solidFill>
              <w14:schemeClr w14:val="tx1"/>
            </w14:solidFill>
          </w14:textFill>
        </w:rPr>
        <w:t>技术商务要求响应表</w:t>
      </w:r>
    </w:p>
    <w:p w14:paraId="7722BF1E">
      <w:pPr>
        <w:spacing w:line="360" w:lineRule="auto"/>
        <w:contextualSpacing/>
        <w:rPr>
          <w:rFonts w:hint="eastAsia" w:ascii="宋体" w:hAnsi="宋体" w:cs="仿宋_GB2312"/>
          <w:color w:val="000000" w:themeColor="text1"/>
          <w:sz w:val="24"/>
          <w:highlight w:val="none"/>
          <w:u w:val="singl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采购项目编号：</w:t>
      </w:r>
      <w:r>
        <w:rPr>
          <w:rFonts w:hint="eastAsia" w:ascii="宋体" w:hAnsi="宋体" w:cs="仿宋_GB2312"/>
          <w:color w:val="000000" w:themeColor="text1"/>
          <w:sz w:val="24"/>
          <w:highlight w:val="none"/>
          <w:u w:val="single"/>
          <w14:textFill>
            <w14:solidFill>
              <w14:schemeClr w14:val="tx1"/>
            </w14:solidFill>
          </w14:textFill>
        </w:rPr>
        <w:t xml:space="preserve">                 </w:t>
      </w:r>
    </w:p>
    <w:p w14:paraId="7F0C2EA9">
      <w:pPr>
        <w:spacing w:line="360" w:lineRule="auto"/>
        <w:contextualSpacing/>
        <w:rPr>
          <w:rFonts w:hint="eastAsia" w:ascii="宋体" w:hAnsi="宋体" w:cs="仿宋_GB2312"/>
          <w:color w:val="000000" w:themeColor="text1"/>
          <w:sz w:val="24"/>
          <w:highlight w:val="none"/>
          <w:u w:val="singl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采购项目名称：</w:t>
      </w:r>
      <w:r>
        <w:rPr>
          <w:rFonts w:hint="eastAsia" w:ascii="宋体" w:hAnsi="宋体" w:cs="仿宋_GB2312"/>
          <w:color w:val="000000" w:themeColor="text1"/>
          <w:sz w:val="24"/>
          <w:highlight w:val="none"/>
          <w:u w:val="single"/>
          <w14:textFill>
            <w14:solidFill>
              <w14:schemeClr w14:val="tx1"/>
            </w14:solidFill>
          </w14:textFill>
        </w:rPr>
        <w:t xml:space="preserve">                 </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15"/>
        <w:gridCol w:w="1117"/>
        <w:gridCol w:w="2836"/>
        <w:gridCol w:w="2735"/>
        <w:gridCol w:w="1492"/>
      </w:tblGrid>
      <w:tr w14:paraId="342C6FD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noWrap w:val="0"/>
            <w:vAlign w:val="center"/>
          </w:tcPr>
          <w:p w14:paraId="40ECB4C5">
            <w:pPr>
              <w:pStyle w:val="20"/>
              <w:spacing w:line="360" w:lineRule="auto"/>
              <w:ind w:firstLine="0" w:firstLineChars="0"/>
              <w:contextualSpacing/>
              <w:jc w:val="cente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bookmarkStart w:id="116" w:name="_Toc173211900"/>
            <w:bookmarkStart w:id="117" w:name="_Toc301781611"/>
            <w:bookmarkStart w:id="118" w:name="_Toc173066401"/>
            <w:bookmarkStart w:id="119" w:name="_Toc297193185"/>
            <w:bookmarkStart w:id="120" w:name="_Toc295404981"/>
            <w:bookmarkStart w:id="121" w:name="_Toc373333689"/>
            <w:bookmarkStart w:id="122" w:name="_Toc254970588"/>
            <w:bookmarkStart w:id="123" w:name="_Toc254970729"/>
            <w:bookmarkStart w:id="124" w:name="_Toc383699906"/>
            <w: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t>序号</w:t>
            </w:r>
            <w:bookmarkEnd w:id="116"/>
            <w:bookmarkEnd w:id="117"/>
            <w:bookmarkEnd w:id="118"/>
            <w:bookmarkEnd w:id="119"/>
            <w:bookmarkEnd w:id="120"/>
            <w:bookmarkEnd w:id="121"/>
            <w:bookmarkEnd w:id="122"/>
            <w:bookmarkEnd w:id="123"/>
            <w:bookmarkEnd w:id="124"/>
          </w:p>
        </w:tc>
        <w:tc>
          <w:tcPr>
            <w:tcW w:w="614" w:type="pct"/>
            <w:tcBorders>
              <w:right w:val="single" w:color="auto" w:sz="4" w:space="0"/>
            </w:tcBorders>
            <w:noWrap w:val="0"/>
            <w:vAlign w:val="center"/>
          </w:tcPr>
          <w:p w14:paraId="4A132473">
            <w:pPr>
              <w:pStyle w:val="20"/>
              <w:spacing w:line="360" w:lineRule="auto"/>
              <w:ind w:firstLine="0" w:firstLineChars="0"/>
              <w:contextualSpacing/>
              <w:jc w:val="cente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t>名称</w:t>
            </w:r>
          </w:p>
        </w:tc>
        <w:tc>
          <w:tcPr>
            <w:tcW w:w="1559" w:type="pct"/>
            <w:tcBorders>
              <w:left w:val="single" w:color="auto" w:sz="4" w:space="0"/>
            </w:tcBorders>
            <w:noWrap w:val="0"/>
            <w:vAlign w:val="center"/>
          </w:tcPr>
          <w:p w14:paraId="0A2710D4">
            <w:pPr>
              <w:pStyle w:val="20"/>
              <w:spacing w:line="360" w:lineRule="auto"/>
              <w:ind w:firstLine="0" w:firstLineChars="0"/>
              <w:contextualSpacing/>
              <w:jc w:val="cente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t>磋商文件要求</w:t>
            </w:r>
          </w:p>
        </w:tc>
        <w:tc>
          <w:tcPr>
            <w:tcW w:w="1503" w:type="pct"/>
            <w:noWrap w:val="0"/>
            <w:vAlign w:val="center"/>
          </w:tcPr>
          <w:p w14:paraId="7138ABB0">
            <w:pPr>
              <w:pStyle w:val="20"/>
              <w:spacing w:line="360" w:lineRule="auto"/>
              <w:ind w:firstLine="0" w:firstLineChars="0"/>
              <w:contextualSpacing/>
              <w:jc w:val="cente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bookmarkStart w:id="125" w:name="_Toc254970731"/>
            <w:bookmarkStart w:id="126" w:name="_Toc173066403"/>
            <w:bookmarkStart w:id="127" w:name="_Toc297193187"/>
            <w:bookmarkStart w:id="128" w:name="_Toc383699908"/>
            <w:bookmarkStart w:id="129" w:name="_Toc373333691"/>
            <w:bookmarkStart w:id="130" w:name="_Toc173211902"/>
            <w:bookmarkStart w:id="131" w:name="_Toc301781613"/>
            <w:bookmarkStart w:id="132" w:name="_Toc295404983"/>
            <w:bookmarkStart w:id="133" w:name="_Toc254970590"/>
            <w: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t>竞标响应</w:t>
            </w:r>
            <w:bookmarkEnd w:id="125"/>
            <w:bookmarkEnd w:id="126"/>
            <w:bookmarkEnd w:id="127"/>
            <w:bookmarkEnd w:id="128"/>
            <w:bookmarkEnd w:id="129"/>
            <w:bookmarkEnd w:id="130"/>
            <w:bookmarkEnd w:id="131"/>
            <w:bookmarkEnd w:id="132"/>
            <w:bookmarkEnd w:id="133"/>
          </w:p>
        </w:tc>
        <w:tc>
          <w:tcPr>
            <w:tcW w:w="820" w:type="pct"/>
            <w:noWrap w:val="0"/>
            <w:vAlign w:val="center"/>
          </w:tcPr>
          <w:p w14:paraId="54DB0BD8">
            <w:pPr>
              <w:pStyle w:val="20"/>
              <w:spacing w:line="360" w:lineRule="auto"/>
              <w:ind w:firstLine="0" w:firstLineChars="0"/>
              <w:contextualSpacing/>
              <w:jc w:val="cente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bookmarkStart w:id="134" w:name="_Toc295404984"/>
            <w:bookmarkStart w:id="135" w:name="_Toc173066404"/>
            <w:bookmarkStart w:id="136" w:name="_Toc373333692"/>
            <w:bookmarkStart w:id="137" w:name="_Toc254970591"/>
            <w:bookmarkStart w:id="138" w:name="_Toc383699909"/>
            <w:bookmarkStart w:id="139" w:name="_Toc301781614"/>
            <w:bookmarkStart w:id="140" w:name="_Toc297193188"/>
            <w:bookmarkStart w:id="141" w:name="_Toc254970732"/>
            <w:bookmarkStart w:id="142" w:name="_Toc173211903"/>
            <w: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t>偏离</w:t>
            </w:r>
            <w:bookmarkEnd w:id="134"/>
            <w:bookmarkEnd w:id="135"/>
            <w:bookmarkEnd w:id="136"/>
            <w:bookmarkEnd w:id="137"/>
            <w:bookmarkEnd w:id="138"/>
            <w:bookmarkEnd w:id="139"/>
            <w:bookmarkEnd w:id="140"/>
            <w:bookmarkEnd w:id="141"/>
            <w:bookmarkEnd w:id="142"/>
            <w:bookmarkStart w:id="143" w:name="_Toc254970592"/>
            <w:bookmarkStart w:id="144" w:name="_Toc295404985"/>
            <w:bookmarkStart w:id="145" w:name="_Toc173211904"/>
            <w:bookmarkStart w:id="146" w:name="_Toc254970733"/>
            <w:bookmarkStart w:id="147" w:name="_Toc297193189"/>
            <w:bookmarkStart w:id="148" w:name="_Toc173066405"/>
            <w:bookmarkStart w:id="149" w:name="_Toc383699910"/>
            <w:bookmarkStart w:id="150" w:name="_Toc373333693"/>
            <w:bookmarkStart w:id="151" w:name="_Toc301781615"/>
            <w: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t>说明</w:t>
            </w:r>
            <w:bookmarkEnd w:id="143"/>
            <w:bookmarkEnd w:id="144"/>
            <w:bookmarkEnd w:id="145"/>
            <w:bookmarkEnd w:id="146"/>
            <w:bookmarkEnd w:id="147"/>
            <w:bookmarkEnd w:id="148"/>
            <w:bookmarkEnd w:id="149"/>
            <w:bookmarkEnd w:id="150"/>
            <w:bookmarkEnd w:id="151"/>
          </w:p>
        </w:tc>
      </w:tr>
      <w:tr w14:paraId="03561F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noWrap w:val="0"/>
            <w:vAlign w:val="center"/>
          </w:tcPr>
          <w:p w14:paraId="01422F01">
            <w:pPr>
              <w:pStyle w:val="20"/>
              <w:spacing w:line="360" w:lineRule="auto"/>
              <w:ind w:firstLine="0" w:firstLineChars="0"/>
              <w:contextualSpacing/>
              <w:jc w:val="cente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bookmarkStart w:id="152" w:name="_Toc254970734"/>
            <w:bookmarkStart w:id="153" w:name="_Toc383699911"/>
            <w:bookmarkStart w:id="154" w:name="_Toc373333694"/>
            <w:bookmarkStart w:id="155" w:name="_Toc173066406"/>
            <w:bookmarkStart w:id="156" w:name="_Toc301781616"/>
            <w:bookmarkStart w:id="157" w:name="_Toc173211905"/>
            <w:bookmarkStart w:id="158" w:name="_Toc297193190"/>
            <w:bookmarkStart w:id="159" w:name="_Toc254970593"/>
            <w:bookmarkStart w:id="160" w:name="_Toc295404986"/>
            <w: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t>1</w:t>
            </w:r>
            <w:bookmarkEnd w:id="152"/>
            <w:bookmarkEnd w:id="153"/>
            <w:bookmarkEnd w:id="154"/>
            <w:bookmarkEnd w:id="155"/>
            <w:bookmarkEnd w:id="156"/>
            <w:bookmarkEnd w:id="157"/>
            <w:bookmarkEnd w:id="158"/>
            <w:bookmarkEnd w:id="159"/>
            <w:bookmarkEnd w:id="160"/>
          </w:p>
        </w:tc>
        <w:tc>
          <w:tcPr>
            <w:tcW w:w="614" w:type="pct"/>
            <w:tcBorders>
              <w:right w:val="single" w:color="auto" w:sz="4" w:space="0"/>
            </w:tcBorders>
            <w:noWrap w:val="0"/>
            <w:vAlign w:val="center"/>
          </w:tcPr>
          <w:p w14:paraId="4BFD6A00">
            <w:pPr>
              <w:pStyle w:val="20"/>
              <w:spacing w:line="360" w:lineRule="auto"/>
              <w:ind w:firstLine="0" w:firstLineChars="0"/>
              <w:contextualSpacing/>
              <w:jc w:val="cente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t>一、建设地点：</w:t>
            </w:r>
          </w:p>
        </w:tc>
        <w:tc>
          <w:tcPr>
            <w:tcW w:w="1559" w:type="pct"/>
            <w:tcBorders>
              <w:left w:val="single" w:color="auto" w:sz="4" w:space="0"/>
            </w:tcBorders>
            <w:noWrap w:val="0"/>
            <w:vAlign w:val="center"/>
          </w:tcPr>
          <w:p w14:paraId="4D3F810E">
            <w:pPr>
              <w:pStyle w:val="20"/>
              <w:spacing w:line="360" w:lineRule="auto"/>
              <w:ind w:firstLine="0" w:firstLineChars="0"/>
              <w:contextualSpacing/>
              <w:jc w:val="cente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p>
        </w:tc>
        <w:tc>
          <w:tcPr>
            <w:tcW w:w="1503" w:type="pct"/>
            <w:noWrap w:val="0"/>
            <w:vAlign w:val="center"/>
          </w:tcPr>
          <w:p w14:paraId="07470799">
            <w:pPr>
              <w:pStyle w:val="20"/>
              <w:spacing w:line="360" w:lineRule="auto"/>
              <w:ind w:firstLine="0" w:firstLineChars="0"/>
              <w:contextualSpacing/>
              <w:jc w:val="cente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p>
        </w:tc>
        <w:tc>
          <w:tcPr>
            <w:tcW w:w="820" w:type="pct"/>
            <w:noWrap w:val="0"/>
            <w:vAlign w:val="center"/>
          </w:tcPr>
          <w:p w14:paraId="7092E65F">
            <w:pPr>
              <w:pStyle w:val="20"/>
              <w:spacing w:line="360" w:lineRule="auto"/>
              <w:ind w:firstLine="0" w:firstLineChars="0"/>
              <w:contextualSpacing/>
              <w:jc w:val="cente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p>
        </w:tc>
      </w:tr>
      <w:tr w14:paraId="14E8C9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noWrap w:val="0"/>
            <w:vAlign w:val="center"/>
          </w:tcPr>
          <w:p w14:paraId="2DFCAAED">
            <w:pPr>
              <w:pStyle w:val="20"/>
              <w:spacing w:line="360" w:lineRule="auto"/>
              <w:ind w:firstLine="0" w:firstLineChars="0"/>
              <w:contextualSpacing/>
              <w:jc w:val="cente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bookmarkStart w:id="161" w:name="_Toc383699912"/>
            <w:bookmarkStart w:id="162" w:name="_Toc173066407"/>
            <w:bookmarkStart w:id="163" w:name="_Toc254970594"/>
            <w:bookmarkStart w:id="164" w:name="_Toc173211906"/>
            <w:bookmarkStart w:id="165" w:name="_Toc301781617"/>
            <w:bookmarkStart w:id="166" w:name="_Toc254970735"/>
            <w:bookmarkStart w:id="167" w:name="_Toc297193191"/>
            <w:bookmarkStart w:id="168" w:name="_Toc295404987"/>
            <w:bookmarkStart w:id="169" w:name="_Toc373333695"/>
            <w: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t>2</w:t>
            </w:r>
            <w:bookmarkEnd w:id="161"/>
            <w:bookmarkEnd w:id="162"/>
            <w:bookmarkEnd w:id="163"/>
            <w:bookmarkEnd w:id="164"/>
            <w:bookmarkEnd w:id="165"/>
            <w:bookmarkEnd w:id="166"/>
            <w:bookmarkEnd w:id="167"/>
            <w:bookmarkEnd w:id="168"/>
            <w:bookmarkEnd w:id="169"/>
          </w:p>
        </w:tc>
        <w:tc>
          <w:tcPr>
            <w:tcW w:w="614" w:type="pct"/>
            <w:tcBorders>
              <w:right w:val="single" w:color="auto" w:sz="4" w:space="0"/>
            </w:tcBorders>
            <w:noWrap w:val="0"/>
            <w:vAlign w:val="center"/>
          </w:tcPr>
          <w:p w14:paraId="2272EAA3">
            <w:pPr>
              <w:pStyle w:val="20"/>
              <w:spacing w:line="360" w:lineRule="auto"/>
              <w:ind w:firstLine="0" w:firstLineChars="0"/>
              <w:contextualSpacing/>
              <w:jc w:val="center"/>
              <w:rPr>
                <w:rFonts w:hint="default" w:ascii="宋体" w:hAnsi="宋体" w:eastAsia="宋体" w:cs="仿宋_GB2312"/>
                <w:color w:val="000000" w:themeColor="text1"/>
                <w:kern w:val="2"/>
                <w:sz w:val="24"/>
                <w:szCs w:val="24"/>
                <w:highlight w:val="none"/>
                <w:lang w:val="en-US" w:eastAsia="zh-CN"/>
                <w14:textFill>
                  <w14:solidFill>
                    <w14:schemeClr w14:val="tx1"/>
                  </w14:solidFill>
                </w14:textFill>
              </w:rPr>
            </w:pPr>
            <w: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t>.......</w:t>
            </w:r>
          </w:p>
        </w:tc>
        <w:tc>
          <w:tcPr>
            <w:tcW w:w="1559" w:type="pct"/>
            <w:tcBorders>
              <w:left w:val="single" w:color="auto" w:sz="4" w:space="0"/>
            </w:tcBorders>
            <w:noWrap w:val="0"/>
            <w:vAlign w:val="center"/>
          </w:tcPr>
          <w:p w14:paraId="221111DD">
            <w:pPr>
              <w:pStyle w:val="20"/>
              <w:spacing w:line="360" w:lineRule="auto"/>
              <w:ind w:firstLine="0" w:firstLineChars="0"/>
              <w:contextualSpacing/>
              <w:jc w:val="cente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p>
        </w:tc>
        <w:tc>
          <w:tcPr>
            <w:tcW w:w="1503" w:type="pct"/>
            <w:noWrap w:val="0"/>
            <w:vAlign w:val="center"/>
          </w:tcPr>
          <w:p w14:paraId="4673B608">
            <w:pPr>
              <w:pStyle w:val="20"/>
              <w:spacing w:line="360" w:lineRule="auto"/>
              <w:ind w:firstLine="0" w:firstLineChars="0"/>
              <w:contextualSpacing/>
              <w:jc w:val="cente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p>
        </w:tc>
        <w:tc>
          <w:tcPr>
            <w:tcW w:w="820" w:type="pct"/>
            <w:noWrap w:val="0"/>
            <w:vAlign w:val="center"/>
          </w:tcPr>
          <w:p w14:paraId="59D91911">
            <w:pPr>
              <w:pStyle w:val="20"/>
              <w:spacing w:line="360" w:lineRule="auto"/>
              <w:ind w:firstLine="0" w:firstLineChars="0"/>
              <w:contextualSpacing/>
              <w:jc w:val="cente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p>
        </w:tc>
      </w:tr>
      <w:tr w14:paraId="57CDF5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noWrap w:val="0"/>
            <w:vAlign w:val="center"/>
          </w:tcPr>
          <w:p w14:paraId="1F4C5787">
            <w:pPr>
              <w:pStyle w:val="20"/>
              <w:spacing w:line="360" w:lineRule="auto"/>
              <w:ind w:firstLine="0" w:firstLineChars="0"/>
              <w:contextualSpacing/>
              <w:jc w:val="cente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bookmarkStart w:id="170" w:name="_Toc295404988"/>
            <w:bookmarkStart w:id="171" w:name="_Toc373333696"/>
            <w:bookmarkStart w:id="172" w:name="_Toc173066408"/>
            <w:bookmarkStart w:id="173" w:name="_Toc383699913"/>
            <w:bookmarkStart w:id="174" w:name="_Toc301781618"/>
            <w:bookmarkStart w:id="175" w:name="_Toc297193192"/>
            <w:bookmarkStart w:id="176" w:name="_Toc254970736"/>
            <w:bookmarkStart w:id="177" w:name="_Toc173211907"/>
            <w:bookmarkStart w:id="178" w:name="_Toc254970595"/>
            <w: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t>3</w:t>
            </w:r>
            <w:bookmarkEnd w:id="170"/>
            <w:bookmarkEnd w:id="171"/>
            <w:bookmarkEnd w:id="172"/>
            <w:bookmarkEnd w:id="173"/>
            <w:bookmarkEnd w:id="174"/>
            <w:bookmarkEnd w:id="175"/>
            <w:bookmarkEnd w:id="176"/>
            <w:bookmarkEnd w:id="177"/>
            <w:bookmarkEnd w:id="178"/>
          </w:p>
        </w:tc>
        <w:tc>
          <w:tcPr>
            <w:tcW w:w="614" w:type="pct"/>
            <w:tcBorders>
              <w:right w:val="single" w:color="auto" w:sz="4" w:space="0"/>
            </w:tcBorders>
            <w:noWrap w:val="0"/>
            <w:vAlign w:val="center"/>
          </w:tcPr>
          <w:p w14:paraId="76D1CCB5">
            <w:pPr>
              <w:pStyle w:val="20"/>
              <w:spacing w:line="360" w:lineRule="auto"/>
              <w:ind w:firstLine="0" w:firstLineChars="0"/>
              <w:contextualSpacing/>
              <w:jc w:val="cente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p>
        </w:tc>
        <w:tc>
          <w:tcPr>
            <w:tcW w:w="1559" w:type="pct"/>
            <w:tcBorders>
              <w:left w:val="single" w:color="auto" w:sz="4" w:space="0"/>
            </w:tcBorders>
            <w:noWrap w:val="0"/>
            <w:vAlign w:val="center"/>
          </w:tcPr>
          <w:p w14:paraId="67E42E1F">
            <w:pPr>
              <w:pStyle w:val="20"/>
              <w:spacing w:line="360" w:lineRule="auto"/>
              <w:ind w:firstLine="0" w:firstLineChars="0"/>
              <w:contextualSpacing/>
              <w:jc w:val="cente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p>
        </w:tc>
        <w:tc>
          <w:tcPr>
            <w:tcW w:w="1503" w:type="pct"/>
            <w:noWrap w:val="0"/>
            <w:vAlign w:val="center"/>
          </w:tcPr>
          <w:p w14:paraId="04962470">
            <w:pPr>
              <w:pStyle w:val="20"/>
              <w:spacing w:line="360" w:lineRule="auto"/>
              <w:ind w:firstLine="0" w:firstLineChars="0"/>
              <w:contextualSpacing/>
              <w:jc w:val="cente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p>
        </w:tc>
        <w:tc>
          <w:tcPr>
            <w:tcW w:w="820" w:type="pct"/>
            <w:noWrap w:val="0"/>
            <w:vAlign w:val="center"/>
          </w:tcPr>
          <w:p w14:paraId="714551FD">
            <w:pPr>
              <w:pStyle w:val="20"/>
              <w:spacing w:line="360" w:lineRule="auto"/>
              <w:ind w:firstLine="0" w:firstLineChars="0"/>
              <w:contextualSpacing/>
              <w:jc w:val="cente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p>
        </w:tc>
      </w:tr>
      <w:tr w14:paraId="52ACA57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noWrap w:val="0"/>
            <w:vAlign w:val="center"/>
          </w:tcPr>
          <w:p w14:paraId="7AE580F1">
            <w:pPr>
              <w:pStyle w:val="20"/>
              <w:spacing w:line="360" w:lineRule="auto"/>
              <w:ind w:firstLine="0" w:firstLineChars="0"/>
              <w:contextualSpacing/>
              <w:jc w:val="cente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bookmarkStart w:id="179" w:name="_Toc254970596"/>
            <w:bookmarkStart w:id="180" w:name="_Toc295404989"/>
            <w:bookmarkStart w:id="181" w:name="_Toc383699914"/>
            <w:bookmarkStart w:id="182" w:name="_Toc173066409"/>
            <w:bookmarkStart w:id="183" w:name="_Toc373333697"/>
            <w:bookmarkStart w:id="184" w:name="_Toc297193193"/>
            <w:bookmarkStart w:id="185" w:name="_Toc173211908"/>
            <w:bookmarkStart w:id="186" w:name="_Toc254970737"/>
            <w:bookmarkStart w:id="187" w:name="_Toc301781619"/>
            <w: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t>4</w:t>
            </w:r>
            <w:bookmarkEnd w:id="179"/>
            <w:bookmarkEnd w:id="180"/>
            <w:bookmarkEnd w:id="181"/>
            <w:bookmarkEnd w:id="182"/>
            <w:bookmarkEnd w:id="183"/>
            <w:bookmarkEnd w:id="184"/>
            <w:bookmarkEnd w:id="185"/>
            <w:bookmarkEnd w:id="186"/>
            <w:bookmarkEnd w:id="187"/>
          </w:p>
        </w:tc>
        <w:tc>
          <w:tcPr>
            <w:tcW w:w="614" w:type="pct"/>
            <w:tcBorders>
              <w:right w:val="single" w:color="auto" w:sz="4" w:space="0"/>
            </w:tcBorders>
            <w:noWrap w:val="0"/>
            <w:vAlign w:val="center"/>
          </w:tcPr>
          <w:p w14:paraId="26A93CFB">
            <w:pPr>
              <w:pStyle w:val="20"/>
              <w:spacing w:line="360" w:lineRule="auto"/>
              <w:ind w:firstLine="0" w:firstLineChars="0"/>
              <w:contextualSpacing/>
              <w:jc w:val="cente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t>▲计划工期</w:t>
            </w:r>
          </w:p>
        </w:tc>
        <w:tc>
          <w:tcPr>
            <w:tcW w:w="1559" w:type="pct"/>
            <w:tcBorders>
              <w:left w:val="single" w:color="auto" w:sz="4" w:space="0"/>
            </w:tcBorders>
            <w:noWrap w:val="0"/>
            <w:vAlign w:val="center"/>
          </w:tcPr>
          <w:p w14:paraId="58A31BDF">
            <w:pPr>
              <w:pStyle w:val="20"/>
              <w:spacing w:line="360" w:lineRule="auto"/>
              <w:ind w:firstLine="0" w:firstLineChars="0"/>
              <w:contextualSpacing/>
              <w:jc w:val="cente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p>
        </w:tc>
        <w:tc>
          <w:tcPr>
            <w:tcW w:w="1503" w:type="pct"/>
            <w:noWrap w:val="0"/>
            <w:vAlign w:val="center"/>
          </w:tcPr>
          <w:p w14:paraId="5DF54D98">
            <w:pPr>
              <w:pStyle w:val="20"/>
              <w:spacing w:line="360" w:lineRule="auto"/>
              <w:ind w:firstLine="0" w:firstLineChars="0"/>
              <w:contextualSpacing/>
              <w:jc w:val="cente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p>
        </w:tc>
        <w:tc>
          <w:tcPr>
            <w:tcW w:w="820" w:type="pct"/>
            <w:noWrap w:val="0"/>
            <w:vAlign w:val="center"/>
          </w:tcPr>
          <w:p w14:paraId="16753CD5">
            <w:pPr>
              <w:pStyle w:val="20"/>
              <w:spacing w:line="360" w:lineRule="auto"/>
              <w:ind w:firstLine="0" w:firstLineChars="0"/>
              <w:contextualSpacing/>
              <w:jc w:val="cente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p>
        </w:tc>
      </w:tr>
      <w:tr w14:paraId="00BFDBF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noWrap w:val="0"/>
            <w:vAlign w:val="center"/>
          </w:tcPr>
          <w:p w14:paraId="127C8C87">
            <w:pPr>
              <w:pStyle w:val="20"/>
              <w:spacing w:line="360" w:lineRule="auto"/>
              <w:ind w:firstLine="0" w:firstLineChars="0"/>
              <w:contextualSpacing/>
              <w:jc w:val="cente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bookmarkStart w:id="188" w:name="_Toc383699915"/>
            <w:bookmarkStart w:id="189" w:name="_Toc173066410"/>
            <w:bookmarkStart w:id="190" w:name="_Toc301781620"/>
            <w:bookmarkStart w:id="191" w:name="_Toc254970738"/>
            <w:bookmarkStart w:id="192" w:name="_Toc297193194"/>
            <w:bookmarkStart w:id="193" w:name="_Toc254970597"/>
            <w:bookmarkStart w:id="194" w:name="_Toc295404990"/>
            <w:bookmarkStart w:id="195" w:name="_Toc173211909"/>
            <w:bookmarkStart w:id="196" w:name="_Toc373333698"/>
            <w: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t>5</w:t>
            </w:r>
            <w:bookmarkEnd w:id="188"/>
            <w:bookmarkEnd w:id="189"/>
            <w:bookmarkEnd w:id="190"/>
            <w:bookmarkEnd w:id="191"/>
            <w:bookmarkEnd w:id="192"/>
            <w:bookmarkEnd w:id="193"/>
            <w:bookmarkEnd w:id="194"/>
            <w:bookmarkEnd w:id="195"/>
            <w:bookmarkEnd w:id="196"/>
          </w:p>
        </w:tc>
        <w:tc>
          <w:tcPr>
            <w:tcW w:w="614" w:type="pct"/>
            <w:tcBorders>
              <w:right w:val="single" w:color="auto" w:sz="4" w:space="0"/>
            </w:tcBorders>
            <w:noWrap w:val="0"/>
            <w:vAlign w:val="center"/>
          </w:tcPr>
          <w:p w14:paraId="6E8C12B1">
            <w:pPr>
              <w:pStyle w:val="20"/>
              <w:spacing w:line="360" w:lineRule="auto"/>
              <w:ind w:firstLine="0" w:firstLineChars="0"/>
              <w:contextualSpacing/>
              <w:jc w:val="center"/>
              <w:rPr>
                <w:rFonts w:hint="default" w:ascii="宋体" w:hAnsi="宋体" w:eastAsia="宋体" w:cs="仿宋_GB2312"/>
                <w:color w:val="000000" w:themeColor="text1"/>
                <w:kern w:val="2"/>
                <w:sz w:val="24"/>
                <w:szCs w:val="24"/>
                <w:highlight w:val="none"/>
                <w:lang w:val="en-US" w:eastAsia="zh-CN"/>
                <w14:textFill>
                  <w14:solidFill>
                    <w14:schemeClr w14:val="tx1"/>
                  </w14:solidFill>
                </w14:textFill>
              </w:rPr>
            </w:pPr>
            <w: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t>......</w:t>
            </w:r>
          </w:p>
        </w:tc>
        <w:tc>
          <w:tcPr>
            <w:tcW w:w="1559" w:type="pct"/>
            <w:tcBorders>
              <w:left w:val="single" w:color="auto" w:sz="4" w:space="0"/>
            </w:tcBorders>
            <w:noWrap w:val="0"/>
            <w:vAlign w:val="center"/>
          </w:tcPr>
          <w:p w14:paraId="7D6021F8">
            <w:pPr>
              <w:pStyle w:val="20"/>
              <w:spacing w:line="360" w:lineRule="auto"/>
              <w:ind w:firstLine="0" w:firstLineChars="0"/>
              <w:contextualSpacing/>
              <w:jc w:val="cente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p>
        </w:tc>
        <w:tc>
          <w:tcPr>
            <w:tcW w:w="1503" w:type="pct"/>
            <w:noWrap w:val="0"/>
            <w:vAlign w:val="center"/>
          </w:tcPr>
          <w:p w14:paraId="152D0B36">
            <w:pPr>
              <w:pStyle w:val="20"/>
              <w:spacing w:line="360" w:lineRule="auto"/>
              <w:ind w:firstLine="0" w:firstLineChars="0"/>
              <w:contextualSpacing/>
              <w:jc w:val="cente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p>
        </w:tc>
        <w:tc>
          <w:tcPr>
            <w:tcW w:w="820" w:type="pct"/>
            <w:noWrap w:val="0"/>
            <w:vAlign w:val="center"/>
          </w:tcPr>
          <w:p w14:paraId="067D3460">
            <w:pPr>
              <w:pStyle w:val="20"/>
              <w:spacing w:line="360" w:lineRule="auto"/>
              <w:ind w:firstLine="0" w:firstLineChars="0"/>
              <w:contextualSpacing/>
              <w:jc w:val="cente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p>
        </w:tc>
      </w:tr>
      <w:tr w14:paraId="4E1E420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503" w:type="pct"/>
            <w:noWrap w:val="0"/>
            <w:vAlign w:val="center"/>
          </w:tcPr>
          <w:p w14:paraId="4B961FB8">
            <w:pPr>
              <w:pStyle w:val="20"/>
              <w:spacing w:line="360" w:lineRule="auto"/>
              <w:ind w:firstLine="0" w:firstLineChars="0"/>
              <w:contextualSpacing/>
              <w:jc w:val="cente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bookmarkStart w:id="197" w:name="_Toc373333699"/>
            <w:bookmarkStart w:id="198" w:name="_Toc173211914"/>
            <w:bookmarkStart w:id="199" w:name="_Toc383699916"/>
            <w:bookmarkStart w:id="200" w:name="_Toc173066415"/>
            <w:bookmarkStart w:id="201" w:name="_Toc254970602"/>
            <w:bookmarkStart w:id="202" w:name="_Toc301781621"/>
            <w:bookmarkStart w:id="203" w:name="_Toc295404991"/>
            <w:bookmarkStart w:id="204" w:name="_Toc254970743"/>
            <w:bookmarkStart w:id="205" w:name="_Toc297193195"/>
            <w: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t>…</w:t>
            </w:r>
            <w:bookmarkEnd w:id="197"/>
            <w:bookmarkEnd w:id="198"/>
            <w:bookmarkEnd w:id="199"/>
            <w:bookmarkEnd w:id="200"/>
            <w:bookmarkEnd w:id="201"/>
            <w:bookmarkEnd w:id="202"/>
            <w:bookmarkEnd w:id="203"/>
            <w:bookmarkEnd w:id="204"/>
            <w:bookmarkEnd w:id="205"/>
          </w:p>
        </w:tc>
        <w:tc>
          <w:tcPr>
            <w:tcW w:w="614" w:type="pct"/>
            <w:tcBorders>
              <w:right w:val="single" w:color="auto" w:sz="4" w:space="0"/>
            </w:tcBorders>
            <w:noWrap w:val="0"/>
            <w:vAlign w:val="center"/>
          </w:tcPr>
          <w:p w14:paraId="6DF736DE">
            <w:pPr>
              <w:pStyle w:val="20"/>
              <w:spacing w:line="360" w:lineRule="auto"/>
              <w:ind w:firstLine="0" w:firstLineChars="0"/>
              <w:contextualSpacing/>
              <w:jc w:val="cente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p>
        </w:tc>
        <w:tc>
          <w:tcPr>
            <w:tcW w:w="1559" w:type="pct"/>
            <w:tcBorders>
              <w:left w:val="single" w:color="auto" w:sz="4" w:space="0"/>
            </w:tcBorders>
            <w:noWrap w:val="0"/>
            <w:vAlign w:val="center"/>
          </w:tcPr>
          <w:p w14:paraId="2DF5DB65">
            <w:pPr>
              <w:pStyle w:val="20"/>
              <w:spacing w:line="360" w:lineRule="auto"/>
              <w:ind w:firstLine="0" w:firstLineChars="0"/>
              <w:contextualSpacing/>
              <w:jc w:val="cente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p>
        </w:tc>
        <w:tc>
          <w:tcPr>
            <w:tcW w:w="1503" w:type="pct"/>
            <w:noWrap w:val="0"/>
            <w:vAlign w:val="center"/>
          </w:tcPr>
          <w:p w14:paraId="3745FB02">
            <w:pPr>
              <w:pStyle w:val="20"/>
              <w:spacing w:line="360" w:lineRule="auto"/>
              <w:ind w:firstLine="0" w:firstLineChars="0"/>
              <w:contextualSpacing/>
              <w:jc w:val="cente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p>
        </w:tc>
        <w:tc>
          <w:tcPr>
            <w:tcW w:w="820" w:type="pct"/>
            <w:tcBorders>
              <w:right w:val="single" w:color="auto" w:sz="4" w:space="0"/>
            </w:tcBorders>
            <w:noWrap w:val="0"/>
            <w:vAlign w:val="center"/>
          </w:tcPr>
          <w:p w14:paraId="5987F34B">
            <w:pPr>
              <w:pStyle w:val="20"/>
              <w:spacing w:line="360" w:lineRule="auto"/>
              <w:ind w:firstLine="0" w:firstLineChars="0"/>
              <w:contextualSpacing/>
              <w:jc w:val="cente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p>
        </w:tc>
      </w:tr>
    </w:tbl>
    <w:p w14:paraId="07F96226">
      <w:pPr>
        <w:adjustRightInd w:val="0"/>
        <w:spacing w:line="360" w:lineRule="auto"/>
        <w:contextualSpacing/>
        <w:rPr>
          <w:rFonts w:hint="eastAsia" w:ascii="宋体" w:hAnsi="宋体" w:cs="仿宋_GB2312"/>
          <w:color w:val="000000" w:themeColor="text1"/>
          <w:sz w:val="24"/>
          <w:highlight w:val="none"/>
          <w14:textFill>
            <w14:solidFill>
              <w14:schemeClr w14:val="tx1"/>
            </w14:solidFill>
          </w14:textFill>
        </w:rPr>
      </w:pPr>
    </w:p>
    <w:p w14:paraId="6E902DC3">
      <w:pPr>
        <w:pStyle w:val="20"/>
        <w:spacing w:line="360" w:lineRule="auto"/>
        <w:ind w:firstLine="0" w:firstLineChars="0"/>
        <w:contextualSpacing/>
        <w:rPr>
          <w:rFonts w:hint="eastAsia" w:ascii="宋体" w:hAnsi="宋体" w:eastAsia="宋体" w:cs="仿宋_GB2312"/>
          <w:color w:val="000000" w:themeColor="text1"/>
          <w:sz w:val="24"/>
          <w:szCs w:val="24"/>
          <w:highlight w:val="none"/>
          <w14:textFill>
            <w14:solidFill>
              <w14:schemeClr w14:val="tx1"/>
            </w14:solidFill>
          </w14:textFill>
        </w:rPr>
      </w:pPr>
      <w:r>
        <w:rPr>
          <w:rFonts w:hint="eastAsia" w:ascii="宋体" w:hAnsi="宋体" w:eastAsia="宋体" w:cs="仿宋_GB2312"/>
          <w:color w:val="000000" w:themeColor="text1"/>
          <w:sz w:val="24"/>
          <w:szCs w:val="24"/>
          <w:highlight w:val="none"/>
          <w14:textFill>
            <w14:solidFill>
              <w14:schemeClr w14:val="tx1"/>
            </w14:solidFill>
          </w14:textFill>
        </w:rPr>
        <w:t>注：</w:t>
      </w:r>
    </w:p>
    <w:p w14:paraId="1CADD461">
      <w:pPr>
        <w:pStyle w:val="20"/>
        <w:spacing w:line="360" w:lineRule="auto"/>
        <w:ind w:firstLine="0" w:firstLineChars="0"/>
        <w:contextualSpacing/>
        <w:rPr>
          <w:rFonts w:hint="eastAsia" w:ascii="宋体" w:hAnsi="宋体" w:eastAsia="宋体" w:cs="仿宋_GB2312"/>
          <w:color w:val="000000" w:themeColor="text1"/>
          <w:sz w:val="24"/>
          <w:szCs w:val="24"/>
          <w:highlight w:val="none"/>
          <w14:textFill>
            <w14:solidFill>
              <w14:schemeClr w14:val="tx1"/>
            </w14:solidFill>
          </w14:textFill>
        </w:rPr>
      </w:pPr>
      <w:r>
        <w:rPr>
          <w:rFonts w:hint="eastAsia" w:ascii="宋体" w:hAnsi="宋体" w:eastAsia="宋体" w:cs="仿宋_GB2312"/>
          <w:color w:val="000000" w:themeColor="text1"/>
          <w:sz w:val="24"/>
          <w:szCs w:val="24"/>
          <w:highlight w:val="none"/>
          <w14:textFill>
            <w14:solidFill>
              <w14:schemeClr w14:val="tx1"/>
            </w14:solidFill>
          </w14:textFill>
        </w:rPr>
        <w:t>1. 说明：应对照磋商文件“第三章 采购需求”中的所有要求逐条作出明确响应，并作出偏离说明。</w:t>
      </w:r>
    </w:p>
    <w:p w14:paraId="2FBD8A12">
      <w:pPr>
        <w:pStyle w:val="20"/>
        <w:spacing w:line="360" w:lineRule="auto"/>
        <w:ind w:firstLine="0" w:firstLineChars="0"/>
        <w:contextualSpacing/>
        <w:rPr>
          <w:rFonts w:hint="eastAsia" w:ascii="宋体" w:hAnsi="宋体" w:eastAsia="宋体" w:cs="仿宋_GB2312"/>
          <w:color w:val="000000" w:themeColor="text1"/>
          <w:sz w:val="24"/>
          <w:szCs w:val="24"/>
          <w:highlight w:val="none"/>
          <w14:textFill>
            <w14:solidFill>
              <w14:schemeClr w14:val="tx1"/>
            </w14:solidFill>
          </w14:textFill>
        </w:rPr>
      </w:pPr>
      <w:r>
        <w:rPr>
          <w:rFonts w:hint="eastAsia" w:ascii="宋体" w:hAnsi="宋体" w:eastAsia="宋体" w:cs="仿宋_GB2312"/>
          <w:color w:val="000000" w:themeColor="text1"/>
          <w:sz w:val="24"/>
          <w:szCs w:val="24"/>
          <w:highlight w:val="none"/>
          <w14:textFill>
            <w14:solidFill>
              <w14:schemeClr w14:val="tx1"/>
            </w14:solidFill>
          </w14:textFill>
        </w:rPr>
        <w:t>2.供应商应根据自身的承诺，对照磋商文件要求，在“偏离说明”中注明“正偏离”、“负偏离”或者“无偏离”。既不属于“正偏离”也不属于“负偏离”即为“无偏离”。</w:t>
      </w:r>
    </w:p>
    <w:p w14:paraId="411B1477">
      <w:pPr>
        <w:spacing w:line="360" w:lineRule="auto"/>
        <w:ind w:right="-817" w:rightChars="-389"/>
        <w:contextualSpacing/>
        <w:rPr>
          <w:rFonts w:hint="eastAsia" w:ascii="宋体" w:hAnsi="宋体" w:cs="仿宋_GB2312"/>
          <w:color w:val="000000" w:themeColor="text1"/>
          <w:sz w:val="24"/>
          <w:highlight w:val="none"/>
          <w14:textFill>
            <w14:solidFill>
              <w14:schemeClr w14:val="tx1"/>
            </w14:solidFill>
          </w14:textFill>
        </w:rPr>
      </w:pPr>
    </w:p>
    <w:p w14:paraId="70DCFCD8">
      <w:pPr>
        <w:spacing w:line="360" w:lineRule="auto"/>
        <w:ind w:right="-817" w:rightChars="-389"/>
        <w:contextualSpacing/>
        <w:jc w:val="both"/>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法定代表人或者委托代理人（签字或者电子签名）：</w:t>
      </w:r>
      <w:r>
        <w:rPr>
          <w:rFonts w:hint="eastAsia" w:ascii="宋体" w:hAnsi="宋体" w:cs="仿宋_GB2312"/>
          <w:color w:val="000000" w:themeColor="text1"/>
          <w:sz w:val="24"/>
          <w:highlight w:val="none"/>
          <w:u w:val="single"/>
          <w14:textFill>
            <w14:solidFill>
              <w14:schemeClr w14:val="tx1"/>
            </w14:solidFill>
          </w14:textFill>
        </w:rPr>
        <w:t xml:space="preserve">                 </w:t>
      </w:r>
    </w:p>
    <w:p w14:paraId="74BA2068">
      <w:pPr>
        <w:spacing w:line="360" w:lineRule="auto"/>
        <w:ind w:right="-817" w:rightChars="-389" w:firstLine="2640" w:firstLineChars="11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供应商（电子签章）：</w:t>
      </w:r>
      <w:r>
        <w:rPr>
          <w:rFonts w:hint="eastAsia"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 xml:space="preserve">      </w:t>
      </w:r>
    </w:p>
    <w:p w14:paraId="5EC8DFA5">
      <w:pPr>
        <w:spacing w:line="360" w:lineRule="auto"/>
        <w:ind w:right="-817" w:rightChars="-389" w:firstLine="4080" w:firstLineChars="17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日期：   年   月   日</w:t>
      </w:r>
    </w:p>
    <w:p w14:paraId="56FBB82B">
      <w:pPr>
        <w:rPr>
          <w:rFonts w:hint="eastAsia" w:ascii="方正小标宋简体" w:hAnsi="方正小标宋简体" w:eastAsia="方正小标宋简体" w:cs="方正小标宋简体"/>
          <w:bCs/>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z w:val="32"/>
          <w:szCs w:val="32"/>
          <w:highlight w:val="none"/>
          <w14:textFill>
            <w14:solidFill>
              <w14:schemeClr w14:val="tx1"/>
            </w14:solidFill>
          </w14:textFill>
        </w:rPr>
        <w:br w:type="page"/>
      </w:r>
    </w:p>
    <w:p w14:paraId="26AC7E6D">
      <w:pPr>
        <w:widowControl w:val="0"/>
        <w:jc w:val="center"/>
        <w:outlineLvl w:val="0"/>
        <w:rPr>
          <w:rFonts w:ascii="Times New Roman" w:hAnsi="Times New Roman" w:eastAsia="宋体" w:cs="宋体"/>
          <w:b/>
          <w:bCs/>
          <w:color w:val="000000" w:themeColor="text1"/>
          <w:kern w:val="2"/>
          <w:sz w:val="28"/>
          <w:szCs w:val="28"/>
          <w:highlight w:val="none"/>
          <w:lang w:val="en-US" w:eastAsia="zh-CN" w:bidi="ar-SA"/>
          <w14:textFill>
            <w14:solidFill>
              <w14:schemeClr w14:val="tx1"/>
            </w14:solidFill>
          </w14:textFill>
        </w:rPr>
      </w:pPr>
      <w:r>
        <w:rPr>
          <w:rFonts w:hint="eastAsia" w:ascii="Times New Roman" w:hAnsi="Times New Roman" w:eastAsia="宋体" w:cs="宋体"/>
          <w:b/>
          <w:bCs/>
          <w:color w:val="000000" w:themeColor="text1"/>
          <w:kern w:val="2"/>
          <w:sz w:val="28"/>
          <w:szCs w:val="28"/>
          <w:highlight w:val="none"/>
          <w:lang w:val="en-US" w:eastAsia="zh-CN" w:bidi="ar-SA"/>
          <w14:textFill>
            <w14:solidFill>
              <w14:schemeClr w14:val="tx1"/>
            </w14:solidFill>
          </w14:textFill>
        </w:rPr>
        <w:t>建设工程项目管理承诺书</w:t>
      </w:r>
    </w:p>
    <w:p w14:paraId="0C2EBA81">
      <w:pPr>
        <w:spacing w:line="480" w:lineRule="auto"/>
        <w:jc w:val="left"/>
        <w:rPr>
          <w:color w:val="000000" w:themeColor="text1"/>
          <w:highlight w:val="none"/>
          <w14:textFill>
            <w14:solidFill>
              <w14:schemeClr w14:val="tx1"/>
            </w14:solidFill>
          </w14:textFill>
        </w:rPr>
      </w:pPr>
    </w:p>
    <w:p w14:paraId="58DA55F5">
      <w:pPr>
        <w:spacing w:line="480" w:lineRule="auto"/>
        <w:jc w:val="left"/>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致</w:t>
      </w:r>
      <w:r>
        <w:rPr>
          <w:color w:val="000000" w:themeColor="text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（采购人名称）：</w:t>
      </w:r>
    </w:p>
    <w:p w14:paraId="2021C040">
      <w:pPr>
        <w:spacing w:line="520" w:lineRule="exact"/>
        <w:ind w:left="-10" w:firstLine="455" w:firstLineChars="217"/>
        <w:jc w:val="left"/>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作为参与</w:t>
      </w:r>
      <w:r>
        <w:rPr>
          <w:color w:val="000000" w:themeColor="text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（工程名称）项目的供应商，根据国家、自治区相关文件规定，我方在此向采购人承诺：</w:t>
      </w:r>
    </w:p>
    <w:p w14:paraId="6E65E000">
      <w:pPr>
        <w:spacing w:line="520" w:lineRule="exact"/>
        <w:ind w:left="-10" w:firstLine="455" w:firstLineChars="217"/>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1、一旦</w:t>
      </w:r>
      <w:r>
        <w:rPr>
          <w:rFonts w:hint="eastAsia"/>
          <w:color w:val="000000" w:themeColor="text1"/>
          <w:highlight w:val="none"/>
          <w14:textFill>
            <w14:solidFill>
              <w14:schemeClr w14:val="tx1"/>
            </w14:solidFill>
          </w14:textFill>
        </w:rPr>
        <w:t>成交</w:t>
      </w:r>
      <w:r>
        <w:rPr>
          <w:color w:val="000000" w:themeColor="text1"/>
          <w:highlight w:val="none"/>
          <w14:textFill>
            <w14:solidFill>
              <w14:schemeClr w14:val="tx1"/>
            </w14:solidFill>
          </w14:textFill>
        </w:rPr>
        <w:t>，我方保证按照政府相关部门的规定，</w:t>
      </w:r>
      <w:r>
        <w:rPr>
          <w:rFonts w:hint="eastAsia" w:ascii="宋体" w:hAnsi="宋体"/>
          <w:color w:val="000000" w:themeColor="text1"/>
          <w:highlight w:val="none"/>
          <w14:textFill>
            <w14:solidFill>
              <w14:schemeClr w14:val="tx1"/>
            </w14:solidFill>
          </w14:textFill>
        </w:rPr>
        <w:t>在成交后7个工作日内，按照《保障农民工工资支付条例》规定及广西壮族自治区有关规定开设农民工工资专用账户，并按要求比例将农民工工资保证金存入</w:t>
      </w:r>
      <w:r>
        <w:rPr>
          <w:rFonts w:hint="eastAsia" w:ascii="宋体" w:hAnsi="宋体"/>
          <w:color w:val="000000" w:themeColor="text1"/>
          <w:highlight w:val="none"/>
          <w:lang w:val="en-US" w:eastAsia="zh-CN"/>
          <w14:textFill>
            <w14:solidFill>
              <w14:schemeClr w14:val="tx1"/>
            </w14:solidFill>
          </w14:textFill>
        </w:rPr>
        <w:t>账</w:t>
      </w:r>
      <w:r>
        <w:rPr>
          <w:rFonts w:hint="eastAsia" w:ascii="宋体" w:hAnsi="宋体"/>
          <w:color w:val="000000" w:themeColor="text1"/>
          <w:highlight w:val="none"/>
          <w14:textFill>
            <w14:solidFill>
              <w14:schemeClr w14:val="tx1"/>
            </w14:solidFill>
          </w14:textFill>
        </w:rPr>
        <w:t>户</w:t>
      </w:r>
      <w:r>
        <w:rPr>
          <w:rFonts w:hint="eastAsia"/>
          <w:color w:val="000000" w:themeColor="text1"/>
          <w:highlight w:val="none"/>
          <w14:textFill>
            <w14:solidFill>
              <w14:schemeClr w14:val="tx1"/>
            </w14:solidFill>
          </w14:textFill>
        </w:rPr>
        <w:t>，专项用于支付本工程提供劳动的农民工被拖欠的工资。</w:t>
      </w:r>
      <w:r>
        <w:rPr>
          <w:color w:val="000000" w:themeColor="text1"/>
          <w:highlight w:val="none"/>
          <w14:textFill>
            <w14:solidFill>
              <w14:schemeClr w14:val="tx1"/>
            </w14:solidFill>
          </w14:textFill>
        </w:rPr>
        <w:t>按照与农民工依法约定的工资支付周期和具体支付日期支付工资</w:t>
      </w:r>
      <w:r>
        <w:rPr>
          <w:rFonts w:hint="eastAsia"/>
          <w:color w:val="000000" w:themeColor="text1"/>
          <w:highlight w:val="none"/>
          <w14:textFill>
            <w14:solidFill>
              <w14:schemeClr w14:val="tx1"/>
            </w14:solidFill>
          </w14:textFill>
        </w:rPr>
        <w:t>，保证</w:t>
      </w:r>
      <w:r>
        <w:rPr>
          <w:color w:val="000000" w:themeColor="text1"/>
          <w:highlight w:val="none"/>
          <w14:textFill>
            <w14:solidFill>
              <w14:schemeClr w14:val="tx1"/>
            </w14:solidFill>
          </w14:textFill>
        </w:rPr>
        <w:t>每月至少向农民工足额支付一次工资。</w:t>
      </w:r>
    </w:p>
    <w:p w14:paraId="4AE0B187">
      <w:pPr>
        <w:spacing w:line="520" w:lineRule="exact"/>
        <w:ind w:left="-10" w:firstLine="455" w:firstLineChars="217"/>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2、一旦</w:t>
      </w:r>
      <w:r>
        <w:rPr>
          <w:rFonts w:hint="eastAsia"/>
          <w:color w:val="000000" w:themeColor="text1"/>
          <w:highlight w:val="none"/>
          <w14:textFill>
            <w14:solidFill>
              <w14:schemeClr w14:val="tx1"/>
            </w14:solidFill>
          </w14:textFill>
        </w:rPr>
        <w:t>成交</w:t>
      </w:r>
      <w:r>
        <w:rPr>
          <w:color w:val="000000" w:themeColor="text1"/>
          <w:highlight w:val="none"/>
          <w14:textFill>
            <w14:solidFill>
              <w14:schemeClr w14:val="tx1"/>
            </w14:solidFill>
          </w14:textFill>
        </w:rPr>
        <w:t>，我方保证在施工过程中，严格执行《广西壮族自治区建筑工程安全文明施工费使用管理细则》（桂建质〔20</w:t>
      </w:r>
      <w:r>
        <w:rPr>
          <w:rFonts w:hint="eastAsia"/>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t>号）的有关规定，确保建设工程各项安全防护、文明施工措施落实到位。如我方在该项目的承包中出现未按桂建质〔20</w:t>
      </w:r>
      <w:r>
        <w:rPr>
          <w:rFonts w:hint="eastAsia"/>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t>号文附件一规定执行的情形，我方愿意按照相关规定接受建设单位及有关主管部门的处罚。</w:t>
      </w:r>
    </w:p>
    <w:p w14:paraId="55D969F9">
      <w:pPr>
        <w:spacing w:line="520" w:lineRule="exact"/>
        <w:ind w:left="-2" w:leftChars="-1" w:firstLine="449" w:firstLineChars="214"/>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3、一旦</w:t>
      </w:r>
      <w:r>
        <w:rPr>
          <w:rFonts w:hint="eastAsia"/>
          <w:color w:val="000000" w:themeColor="text1"/>
          <w:highlight w:val="none"/>
          <w14:textFill>
            <w14:solidFill>
              <w14:schemeClr w14:val="tx1"/>
            </w14:solidFill>
          </w14:textFill>
        </w:rPr>
        <w:t>成交</w:t>
      </w:r>
      <w:r>
        <w:rPr>
          <w:color w:val="000000" w:themeColor="text1"/>
          <w:highlight w:val="none"/>
          <w14:textFill>
            <w14:solidFill>
              <w14:schemeClr w14:val="tx1"/>
            </w14:solidFill>
          </w14:textFill>
        </w:rPr>
        <w:t>，我方保证在施工过程中，严格执行散装水泥和预拌混凝土管理的有关规定，确保建设工程按规定使用散装水泥和预拌混凝土。如我方在该项目的承包中出现未按规定执行的情形，我方愿意按照相关规定接受建设单位及有关主管部门的处罚。</w:t>
      </w:r>
    </w:p>
    <w:p w14:paraId="4D8A7857">
      <w:pPr>
        <w:spacing w:line="520" w:lineRule="exact"/>
        <w:ind w:left="-10" w:firstLine="455" w:firstLineChars="217"/>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4、一旦成交，我方保证在施工过程中，严格执行《关于禁止使用不符合规范要求的竹脚手架的通知》（</w:t>
      </w:r>
      <w:r>
        <w:rPr>
          <w:color w:val="000000" w:themeColor="text1"/>
          <w:highlight w:val="none"/>
          <w14:textFill>
            <w14:solidFill>
              <w14:schemeClr w14:val="tx1"/>
            </w14:solidFill>
          </w14:textFill>
        </w:rPr>
        <w:t>桂建</w:t>
      </w:r>
      <w:r>
        <w:rPr>
          <w:rFonts w:hint="eastAsia"/>
          <w:color w:val="000000" w:themeColor="text1"/>
          <w:highlight w:val="none"/>
          <w14:textFill>
            <w14:solidFill>
              <w14:schemeClr w14:val="tx1"/>
            </w14:solidFill>
          </w14:textFill>
        </w:rPr>
        <w:t>管字</w:t>
      </w:r>
      <w:r>
        <w:rPr>
          <w:color w:val="000000" w:themeColor="text1"/>
          <w:highlight w:val="none"/>
          <w14:textFill>
            <w14:solidFill>
              <w14:schemeClr w14:val="tx1"/>
            </w14:solidFill>
          </w14:textFill>
        </w:rPr>
        <w:t>〔200</w:t>
      </w:r>
      <w:r>
        <w:rPr>
          <w:rFonts w:hint="eastAsia"/>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t>号</w:t>
      </w:r>
      <w:r>
        <w:rPr>
          <w:rFonts w:hint="eastAsia"/>
          <w:color w:val="000000" w:themeColor="text1"/>
          <w:highlight w:val="none"/>
          <w14:textFill>
            <w14:solidFill>
              <w14:schemeClr w14:val="tx1"/>
            </w14:solidFill>
          </w14:textFill>
        </w:rPr>
        <w:t>）的有关规定，不使用竹脚手架。如我方在该</w:t>
      </w:r>
      <w:r>
        <w:rPr>
          <w:color w:val="000000" w:themeColor="text1"/>
          <w:highlight w:val="none"/>
          <w14:textFill>
            <w14:solidFill>
              <w14:schemeClr w14:val="tx1"/>
            </w14:solidFill>
          </w14:textFill>
        </w:rPr>
        <w:t>项目的承包中出现未按规定执行的情形，我方愿意按照相关规定接受建设单位及有关主管部门的处罚。</w:t>
      </w:r>
    </w:p>
    <w:p w14:paraId="17341643">
      <w:pPr>
        <w:spacing w:line="520" w:lineRule="exact"/>
        <w:ind w:left="-10" w:firstLine="455" w:firstLineChars="217"/>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一旦成交，我方保证严格执行《危险性较大的分部分项工程安全管理规定》（建办质〔2018〕31号）的规定，强化对深基坑、高切坡、高大模板、人工挖孔桩、起重吊装、临时活动板房等重大危险源的专项施工方案的编制、论证、审批、实施、检测的风险管理。</w:t>
      </w:r>
    </w:p>
    <w:p w14:paraId="6594E06E">
      <w:pPr>
        <w:spacing w:line="520" w:lineRule="exact"/>
        <w:jc w:val="left"/>
        <w:rPr>
          <w:color w:val="000000" w:themeColor="text1"/>
          <w:highlight w:val="none"/>
          <w14:textFill>
            <w14:solidFill>
              <w14:schemeClr w14:val="tx1"/>
            </w14:solidFill>
          </w14:textFill>
        </w:rPr>
      </w:pPr>
    </w:p>
    <w:p w14:paraId="5AED4C39">
      <w:pPr>
        <w:spacing w:line="360" w:lineRule="auto"/>
        <w:ind w:firstLine="4410" w:firstLineChars="2100"/>
        <w:jc w:val="left"/>
        <w:rPr>
          <w:rFonts w:cs="宋体"/>
          <w:color w:val="000000" w:themeColor="text1"/>
          <w:highlight w:val="none"/>
          <w:u w:val="single"/>
          <w14:textFill>
            <w14:solidFill>
              <w14:schemeClr w14:val="tx1"/>
            </w14:solidFill>
          </w14:textFill>
        </w:rPr>
      </w:pPr>
      <w:r>
        <w:rPr>
          <w:rFonts w:hint="eastAsia" w:cs="宋体"/>
          <w:color w:val="000000" w:themeColor="text1"/>
          <w:highlight w:val="none"/>
          <w14:textFill>
            <w14:solidFill>
              <w14:schemeClr w14:val="tx1"/>
            </w14:solidFill>
          </w14:textFill>
        </w:rPr>
        <w:t>供应商：</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rFonts w:hint="eastAsia" w:cs="宋体"/>
          <w:color w:val="000000" w:themeColor="text1"/>
          <w:highlight w:val="none"/>
          <w:u w:val="single"/>
          <w14:textFill>
            <w14:solidFill>
              <w14:schemeClr w14:val="tx1"/>
            </w14:solidFill>
          </w14:textFill>
        </w:rPr>
        <w:t>（电子签章）</w:t>
      </w:r>
    </w:p>
    <w:p w14:paraId="24DEE38B">
      <w:pPr>
        <w:spacing w:line="360" w:lineRule="auto"/>
        <w:ind w:firstLine="4410" w:firstLineChars="2100"/>
        <w:jc w:val="left"/>
        <w:rPr>
          <w:rFonts w:hint="eastAsia"/>
          <w:color w:val="000000" w:themeColor="text1"/>
          <w:highlight w:val="none"/>
          <w:u w:val="single"/>
          <w14:textFill>
            <w14:solidFill>
              <w14:schemeClr w14:val="tx1"/>
            </w14:solidFill>
          </w14:textFill>
        </w:rPr>
      </w:pPr>
    </w:p>
    <w:p w14:paraId="3B381905">
      <w:pPr>
        <w:ind w:firstLine="4410" w:firstLineChars="2100"/>
        <w:rPr>
          <w:rFonts w:hint="eastAsia" w:ascii="方正小标宋简体" w:hAnsi="方正小标宋简体" w:eastAsia="方正小标宋简体" w:cs="方正小标宋简体"/>
          <w:bCs/>
          <w:color w:val="000000" w:themeColor="text1"/>
          <w:sz w:val="32"/>
          <w:szCs w:val="32"/>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日期：</w:t>
      </w:r>
      <w:r>
        <w:rPr>
          <w:color w:val="000000" w:themeColor="text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年</w:t>
      </w:r>
      <w:r>
        <w:rPr>
          <w:color w:val="000000" w:themeColor="text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月</w:t>
      </w:r>
      <w:r>
        <w:rPr>
          <w:color w:val="000000" w:themeColor="text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日</w:t>
      </w:r>
      <w:r>
        <w:rPr>
          <w:color w:val="000000" w:themeColor="text1"/>
          <w:highlight w:val="none"/>
          <w14:textFill>
            <w14:solidFill>
              <w14:schemeClr w14:val="tx1"/>
            </w14:solidFill>
          </w14:textFill>
        </w:rPr>
        <w:br w:type="page"/>
      </w:r>
    </w:p>
    <w:p w14:paraId="3764E108">
      <w:pPr>
        <w:spacing w:line="360" w:lineRule="auto"/>
        <w:ind w:firstLine="643" w:firstLineChars="200"/>
        <w:jc w:val="center"/>
        <w:rPr>
          <w:rFonts w:ascii="宋体" w:hAnsi="宋体" w:cs="方正小标宋简体"/>
          <w:b/>
          <w:bCs/>
          <w:color w:val="000000" w:themeColor="text1"/>
          <w:sz w:val="32"/>
          <w:szCs w:val="32"/>
          <w:highlight w:val="none"/>
          <w14:textFill>
            <w14:solidFill>
              <w14:schemeClr w14:val="tx1"/>
            </w14:solidFill>
          </w14:textFill>
        </w:rPr>
      </w:pPr>
      <w:r>
        <w:rPr>
          <w:rFonts w:hint="eastAsia" w:ascii="宋体" w:hAnsi="宋体" w:cs="方正小标宋简体"/>
          <w:b/>
          <w:bCs/>
          <w:color w:val="000000" w:themeColor="text1"/>
          <w:sz w:val="32"/>
          <w:szCs w:val="32"/>
          <w:highlight w:val="none"/>
          <w14:textFill>
            <w14:solidFill>
              <w14:schemeClr w14:val="tx1"/>
            </w14:solidFill>
          </w14:textFill>
        </w:rPr>
        <w:t>施工组织设计</w:t>
      </w:r>
    </w:p>
    <w:p w14:paraId="7BE402B0">
      <w:pPr>
        <w:spacing w:line="360" w:lineRule="auto"/>
        <w:ind w:firstLine="420" w:firstLineChars="200"/>
        <w:rPr>
          <w:rFonts w:cs="宋体"/>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t xml:space="preserve"> 施工组织</w:t>
      </w:r>
      <w:r>
        <w:rPr>
          <w:rFonts w:hint="eastAsia"/>
          <w:color w:val="000000" w:themeColor="text1"/>
          <w:highlight w:val="none"/>
          <w14:textFill>
            <w14:solidFill>
              <w14:schemeClr w14:val="tx1"/>
            </w14:solidFill>
          </w14:textFill>
        </w:rPr>
        <w:t>设计</w:t>
      </w:r>
      <w:r>
        <w:rPr>
          <w:rFonts w:hint="eastAsia" w:ascii="宋体" w:hAnsi="宋体"/>
          <w:color w:val="000000" w:themeColor="text1"/>
          <w:highlight w:val="none"/>
          <w14:textFill>
            <w14:solidFill>
              <w14:schemeClr w14:val="tx1"/>
            </w14:solidFill>
          </w14:textFill>
        </w:rPr>
        <w:t>应</w:t>
      </w:r>
      <w:r>
        <w:rPr>
          <w:rFonts w:hint="eastAsia"/>
          <w:color w:val="000000" w:themeColor="text1"/>
          <w:highlight w:val="none"/>
          <w14:textFill>
            <w14:solidFill>
              <w14:schemeClr w14:val="tx1"/>
            </w14:solidFill>
          </w14:textFill>
        </w:rPr>
        <w:t>以下内容顺序编制，可</w:t>
      </w:r>
      <w:r>
        <w:rPr>
          <w:rFonts w:hint="eastAsia" w:ascii="宋体" w:hAnsi="宋体"/>
          <w:color w:val="000000" w:themeColor="text1"/>
          <w:highlight w:val="none"/>
          <w14:textFill>
            <w14:solidFill>
              <w14:schemeClr w14:val="tx1"/>
            </w14:solidFill>
          </w14:textFill>
        </w:rPr>
        <w:t>采用文字并结合图表形式说明施工方法，</w:t>
      </w:r>
      <w:r>
        <w:rPr>
          <w:color w:val="000000" w:themeColor="text1"/>
          <w:highlight w:val="none"/>
          <w14:textFill>
            <w14:solidFill>
              <w14:schemeClr w14:val="tx1"/>
            </w14:solidFill>
          </w14:textFill>
        </w:rPr>
        <w:t>施工组织</w:t>
      </w:r>
      <w:r>
        <w:rPr>
          <w:rFonts w:hint="eastAsia"/>
          <w:color w:val="000000" w:themeColor="text1"/>
          <w:highlight w:val="none"/>
          <w14:textFill>
            <w14:solidFill>
              <w14:schemeClr w14:val="tx1"/>
            </w14:solidFill>
          </w14:textFill>
        </w:rPr>
        <w:t>设计具体</w:t>
      </w:r>
      <w:r>
        <w:rPr>
          <w:color w:val="000000" w:themeColor="text1"/>
          <w:highlight w:val="none"/>
          <w14:textFill>
            <w14:solidFill>
              <w14:schemeClr w14:val="tx1"/>
            </w14:solidFill>
          </w14:textFill>
        </w:rPr>
        <w:t>内容</w:t>
      </w:r>
      <w:r>
        <w:rPr>
          <w:rFonts w:hint="eastAsia" w:cs="宋体"/>
          <w:color w:val="000000" w:themeColor="text1"/>
          <w:highlight w:val="none"/>
          <w14:textFill>
            <w14:solidFill>
              <w14:schemeClr w14:val="tx1"/>
            </w14:solidFill>
          </w14:textFill>
        </w:rPr>
        <w:t>如下：</w:t>
      </w:r>
    </w:p>
    <w:p w14:paraId="5991BF6E">
      <w:pPr>
        <w:spacing w:line="360" w:lineRule="auto"/>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（1）概述</w:t>
      </w:r>
    </w:p>
    <w:p w14:paraId="50EC001A">
      <w:pPr>
        <w:spacing w:line="360" w:lineRule="auto"/>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（2）主要施工方法；</w:t>
      </w:r>
    </w:p>
    <w:p w14:paraId="5E7B98E0">
      <w:pPr>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（3）拟投入的主要物资计划</w:t>
      </w:r>
    </w:p>
    <w:p w14:paraId="6F4C0B8B">
      <w:pPr>
        <w:spacing w:line="360" w:lineRule="auto"/>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4</w:t>
      </w:r>
      <w:r>
        <w:rPr>
          <w:rFonts w:hint="eastAsia"/>
          <w:color w:val="000000" w:themeColor="text1"/>
          <w:highlight w:val="none"/>
          <w14:textFill>
            <w14:solidFill>
              <w14:schemeClr w14:val="tx1"/>
            </w14:solidFill>
          </w14:textFill>
        </w:rPr>
        <w:t>）劳动力安排计划；</w:t>
      </w:r>
    </w:p>
    <w:p w14:paraId="3CD958EC">
      <w:pPr>
        <w:spacing w:line="360" w:lineRule="auto"/>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5</w:t>
      </w:r>
      <w:r>
        <w:rPr>
          <w:rFonts w:hint="eastAsia"/>
          <w:color w:val="000000" w:themeColor="text1"/>
          <w:highlight w:val="none"/>
          <w14:textFill>
            <w14:solidFill>
              <w14:schemeClr w14:val="tx1"/>
            </w14:solidFill>
          </w14:textFill>
        </w:rPr>
        <w:t>）确保工程质量的技术组织措施；</w:t>
      </w:r>
    </w:p>
    <w:p w14:paraId="42BFF151">
      <w:pPr>
        <w:spacing w:line="360" w:lineRule="auto"/>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6</w:t>
      </w:r>
      <w:r>
        <w:rPr>
          <w:rFonts w:hint="eastAsia"/>
          <w:color w:val="000000" w:themeColor="text1"/>
          <w:highlight w:val="none"/>
          <w14:textFill>
            <w14:solidFill>
              <w14:schemeClr w14:val="tx1"/>
            </w14:solidFill>
          </w14:textFill>
        </w:rPr>
        <w:t>）确保安全生产的技术组织措施；</w:t>
      </w:r>
    </w:p>
    <w:p w14:paraId="119F3A8E">
      <w:pPr>
        <w:spacing w:line="360" w:lineRule="auto"/>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7</w:t>
      </w:r>
      <w:r>
        <w:rPr>
          <w:rFonts w:hint="eastAsia"/>
          <w:color w:val="000000" w:themeColor="text1"/>
          <w:highlight w:val="none"/>
          <w14:textFill>
            <w14:solidFill>
              <w14:schemeClr w14:val="tx1"/>
            </w14:solidFill>
          </w14:textFill>
        </w:rPr>
        <w:t>）确保工期的技术组织措施；</w:t>
      </w:r>
    </w:p>
    <w:p w14:paraId="441051CE">
      <w:pPr>
        <w:spacing w:line="360" w:lineRule="auto"/>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8</w:t>
      </w:r>
      <w:r>
        <w:rPr>
          <w:rFonts w:hint="eastAsia"/>
          <w:color w:val="000000" w:themeColor="text1"/>
          <w:highlight w:val="none"/>
          <w14:textFill>
            <w14:solidFill>
              <w14:schemeClr w14:val="tx1"/>
            </w14:solidFill>
          </w14:textFill>
        </w:rPr>
        <w:t>）确保文明施工的技术组织措施；</w:t>
      </w:r>
    </w:p>
    <w:p w14:paraId="7FFF5911">
      <w:pPr>
        <w:spacing w:line="360" w:lineRule="auto"/>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9</w:t>
      </w:r>
      <w:r>
        <w:rPr>
          <w:rFonts w:hint="eastAsia"/>
          <w:color w:val="000000" w:themeColor="text1"/>
          <w:highlight w:val="none"/>
          <w14:textFill>
            <w14:solidFill>
              <w14:schemeClr w14:val="tx1"/>
            </w14:solidFill>
          </w14:textFill>
        </w:rPr>
        <w:t>）工程施工的重点和难点及保证措施；</w:t>
      </w:r>
    </w:p>
    <w:p w14:paraId="41A1FE17">
      <w:pPr>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t>0</w:t>
      </w:r>
      <w:r>
        <w:rPr>
          <w:rFonts w:hint="eastAsia"/>
          <w:color w:val="000000" w:themeColor="text1"/>
          <w:highlight w:val="none"/>
          <w14:textFill>
            <w14:solidFill>
              <w14:schemeClr w14:val="tx1"/>
            </w14:solidFill>
          </w14:textFill>
        </w:rPr>
        <w:t>）施工总平面布置图；</w:t>
      </w:r>
    </w:p>
    <w:p w14:paraId="21D44351">
      <w:pPr>
        <w:spacing w:line="360" w:lineRule="auto"/>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）其他（</w:t>
      </w:r>
      <w:r>
        <w:rPr>
          <w:color w:val="000000" w:themeColor="text1"/>
          <w:highlight w:val="none"/>
          <w14:textFill>
            <w14:solidFill>
              <w14:schemeClr w14:val="tx1"/>
            </w14:solidFill>
          </w14:textFill>
        </w:rPr>
        <w:t>如有）</w:t>
      </w:r>
      <w:r>
        <w:rPr>
          <w:rFonts w:hint="eastAsia"/>
          <w:color w:val="000000" w:themeColor="text1"/>
          <w:highlight w:val="none"/>
          <w14:textFill>
            <w14:solidFill>
              <w14:schemeClr w14:val="tx1"/>
            </w14:solidFill>
          </w14:textFill>
        </w:rPr>
        <w:t>（与第四章“评审程序、评审方法和评审标准”中的评审</w:t>
      </w:r>
      <w:r>
        <w:rPr>
          <w:color w:val="000000" w:themeColor="text1"/>
          <w:highlight w:val="none"/>
          <w14:textFill>
            <w14:solidFill>
              <w14:schemeClr w14:val="tx1"/>
            </w14:solidFill>
          </w14:textFill>
        </w:rPr>
        <w:t>标准一致</w:t>
      </w:r>
      <w:r>
        <w:rPr>
          <w:rFonts w:hint="eastAsia"/>
          <w:color w:val="000000" w:themeColor="text1"/>
          <w:highlight w:val="none"/>
          <w14:textFill>
            <w14:solidFill>
              <w14:schemeClr w14:val="tx1"/>
            </w14:solidFill>
          </w14:textFill>
        </w:rPr>
        <w:t>）</w:t>
      </w:r>
    </w:p>
    <w:p w14:paraId="558CF317">
      <w:pPr>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 技术标</w:t>
      </w:r>
      <w:r>
        <w:rPr>
          <w:color w:val="000000" w:themeColor="text1"/>
          <w:highlight w:val="none"/>
          <w14:textFill>
            <w14:solidFill>
              <w14:schemeClr w14:val="tx1"/>
            </w14:solidFill>
          </w14:textFill>
        </w:rPr>
        <w:t>施工组织</w:t>
      </w:r>
      <w:r>
        <w:rPr>
          <w:rFonts w:hint="eastAsia"/>
          <w:color w:val="000000" w:themeColor="text1"/>
          <w:highlight w:val="none"/>
          <w14:textFill>
            <w14:solidFill>
              <w14:schemeClr w14:val="tx1"/>
            </w14:solidFill>
          </w14:textFill>
        </w:rPr>
        <w:t>设计除采用文字表述外可附下列图表，图表及格式要求附后。</w:t>
      </w:r>
    </w:p>
    <w:p w14:paraId="4783E23A">
      <w:pPr>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附表一</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劳动力计划表</w:t>
      </w:r>
    </w:p>
    <w:p w14:paraId="1D926B9C">
      <w:pPr>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附表二</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计划开、竣工日期和施工进度计划（网络图或横道图）</w:t>
      </w:r>
    </w:p>
    <w:p w14:paraId="58757FCC">
      <w:pPr>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附表三</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施工总平面图</w:t>
      </w:r>
    </w:p>
    <w:p w14:paraId="667EDEA7">
      <w:pPr>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附表四</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临时用地表</w:t>
      </w:r>
    </w:p>
    <w:p w14:paraId="5978138E">
      <w:pPr>
        <w:spacing w:line="360" w:lineRule="auto"/>
        <w:ind w:firstLine="420" w:firstLineChars="200"/>
        <w:rPr>
          <w:color w:val="000000" w:themeColor="text1"/>
          <w:highlight w:val="none"/>
          <w14:textFill>
            <w14:solidFill>
              <w14:schemeClr w14:val="tx1"/>
            </w14:solidFill>
          </w14:textFill>
        </w:rPr>
      </w:pPr>
    </w:p>
    <w:p w14:paraId="5DA91DD5">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附表一：劳动力计划表</w:t>
      </w:r>
    </w:p>
    <w:p w14:paraId="0E1E1F70">
      <w:pPr>
        <w:ind w:firstLine="7245" w:firstLineChars="345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单位：人</w:t>
      </w:r>
    </w:p>
    <w:tbl>
      <w:tblPr>
        <w:tblStyle w:val="43"/>
        <w:tblW w:w="84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3"/>
        <w:gridCol w:w="961"/>
        <w:gridCol w:w="1257"/>
        <w:gridCol w:w="1257"/>
        <w:gridCol w:w="1258"/>
        <w:gridCol w:w="1257"/>
        <w:gridCol w:w="1258"/>
      </w:tblGrid>
      <w:tr w14:paraId="253F6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5028BF0B">
            <w:pPr>
              <w:spacing w:line="360" w:lineRule="auto"/>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工种</w:t>
            </w:r>
          </w:p>
        </w:tc>
        <w:tc>
          <w:tcPr>
            <w:tcW w:w="7248" w:type="dxa"/>
            <w:gridSpan w:val="6"/>
            <w:vAlign w:val="center"/>
          </w:tcPr>
          <w:p w14:paraId="0C8D10DC">
            <w:pPr>
              <w:spacing w:line="360" w:lineRule="auto"/>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按工程施工阶段投入劳动力情况</w:t>
            </w:r>
          </w:p>
        </w:tc>
      </w:tr>
      <w:tr w14:paraId="18D4F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42B35D48">
            <w:pPr>
              <w:spacing w:line="360" w:lineRule="auto"/>
              <w:jc w:val="center"/>
              <w:rPr>
                <w:color w:val="000000" w:themeColor="text1"/>
                <w:highlight w:val="none"/>
                <w14:textFill>
                  <w14:solidFill>
                    <w14:schemeClr w14:val="tx1"/>
                  </w14:solidFill>
                </w14:textFill>
              </w:rPr>
            </w:pPr>
          </w:p>
        </w:tc>
        <w:tc>
          <w:tcPr>
            <w:tcW w:w="961" w:type="dxa"/>
            <w:vAlign w:val="center"/>
          </w:tcPr>
          <w:p w14:paraId="2189B5F5">
            <w:pPr>
              <w:spacing w:line="360" w:lineRule="auto"/>
              <w:jc w:val="center"/>
              <w:rPr>
                <w:color w:val="000000" w:themeColor="text1"/>
                <w:highlight w:val="none"/>
                <w14:textFill>
                  <w14:solidFill>
                    <w14:schemeClr w14:val="tx1"/>
                  </w14:solidFill>
                </w14:textFill>
              </w:rPr>
            </w:pPr>
          </w:p>
        </w:tc>
        <w:tc>
          <w:tcPr>
            <w:tcW w:w="1257" w:type="dxa"/>
            <w:vAlign w:val="center"/>
          </w:tcPr>
          <w:p w14:paraId="5B35650F">
            <w:pPr>
              <w:spacing w:line="360" w:lineRule="auto"/>
              <w:jc w:val="center"/>
              <w:rPr>
                <w:color w:val="000000" w:themeColor="text1"/>
                <w:highlight w:val="none"/>
                <w14:textFill>
                  <w14:solidFill>
                    <w14:schemeClr w14:val="tx1"/>
                  </w14:solidFill>
                </w14:textFill>
              </w:rPr>
            </w:pPr>
          </w:p>
        </w:tc>
        <w:tc>
          <w:tcPr>
            <w:tcW w:w="1257" w:type="dxa"/>
            <w:vAlign w:val="center"/>
          </w:tcPr>
          <w:p w14:paraId="14488CEF">
            <w:pPr>
              <w:spacing w:line="360" w:lineRule="auto"/>
              <w:jc w:val="center"/>
              <w:rPr>
                <w:color w:val="000000" w:themeColor="text1"/>
                <w:highlight w:val="none"/>
                <w14:textFill>
                  <w14:solidFill>
                    <w14:schemeClr w14:val="tx1"/>
                  </w14:solidFill>
                </w14:textFill>
              </w:rPr>
            </w:pPr>
          </w:p>
        </w:tc>
        <w:tc>
          <w:tcPr>
            <w:tcW w:w="1258" w:type="dxa"/>
            <w:vAlign w:val="center"/>
          </w:tcPr>
          <w:p w14:paraId="27672FEB">
            <w:pPr>
              <w:spacing w:line="360" w:lineRule="auto"/>
              <w:jc w:val="center"/>
              <w:rPr>
                <w:color w:val="000000" w:themeColor="text1"/>
                <w:highlight w:val="none"/>
                <w14:textFill>
                  <w14:solidFill>
                    <w14:schemeClr w14:val="tx1"/>
                  </w14:solidFill>
                </w14:textFill>
              </w:rPr>
            </w:pPr>
          </w:p>
        </w:tc>
        <w:tc>
          <w:tcPr>
            <w:tcW w:w="1257" w:type="dxa"/>
            <w:vAlign w:val="center"/>
          </w:tcPr>
          <w:p w14:paraId="27D3B689">
            <w:pPr>
              <w:spacing w:line="360" w:lineRule="auto"/>
              <w:jc w:val="center"/>
              <w:rPr>
                <w:color w:val="000000" w:themeColor="text1"/>
                <w:highlight w:val="none"/>
                <w14:textFill>
                  <w14:solidFill>
                    <w14:schemeClr w14:val="tx1"/>
                  </w14:solidFill>
                </w14:textFill>
              </w:rPr>
            </w:pPr>
          </w:p>
        </w:tc>
        <w:tc>
          <w:tcPr>
            <w:tcW w:w="1258" w:type="dxa"/>
            <w:vAlign w:val="center"/>
          </w:tcPr>
          <w:p w14:paraId="2257CDA4">
            <w:pPr>
              <w:spacing w:line="360" w:lineRule="auto"/>
              <w:jc w:val="center"/>
              <w:rPr>
                <w:color w:val="000000" w:themeColor="text1"/>
                <w:highlight w:val="none"/>
                <w14:textFill>
                  <w14:solidFill>
                    <w14:schemeClr w14:val="tx1"/>
                  </w14:solidFill>
                </w14:textFill>
              </w:rPr>
            </w:pPr>
          </w:p>
        </w:tc>
      </w:tr>
      <w:tr w14:paraId="4091F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7E503C36">
            <w:pPr>
              <w:spacing w:line="360" w:lineRule="auto"/>
              <w:jc w:val="center"/>
              <w:rPr>
                <w:color w:val="000000" w:themeColor="text1"/>
                <w:highlight w:val="none"/>
                <w14:textFill>
                  <w14:solidFill>
                    <w14:schemeClr w14:val="tx1"/>
                  </w14:solidFill>
                </w14:textFill>
              </w:rPr>
            </w:pPr>
          </w:p>
        </w:tc>
        <w:tc>
          <w:tcPr>
            <w:tcW w:w="961" w:type="dxa"/>
            <w:vAlign w:val="center"/>
          </w:tcPr>
          <w:p w14:paraId="35FAAE5E">
            <w:pPr>
              <w:spacing w:line="360" w:lineRule="auto"/>
              <w:jc w:val="center"/>
              <w:rPr>
                <w:color w:val="000000" w:themeColor="text1"/>
                <w:highlight w:val="none"/>
                <w14:textFill>
                  <w14:solidFill>
                    <w14:schemeClr w14:val="tx1"/>
                  </w14:solidFill>
                </w14:textFill>
              </w:rPr>
            </w:pPr>
          </w:p>
        </w:tc>
        <w:tc>
          <w:tcPr>
            <w:tcW w:w="1257" w:type="dxa"/>
            <w:vAlign w:val="center"/>
          </w:tcPr>
          <w:p w14:paraId="023F1585">
            <w:pPr>
              <w:spacing w:line="360" w:lineRule="auto"/>
              <w:jc w:val="center"/>
              <w:rPr>
                <w:color w:val="000000" w:themeColor="text1"/>
                <w:highlight w:val="none"/>
                <w14:textFill>
                  <w14:solidFill>
                    <w14:schemeClr w14:val="tx1"/>
                  </w14:solidFill>
                </w14:textFill>
              </w:rPr>
            </w:pPr>
          </w:p>
        </w:tc>
        <w:tc>
          <w:tcPr>
            <w:tcW w:w="1257" w:type="dxa"/>
            <w:vAlign w:val="center"/>
          </w:tcPr>
          <w:p w14:paraId="35E18B76">
            <w:pPr>
              <w:spacing w:line="360" w:lineRule="auto"/>
              <w:jc w:val="center"/>
              <w:rPr>
                <w:color w:val="000000" w:themeColor="text1"/>
                <w:highlight w:val="none"/>
                <w14:textFill>
                  <w14:solidFill>
                    <w14:schemeClr w14:val="tx1"/>
                  </w14:solidFill>
                </w14:textFill>
              </w:rPr>
            </w:pPr>
          </w:p>
        </w:tc>
        <w:tc>
          <w:tcPr>
            <w:tcW w:w="1258" w:type="dxa"/>
            <w:vAlign w:val="center"/>
          </w:tcPr>
          <w:p w14:paraId="23DE9352">
            <w:pPr>
              <w:spacing w:line="360" w:lineRule="auto"/>
              <w:jc w:val="center"/>
              <w:rPr>
                <w:color w:val="000000" w:themeColor="text1"/>
                <w:highlight w:val="none"/>
                <w14:textFill>
                  <w14:solidFill>
                    <w14:schemeClr w14:val="tx1"/>
                  </w14:solidFill>
                </w14:textFill>
              </w:rPr>
            </w:pPr>
          </w:p>
        </w:tc>
        <w:tc>
          <w:tcPr>
            <w:tcW w:w="1257" w:type="dxa"/>
            <w:vAlign w:val="center"/>
          </w:tcPr>
          <w:p w14:paraId="2AA6AF52">
            <w:pPr>
              <w:spacing w:line="360" w:lineRule="auto"/>
              <w:jc w:val="center"/>
              <w:rPr>
                <w:color w:val="000000" w:themeColor="text1"/>
                <w:highlight w:val="none"/>
                <w14:textFill>
                  <w14:solidFill>
                    <w14:schemeClr w14:val="tx1"/>
                  </w14:solidFill>
                </w14:textFill>
              </w:rPr>
            </w:pPr>
          </w:p>
        </w:tc>
        <w:tc>
          <w:tcPr>
            <w:tcW w:w="1258" w:type="dxa"/>
            <w:vAlign w:val="center"/>
          </w:tcPr>
          <w:p w14:paraId="797B8DEB">
            <w:pPr>
              <w:spacing w:line="360" w:lineRule="auto"/>
              <w:jc w:val="center"/>
              <w:rPr>
                <w:color w:val="000000" w:themeColor="text1"/>
                <w:highlight w:val="none"/>
                <w14:textFill>
                  <w14:solidFill>
                    <w14:schemeClr w14:val="tx1"/>
                  </w14:solidFill>
                </w14:textFill>
              </w:rPr>
            </w:pPr>
          </w:p>
        </w:tc>
      </w:tr>
      <w:tr w14:paraId="2659F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50094404">
            <w:pPr>
              <w:spacing w:line="360" w:lineRule="auto"/>
              <w:jc w:val="center"/>
              <w:rPr>
                <w:color w:val="000000" w:themeColor="text1"/>
                <w:highlight w:val="none"/>
                <w14:textFill>
                  <w14:solidFill>
                    <w14:schemeClr w14:val="tx1"/>
                  </w14:solidFill>
                </w14:textFill>
              </w:rPr>
            </w:pPr>
          </w:p>
        </w:tc>
        <w:tc>
          <w:tcPr>
            <w:tcW w:w="961" w:type="dxa"/>
            <w:vAlign w:val="center"/>
          </w:tcPr>
          <w:p w14:paraId="59225384">
            <w:pPr>
              <w:spacing w:line="360" w:lineRule="auto"/>
              <w:jc w:val="center"/>
              <w:rPr>
                <w:color w:val="000000" w:themeColor="text1"/>
                <w:highlight w:val="none"/>
                <w14:textFill>
                  <w14:solidFill>
                    <w14:schemeClr w14:val="tx1"/>
                  </w14:solidFill>
                </w14:textFill>
              </w:rPr>
            </w:pPr>
          </w:p>
        </w:tc>
        <w:tc>
          <w:tcPr>
            <w:tcW w:w="1257" w:type="dxa"/>
            <w:vAlign w:val="center"/>
          </w:tcPr>
          <w:p w14:paraId="23A0A3D0">
            <w:pPr>
              <w:spacing w:line="360" w:lineRule="auto"/>
              <w:jc w:val="center"/>
              <w:rPr>
                <w:color w:val="000000" w:themeColor="text1"/>
                <w:highlight w:val="none"/>
                <w14:textFill>
                  <w14:solidFill>
                    <w14:schemeClr w14:val="tx1"/>
                  </w14:solidFill>
                </w14:textFill>
              </w:rPr>
            </w:pPr>
          </w:p>
        </w:tc>
        <w:tc>
          <w:tcPr>
            <w:tcW w:w="1257" w:type="dxa"/>
            <w:vAlign w:val="center"/>
          </w:tcPr>
          <w:p w14:paraId="11D3BAA1">
            <w:pPr>
              <w:spacing w:line="360" w:lineRule="auto"/>
              <w:jc w:val="center"/>
              <w:rPr>
                <w:color w:val="000000" w:themeColor="text1"/>
                <w:highlight w:val="none"/>
                <w14:textFill>
                  <w14:solidFill>
                    <w14:schemeClr w14:val="tx1"/>
                  </w14:solidFill>
                </w14:textFill>
              </w:rPr>
            </w:pPr>
          </w:p>
        </w:tc>
        <w:tc>
          <w:tcPr>
            <w:tcW w:w="1258" w:type="dxa"/>
            <w:vAlign w:val="center"/>
          </w:tcPr>
          <w:p w14:paraId="294A48A5">
            <w:pPr>
              <w:spacing w:line="360" w:lineRule="auto"/>
              <w:jc w:val="center"/>
              <w:rPr>
                <w:color w:val="000000" w:themeColor="text1"/>
                <w:highlight w:val="none"/>
                <w14:textFill>
                  <w14:solidFill>
                    <w14:schemeClr w14:val="tx1"/>
                  </w14:solidFill>
                </w14:textFill>
              </w:rPr>
            </w:pPr>
          </w:p>
        </w:tc>
        <w:tc>
          <w:tcPr>
            <w:tcW w:w="1257" w:type="dxa"/>
            <w:vAlign w:val="center"/>
          </w:tcPr>
          <w:p w14:paraId="2CB20123">
            <w:pPr>
              <w:spacing w:line="360" w:lineRule="auto"/>
              <w:jc w:val="center"/>
              <w:rPr>
                <w:color w:val="000000" w:themeColor="text1"/>
                <w:highlight w:val="none"/>
                <w14:textFill>
                  <w14:solidFill>
                    <w14:schemeClr w14:val="tx1"/>
                  </w14:solidFill>
                </w14:textFill>
              </w:rPr>
            </w:pPr>
          </w:p>
        </w:tc>
        <w:tc>
          <w:tcPr>
            <w:tcW w:w="1258" w:type="dxa"/>
            <w:vAlign w:val="center"/>
          </w:tcPr>
          <w:p w14:paraId="09595B7C">
            <w:pPr>
              <w:spacing w:line="360" w:lineRule="auto"/>
              <w:jc w:val="center"/>
              <w:rPr>
                <w:color w:val="000000" w:themeColor="text1"/>
                <w:highlight w:val="none"/>
                <w14:textFill>
                  <w14:solidFill>
                    <w14:schemeClr w14:val="tx1"/>
                  </w14:solidFill>
                </w14:textFill>
              </w:rPr>
            </w:pPr>
          </w:p>
        </w:tc>
      </w:tr>
      <w:tr w14:paraId="59725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2CC797AA">
            <w:pPr>
              <w:spacing w:line="360" w:lineRule="auto"/>
              <w:jc w:val="center"/>
              <w:rPr>
                <w:color w:val="000000" w:themeColor="text1"/>
                <w:highlight w:val="none"/>
                <w14:textFill>
                  <w14:solidFill>
                    <w14:schemeClr w14:val="tx1"/>
                  </w14:solidFill>
                </w14:textFill>
              </w:rPr>
            </w:pPr>
          </w:p>
        </w:tc>
        <w:tc>
          <w:tcPr>
            <w:tcW w:w="961" w:type="dxa"/>
            <w:vAlign w:val="center"/>
          </w:tcPr>
          <w:p w14:paraId="48FDABD2">
            <w:pPr>
              <w:spacing w:line="360" w:lineRule="auto"/>
              <w:jc w:val="center"/>
              <w:rPr>
                <w:color w:val="000000" w:themeColor="text1"/>
                <w:highlight w:val="none"/>
                <w14:textFill>
                  <w14:solidFill>
                    <w14:schemeClr w14:val="tx1"/>
                  </w14:solidFill>
                </w14:textFill>
              </w:rPr>
            </w:pPr>
          </w:p>
        </w:tc>
        <w:tc>
          <w:tcPr>
            <w:tcW w:w="1257" w:type="dxa"/>
            <w:vAlign w:val="center"/>
          </w:tcPr>
          <w:p w14:paraId="0BAF3F87">
            <w:pPr>
              <w:spacing w:line="360" w:lineRule="auto"/>
              <w:jc w:val="center"/>
              <w:rPr>
                <w:color w:val="000000" w:themeColor="text1"/>
                <w:highlight w:val="none"/>
                <w14:textFill>
                  <w14:solidFill>
                    <w14:schemeClr w14:val="tx1"/>
                  </w14:solidFill>
                </w14:textFill>
              </w:rPr>
            </w:pPr>
          </w:p>
        </w:tc>
        <w:tc>
          <w:tcPr>
            <w:tcW w:w="1257" w:type="dxa"/>
            <w:vAlign w:val="center"/>
          </w:tcPr>
          <w:p w14:paraId="4082DF36">
            <w:pPr>
              <w:spacing w:line="360" w:lineRule="auto"/>
              <w:jc w:val="center"/>
              <w:rPr>
                <w:color w:val="000000" w:themeColor="text1"/>
                <w:highlight w:val="none"/>
                <w14:textFill>
                  <w14:solidFill>
                    <w14:schemeClr w14:val="tx1"/>
                  </w14:solidFill>
                </w14:textFill>
              </w:rPr>
            </w:pPr>
          </w:p>
        </w:tc>
        <w:tc>
          <w:tcPr>
            <w:tcW w:w="1258" w:type="dxa"/>
            <w:vAlign w:val="center"/>
          </w:tcPr>
          <w:p w14:paraId="7B4A871C">
            <w:pPr>
              <w:spacing w:line="360" w:lineRule="auto"/>
              <w:jc w:val="center"/>
              <w:rPr>
                <w:color w:val="000000" w:themeColor="text1"/>
                <w:highlight w:val="none"/>
                <w14:textFill>
                  <w14:solidFill>
                    <w14:schemeClr w14:val="tx1"/>
                  </w14:solidFill>
                </w14:textFill>
              </w:rPr>
            </w:pPr>
          </w:p>
        </w:tc>
        <w:tc>
          <w:tcPr>
            <w:tcW w:w="1257" w:type="dxa"/>
            <w:vAlign w:val="center"/>
          </w:tcPr>
          <w:p w14:paraId="4D7C75D7">
            <w:pPr>
              <w:spacing w:line="360" w:lineRule="auto"/>
              <w:jc w:val="center"/>
              <w:rPr>
                <w:color w:val="000000" w:themeColor="text1"/>
                <w:highlight w:val="none"/>
                <w14:textFill>
                  <w14:solidFill>
                    <w14:schemeClr w14:val="tx1"/>
                  </w14:solidFill>
                </w14:textFill>
              </w:rPr>
            </w:pPr>
          </w:p>
        </w:tc>
        <w:tc>
          <w:tcPr>
            <w:tcW w:w="1258" w:type="dxa"/>
            <w:vAlign w:val="center"/>
          </w:tcPr>
          <w:p w14:paraId="060B18E0">
            <w:pPr>
              <w:spacing w:line="360" w:lineRule="auto"/>
              <w:jc w:val="center"/>
              <w:rPr>
                <w:color w:val="000000" w:themeColor="text1"/>
                <w:highlight w:val="none"/>
                <w14:textFill>
                  <w14:solidFill>
                    <w14:schemeClr w14:val="tx1"/>
                  </w14:solidFill>
                </w14:textFill>
              </w:rPr>
            </w:pPr>
          </w:p>
        </w:tc>
      </w:tr>
      <w:tr w14:paraId="6BCCA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56356D62">
            <w:pPr>
              <w:spacing w:line="360" w:lineRule="auto"/>
              <w:jc w:val="center"/>
              <w:rPr>
                <w:color w:val="000000" w:themeColor="text1"/>
                <w:highlight w:val="none"/>
                <w14:textFill>
                  <w14:solidFill>
                    <w14:schemeClr w14:val="tx1"/>
                  </w14:solidFill>
                </w14:textFill>
              </w:rPr>
            </w:pPr>
          </w:p>
        </w:tc>
        <w:tc>
          <w:tcPr>
            <w:tcW w:w="961" w:type="dxa"/>
            <w:vAlign w:val="center"/>
          </w:tcPr>
          <w:p w14:paraId="72862E33">
            <w:pPr>
              <w:spacing w:line="360" w:lineRule="auto"/>
              <w:jc w:val="center"/>
              <w:rPr>
                <w:color w:val="000000" w:themeColor="text1"/>
                <w:highlight w:val="none"/>
                <w14:textFill>
                  <w14:solidFill>
                    <w14:schemeClr w14:val="tx1"/>
                  </w14:solidFill>
                </w14:textFill>
              </w:rPr>
            </w:pPr>
          </w:p>
        </w:tc>
        <w:tc>
          <w:tcPr>
            <w:tcW w:w="1257" w:type="dxa"/>
            <w:vAlign w:val="center"/>
          </w:tcPr>
          <w:p w14:paraId="4411D856">
            <w:pPr>
              <w:spacing w:line="360" w:lineRule="auto"/>
              <w:jc w:val="center"/>
              <w:rPr>
                <w:color w:val="000000" w:themeColor="text1"/>
                <w:highlight w:val="none"/>
                <w14:textFill>
                  <w14:solidFill>
                    <w14:schemeClr w14:val="tx1"/>
                  </w14:solidFill>
                </w14:textFill>
              </w:rPr>
            </w:pPr>
          </w:p>
        </w:tc>
        <w:tc>
          <w:tcPr>
            <w:tcW w:w="1257" w:type="dxa"/>
            <w:vAlign w:val="center"/>
          </w:tcPr>
          <w:p w14:paraId="5B997FA6">
            <w:pPr>
              <w:spacing w:line="360" w:lineRule="auto"/>
              <w:jc w:val="center"/>
              <w:rPr>
                <w:color w:val="000000" w:themeColor="text1"/>
                <w:highlight w:val="none"/>
                <w14:textFill>
                  <w14:solidFill>
                    <w14:schemeClr w14:val="tx1"/>
                  </w14:solidFill>
                </w14:textFill>
              </w:rPr>
            </w:pPr>
          </w:p>
        </w:tc>
        <w:tc>
          <w:tcPr>
            <w:tcW w:w="1258" w:type="dxa"/>
            <w:vAlign w:val="center"/>
          </w:tcPr>
          <w:p w14:paraId="7F791949">
            <w:pPr>
              <w:spacing w:line="360" w:lineRule="auto"/>
              <w:jc w:val="center"/>
              <w:rPr>
                <w:color w:val="000000" w:themeColor="text1"/>
                <w:highlight w:val="none"/>
                <w14:textFill>
                  <w14:solidFill>
                    <w14:schemeClr w14:val="tx1"/>
                  </w14:solidFill>
                </w14:textFill>
              </w:rPr>
            </w:pPr>
          </w:p>
        </w:tc>
        <w:tc>
          <w:tcPr>
            <w:tcW w:w="1257" w:type="dxa"/>
            <w:vAlign w:val="center"/>
          </w:tcPr>
          <w:p w14:paraId="3A200865">
            <w:pPr>
              <w:spacing w:line="360" w:lineRule="auto"/>
              <w:jc w:val="center"/>
              <w:rPr>
                <w:color w:val="000000" w:themeColor="text1"/>
                <w:highlight w:val="none"/>
                <w14:textFill>
                  <w14:solidFill>
                    <w14:schemeClr w14:val="tx1"/>
                  </w14:solidFill>
                </w14:textFill>
              </w:rPr>
            </w:pPr>
          </w:p>
        </w:tc>
        <w:tc>
          <w:tcPr>
            <w:tcW w:w="1258" w:type="dxa"/>
            <w:vAlign w:val="center"/>
          </w:tcPr>
          <w:p w14:paraId="41E5F581">
            <w:pPr>
              <w:spacing w:line="360" w:lineRule="auto"/>
              <w:jc w:val="center"/>
              <w:rPr>
                <w:color w:val="000000" w:themeColor="text1"/>
                <w:highlight w:val="none"/>
                <w14:textFill>
                  <w14:solidFill>
                    <w14:schemeClr w14:val="tx1"/>
                  </w14:solidFill>
                </w14:textFill>
              </w:rPr>
            </w:pPr>
          </w:p>
        </w:tc>
      </w:tr>
      <w:tr w14:paraId="604DD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1299A35A">
            <w:pPr>
              <w:spacing w:line="360" w:lineRule="auto"/>
              <w:jc w:val="center"/>
              <w:rPr>
                <w:color w:val="000000" w:themeColor="text1"/>
                <w:highlight w:val="none"/>
                <w14:textFill>
                  <w14:solidFill>
                    <w14:schemeClr w14:val="tx1"/>
                  </w14:solidFill>
                </w14:textFill>
              </w:rPr>
            </w:pPr>
          </w:p>
        </w:tc>
        <w:tc>
          <w:tcPr>
            <w:tcW w:w="961" w:type="dxa"/>
            <w:vAlign w:val="center"/>
          </w:tcPr>
          <w:p w14:paraId="30BD65F2">
            <w:pPr>
              <w:spacing w:line="360" w:lineRule="auto"/>
              <w:jc w:val="center"/>
              <w:rPr>
                <w:color w:val="000000" w:themeColor="text1"/>
                <w:highlight w:val="none"/>
                <w14:textFill>
                  <w14:solidFill>
                    <w14:schemeClr w14:val="tx1"/>
                  </w14:solidFill>
                </w14:textFill>
              </w:rPr>
            </w:pPr>
          </w:p>
        </w:tc>
        <w:tc>
          <w:tcPr>
            <w:tcW w:w="1257" w:type="dxa"/>
            <w:vAlign w:val="center"/>
          </w:tcPr>
          <w:p w14:paraId="09780CD2">
            <w:pPr>
              <w:spacing w:line="360" w:lineRule="auto"/>
              <w:jc w:val="center"/>
              <w:rPr>
                <w:color w:val="000000" w:themeColor="text1"/>
                <w:highlight w:val="none"/>
                <w14:textFill>
                  <w14:solidFill>
                    <w14:schemeClr w14:val="tx1"/>
                  </w14:solidFill>
                </w14:textFill>
              </w:rPr>
            </w:pPr>
          </w:p>
        </w:tc>
        <w:tc>
          <w:tcPr>
            <w:tcW w:w="1257" w:type="dxa"/>
            <w:vAlign w:val="center"/>
          </w:tcPr>
          <w:p w14:paraId="442D9FE7">
            <w:pPr>
              <w:spacing w:line="360" w:lineRule="auto"/>
              <w:jc w:val="center"/>
              <w:rPr>
                <w:color w:val="000000" w:themeColor="text1"/>
                <w:highlight w:val="none"/>
                <w14:textFill>
                  <w14:solidFill>
                    <w14:schemeClr w14:val="tx1"/>
                  </w14:solidFill>
                </w14:textFill>
              </w:rPr>
            </w:pPr>
          </w:p>
        </w:tc>
        <w:tc>
          <w:tcPr>
            <w:tcW w:w="1258" w:type="dxa"/>
            <w:vAlign w:val="center"/>
          </w:tcPr>
          <w:p w14:paraId="15C613B5">
            <w:pPr>
              <w:spacing w:line="360" w:lineRule="auto"/>
              <w:jc w:val="center"/>
              <w:rPr>
                <w:color w:val="000000" w:themeColor="text1"/>
                <w:highlight w:val="none"/>
                <w14:textFill>
                  <w14:solidFill>
                    <w14:schemeClr w14:val="tx1"/>
                  </w14:solidFill>
                </w14:textFill>
              </w:rPr>
            </w:pPr>
          </w:p>
        </w:tc>
        <w:tc>
          <w:tcPr>
            <w:tcW w:w="1257" w:type="dxa"/>
            <w:vAlign w:val="center"/>
          </w:tcPr>
          <w:p w14:paraId="34661173">
            <w:pPr>
              <w:spacing w:line="360" w:lineRule="auto"/>
              <w:jc w:val="center"/>
              <w:rPr>
                <w:color w:val="000000" w:themeColor="text1"/>
                <w:highlight w:val="none"/>
                <w14:textFill>
                  <w14:solidFill>
                    <w14:schemeClr w14:val="tx1"/>
                  </w14:solidFill>
                </w14:textFill>
              </w:rPr>
            </w:pPr>
          </w:p>
        </w:tc>
        <w:tc>
          <w:tcPr>
            <w:tcW w:w="1258" w:type="dxa"/>
            <w:vAlign w:val="center"/>
          </w:tcPr>
          <w:p w14:paraId="391A0DB1">
            <w:pPr>
              <w:spacing w:line="360" w:lineRule="auto"/>
              <w:jc w:val="center"/>
              <w:rPr>
                <w:color w:val="000000" w:themeColor="text1"/>
                <w:highlight w:val="none"/>
                <w14:textFill>
                  <w14:solidFill>
                    <w14:schemeClr w14:val="tx1"/>
                  </w14:solidFill>
                </w14:textFill>
              </w:rPr>
            </w:pPr>
          </w:p>
        </w:tc>
      </w:tr>
    </w:tbl>
    <w:p w14:paraId="2AA45C82">
      <w:pPr>
        <w:rPr>
          <w:color w:val="000000" w:themeColor="text1"/>
          <w:highlight w:val="none"/>
          <w14:textFill>
            <w14:solidFill>
              <w14:schemeClr w14:val="tx1"/>
            </w14:solidFill>
          </w14:textFill>
        </w:rPr>
      </w:pPr>
    </w:p>
    <w:p w14:paraId="56E358CF">
      <w:pPr>
        <w:rPr>
          <w:b/>
          <w:bCs/>
          <w:color w:val="000000" w:themeColor="text1"/>
          <w:highlight w:val="none"/>
          <w14:textFill>
            <w14:solidFill>
              <w14:schemeClr w14:val="tx1"/>
            </w14:solidFill>
          </w14:textFill>
        </w:rPr>
      </w:pPr>
    </w:p>
    <w:p w14:paraId="7474EB88">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附表二：计划开、竣工日期和施工进度计划（网络图或横道图）</w:t>
      </w:r>
    </w:p>
    <w:p w14:paraId="18D64B94">
      <w:pPr>
        <w:spacing w:line="460" w:lineRule="exact"/>
        <w:ind w:left="-6" w:firstLine="42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 </w:t>
      </w:r>
      <w:r>
        <w:rPr>
          <w:rFonts w:hint="eastAsia" w:cs="宋体"/>
          <w:color w:val="000000" w:themeColor="text1"/>
          <w:highlight w:val="none"/>
          <w14:textFill>
            <w14:solidFill>
              <w14:schemeClr w14:val="tx1"/>
            </w14:solidFill>
          </w14:textFill>
        </w:rPr>
        <w:t>供应商应提交施工进度计划，说明按磋商文件要求的工期进行施工的各个关键日期。成交的供应商还应按合同条件有关条款的要求提交详细的施工进度计划。</w:t>
      </w:r>
    </w:p>
    <w:p w14:paraId="42DF15CE">
      <w:pPr>
        <w:spacing w:line="460" w:lineRule="exact"/>
        <w:ind w:left="-6" w:firstLine="42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2. </w:t>
      </w:r>
      <w:r>
        <w:rPr>
          <w:rFonts w:hint="eastAsia" w:cs="宋体"/>
          <w:color w:val="000000" w:themeColor="text1"/>
          <w:highlight w:val="none"/>
          <w14:textFill>
            <w14:solidFill>
              <w14:schemeClr w14:val="tx1"/>
            </w14:solidFill>
          </w14:textFill>
        </w:rPr>
        <w:t>施工进度计划可采用网络图（或横道图）表示，说明计划开工日期和各分项工程各阶段的完工日期和分包合同签订的日期。</w:t>
      </w:r>
    </w:p>
    <w:p w14:paraId="4A443E37">
      <w:pPr>
        <w:spacing w:line="460" w:lineRule="exact"/>
        <w:ind w:left="-6" w:firstLine="42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3. </w:t>
      </w:r>
      <w:r>
        <w:rPr>
          <w:rFonts w:hint="eastAsia" w:cs="宋体"/>
          <w:color w:val="000000" w:themeColor="text1"/>
          <w:highlight w:val="none"/>
          <w14:textFill>
            <w14:solidFill>
              <w14:schemeClr w14:val="tx1"/>
            </w14:solidFill>
          </w14:textFill>
        </w:rPr>
        <w:t>施工进度计划应与施工组织设计相适应。</w:t>
      </w:r>
    </w:p>
    <w:p w14:paraId="07CC02B1">
      <w:pPr>
        <w:spacing w:line="360" w:lineRule="auto"/>
        <w:ind w:left="-6" w:firstLine="420"/>
        <w:rPr>
          <w:color w:val="000000" w:themeColor="text1"/>
          <w:highlight w:val="none"/>
          <w14:textFill>
            <w14:solidFill>
              <w14:schemeClr w14:val="tx1"/>
            </w14:solidFill>
          </w14:textFill>
        </w:rPr>
      </w:pPr>
    </w:p>
    <w:p w14:paraId="5F35AD7F">
      <w:pPr>
        <w:rPr>
          <w:color w:val="000000" w:themeColor="text1"/>
          <w:highlight w:val="none"/>
          <w14:textFill>
            <w14:solidFill>
              <w14:schemeClr w14:val="tx1"/>
            </w14:solidFill>
          </w14:textFill>
        </w:rPr>
      </w:pPr>
    </w:p>
    <w:p w14:paraId="0347EE88">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附表三：施工总平面图</w:t>
      </w:r>
    </w:p>
    <w:p w14:paraId="04BA595F">
      <w:pPr>
        <w:spacing w:line="460" w:lineRule="exact"/>
        <w:ind w:firstLine="420" w:firstLineChars="200"/>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供应商应递交一份施工总平面图，绘出现场临时设施布置图表并附文字说明，说明临时设施、加工车间、现场办公、设备及仓储、供电、供水、卫生、生活、道路、消防等设施的情况和布置。</w:t>
      </w:r>
    </w:p>
    <w:p w14:paraId="762A99FE">
      <w:pPr>
        <w:rPr>
          <w:color w:val="000000" w:themeColor="text1"/>
          <w:highlight w:val="none"/>
          <w14:textFill>
            <w14:solidFill>
              <w14:schemeClr w14:val="tx1"/>
            </w14:solidFill>
          </w14:textFill>
        </w:rPr>
      </w:pPr>
    </w:p>
    <w:p w14:paraId="44F319ED">
      <w:pPr>
        <w:rPr>
          <w:color w:val="000000" w:themeColor="text1"/>
          <w:highlight w:val="none"/>
          <w14:textFill>
            <w14:solidFill>
              <w14:schemeClr w14:val="tx1"/>
            </w14:solidFill>
          </w14:textFill>
        </w:rPr>
      </w:pPr>
    </w:p>
    <w:p w14:paraId="13EFECC8">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附表四：临时用地表</w:t>
      </w:r>
    </w:p>
    <w:tbl>
      <w:tblPr>
        <w:tblStyle w:val="43"/>
        <w:tblW w:w="9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6"/>
        <w:gridCol w:w="2357"/>
        <w:gridCol w:w="2356"/>
        <w:gridCol w:w="2136"/>
      </w:tblGrid>
      <w:tr w14:paraId="2B984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356" w:type="dxa"/>
            <w:vAlign w:val="center"/>
          </w:tcPr>
          <w:p w14:paraId="568845C1">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用途</w:t>
            </w:r>
          </w:p>
        </w:tc>
        <w:tc>
          <w:tcPr>
            <w:tcW w:w="2357" w:type="dxa"/>
            <w:vAlign w:val="center"/>
          </w:tcPr>
          <w:p w14:paraId="70E61717">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面积（平方米）</w:t>
            </w:r>
          </w:p>
        </w:tc>
        <w:tc>
          <w:tcPr>
            <w:tcW w:w="2356" w:type="dxa"/>
            <w:vAlign w:val="center"/>
          </w:tcPr>
          <w:p w14:paraId="70C887D0">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位置</w:t>
            </w:r>
          </w:p>
        </w:tc>
        <w:tc>
          <w:tcPr>
            <w:tcW w:w="2136" w:type="dxa"/>
            <w:vAlign w:val="center"/>
          </w:tcPr>
          <w:p w14:paraId="4DBF53BE">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需用时间</w:t>
            </w:r>
          </w:p>
        </w:tc>
      </w:tr>
      <w:tr w14:paraId="68887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27B9E11F">
            <w:pPr>
              <w:rPr>
                <w:color w:val="000000" w:themeColor="text1"/>
                <w:highlight w:val="none"/>
                <w14:textFill>
                  <w14:solidFill>
                    <w14:schemeClr w14:val="tx1"/>
                  </w14:solidFill>
                </w14:textFill>
              </w:rPr>
            </w:pPr>
          </w:p>
        </w:tc>
        <w:tc>
          <w:tcPr>
            <w:tcW w:w="2357" w:type="dxa"/>
          </w:tcPr>
          <w:p w14:paraId="1EAB0649">
            <w:pPr>
              <w:rPr>
                <w:color w:val="000000" w:themeColor="text1"/>
                <w:highlight w:val="none"/>
                <w14:textFill>
                  <w14:solidFill>
                    <w14:schemeClr w14:val="tx1"/>
                  </w14:solidFill>
                </w14:textFill>
              </w:rPr>
            </w:pPr>
          </w:p>
        </w:tc>
        <w:tc>
          <w:tcPr>
            <w:tcW w:w="2356" w:type="dxa"/>
          </w:tcPr>
          <w:p w14:paraId="7847656E">
            <w:pPr>
              <w:rPr>
                <w:color w:val="000000" w:themeColor="text1"/>
                <w:highlight w:val="none"/>
                <w14:textFill>
                  <w14:solidFill>
                    <w14:schemeClr w14:val="tx1"/>
                  </w14:solidFill>
                </w14:textFill>
              </w:rPr>
            </w:pPr>
          </w:p>
        </w:tc>
        <w:tc>
          <w:tcPr>
            <w:tcW w:w="2136" w:type="dxa"/>
          </w:tcPr>
          <w:p w14:paraId="1F8CCD5A">
            <w:pPr>
              <w:rPr>
                <w:color w:val="000000" w:themeColor="text1"/>
                <w:highlight w:val="none"/>
                <w14:textFill>
                  <w14:solidFill>
                    <w14:schemeClr w14:val="tx1"/>
                  </w14:solidFill>
                </w14:textFill>
              </w:rPr>
            </w:pPr>
          </w:p>
        </w:tc>
      </w:tr>
      <w:tr w14:paraId="1D017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7CDAE171">
            <w:pPr>
              <w:rPr>
                <w:color w:val="000000" w:themeColor="text1"/>
                <w:highlight w:val="none"/>
                <w14:textFill>
                  <w14:solidFill>
                    <w14:schemeClr w14:val="tx1"/>
                  </w14:solidFill>
                </w14:textFill>
              </w:rPr>
            </w:pPr>
          </w:p>
        </w:tc>
        <w:tc>
          <w:tcPr>
            <w:tcW w:w="2357" w:type="dxa"/>
          </w:tcPr>
          <w:p w14:paraId="488A6504">
            <w:pPr>
              <w:rPr>
                <w:color w:val="000000" w:themeColor="text1"/>
                <w:highlight w:val="none"/>
                <w14:textFill>
                  <w14:solidFill>
                    <w14:schemeClr w14:val="tx1"/>
                  </w14:solidFill>
                </w14:textFill>
              </w:rPr>
            </w:pPr>
          </w:p>
        </w:tc>
        <w:tc>
          <w:tcPr>
            <w:tcW w:w="2356" w:type="dxa"/>
          </w:tcPr>
          <w:p w14:paraId="0481618E">
            <w:pPr>
              <w:rPr>
                <w:color w:val="000000" w:themeColor="text1"/>
                <w:highlight w:val="none"/>
                <w14:textFill>
                  <w14:solidFill>
                    <w14:schemeClr w14:val="tx1"/>
                  </w14:solidFill>
                </w14:textFill>
              </w:rPr>
            </w:pPr>
          </w:p>
        </w:tc>
        <w:tc>
          <w:tcPr>
            <w:tcW w:w="2136" w:type="dxa"/>
          </w:tcPr>
          <w:p w14:paraId="16B0D2A9">
            <w:pPr>
              <w:rPr>
                <w:color w:val="000000" w:themeColor="text1"/>
                <w:highlight w:val="none"/>
                <w14:textFill>
                  <w14:solidFill>
                    <w14:schemeClr w14:val="tx1"/>
                  </w14:solidFill>
                </w14:textFill>
              </w:rPr>
            </w:pPr>
          </w:p>
        </w:tc>
      </w:tr>
      <w:tr w14:paraId="1C88E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356" w:type="dxa"/>
          </w:tcPr>
          <w:p w14:paraId="5AA599E8">
            <w:pPr>
              <w:rPr>
                <w:color w:val="000000" w:themeColor="text1"/>
                <w:highlight w:val="none"/>
                <w14:textFill>
                  <w14:solidFill>
                    <w14:schemeClr w14:val="tx1"/>
                  </w14:solidFill>
                </w14:textFill>
              </w:rPr>
            </w:pPr>
          </w:p>
        </w:tc>
        <w:tc>
          <w:tcPr>
            <w:tcW w:w="2357" w:type="dxa"/>
          </w:tcPr>
          <w:p w14:paraId="62167DC5">
            <w:pPr>
              <w:rPr>
                <w:color w:val="000000" w:themeColor="text1"/>
                <w:highlight w:val="none"/>
                <w14:textFill>
                  <w14:solidFill>
                    <w14:schemeClr w14:val="tx1"/>
                  </w14:solidFill>
                </w14:textFill>
              </w:rPr>
            </w:pPr>
          </w:p>
        </w:tc>
        <w:tc>
          <w:tcPr>
            <w:tcW w:w="2356" w:type="dxa"/>
          </w:tcPr>
          <w:p w14:paraId="0DAB37FF">
            <w:pPr>
              <w:rPr>
                <w:color w:val="000000" w:themeColor="text1"/>
                <w:highlight w:val="none"/>
                <w14:textFill>
                  <w14:solidFill>
                    <w14:schemeClr w14:val="tx1"/>
                  </w14:solidFill>
                </w14:textFill>
              </w:rPr>
            </w:pPr>
          </w:p>
        </w:tc>
        <w:tc>
          <w:tcPr>
            <w:tcW w:w="2136" w:type="dxa"/>
          </w:tcPr>
          <w:p w14:paraId="2475CDD2">
            <w:pPr>
              <w:rPr>
                <w:color w:val="000000" w:themeColor="text1"/>
                <w:highlight w:val="none"/>
                <w14:textFill>
                  <w14:solidFill>
                    <w14:schemeClr w14:val="tx1"/>
                  </w14:solidFill>
                </w14:textFill>
              </w:rPr>
            </w:pPr>
          </w:p>
        </w:tc>
      </w:tr>
      <w:tr w14:paraId="64384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0AA6EEFE">
            <w:pPr>
              <w:rPr>
                <w:color w:val="000000" w:themeColor="text1"/>
                <w:highlight w:val="none"/>
                <w14:textFill>
                  <w14:solidFill>
                    <w14:schemeClr w14:val="tx1"/>
                  </w14:solidFill>
                </w14:textFill>
              </w:rPr>
            </w:pPr>
          </w:p>
        </w:tc>
        <w:tc>
          <w:tcPr>
            <w:tcW w:w="2357" w:type="dxa"/>
          </w:tcPr>
          <w:p w14:paraId="4A606D64">
            <w:pPr>
              <w:rPr>
                <w:color w:val="000000" w:themeColor="text1"/>
                <w:highlight w:val="none"/>
                <w14:textFill>
                  <w14:solidFill>
                    <w14:schemeClr w14:val="tx1"/>
                  </w14:solidFill>
                </w14:textFill>
              </w:rPr>
            </w:pPr>
          </w:p>
        </w:tc>
        <w:tc>
          <w:tcPr>
            <w:tcW w:w="2356" w:type="dxa"/>
          </w:tcPr>
          <w:p w14:paraId="7EBD4394">
            <w:pPr>
              <w:rPr>
                <w:color w:val="000000" w:themeColor="text1"/>
                <w:highlight w:val="none"/>
                <w14:textFill>
                  <w14:solidFill>
                    <w14:schemeClr w14:val="tx1"/>
                  </w14:solidFill>
                </w14:textFill>
              </w:rPr>
            </w:pPr>
          </w:p>
        </w:tc>
        <w:tc>
          <w:tcPr>
            <w:tcW w:w="2136" w:type="dxa"/>
          </w:tcPr>
          <w:p w14:paraId="251BE939">
            <w:pPr>
              <w:rPr>
                <w:color w:val="000000" w:themeColor="text1"/>
                <w:highlight w:val="none"/>
                <w14:textFill>
                  <w14:solidFill>
                    <w14:schemeClr w14:val="tx1"/>
                  </w14:solidFill>
                </w14:textFill>
              </w:rPr>
            </w:pPr>
          </w:p>
        </w:tc>
      </w:tr>
    </w:tbl>
    <w:p w14:paraId="47693020">
      <w:pPr>
        <w:spacing w:line="360" w:lineRule="auto"/>
        <w:ind w:firstLine="880" w:firstLineChars="200"/>
        <w:rPr>
          <w:rFonts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p>
    <w:p w14:paraId="6AF194EE">
      <w:pPr>
        <w:spacing w:line="360" w:lineRule="auto"/>
        <w:jc w:val="center"/>
        <w:rPr>
          <w:rFonts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p>
    <w:p w14:paraId="4063BEC5">
      <w:pPr>
        <w:spacing w:line="360" w:lineRule="auto"/>
        <w:rPr>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 xml:space="preserve"> </w:t>
      </w:r>
    </w:p>
    <w:p w14:paraId="280E288B">
      <w:pPr>
        <w:spacing w:line="360" w:lineRule="auto"/>
        <w:rPr>
          <w:rFonts w:ascii="宋体" w:hAnsi="宋体" w:cs="仿宋_GB2312"/>
          <w:color w:val="000000" w:themeColor="text1"/>
          <w:sz w:val="24"/>
          <w:highlight w:val="none"/>
          <w14:textFill>
            <w14:solidFill>
              <w14:schemeClr w14:val="tx1"/>
            </w14:solidFill>
          </w14:textFill>
        </w:rPr>
      </w:pPr>
      <w:r>
        <w:rPr>
          <w:rFonts w:ascii="宋体" w:hAnsi="宋体" w:cs="仿宋_GB2312"/>
          <w:color w:val="000000" w:themeColor="text1"/>
          <w:sz w:val="24"/>
          <w:highlight w:val="none"/>
          <w14:textFill>
            <w14:solidFill>
              <w14:schemeClr w14:val="tx1"/>
            </w14:solidFill>
          </w14:textFill>
        </w:rPr>
        <w:t xml:space="preserve"> </w:t>
      </w:r>
    </w:p>
    <w:p w14:paraId="5730BB89">
      <w:pPr>
        <w:adjustRightInd w:val="0"/>
        <w:snapToGrid w:val="0"/>
        <w:spacing w:line="360" w:lineRule="auto"/>
        <w:jc w:val="center"/>
        <w:rPr>
          <w:rFonts w:ascii="宋体" w:hAnsi="宋体"/>
          <w:b/>
          <w:color w:val="000000" w:themeColor="text1"/>
          <w:sz w:val="32"/>
          <w:szCs w:val="32"/>
          <w:highlight w:val="none"/>
          <w14:textFill>
            <w14:solidFill>
              <w14:schemeClr w14:val="tx1"/>
            </w14:solidFill>
          </w14:textFill>
        </w:rPr>
      </w:pPr>
      <w:r>
        <w:rPr>
          <w:rFonts w:ascii="宋体" w:hAnsi="宋体" w:cs="仿宋_GB2312"/>
          <w:color w:val="000000" w:themeColor="text1"/>
          <w:sz w:val="24"/>
          <w:highlight w:val="none"/>
          <w14:textFill>
            <w14:solidFill>
              <w14:schemeClr w14:val="tx1"/>
            </w14:solidFill>
          </w14:textFill>
        </w:rPr>
        <w:br w:type="page"/>
      </w:r>
      <w:bookmarkStart w:id="206" w:name="OLE_LINK27"/>
      <w:bookmarkStart w:id="207" w:name="OLE_LINK28"/>
      <w:r>
        <w:rPr>
          <w:rFonts w:hint="eastAsia" w:ascii="宋体" w:hAnsi="宋体" w:cs="方正小标宋简体"/>
          <w:b/>
          <w:bCs/>
          <w:color w:val="000000" w:themeColor="text1"/>
          <w:sz w:val="32"/>
          <w:szCs w:val="32"/>
          <w:highlight w:val="none"/>
          <w14:textFill>
            <w14:solidFill>
              <w14:schemeClr w14:val="tx1"/>
            </w14:solidFill>
          </w14:textFill>
        </w:rPr>
        <w:t>项目管理机构配备情况表及主要人员简历表</w:t>
      </w:r>
      <w:bookmarkEnd w:id="206"/>
      <w:bookmarkEnd w:id="207"/>
    </w:p>
    <w:p w14:paraId="70294EC7">
      <w:pPr>
        <w:snapToGrid w:val="0"/>
        <w:spacing w:beforeLines="50" w:after="50" w:line="360" w:lineRule="auto"/>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（一）项目管理机构配备情况表</w:t>
      </w:r>
    </w:p>
    <w:p w14:paraId="52B91E2B">
      <w:pPr>
        <w:pStyle w:val="25"/>
        <w:spacing w:line="360" w:lineRule="auto"/>
        <w:contextualSpacing/>
        <w:rPr>
          <w:color w:val="000000" w:themeColor="text1"/>
          <w:sz w:val="24"/>
          <w:szCs w:val="24"/>
          <w:highlight w:val="none"/>
          <w14:textFill>
            <w14:solidFill>
              <w14:schemeClr w14:val="tx1"/>
            </w14:solidFill>
          </w14:textFill>
        </w:rPr>
      </w:pPr>
      <w:r>
        <w:rPr>
          <w:rFonts w:hint="eastAsia" w:hAnsi="宋体" w:cs="仿宋_GB2312"/>
          <w:color w:val="000000" w:themeColor="text1"/>
          <w:sz w:val="24"/>
          <w:highlight w:val="none"/>
          <w14:textFill>
            <w14:solidFill>
              <w14:schemeClr w14:val="tx1"/>
            </w14:solidFill>
          </w14:textFill>
        </w:rPr>
        <w:t>分标（如有）</w:t>
      </w:r>
      <w:r>
        <w:rPr>
          <w:rFonts w:hint="eastAsia"/>
          <w:color w:val="000000" w:themeColor="text1"/>
          <w:sz w:val="24"/>
          <w:szCs w:val="24"/>
          <w:highlight w:val="none"/>
          <w14:textFill>
            <w14:solidFill>
              <w14:schemeClr w14:val="tx1"/>
            </w14:solidFill>
          </w14:textFill>
        </w:rPr>
        <w:t>：</w:t>
      </w:r>
      <w:r>
        <w:rPr>
          <w:rFonts w:hint="eastAsia"/>
          <w:color w:val="000000" w:themeColor="text1"/>
          <w:sz w:val="24"/>
          <w:szCs w:val="24"/>
          <w:highlight w:val="none"/>
          <w:u w:val="single"/>
          <w14:textFill>
            <w14:solidFill>
              <w14:schemeClr w14:val="tx1"/>
            </w14:solidFill>
          </w14:textFill>
        </w:rPr>
        <w:t xml:space="preserve">         </w:t>
      </w:r>
    </w:p>
    <w:tbl>
      <w:tblPr>
        <w:tblStyle w:val="43"/>
        <w:tblW w:w="9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670"/>
        <w:gridCol w:w="829"/>
        <w:gridCol w:w="816"/>
        <w:gridCol w:w="1148"/>
        <w:gridCol w:w="1148"/>
        <w:gridCol w:w="1148"/>
        <w:gridCol w:w="744"/>
        <w:gridCol w:w="1167"/>
        <w:gridCol w:w="1276"/>
      </w:tblGrid>
      <w:tr w14:paraId="7CA6A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20" w:type="dxa"/>
            <w:vMerge w:val="restart"/>
            <w:vAlign w:val="center"/>
          </w:tcPr>
          <w:p w14:paraId="2FA09016">
            <w:pPr>
              <w:ind w:left="223" w:hanging="222" w:hangingChars="106"/>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岗位</w:t>
            </w:r>
          </w:p>
        </w:tc>
        <w:tc>
          <w:tcPr>
            <w:tcW w:w="670" w:type="dxa"/>
            <w:vMerge w:val="restart"/>
            <w:vAlign w:val="center"/>
          </w:tcPr>
          <w:p w14:paraId="499ED81C">
            <w:pPr>
              <w:ind w:left="223" w:hanging="222" w:hangingChars="106"/>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姓名</w:t>
            </w:r>
          </w:p>
        </w:tc>
        <w:tc>
          <w:tcPr>
            <w:tcW w:w="829" w:type="dxa"/>
            <w:vMerge w:val="restart"/>
            <w:vAlign w:val="center"/>
          </w:tcPr>
          <w:p w14:paraId="1ED306FE">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身份证号</w:t>
            </w:r>
          </w:p>
        </w:tc>
        <w:tc>
          <w:tcPr>
            <w:tcW w:w="816" w:type="dxa"/>
            <w:vMerge w:val="restart"/>
            <w:vAlign w:val="center"/>
          </w:tcPr>
          <w:p w14:paraId="45E57292">
            <w:pPr>
              <w:ind w:left="223" w:hanging="222" w:hangingChars="106"/>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职称</w:t>
            </w:r>
          </w:p>
        </w:tc>
        <w:tc>
          <w:tcPr>
            <w:tcW w:w="4188" w:type="dxa"/>
            <w:gridSpan w:val="4"/>
            <w:vAlign w:val="center"/>
          </w:tcPr>
          <w:p w14:paraId="0BD36D0A">
            <w:pPr>
              <w:ind w:left="223" w:hanging="222" w:hangingChars="106"/>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执业或职业资格</w:t>
            </w:r>
          </w:p>
        </w:tc>
        <w:tc>
          <w:tcPr>
            <w:tcW w:w="2443" w:type="dxa"/>
            <w:gridSpan w:val="2"/>
            <w:vAlign w:val="center"/>
          </w:tcPr>
          <w:p w14:paraId="5956BF42">
            <w:pPr>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承担完工</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在建工程情况</w:t>
            </w:r>
          </w:p>
        </w:tc>
      </w:tr>
      <w:tr w14:paraId="3043E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20" w:type="dxa"/>
            <w:vMerge w:val="continue"/>
            <w:vAlign w:val="center"/>
          </w:tcPr>
          <w:p w14:paraId="682C7A67">
            <w:pPr>
              <w:ind w:left="223" w:hanging="222" w:hangingChars="106"/>
              <w:jc w:val="center"/>
              <w:rPr>
                <w:color w:val="000000" w:themeColor="text1"/>
                <w:highlight w:val="none"/>
                <w14:textFill>
                  <w14:solidFill>
                    <w14:schemeClr w14:val="tx1"/>
                  </w14:solidFill>
                </w14:textFill>
              </w:rPr>
            </w:pPr>
          </w:p>
        </w:tc>
        <w:tc>
          <w:tcPr>
            <w:tcW w:w="670" w:type="dxa"/>
            <w:vMerge w:val="continue"/>
            <w:vAlign w:val="center"/>
          </w:tcPr>
          <w:p w14:paraId="0E92F55A">
            <w:pPr>
              <w:ind w:left="223" w:hanging="222" w:hangingChars="106"/>
              <w:jc w:val="center"/>
              <w:rPr>
                <w:color w:val="000000" w:themeColor="text1"/>
                <w:highlight w:val="none"/>
                <w14:textFill>
                  <w14:solidFill>
                    <w14:schemeClr w14:val="tx1"/>
                  </w14:solidFill>
                </w14:textFill>
              </w:rPr>
            </w:pPr>
          </w:p>
        </w:tc>
        <w:tc>
          <w:tcPr>
            <w:tcW w:w="829" w:type="dxa"/>
            <w:vMerge w:val="continue"/>
            <w:vAlign w:val="center"/>
          </w:tcPr>
          <w:p w14:paraId="1D376984">
            <w:pPr>
              <w:ind w:left="223" w:hanging="222" w:hangingChars="106"/>
              <w:jc w:val="center"/>
              <w:rPr>
                <w:color w:val="000000" w:themeColor="text1"/>
                <w:highlight w:val="none"/>
                <w14:textFill>
                  <w14:solidFill>
                    <w14:schemeClr w14:val="tx1"/>
                  </w14:solidFill>
                </w14:textFill>
              </w:rPr>
            </w:pPr>
          </w:p>
        </w:tc>
        <w:tc>
          <w:tcPr>
            <w:tcW w:w="816" w:type="dxa"/>
            <w:vMerge w:val="continue"/>
            <w:vAlign w:val="center"/>
          </w:tcPr>
          <w:p w14:paraId="20D733F0">
            <w:pPr>
              <w:ind w:left="223" w:hanging="222" w:hangingChars="106"/>
              <w:jc w:val="center"/>
              <w:rPr>
                <w:color w:val="000000" w:themeColor="text1"/>
                <w:highlight w:val="none"/>
                <w14:textFill>
                  <w14:solidFill>
                    <w14:schemeClr w14:val="tx1"/>
                  </w14:solidFill>
                </w14:textFill>
              </w:rPr>
            </w:pPr>
          </w:p>
        </w:tc>
        <w:tc>
          <w:tcPr>
            <w:tcW w:w="1148" w:type="dxa"/>
            <w:vAlign w:val="center"/>
          </w:tcPr>
          <w:p w14:paraId="4F997540">
            <w:pPr>
              <w:ind w:left="223" w:hanging="222" w:hangingChars="106"/>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证书名称</w:t>
            </w:r>
          </w:p>
        </w:tc>
        <w:tc>
          <w:tcPr>
            <w:tcW w:w="1148" w:type="dxa"/>
            <w:vAlign w:val="center"/>
          </w:tcPr>
          <w:p w14:paraId="5724E2B3">
            <w:pPr>
              <w:ind w:left="223" w:hanging="222" w:hangingChars="106"/>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级别</w:t>
            </w:r>
          </w:p>
        </w:tc>
        <w:tc>
          <w:tcPr>
            <w:tcW w:w="1148" w:type="dxa"/>
            <w:vAlign w:val="center"/>
          </w:tcPr>
          <w:p w14:paraId="679FB4C5">
            <w:pPr>
              <w:ind w:left="223" w:hanging="222" w:hangingChars="106"/>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证号</w:t>
            </w:r>
          </w:p>
        </w:tc>
        <w:tc>
          <w:tcPr>
            <w:tcW w:w="744" w:type="dxa"/>
            <w:vAlign w:val="center"/>
          </w:tcPr>
          <w:p w14:paraId="7738D034">
            <w:pPr>
              <w:ind w:left="223" w:hanging="222" w:hangingChars="106"/>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专业</w:t>
            </w:r>
          </w:p>
        </w:tc>
        <w:tc>
          <w:tcPr>
            <w:tcW w:w="1167" w:type="dxa"/>
            <w:vAlign w:val="center"/>
          </w:tcPr>
          <w:p w14:paraId="6F8B76A0">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完工/在建</w:t>
            </w:r>
          </w:p>
        </w:tc>
        <w:tc>
          <w:tcPr>
            <w:tcW w:w="1276" w:type="dxa"/>
            <w:vAlign w:val="center"/>
          </w:tcPr>
          <w:p w14:paraId="534CA579">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主要项目</w:t>
            </w:r>
          </w:p>
          <w:p w14:paraId="415E6242">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名称</w:t>
            </w:r>
          </w:p>
        </w:tc>
      </w:tr>
      <w:tr w14:paraId="13A3B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4C395744">
            <w:pPr>
              <w:pStyle w:val="183"/>
              <w:spacing w:line="240" w:lineRule="auto"/>
              <w:ind w:firstLine="0"/>
              <w:rPr>
                <w:color w:val="000000" w:themeColor="text1"/>
                <w:sz w:val="21"/>
                <w:szCs w:val="21"/>
                <w:highlight w:val="none"/>
                <w14:textFill>
                  <w14:solidFill>
                    <w14:schemeClr w14:val="tx1"/>
                  </w14:solidFill>
                </w14:textFill>
              </w:rPr>
            </w:pPr>
            <w:r>
              <w:rPr>
                <w:rFonts w:ascii="Times New Roman" w:hAnsi="Times New Roman" w:eastAsia="Times New Roman" w:cs="Times New Roman"/>
                <w:color w:val="000000" w:themeColor="text1"/>
                <w:sz w:val="21"/>
                <w:szCs w:val="21"/>
                <w:highlight w:val="none"/>
                <w:lang w:val="en-US" w:eastAsia="en-US" w:bidi="en-US"/>
                <w14:textFill>
                  <w14:solidFill>
                    <w14:schemeClr w14:val="tx1"/>
                  </w14:solidFill>
                </w14:textFill>
              </w:rPr>
              <w:t>1.</w:t>
            </w:r>
            <w:r>
              <w:rPr>
                <w:color w:val="000000" w:themeColor="text1"/>
                <w:sz w:val="21"/>
                <w:szCs w:val="21"/>
                <w:highlight w:val="none"/>
                <w14:textFill>
                  <w14:solidFill>
                    <w14:schemeClr w14:val="tx1"/>
                  </w14:solidFill>
                </w14:textFill>
              </w:rPr>
              <w:t>项目经理</w:t>
            </w:r>
          </w:p>
        </w:tc>
        <w:tc>
          <w:tcPr>
            <w:tcW w:w="670" w:type="dxa"/>
            <w:vAlign w:val="center"/>
          </w:tcPr>
          <w:p w14:paraId="11869C07">
            <w:pPr>
              <w:ind w:left="223" w:hanging="222" w:hangingChars="106"/>
              <w:jc w:val="center"/>
              <w:rPr>
                <w:color w:val="000000" w:themeColor="text1"/>
                <w:szCs w:val="21"/>
                <w:highlight w:val="none"/>
                <w14:textFill>
                  <w14:solidFill>
                    <w14:schemeClr w14:val="tx1"/>
                  </w14:solidFill>
                </w14:textFill>
              </w:rPr>
            </w:pPr>
          </w:p>
        </w:tc>
        <w:tc>
          <w:tcPr>
            <w:tcW w:w="829" w:type="dxa"/>
            <w:vAlign w:val="center"/>
          </w:tcPr>
          <w:p w14:paraId="3A04EB30">
            <w:pPr>
              <w:ind w:left="223" w:hanging="222" w:hangingChars="106"/>
              <w:jc w:val="center"/>
              <w:rPr>
                <w:color w:val="000000" w:themeColor="text1"/>
                <w:szCs w:val="21"/>
                <w:highlight w:val="none"/>
                <w14:textFill>
                  <w14:solidFill>
                    <w14:schemeClr w14:val="tx1"/>
                  </w14:solidFill>
                </w14:textFill>
              </w:rPr>
            </w:pPr>
          </w:p>
        </w:tc>
        <w:tc>
          <w:tcPr>
            <w:tcW w:w="816" w:type="dxa"/>
            <w:vAlign w:val="center"/>
          </w:tcPr>
          <w:p w14:paraId="3ABC9CC1">
            <w:pPr>
              <w:ind w:left="223" w:hanging="222" w:hangingChars="106"/>
              <w:jc w:val="center"/>
              <w:rPr>
                <w:color w:val="000000" w:themeColor="text1"/>
                <w:szCs w:val="21"/>
                <w:highlight w:val="none"/>
                <w14:textFill>
                  <w14:solidFill>
                    <w14:schemeClr w14:val="tx1"/>
                  </w14:solidFill>
                </w14:textFill>
              </w:rPr>
            </w:pPr>
          </w:p>
        </w:tc>
        <w:tc>
          <w:tcPr>
            <w:tcW w:w="1148" w:type="dxa"/>
            <w:vAlign w:val="center"/>
          </w:tcPr>
          <w:p w14:paraId="199921BE">
            <w:pPr>
              <w:ind w:left="223" w:hanging="222" w:hangingChars="106"/>
              <w:jc w:val="center"/>
              <w:rPr>
                <w:color w:val="000000" w:themeColor="text1"/>
                <w:szCs w:val="21"/>
                <w:highlight w:val="none"/>
                <w14:textFill>
                  <w14:solidFill>
                    <w14:schemeClr w14:val="tx1"/>
                  </w14:solidFill>
                </w14:textFill>
              </w:rPr>
            </w:pPr>
          </w:p>
        </w:tc>
        <w:tc>
          <w:tcPr>
            <w:tcW w:w="1148" w:type="dxa"/>
            <w:vAlign w:val="center"/>
          </w:tcPr>
          <w:p w14:paraId="1C8426AE">
            <w:pPr>
              <w:ind w:left="223" w:hanging="222" w:hangingChars="106"/>
              <w:jc w:val="center"/>
              <w:rPr>
                <w:color w:val="000000" w:themeColor="text1"/>
                <w:szCs w:val="21"/>
                <w:highlight w:val="none"/>
                <w14:textFill>
                  <w14:solidFill>
                    <w14:schemeClr w14:val="tx1"/>
                  </w14:solidFill>
                </w14:textFill>
              </w:rPr>
            </w:pPr>
          </w:p>
        </w:tc>
        <w:tc>
          <w:tcPr>
            <w:tcW w:w="1148" w:type="dxa"/>
            <w:vAlign w:val="center"/>
          </w:tcPr>
          <w:p w14:paraId="6D2132DC">
            <w:pPr>
              <w:ind w:left="223" w:hanging="222" w:hangingChars="106"/>
              <w:jc w:val="center"/>
              <w:rPr>
                <w:color w:val="000000" w:themeColor="text1"/>
                <w:szCs w:val="21"/>
                <w:highlight w:val="none"/>
                <w14:textFill>
                  <w14:solidFill>
                    <w14:schemeClr w14:val="tx1"/>
                  </w14:solidFill>
                </w14:textFill>
              </w:rPr>
            </w:pPr>
          </w:p>
        </w:tc>
        <w:tc>
          <w:tcPr>
            <w:tcW w:w="744" w:type="dxa"/>
            <w:vAlign w:val="center"/>
          </w:tcPr>
          <w:p w14:paraId="460A67C0">
            <w:pPr>
              <w:ind w:left="223" w:hanging="222" w:hangingChars="106"/>
              <w:jc w:val="center"/>
              <w:rPr>
                <w:color w:val="000000" w:themeColor="text1"/>
                <w:szCs w:val="21"/>
                <w:highlight w:val="none"/>
                <w14:textFill>
                  <w14:solidFill>
                    <w14:schemeClr w14:val="tx1"/>
                  </w14:solidFill>
                </w14:textFill>
              </w:rPr>
            </w:pPr>
          </w:p>
        </w:tc>
        <w:tc>
          <w:tcPr>
            <w:tcW w:w="1167" w:type="dxa"/>
            <w:vAlign w:val="center"/>
          </w:tcPr>
          <w:p w14:paraId="49098D37">
            <w:pPr>
              <w:ind w:left="223" w:hanging="222" w:hangingChars="106"/>
              <w:jc w:val="center"/>
              <w:rPr>
                <w:color w:val="000000" w:themeColor="text1"/>
                <w:szCs w:val="21"/>
                <w:highlight w:val="none"/>
                <w14:textFill>
                  <w14:solidFill>
                    <w14:schemeClr w14:val="tx1"/>
                  </w14:solidFill>
                </w14:textFill>
              </w:rPr>
            </w:pPr>
          </w:p>
        </w:tc>
        <w:tc>
          <w:tcPr>
            <w:tcW w:w="1276" w:type="dxa"/>
            <w:vAlign w:val="center"/>
          </w:tcPr>
          <w:p w14:paraId="4ED7AA32">
            <w:pPr>
              <w:ind w:left="223" w:hanging="222" w:hangingChars="106"/>
              <w:jc w:val="center"/>
              <w:rPr>
                <w:color w:val="000000" w:themeColor="text1"/>
                <w:szCs w:val="21"/>
                <w:highlight w:val="none"/>
                <w14:textFill>
                  <w14:solidFill>
                    <w14:schemeClr w14:val="tx1"/>
                  </w14:solidFill>
                </w14:textFill>
              </w:rPr>
            </w:pPr>
          </w:p>
        </w:tc>
      </w:tr>
      <w:tr w14:paraId="723C1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12D6E8A5">
            <w:pPr>
              <w:pStyle w:val="183"/>
              <w:spacing w:line="240" w:lineRule="auto"/>
              <w:ind w:firstLine="0"/>
              <w:rPr>
                <w:color w:val="000000" w:themeColor="text1"/>
                <w:sz w:val="21"/>
                <w:szCs w:val="21"/>
                <w:highlight w:val="none"/>
                <w14:textFill>
                  <w14:solidFill>
                    <w14:schemeClr w14:val="tx1"/>
                  </w14:solidFill>
                </w14:textFill>
              </w:rPr>
            </w:pPr>
            <w:r>
              <w:rPr>
                <w:rFonts w:ascii="Times New Roman" w:hAnsi="Times New Roman" w:eastAsia="Times New Roman" w:cs="Times New Roman"/>
                <w:color w:val="000000" w:themeColor="text1"/>
                <w:sz w:val="21"/>
                <w:szCs w:val="21"/>
                <w:highlight w:val="none"/>
                <w:lang w:val="en-US" w:bidi="en-US"/>
                <w14:textFill>
                  <w14:solidFill>
                    <w14:schemeClr w14:val="tx1"/>
                  </w14:solidFill>
                </w14:textFill>
              </w:rPr>
              <w:t>2.</w:t>
            </w:r>
            <w:r>
              <w:rPr>
                <w:color w:val="000000" w:themeColor="text1"/>
                <w:sz w:val="21"/>
                <w:szCs w:val="21"/>
                <w:highlight w:val="none"/>
                <w14:textFill>
                  <w14:solidFill>
                    <w14:schemeClr w14:val="tx1"/>
                  </w14:solidFill>
                </w14:textFill>
              </w:rPr>
              <w:t>技术负责人</w:t>
            </w:r>
            <w:r>
              <w:rPr>
                <w:rFonts w:hint="eastAsia"/>
                <w:color w:val="000000" w:themeColor="text1"/>
                <w:sz w:val="21"/>
                <w:szCs w:val="21"/>
                <w:highlight w:val="none"/>
                <w14:textFill>
                  <w14:solidFill>
                    <w14:schemeClr w14:val="tx1"/>
                  </w14:solidFill>
                </w14:textFill>
              </w:rPr>
              <w:t>（项目总工）</w:t>
            </w:r>
          </w:p>
        </w:tc>
        <w:tc>
          <w:tcPr>
            <w:tcW w:w="670" w:type="dxa"/>
            <w:vAlign w:val="center"/>
          </w:tcPr>
          <w:p w14:paraId="71AAA064">
            <w:pPr>
              <w:ind w:left="223" w:hanging="222" w:hangingChars="106"/>
              <w:jc w:val="center"/>
              <w:rPr>
                <w:color w:val="000000" w:themeColor="text1"/>
                <w:szCs w:val="21"/>
                <w:highlight w:val="none"/>
                <w14:textFill>
                  <w14:solidFill>
                    <w14:schemeClr w14:val="tx1"/>
                  </w14:solidFill>
                </w14:textFill>
              </w:rPr>
            </w:pPr>
          </w:p>
        </w:tc>
        <w:tc>
          <w:tcPr>
            <w:tcW w:w="829" w:type="dxa"/>
            <w:vAlign w:val="center"/>
          </w:tcPr>
          <w:p w14:paraId="1BD5CD14">
            <w:pPr>
              <w:ind w:left="223" w:hanging="222" w:hangingChars="106"/>
              <w:jc w:val="center"/>
              <w:rPr>
                <w:color w:val="000000" w:themeColor="text1"/>
                <w:szCs w:val="21"/>
                <w:highlight w:val="none"/>
                <w14:textFill>
                  <w14:solidFill>
                    <w14:schemeClr w14:val="tx1"/>
                  </w14:solidFill>
                </w14:textFill>
              </w:rPr>
            </w:pPr>
          </w:p>
        </w:tc>
        <w:tc>
          <w:tcPr>
            <w:tcW w:w="816" w:type="dxa"/>
            <w:vAlign w:val="center"/>
          </w:tcPr>
          <w:p w14:paraId="00E0EC98">
            <w:pPr>
              <w:ind w:left="223" w:hanging="222" w:hangingChars="106"/>
              <w:jc w:val="center"/>
              <w:rPr>
                <w:color w:val="000000" w:themeColor="text1"/>
                <w:szCs w:val="21"/>
                <w:highlight w:val="none"/>
                <w14:textFill>
                  <w14:solidFill>
                    <w14:schemeClr w14:val="tx1"/>
                  </w14:solidFill>
                </w14:textFill>
              </w:rPr>
            </w:pPr>
          </w:p>
        </w:tc>
        <w:tc>
          <w:tcPr>
            <w:tcW w:w="1148" w:type="dxa"/>
            <w:vAlign w:val="center"/>
          </w:tcPr>
          <w:p w14:paraId="6716F7BE">
            <w:pPr>
              <w:ind w:left="223" w:hanging="222" w:hangingChars="106"/>
              <w:jc w:val="center"/>
              <w:rPr>
                <w:color w:val="000000" w:themeColor="text1"/>
                <w:szCs w:val="21"/>
                <w:highlight w:val="none"/>
                <w14:textFill>
                  <w14:solidFill>
                    <w14:schemeClr w14:val="tx1"/>
                  </w14:solidFill>
                </w14:textFill>
              </w:rPr>
            </w:pPr>
          </w:p>
        </w:tc>
        <w:tc>
          <w:tcPr>
            <w:tcW w:w="1148" w:type="dxa"/>
            <w:vAlign w:val="center"/>
          </w:tcPr>
          <w:p w14:paraId="76065527">
            <w:pPr>
              <w:ind w:left="223" w:hanging="222" w:hangingChars="106"/>
              <w:jc w:val="center"/>
              <w:rPr>
                <w:color w:val="000000" w:themeColor="text1"/>
                <w:szCs w:val="21"/>
                <w:highlight w:val="none"/>
                <w14:textFill>
                  <w14:solidFill>
                    <w14:schemeClr w14:val="tx1"/>
                  </w14:solidFill>
                </w14:textFill>
              </w:rPr>
            </w:pPr>
          </w:p>
        </w:tc>
        <w:tc>
          <w:tcPr>
            <w:tcW w:w="1148" w:type="dxa"/>
            <w:vAlign w:val="center"/>
          </w:tcPr>
          <w:p w14:paraId="0ED5605B">
            <w:pPr>
              <w:ind w:left="223" w:hanging="222" w:hangingChars="106"/>
              <w:jc w:val="center"/>
              <w:rPr>
                <w:color w:val="000000" w:themeColor="text1"/>
                <w:szCs w:val="21"/>
                <w:highlight w:val="none"/>
                <w14:textFill>
                  <w14:solidFill>
                    <w14:schemeClr w14:val="tx1"/>
                  </w14:solidFill>
                </w14:textFill>
              </w:rPr>
            </w:pPr>
          </w:p>
        </w:tc>
        <w:tc>
          <w:tcPr>
            <w:tcW w:w="744" w:type="dxa"/>
            <w:vAlign w:val="center"/>
          </w:tcPr>
          <w:p w14:paraId="6D6C6F14">
            <w:pPr>
              <w:ind w:left="223" w:hanging="222" w:hangingChars="106"/>
              <w:jc w:val="center"/>
              <w:rPr>
                <w:color w:val="000000" w:themeColor="text1"/>
                <w:szCs w:val="21"/>
                <w:highlight w:val="none"/>
                <w14:textFill>
                  <w14:solidFill>
                    <w14:schemeClr w14:val="tx1"/>
                  </w14:solidFill>
                </w14:textFill>
              </w:rPr>
            </w:pPr>
          </w:p>
        </w:tc>
        <w:tc>
          <w:tcPr>
            <w:tcW w:w="1167" w:type="dxa"/>
            <w:vAlign w:val="center"/>
          </w:tcPr>
          <w:p w14:paraId="474BDF4B">
            <w:pPr>
              <w:ind w:left="223" w:hanging="222" w:hangingChars="106"/>
              <w:jc w:val="center"/>
              <w:rPr>
                <w:color w:val="000000" w:themeColor="text1"/>
                <w:szCs w:val="21"/>
                <w:highlight w:val="none"/>
                <w14:textFill>
                  <w14:solidFill>
                    <w14:schemeClr w14:val="tx1"/>
                  </w14:solidFill>
                </w14:textFill>
              </w:rPr>
            </w:pPr>
          </w:p>
        </w:tc>
        <w:tc>
          <w:tcPr>
            <w:tcW w:w="1276" w:type="dxa"/>
            <w:vAlign w:val="center"/>
          </w:tcPr>
          <w:p w14:paraId="670D389A">
            <w:pPr>
              <w:ind w:left="223" w:hanging="222" w:hangingChars="106"/>
              <w:jc w:val="center"/>
              <w:rPr>
                <w:color w:val="000000" w:themeColor="text1"/>
                <w:szCs w:val="21"/>
                <w:highlight w:val="none"/>
                <w14:textFill>
                  <w14:solidFill>
                    <w14:schemeClr w14:val="tx1"/>
                  </w14:solidFill>
                </w14:textFill>
              </w:rPr>
            </w:pPr>
          </w:p>
        </w:tc>
      </w:tr>
      <w:tr w14:paraId="49FDB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735CE9BA">
            <w:pPr>
              <w:pStyle w:val="183"/>
              <w:spacing w:line="240" w:lineRule="auto"/>
              <w:ind w:firstLine="0"/>
              <w:rPr>
                <w:color w:val="000000" w:themeColor="text1"/>
                <w:sz w:val="21"/>
                <w:szCs w:val="21"/>
                <w:highlight w:val="none"/>
                <w14:textFill>
                  <w14:solidFill>
                    <w14:schemeClr w14:val="tx1"/>
                  </w14:solidFill>
                </w14:textFill>
              </w:rPr>
            </w:pPr>
            <w:r>
              <w:rPr>
                <w:rFonts w:ascii="Times New Roman" w:hAnsi="Times New Roman" w:eastAsia="Times New Roman" w:cs="Times New Roman"/>
                <w:color w:val="000000" w:themeColor="text1"/>
                <w:sz w:val="21"/>
                <w:szCs w:val="21"/>
                <w:highlight w:val="none"/>
                <w:lang w:val="en-US" w:eastAsia="en-US" w:bidi="en-US"/>
                <w14:textFill>
                  <w14:solidFill>
                    <w14:schemeClr w14:val="tx1"/>
                  </w14:solidFill>
                </w14:textFill>
              </w:rPr>
              <w:t>3.</w:t>
            </w:r>
            <w:r>
              <w:rPr>
                <w:rFonts w:hint="eastAsia"/>
                <w:color w:val="000000" w:themeColor="text1"/>
                <w:sz w:val="21"/>
                <w:szCs w:val="21"/>
                <w:highlight w:val="none"/>
                <w14:textFill>
                  <w14:solidFill>
                    <w14:schemeClr w14:val="tx1"/>
                  </w14:solidFill>
                </w14:textFill>
              </w:rPr>
              <w:t xml:space="preserve"> 施工员</w:t>
            </w:r>
          </w:p>
        </w:tc>
        <w:tc>
          <w:tcPr>
            <w:tcW w:w="670" w:type="dxa"/>
            <w:vAlign w:val="center"/>
          </w:tcPr>
          <w:p w14:paraId="0321EE32">
            <w:pPr>
              <w:ind w:left="223" w:hanging="222" w:hangingChars="106"/>
              <w:jc w:val="center"/>
              <w:rPr>
                <w:color w:val="000000" w:themeColor="text1"/>
                <w:szCs w:val="21"/>
                <w:highlight w:val="none"/>
                <w14:textFill>
                  <w14:solidFill>
                    <w14:schemeClr w14:val="tx1"/>
                  </w14:solidFill>
                </w14:textFill>
              </w:rPr>
            </w:pPr>
          </w:p>
        </w:tc>
        <w:tc>
          <w:tcPr>
            <w:tcW w:w="829" w:type="dxa"/>
            <w:vAlign w:val="center"/>
          </w:tcPr>
          <w:p w14:paraId="7579EBD9">
            <w:pPr>
              <w:ind w:left="223" w:hanging="222" w:hangingChars="106"/>
              <w:jc w:val="center"/>
              <w:rPr>
                <w:color w:val="000000" w:themeColor="text1"/>
                <w:szCs w:val="21"/>
                <w:highlight w:val="none"/>
                <w14:textFill>
                  <w14:solidFill>
                    <w14:schemeClr w14:val="tx1"/>
                  </w14:solidFill>
                </w14:textFill>
              </w:rPr>
            </w:pPr>
          </w:p>
        </w:tc>
        <w:tc>
          <w:tcPr>
            <w:tcW w:w="816" w:type="dxa"/>
            <w:vAlign w:val="center"/>
          </w:tcPr>
          <w:p w14:paraId="701E3230">
            <w:pPr>
              <w:ind w:left="223" w:hanging="222" w:hangingChars="106"/>
              <w:jc w:val="center"/>
              <w:rPr>
                <w:color w:val="000000" w:themeColor="text1"/>
                <w:szCs w:val="21"/>
                <w:highlight w:val="none"/>
                <w14:textFill>
                  <w14:solidFill>
                    <w14:schemeClr w14:val="tx1"/>
                  </w14:solidFill>
                </w14:textFill>
              </w:rPr>
            </w:pPr>
          </w:p>
        </w:tc>
        <w:tc>
          <w:tcPr>
            <w:tcW w:w="1148" w:type="dxa"/>
            <w:vAlign w:val="center"/>
          </w:tcPr>
          <w:p w14:paraId="13DDD106">
            <w:pPr>
              <w:ind w:left="223" w:hanging="222" w:hangingChars="106"/>
              <w:jc w:val="center"/>
              <w:rPr>
                <w:color w:val="000000" w:themeColor="text1"/>
                <w:szCs w:val="21"/>
                <w:highlight w:val="none"/>
                <w14:textFill>
                  <w14:solidFill>
                    <w14:schemeClr w14:val="tx1"/>
                  </w14:solidFill>
                </w14:textFill>
              </w:rPr>
            </w:pPr>
          </w:p>
        </w:tc>
        <w:tc>
          <w:tcPr>
            <w:tcW w:w="1148" w:type="dxa"/>
            <w:vAlign w:val="center"/>
          </w:tcPr>
          <w:p w14:paraId="23AF8D55">
            <w:pPr>
              <w:ind w:left="223" w:hanging="222" w:hangingChars="106"/>
              <w:jc w:val="center"/>
              <w:rPr>
                <w:color w:val="000000" w:themeColor="text1"/>
                <w:szCs w:val="21"/>
                <w:highlight w:val="none"/>
                <w14:textFill>
                  <w14:solidFill>
                    <w14:schemeClr w14:val="tx1"/>
                  </w14:solidFill>
                </w14:textFill>
              </w:rPr>
            </w:pPr>
          </w:p>
        </w:tc>
        <w:tc>
          <w:tcPr>
            <w:tcW w:w="1148" w:type="dxa"/>
            <w:vAlign w:val="center"/>
          </w:tcPr>
          <w:p w14:paraId="53DC3B5D">
            <w:pPr>
              <w:ind w:left="223" w:hanging="222" w:hangingChars="106"/>
              <w:jc w:val="center"/>
              <w:rPr>
                <w:color w:val="000000" w:themeColor="text1"/>
                <w:szCs w:val="21"/>
                <w:highlight w:val="none"/>
                <w14:textFill>
                  <w14:solidFill>
                    <w14:schemeClr w14:val="tx1"/>
                  </w14:solidFill>
                </w14:textFill>
              </w:rPr>
            </w:pPr>
          </w:p>
        </w:tc>
        <w:tc>
          <w:tcPr>
            <w:tcW w:w="744" w:type="dxa"/>
            <w:vAlign w:val="center"/>
          </w:tcPr>
          <w:p w14:paraId="61E1EA34">
            <w:pPr>
              <w:ind w:left="223" w:hanging="222" w:hangingChars="106"/>
              <w:jc w:val="center"/>
              <w:rPr>
                <w:color w:val="000000" w:themeColor="text1"/>
                <w:szCs w:val="21"/>
                <w:highlight w:val="none"/>
                <w14:textFill>
                  <w14:solidFill>
                    <w14:schemeClr w14:val="tx1"/>
                  </w14:solidFill>
                </w14:textFill>
              </w:rPr>
            </w:pPr>
          </w:p>
        </w:tc>
        <w:tc>
          <w:tcPr>
            <w:tcW w:w="1167" w:type="dxa"/>
            <w:vAlign w:val="center"/>
          </w:tcPr>
          <w:p w14:paraId="50998631">
            <w:pPr>
              <w:ind w:left="223" w:hanging="222" w:hangingChars="106"/>
              <w:jc w:val="center"/>
              <w:rPr>
                <w:color w:val="000000" w:themeColor="text1"/>
                <w:szCs w:val="21"/>
                <w:highlight w:val="none"/>
                <w14:textFill>
                  <w14:solidFill>
                    <w14:schemeClr w14:val="tx1"/>
                  </w14:solidFill>
                </w14:textFill>
              </w:rPr>
            </w:pPr>
          </w:p>
        </w:tc>
        <w:tc>
          <w:tcPr>
            <w:tcW w:w="1276" w:type="dxa"/>
            <w:vAlign w:val="center"/>
          </w:tcPr>
          <w:p w14:paraId="5FE9EFAF">
            <w:pPr>
              <w:ind w:left="223" w:hanging="222" w:hangingChars="106"/>
              <w:jc w:val="center"/>
              <w:rPr>
                <w:color w:val="000000" w:themeColor="text1"/>
                <w:szCs w:val="21"/>
                <w:highlight w:val="none"/>
                <w14:textFill>
                  <w14:solidFill>
                    <w14:schemeClr w14:val="tx1"/>
                  </w14:solidFill>
                </w14:textFill>
              </w:rPr>
            </w:pPr>
          </w:p>
        </w:tc>
      </w:tr>
      <w:tr w14:paraId="269F4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3122B447">
            <w:pPr>
              <w:pStyle w:val="183"/>
              <w:spacing w:line="240" w:lineRule="auto"/>
              <w:ind w:firstLine="0"/>
              <w:rPr>
                <w:color w:val="000000" w:themeColor="text1"/>
                <w:sz w:val="21"/>
                <w:szCs w:val="21"/>
                <w:highlight w:val="none"/>
                <w14:textFill>
                  <w14:solidFill>
                    <w14:schemeClr w14:val="tx1"/>
                  </w14:solidFill>
                </w14:textFill>
              </w:rPr>
            </w:pPr>
            <w:r>
              <w:rPr>
                <w:rFonts w:ascii="Times New Roman" w:hAnsi="Times New Roman" w:eastAsia="Times New Roman" w:cs="Times New Roman"/>
                <w:color w:val="000000" w:themeColor="text1"/>
                <w:sz w:val="21"/>
                <w:szCs w:val="21"/>
                <w:highlight w:val="none"/>
                <w:lang w:val="en-US" w:eastAsia="en-US" w:bidi="en-US"/>
                <w14:textFill>
                  <w14:solidFill>
                    <w14:schemeClr w14:val="tx1"/>
                  </w14:solidFill>
                </w14:textFill>
              </w:rPr>
              <w:t>4.</w:t>
            </w:r>
            <w:r>
              <w:rPr>
                <w:color w:val="000000" w:themeColor="text1"/>
                <w:sz w:val="21"/>
                <w:szCs w:val="21"/>
                <w:highlight w:val="none"/>
                <w14:textFill>
                  <w14:solidFill>
                    <w14:schemeClr w14:val="tx1"/>
                  </w14:solidFill>
                </w14:textFill>
              </w:rPr>
              <w:t>安全员</w:t>
            </w:r>
          </w:p>
        </w:tc>
        <w:tc>
          <w:tcPr>
            <w:tcW w:w="670" w:type="dxa"/>
            <w:vAlign w:val="center"/>
          </w:tcPr>
          <w:p w14:paraId="6C2A5AFA">
            <w:pPr>
              <w:ind w:left="223" w:hanging="222" w:hangingChars="106"/>
              <w:jc w:val="center"/>
              <w:rPr>
                <w:color w:val="000000" w:themeColor="text1"/>
                <w:szCs w:val="21"/>
                <w:highlight w:val="none"/>
                <w14:textFill>
                  <w14:solidFill>
                    <w14:schemeClr w14:val="tx1"/>
                  </w14:solidFill>
                </w14:textFill>
              </w:rPr>
            </w:pPr>
          </w:p>
        </w:tc>
        <w:tc>
          <w:tcPr>
            <w:tcW w:w="829" w:type="dxa"/>
            <w:vAlign w:val="center"/>
          </w:tcPr>
          <w:p w14:paraId="21831085">
            <w:pPr>
              <w:ind w:left="223" w:hanging="222" w:hangingChars="106"/>
              <w:jc w:val="center"/>
              <w:rPr>
                <w:color w:val="000000" w:themeColor="text1"/>
                <w:szCs w:val="21"/>
                <w:highlight w:val="none"/>
                <w14:textFill>
                  <w14:solidFill>
                    <w14:schemeClr w14:val="tx1"/>
                  </w14:solidFill>
                </w14:textFill>
              </w:rPr>
            </w:pPr>
          </w:p>
        </w:tc>
        <w:tc>
          <w:tcPr>
            <w:tcW w:w="816" w:type="dxa"/>
            <w:vAlign w:val="center"/>
          </w:tcPr>
          <w:p w14:paraId="31DB9A7C">
            <w:pPr>
              <w:ind w:left="223" w:hanging="222" w:hangingChars="106"/>
              <w:jc w:val="center"/>
              <w:rPr>
                <w:color w:val="000000" w:themeColor="text1"/>
                <w:szCs w:val="21"/>
                <w:highlight w:val="none"/>
                <w14:textFill>
                  <w14:solidFill>
                    <w14:schemeClr w14:val="tx1"/>
                  </w14:solidFill>
                </w14:textFill>
              </w:rPr>
            </w:pPr>
          </w:p>
        </w:tc>
        <w:tc>
          <w:tcPr>
            <w:tcW w:w="1148" w:type="dxa"/>
            <w:vAlign w:val="center"/>
          </w:tcPr>
          <w:p w14:paraId="26AD3017">
            <w:pPr>
              <w:ind w:left="223" w:hanging="222" w:hangingChars="106"/>
              <w:jc w:val="center"/>
              <w:rPr>
                <w:color w:val="000000" w:themeColor="text1"/>
                <w:szCs w:val="21"/>
                <w:highlight w:val="none"/>
                <w14:textFill>
                  <w14:solidFill>
                    <w14:schemeClr w14:val="tx1"/>
                  </w14:solidFill>
                </w14:textFill>
              </w:rPr>
            </w:pPr>
          </w:p>
        </w:tc>
        <w:tc>
          <w:tcPr>
            <w:tcW w:w="1148" w:type="dxa"/>
            <w:vAlign w:val="center"/>
          </w:tcPr>
          <w:p w14:paraId="59958EDB">
            <w:pPr>
              <w:ind w:left="223" w:hanging="222" w:hangingChars="106"/>
              <w:jc w:val="center"/>
              <w:rPr>
                <w:color w:val="000000" w:themeColor="text1"/>
                <w:szCs w:val="21"/>
                <w:highlight w:val="none"/>
                <w14:textFill>
                  <w14:solidFill>
                    <w14:schemeClr w14:val="tx1"/>
                  </w14:solidFill>
                </w14:textFill>
              </w:rPr>
            </w:pPr>
          </w:p>
        </w:tc>
        <w:tc>
          <w:tcPr>
            <w:tcW w:w="1148" w:type="dxa"/>
            <w:vAlign w:val="center"/>
          </w:tcPr>
          <w:p w14:paraId="3C8D742C">
            <w:pPr>
              <w:ind w:left="223" w:hanging="222" w:hangingChars="106"/>
              <w:jc w:val="center"/>
              <w:rPr>
                <w:color w:val="000000" w:themeColor="text1"/>
                <w:szCs w:val="21"/>
                <w:highlight w:val="none"/>
                <w14:textFill>
                  <w14:solidFill>
                    <w14:schemeClr w14:val="tx1"/>
                  </w14:solidFill>
                </w14:textFill>
              </w:rPr>
            </w:pPr>
          </w:p>
        </w:tc>
        <w:tc>
          <w:tcPr>
            <w:tcW w:w="744" w:type="dxa"/>
            <w:vAlign w:val="center"/>
          </w:tcPr>
          <w:p w14:paraId="3754C47E">
            <w:pPr>
              <w:ind w:left="223" w:hanging="222" w:hangingChars="106"/>
              <w:jc w:val="center"/>
              <w:rPr>
                <w:color w:val="000000" w:themeColor="text1"/>
                <w:szCs w:val="21"/>
                <w:highlight w:val="none"/>
                <w14:textFill>
                  <w14:solidFill>
                    <w14:schemeClr w14:val="tx1"/>
                  </w14:solidFill>
                </w14:textFill>
              </w:rPr>
            </w:pPr>
          </w:p>
        </w:tc>
        <w:tc>
          <w:tcPr>
            <w:tcW w:w="1167" w:type="dxa"/>
            <w:vAlign w:val="center"/>
          </w:tcPr>
          <w:p w14:paraId="3D85EFC2">
            <w:pPr>
              <w:ind w:left="223" w:hanging="222" w:hangingChars="106"/>
              <w:jc w:val="center"/>
              <w:rPr>
                <w:color w:val="000000" w:themeColor="text1"/>
                <w:szCs w:val="21"/>
                <w:highlight w:val="none"/>
                <w14:textFill>
                  <w14:solidFill>
                    <w14:schemeClr w14:val="tx1"/>
                  </w14:solidFill>
                </w14:textFill>
              </w:rPr>
            </w:pPr>
          </w:p>
        </w:tc>
        <w:tc>
          <w:tcPr>
            <w:tcW w:w="1276" w:type="dxa"/>
            <w:vAlign w:val="center"/>
          </w:tcPr>
          <w:p w14:paraId="0C3CF46C">
            <w:pPr>
              <w:ind w:left="223" w:hanging="222" w:hangingChars="106"/>
              <w:jc w:val="center"/>
              <w:rPr>
                <w:color w:val="000000" w:themeColor="text1"/>
                <w:szCs w:val="21"/>
                <w:highlight w:val="none"/>
                <w14:textFill>
                  <w14:solidFill>
                    <w14:schemeClr w14:val="tx1"/>
                  </w14:solidFill>
                </w14:textFill>
              </w:rPr>
            </w:pPr>
          </w:p>
        </w:tc>
      </w:tr>
      <w:tr w14:paraId="4B12B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04DA0BF6">
            <w:pPr>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w:t>
            </w:r>
            <w:r>
              <w:rPr>
                <w:color w:val="000000" w:themeColor="text1"/>
                <w:szCs w:val="21"/>
                <w:highlight w:val="none"/>
                <w14:textFill>
                  <w14:solidFill>
                    <w14:schemeClr w14:val="tx1"/>
                  </w14:solidFill>
                </w14:textFill>
              </w:rPr>
              <w:t xml:space="preserve"> 质量员</w:t>
            </w:r>
          </w:p>
        </w:tc>
        <w:tc>
          <w:tcPr>
            <w:tcW w:w="670" w:type="dxa"/>
            <w:vAlign w:val="center"/>
          </w:tcPr>
          <w:p w14:paraId="503AA978">
            <w:pPr>
              <w:ind w:left="223" w:hanging="222" w:hangingChars="106"/>
              <w:jc w:val="center"/>
              <w:rPr>
                <w:color w:val="000000" w:themeColor="text1"/>
                <w:szCs w:val="21"/>
                <w:highlight w:val="none"/>
                <w14:textFill>
                  <w14:solidFill>
                    <w14:schemeClr w14:val="tx1"/>
                  </w14:solidFill>
                </w14:textFill>
              </w:rPr>
            </w:pPr>
          </w:p>
        </w:tc>
        <w:tc>
          <w:tcPr>
            <w:tcW w:w="829" w:type="dxa"/>
            <w:vAlign w:val="center"/>
          </w:tcPr>
          <w:p w14:paraId="379BBE08">
            <w:pPr>
              <w:ind w:left="223" w:hanging="222" w:hangingChars="106"/>
              <w:jc w:val="center"/>
              <w:rPr>
                <w:color w:val="000000" w:themeColor="text1"/>
                <w:szCs w:val="21"/>
                <w:highlight w:val="none"/>
                <w14:textFill>
                  <w14:solidFill>
                    <w14:schemeClr w14:val="tx1"/>
                  </w14:solidFill>
                </w14:textFill>
              </w:rPr>
            </w:pPr>
          </w:p>
        </w:tc>
        <w:tc>
          <w:tcPr>
            <w:tcW w:w="816" w:type="dxa"/>
            <w:vAlign w:val="center"/>
          </w:tcPr>
          <w:p w14:paraId="1FA30998">
            <w:pPr>
              <w:ind w:left="223" w:hanging="222" w:hangingChars="106"/>
              <w:jc w:val="center"/>
              <w:rPr>
                <w:color w:val="000000" w:themeColor="text1"/>
                <w:szCs w:val="21"/>
                <w:highlight w:val="none"/>
                <w14:textFill>
                  <w14:solidFill>
                    <w14:schemeClr w14:val="tx1"/>
                  </w14:solidFill>
                </w14:textFill>
              </w:rPr>
            </w:pPr>
          </w:p>
        </w:tc>
        <w:tc>
          <w:tcPr>
            <w:tcW w:w="1148" w:type="dxa"/>
            <w:vAlign w:val="center"/>
          </w:tcPr>
          <w:p w14:paraId="32C3583A">
            <w:pPr>
              <w:ind w:left="223" w:hanging="222" w:hangingChars="106"/>
              <w:jc w:val="center"/>
              <w:rPr>
                <w:color w:val="000000" w:themeColor="text1"/>
                <w:szCs w:val="21"/>
                <w:highlight w:val="none"/>
                <w14:textFill>
                  <w14:solidFill>
                    <w14:schemeClr w14:val="tx1"/>
                  </w14:solidFill>
                </w14:textFill>
              </w:rPr>
            </w:pPr>
          </w:p>
        </w:tc>
        <w:tc>
          <w:tcPr>
            <w:tcW w:w="1148" w:type="dxa"/>
            <w:vAlign w:val="center"/>
          </w:tcPr>
          <w:p w14:paraId="35269DD7">
            <w:pPr>
              <w:ind w:left="223" w:hanging="222" w:hangingChars="106"/>
              <w:jc w:val="center"/>
              <w:rPr>
                <w:color w:val="000000" w:themeColor="text1"/>
                <w:szCs w:val="21"/>
                <w:highlight w:val="none"/>
                <w14:textFill>
                  <w14:solidFill>
                    <w14:schemeClr w14:val="tx1"/>
                  </w14:solidFill>
                </w14:textFill>
              </w:rPr>
            </w:pPr>
          </w:p>
        </w:tc>
        <w:tc>
          <w:tcPr>
            <w:tcW w:w="1148" w:type="dxa"/>
            <w:vAlign w:val="center"/>
          </w:tcPr>
          <w:p w14:paraId="19D85632">
            <w:pPr>
              <w:ind w:left="223" w:hanging="222" w:hangingChars="106"/>
              <w:jc w:val="center"/>
              <w:rPr>
                <w:color w:val="000000" w:themeColor="text1"/>
                <w:szCs w:val="21"/>
                <w:highlight w:val="none"/>
                <w14:textFill>
                  <w14:solidFill>
                    <w14:schemeClr w14:val="tx1"/>
                  </w14:solidFill>
                </w14:textFill>
              </w:rPr>
            </w:pPr>
          </w:p>
        </w:tc>
        <w:tc>
          <w:tcPr>
            <w:tcW w:w="744" w:type="dxa"/>
            <w:vAlign w:val="center"/>
          </w:tcPr>
          <w:p w14:paraId="7E5487FF">
            <w:pPr>
              <w:ind w:left="223" w:hanging="222" w:hangingChars="106"/>
              <w:jc w:val="center"/>
              <w:rPr>
                <w:color w:val="000000" w:themeColor="text1"/>
                <w:szCs w:val="21"/>
                <w:highlight w:val="none"/>
                <w14:textFill>
                  <w14:solidFill>
                    <w14:schemeClr w14:val="tx1"/>
                  </w14:solidFill>
                </w14:textFill>
              </w:rPr>
            </w:pPr>
          </w:p>
        </w:tc>
        <w:tc>
          <w:tcPr>
            <w:tcW w:w="1167" w:type="dxa"/>
            <w:vAlign w:val="center"/>
          </w:tcPr>
          <w:p w14:paraId="65CE3CA0">
            <w:pPr>
              <w:ind w:left="223" w:hanging="222" w:hangingChars="106"/>
              <w:jc w:val="center"/>
              <w:rPr>
                <w:color w:val="000000" w:themeColor="text1"/>
                <w:szCs w:val="21"/>
                <w:highlight w:val="none"/>
                <w14:textFill>
                  <w14:solidFill>
                    <w14:schemeClr w14:val="tx1"/>
                  </w14:solidFill>
                </w14:textFill>
              </w:rPr>
            </w:pPr>
          </w:p>
        </w:tc>
        <w:tc>
          <w:tcPr>
            <w:tcW w:w="1276" w:type="dxa"/>
            <w:vAlign w:val="center"/>
          </w:tcPr>
          <w:p w14:paraId="3A772242">
            <w:pPr>
              <w:ind w:left="223" w:hanging="222" w:hangingChars="106"/>
              <w:jc w:val="center"/>
              <w:rPr>
                <w:color w:val="000000" w:themeColor="text1"/>
                <w:szCs w:val="21"/>
                <w:highlight w:val="none"/>
                <w14:textFill>
                  <w14:solidFill>
                    <w14:schemeClr w14:val="tx1"/>
                  </w14:solidFill>
                </w14:textFill>
              </w:rPr>
            </w:pPr>
          </w:p>
        </w:tc>
      </w:tr>
      <w:tr w14:paraId="675A9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3BDB118C">
            <w:pPr>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6.材料员</w:t>
            </w:r>
          </w:p>
        </w:tc>
        <w:tc>
          <w:tcPr>
            <w:tcW w:w="670" w:type="dxa"/>
            <w:vAlign w:val="center"/>
          </w:tcPr>
          <w:p w14:paraId="27A85A8A">
            <w:pPr>
              <w:ind w:left="223" w:hanging="222" w:hangingChars="106"/>
              <w:jc w:val="center"/>
              <w:rPr>
                <w:color w:val="000000" w:themeColor="text1"/>
                <w:szCs w:val="21"/>
                <w:highlight w:val="none"/>
                <w14:textFill>
                  <w14:solidFill>
                    <w14:schemeClr w14:val="tx1"/>
                  </w14:solidFill>
                </w14:textFill>
              </w:rPr>
            </w:pPr>
          </w:p>
        </w:tc>
        <w:tc>
          <w:tcPr>
            <w:tcW w:w="829" w:type="dxa"/>
            <w:vAlign w:val="center"/>
          </w:tcPr>
          <w:p w14:paraId="2B29A270">
            <w:pPr>
              <w:ind w:left="223" w:hanging="222" w:hangingChars="106"/>
              <w:jc w:val="center"/>
              <w:rPr>
                <w:color w:val="000000" w:themeColor="text1"/>
                <w:szCs w:val="21"/>
                <w:highlight w:val="none"/>
                <w14:textFill>
                  <w14:solidFill>
                    <w14:schemeClr w14:val="tx1"/>
                  </w14:solidFill>
                </w14:textFill>
              </w:rPr>
            </w:pPr>
          </w:p>
        </w:tc>
        <w:tc>
          <w:tcPr>
            <w:tcW w:w="816" w:type="dxa"/>
            <w:vAlign w:val="center"/>
          </w:tcPr>
          <w:p w14:paraId="5435BB40">
            <w:pPr>
              <w:ind w:left="223" w:hanging="222" w:hangingChars="106"/>
              <w:jc w:val="center"/>
              <w:rPr>
                <w:color w:val="000000" w:themeColor="text1"/>
                <w:szCs w:val="21"/>
                <w:highlight w:val="none"/>
                <w14:textFill>
                  <w14:solidFill>
                    <w14:schemeClr w14:val="tx1"/>
                  </w14:solidFill>
                </w14:textFill>
              </w:rPr>
            </w:pPr>
          </w:p>
        </w:tc>
        <w:tc>
          <w:tcPr>
            <w:tcW w:w="1148" w:type="dxa"/>
            <w:vAlign w:val="center"/>
          </w:tcPr>
          <w:p w14:paraId="42935929">
            <w:pPr>
              <w:ind w:left="223" w:hanging="222" w:hangingChars="106"/>
              <w:jc w:val="center"/>
              <w:rPr>
                <w:color w:val="000000" w:themeColor="text1"/>
                <w:szCs w:val="21"/>
                <w:highlight w:val="none"/>
                <w14:textFill>
                  <w14:solidFill>
                    <w14:schemeClr w14:val="tx1"/>
                  </w14:solidFill>
                </w14:textFill>
              </w:rPr>
            </w:pPr>
          </w:p>
        </w:tc>
        <w:tc>
          <w:tcPr>
            <w:tcW w:w="1148" w:type="dxa"/>
            <w:vAlign w:val="center"/>
          </w:tcPr>
          <w:p w14:paraId="43392BF1">
            <w:pPr>
              <w:ind w:left="223" w:hanging="222" w:hangingChars="106"/>
              <w:jc w:val="center"/>
              <w:rPr>
                <w:color w:val="000000" w:themeColor="text1"/>
                <w:szCs w:val="21"/>
                <w:highlight w:val="none"/>
                <w14:textFill>
                  <w14:solidFill>
                    <w14:schemeClr w14:val="tx1"/>
                  </w14:solidFill>
                </w14:textFill>
              </w:rPr>
            </w:pPr>
          </w:p>
        </w:tc>
        <w:tc>
          <w:tcPr>
            <w:tcW w:w="1148" w:type="dxa"/>
            <w:vAlign w:val="center"/>
          </w:tcPr>
          <w:p w14:paraId="186F1D0F">
            <w:pPr>
              <w:ind w:left="223" w:hanging="222" w:hangingChars="106"/>
              <w:jc w:val="center"/>
              <w:rPr>
                <w:color w:val="000000" w:themeColor="text1"/>
                <w:szCs w:val="21"/>
                <w:highlight w:val="none"/>
                <w14:textFill>
                  <w14:solidFill>
                    <w14:schemeClr w14:val="tx1"/>
                  </w14:solidFill>
                </w14:textFill>
              </w:rPr>
            </w:pPr>
          </w:p>
        </w:tc>
        <w:tc>
          <w:tcPr>
            <w:tcW w:w="744" w:type="dxa"/>
            <w:vAlign w:val="center"/>
          </w:tcPr>
          <w:p w14:paraId="5C1F3C74">
            <w:pPr>
              <w:ind w:left="223" w:hanging="222" w:hangingChars="106"/>
              <w:jc w:val="center"/>
              <w:rPr>
                <w:color w:val="000000" w:themeColor="text1"/>
                <w:szCs w:val="21"/>
                <w:highlight w:val="none"/>
                <w14:textFill>
                  <w14:solidFill>
                    <w14:schemeClr w14:val="tx1"/>
                  </w14:solidFill>
                </w14:textFill>
              </w:rPr>
            </w:pPr>
          </w:p>
        </w:tc>
        <w:tc>
          <w:tcPr>
            <w:tcW w:w="1167" w:type="dxa"/>
            <w:vAlign w:val="center"/>
          </w:tcPr>
          <w:p w14:paraId="0DFA87AA">
            <w:pPr>
              <w:ind w:left="223" w:hanging="222" w:hangingChars="106"/>
              <w:jc w:val="center"/>
              <w:rPr>
                <w:color w:val="000000" w:themeColor="text1"/>
                <w:szCs w:val="21"/>
                <w:highlight w:val="none"/>
                <w14:textFill>
                  <w14:solidFill>
                    <w14:schemeClr w14:val="tx1"/>
                  </w14:solidFill>
                </w14:textFill>
              </w:rPr>
            </w:pPr>
          </w:p>
        </w:tc>
        <w:tc>
          <w:tcPr>
            <w:tcW w:w="1276" w:type="dxa"/>
            <w:vAlign w:val="center"/>
          </w:tcPr>
          <w:p w14:paraId="6DFE6F88">
            <w:pPr>
              <w:ind w:left="223" w:hanging="222" w:hangingChars="106"/>
              <w:jc w:val="center"/>
              <w:rPr>
                <w:color w:val="000000" w:themeColor="text1"/>
                <w:szCs w:val="21"/>
                <w:highlight w:val="none"/>
                <w14:textFill>
                  <w14:solidFill>
                    <w14:schemeClr w14:val="tx1"/>
                  </w14:solidFill>
                </w14:textFill>
              </w:rPr>
            </w:pPr>
          </w:p>
        </w:tc>
      </w:tr>
      <w:tr w14:paraId="311DB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7CAFECEC">
            <w:pPr>
              <w:ind w:left="223" w:hanging="222" w:hangingChars="106"/>
              <w:jc w:val="center"/>
              <w:rPr>
                <w:color w:val="000000" w:themeColor="text1"/>
                <w:szCs w:val="21"/>
                <w:highlight w:val="none"/>
                <w14:textFill>
                  <w14:solidFill>
                    <w14:schemeClr w14:val="tx1"/>
                  </w14:solidFill>
                </w14:textFill>
              </w:rPr>
            </w:pPr>
          </w:p>
        </w:tc>
        <w:tc>
          <w:tcPr>
            <w:tcW w:w="670" w:type="dxa"/>
            <w:vAlign w:val="center"/>
          </w:tcPr>
          <w:p w14:paraId="6116C7AB">
            <w:pPr>
              <w:ind w:left="223" w:hanging="222" w:hangingChars="106"/>
              <w:jc w:val="center"/>
              <w:rPr>
                <w:color w:val="000000" w:themeColor="text1"/>
                <w:szCs w:val="21"/>
                <w:highlight w:val="none"/>
                <w14:textFill>
                  <w14:solidFill>
                    <w14:schemeClr w14:val="tx1"/>
                  </w14:solidFill>
                </w14:textFill>
              </w:rPr>
            </w:pPr>
          </w:p>
        </w:tc>
        <w:tc>
          <w:tcPr>
            <w:tcW w:w="829" w:type="dxa"/>
            <w:vAlign w:val="center"/>
          </w:tcPr>
          <w:p w14:paraId="60F7FE04">
            <w:pPr>
              <w:ind w:left="223" w:hanging="222" w:hangingChars="106"/>
              <w:jc w:val="center"/>
              <w:rPr>
                <w:color w:val="000000" w:themeColor="text1"/>
                <w:szCs w:val="21"/>
                <w:highlight w:val="none"/>
                <w14:textFill>
                  <w14:solidFill>
                    <w14:schemeClr w14:val="tx1"/>
                  </w14:solidFill>
                </w14:textFill>
              </w:rPr>
            </w:pPr>
          </w:p>
        </w:tc>
        <w:tc>
          <w:tcPr>
            <w:tcW w:w="816" w:type="dxa"/>
            <w:vAlign w:val="center"/>
          </w:tcPr>
          <w:p w14:paraId="397DF857">
            <w:pPr>
              <w:ind w:left="223" w:hanging="222" w:hangingChars="106"/>
              <w:jc w:val="center"/>
              <w:rPr>
                <w:color w:val="000000" w:themeColor="text1"/>
                <w:szCs w:val="21"/>
                <w:highlight w:val="none"/>
                <w14:textFill>
                  <w14:solidFill>
                    <w14:schemeClr w14:val="tx1"/>
                  </w14:solidFill>
                </w14:textFill>
              </w:rPr>
            </w:pPr>
          </w:p>
        </w:tc>
        <w:tc>
          <w:tcPr>
            <w:tcW w:w="1148" w:type="dxa"/>
            <w:vAlign w:val="center"/>
          </w:tcPr>
          <w:p w14:paraId="79DC1B3C">
            <w:pPr>
              <w:ind w:left="223" w:hanging="222" w:hangingChars="106"/>
              <w:jc w:val="center"/>
              <w:rPr>
                <w:color w:val="000000" w:themeColor="text1"/>
                <w:szCs w:val="21"/>
                <w:highlight w:val="none"/>
                <w14:textFill>
                  <w14:solidFill>
                    <w14:schemeClr w14:val="tx1"/>
                  </w14:solidFill>
                </w14:textFill>
              </w:rPr>
            </w:pPr>
          </w:p>
        </w:tc>
        <w:tc>
          <w:tcPr>
            <w:tcW w:w="1148" w:type="dxa"/>
            <w:vAlign w:val="center"/>
          </w:tcPr>
          <w:p w14:paraId="583F5039">
            <w:pPr>
              <w:ind w:left="223" w:hanging="222" w:hangingChars="106"/>
              <w:jc w:val="center"/>
              <w:rPr>
                <w:color w:val="000000" w:themeColor="text1"/>
                <w:szCs w:val="21"/>
                <w:highlight w:val="none"/>
                <w14:textFill>
                  <w14:solidFill>
                    <w14:schemeClr w14:val="tx1"/>
                  </w14:solidFill>
                </w14:textFill>
              </w:rPr>
            </w:pPr>
          </w:p>
        </w:tc>
        <w:tc>
          <w:tcPr>
            <w:tcW w:w="1148" w:type="dxa"/>
            <w:vAlign w:val="center"/>
          </w:tcPr>
          <w:p w14:paraId="1B9CCB8B">
            <w:pPr>
              <w:ind w:left="223" w:hanging="222" w:hangingChars="106"/>
              <w:jc w:val="center"/>
              <w:rPr>
                <w:color w:val="000000" w:themeColor="text1"/>
                <w:szCs w:val="21"/>
                <w:highlight w:val="none"/>
                <w14:textFill>
                  <w14:solidFill>
                    <w14:schemeClr w14:val="tx1"/>
                  </w14:solidFill>
                </w14:textFill>
              </w:rPr>
            </w:pPr>
          </w:p>
        </w:tc>
        <w:tc>
          <w:tcPr>
            <w:tcW w:w="744" w:type="dxa"/>
            <w:vAlign w:val="center"/>
          </w:tcPr>
          <w:p w14:paraId="15D4AA70">
            <w:pPr>
              <w:ind w:left="223" w:hanging="222" w:hangingChars="106"/>
              <w:jc w:val="center"/>
              <w:rPr>
                <w:color w:val="000000" w:themeColor="text1"/>
                <w:szCs w:val="21"/>
                <w:highlight w:val="none"/>
                <w14:textFill>
                  <w14:solidFill>
                    <w14:schemeClr w14:val="tx1"/>
                  </w14:solidFill>
                </w14:textFill>
              </w:rPr>
            </w:pPr>
          </w:p>
        </w:tc>
        <w:tc>
          <w:tcPr>
            <w:tcW w:w="1167" w:type="dxa"/>
            <w:vAlign w:val="center"/>
          </w:tcPr>
          <w:p w14:paraId="241E2BAB">
            <w:pPr>
              <w:ind w:left="223" w:hanging="222" w:hangingChars="106"/>
              <w:jc w:val="center"/>
              <w:rPr>
                <w:color w:val="000000" w:themeColor="text1"/>
                <w:szCs w:val="21"/>
                <w:highlight w:val="none"/>
                <w14:textFill>
                  <w14:solidFill>
                    <w14:schemeClr w14:val="tx1"/>
                  </w14:solidFill>
                </w14:textFill>
              </w:rPr>
            </w:pPr>
          </w:p>
        </w:tc>
        <w:tc>
          <w:tcPr>
            <w:tcW w:w="1276" w:type="dxa"/>
            <w:vAlign w:val="center"/>
          </w:tcPr>
          <w:p w14:paraId="5E48328F">
            <w:pPr>
              <w:ind w:left="223" w:hanging="222" w:hangingChars="106"/>
              <w:jc w:val="center"/>
              <w:rPr>
                <w:color w:val="000000" w:themeColor="text1"/>
                <w:szCs w:val="21"/>
                <w:highlight w:val="none"/>
                <w14:textFill>
                  <w14:solidFill>
                    <w14:schemeClr w14:val="tx1"/>
                  </w14:solidFill>
                </w14:textFill>
              </w:rPr>
            </w:pPr>
          </w:p>
        </w:tc>
      </w:tr>
      <w:tr w14:paraId="06A5F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866" w:type="dxa"/>
            <w:gridSpan w:val="10"/>
            <w:vAlign w:val="center"/>
          </w:tcPr>
          <w:p w14:paraId="695FFB45">
            <w:pPr>
              <w:spacing w:line="360" w:lineRule="auto"/>
              <w:ind w:left="223" w:hanging="222" w:hangingChars="106"/>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一旦我单位成交，将实行项目经理负责制，我方保证并配备上述项目管理机构。上述填报内容真实，若不真实，愿按有关规定接受处理。项目管理班子机构设置、职责分工等情况另附资料说明。</w:t>
            </w:r>
          </w:p>
        </w:tc>
      </w:tr>
    </w:tbl>
    <w:p w14:paraId="0516A46E">
      <w:pPr>
        <w:spacing w:line="360" w:lineRule="auto"/>
        <w:contextualSpacing/>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备注：</w:t>
      </w:r>
    </w:p>
    <w:p w14:paraId="4AE20CCA">
      <w:pPr>
        <w:spacing w:line="360" w:lineRule="auto"/>
        <w:ind w:firstLine="480" w:firstLineChars="200"/>
        <w:contextualSpacing/>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1</w:t>
      </w:r>
      <w:r>
        <w:rPr>
          <w:rFonts w:ascii="宋体" w:hAnsi="宋体"/>
          <w:color w:val="000000" w:themeColor="text1"/>
          <w:sz w:val="24"/>
          <w:szCs w:val="20"/>
          <w:highlight w:val="none"/>
          <w14:textFill>
            <w14:solidFill>
              <w14:schemeClr w14:val="tx1"/>
            </w14:solidFill>
          </w14:textFill>
        </w:rPr>
        <w:t>.</w:t>
      </w:r>
      <w:r>
        <w:rPr>
          <w:rFonts w:hint="eastAsia" w:ascii="宋体" w:hAnsi="宋体"/>
          <w:color w:val="000000" w:themeColor="text1"/>
          <w:sz w:val="24"/>
          <w:szCs w:val="20"/>
          <w:highlight w:val="none"/>
          <w14:textFill>
            <w14:solidFill>
              <w14:schemeClr w14:val="tx1"/>
            </w14:solidFill>
          </w14:textFill>
        </w:rPr>
        <w:t>本表所列岗位的所有管理人员的情况均应如实填写。可按以上格式扩展为多页填写。</w:t>
      </w:r>
    </w:p>
    <w:p w14:paraId="035FB088">
      <w:pPr>
        <w:spacing w:line="360" w:lineRule="auto"/>
        <w:ind w:firstLine="480" w:firstLineChars="200"/>
        <w:contextualSpacing/>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2</w:t>
      </w:r>
      <w:r>
        <w:rPr>
          <w:rFonts w:ascii="宋体" w:hAnsi="宋体"/>
          <w:color w:val="000000" w:themeColor="text1"/>
          <w:sz w:val="24"/>
          <w:szCs w:val="20"/>
          <w:highlight w:val="none"/>
          <w14:textFill>
            <w14:solidFill>
              <w14:schemeClr w14:val="tx1"/>
            </w14:solidFill>
          </w14:textFill>
        </w:rPr>
        <w:t>.</w:t>
      </w:r>
      <w:r>
        <w:rPr>
          <w:rFonts w:hint="eastAsia" w:ascii="宋体" w:hAnsi="宋体"/>
          <w:color w:val="000000" w:themeColor="text1"/>
          <w:sz w:val="24"/>
          <w:szCs w:val="20"/>
          <w:highlight w:val="none"/>
          <w14:textFill>
            <w14:solidFill>
              <w14:schemeClr w14:val="tx1"/>
            </w14:solidFill>
          </w14:textFill>
        </w:rPr>
        <w:t>供应商应当在本表后附所有管理人员的身份证、职称证、执业或职业资格证书的复印件并加盖供应商电子签章。</w:t>
      </w:r>
    </w:p>
    <w:p w14:paraId="291EFA7A">
      <w:pPr>
        <w:spacing w:line="360" w:lineRule="auto"/>
        <w:ind w:firstLine="480" w:firstLineChars="200"/>
        <w:contextualSpacing/>
        <w:rPr>
          <w:rFonts w:ascii="宋体" w:hAnsi="宋体"/>
          <w:color w:val="000000" w:themeColor="text1"/>
          <w:spacing w:val="20"/>
          <w:sz w:val="24"/>
          <w:szCs w:val="20"/>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法定代表人或者委托代理人</w:t>
      </w:r>
      <w:r>
        <w:rPr>
          <w:rFonts w:hint="eastAsia" w:ascii="宋体" w:hAnsi="宋体"/>
          <w:color w:val="000000" w:themeColor="text1"/>
          <w:spacing w:val="20"/>
          <w:sz w:val="24"/>
          <w:highlight w:val="none"/>
          <w14:textFill>
            <w14:solidFill>
              <w14:schemeClr w14:val="tx1"/>
            </w14:solidFill>
          </w14:textFill>
        </w:rPr>
        <w:t>签字：</w:t>
      </w:r>
      <w:r>
        <w:rPr>
          <w:rFonts w:hint="eastAsia" w:ascii="宋体" w:hAnsi="宋体"/>
          <w:color w:val="000000" w:themeColor="text1"/>
          <w:spacing w:val="20"/>
          <w:sz w:val="24"/>
          <w:highlight w:val="none"/>
          <w:u w:val="single"/>
          <w14:textFill>
            <w14:solidFill>
              <w14:schemeClr w14:val="tx1"/>
            </w14:solidFill>
          </w14:textFill>
        </w:rPr>
        <w:t xml:space="preserve">        </w:t>
      </w:r>
    </w:p>
    <w:p w14:paraId="0DBFA2F2">
      <w:pPr>
        <w:spacing w:line="360" w:lineRule="auto"/>
        <w:ind w:firstLine="560" w:firstLineChars="200"/>
        <w:contextualSpacing/>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pacing w:val="20"/>
          <w:sz w:val="24"/>
          <w:highlight w:val="none"/>
          <w14:textFill>
            <w14:solidFill>
              <w14:schemeClr w14:val="tx1"/>
            </w14:solidFill>
          </w14:textFill>
        </w:rPr>
        <w:t>供应商（电子签章）：</w:t>
      </w:r>
      <w:r>
        <w:rPr>
          <w:rFonts w:hint="eastAsia" w:ascii="宋体" w:hAnsi="宋体"/>
          <w:color w:val="000000" w:themeColor="text1"/>
          <w:spacing w:val="20"/>
          <w:sz w:val="24"/>
          <w:highlight w:val="none"/>
          <w:u w:val="single"/>
          <w14:textFill>
            <w14:solidFill>
              <w14:schemeClr w14:val="tx1"/>
            </w14:solidFill>
          </w14:textFill>
        </w:rPr>
        <w:t xml:space="preserve">            </w:t>
      </w:r>
      <w:r>
        <w:rPr>
          <w:rFonts w:hint="eastAsia" w:ascii="宋体" w:hAnsi="宋体"/>
          <w:color w:val="000000" w:themeColor="text1"/>
          <w:spacing w:val="20"/>
          <w:sz w:val="24"/>
          <w:highlight w:val="none"/>
          <w14:textFill>
            <w14:solidFill>
              <w14:schemeClr w14:val="tx1"/>
            </w14:solidFill>
          </w14:textFill>
        </w:rPr>
        <w:t xml:space="preserve">       日 期：</w:t>
      </w:r>
      <w:r>
        <w:rPr>
          <w:rFonts w:hint="eastAsia" w:ascii="宋体" w:hAnsi="宋体"/>
          <w:color w:val="000000" w:themeColor="text1"/>
          <w:spacing w:val="20"/>
          <w:sz w:val="24"/>
          <w:highlight w:val="none"/>
          <w:u w:val="single"/>
          <w14:textFill>
            <w14:solidFill>
              <w14:schemeClr w14:val="tx1"/>
            </w14:solidFill>
          </w14:textFill>
        </w:rPr>
        <w:t xml:space="preserve">         </w:t>
      </w:r>
    </w:p>
    <w:p w14:paraId="3125B70B">
      <w:pPr>
        <w:spacing w:line="360" w:lineRule="auto"/>
        <w:jc w:val="center"/>
        <w:rPr>
          <w:rFonts w:ascii="宋体" w:hAnsi="宋体"/>
          <w:b/>
          <w:color w:val="000000" w:themeColor="text1"/>
          <w:sz w:val="28"/>
          <w:szCs w:val="28"/>
          <w:highlight w:val="none"/>
          <w14:textFill>
            <w14:solidFill>
              <w14:schemeClr w14:val="tx1"/>
            </w14:solidFill>
          </w14:textFill>
        </w:rPr>
      </w:pPr>
      <w:r>
        <w:rPr>
          <w:rFonts w:ascii="宋体" w:hAnsi="宋体"/>
          <w:b/>
          <w:color w:val="000000" w:themeColor="text1"/>
          <w:sz w:val="32"/>
          <w:szCs w:val="32"/>
          <w:highlight w:val="none"/>
          <w14:textFill>
            <w14:solidFill>
              <w14:schemeClr w14:val="tx1"/>
            </w14:solidFill>
          </w14:textFill>
        </w:rPr>
        <w:br w:type="page"/>
      </w:r>
      <w:r>
        <w:rPr>
          <w:rFonts w:hint="eastAsia" w:ascii="宋体" w:hAnsi="宋体"/>
          <w:b/>
          <w:color w:val="000000" w:themeColor="text1"/>
          <w:sz w:val="28"/>
          <w:szCs w:val="28"/>
          <w:highlight w:val="none"/>
          <w14:textFill>
            <w14:solidFill>
              <w14:schemeClr w14:val="tx1"/>
            </w14:solidFill>
          </w14:textFill>
        </w:rPr>
        <w:t>（二）拟投入的主要人员简历表</w:t>
      </w:r>
    </w:p>
    <w:p w14:paraId="284A2FEC">
      <w:pPr>
        <w:spacing w:line="360" w:lineRule="auto"/>
        <w:ind w:firstLine="562" w:firstLineChars="200"/>
        <w:jc w:val="center"/>
        <w:rPr>
          <w:color w:val="000000" w:themeColor="text1"/>
          <w:sz w:val="28"/>
          <w:szCs w:val="28"/>
          <w:highlight w:val="none"/>
          <w:u w:val="single"/>
          <w14:textFill>
            <w14:solidFill>
              <w14:schemeClr w14:val="tx1"/>
            </w14:solidFill>
          </w14:textFill>
        </w:rPr>
      </w:pPr>
      <w:r>
        <w:rPr>
          <w:rFonts w:hint="eastAsia" w:cs="宋体"/>
          <w:b/>
          <w:color w:val="000000" w:themeColor="text1"/>
          <w:sz w:val="28"/>
          <w:szCs w:val="28"/>
          <w:highlight w:val="none"/>
          <w14:textFill>
            <w14:solidFill>
              <w14:schemeClr w14:val="tx1"/>
            </w14:solidFill>
          </w14:textFill>
        </w:rPr>
        <w:t>项目经理简历表</w:t>
      </w:r>
    </w:p>
    <w:tbl>
      <w:tblPr>
        <w:tblStyle w:val="43"/>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
        <w:gridCol w:w="1176"/>
        <w:gridCol w:w="442"/>
        <w:gridCol w:w="888"/>
        <w:gridCol w:w="660"/>
        <w:gridCol w:w="328"/>
        <w:gridCol w:w="234"/>
        <w:gridCol w:w="66"/>
        <w:gridCol w:w="1209"/>
        <w:gridCol w:w="142"/>
        <w:gridCol w:w="242"/>
        <w:gridCol w:w="1088"/>
        <w:gridCol w:w="88"/>
        <w:gridCol w:w="409"/>
        <w:gridCol w:w="1108"/>
        <w:gridCol w:w="36"/>
        <w:gridCol w:w="79"/>
        <w:gridCol w:w="1405"/>
        <w:gridCol w:w="11"/>
      </w:tblGrid>
      <w:tr w14:paraId="6C31E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176" w:type="dxa"/>
            <w:vAlign w:val="center"/>
          </w:tcPr>
          <w:p w14:paraId="5412CD98">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姓名</w:t>
            </w:r>
          </w:p>
        </w:tc>
        <w:tc>
          <w:tcPr>
            <w:tcW w:w="2318" w:type="dxa"/>
            <w:gridSpan w:val="4"/>
            <w:vAlign w:val="center"/>
          </w:tcPr>
          <w:p w14:paraId="255EF565">
            <w:pPr>
              <w:jc w:val="center"/>
              <w:rPr>
                <w:color w:val="000000" w:themeColor="text1"/>
                <w:highlight w:val="none"/>
                <w14:textFill>
                  <w14:solidFill>
                    <w14:schemeClr w14:val="tx1"/>
                  </w14:solidFill>
                </w14:textFill>
              </w:rPr>
            </w:pPr>
          </w:p>
        </w:tc>
        <w:tc>
          <w:tcPr>
            <w:tcW w:w="1893" w:type="dxa"/>
            <w:gridSpan w:val="5"/>
            <w:vAlign w:val="center"/>
          </w:tcPr>
          <w:p w14:paraId="28CEB1BE">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性别</w:t>
            </w:r>
          </w:p>
        </w:tc>
        <w:tc>
          <w:tcPr>
            <w:tcW w:w="1585" w:type="dxa"/>
            <w:gridSpan w:val="3"/>
            <w:vAlign w:val="center"/>
          </w:tcPr>
          <w:p w14:paraId="173B53D3">
            <w:pPr>
              <w:jc w:val="center"/>
              <w:rPr>
                <w:color w:val="000000" w:themeColor="text1"/>
                <w:highlight w:val="none"/>
                <w14:textFill>
                  <w14:solidFill>
                    <w14:schemeClr w14:val="tx1"/>
                  </w14:solidFill>
                </w14:textFill>
              </w:rPr>
            </w:pPr>
          </w:p>
        </w:tc>
        <w:tc>
          <w:tcPr>
            <w:tcW w:w="1108" w:type="dxa"/>
            <w:vAlign w:val="center"/>
          </w:tcPr>
          <w:p w14:paraId="2AAF72A7">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年龄</w:t>
            </w:r>
          </w:p>
        </w:tc>
        <w:tc>
          <w:tcPr>
            <w:tcW w:w="1531" w:type="dxa"/>
            <w:gridSpan w:val="4"/>
            <w:vAlign w:val="center"/>
          </w:tcPr>
          <w:p w14:paraId="0287419E">
            <w:pPr>
              <w:jc w:val="center"/>
              <w:rPr>
                <w:color w:val="000000" w:themeColor="text1"/>
                <w:highlight w:val="none"/>
                <w14:textFill>
                  <w14:solidFill>
                    <w14:schemeClr w14:val="tx1"/>
                  </w14:solidFill>
                </w14:textFill>
              </w:rPr>
            </w:pPr>
          </w:p>
        </w:tc>
      </w:tr>
      <w:tr w14:paraId="7168D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76" w:type="dxa"/>
            <w:vAlign w:val="center"/>
          </w:tcPr>
          <w:p w14:paraId="79F3C800">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岗位</w:t>
            </w:r>
          </w:p>
        </w:tc>
        <w:tc>
          <w:tcPr>
            <w:tcW w:w="2318" w:type="dxa"/>
            <w:gridSpan w:val="4"/>
            <w:vAlign w:val="center"/>
          </w:tcPr>
          <w:p w14:paraId="20D2C907">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项目经理</w:t>
            </w:r>
          </w:p>
        </w:tc>
        <w:tc>
          <w:tcPr>
            <w:tcW w:w="1893" w:type="dxa"/>
            <w:gridSpan w:val="5"/>
            <w:vAlign w:val="center"/>
          </w:tcPr>
          <w:p w14:paraId="210DEC6B">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职称</w:t>
            </w:r>
          </w:p>
        </w:tc>
        <w:tc>
          <w:tcPr>
            <w:tcW w:w="1585" w:type="dxa"/>
            <w:gridSpan w:val="3"/>
            <w:vAlign w:val="center"/>
          </w:tcPr>
          <w:p w14:paraId="6416218F">
            <w:pPr>
              <w:jc w:val="center"/>
              <w:rPr>
                <w:color w:val="000000" w:themeColor="text1"/>
                <w:highlight w:val="none"/>
                <w14:textFill>
                  <w14:solidFill>
                    <w14:schemeClr w14:val="tx1"/>
                  </w14:solidFill>
                </w14:textFill>
              </w:rPr>
            </w:pPr>
          </w:p>
        </w:tc>
        <w:tc>
          <w:tcPr>
            <w:tcW w:w="1108" w:type="dxa"/>
            <w:vAlign w:val="center"/>
          </w:tcPr>
          <w:p w14:paraId="24D50224">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学历</w:t>
            </w:r>
          </w:p>
        </w:tc>
        <w:tc>
          <w:tcPr>
            <w:tcW w:w="1531" w:type="dxa"/>
            <w:gridSpan w:val="4"/>
            <w:vAlign w:val="center"/>
          </w:tcPr>
          <w:p w14:paraId="47914A6F">
            <w:pPr>
              <w:jc w:val="center"/>
              <w:rPr>
                <w:color w:val="000000" w:themeColor="text1"/>
                <w:highlight w:val="none"/>
                <w14:textFill>
                  <w14:solidFill>
                    <w14:schemeClr w14:val="tx1"/>
                  </w14:solidFill>
                </w14:textFill>
              </w:rPr>
            </w:pPr>
          </w:p>
        </w:tc>
      </w:tr>
      <w:tr w14:paraId="365FE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76" w:type="dxa"/>
            <w:vAlign w:val="center"/>
          </w:tcPr>
          <w:p w14:paraId="48020D3C">
            <w:pPr>
              <w:jc w:val="center"/>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从业开始时间</w:t>
            </w:r>
          </w:p>
        </w:tc>
        <w:tc>
          <w:tcPr>
            <w:tcW w:w="2318" w:type="dxa"/>
            <w:gridSpan w:val="4"/>
            <w:vAlign w:val="center"/>
          </w:tcPr>
          <w:p w14:paraId="2A0E70ED">
            <w:pPr>
              <w:jc w:val="center"/>
              <w:rPr>
                <w:color w:val="000000" w:themeColor="text1"/>
                <w:highlight w:val="none"/>
                <w14:textFill>
                  <w14:solidFill>
                    <w14:schemeClr w14:val="tx1"/>
                  </w14:solidFill>
                </w14:textFill>
              </w:rPr>
            </w:pPr>
          </w:p>
        </w:tc>
        <w:tc>
          <w:tcPr>
            <w:tcW w:w="1893" w:type="dxa"/>
            <w:gridSpan w:val="5"/>
            <w:vAlign w:val="center"/>
          </w:tcPr>
          <w:p w14:paraId="74D1660B">
            <w:pPr>
              <w:jc w:val="center"/>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职称</w:t>
            </w:r>
            <w:r>
              <w:rPr>
                <w:rFonts w:cs="宋体"/>
                <w:color w:val="000000" w:themeColor="text1"/>
                <w:highlight w:val="none"/>
                <w14:textFill>
                  <w14:solidFill>
                    <w14:schemeClr w14:val="tx1"/>
                  </w14:solidFill>
                </w14:textFill>
              </w:rPr>
              <w:t>获</w:t>
            </w:r>
            <w:r>
              <w:rPr>
                <w:rFonts w:hint="eastAsia" w:cs="宋体"/>
                <w:color w:val="000000" w:themeColor="text1"/>
                <w:highlight w:val="none"/>
                <w14:textFill>
                  <w14:solidFill>
                    <w14:schemeClr w14:val="tx1"/>
                  </w14:solidFill>
                </w14:textFill>
              </w:rPr>
              <w:t>得</w:t>
            </w:r>
            <w:r>
              <w:rPr>
                <w:rFonts w:cs="宋体"/>
                <w:color w:val="000000" w:themeColor="text1"/>
                <w:highlight w:val="none"/>
                <w14:textFill>
                  <w14:solidFill>
                    <w14:schemeClr w14:val="tx1"/>
                  </w14:solidFill>
                </w14:textFill>
              </w:rPr>
              <w:t>时间</w:t>
            </w:r>
          </w:p>
        </w:tc>
        <w:tc>
          <w:tcPr>
            <w:tcW w:w="1585" w:type="dxa"/>
            <w:gridSpan w:val="3"/>
            <w:vAlign w:val="center"/>
          </w:tcPr>
          <w:p w14:paraId="716738A7">
            <w:pPr>
              <w:jc w:val="center"/>
              <w:rPr>
                <w:color w:val="000000" w:themeColor="text1"/>
                <w:highlight w:val="none"/>
                <w14:textFill>
                  <w14:solidFill>
                    <w14:schemeClr w14:val="tx1"/>
                  </w14:solidFill>
                </w14:textFill>
              </w:rPr>
            </w:pPr>
          </w:p>
        </w:tc>
        <w:tc>
          <w:tcPr>
            <w:tcW w:w="1108" w:type="dxa"/>
            <w:vAlign w:val="center"/>
          </w:tcPr>
          <w:p w14:paraId="67FE8BE7">
            <w:pPr>
              <w:jc w:val="center"/>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毕业时间</w:t>
            </w:r>
          </w:p>
        </w:tc>
        <w:tc>
          <w:tcPr>
            <w:tcW w:w="1531" w:type="dxa"/>
            <w:gridSpan w:val="4"/>
            <w:vAlign w:val="center"/>
          </w:tcPr>
          <w:p w14:paraId="75EEB4B1">
            <w:pPr>
              <w:jc w:val="center"/>
              <w:rPr>
                <w:color w:val="000000" w:themeColor="text1"/>
                <w:highlight w:val="none"/>
                <w14:textFill>
                  <w14:solidFill>
                    <w14:schemeClr w14:val="tx1"/>
                  </w14:solidFill>
                </w14:textFill>
              </w:rPr>
            </w:pPr>
          </w:p>
        </w:tc>
      </w:tr>
      <w:tr w14:paraId="28D7A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176" w:type="dxa"/>
            <w:vAlign w:val="center"/>
          </w:tcPr>
          <w:p w14:paraId="22345D16">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担任项目经理年限</w:t>
            </w:r>
          </w:p>
        </w:tc>
        <w:tc>
          <w:tcPr>
            <w:tcW w:w="2618" w:type="dxa"/>
            <w:gridSpan w:val="6"/>
            <w:vAlign w:val="center"/>
          </w:tcPr>
          <w:p w14:paraId="5BECC0BF">
            <w:pPr>
              <w:jc w:val="center"/>
              <w:rPr>
                <w:color w:val="000000" w:themeColor="text1"/>
                <w:highlight w:val="none"/>
                <w14:textFill>
                  <w14:solidFill>
                    <w14:schemeClr w14:val="tx1"/>
                  </w14:solidFill>
                </w14:textFill>
              </w:rPr>
            </w:pPr>
          </w:p>
        </w:tc>
        <w:tc>
          <w:tcPr>
            <w:tcW w:w="1209" w:type="dxa"/>
            <w:vAlign w:val="center"/>
          </w:tcPr>
          <w:p w14:paraId="55EB31C6">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身份</w:t>
            </w:r>
            <w:r>
              <w:rPr>
                <w:color w:val="000000" w:themeColor="text1"/>
                <w:highlight w:val="none"/>
                <w14:textFill>
                  <w14:solidFill>
                    <w14:schemeClr w14:val="tx1"/>
                  </w14:solidFill>
                </w14:textFill>
              </w:rPr>
              <w:t>证号码</w:t>
            </w:r>
          </w:p>
        </w:tc>
        <w:tc>
          <w:tcPr>
            <w:tcW w:w="4608" w:type="dxa"/>
            <w:gridSpan w:val="10"/>
            <w:vAlign w:val="center"/>
          </w:tcPr>
          <w:p w14:paraId="71C076EF">
            <w:pPr>
              <w:jc w:val="center"/>
              <w:rPr>
                <w:color w:val="000000" w:themeColor="text1"/>
                <w:highlight w:val="none"/>
                <w14:textFill>
                  <w14:solidFill>
                    <w14:schemeClr w14:val="tx1"/>
                  </w14:solidFill>
                </w14:textFill>
              </w:rPr>
            </w:pPr>
          </w:p>
        </w:tc>
      </w:tr>
      <w:tr w14:paraId="5F246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176" w:type="dxa"/>
            <w:vAlign w:val="center"/>
          </w:tcPr>
          <w:p w14:paraId="06B96992">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证书名称</w:t>
            </w:r>
          </w:p>
        </w:tc>
        <w:tc>
          <w:tcPr>
            <w:tcW w:w="1330" w:type="dxa"/>
            <w:gridSpan w:val="2"/>
            <w:vAlign w:val="center"/>
          </w:tcPr>
          <w:p w14:paraId="146D489C">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注册专业</w:t>
            </w:r>
          </w:p>
        </w:tc>
        <w:tc>
          <w:tcPr>
            <w:tcW w:w="1222" w:type="dxa"/>
            <w:gridSpan w:val="3"/>
            <w:vAlign w:val="center"/>
          </w:tcPr>
          <w:p w14:paraId="47ABA6FE">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级别</w:t>
            </w:r>
          </w:p>
        </w:tc>
        <w:tc>
          <w:tcPr>
            <w:tcW w:w="1417" w:type="dxa"/>
            <w:gridSpan w:val="3"/>
            <w:vAlign w:val="center"/>
          </w:tcPr>
          <w:p w14:paraId="05FFC4CF">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证书编号</w:t>
            </w:r>
          </w:p>
        </w:tc>
        <w:tc>
          <w:tcPr>
            <w:tcW w:w="1418" w:type="dxa"/>
            <w:gridSpan w:val="3"/>
            <w:vAlign w:val="center"/>
          </w:tcPr>
          <w:p w14:paraId="764195A0">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注册时间</w:t>
            </w:r>
          </w:p>
        </w:tc>
        <w:tc>
          <w:tcPr>
            <w:tcW w:w="1632" w:type="dxa"/>
            <w:gridSpan w:val="4"/>
            <w:vAlign w:val="center"/>
          </w:tcPr>
          <w:p w14:paraId="3CB48E9A">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注册单位</w:t>
            </w:r>
          </w:p>
        </w:tc>
        <w:tc>
          <w:tcPr>
            <w:tcW w:w="1416" w:type="dxa"/>
            <w:gridSpan w:val="2"/>
            <w:vAlign w:val="center"/>
          </w:tcPr>
          <w:p w14:paraId="58A748D7">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注册有效期</w:t>
            </w:r>
          </w:p>
        </w:tc>
      </w:tr>
      <w:tr w14:paraId="776AE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176" w:type="dxa"/>
            <w:vAlign w:val="center"/>
          </w:tcPr>
          <w:p w14:paraId="7C99437E">
            <w:pPr>
              <w:jc w:val="center"/>
              <w:rPr>
                <w:color w:val="000000" w:themeColor="text1"/>
                <w:highlight w:val="none"/>
                <w14:textFill>
                  <w14:solidFill>
                    <w14:schemeClr w14:val="tx1"/>
                  </w14:solidFill>
                </w14:textFill>
              </w:rPr>
            </w:pPr>
          </w:p>
        </w:tc>
        <w:tc>
          <w:tcPr>
            <w:tcW w:w="1330" w:type="dxa"/>
            <w:gridSpan w:val="2"/>
            <w:vAlign w:val="center"/>
          </w:tcPr>
          <w:p w14:paraId="40B287AB">
            <w:pPr>
              <w:jc w:val="center"/>
              <w:rPr>
                <w:color w:val="000000" w:themeColor="text1"/>
                <w:highlight w:val="none"/>
                <w14:textFill>
                  <w14:solidFill>
                    <w14:schemeClr w14:val="tx1"/>
                  </w14:solidFill>
                </w14:textFill>
              </w:rPr>
            </w:pPr>
          </w:p>
        </w:tc>
        <w:tc>
          <w:tcPr>
            <w:tcW w:w="1222" w:type="dxa"/>
            <w:gridSpan w:val="3"/>
            <w:vAlign w:val="center"/>
          </w:tcPr>
          <w:p w14:paraId="3B8388E5">
            <w:pPr>
              <w:jc w:val="center"/>
              <w:rPr>
                <w:rFonts w:cs="宋体"/>
                <w:color w:val="000000" w:themeColor="text1"/>
                <w:highlight w:val="none"/>
                <w14:textFill>
                  <w14:solidFill>
                    <w14:schemeClr w14:val="tx1"/>
                  </w14:solidFill>
                </w14:textFill>
              </w:rPr>
            </w:pPr>
          </w:p>
        </w:tc>
        <w:tc>
          <w:tcPr>
            <w:tcW w:w="1417" w:type="dxa"/>
            <w:gridSpan w:val="3"/>
            <w:vAlign w:val="center"/>
          </w:tcPr>
          <w:p w14:paraId="2D001141">
            <w:pPr>
              <w:jc w:val="center"/>
              <w:rPr>
                <w:color w:val="000000" w:themeColor="text1"/>
                <w:highlight w:val="none"/>
                <w14:textFill>
                  <w14:solidFill>
                    <w14:schemeClr w14:val="tx1"/>
                  </w14:solidFill>
                </w14:textFill>
              </w:rPr>
            </w:pPr>
          </w:p>
        </w:tc>
        <w:tc>
          <w:tcPr>
            <w:tcW w:w="1418" w:type="dxa"/>
            <w:gridSpan w:val="3"/>
            <w:vAlign w:val="center"/>
          </w:tcPr>
          <w:p w14:paraId="27253DF5">
            <w:pPr>
              <w:jc w:val="center"/>
              <w:rPr>
                <w:color w:val="000000" w:themeColor="text1"/>
                <w:highlight w:val="none"/>
                <w14:textFill>
                  <w14:solidFill>
                    <w14:schemeClr w14:val="tx1"/>
                  </w14:solidFill>
                </w14:textFill>
              </w:rPr>
            </w:pPr>
          </w:p>
        </w:tc>
        <w:tc>
          <w:tcPr>
            <w:tcW w:w="1632" w:type="dxa"/>
            <w:gridSpan w:val="4"/>
            <w:vAlign w:val="center"/>
          </w:tcPr>
          <w:p w14:paraId="03E559B4">
            <w:pPr>
              <w:jc w:val="center"/>
              <w:rPr>
                <w:color w:val="000000" w:themeColor="text1"/>
                <w:highlight w:val="none"/>
                <w14:textFill>
                  <w14:solidFill>
                    <w14:schemeClr w14:val="tx1"/>
                  </w14:solidFill>
                </w14:textFill>
              </w:rPr>
            </w:pPr>
          </w:p>
        </w:tc>
        <w:tc>
          <w:tcPr>
            <w:tcW w:w="1416" w:type="dxa"/>
            <w:gridSpan w:val="2"/>
            <w:vAlign w:val="center"/>
          </w:tcPr>
          <w:p w14:paraId="5BB33D9C">
            <w:pPr>
              <w:jc w:val="center"/>
              <w:rPr>
                <w:color w:val="000000" w:themeColor="text1"/>
                <w:highlight w:val="none"/>
                <w14:textFill>
                  <w14:solidFill>
                    <w14:schemeClr w14:val="tx1"/>
                  </w14:solidFill>
                </w14:textFill>
              </w:rPr>
            </w:pPr>
          </w:p>
        </w:tc>
      </w:tr>
      <w:tr w14:paraId="77356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176" w:type="dxa"/>
            <w:vAlign w:val="center"/>
          </w:tcPr>
          <w:p w14:paraId="46E9E598">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安全生产考核合格证书</w:t>
            </w:r>
          </w:p>
        </w:tc>
        <w:tc>
          <w:tcPr>
            <w:tcW w:w="1330" w:type="dxa"/>
            <w:gridSpan w:val="2"/>
            <w:vAlign w:val="center"/>
          </w:tcPr>
          <w:p w14:paraId="084592A0">
            <w:pPr>
              <w:jc w:val="center"/>
              <w:rPr>
                <w:color w:val="000000" w:themeColor="text1"/>
                <w:highlight w:val="none"/>
                <w14:textFill>
                  <w14:solidFill>
                    <w14:schemeClr w14:val="tx1"/>
                  </w14:solidFill>
                </w14:textFill>
              </w:rPr>
            </w:pPr>
          </w:p>
        </w:tc>
        <w:tc>
          <w:tcPr>
            <w:tcW w:w="1222" w:type="dxa"/>
            <w:gridSpan w:val="3"/>
            <w:vAlign w:val="center"/>
          </w:tcPr>
          <w:p w14:paraId="369CF3E1">
            <w:pPr>
              <w:jc w:val="center"/>
              <w:rPr>
                <w:rFonts w:cs="宋体"/>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B类</w:t>
            </w:r>
          </w:p>
        </w:tc>
        <w:tc>
          <w:tcPr>
            <w:tcW w:w="1417" w:type="dxa"/>
            <w:gridSpan w:val="3"/>
            <w:vAlign w:val="center"/>
          </w:tcPr>
          <w:p w14:paraId="111503F5">
            <w:pPr>
              <w:jc w:val="center"/>
              <w:rPr>
                <w:color w:val="000000" w:themeColor="text1"/>
                <w:highlight w:val="none"/>
                <w14:textFill>
                  <w14:solidFill>
                    <w14:schemeClr w14:val="tx1"/>
                  </w14:solidFill>
                </w14:textFill>
              </w:rPr>
            </w:pPr>
          </w:p>
        </w:tc>
        <w:tc>
          <w:tcPr>
            <w:tcW w:w="1418" w:type="dxa"/>
            <w:gridSpan w:val="3"/>
            <w:vAlign w:val="center"/>
          </w:tcPr>
          <w:p w14:paraId="69C40288">
            <w:pPr>
              <w:jc w:val="center"/>
              <w:rPr>
                <w:color w:val="000000" w:themeColor="text1"/>
                <w:highlight w:val="none"/>
                <w14:textFill>
                  <w14:solidFill>
                    <w14:schemeClr w14:val="tx1"/>
                  </w14:solidFill>
                </w14:textFill>
              </w:rPr>
            </w:pPr>
          </w:p>
        </w:tc>
        <w:tc>
          <w:tcPr>
            <w:tcW w:w="1632" w:type="dxa"/>
            <w:gridSpan w:val="4"/>
            <w:vAlign w:val="center"/>
          </w:tcPr>
          <w:p w14:paraId="29C42C65">
            <w:pPr>
              <w:jc w:val="center"/>
              <w:rPr>
                <w:color w:val="000000" w:themeColor="text1"/>
                <w:highlight w:val="none"/>
                <w14:textFill>
                  <w14:solidFill>
                    <w14:schemeClr w14:val="tx1"/>
                  </w14:solidFill>
                </w14:textFill>
              </w:rPr>
            </w:pPr>
          </w:p>
        </w:tc>
        <w:tc>
          <w:tcPr>
            <w:tcW w:w="1416" w:type="dxa"/>
            <w:gridSpan w:val="2"/>
            <w:vAlign w:val="center"/>
          </w:tcPr>
          <w:p w14:paraId="0486B23D">
            <w:pPr>
              <w:jc w:val="center"/>
              <w:rPr>
                <w:color w:val="000000" w:themeColor="text1"/>
                <w:highlight w:val="none"/>
                <w14:textFill>
                  <w14:solidFill>
                    <w14:schemeClr w14:val="tx1"/>
                  </w14:solidFill>
                </w14:textFill>
              </w:rPr>
            </w:pPr>
          </w:p>
        </w:tc>
      </w:tr>
      <w:tr w14:paraId="7EF74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0" w:hRule="atLeast"/>
          <w:jc w:val="center"/>
        </w:trPr>
        <w:tc>
          <w:tcPr>
            <w:tcW w:w="9611" w:type="dxa"/>
            <w:gridSpan w:val="18"/>
            <w:vAlign w:val="center"/>
          </w:tcPr>
          <w:p w14:paraId="41B8440F">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在建和已完工程项目情况</w:t>
            </w:r>
          </w:p>
        </w:tc>
      </w:tr>
      <w:tr w14:paraId="5331E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vAlign w:val="center"/>
          </w:tcPr>
          <w:p w14:paraId="2D571930">
            <w:pPr>
              <w:jc w:val="center"/>
              <w:rPr>
                <w:color w:val="000000" w:themeColor="text1"/>
                <w:highlight w:val="none"/>
                <w14:textFill>
                  <w14:solidFill>
                    <w14:schemeClr w14:val="tx1"/>
                  </w14:solidFill>
                </w14:textFill>
              </w:rPr>
            </w:pPr>
          </w:p>
        </w:tc>
        <w:tc>
          <w:tcPr>
            <w:tcW w:w="1548" w:type="dxa"/>
            <w:gridSpan w:val="2"/>
            <w:vAlign w:val="center"/>
          </w:tcPr>
          <w:p w14:paraId="19DDA0A4">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项目1</w:t>
            </w:r>
          </w:p>
        </w:tc>
        <w:tc>
          <w:tcPr>
            <w:tcW w:w="1837" w:type="dxa"/>
            <w:gridSpan w:val="4"/>
            <w:vAlign w:val="center"/>
          </w:tcPr>
          <w:p w14:paraId="3D10F647">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项目2</w:t>
            </w:r>
          </w:p>
        </w:tc>
        <w:tc>
          <w:tcPr>
            <w:tcW w:w="1472" w:type="dxa"/>
            <w:gridSpan w:val="3"/>
            <w:vAlign w:val="center"/>
          </w:tcPr>
          <w:p w14:paraId="64439C70">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项目3</w:t>
            </w:r>
          </w:p>
        </w:tc>
        <w:tc>
          <w:tcPr>
            <w:tcW w:w="1641" w:type="dxa"/>
            <w:gridSpan w:val="4"/>
            <w:vAlign w:val="center"/>
          </w:tcPr>
          <w:p w14:paraId="6DC77882">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项目4</w:t>
            </w:r>
          </w:p>
        </w:tc>
        <w:tc>
          <w:tcPr>
            <w:tcW w:w="1484" w:type="dxa"/>
            <w:gridSpan w:val="2"/>
            <w:vAlign w:val="center"/>
          </w:tcPr>
          <w:p w14:paraId="14982FD1">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tc>
      </w:tr>
      <w:tr w14:paraId="0842D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vAlign w:val="center"/>
          </w:tcPr>
          <w:p w14:paraId="5B71607F">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项目名称</w:t>
            </w:r>
          </w:p>
        </w:tc>
        <w:tc>
          <w:tcPr>
            <w:tcW w:w="1548" w:type="dxa"/>
            <w:gridSpan w:val="2"/>
            <w:vAlign w:val="center"/>
          </w:tcPr>
          <w:p w14:paraId="455CC4D8">
            <w:pPr>
              <w:jc w:val="center"/>
              <w:rPr>
                <w:color w:val="000000" w:themeColor="text1"/>
                <w:highlight w:val="none"/>
                <w14:textFill>
                  <w14:solidFill>
                    <w14:schemeClr w14:val="tx1"/>
                  </w14:solidFill>
                </w14:textFill>
              </w:rPr>
            </w:pPr>
          </w:p>
        </w:tc>
        <w:tc>
          <w:tcPr>
            <w:tcW w:w="1837" w:type="dxa"/>
            <w:gridSpan w:val="4"/>
            <w:vAlign w:val="center"/>
          </w:tcPr>
          <w:p w14:paraId="26EECF34">
            <w:pPr>
              <w:jc w:val="center"/>
              <w:rPr>
                <w:color w:val="000000" w:themeColor="text1"/>
                <w:highlight w:val="none"/>
                <w14:textFill>
                  <w14:solidFill>
                    <w14:schemeClr w14:val="tx1"/>
                  </w14:solidFill>
                </w14:textFill>
              </w:rPr>
            </w:pPr>
          </w:p>
        </w:tc>
        <w:tc>
          <w:tcPr>
            <w:tcW w:w="1472" w:type="dxa"/>
            <w:gridSpan w:val="3"/>
            <w:vAlign w:val="center"/>
          </w:tcPr>
          <w:p w14:paraId="0BFC61C5">
            <w:pPr>
              <w:jc w:val="center"/>
              <w:rPr>
                <w:color w:val="000000" w:themeColor="text1"/>
                <w:highlight w:val="none"/>
                <w14:textFill>
                  <w14:solidFill>
                    <w14:schemeClr w14:val="tx1"/>
                  </w14:solidFill>
                </w14:textFill>
              </w:rPr>
            </w:pPr>
          </w:p>
        </w:tc>
        <w:tc>
          <w:tcPr>
            <w:tcW w:w="1641" w:type="dxa"/>
            <w:gridSpan w:val="4"/>
            <w:vAlign w:val="center"/>
          </w:tcPr>
          <w:p w14:paraId="532235D1">
            <w:pPr>
              <w:jc w:val="center"/>
              <w:rPr>
                <w:color w:val="000000" w:themeColor="text1"/>
                <w:highlight w:val="none"/>
                <w14:textFill>
                  <w14:solidFill>
                    <w14:schemeClr w14:val="tx1"/>
                  </w14:solidFill>
                </w14:textFill>
              </w:rPr>
            </w:pPr>
          </w:p>
        </w:tc>
        <w:tc>
          <w:tcPr>
            <w:tcW w:w="1484" w:type="dxa"/>
            <w:gridSpan w:val="2"/>
            <w:vAlign w:val="center"/>
          </w:tcPr>
          <w:p w14:paraId="09C53CAC">
            <w:pPr>
              <w:jc w:val="center"/>
              <w:rPr>
                <w:color w:val="000000" w:themeColor="text1"/>
                <w:highlight w:val="none"/>
                <w14:textFill>
                  <w14:solidFill>
                    <w14:schemeClr w14:val="tx1"/>
                  </w14:solidFill>
                </w14:textFill>
              </w:rPr>
            </w:pPr>
          </w:p>
        </w:tc>
      </w:tr>
      <w:tr w14:paraId="21314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64CDD245">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建设单位</w:t>
            </w:r>
          </w:p>
        </w:tc>
        <w:tc>
          <w:tcPr>
            <w:tcW w:w="1548" w:type="dxa"/>
            <w:gridSpan w:val="2"/>
            <w:vAlign w:val="center"/>
          </w:tcPr>
          <w:p w14:paraId="03C7FD8F">
            <w:pPr>
              <w:jc w:val="center"/>
              <w:rPr>
                <w:color w:val="000000" w:themeColor="text1"/>
                <w:highlight w:val="none"/>
                <w14:textFill>
                  <w14:solidFill>
                    <w14:schemeClr w14:val="tx1"/>
                  </w14:solidFill>
                </w14:textFill>
              </w:rPr>
            </w:pPr>
          </w:p>
        </w:tc>
        <w:tc>
          <w:tcPr>
            <w:tcW w:w="1837" w:type="dxa"/>
            <w:gridSpan w:val="4"/>
            <w:vAlign w:val="center"/>
          </w:tcPr>
          <w:p w14:paraId="16299E1F">
            <w:pPr>
              <w:jc w:val="center"/>
              <w:rPr>
                <w:color w:val="000000" w:themeColor="text1"/>
                <w:highlight w:val="none"/>
                <w14:textFill>
                  <w14:solidFill>
                    <w14:schemeClr w14:val="tx1"/>
                  </w14:solidFill>
                </w14:textFill>
              </w:rPr>
            </w:pPr>
          </w:p>
        </w:tc>
        <w:tc>
          <w:tcPr>
            <w:tcW w:w="1472" w:type="dxa"/>
            <w:gridSpan w:val="3"/>
            <w:vAlign w:val="center"/>
          </w:tcPr>
          <w:p w14:paraId="444641E4">
            <w:pPr>
              <w:jc w:val="center"/>
              <w:rPr>
                <w:color w:val="000000" w:themeColor="text1"/>
                <w:highlight w:val="none"/>
                <w14:textFill>
                  <w14:solidFill>
                    <w14:schemeClr w14:val="tx1"/>
                  </w14:solidFill>
                </w14:textFill>
              </w:rPr>
            </w:pPr>
          </w:p>
        </w:tc>
        <w:tc>
          <w:tcPr>
            <w:tcW w:w="1641" w:type="dxa"/>
            <w:gridSpan w:val="4"/>
            <w:vAlign w:val="center"/>
          </w:tcPr>
          <w:p w14:paraId="345377F3">
            <w:pPr>
              <w:jc w:val="center"/>
              <w:rPr>
                <w:color w:val="000000" w:themeColor="text1"/>
                <w:highlight w:val="none"/>
                <w14:textFill>
                  <w14:solidFill>
                    <w14:schemeClr w14:val="tx1"/>
                  </w14:solidFill>
                </w14:textFill>
              </w:rPr>
            </w:pPr>
          </w:p>
        </w:tc>
        <w:tc>
          <w:tcPr>
            <w:tcW w:w="1484" w:type="dxa"/>
            <w:gridSpan w:val="2"/>
            <w:vAlign w:val="center"/>
          </w:tcPr>
          <w:p w14:paraId="751D1566">
            <w:pPr>
              <w:jc w:val="center"/>
              <w:rPr>
                <w:color w:val="000000" w:themeColor="text1"/>
                <w:highlight w:val="none"/>
                <w14:textFill>
                  <w14:solidFill>
                    <w14:schemeClr w14:val="tx1"/>
                  </w14:solidFill>
                </w14:textFill>
              </w:rPr>
            </w:pPr>
          </w:p>
        </w:tc>
      </w:tr>
      <w:tr w14:paraId="2BB90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7AB8E477">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建设规模</w:t>
            </w:r>
          </w:p>
        </w:tc>
        <w:tc>
          <w:tcPr>
            <w:tcW w:w="1548" w:type="dxa"/>
            <w:gridSpan w:val="2"/>
            <w:vAlign w:val="center"/>
          </w:tcPr>
          <w:p w14:paraId="69AC888F">
            <w:pPr>
              <w:jc w:val="center"/>
              <w:rPr>
                <w:color w:val="000000" w:themeColor="text1"/>
                <w:highlight w:val="none"/>
                <w14:textFill>
                  <w14:solidFill>
                    <w14:schemeClr w14:val="tx1"/>
                  </w14:solidFill>
                </w14:textFill>
              </w:rPr>
            </w:pPr>
          </w:p>
        </w:tc>
        <w:tc>
          <w:tcPr>
            <w:tcW w:w="1837" w:type="dxa"/>
            <w:gridSpan w:val="4"/>
            <w:vAlign w:val="center"/>
          </w:tcPr>
          <w:p w14:paraId="20DC6FAB">
            <w:pPr>
              <w:jc w:val="center"/>
              <w:rPr>
                <w:color w:val="000000" w:themeColor="text1"/>
                <w:highlight w:val="none"/>
                <w14:textFill>
                  <w14:solidFill>
                    <w14:schemeClr w14:val="tx1"/>
                  </w14:solidFill>
                </w14:textFill>
              </w:rPr>
            </w:pPr>
          </w:p>
        </w:tc>
        <w:tc>
          <w:tcPr>
            <w:tcW w:w="1472" w:type="dxa"/>
            <w:gridSpan w:val="3"/>
            <w:vAlign w:val="center"/>
          </w:tcPr>
          <w:p w14:paraId="43A440FC">
            <w:pPr>
              <w:jc w:val="center"/>
              <w:rPr>
                <w:color w:val="000000" w:themeColor="text1"/>
                <w:highlight w:val="none"/>
                <w14:textFill>
                  <w14:solidFill>
                    <w14:schemeClr w14:val="tx1"/>
                  </w14:solidFill>
                </w14:textFill>
              </w:rPr>
            </w:pPr>
          </w:p>
        </w:tc>
        <w:tc>
          <w:tcPr>
            <w:tcW w:w="1641" w:type="dxa"/>
            <w:gridSpan w:val="4"/>
            <w:vAlign w:val="center"/>
          </w:tcPr>
          <w:p w14:paraId="28625AD0">
            <w:pPr>
              <w:jc w:val="center"/>
              <w:rPr>
                <w:color w:val="000000" w:themeColor="text1"/>
                <w:highlight w:val="none"/>
                <w14:textFill>
                  <w14:solidFill>
                    <w14:schemeClr w14:val="tx1"/>
                  </w14:solidFill>
                </w14:textFill>
              </w:rPr>
            </w:pPr>
          </w:p>
        </w:tc>
        <w:tc>
          <w:tcPr>
            <w:tcW w:w="1484" w:type="dxa"/>
            <w:gridSpan w:val="2"/>
            <w:vAlign w:val="center"/>
          </w:tcPr>
          <w:p w14:paraId="62B5B0D8">
            <w:pPr>
              <w:jc w:val="center"/>
              <w:rPr>
                <w:color w:val="000000" w:themeColor="text1"/>
                <w:highlight w:val="none"/>
                <w14:textFill>
                  <w14:solidFill>
                    <w14:schemeClr w14:val="tx1"/>
                  </w14:solidFill>
                </w14:textFill>
              </w:rPr>
            </w:pPr>
          </w:p>
        </w:tc>
      </w:tr>
      <w:tr w14:paraId="5F5F4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1CC23314">
            <w:pPr>
              <w:jc w:val="center"/>
              <w:rPr>
                <w:rFonts w:ascii="宋体" w:hAnsi="宋体" w:cs="宋体"/>
                <w:color w:val="000000" w:themeColor="text1"/>
                <w:sz w:val="27"/>
                <w:szCs w:val="27"/>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开工日期</w:t>
            </w:r>
          </w:p>
        </w:tc>
        <w:tc>
          <w:tcPr>
            <w:tcW w:w="1548" w:type="dxa"/>
            <w:gridSpan w:val="2"/>
            <w:vAlign w:val="center"/>
          </w:tcPr>
          <w:p w14:paraId="363EF758">
            <w:pPr>
              <w:jc w:val="center"/>
              <w:rPr>
                <w:color w:val="000000" w:themeColor="text1"/>
                <w:highlight w:val="none"/>
                <w14:textFill>
                  <w14:solidFill>
                    <w14:schemeClr w14:val="tx1"/>
                  </w14:solidFill>
                </w14:textFill>
              </w:rPr>
            </w:pPr>
          </w:p>
        </w:tc>
        <w:tc>
          <w:tcPr>
            <w:tcW w:w="1837" w:type="dxa"/>
            <w:gridSpan w:val="4"/>
            <w:vAlign w:val="center"/>
          </w:tcPr>
          <w:p w14:paraId="03359EA0">
            <w:pPr>
              <w:jc w:val="center"/>
              <w:rPr>
                <w:color w:val="000000" w:themeColor="text1"/>
                <w:highlight w:val="none"/>
                <w14:textFill>
                  <w14:solidFill>
                    <w14:schemeClr w14:val="tx1"/>
                  </w14:solidFill>
                </w14:textFill>
              </w:rPr>
            </w:pPr>
          </w:p>
        </w:tc>
        <w:tc>
          <w:tcPr>
            <w:tcW w:w="1472" w:type="dxa"/>
            <w:gridSpan w:val="3"/>
            <w:vAlign w:val="center"/>
          </w:tcPr>
          <w:p w14:paraId="3F609F39">
            <w:pPr>
              <w:jc w:val="center"/>
              <w:rPr>
                <w:color w:val="000000" w:themeColor="text1"/>
                <w:highlight w:val="none"/>
                <w14:textFill>
                  <w14:solidFill>
                    <w14:schemeClr w14:val="tx1"/>
                  </w14:solidFill>
                </w14:textFill>
              </w:rPr>
            </w:pPr>
          </w:p>
        </w:tc>
        <w:tc>
          <w:tcPr>
            <w:tcW w:w="1641" w:type="dxa"/>
            <w:gridSpan w:val="4"/>
            <w:vAlign w:val="center"/>
          </w:tcPr>
          <w:p w14:paraId="3DBF53F1">
            <w:pPr>
              <w:jc w:val="center"/>
              <w:rPr>
                <w:color w:val="000000" w:themeColor="text1"/>
                <w:highlight w:val="none"/>
                <w14:textFill>
                  <w14:solidFill>
                    <w14:schemeClr w14:val="tx1"/>
                  </w14:solidFill>
                </w14:textFill>
              </w:rPr>
            </w:pPr>
          </w:p>
        </w:tc>
        <w:tc>
          <w:tcPr>
            <w:tcW w:w="1484" w:type="dxa"/>
            <w:gridSpan w:val="2"/>
            <w:vAlign w:val="center"/>
          </w:tcPr>
          <w:p w14:paraId="42B6E6DA">
            <w:pPr>
              <w:jc w:val="center"/>
              <w:rPr>
                <w:color w:val="000000" w:themeColor="text1"/>
                <w:highlight w:val="none"/>
                <w14:textFill>
                  <w14:solidFill>
                    <w14:schemeClr w14:val="tx1"/>
                  </w14:solidFill>
                </w14:textFill>
              </w:rPr>
            </w:pPr>
          </w:p>
        </w:tc>
      </w:tr>
      <w:tr w14:paraId="75936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734AF18A">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竣工日期</w:t>
            </w:r>
          </w:p>
        </w:tc>
        <w:tc>
          <w:tcPr>
            <w:tcW w:w="1548" w:type="dxa"/>
            <w:gridSpan w:val="2"/>
            <w:vAlign w:val="center"/>
          </w:tcPr>
          <w:p w14:paraId="1AC2CEFD">
            <w:pPr>
              <w:jc w:val="center"/>
              <w:rPr>
                <w:color w:val="000000" w:themeColor="text1"/>
                <w:highlight w:val="none"/>
                <w14:textFill>
                  <w14:solidFill>
                    <w14:schemeClr w14:val="tx1"/>
                  </w14:solidFill>
                </w14:textFill>
              </w:rPr>
            </w:pPr>
          </w:p>
        </w:tc>
        <w:tc>
          <w:tcPr>
            <w:tcW w:w="1837" w:type="dxa"/>
            <w:gridSpan w:val="4"/>
            <w:vAlign w:val="center"/>
          </w:tcPr>
          <w:p w14:paraId="40115040">
            <w:pPr>
              <w:jc w:val="center"/>
              <w:rPr>
                <w:color w:val="000000" w:themeColor="text1"/>
                <w:highlight w:val="none"/>
                <w14:textFill>
                  <w14:solidFill>
                    <w14:schemeClr w14:val="tx1"/>
                  </w14:solidFill>
                </w14:textFill>
              </w:rPr>
            </w:pPr>
          </w:p>
        </w:tc>
        <w:tc>
          <w:tcPr>
            <w:tcW w:w="1472" w:type="dxa"/>
            <w:gridSpan w:val="3"/>
            <w:vAlign w:val="center"/>
          </w:tcPr>
          <w:p w14:paraId="476EAE05">
            <w:pPr>
              <w:jc w:val="center"/>
              <w:rPr>
                <w:color w:val="000000" w:themeColor="text1"/>
                <w:highlight w:val="none"/>
                <w14:textFill>
                  <w14:solidFill>
                    <w14:schemeClr w14:val="tx1"/>
                  </w14:solidFill>
                </w14:textFill>
              </w:rPr>
            </w:pPr>
          </w:p>
        </w:tc>
        <w:tc>
          <w:tcPr>
            <w:tcW w:w="1641" w:type="dxa"/>
            <w:gridSpan w:val="4"/>
            <w:vAlign w:val="center"/>
          </w:tcPr>
          <w:p w14:paraId="105C089E">
            <w:pPr>
              <w:jc w:val="center"/>
              <w:rPr>
                <w:color w:val="000000" w:themeColor="text1"/>
                <w:highlight w:val="none"/>
                <w14:textFill>
                  <w14:solidFill>
                    <w14:schemeClr w14:val="tx1"/>
                  </w14:solidFill>
                </w14:textFill>
              </w:rPr>
            </w:pPr>
          </w:p>
        </w:tc>
        <w:tc>
          <w:tcPr>
            <w:tcW w:w="1484" w:type="dxa"/>
            <w:gridSpan w:val="2"/>
            <w:vAlign w:val="center"/>
          </w:tcPr>
          <w:p w14:paraId="3DB8F7D0">
            <w:pPr>
              <w:jc w:val="center"/>
              <w:rPr>
                <w:color w:val="000000" w:themeColor="text1"/>
                <w:highlight w:val="none"/>
                <w14:textFill>
                  <w14:solidFill>
                    <w14:schemeClr w14:val="tx1"/>
                  </w14:solidFill>
                </w14:textFill>
              </w:rPr>
            </w:pPr>
          </w:p>
        </w:tc>
      </w:tr>
      <w:tr w14:paraId="10D7A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5C617A5C">
            <w:pPr>
              <w:jc w:val="center"/>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人员角色</w:t>
            </w:r>
          </w:p>
        </w:tc>
        <w:tc>
          <w:tcPr>
            <w:tcW w:w="1548" w:type="dxa"/>
            <w:gridSpan w:val="2"/>
            <w:vAlign w:val="center"/>
          </w:tcPr>
          <w:p w14:paraId="7793C4D0">
            <w:pPr>
              <w:jc w:val="center"/>
              <w:rPr>
                <w:color w:val="000000" w:themeColor="text1"/>
                <w:highlight w:val="none"/>
                <w14:textFill>
                  <w14:solidFill>
                    <w14:schemeClr w14:val="tx1"/>
                  </w14:solidFill>
                </w14:textFill>
              </w:rPr>
            </w:pPr>
          </w:p>
        </w:tc>
        <w:tc>
          <w:tcPr>
            <w:tcW w:w="1837" w:type="dxa"/>
            <w:gridSpan w:val="4"/>
            <w:vAlign w:val="center"/>
          </w:tcPr>
          <w:p w14:paraId="20CF952A">
            <w:pPr>
              <w:jc w:val="center"/>
              <w:rPr>
                <w:color w:val="000000" w:themeColor="text1"/>
                <w:highlight w:val="none"/>
                <w14:textFill>
                  <w14:solidFill>
                    <w14:schemeClr w14:val="tx1"/>
                  </w14:solidFill>
                </w14:textFill>
              </w:rPr>
            </w:pPr>
          </w:p>
        </w:tc>
        <w:tc>
          <w:tcPr>
            <w:tcW w:w="1472" w:type="dxa"/>
            <w:gridSpan w:val="3"/>
            <w:vAlign w:val="center"/>
          </w:tcPr>
          <w:p w14:paraId="319B5651">
            <w:pPr>
              <w:jc w:val="center"/>
              <w:rPr>
                <w:color w:val="000000" w:themeColor="text1"/>
                <w:highlight w:val="none"/>
                <w14:textFill>
                  <w14:solidFill>
                    <w14:schemeClr w14:val="tx1"/>
                  </w14:solidFill>
                </w14:textFill>
              </w:rPr>
            </w:pPr>
          </w:p>
        </w:tc>
        <w:tc>
          <w:tcPr>
            <w:tcW w:w="1641" w:type="dxa"/>
            <w:gridSpan w:val="4"/>
            <w:vAlign w:val="center"/>
          </w:tcPr>
          <w:p w14:paraId="061CE39E">
            <w:pPr>
              <w:jc w:val="center"/>
              <w:rPr>
                <w:color w:val="000000" w:themeColor="text1"/>
                <w:highlight w:val="none"/>
                <w14:textFill>
                  <w14:solidFill>
                    <w14:schemeClr w14:val="tx1"/>
                  </w14:solidFill>
                </w14:textFill>
              </w:rPr>
            </w:pPr>
          </w:p>
        </w:tc>
        <w:tc>
          <w:tcPr>
            <w:tcW w:w="1484" w:type="dxa"/>
            <w:gridSpan w:val="2"/>
            <w:vAlign w:val="center"/>
          </w:tcPr>
          <w:p w14:paraId="68AA285D">
            <w:pPr>
              <w:jc w:val="center"/>
              <w:rPr>
                <w:color w:val="000000" w:themeColor="text1"/>
                <w:highlight w:val="none"/>
                <w14:textFill>
                  <w14:solidFill>
                    <w14:schemeClr w14:val="tx1"/>
                  </w14:solidFill>
                </w14:textFill>
              </w:rPr>
            </w:pPr>
          </w:p>
        </w:tc>
      </w:tr>
      <w:tr w14:paraId="69AA5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1CC9EDD9">
            <w:pPr>
              <w:jc w:val="center"/>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在建或已完</w:t>
            </w:r>
          </w:p>
        </w:tc>
        <w:tc>
          <w:tcPr>
            <w:tcW w:w="1548" w:type="dxa"/>
            <w:gridSpan w:val="2"/>
            <w:vAlign w:val="center"/>
          </w:tcPr>
          <w:p w14:paraId="67ED6B9A">
            <w:pPr>
              <w:jc w:val="center"/>
              <w:rPr>
                <w:color w:val="000000" w:themeColor="text1"/>
                <w:highlight w:val="none"/>
                <w14:textFill>
                  <w14:solidFill>
                    <w14:schemeClr w14:val="tx1"/>
                  </w14:solidFill>
                </w14:textFill>
              </w:rPr>
            </w:pPr>
          </w:p>
        </w:tc>
        <w:tc>
          <w:tcPr>
            <w:tcW w:w="1837" w:type="dxa"/>
            <w:gridSpan w:val="4"/>
            <w:vAlign w:val="center"/>
          </w:tcPr>
          <w:p w14:paraId="3DB7CC8E">
            <w:pPr>
              <w:jc w:val="center"/>
              <w:rPr>
                <w:color w:val="000000" w:themeColor="text1"/>
                <w:highlight w:val="none"/>
                <w14:textFill>
                  <w14:solidFill>
                    <w14:schemeClr w14:val="tx1"/>
                  </w14:solidFill>
                </w14:textFill>
              </w:rPr>
            </w:pPr>
          </w:p>
        </w:tc>
        <w:tc>
          <w:tcPr>
            <w:tcW w:w="1472" w:type="dxa"/>
            <w:gridSpan w:val="3"/>
            <w:vAlign w:val="center"/>
          </w:tcPr>
          <w:p w14:paraId="795B68A7">
            <w:pPr>
              <w:jc w:val="center"/>
              <w:rPr>
                <w:color w:val="000000" w:themeColor="text1"/>
                <w:highlight w:val="none"/>
                <w14:textFill>
                  <w14:solidFill>
                    <w14:schemeClr w14:val="tx1"/>
                  </w14:solidFill>
                </w14:textFill>
              </w:rPr>
            </w:pPr>
          </w:p>
        </w:tc>
        <w:tc>
          <w:tcPr>
            <w:tcW w:w="1641" w:type="dxa"/>
            <w:gridSpan w:val="4"/>
            <w:vAlign w:val="center"/>
          </w:tcPr>
          <w:p w14:paraId="627137ED">
            <w:pPr>
              <w:jc w:val="center"/>
              <w:rPr>
                <w:color w:val="000000" w:themeColor="text1"/>
                <w:highlight w:val="none"/>
                <w14:textFill>
                  <w14:solidFill>
                    <w14:schemeClr w14:val="tx1"/>
                  </w14:solidFill>
                </w14:textFill>
              </w:rPr>
            </w:pPr>
          </w:p>
        </w:tc>
        <w:tc>
          <w:tcPr>
            <w:tcW w:w="1484" w:type="dxa"/>
            <w:gridSpan w:val="2"/>
            <w:vAlign w:val="center"/>
          </w:tcPr>
          <w:p w14:paraId="0F0192A5">
            <w:pPr>
              <w:jc w:val="center"/>
              <w:rPr>
                <w:color w:val="000000" w:themeColor="text1"/>
                <w:highlight w:val="none"/>
                <w14:textFill>
                  <w14:solidFill>
                    <w14:schemeClr w14:val="tx1"/>
                  </w14:solidFill>
                </w14:textFill>
              </w:rPr>
            </w:pPr>
          </w:p>
        </w:tc>
      </w:tr>
      <w:tr w14:paraId="7E0C2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316C83E6">
            <w:pPr>
              <w:jc w:val="center"/>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工程质量</w:t>
            </w:r>
          </w:p>
        </w:tc>
        <w:tc>
          <w:tcPr>
            <w:tcW w:w="1548" w:type="dxa"/>
            <w:gridSpan w:val="2"/>
            <w:vAlign w:val="center"/>
          </w:tcPr>
          <w:p w14:paraId="55AC6C0B">
            <w:pPr>
              <w:jc w:val="center"/>
              <w:rPr>
                <w:color w:val="000000" w:themeColor="text1"/>
                <w:highlight w:val="none"/>
                <w14:textFill>
                  <w14:solidFill>
                    <w14:schemeClr w14:val="tx1"/>
                  </w14:solidFill>
                </w14:textFill>
              </w:rPr>
            </w:pPr>
          </w:p>
        </w:tc>
        <w:tc>
          <w:tcPr>
            <w:tcW w:w="1837" w:type="dxa"/>
            <w:gridSpan w:val="4"/>
            <w:vAlign w:val="center"/>
          </w:tcPr>
          <w:p w14:paraId="5E134580">
            <w:pPr>
              <w:jc w:val="center"/>
              <w:rPr>
                <w:color w:val="000000" w:themeColor="text1"/>
                <w:highlight w:val="none"/>
                <w14:textFill>
                  <w14:solidFill>
                    <w14:schemeClr w14:val="tx1"/>
                  </w14:solidFill>
                </w14:textFill>
              </w:rPr>
            </w:pPr>
          </w:p>
        </w:tc>
        <w:tc>
          <w:tcPr>
            <w:tcW w:w="1472" w:type="dxa"/>
            <w:gridSpan w:val="3"/>
            <w:vAlign w:val="center"/>
          </w:tcPr>
          <w:p w14:paraId="2932FB94">
            <w:pPr>
              <w:jc w:val="center"/>
              <w:rPr>
                <w:color w:val="000000" w:themeColor="text1"/>
                <w:highlight w:val="none"/>
                <w14:textFill>
                  <w14:solidFill>
                    <w14:schemeClr w14:val="tx1"/>
                  </w14:solidFill>
                </w14:textFill>
              </w:rPr>
            </w:pPr>
          </w:p>
        </w:tc>
        <w:tc>
          <w:tcPr>
            <w:tcW w:w="1641" w:type="dxa"/>
            <w:gridSpan w:val="4"/>
            <w:vAlign w:val="center"/>
          </w:tcPr>
          <w:p w14:paraId="3F7FA0D9">
            <w:pPr>
              <w:jc w:val="center"/>
              <w:rPr>
                <w:color w:val="000000" w:themeColor="text1"/>
                <w:highlight w:val="none"/>
                <w14:textFill>
                  <w14:solidFill>
                    <w14:schemeClr w14:val="tx1"/>
                  </w14:solidFill>
                </w14:textFill>
              </w:rPr>
            </w:pPr>
          </w:p>
        </w:tc>
        <w:tc>
          <w:tcPr>
            <w:tcW w:w="1484" w:type="dxa"/>
            <w:gridSpan w:val="2"/>
            <w:vAlign w:val="center"/>
          </w:tcPr>
          <w:p w14:paraId="5393E8BD">
            <w:pPr>
              <w:jc w:val="center"/>
              <w:rPr>
                <w:color w:val="000000" w:themeColor="text1"/>
                <w:highlight w:val="none"/>
                <w14:textFill>
                  <w14:solidFill>
                    <w14:schemeClr w14:val="tx1"/>
                  </w14:solidFill>
                </w14:textFill>
              </w:rPr>
            </w:pPr>
          </w:p>
        </w:tc>
      </w:tr>
      <w:tr w14:paraId="42879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4B479752">
            <w:pPr>
              <w:jc w:val="center"/>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受奖情况</w:t>
            </w:r>
          </w:p>
        </w:tc>
        <w:tc>
          <w:tcPr>
            <w:tcW w:w="1548" w:type="dxa"/>
            <w:gridSpan w:val="2"/>
            <w:vAlign w:val="center"/>
          </w:tcPr>
          <w:p w14:paraId="7E5B7F16">
            <w:pPr>
              <w:jc w:val="center"/>
              <w:rPr>
                <w:color w:val="000000" w:themeColor="text1"/>
                <w:highlight w:val="none"/>
                <w14:textFill>
                  <w14:solidFill>
                    <w14:schemeClr w14:val="tx1"/>
                  </w14:solidFill>
                </w14:textFill>
              </w:rPr>
            </w:pPr>
          </w:p>
        </w:tc>
        <w:tc>
          <w:tcPr>
            <w:tcW w:w="1837" w:type="dxa"/>
            <w:gridSpan w:val="4"/>
            <w:vAlign w:val="center"/>
          </w:tcPr>
          <w:p w14:paraId="57DFBBD1">
            <w:pPr>
              <w:jc w:val="center"/>
              <w:rPr>
                <w:color w:val="000000" w:themeColor="text1"/>
                <w:highlight w:val="none"/>
                <w14:textFill>
                  <w14:solidFill>
                    <w14:schemeClr w14:val="tx1"/>
                  </w14:solidFill>
                </w14:textFill>
              </w:rPr>
            </w:pPr>
          </w:p>
        </w:tc>
        <w:tc>
          <w:tcPr>
            <w:tcW w:w="1472" w:type="dxa"/>
            <w:gridSpan w:val="3"/>
            <w:vAlign w:val="center"/>
          </w:tcPr>
          <w:p w14:paraId="61F4CEF8">
            <w:pPr>
              <w:jc w:val="center"/>
              <w:rPr>
                <w:color w:val="000000" w:themeColor="text1"/>
                <w:highlight w:val="none"/>
                <w14:textFill>
                  <w14:solidFill>
                    <w14:schemeClr w14:val="tx1"/>
                  </w14:solidFill>
                </w14:textFill>
              </w:rPr>
            </w:pPr>
          </w:p>
        </w:tc>
        <w:tc>
          <w:tcPr>
            <w:tcW w:w="1641" w:type="dxa"/>
            <w:gridSpan w:val="4"/>
            <w:vAlign w:val="center"/>
          </w:tcPr>
          <w:p w14:paraId="052BD0C2">
            <w:pPr>
              <w:jc w:val="center"/>
              <w:rPr>
                <w:color w:val="000000" w:themeColor="text1"/>
                <w:highlight w:val="none"/>
                <w14:textFill>
                  <w14:solidFill>
                    <w14:schemeClr w14:val="tx1"/>
                  </w14:solidFill>
                </w14:textFill>
              </w:rPr>
            </w:pPr>
          </w:p>
        </w:tc>
        <w:tc>
          <w:tcPr>
            <w:tcW w:w="1484" w:type="dxa"/>
            <w:gridSpan w:val="2"/>
            <w:vAlign w:val="center"/>
          </w:tcPr>
          <w:p w14:paraId="59B066D9">
            <w:pPr>
              <w:jc w:val="center"/>
              <w:rPr>
                <w:color w:val="000000" w:themeColor="text1"/>
                <w:highlight w:val="none"/>
                <w14:textFill>
                  <w14:solidFill>
                    <w14:schemeClr w14:val="tx1"/>
                  </w14:solidFill>
                </w14:textFill>
              </w:rPr>
            </w:pPr>
          </w:p>
        </w:tc>
      </w:tr>
    </w:tbl>
    <w:p w14:paraId="484FE7C8">
      <w:pPr>
        <w:rPr>
          <w:rFonts w:ascii="宋体" w:hAnsi="宋体"/>
          <w:color w:val="000000" w:themeColor="text1"/>
          <w:szCs w:val="21"/>
          <w:highlight w:val="none"/>
          <w14:textFill>
            <w14:solidFill>
              <w14:schemeClr w14:val="tx1"/>
            </w14:solidFill>
          </w14:textFill>
        </w:rPr>
      </w:pPr>
      <w:r>
        <w:rPr>
          <w:rFonts w:hint="eastAsia" w:ascii="宋体" w:hAnsi="宋体" w:cs="楷体_GB2312"/>
          <w:color w:val="000000" w:themeColor="text1"/>
          <w:szCs w:val="21"/>
          <w:highlight w:val="none"/>
          <w14:textFill>
            <w14:solidFill>
              <w14:schemeClr w14:val="tx1"/>
            </w14:solidFill>
          </w14:textFill>
        </w:rPr>
        <w:t>备注：</w:t>
      </w:r>
    </w:p>
    <w:p w14:paraId="43378182">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1.项目</w:t>
      </w:r>
      <w:r>
        <w:rPr>
          <w:rFonts w:ascii="宋体" w:hAnsi="宋体"/>
          <w:color w:val="000000" w:themeColor="text1"/>
          <w:szCs w:val="21"/>
          <w:highlight w:val="none"/>
          <w14:textFill>
            <w14:solidFill>
              <w14:schemeClr w14:val="tx1"/>
            </w14:solidFill>
          </w14:textFill>
        </w:rPr>
        <w:t>数</w:t>
      </w:r>
      <w:r>
        <w:rPr>
          <w:rFonts w:hint="eastAsia" w:ascii="宋体" w:hAnsi="宋体"/>
          <w:color w:val="000000" w:themeColor="text1"/>
          <w:szCs w:val="21"/>
          <w:highlight w:val="none"/>
          <w14:textFill>
            <w14:solidFill>
              <w14:schemeClr w14:val="tx1"/>
            </w14:solidFill>
          </w14:textFill>
        </w:rPr>
        <w:t>可</w:t>
      </w:r>
      <w:r>
        <w:rPr>
          <w:rFonts w:ascii="宋体" w:hAnsi="宋体"/>
          <w:color w:val="000000" w:themeColor="text1"/>
          <w:szCs w:val="21"/>
          <w:highlight w:val="none"/>
          <w14:textFill>
            <w14:solidFill>
              <w14:schemeClr w14:val="tx1"/>
            </w14:solidFill>
          </w14:textFill>
        </w:rPr>
        <w:t>以根据需要增加</w:t>
      </w:r>
      <w:r>
        <w:rPr>
          <w:rFonts w:hint="eastAsia" w:ascii="宋体" w:hAnsi="宋体"/>
          <w:color w:val="000000" w:themeColor="text1"/>
          <w:szCs w:val="21"/>
          <w:highlight w:val="none"/>
          <w14:textFill>
            <w14:solidFill>
              <w14:schemeClr w14:val="tx1"/>
            </w14:solidFill>
          </w14:textFill>
        </w:rPr>
        <w:t>。</w:t>
      </w:r>
    </w:p>
    <w:p w14:paraId="3E905CF0">
      <w:pPr>
        <w:pStyle w:val="17"/>
        <w:ind w:firstLine="420" w:firstLineChars="200"/>
        <w:rPr>
          <w:color w:val="000000" w:themeColor="text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本表后附项目经理的</w:t>
      </w:r>
      <w:r>
        <w:rPr>
          <w:color w:val="000000" w:themeColor="text1"/>
          <w:highlight w:val="none"/>
          <w14:textFill>
            <w14:solidFill>
              <w14:schemeClr w14:val="tx1"/>
            </w14:solidFill>
          </w14:textFill>
        </w:rPr>
        <w:t>执业资格证书复印件（或打印件）、职称证书复印件（或打印件）</w:t>
      </w:r>
      <w:r>
        <w:rPr>
          <w:rFonts w:hint="eastAsia" w:ascii="宋体" w:hAnsi="宋体"/>
          <w:color w:val="000000" w:themeColor="text1"/>
          <w:szCs w:val="21"/>
          <w:highlight w:val="none"/>
          <w14:textFill>
            <w14:solidFill>
              <w14:schemeClr w14:val="tx1"/>
            </w14:solidFill>
          </w14:textFill>
        </w:rPr>
        <w:t>、安全生产考核合格证（B类）</w:t>
      </w:r>
      <w:r>
        <w:rPr>
          <w:color w:val="000000" w:themeColor="text1"/>
          <w:highlight w:val="none"/>
          <w14:textFill>
            <w14:solidFill>
              <w14:schemeClr w14:val="tx1"/>
            </w14:solidFill>
          </w14:textFill>
        </w:rPr>
        <w:t>复印件（或打印件）</w:t>
      </w:r>
      <w:r>
        <w:rPr>
          <w:rFonts w:hint="eastAsia" w:ascii="宋体" w:hAnsi="宋体"/>
          <w:color w:val="000000" w:themeColor="text1"/>
          <w:szCs w:val="21"/>
          <w:highlight w:val="none"/>
          <w14:textFill>
            <w14:solidFill>
              <w14:schemeClr w14:val="tx1"/>
            </w14:solidFill>
          </w14:textFill>
        </w:rPr>
        <w:t>，本表所列证书材料并加盖供应商电子签章。</w:t>
      </w:r>
    </w:p>
    <w:p w14:paraId="518D6234">
      <w:pPr>
        <w:spacing w:beforeLines="50"/>
        <w:ind w:firstLine="643" w:firstLineChars="200"/>
        <w:jc w:val="center"/>
        <w:rPr>
          <w:color w:val="000000" w:themeColor="text1"/>
          <w:sz w:val="28"/>
          <w:szCs w:val="28"/>
          <w:highlight w:val="none"/>
          <w:u w:val="single"/>
          <w14:textFill>
            <w14:solidFill>
              <w14:schemeClr w14:val="tx1"/>
            </w14:solidFill>
          </w14:textFill>
        </w:rPr>
      </w:pPr>
      <w:r>
        <w:rPr>
          <w:rFonts w:cs="宋体"/>
          <w:b/>
          <w:color w:val="000000" w:themeColor="text1"/>
          <w:sz w:val="32"/>
          <w:szCs w:val="32"/>
          <w:highlight w:val="none"/>
          <w14:textFill>
            <w14:solidFill>
              <w14:schemeClr w14:val="tx1"/>
            </w14:solidFill>
          </w14:textFill>
        </w:rPr>
        <w:br w:type="page"/>
      </w:r>
      <w:r>
        <w:rPr>
          <w:rFonts w:hint="eastAsia" w:cs="宋体"/>
          <w:b/>
          <w:color w:val="000000" w:themeColor="text1"/>
          <w:sz w:val="28"/>
          <w:szCs w:val="28"/>
          <w:highlight w:val="none"/>
          <w14:textFill>
            <w14:solidFill>
              <w14:schemeClr w14:val="tx1"/>
            </w14:solidFill>
          </w14:textFill>
        </w:rPr>
        <w:t>项目技术负责人（项目总工）简历表</w:t>
      </w:r>
    </w:p>
    <w:tbl>
      <w:tblPr>
        <w:tblStyle w:val="43"/>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
        <w:gridCol w:w="1154"/>
        <w:gridCol w:w="464"/>
        <w:gridCol w:w="888"/>
        <w:gridCol w:w="660"/>
        <w:gridCol w:w="328"/>
        <w:gridCol w:w="234"/>
        <w:gridCol w:w="1417"/>
        <w:gridCol w:w="242"/>
        <w:gridCol w:w="1088"/>
        <w:gridCol w:w="88"/>
        <w:gridCol w:w="409"/>
        <w:gridCol w:w="1108"/>
        <w:gridCol w:w="36"/>
        <w:gridCol w:w="79"/>
        <w:gridCol w:w="1405"/>
        <w:gridCol w:w="11"/>
      </w:tblGrid>
      <w:tr w14:paraId="5929E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154" w:type="dxa"/>
            <w:vAlign w:val="center"/>
          </w:tcPr>
          <w:p w14:paraId="4357EF30">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姓名</w:t>
            </w:r>
          </w:p>
        </w:tc>
        <w:tc>
          <w:tcPr>
            <w:tcW w:w="2340" w:type="dxa"/>
            <w:gridSpan w:val="4"/>
            <w:vAlign w:val="center"/>
          </w:tcPr>
          <w:p w14:paraId="6CED7C10">
            <w:pPr>
              <w:jc w:val="center"/>
              <w:rPr>
                <w:color w:val="000000" w:themeColor="text1"/>
                <w:highlight w:val="none"/>
                <w14:textFill>
                  <w14:solidFill>
                    <w14:schemeClr w14:val="tx1"/>
                  </w14:solidFill>
                </w14:textFill>
              </w:rPr>
            </w:pPr>
          </w:p>
        </w:tc>
        <w:tc>
          <w:tcPr>
            <w:tcW w:w="1893" w:type="dxa"/>
            <w:gridSpan w:val="3"/>
            <w:vAlign w:val="center"/>
          </w:tcPr>
          <w:p w14:paraId="0CDEE12E">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性别</w:t>
            </w:r>
          </w:p>
        </w:tc>
        <w:tc>
          <w:tcPr>
            <w:tcW w:w="1585" w:type="dxa"/>
            <w:gridSpan w:val="3"/>
            <w:vAlign w:val="center"/>
          </w:tcPr>
          <w:p w14:paraId="3712DC69">
            <w:pPr>
              <w:jc w:val="center"/>
              <w:rPr>
                <w:color w:val="000000" w:themeColor="text1"/>
                <w:highlight w:val="none"/>
                <w14:textFill>
                  <w14:solidFill>
                    <w14:schemeClr w14:val="tx1"/>
                  </w14:solidFill>
                </w14:textFill>
              </w:rPr>
            </w:pPr>
          </w:p>
        </w:tc>
        <w:tc>
          <w:tcPr>
            <w:tcW w:w="1108" w:type="dxa"/>
            <w:vAlign w:val="center"/>
          </w:tcPr>
          <w:p w14:paraId="4EADB96A">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年龄</w:t>
            </w:r>
          </w:p>
        </w:tc>
        <w:tc>
          <w:tcPr>
            <w:tcW w:w="1531" w:type="dxa"/>
            <w:gridSpan w:val="4"/>
            <w:vAlign w:val="center"/>
          </w:tcPr>
          <w:p w14:paraId="3CACC9C5">
            <w:pPr>
              <w:jc w:val="center"/>
              <w:rPr>
                <w:color w:val="000000" w:themeColor="text1"/>
                <w:highlight w:val="none"/>
                <w14:textFill>
                  <w14:solidFill>
                    <w14:schemeClr w14:val="tx1"/>
                  </w14:solidFill>
                </w14:textFill>
              </w:rPr>
            </w:pPr>
          </w:p>
        </w:tc>
      </w:tr>
      <w:tr w14:paraId="10466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54" w:type="dxa"/>
            <w:vAlign w:val="center"/>
          </w:tcPr>
          <w:p w14:paraId="476A1423">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岗位</w:t>
            </w:r>
          </w:p>
        </w:tc>
        <w:tc>
          <w:tcPr>
            <w:tcW w:w="2340" w:type="dxa"/>
            <w:gridSpan w:val="4"/>
            <w:vAlign w:val="center"/>
          </w:tcPr>
          <w:p w14:paraId="7A014405">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项目技术负责人（项目总工）</w:t>
            </w:r>
          </w:p>
        </w:tc>
        <w:tc>
          <w:tcPr>
            <w:tcW w:w="1893" w:type="dxa"/>
            <w:gridSpan w:val="3"/>
            <w:vAlign w:val="center"/>
          </w:tcPr>
          <w:p w14:paraId="027265B4">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职称</w:t>
            </w:r>
          </w:p>
        </w:tc>
        <w:tc>
          <w:tcPr>
            <w:tcW w:w="1585" w:type="dxa"/>
            <w:gridSpan w:val="3"/>
            <w:vAlign w:val="center"/>
          </w:tcPr>
          <w:p w14:paraId="008B6B4B">
            <w:pPr>
              <w:jc w:val="center"/>
              <w:rPr>
                <w:color w:val="000000" w:themeColor="text1"/>
                <w:highlight w:val="none"/>
                <w14:textFill>
                  <w14:solidFill>
                    <w14:schemeClr w14:val="tx1"/>
                  </w14:solidFill>
                </w14:textFill>
              </w:rPr>
            </w:pPr>
          </w:p>
        </w:tc>
        <w:tc>
          <w:tcPr>
            <w:tcW w:w="1108" w:type="dxa"/>
            <w:vAlign w:val="center"/>
          </w:tcPr>
          <w:p w14:paraId="647D6932">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学历</w:t>
            </w:r>
          </w:p>
        </w:tc>
        <w:tc>
          <w:tcPr>
            <w:tcW w:w="1531" w:type="dxa"/>
            <w:gridSpan w:val="4"/>
            <w:vAlign w:val="center"/>
          </w:tcPr>
          <w:p w14:paraId="5F1E918C">
            <w:pPr>
              <w:jc w:val="center"/>
              <w:rPr>
                <w:color w:val="000000" w:themeColor="text1"/>
                <w:highlight w:val="none"/>
                <w14:textFill>
                  <w14:solidFill>
                    <w14:schemeClr w14:val="tx1"/>
                  </w14:solidFill>
                </w14:textFill>
              </w:rPr>
            </w:pPr>
          </w:p>
        </w:tc>
      </w:tr>
      <w:tr w14:paraId="262C1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54" w:type="dxa"/>
            <w:vAlign w:val="center"/>
          </w:tcPr>
          <w:p w14:paraId="201CDB80">
            <w:pPr>
              <w:jc w:val="center"/>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从业开始时间</w:t>
            </w:r>
          </w:p>
        </w:tc>
        <w:tc>
          <w:tcPr>
            <w:tcW w:w="2340" w:type="dxa"/>
            <w:gridSpan w:val="4"/>
            <w:vAlign w:val="center"/>
          </w:tcPr>
          <w:p w14:paraId="69488F3D">
            <w:pPr>
              <w:jc w:val="center"/>
              <w:rPr>
                <w:color w:val="000000" w:themeColor="text1"/>
                <w:highlight w:val="none"/>
                <w14:textFill>
                  <w14:solidFill>
                    <w14:schemeClr w14:val="tx1"/>
                  </w14:solidFill>
                </w14:textFill>
              </w:rPr>
            </w:pPr>
          </w:p>
        </w:tc>
        <w:tc>
          <w:tcPr>
            <w:tcW w:w="1893" w:type="dxa"/>
            <w:gridSpan w:val="3"/>
            <w:vAlign w:val="center"/>
          </w:tcPr>
          <w:p w14:paraId="0D73CE1E">
            <w:pPr>
              <w:jc w:val="center"/>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职称</w:t>
            </w:r>
            <w:r>
              <w:rPr>
                <w:rFonts w:cs="宋体"/>
                <w:color w:val="000000" w:themeColor="text1"/>
                <w:highlight w:val="none"/>
                <w14:textFill>
                  <w14:solidFill>
                    <w14:schemeClr w14:val="tx1"/>
                  </w14:solidFill>
                </w14:textFill>
              </w:rPr>
              <w:t>获</w:t>
            </w:r>
            <w:r>
              <w:rPr>
                <w:rFonts w:hint="eastAsia" w:cs="宋体"/>
                <w:color w:val="000000" w:themeColor="text1"/>
                <w:highlight w:val="none"/>
                <w14:textFill>
                  <w14:solidFill>
                    <w14:schemeClr w14:val="tx1"/>
                  </w14:solidFill>
                </w14:textFill>
              </w:rPr>
              <w:t>得</w:t>
            </w:r>
            <w:r>
              <w:rPr>
                <w:rFonts w:cs="宋体"/>
                <w:color w:val="000000" w:themeColor="text1"/>
                <w:highlight w:val="none"/>
                <w14:textFill>
                  <w14:solidFill>
                    <w14:schemeClr w14:val="tx1"/>
                  </w14:solidFill>
                </w14:textFill>
              </w:rPr>
              <w:t>时间</w:t>
            </w:r>
          </w:p>
        </w:tc>
        <w:tc>
          <w:tcPr>
            <w:tcW w:w="1585" w:type="dxa"/>
            <w:gridSpan w:val="3"/>
            <w:vAlign w:val="center"/>
          </w:tcPr>
          <w:p w14:paraId="2FD4C321">
            <w:pPr>
              <w:jc w:val="center"/>
              <w:rPr>
                <w:color w:val="000000" w:themeColor="text1"/>
                <w:highlight w:val="none"/>
                <w14:textFill>
                  <w14:solidFill>
                    <w14:schemeClr w14:val="tx1"/>
                  </w14:solidFill>
                </w14:textFill>
              </w:rPr>
            </w:pPr>
          </w:p>
        </w:tc>
        <w:tc>
          <w:tcPr>
            <w:tcW w:w="1108" w:type="dxa"/>
            <w:vAlign w:val="center"/>
          </w:tcPr>
          <w:p w14:paraId="706C4349">
            <w:pPr>
              <w:jc w:val="center"/>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毕业时间</w:t>
            </w:r>
          </w:p>
        </w:tc>
        <w:tc>
          <w:tcPr>
            <w:tcW w:w="1531" w:type="dxa"/>
            <w:gridSpan w:val="4"/>
            <w:vAlign w:val="center"/>
          </w:tcPr>
          <w:p w14:paraId="01B6A56E">
            <w:pPr>
              <w:jc w:val="center"/>
              <w:rPr>
                <w:color w:val="000000" w:themeColor="text1"/>
                <w:highlight w:val="none"/>
                <w14:textFill>
                  <w14:solidFill>
                    <w14:schemeClr w14:val="tx1"/>
                  </w14:solidFill>
                </w14:textFill>
              </w:rPr>
            </w:pPr>
          </w:p>
        </w:tc>
      </w:tr>
      <w:tr w14:paraId="66435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154" w:type="dxa"/>
            <w:vAlign w:val="center"/>
          </w:tcPr>
          <w:p w14:paraId="666AABCD">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担任</w:t>
            </w:r>
            <w:r>
              <w:rPr>
                <w:rFonts w:hint="eastAsia"/>
                <w:color w:val="000000" w:themeColor="text1"/>
                <w:highlight w:val="none"/>
                <w14:textFill>
                  <w14:solidFill>
                    <w14:schemeClr w14:val="tx1"/>
                  </w14:solidFill>
                </w14:textFill>
              </w:rPr>
              <w:t>……</w:t>
            </w:r>
            <w:r>
              <w:rPr>
                <w:rFonts w:hint="eastAsia" w:cs="宋体"/>
                <w:color w:val="000000" w:themeColor="text1"/>
                <w:highlight w:val="none"/>
                <w14:textFill>
                  <w14:solidFill>
                    <w14:schemeClr w14:val="tx1"/>
                  </w14:solidFill>
                </w14:textFill>
              </w:rPr>
              <w:t>年限</w:t>
            </w:r>
          </w:p>
        </w:tc>
        <w:tc>
          <w:tcPr>
            <w:tcW w:w="2574" w:type="dxa"/>
            <w:gridSpan w:val="5"/>
            <w:vAlign w:val="center"/>
          </w:tcPr>
          <w:p w14:paraId="35E1CABA">
            <w:pPr>
              <w:jc w:val="center"/>
              <w:rPr>
                <w:color w:val="000000" w:themeColor="text1"/>
                <w:highlight w:val="none"/>
                <w14:textFill>
                  <w14:solidFill>
                    <w14:schemeClr w14:val="tx1"/>
                  </w14:solidFill>
                </w14:textFill>
              </w:rPr>
            </w:pPr>
          </w:p>
        </w:tc>
        <w:tc>
          <w:tcPr>
            <w:tcW w:w="1417" w:type="dxa"/>
            <w:vAlign w:val="center"/>
          </w:tcPr>
          <w:p w14:paraId="7D7FC102">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身份</w:t>
            </w:r>
            <w:r>
              <w:rPr>
                <w:color w:val="000000" w:themeColor="text1"/>
                <w:highlight w:val="none"/>
                <w14:textFill>
                  <w14:solidFill>
                    <w14:schemeClr w14:val="tx1"/>
                  </w14:solidFill>
                </w14:textFill>
              </w:rPr>
              <w:t>证号码</w:t>
            </w:r>
          </w:p>
        </w:tc>
        <w:tc>
          <w:tcPr>
            <w:tcW w:w="4466" w:type="dxa"/>
            <w:gridSpan w:val="9"/>
            <w:vAlign w:val="center"/>
          </w:tcPr>
          <w:p w14:paraId="04A9EB93">
            <w:pPr>
              <w:jc w:val="center"/>
              <w:rPr>
                <w:color w:val="000000" w:themeColor="text1"/>
                <w:highlight w:val="none"/>
                <w14:textFill>
                  <w14:solidFill>
                    <w14:schemeClr w14:val="tx1"/>
                  </w14:solidFill>
                </w14:textFill>
              </w:rPr>
            </w:pPr>
          </w:p>
        </w:tc>
      </w:tr>
      <w:tr w14:paraId="22F98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154" w:type="dxa"/>
            <w:vAlign w:val="center"/>
          </w:tcPr>
          <w:p w14:paraId="5A1EB411">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证书名称</w:t>
            </w:r>
          </w:p>
        </w:tc>
        <w:tc>
          <w:tcPr>
            <w:tcW w:w="1352" w:type="dxa"/>
            <w:gridSpan w:val="2"/>
            <w:vAlign w:val="center"/>
          </w:tcPr>
          <w:p w14:paraId="70EF71D3">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注册专业</w:t>
            </w:r>
          </w:p>
        </w:tc>
        <w:tc>
          <w:tcPr>
            <w:tcW w:w="1222" w:type="dxa"/>
            <w:gridSpan w:val="3"/>
            <w:vAlign w:val="center"/>
          </w:tcPr>
          <w:p w14:paraId="001235B5">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级别</w:t>
            </w:r>
          </w:p>
        </w:tc>
        <w:tc>
          <w:tcPr>
            <w:tcW w:w="1417" w:type="dxa"/>
            <w:vAlign w:val="center"/>
          </w:tcPr>
          <w:p w14:paraId="372687B9">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证书编号</w:t>
            </w:r>
          </w:p>
        </w:tc>
        <w:tc>
          <w:tcPr>
            <w:tcW w:w="1418" w:type="dxa"/>
            <w:gridSpan w:val="3"/>
            <w:vAlign w:val="center"/>
          </w:tcPr>
          <w:p w14:paraId="45146A31">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注册时间</w:t>
            </w:r>
          </w:p>
        </w:tc>
        <w:tc>
          <w:tcPr>
            <w:tcW w:w="1632" w:type="dxa"/>
            <w:gridSpan w:val="4"/>
            <w:vAlign w:val="center"/>
          </w:tcPr>
          <w:p w14:paraId="1CD72E94">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注册单位</w:t>
            </w:r>
          </w:p>
        </w:tc>
        <w:tc>
          <w:tcPr>
            <w:tcW w:w="1416" w:type="dxa"/>
            <w:gridSpan w:val="2"/>
            <w:vAlign w:val="center"/>
          </w:tcPr>
          <w:p w14:paraId="2804C77D">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注册有效期</w:t>
            </w:r>
          </w:p>
        </w:tc>
      </w:tr>
      <w:tr w14:paraId="34C1E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154" w:type="dxa"/>
            <w:vAlign w:val="center"/>
          </w:tcPr>
          <w:p w14:paraId="2D1D9854">
            <w:pPr>
              <w:jc w:val="center"/>
              <w:rPr>
                <w:color w:val="000000" w:themeColor="text1"/>
                <w:highlight w:val="none"/>
                <w14:textFill>
                  <w14:solidFill>
                    <w14:schemeClr w14:val="tx1"/>
                  </w14:solidFill>
                </w14:textFill>
              </w:rPr>
            </w:pPr>
          </w:p>
        </w:tc>
        <w:tc>
          <w:tcPr>
            <w:tcW w:w="1352" w:type="dxa"/>
            <w:gridSpan w:val="2"/>
            <w:vAlign w:val="center"/>
          </w:tcPr>
          <w:p w14:paraId="6D234363">
            <w:pPr>
              <w:jc w:val="center"/>
              <w:rPr>
                <w:color w:val="000000" w:themeColor="text1"/>
                <w:highlight w:val="none"/>
                <w14:textFill>
                  <w14:solidFill>
                    <w14:schemeClr w14:val="tx1"/>
                  </w14:solidFill>
                </w14:textFill>
              </w:rPr>
            </w:pPr>
          </w:p>
        </w:tc>
        <w:tc>
          <w:tcPr>
            <w:tcW w:w="1222" w:type="dxa"/>
            <w:gridSpan w:val="3"/>
            <w:vAlign w:val="center"/>
          </w:tcPr>
          <w:p w14:paraId="2BBA53D4">
            <w:pPr>
              <w:jc w:val="center"/>
              <w:rPr>
                <w:rFonts w:cs="宋体"/>
                <w:color w:val="000000" w:themeColor="text1"/>
                <w:highlight w:val="none"/>
                <w14:textFill>
                  <w14:solidFill>
                    <w14:schemeClr w14:val="tx1"/>
                  </w14:solidFill>
                </w14:textFill>
              </w:rPr>
            </w:pPr>
          </w:p>
        </w:tc>
        <w:tc>
          <w:tcPr>
            <w:tcW w:w="1417" w:type="dxa"/>
            <w:vAlign w:val="center"/>
          </w:tcPr>
          <w:p w14:paraId="1BC3BD0A">
            <w:pPr>
              <w:jc w:val="center"/>
              <w:rPr>
                <w:color w:val="000000" w:themeColor="text1"/>
                <w:highlight w:val="none"/>
                <w14:textFill>
                  <w14:solidFill>
                    <w14:schemeClr w14:val="tx1"/>
                  </w14:solidFill>
                </w14:textFill>
              </w:rPr>
            </w:pPr>
          </w:p>
        </w:tc>
        <w:tc>
          <w:tcPr>
            <w:tcW w:w="1418" w:type="dxa"/>
            <w:gridSpan w:val="3"/>
            <w:vAlign w:val="center"/>
          </w:tcPr>
          <w:p w14:paraId="334108A8">
            <w:pPr>
              <w:jc w:val="center"/>
              <w:rPr>
                <w:color w:val="000000" w:themeColor="text1"/>
                <w:highlight w:val="none"/>
                <w14:textFill>
                  <w14:solidFill>
                    <w14:schemeClr w14:val="tx1"/>
                  </w14:solidFill>
                </w14:textFill>
              </w:rPr>
            </w:pPr>
          </w:p>
        </w:tc>
        <w:tc>
          <w:tcPr>
            <w:tcW w:w="1632" w:type="dxa"/>
            <w:gridSpan w:val="4"/>
            <w:vAlign w:val="center"/>
          </w:tcPr>
          <w:p w14:paraId="217402DE">
            <w:pPr>
              <w:jc w:val="center"/>
              <w:rPr>
                <w:color w:val="000000" w:themeColor="text1"/>
                <w:highlight w:val="none"/>
                <w14:textFill>
                  <w14:solidFill>
                    <w14:schemeClr w14:val="tx1"/>
                  </w14:solidFill>
                </w14:textFill>
              </w:rPr>
            </w:pPr>
          </w:p>
        </w:tc>
        <w:tc>
          <w:tcPr>
            <w:tcW w:w="1416" w:type="dxa"/>
            <w:gridSpan w:val="2"/>
            <w:vAlign w:val="center"/>
          </w:tcPr>
          <w:p w14:paraId="6C05BC29">
            <w:pPr>
              <w:jc w:val="center"/>
              <w:rPr>
                <w:color w:val="000000" w:themeColor="text1"/>
                <w:highlight w:val="none"/>
                <w14:textFill>
                  <w14:solidFill>
                    <w14:schemeClr w14:val="tx1"/>
                  </w14:solidFill>
                </w14:textFill>
              </w:rPr>
            </w:pPr>
          </w:p>
        </w:tc>
      </w:tr>
      <w:tr w14:paraId="493E0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154" w:type="dxa"/>
            <w:vAlign w:val="center"/>
          </w:tcPr>
          <w:p w14:paraId="77D1508A">
            <w:pPr>
              <w:jc w:val="center"/>
              <w:rPr>
                <w:color w:val="000000" w:themeColor="text1"/>
                <w:highlight w:val="none"/>
                <w14:textFill>
                  <w14:solidFill>
                    <w14:schemeClr w14:val="tx1"/>
                  </w14:solidFill>
                </w14:textFill>
              </w:rPr>
            </w:pPr>
          </w:p>
        </w:tc>
        <w:tc>
          <w:tcPr>
            <w:tcW w:w="1352" w:type="dxa"/>
            <w:gridSpan w:val="2"/>
            <w:vAlign w:val="center"/>
          </w:tcPr>
          <w:p w14:paraId="29731864">
            <w:pPr>
              <w:jc w:val="center"/>
              <w:rPr>
                <w:color w:val="000000" w:themeColor="text1"/>
                <w:highlight w:val="none"/>
                <w14:textFill>
                  <w14:solidFill>
                    <w14:schemeClr w14:val="tx1"/>
                  </w14:solidFill>
                </w14:textFill>
              </w:rPr>
            </w:pPr>
          </w:p>
        </w:tc>
        <w:tc>
          <w:tcPr>
            <w:tcW w:w="1222" w:type="dxa"/>
            <w:gridSpan w:val="3"/>
            <w:vAlign w:val="center"/>
          </w:tcPr>
          <w:p w14:paraId="0370C97E">
            <w:pPr>
              <w:jc w:val="center"/>
              <w:rPr>
                <w:rFonts w:cs="宋体"/>
                <w:color w:val="000000" w:themeColor="text1"/>
                <w:highlight w:val="none"/>
                <w14:textFill>
                  <w14:solidFill>
                    <w14:schemeClr w14:val="tx1"/>
                  </w14:solidFill>
                </w14:textFill>
              </w:rPr>
            </w:pPr>
          </w:p>
        </w:tc>
        <w:tc>
          <w:tcPr>
            <w:tcW w:w="1417" w:type="dxa"/>
            <w:vAlign w:val="center"/>
          </w:tcPr>
          <w:p w14:paraId="32EC9DC2">
            <w:pPr>
              <w:jc w:val="center"/>
              <w:rPr>
                <w:color w:val="000000" w:themeColor="text1"/>
                <w:highlight w:val="none"/>
                <w14:textFill>
                  <w14:solidFill>
                    <w14:schemeClr w14:val="tx1"/>
                  </w14:solidFill>
                </w14:textFill>
              </w:rPr>
            </w:pPr>
          </w:p>
        </w:tc>
        <w:tc>
          <w:tcPr>
            <w:tcW w:w="1418" w:type="dxa"/>
            <w:gridSpan w:val="3"/>
            <w:vAlign w:val="center"/>
          </w:tcPr>
          <w:p w14:paraId="051B01CF">
            <w:pPr>
              <w:jc w:val="center"/>
              <w:rPr>
                <w:color w:val="000000" w:themeColor="text1"/>
                <w:highlight w:val="none"/>
                <w14:textFill>
                  <w14:solidFill>
                    <w14:schemeClr w14:val="tx1"/>
                  </w14:solidFill>
                </w14:textFill>
              </w:rPr>
            </w:pPr>
          </w:p>
        </w:tc>
        <w:tc>
          <w:tcPr>
            <w:tcW w:w="1632" w:type="dxa"/>
            <w:gridSpan w:val="4"/>
            <w:vAlign w:val="center"/>
          </w:tcPr>
          <w:p w14:paraId="546362E9">
            <w:pPr>
              <w:jc w:val="center"/>
              <w:rPr>
                <w:color w:val="000000" w:themeColor="text1"/>
                <w:highlight w:val="none"/>
                <w14:textFill>
                  <w14:solidFill>
                    <w14:schemeClr w14:val="tx1"/>
                  </w14:solidFill>
                </w14:textFill>
              </w:rPr>
            </w:pPr>
          </w:p>
        </w:tc>
        <w:tc>
          <w:tcPr>
            <w:tcW w:w="1416" w:type="dxa"/>
            <w:gridSpan w:val="2"/>
            <w:vAlign w:val="center"/>
          </w:tcPr>
          <w:p w14:paraId="41A53F4C">
            <w:pPr>
              <w:jc w:val="center"/>
              <w:rPr>
                <w:color w:val="000000" w:themeColor="text1"/>
                <w:highlight w:val="none"/>
                <w14:textFill>
                  <w14:solidFill>
                    <w14:schemeClr w14:val="tx1"/>
                  </w14:solidFill>
                </w14:textFill>
              </w:rPr>
            </w:pPr>
          </w:p>
        </w:tc>
      </w:tr>
      <w:tr w14:paraId="358B5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0" w:hRule="atLeast"/>
          <w:jc w:val="center"/>
        </w:trPr>
        <w:tc>
          <w:tcPr>
            <w:tcW w:w="9611" w:type="dxa"/>
            <w:gridSpan w:val="16"/>
            <w:vAlign w:val="center"/>
          </w:tcPr>
          <w:p w14:paraId="0FD1DB70">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在建和已完工程项目情况</w:t>
            </w:r>
          </w:p>
        </w:tc>
      </w:tr>
      <w:tr w14:paraId="13083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vAlign w:val="center"/>
          </w:tcPr>
          <w:p w14:paraId="3EFB2F2D">
            <w:pPr>
              <w:jc w:val="center"/>
              <w:rPr>
                <w:color w:val="000000" w:themeColor="text1"/>
                <w:highlight w:val="none"/>
                <w14:textFill>
                  <w14:solidFill>
                    <w14:schemeClr w14:val="tx1"/>
                  </w14:solidFill>
                </w14:textFill>
              </w:rPr>
            </w:pPr>
          </w:p>
        </w:tc>
        <w:tc>
          <w:tcPr>
            <w:tcW w:w="1548" w:type="dxa"/>
            <w:gridSpan w:val="2"/>
            <w:vAlign w:val="center"/>
          </w:tcPr>
          <w:p w14:paraId="5A51AC11">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项目1</w:t>
            </w:r>
          </w:p>
        </w:tc>
        <w:tc>
          <w:tcPr>
            <w:tcW w:w="1979" w:type="dxa"/>
            <w:gridSpan w:val="3"/>
            <w:vAlign w:val="center"/>
          </w:tcPr>
          <w:p w14:paraId="154238A8">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项目2</w:t>
            </w:r>
          </w:p>
        </w:tc>
        <w:tc>
          <w:tcPr>
            <w:tcW w:w="1330" w:type="dxa"/>
            <w:gridSpan w:val="2"/>
            <w:vAlign w:val="center"/>
          </w:tcPr>
          <w:p w14:paraId="371CFB43">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项目3</w:t>
            </w:r>
          </w:p>
        </w:tc>
        <w:tc>
          <w:tcPr>
            <w:tcW w:w="1641" w:type="dxa"/>
            <w:gridSpan w:val="4"/>
            <w:vAlign w:val="center"/>
          </w:tcPr>
          <w:p w14:paraId="0AA4A880">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项目4</w:t>
            </w:r>
          </w:p>
        </w:tc>
        <w:tc>
          <w:tcPr>
            <w:tcW w:w="1484" w:type="dxa"/>
            <w:gridSpan w:val="2"/>
            <w:vAlign w:val="center"/>
          </w:tcPr>
          <w:p w14:paraId="5BAF390D">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tc>
      </w:tr>
      <w:tr w14:paraId="3FAAC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vAlign w:val="center"/>
          </w:tcPr>
          <w:p w14:paraId="15552A35">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项目名称</w:t>
            </w:r>
          </w:p>
        </w:tc>
        <w:tc>
          <w:tcPr>
            <w:tcW w:w="1548" w:type="dxa"/>
            <w:gridSpan w:val="2"/>
            <w:vAlign w:val="center"/>
          </w:tcPr>
          <w:p w14:paraId="6A7D53FA">
            <w:pPr>
              <w:jc w:val="center"/>
              <w:rPr>
                <w:color w:val="000000" w:themeColor="text1"/>
                <w:highlight w:val="none"/>
                <w14:textFill>
                  <w14:solidFill>
                    <w14:schemeClr w14:val="tx1"/>
                  </w14:solidFill>
                </w14:textFill>
              </w:rPr>
            </w:pPr>
          </w:p>
        </w:tc>
        <w:tc>
          <w:tcPr>
            <w:tcW w:w="1979" w:type="dxa"/>
            <w:gridSpan w:val="3"/>
            <w:vAlign w:val="center"/>
          </w:tcPr>
          <w:p w14:paraId="6AD93EE2">
            <w:pPr>
              <w:jc w:val="center"/>
              <w:rPr>
                <w:color w:val="000000" w:themeColor="text1"/>
                <w:highlight w:val="none"/>
                <w14:textFill>
                  <w14:solidFill>
                    <w14:schemeClr w14:val="tx1"/>
                  </w14:solidFill>
                </w14:textFill>
              </w:rPr>
            </w:pPr>
          </w:p>
        </w:tc>
        <w:tc>
          <w:tcPr>
            <w:tcW w:w="1330" w:type="dxa"/>
            <w:gridSpan w:val="2"/>
            <w:vAlign w:val="center"/>
          </w:tcPr>
          <w:p w14:paraId="1B79CC94">
            <w:pPr>
              <w:jc w:val="center"/>
              <w:rPr>
                <w:color w:val="000000" w:themeColor="text1"/>
                <w:highlight w:val="none"/>
                <w14:textFill>
                  <w14:solidFill>
                    <w14:schemeClr w14:val="tx1"/>
                  </w14:solidFill>
                </w14:textFill>
              </w:rPr>
            </w:pPr>
          </w:p>
        </w:tc>
        <w:tc>
          <w:tcPr>
            <w:tcW w:w="1641" w:type="dxa"/>
            <w:gridSpan w:val="4"/>
            <w:vAlign w:val="center"/>
          </w:tcPr>
          <w:p w14:paraId="12D55F42">
            <w:pPr>
              <w:jc w:val="center"/>
              <w:rPr>
                <w:color w:val="000000" w:themeColor="text1"/>
                <w:highlight w:val="none"/>
                <w14:textFill>
                  <w14:solidFill>
                    <w14:schemeClr w14:val="tx1"/>
                  </w14:solidFill>
                </w14:textFill>
              </w:rPr>
            </w:pPr>
          </w:p>
        </w:tc>
        <w:tc>
          <w:tcPr>
            <w:tcW w:w="1484" w:type="dxa"/>
            <w:gridSpan w:val="2"/>
            <w:vAlign w:val="center"/>
          </w:tcPr>
          <w:p w14:paraId="6E1CF043">
            <w:pPr>
              <w:jc w:val="center"/>
              <w:rPr>
                <w:color w:val="000000" w:themeColor="text1"/>
                <w:highlight w:val="none"/>
                <w14:textFill>
                  <w14:solidFill>
                    <w14:schemeClr w14:val="tx1"/>
                  </w14:solidFill>
                </w14:textFill>
              </w:rPr>
            </w:pPr>
          </w:p>
        </w:tc>
      </w:tr>
      <w:tr w14:paraId="613E8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37E000FE">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建设单位</w:t>
            </w:r>
          </w:p>
        </w:tc>
        <w:tc>
          <w:tcPr>
            <w:tcW w:w="1548" w:type="dxa"/>
            <w:gridSpan w:val="2"/>
            <w:vAlign w:val="center"/>
          </w:tcPr>
          <w:p w14:paraId="242224FD">
            <w:pPr>
              <w:jc w:val="center"/>
              <w:rPr>
                <w:color w:val="000000" w:themeColor="text1"/>
                <w:highlight w:val="none"/>
                <w14:textFill>
                  <w14:solidFill>
                    <w14:schemeClr w14:val="tx1"/>
                  </w14:solidFill>
                </w14:textFill>
              </w:rPr>
            </w:pPr>
          </w:p>
        </w:tc>
        <w:tc>
          <w:tcPr>
            <w:tcW w:w="1979" w:type="dxa"/>
            <w:gridSpan w:val="3"/>
            <w:vAlign w:val="center"/>
          </w:tcPr>
          <w:p w14:paraId="5A15603E">
            <w:pPr>
              <w:jc w:val="center"/>
              <w:rPr>
                <w:color w:val="000000" w:themeColor="text1"/>
                <w:highlight w:val="none"/>
                <w14:textFill>
                  <w14:solidFill>
                    <w14:schemeClr w14:val="tx1"/>
                  </w14:solidFill>
                </w14:textFill>
              </w:rPr>
            </w:pPr>
          </w:p>
        </w:tc>
        <w:tc>
          <w:tcPr>
            <w:tcW w:w="1330" w:type="dxa"/>
            <w:gridSpan w:val="2"/>
            <w:vAlign w:val="center"/>
          </w:tcPr>
          <w:p w14:paraId="48E91C6E">
            <w:pPr>
              <w:jc w:val="center"/>
              <w:rPr>
                <w:color w:val="000000" w:themeColor="text1"/>
                <w:highlight w:val="none"/>
                <w14:textFill>
                  <w14:solidFill>
                    <w14:schemeClr w14:val="tx1"/>
                  </w14:solidFill>
                </w14:textFill>
              </w:rPr>
            </w:pPr>
          </w:p>
        </w:tc>
        <w:tc>
          <w:tcPr>
            <w:tcW w:w="1641" w:type="dxa"/>
            <w:gridSpan w:val="4"/>
            <w:vAlign w:val="center"/>
          </w:tcPr>
          <w:p w14:paraId="2A80851E">
            <w:pPr>
              <w:jc w:val="center"/>
              <w:rPr>
                <w:color w:val="000000" w:themeColor="text1"/>
                <w:highlight w:val="none"/>
                <w14:textFill>
                  <w14:solidFill>
                    <w14:schemeClr w14:val="tx1"/>
                  </w14:solidFill>
                </w14:textFill>
              </w:rPr>
            </w:pPr>
          </w:p>
        </w:tc>
        <w:tc>
          <w:tcPr>
            <w:tcW w:w="1484" w:type="dxa"/>
            <w:gridSpan w:val="2"/>
            <w:vAlign w:val="center"/>
          </w:tcPr>
          <w:p w14:paraId="2AEC3DC0">
            <w:pPr>
              <w:jc w:val="center"/>
              <w:rPr>
                <w:color w:val="000000" w:themeColor="text1"/>
                <w:highlight w:val="none"/>
                <w14:textFill>
                  <w14:solidFill>
                    <w14:schemeClr w14:val="tx1"/>
                  </w14:solidFill>
                </w14:textFill>
              </w:rPr>
            </w:pPr>
          </w:p>
        </w:tc>
      </w:tr>
      <w:tr w14:paraId="2F400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27372A35">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建设规模</w:t>
            </w:r>
          </w:p>
        </w:tc>
        <w:tc>
          <w:tcPr>
            <w:tcW w:w="1548" w:type="dxa"/>
            <w:gridSpan w:val="2"/>
            <w:vAlign w:val="center"/>
          </w:tcPr>
          <w:p w14:paraId="67800DEE">
            <w:pPr>
              <w:jc w:val="center"/>
              <w:rPr>
                <w:color w:val="000000" w:themeColor="text1"/>
                <w:highlight w:val="none"/>
                <w14:textFill>
                  <w14:solidFill>
                    <w14:schemeClr w14:val="tx1"/>
                  </w14:solidFill>
                </w14:textFill>
              </w:rPr>
            </w:pPr>
          </w:p>
        </w:tc>
        <w:tc>
          <w:tcPr>
            <w:tcW w:w="1979" w:type="dxa"/>
            <w:gridSpan w:val="3"/>
            <w:vAlign w:val="center"/>
          </w:tcPr>
          <w:p w14:paraId="332DB25D">
            <w:pPr>
              <w:jc w:val="center"/>
              <w:rPr>
                <w:color w:val="000000" w:themeColor="text1"/>
                <w:highlight w:val="none"/>
                <w14:textFill>
                  <w14:solidFill>
                    <w14:schemeClr w14:val="tx1"/>
                  </w14:solidFill>
                </w14:textFill>
              </w:rPr>
            </w:pPr>
          </w:p>
        </w:tc>
        <w:tc>
          <w:tcPr>
            <w:tcW w:w="1330" w:type="dxa"/>
            <w:gridSpan w:val="2"/>
            <w:vAlign w:val="center"/>
          </w:tcPr>
          <w:p w14:paraId="0F06D9F4">
            <w:pPr>
              <w:jc w:val="center"/>
              <w:rPr>
                <w:color w:val="000000" w:themeColor="text1"/>
                <w:highlight w:val="none"/>
                <w14:textFill>
                  <w14:solidFill>
                    <w14:schemeClr w14:val="tx1"/>
                  </w14:solidFill>
                </w14:textFill>
              </w:rPr>
            </w:pPr>
          </w:p>
        </w:tc>
        <w:tc>
          <w:tcPr>
            <w:tcW w:w="1641" w:type="dxa"/>
            <w:gridSpan w:val="4"/>
            <w:vAlign w:val="center"/>
          </w:tcPr>
          <w:p w14:paraId="6E608CF6">
            <w:pPr>
              <w:jc w:val="center"/>
              <w:rPr>
                <w:color w:val="000000" w:themeColor="text1"/>
                <w:highlight w:val="none"/>
                <w14:textFill>
                  <w14:solidFill>
                    <w14:schemeClr w14:val="tx1"/>
                  </w14:solidFill>
                </w14:textFill>
              </w:rPr>
            </w:pPr>
          </w:p>
        </w:tc>
        <w:tc>
          <w:tcPr>
            <w:tcW w:w="1484" w:type="dxa"/>
            <w:gridSpan w:val="2"/>
            <w:vAlign w:val="center"/>
          </w:tcPr>
          <w:p w14:paraId="39B5696E">
            <w:pPr>
              <w:jc w:val="center"/>
              <w:rPr>
                <w:color w:val="000000" w:themeColor="text1"/>
                <w:highlight w:val="none"/>
                <w14:textFill>
                  <w14:solidFill>
                    <w14:schemeClr w14:val="tx1"/>
                  </w14:solidFill>
                </w14:textFill>
              </w:rPr>
            </w:pPr>
          </w:p>
        </w:tc>
      </w:tr>
      <w:tr w14:paraId="65139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708A6147">
            <w:pPr>
              <w:jc w:val="center"/>
              <w:rPr>
                <w:rFonts w:ascii="宋体" w:hAnsi="宋体" w:cs="宋体"/>
                <w:color w:val="000000" w:themeColor="text1"/>
                <w:sz w:val="27"/>
                <w:szCs w:val="27"/>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开工日期</w:t>
            </w:r>
          </w:p>
        </w:tc>
        <w:tc>
          <w:tcPr>
            <w:tcW w:w="1548" w:type="dxa"/>
            <w:gridSpan w:val="2"/>
            <w:vAlign w:val="center"/>
          </w:tcPr>
          <w:p w14:paraId="2227FBF3">
            <w:pPr>
              <w:jc w:val="center"/>
              <w:rPr>
                <w:color w:val="000000" w:themeColor="text1"/>
                <w:highlight w:val="none"/>
                <w14:textFill>
                  <w14:solidFill>
                    <w14:schemeClr w14:val="tx1"/>
                  </w14:solidFill>
                </w14:textFill>
              </w:rPr>
            </w:pPr>
          </w:p>
        </w:tc>
        <w:tc>
          <w:tcPr>
            <w:tcW w:w="1979" w:type="dxa"/>
            <w:gridSpan w:val="3"/>
            <w:vAlign w:val="center"/>
          </w:tcPr>
          <w:p w14:paraId="2A4068E4">
            <w:pPr>
              <w:jc w:val="center"/>
              <w:rPr>
                <w:color w:val="000000" w:themeColor="text1"/>
                <w:highlight w:val="none"/>
                <w14:textFill>
                  <w14:solidFill>
                    <w14:schemeClr w14:val="tx1"/>
                  </w14:solidFill>
                </w14:textFill>
              </w:rPr>
            </w:pPr>
          </w:p>
        </w:tc>
        <w:tc>
          <w:tcPr>
            <w:tcW w:w="1330" w:type="dxa"/>
            <w:gridSpan w:val="2"/>
            <w:vAlign w:val="center"/>
          </w:tcPr>
          <w:p w14:paraId="773D4C7F">
            <w:pPr>
              <w:jc w:val="center"/>
              <w:rPr>
                <w:color w:val="000000" w:themeColor="text1"/>
                <w:highlight w:val="none"/>
                <w14:textFill>
                  <w14:solidFill>
                    <w14:schemeClr w14:val="tx1"/>
                  </w14:solidFill>
                </w14:textFill>
              </w:rPr>
            </w:pPr>
          </w:p>
        </w:tc>
        <w:tc>
          <w:tcPr>
            <w:tcW w:w="1641" w:type="dxa"/>
            <w:gridSpan w:val="4"/>
            <w:vAlign w:val="center"/>
          </w:tcPr>
          <w:p w14:paraId="1392032D">
            <w:pPr>
              <w:jc w:val="center"/>
              <w:rPr>
                <w:color w:val="000000" w:themeColor="text1"/>
                <w:highlight w:val="none"/>
                <w14:textFill>
                  <w14:solidFill>
                    <w14:schemeClr w14:val="tx1"/>
                  </w14:solidFill>
                </w14:textFill>
              </w:rPr>
            </w:pPr>
          </w:p>
        </w:tc>
        <w:tc>
          <w:tcPr>
            <w:tcW w:w="1484" w:type="dxa"/>
            <w:gridSpan w:val="2"/>
            <w:vAlign w:val="center"/>
          </w:tcPr>
          <w:p w14:paraId="408B18C2">
            <w:pPr>
              <w:jc w:val="center"/>
              <w:rPr>
                <w:color w:val="000000" w:themeColor="text1"/>
                <w:highlight w:val="none"/>
                <w14:textFill>
                  <w14:solidFill>
                    <w14:schemeClr w14:val="tx1"/>
                  </w14:solidFill>
                </w14:textFill>
              </w:rPr>
            </w:pPr>
          </w:p>
        </w:tc>
      </w:tr>
      <w:tr w14:paraId="4693C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626143B6">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竣工日期</w:t>
            </w:r>
          </w:p>
        </w:tc>
        <w:tc>
          <w:tcPr>
            <w:tcW w:w="1548" w:type="dxa"/>
            <w:gridSpan w:val="2"/>
            <w:vAlign w:val="center"/>
          </w:tcPr>
          <w:p w14:paraId="54DE5651">
            <w:pPr>
              <w:jc w:val="center"/>
              <w:rPr>
                <w:color w:val="000000" w:themeColor="text1"/>
                <w:highlight w:val="none"/>
                <w14:textFill>
                  <w14:solidFill>
                    <w14:schemeClr w14:val="tx1"/>
                  </w14:solidFill>
                </w14:textFill>
              </w:rPr>
            </w:pPr>
          </w:p>
        </w:tc>
        <w:tc>
          <w:tcPr>
            <w:tcW w:w="1979" w:type="dxa"/>
            <w:gridSpan w:val="3"/>
            <w:vAlign w:val="center"/>
          </w:tcPr>
          <w:p w14:paraId="28FE09CE">
            <w:pPr>
              <w:jc w:val="center"/>
              <w:rPr>
                <w:color w:val="000000" w:themeColor="text1"/>
                <w:highlight w:val="none"/>
                <w14:textFill>
                  <w14:solidFill>
                    <w14:schemeClr w14:val="tx1"/>
                  </w14:solidFill>
                </w14:textFill>
              </w:rPr>
            </w:pPr>
          </w:p>
        </w:tc>
        <w:tc>
          <w:tcPr>
            <w:tcW w:w="1330" w:type="dxa"/>
            <w:gridSpan w:val="2"/>
            <w:vAlign w:val="center"/>
          </w:tcPr>
          <w:p w14:paraId="17C080A2">
            <w:pPr>
              <w:jc w:val="center"/>
              <w:rPr>
                <w:color w:val="000000" w:themeColor="text1"/>
                <w:highlight w:val="none"/>
                <w14:textFill>
                  <w14:solidFill>
                    <w14:schemeClr w14:val="tx1"/>
                  </w14:solidFill>
                </w14:textFill>
              </w:rPr>
            </w:pPr>
          </w:p>
        </w:tc>
        <w:tc>
          <w:tcPr>
            <w:tcW w:w="1641" w:type="dxa"/>
            <w:gridSpan w:val="4"/>
            <w:vAlign w:val="center"/>
          </w:tcPr>
          <w:p w14:paraId="3BD87CA5">
            <w:pPr>
              <w:jc w:val="center"/>
              <w:rPr>
                <w:color w:val="000000" w:themeColor="text1"/>
                <w:highlight w:val="none"/>
                <w14:textFill>
                  <w14:solidFill>
                    <w14:schemeClr w14:val="tx1"/>
                  </w14:solidFill>
                </w14:textFill>
              </w:rPr>
            </w:pPr>
          </w:p>
        </w:tc>
        <w:tc>
          <w:tcPr>
            <w:tcW w:w="1484" w:type="dxa"/>
            <w:gridSpan w:val="2"/>
            <w:vAlign w:val="center"/>
          </w:tcPr>
          <w:p w14:paraId="3952C3AE">
            <w:pPr>
              <w:jc w:val="center"/>
              <w:rPr>
                <w:color w:val="000000" w:themeColor="text1"/>
                <w:highlight w:val="none"/>
                <w14:textFill>
                  <w14:solidFill>
                    <w14:schemeClr w14:val="tx1"/>
                  </w14:solidFill>
                </w14:textFill>
              </w:rPr>
            </w:pPr>
          </w:p>
        </w:tc>
      </w:tr>
      <w:tr w14:paraId="3A007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09049D98">
            <w:pPr>
              <w:jc w:val="center"/>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人员角色</w:t>
            </w:r>
          </w:p>
        </w:tc>
        <w:tc>
          <w:tcPr>
            <w:tcW w:w="1548" w:type="dxa"/>
            <w:gridSpan w:val="2"/>
            <w:vAlign w:val="center"/>
          </w:tcPr>
          <w:p w14:paraId="55074E5C">
            <w:pPr>
              <w:jc w:val="center"/>
              <w:rPr>
                <w:color w:val="000000" w:themeColor="text1"/>
                <w:highlight w:val="none"/>
                <w14:textFill>
                  <w14:solidFill>
                    <w14:schemeClr w14:val="tx1"/>
                  </w14:solidFill>
                </w14:textFill>
              </w:rPr>
            </w:pPr>
          </w:p>
        </w:tc>
        <w:tc>
          <w:tcPr>
            <w:tcW w:w="1979" w:type="dxa"/>
            <w:gridSpan w:val="3"/>
            <w:vAlign w:val="center"/>
          </w:tcPr>
          <w:p w14:paraId="7C868CED">
            <w:pPr>
              <w:jc w:val="center"/>
              <w:rPr>
                <w:color w:val="000000" w:themeColor="text1"/>
                <w:highlight w:val="none"/>
                <w14:textFill>
                  <w14:solidFill>
                    <w14:schemeClr w14:val="tx1"/>
                  </w14:solidFill>
                </w14:textFill>
              </w:rPr>
            </w:pPr>
          </w:p>
        </w:tc>
        <w:tc>
          <w:tcPr>
            <w:tcW w:w="1330" w:type="dxa"/>
            <w:gridSpan w:val="2"/>
            <w:vAlign w:val="center"/>
          </w:tcPr>
          <w:p w14:paraId="40E15406">
            <w:pPr>
              <w:jc w:val="center"/>
              <w:rPr>
                <w:color w:val="000000" w:themeColor="text1"/>
                <w:highlight w:val="none"/>
                <w14:textFill>
                  <w14:solidFill>
                    <w14:schemeClr w14:val="tx1"/>
                  </w14:solidFill>
                </w14:textFill>
              </w:rPr>
            </w:pPr>
          </w:p>
        </w:tc>
        <w:tc>
          <w:tcPr>
            <w:tcW w:w="1641" w:type="dxa"/>
            <w:gridSpan w:val="4"/>
            <w:vAlign w:val="center"/>
          </w:tcPr>
          <w:p w14:paraId="543CB3C4">
            <w:pPr>
              <w:jc w:val="center"/>
              <w:rPr>
                <w:color w:val="000000" w:themeColor="text1"/>
                <w:highlight w:val="none"/>
                <w14:textFill>
                  <w14:solidFill>
                    <w14:schemeClr w14:val="tx1"/>
                  </w14:solidFill>
                </w14:textFill>
              </w:rPr>
            </w:pPr>
          </w:p>
        </w:tc>
        <w:tc>
          <w:tcPr>
            <w:tcW w:w="1484" w:type="dxa"/>
            <w:gridSpan w:val="2"/>
            <w:vAlign w:val="center"/>
          </w:tcPr>
          <w:p w14:paraId="2ACE6FBD">
            <w:pPr>
              <w:jc w:val="center"/>
              <w:rPr>
                <w:color w:val="000000" w:themeColor="text1"/>
                <w:highlight w:val="none"/>
                <w14:textFill>
                  <w14:solidFill>
                    <w14:schemeClr w14:val="tx1"/>
                  </w14:solidFill>
                </w14:textFill>
              </w:rPr>
            </w:pPr>
          </w:p>
        </w:tc>
      </w:tr>
      <w:tr w14:paraId="06DAD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7E406CA8">
            <w:pPr>
              <w:jc w:val="center"/>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在建或已完</w:t>
            </w:r>
          </w:p>
        </w:tc>
        <w:tc>
          <w:tcPr>
            <w:tcW w:w="1548" w:type="dxa"/>
            <w:gridSpan w:val="2"/>
            <w:vAlign w:val="center"/>
          </w:tcPr>
          <w:p w14:paraId="43207D02">
            <w:pPr>
              <w:jc w:val="center"/>
              <w:rPr>
                <w:color w:val="000000" w:themeColor="text1"/>
                <w:highlight w:val="none"/>
                <w14:textFill>
                  <w14:solidFill>
                    <w14:schemeClr w14:val="tx1"/>
                  </w14:solidFill>
                </w14:textFill>
              </w:rPr>
            </w:pPr>
          </w:p>
        </w:tc>
        <w:tc>
          <w:tcPr>
            <w:tcW w:w="1979" w:type="dxa"/>
            <w:gridSpan w:val="3"/>
            <w:vAlign w:val="center"/>
          </w:tcPr>
          <w:p w14:paraId="5F9DEF91">
            <w:pPr>
              <w:jc w:val="center"/>
              <w:rPr>
                <w:color w:val="000000" w:themeColor="text1"/>
                <w:highlight w:val="none"/>
                <w14:textFill>
                  <w14:solidFill>
                    <w14:schemeClr w14:val="tx1"/>
                  </w14:solidFill>
                </w14:textFill>
              </w:rPr>
            </w:pPr>
          </w:p>
        </w:tc>
        <w:tc>
          <w:tcPr>
            <w:tcW w:w="1330" w:type="dxa"/>
            <w:gridSpan w:val="2"/>
            <w:vAlign w:val="center"/>
          </w:tcPr>
          <w:p w14:paraId="7868D41A">
            <w:pPr>
              <w:jc w:val="center"/>
              <w:rPr>
                <w:color w:val="000000" w:themeColor="text1"/>
                <w:highlight w:val="none"/>
                <w14:textFill>
                  <w14:solidFill>
                    <w14:schemeClr w14:val="tx1"/>
                  </w14:solidFill>
                </w14:textFill>
              </w:rPr>
            </w:pPr>
          </w:p>
        </w:tc>
        <w:tc>
          <w:tcPr>
            <w:tcW w:w="1641" w:type="dxa"/>
            <w:gridSpan w:val="4"/>
            <w:vAlign w:val="center"/>
          </w:tcPr>
          <w:p w14:paraId="4745BED6">
            <w:pPr>
              <w:jc w:val="center"/>
              <w:rPr>
                <w:color w:val="000000" w:themeColor="text1"/>
                <w:highlight w:val="none"/>
                <w14:textFill>
                  <w14:solidFill>
                    <w14:schemeClr w14:val="tx1"/>
                  </w14:solidFill>
                </w14:textFill>
              </w:rPr>
            </w:pPr>
          </w:p>
        </w:tc>
        <w:tc>
          <w:tcPr>
            <w:tcW w:w="1484" w:type="dxa"/>
            <w:gridSpan w:val="2"/>
            <w:vAlign w:val="center"/>
          </w:tcPr>
          <w:p w14:paraId="623A2C56">
            <w:pPr>
              <w:jc w:val="center"/>
              <w:rPr>
                <w:color w:val="000000" w:themeColor="text1"/>
                <w:highlight w:val="none"/>
                <w14:textFill>
                  <w14:solidFill>
                    <w14:schemeClr w14:val="tx1"/>
                  </w14:solidFill>
                </w14:textFill>
              </w:rPr>
            </w:pPr>
          </w:p>
        </w:tc>
      </w:tr>
      <w:tr w14:paraId="24E24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3ED10718">
            <w:pPr>
              <w:jc w:val="center"/>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工程质量</w:t>
            </w:r>
          </w:p>
        </w:tc>
        <w:tc>
          <w:tcPr>
            <w:tcW w:w="1548" w:type="dxa"/>
            <w:gridSpan w:val="2"/>
            <w:vAlign w:val="center"/>
          </w:tcPr>
          <w:p w14:paraId="31A94B72">
            <w:pPr>
              <w:jc w:val="center"/>
              <w:rPr>
                <w:color w:val="000000" w:themeColor="text1"/>
                <w:highlight w:val="none"/>
                <w14:textFill>
                  <w14:solidFill>
                    <w14:schemeClr w14:val="tx1"/>
                  </w14:solidFill>
                </w14:textFill>
              </w:rPr>
            </w:pPr>
          </w:p>
        </w:tc>
        <w:tc>
          <w:tcPr>
            <w:tcW w:w="1979" w:type="dxa"/>
            <w:gridSpan w:val="3"/>
            <w:vAlign w:val="center"/>
          </w:tcPr>
          <w:p w14:paraId="789C6556">
            <w:pPr>
              <w:jc w:val="center"/>
              <w:rPr>
                <w:color w:val="000000" w:themeColor="text1"/>
                <w:highlight w:val="none"/>
                <w14:textFill>
                  <w14:solidFill>
                    <w14:schemeClr w14:val="tx1"/>
                  </w14:solidFill>
                </w14:textFill>
              </w:rPr>
            </w:pPr>
          </w:p>
        </w:tc>
        <w:tc>
          <w:tcPr>
            <w:tcW w:w="1330" w:type="dxa"/>
            <w:gridSpan w:val="2"/>
            <w:vAlign w:val="center"/>
          </w:tcPr>
          <w:p w14:paraId="359D4468">
            <w:pPr>
              <w:jc w:val="center"/>
              <w:rPr>
                <w:color w:val="000000" w:themeColor="text1"/>
                <w:highlight w:val="none"/>
                <w14:textFill>
                  <w14:solidFill>
                    <w14:schemeClr w14:val="tx1"/>
                  </w14:solidFill>
                </w14:textFill>
              </w:rPr>
            </w:pPr>
          </w:p>
        </w:tc>
        <w:tc>
          <w:tcPr>
            <w:tcW w:w="1641" w:type="dxa"/>
            <w:gridSpan w:val="4"/>
            <w:vAlign w:val="center"/>
          </w:tcPr>
          <w:p w14:paraId="4FCE8C0B">
            <w:pPr>
              <w:jc w:val="center"/>
              <w:rPr>
                <w:color w:val="000000" w:themeColor="text1"/>
                <w:highlight w:val="none"/>
                <w14:textFill>
                  <w14:solidFill>
                    <w14:schemeClr w14:val="tx1"/>
                  </w14:solidFill>
                </w14:textFill>
              </w:rPr>
            </w:pPr>
          </w:p>
        </w:tc>
        <w:tc>
          <w:tcPr>
            <w:tcW w:w="1484" w:type="dxa"/>
            <w:gridSpan w:val="2"/>
            <w:vAlign w:val="center"/>
          </w:tcPr>
          <w:p w14:paraId="15817D4F">
            <w:pPr>
              <w:jc w:val="center"/>
              <w:rPr>
                <w:color w:val="000000" w:themeColor="text1"/>
                <w:highlight w:val="none"/>
                <w14:textFill>
                  <w14:solidFill>
                    <w14:schemeClr w14:val="tx1"/>
                  </w14:solidFill>
                </w14:textFill>
              </w:rPr>
            </w:pPr>
          </w:p>
        </w:tc>
      </w:tr>
      <w:tr w14:paraId="4E73E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4DEF4E00">
            <w:pPr>
              <w:jc w:val="center"/>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受奖情况</w:t>
            </w:r>
          </w:p>
        </w:tc>
        <w:tc>
          <w:tcPr>
            <w:tcW w:w="1548" w:type="dxa"/>
            <w:gridSpan w:val="2"/>
            <w:vAlign w:val="center"/>
          </w:tcPr>
          <w:p w14:paraId="5A308D41">
            <w:pPr>
              <w:jc w:val="center"/>
              <w:rPr>
                <w:color w:val="000000" w:themeColor="text1"/>
                <w:highlight w:val="none"/>
                <w14:textFill>
                  <w14:solidFill>
                    <w14:schemeClr w14:val="tx1"/>
                  </w14:solidFill>
                </w14:textFill>
              </w:rPr>
            </w:pPr>
          </w:p>
        </w:tc>
        <w:tc>
          <w:tcPr>
            <w:tcW w:w="1979" w:type="dxa"/>
            <w:gridSpan w:val="3"/>
            <w:vAlign w:val="center"/>
          </w:tcPr>
          <w:p w14:paraId="5CB38452">
            <w:pPr>
              <w:jc w:val="center"/>
              <w:rPr>
                <w:color w:val="000000" w:themeColor="text1"/>
                <w:highlight w:val="none"/>
                <w14:textFill>
                  <w14:solidFill>
                    <w14:schemeClr w14:val="tx1"/>
                  </w14:solidFill>
                </w14:textFill>
              </w:rPr>
            </w:pPr>
          </w:p>
        </w:tc>
        <w:tc>
          <w:tcPr>
            <w:tcW w:w="1330" w:type="dxa"/>
            <w:gridSpan w:val="2"/>
            <w:vAlign w:val="center"/>
          </w:tcPr>
          <w:p w14:paraId="3C377A3A">
            <w:pPr>
              <w:jc w:val="center"/>
              <w:rPr>
                <w:color w:val="000000" w:themeColor="text1"/>
                <w:highlight w:val="none"/>
                <w14:textFill>
                  <w14:solidFill>
                    <w14:schemeClr w14:val="tx1"/>
                  </w14:solidFill>
                </w14:textFill>
              </w:rPr>
            </w:pPr>
          </w:p>
        </w:tc>
        <w:tc>
          <w:tcPr>
            <w:tcW w:w="1641" w:type="dxa"/>
            <w:gridSpan w:val="4"/>
            <w:vAlign w:val="center"/>
          </w:tcPr>
          <w:p w14:paraId="7B7F6B16">
            <w:pPr>
              <w:jc w:val="center"/>
              <w:rPr>
                <w:color w:val="000000" w:themeColor="text1"/>
                <w:highlight w:val="none"/>
                <w14:textFill>
                  <w14:solidFill>
                    <w14:schemeClr w14:val="tx1"/>
                  </w14:solidFill>
                </w14:textFill>
              </w:rPr>
            </w:pPr>
          </w:p>
        </w:tc>
        <w:tc>
          <w:tcPr>
            <w:tcW w:w="1484" w:type="dxa"/>
            <w:gridSpan w:val="2"/>
            <w:vAlign w:val="center"/>
          </w:tcPr>
          <w:p w14:paraId="7BF3F391">
            <w:pPr>
              <w:jc w:val="center"/>
              <w:rPr>
                <w:color w:val="000000" w:themeColor="text1"/>
                <w:highlight w:val="none"/>
                <w14:textFill>
                  <w14:solidFill>
                    <w14:schemeClr w14:val="tx1"/>
                  </w14:solidFill>
                </w14:textFill>
              </w:rPr>
            </w:pPr>
          </w:p>
        </w:tc>
      </w:tr>
    </w:tbl>
    <w:p w14:paraId="4C5AFCA5">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s="楷体_GB2312"/>
          <w:color w:val="000000" w:themeColor="text1"/>
          <w:szCs w:val="21"/>
          <w:highlight w:val="none"/>
          <w14:textFill>
            <w14:solidFill>
              <w14:schemeClr w14:val="tx1"/>
            </w14:solidFill>
          </w14:textFill>
        </w:rPr>
        <w:t>备注：</w:t>
      </w:r>
    </w:p>
    <w:p w14:paraId="1C9DF482">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.项目</w:t>
      </w:r>
      <w:r>
        <w:rPr>
          <w:rFonts w:ascii="宋体" w:hAnsi="宋体"/>
          <w:color w:val="000000" w:themeColor="text1"/>
          <w:szCs w:val="21"/>
          <w:highlight w:val="none"/>
          <w14:textFill>
            <w14:solidFill>
              <w14:schemeClr w14:val="tx1"/>
            </w14:solidFill>
          </w14:textFill>
        </w:rPr>
        <w:t>数</w:t>
      </w:r>
      <w:r>
        <w:rPr>
          <w:rFonts w:hint="eastAsia" w:ascii="宋体" w:hAnsi="宋体"/>
          <w:color w:val="000000" w:themeColor="text1"/>
          <w:szCs w:val="21"/>
          <w:highlight w:val="none"/>
          <w14:textFill>
            <w14:solidFill>
              <w14:schemeClr w14:val="tx1"/>
            </w14:solidFill>
          </w14:textFill>
        </w:rPr>
        <w:t>可</w:t>
      </w:r>
      <w:r>
        <w:rPr>
          <w:rFonts w:ascii="宋体" w:hAnsi="宋体"/>
          <w:color w:val="000000" w:themeColor="text1"/>
          <w:szCs w:val="21"/>
          <w:highlight w:val="none"/>
          <w14:textFill>
            <w14:solidFill>
              <w14:schemeClr w14:val="tx1"/>
            </w14:solidFill>
          </w14:textFill>
        </w:rPr>
        <w:t>以根据需要增加。</w:t>
      </w:r>
    </w:p>
    <w:p w14:paraId="2612302F">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2.本表后附项目技术负责人（项目总工）的</w:t>
      </w:r>
      <w:r>
        <w:rPr>
          <w:color w:val="000000" w:themeColor="text1"/>
          <w:highlight w:val="none"/>
          <w14:textFill>
            <w14:solidFill>
              <w14:schemeClr w14:val="tx1"/>
            </w14:solidFill>
          </w14:textFill>
        </w:rPr>
        <w:t>职称证书复印件（或打印件）</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本表所列证书复印件并加盖供应商电子签章。</w:t>
      </w:r>
    </w:p>
    <w:p w14:paraId="3711C5FE">
      <w:pPr>
        <w:spacing w:line="360" w:lineRule="auto"/>
        <w:rPr>
          <w:rFonts w:eastAsia="楷体_GB2312"/>
          <w:color w:val="000000" w:themeColor="text1"/>
          <w:highlight w:val="none"/>
          <w14:textFill>
            <w14:solidFill>
              <w14:schemeClr w14:val="tx1"/>
            </w14:solidFill>
          </w14:textFill>
        </w:rPr>
      </w:pPr>
    </w:p>
    <w:p w14:paraId="51FDE450">
      <w:pPr>
        <w:pStyle w:val="157"/>
        <w:spacing w:line="360" w:lineRule="auto"/>
        <w:jc w:val="center"/>
        <w:outlineLvl w:val="0"/>
        <w:rPr>
          <w:color w:val="000000" w:themeColor="text1"/>
          <w:sz w:val="28"/>
          <w:szCs w:val="28"/>
          <w:highlight w:val="none"/>
          <w:u w:val="single"/>
          <w14:textFill>
            <w14:solidFill>
              <w14:schemeClr w14:val="tx1"/>
            </w14:solidFill>
          </w14:textFill>
        </w:rPr>
      </w:pPr>
      <w:r>
        <w:rPr>
          <w:rFonts w:cs="宋体"/>
          <w:b/>
          <w:bCs/>
          <w:color w:val="000000" w:themeColor="text1"/>
          <w:sz w:val="28"/>
          <w:szCs w:val="28"/>
          <w:highlight w:val="none"/>
          <w14:textFill>
            <w14:solidFill>
              <w14:schemeClr w14:val="tx1"/>
            </w14:solidFill>
          </w14:textFill>
        </w:rPr>
        <w:br w:type="page"/>
      </w:r>
      <w:bookmarkStart w:id="208" w:name="_Toc122424017"/>
      <w:bookmarkStart w:id="209" w:name="_Toc122424266"/>
      <w:r>
        <w:rPr>
          <w:rFonts w:hint="eastAsia" w:cs="宋体"/>
          <w:b/>
          <w:color w:val="000000" w:themeColor="text1"/>
          <w:sz w:val="28"/>
          <w:szCs w:val="28"/>
          <w:highlight w:val="none"/>
          <w14:textFill>
            <w14:solidFill>
              <w14:schemeClr w14:val="tx1"/>
            </w14:solidFill>
          </w14:textFill>
        </w:rPr>
        <w:t>专职安全生产管理人员</w:t>
      </w:r>
      <w:bookmarkEnd w:id="208"/>
      <w:bookmarkEnd w:id="209"/>
    </w:p>
    <w:tbl>
      <w:tblPr>
        <w:tblStyle w:val="43"/>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
        <w:gridCol w:w="1154"/>
        <w:gridCol w:w="464"/>
        <w:gridCol w:w="888"/>
        <w:gridCol w:w="660"/>
        <w:gridCol w:w="328"/>
        <w:gridCol w:w="234"/>
        <w:gridCol w:w="1417"/>
        <w:gridCol w:w="242"/>
        <w:gridCol w:w="1088"/>
        <w:gridCol w:w="88"/>
        <w:gridCol w:w="409"/>
        <w:gridCol w:w="1108"/>
        <w:gridCol w:w="36"/>
        <w:gridCol w:w="79"/>
        <w:gridCol w:w="1405"/>
        <w:gridCol w:w="11"/>
      </w:tblGrid>
      <w:tr w14:paraId="32F14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154" w:type="dxa"/>
            <w:vAlign w:val="center"/>
          </w:tcPr>
          <w:p w14:paraId="347037B9">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姓名</w:t>
            </w:r>
          </w:p>
        </w:tc>
        <w:tc>
          <w:tcPr>
            <w:tcW w:w="2340" w:type="dxa"/>
            <w:gridSpan w:val="4"/>
            <w:vAlign w:val="center"/>
          </w:tcPr>
          <w:p w14:paraId="41DEB975">
            <w:pPr>
              <w:jc w:val="center"/>
              <w:rPr>
                <w:color w:val="000000" w:themeColor="text1"/>
                <w:highlight w:val="none"/>
                <w14:textFill>
                  <w14:solidFill>
                    <w14:schemeClr w14:val="tx1"/>
                  </w14:solidFill>
                </w14:textFill>
              </w:rPr>
            </w:pPr>
          </w:p>
        </w:tc>
        <w:tc>
          <w:tcPr>
            <w:tcW w:w="1893" w:type="dxa"/>
            <w:gridSpan w:val="3"/>
            <w:vAlign w:val="center"/>
          </w:tcPr>
          <w:p w14:paraId="2CB9692C">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性别</w:t>
            </w:r>
          </w:p>
        </w:tc>
        <w:tc>
          <w:tcPr>
            <w:tcW w:w="1585" w:type="dxa"/>
            <w:gridSpan w:val="3"/>
            <w:vAlign w:val="center"/>
          </w:tcPr>
          <w:p w14:paraId="5C15282E">
            <w:pPr>
              <w:jc w:val="center"/>
              <w:rPr>
                <w:color w:val="000000" w:themeColor="text1"/>
                <w:highlight w:val="none"/>
                <w14:textFill>
                  <w14:solidFill>
                    <w14:schemeClr w14:val="tx1"/>
                  </w14:solidFill>
                </w14:textFill>
              </w:rPr>
            </w:pPr>
          </w:p>
        </w:tc>
        <w:tc>
          <w:tcPr>
            <w:tcW w:w="1108" w:type="dxa"/>
            <w:vAlign w:val="center"/>
          </w:tcPr>
          <w:p w14:paraId="552C2C62">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年龄</w:t>
            </w:r>
          </w:p>
        </w:tc>
        <w:tc>
          <w:tcPr>
            <w:tcW w:w="1531" w:type="dxa"/>
            <w:gridSpan w:val="4"/>
            <w:vAlign w:val="center"/>
          </w:tcPr>
          <w:p w14:paraId="35B21A2B">
            <w:pPr>
              <w:jc w:val="center"/>
              <w:rPr>
                <w:color w:val="000000" w:themeColor="text1"/>
                <w:highlight w:val="none"/>
                <w14:textFill>
                  <w14:solidFill>
                    <w14:schemeClr w14:val="tx1"/>
                  </w14:solidFill>
                </w14:textFill>
              </w:rPr>
            </w:pPr>
          </w:p>
        </w:tc>
      </w:tr>
      <w:tr w14:paraId="2B35D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54" w:type="dxa"/>
            <w:vAlign w:val="center"/>
          </w:tcPr>
          <w:p w14:paraId="37559F14">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岗位</w:t>
            </w:r>
          </w:p>
        </w:tc>
        <w:tc>
          <w:tcPr>
            <w:tcW w:w="2340" w:type="dxa"/>
            <w:gridSpan w:val="4"/>
            <w:vAlign w:val="center"/>
          </w:tcPr>
          <w:p w14:paraId="66ADE68C">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专职安全生产管理人员</w:t>
            </w:r>
          </w:p>
        </w:tc>
        <w:tc>
          <w:tcPr>
            <w:tcW w:w="1893" w:type="dxa"/>
            <w:gridSpan w:val="3"/>
            <w:vAlign w:val="center"/>
          </w:tcPr>
          <w:p w14:paraId="2458C1F2">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职称</w:t>
            </w:r>
          </w:p>
        </w:tc>
        <w:tc>
          <w:tcPr>
            <w:tcW w:w="1585" w:type="dxa"/>
            <w:gridSpan w:val="3"/>
            <w:vAlign w:val="center"/>
          </w:tcPr>
          <w:p w14:paraId="4D05BBE9">
            <w:pPr>
              <w:jc w:val="center"/>
              <w:rPr>
                <w:color w:val="000000" w:themeColor="text1"/>
                <w:highlight w:val="none"/>
                <w14:textFill>
                  <w14:solidFill>
                    <w14:schemeClr w14:val="tx1"/>
                  </w14:solidFill>
                </w14:textFill>
              </w:rPr>
            </w:pPr>
          </w:p>
        </w:tc>
        <w:tc>
          <w:tcPr>
            <w:tcW w:w="1108" w:type="dxa"/>
            <w:vAlign w:val="center"/>
          </w:tcPr>
          <w:p w14:paraId="17680000">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学历</w:t>
            </w:r>
          </w:p>
        </w:tc>
        <w:tc>
          <w:tcPr>
            <w:tcW w:w="1531" w:type="dxa"/>
            <w:gridSpan w:val="4"/>
            <w:vAlign w:val="center"/>
          </w:tcPr>
          <w:p w14:paraId="03F5BC32">
            <w:pPr>
              <w:jc w:val="center"/>
              <w:rPr>
                <w:color w:val="000000" w:themeColor="text1"/>
                <w:highlight w:val="none"/>
                <w14:textFill>
                  <w14:solidFill>
                    <w14:schemeClr w14:val="tx1"/>
                  </w14:solidFill>
                </w14:textFill>
              </w:rPr>
            </w:pPr>
          </w:p>
        </w:tc>
      </w:tr>
      <w:tr w14:paraId="2D318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54" w:type="dxa"/>
            <w:vAlign w:val="center"/>
          </w:tcPr>
          <w:p w14:paraId="32322E7E">
            <w:pPr>
              <w:jc w:val="center"/>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从业开始时间</w:t>
            </w:r>
          </w:p>
        </w:tc>
        <w:tc>
          <w:tcPr>
            <w:tcW w:w="2340" w:type="dxa"/>
            <w:gridSpan w:val="4"/>
            <w:vAlign w:val="center"/>
          </w:tcPr>
          <w:p w14:paraId="47350F65">
            <w:pPr>
              <w:jc w:val="center"/>
              <w:rPr>
                <w:color w:val="000000" w:themeColor="text1"/>
                <w:highlight w:val="none"/>
                <w14:textFill>
                  <w14:solidFill>
                    <w14:schemeClr w14:val="tx1"/>
                  </w14:solidFill>
                </w14:textFill>
              </w:rPr>
            </w:pPr>
          </w:p>
        </w:tc>
        <w:tc>
          <w:tcPr>
            <w:tcW w:w="1893" w:type="dxa"/>
            <w:gridSpan w:val="3"/>
            <w:vAlign w:val="center"/>
          </w:tcPr>
          <w:p w14:paraId="50016A45">
            <w:pPr>
              <w:jc w:val="center"/>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职称</w:t>
            </w:r>
            <w:r>
              <w:rPr>
                <w:rFonts w:cs="宋体"/>
                <w:color w:val="000000" w:themeColor="text1"/>
                <w:highlight w:val="none"/>
                <w14:textFill>
                  <w14:solidFill>
                    <w14:schemeClr w14:val="tx1"/>
                  </w14:solidFill>
                </w14:textFill>
              </w:rPr>
              <w:t>获</w:t>
            </w:r>
            <w:r>
              <w:rPr>
                <w:rFonts w:hint="eastAsia" w:cs="宋体"/>
                <w:color w:val="000000" w:themeColor="text1"/>
                <w:highlight w:val="none"/>
                <w14:textFill>
                  <w14:solidFill>
                    <w14:schemeClr w14:val="tx1"/>
                  </w14:solidFill>
                </w14:textFill>
              </w:rPr>
              <w:t>得</w:t>
            </w:r>
            <w:r>
              <w:rPr>
                <w:rFonts w:cs="宋体"/>
                <w:color w:val="000000" w:themeColor="text1"/>
                <w:highlight w:val="none"/>
                <w14:textFill>
                  <w14:solidFill>
                    <w14:schemeClr w14:val="tx1"/>
                  </w14:solidFill>
                </w14:textFill>
              </w:rPr>
              <w:t>时间</w:t>
            </w:r>
          </w:p>
        </w:tc>
        <w:tc>
          <w:tcPr>
            <w:tcW w:w="1585" w:type="dxa"/>
            <w:gridSpan w:val="3"/>
            <w:vAlign w:val="center"/>
          </w:tcPr>
          <w:p w14:paraId="5D340828">
            <w:pPr>
              <w:jc w:val="center"/>
              <w:rPr>
                <w:color w:val="000000" w:themeColor="text1"/>
                <w:highlight w:val="none"/>
                <w14:textFill>
                  <w14:solidFill>
                    <w14:schemeClr w14:val="tx1"/>
                  </w14:solidFill>
                </w14:textFill>
              </w:rPr>
            </w:pPr>
          </w:p>
        </w:tc>
        <w:tc>
          <w:tcPr>
            <w:tcW w:w="1108" w:type="dxa"/>
            <w:vAlign w:val="center"/>
          </w:tcPr>
          <w:p w14:paraId="68065A65">
            <w:pPr>
              <w:jc w:val="center"/>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毕业时间</w:t>
            </w:r>
          </w:p>
        </w:tc>
        <w:tc>
          <w:tcPr>
            <w:tcW w:w="1531" w:type="dxa"/>
            <w:gridSpan w:val="4"/>
            <w:vAlign w:val="center"/>
          </w:tcPr>
          <w:p w14:paraId="50E58CC9">
            <w:pPr>
              <w:jc w:val="center"/>
              <w:rPr>
                <w:color w:val="000000" w:themeColor="text1"/>
                <w:highlight w:val="none"/>
                <w14:textFill>
                  <w14:solidFill>
                    <w14:schemeClr w14:val="tx1"/>
                  </w14:solidFill>
                </w14:textFill>
              </w:rPr>
            </w:pPr>
          </w:p>
        </w:tc>
      </w:tr>
      <w:tr w14:paraId="55B76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154" w:type="dxa"/>
            <w:vAlign w:val="center"/>
          </w:tcPr>
          <w:p w14:paraId="26DF4881">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担任……年限</w:t>
            </w:r>
          </w:p>
        </w:tc>
        <w:tc>
          <w:tcPr>
            <w:tcW w:w="2574" w:type="dxa"/>
            <w:gridSpan w:val="5"/>
            <w:vAlign w:val="center"/>
          </w:tcPr>
          <w:p w14:paraId="43007A73">
            <w:pPr>
              <w:jc w:val="center"/>
              <w:rPr>
                <w:color w:val="000000" w:themeColor="text1"/>
                <w:highlight w:val="none"/>
                <w14:textFill>
                  <w14:solidFill>
                    <w14:schemeClr w14:val="tx1"/>
                  </w14:solidFill>
                </w14:textFill>
              </w:rPr>
            </w:pPr>
          </w:p>
        </w:tc>
        <w:tc>
          <w:tcPr>
            <w:tcW w:w="1417" w:type="dxa"/>
            <w:vAlign w:val="center"/>
          </w:tcPr>
          <w:p w14:paraId="16D9889F">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身份</w:t>
            </w:r>
            <w:r>
              <w:rPr>
                <w:color w:val="000000" w:themeColor="text1"/>
                <w:highlight w:val="none"/>
                <w14:textFill>
                  <w14:solidFill>
                    <w14:schemeClr w14:val="tx1"/>
                  </w14:solidFill>
                </w14:textFill>
              </w:rPr>
              <w:t>证号码</w:t>
            </w:r>
          </w:p>
        </w:tc>
        <w:tc>
          <w:tcPr>
            <w:tcW w:w="4466" w:type="dxa"/>
            <w:gridSpan w:val="9"/>
            <w:vAlign w:val="center"/>
          </w:tcPr>
          <w:p w14:paraId="567CB921">
            <w:pPr>
              <w:jc w:val="center"/>
              <w:rPr>
                <w:color w:val="000000" w:themeColor="text1"/>
                <w:highlight w:val="none"/>
                <w14:textFill>
                  <w14:solidFill>
                    <w14:schemeClr w14:val="tx1"/>
                  </w14:solidFill>
                </w14:textFill>
              </w:rPr>
            </w:pPr>
          </w:p>
        </w:tc>
      </w:tr>
      <w:tr w14:paraId="456B5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154" w:type="dxa"/>
            <w:vAlign w:val="center"/>
          </w:tcPr>
          <w:p w14:paraId="77763D3F">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证书名称</w:t>
            </w:r>
          </w:p>
        </w:tc>
        <w:tc>
          <w:tcPr>
            <w:tcW w:w="1352" w:type="dxa"/>
            <w:gridSpan w:val="2"/>
            <w:vAlign w:val="center"/>
          </w:tcPr>
          <w:p w14:paraId="4C0EE6EC">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注册专业</w:t>
            </w:r>
          </w:p>
        </w:tc>
        <w:tc>
          <w:tcPr>
            <w:tcW w:w="1222" w:type="dxa"/>
            <w:gridSpan w:val="3"/>
            <w:vAlign w:val="center"/>
          </w:tcPr>
          <w:p w14:paraId="6A6C36BB">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级别</w:t>
            </w:r>
          </w:p>
        </w:tc>
        <w:tc>
          <w:tcPr>
            <w:tcW w:w="1417" w:type="dxa"/>
            <w:vAlign w:val="center"/>
          </w:tcPr>
          <w:p w14:paraId="3C3BE2BE">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证书编号</w:t>
            </w:r>
          </w:p>
        </w:tc>
        <w:tc>
          <w:tcPr>
            <w:tcW w:w="1418" w:type="dxa"/>
            <w:gridSpan w:val="3"/>
            <w:vAlign w:val="center"/>
          </w:tcPr>
          <w:p w14:paraId="104C490A">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注册时间</w:t>
            </w:r>
          </w:p>
        </w:tc>
        <w:tc>
          <w:tcPr>
            <w:tcW w:w="1632" w:type="dxa"/>
            <w:gridSpan w:val="4"/>
            <w:vAlign w:val="center"/>
          </w:tcPr>
          <w:p w14:paraId="3C23E262">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注册单位</w:t>
            </w:r>
          </w:p>
        </w:tc>
        <w:tc>
          <w:tcPr>
            <w:tcW w:w="1416" w:type="dxa"/>
            <w:gridSpan w:val="2"/>
            <w:vAlign w:val="center"/>
          </w:tcPr>
          <w:p w14:paraId="70330427">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注册有效期</w:t>
            </w:r>
          </w:p>
        </w:tc>
      </w:tr>
      <w:tr w14:paraId="0AA7B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154" w:type="dxa"/>
            <w:vAlign w:val="center"/>
          </w:tcPr>
          <w:p w14:paraId="2D26A5D0">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安全生产考核合格证书</w:t>
            </w:r>
          </w:p>
        </w:tc>
        <w:tc>
          <w:tcPr>
            <w:tcW w:w="1352" w:type="dxa"/>
            <w:gridSpan w:val="2"/>
            <w:vAlign w:val="center"/>
          </w:tcPr>
          <w:p w14:paraId="45B92548">
            <w:pPr>
              <w:jc w:val="center"/>
              <w:rPr>
                <w:color w:val="000000" w:themeColor="text1"/>
                <w:highlight w:val="none"/>
                <w14:textFill>
                  <w14:solidFill>
                    <w14:schemeClr w14:val="tx1"/>
                  </w14:solidFill>
                </w14:textFill>
              </w:rPr>
            </w:pPr>
          </w:p>
        </w:tc>
        <w:tc>
          <w:tcPr>
            <w:tcW w:w="1222" w:type="dxa"/>
            <w:gridSpan w:val="3"/>
            <w:vAlign w:val="center"/>
          </w:tcPr>
          <w:p w14:paraId="1E4D534B">
            <w:pPr>
              <w:jc w:val="center"/>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C类</w:t>
            </w:r>
          </w:p>
        </w:tc>
        <w:tc>
          <w:tcPr>
            <w:tcW w:w="1417" w:type="dxa"/>
            <w:vAlign w:val="center"/>
          </w:tcPr>
          <w:p w14:paraId="1C01D7FA">
            <w:pPr>
              <w:jc w:val="center"/>
              <w:rPr>
                <w:color w:val="000000" w:themeColor="text1"/>
                <w:highlight w:val="none"/>
                <w14:textFill>
                  <w14:solidFill>
                    <w14:schemeClr w14:val="tx1"/>
                  </w14:solidFill>
                </w14:textFill>
              </w:rPr>
            </w:pPr>
          </w:p>
        </w:tc>
        <w:tc>
          <w:tcPr>
            <w:tcW w:w="1418" w:type="dxa"/>
            <w:gridSpan w:val="3"/>
            <w:vAlign w:val="center"/>
          </w:tcPr>
          <w:p w14:paraId="247E772F">
            <w:pPr>
              <w:jc w:val="center"/>
              <w:rPr>
                <w:color w:val="000000" w:themeColor="text1"/>
                <w:highlight w:val="none"/>
                <w14:textFill>
                  <w14:solidFill>
                    <w14:schemeClr w14:val="tx1"/>
                  </w14:solidFill>
                </w14:textFill>
              </w:rPr>
            </w:pPr>
          </w:p>
        </w:tc>
        <w:tc>
          <w:tcPr>
            <w:tcW w:w="1632" w:type="dxa"/>
            <w:gridSpan w:val="4"/>
            <w:vAlign w:val="center"/>
          </w:tcPr>
          <w:p w14:paraId="1F724664">
            <w:pPr>
              <w:jc w:val="center"/>
              <w:rPr>
                <w:color w:val="000000" w:themeColor="text1"/>
                <w:highlight w:val="none"/>
                <w14:textFill>
                  <w14:solidFill>
                    <w14:schemeClr w14:val="tx1"/>
                  </w14:solidFill>
                </w14:textFill>
              </w:rPr>
            </w:pPr>
          </w:p>
        </w:tc>
        <w:tc>
          <w:tcPr>
            <w:tcW w:w="1416" w:type="dxa"/>
            <w:gridSpan w:val="2"/>
            <w:vAlign w:val="center"/>
          </w:tcPr>
          <w:p w14:paraId="6110CBEB">
            <w:pPr>
              <w:jc w:val="center"/>
              <w:rPr>
                <w:color w:val="000000" w:themeColor="text1"/>
                <w:highlight w:val="none"/>
                <w14:textFill>
                  <w14:solidFill>
                    <w14:schemeClr w14:val="tx1"/>
                  </w14:solidFill>
                </w14:textFill>
              </w:rPr>
            </w:pPr>
          </w:p>
        </w:tc>
      </w:tr>
      <w:tr w14:paraId="693AE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154" w:type="dxa"/>
            <w:vAlign w:val="center"/>
          </w:tcPr>
          <w:p w14:paraId="69AE8FE5">
            <w:pPr>
              <w:jc w:val="center"/>
              <w:rPr>
                <w:color w:val="000000" w:themeColor="text1"/>
                <w:highlight w:val="none"/>
                <w14:textFill>
                  <w14:solidFill>
                    <w14:schemeClr w14:val="tx1"/>
                  </w14:solidFill>
                </w14:textFill>
              </w:rPr>
            </w:pPr>
          </w:p>
        </w:tc>
        <w:tc>
          <w:tcPr>
            <w:tcW w:w="1352" w:type="dxa"/>
            <w:gridSpan w:val="2"/>
            <w:vAlign w:val="center"/>
          </w:tcPr>
          <w:p w14:paraId="04A64402">
            <w:pPr>
              <w:jc w:val="center"/>
              <w:rPr>
                <w:color w:val="000000" w:themeColor="text1"/>
                <w:highlight w:val="none"/>
                <w14:textFill>
                  <w14:solidFill>
                    <w14:schemeClr w14:val="tx1"/>
                  </w14:solidFill>
                </w14:textFill>
              </w:rPr>
            </w:pPr>
          </w:p>
        </w:tc>
        <w:tc>
          <w:tcPr>
            <w:tcW w:w="1222" w:type="dxa"/>
            <w:gridSpan w:val="3"/>
            <w:vAlign w:val="center"/>
          </w:tcPr>
          <w:p w14:paraId="765950B0">
            <w:pPr>
              <w:jc w:val="center"/>
              <w:rPr>
                <w:rFonts w:cs="宋体"/>
                <w:color w:val="000000" w:themeColor="text1"/>
                <w:highlight w:val="none"/>
                <w14:textFill>
                  <w14:solidFill>
                    <w14:schemeClr w14:val="tx1"/>
                  </w14:solidFill>
                </w14:textFill>
              </w:rPr>
            </w:pPr>
          </w:p>
        </w:tc>
        <w:tc>
          <w:tcPr>
            <w:tcW w:w="1417" w:type="dxa"/>
            <w:vAlign w:val="center"/>
          </w:tcPr>
          <w:p w14:paraId="23BF6D0D">
            <w:pPr>
              <w:jc w:val="center"/>
              <w:rPr>
                <w:color w:val="000000" w:themeColor="text1"/>
                <w:highlight w:val="none"/>
                <w14:textFill>
                  <w14:solidFill>
                    <w14:schemeClr w14:val="tx1"/>
                  </w14:solidFill>
                </w14:textFill>
              </w:rPr>
            </w:pPr>
          </w:p>
        </w:tc>
        <w:tc>
          <w:tcPr>
            <w:tcW w:w="1418" w:type="dxa"/>
            <w:gridSpan w:val="3"/>
            <w:vAlign w:val="center"/>
          </w:tcPr>
          <w:p w14:paraId="31C5A459">
            <w:pPr>
              <w:jc w:val="center"/>
              <w:rPr>
                <w:color w:val="000000" w:themeColor="text1"/>
                <w:highlight w:val="none"/>
                <w14:textFill>
                  <w14:solidFill>
                    <w14:schemeClr w14:val="tx1"/>
                  </w14:solidFill>
                </w14:textFill>
              </w:rPr>
            </w:pPr>
          </w:p>
        </w:tc>
        <w:tc>
          <w:tcPr>
            <w:tcW w:w="1632" w:type="dxa"/>
            <w:gridSpan w:val="4"/>
            <w:vAlign w:val="center"/>
          </w:tcPr>
          <w:p w14:paraId="2CC4C594">
            <w:pPr>
              <w:jc w:val="center"/>
              <w:rPr>
                <w:color w:val="000000" w:themeColor="text1"/>
                <w:highlight w:val="none"/>
                <w14:textFill>
                  <w14:solidFill>
                    <w14:schemeClr w14:val="tx1"/>
                  </w14:solidFill>
                </w14:textFill>
              </w:rPr>
            </w:pPr>
          </w:p>
        </w:tc>
        <w:tc>
          <w:tcPr>
            <w:tcW w:w="1416" w:type="dxa"/>
            <w:gridSpan w:val="2"/>
            <w:vAlign w:val="center"/>
          </w:tcPr>
          <w:p w14:paraId="243B56BC">
            <w:pPr>
              <w:jc w:val="center"/>
              <w:rPr>
                <w:color w:val="000000" w:themeColor="text1"/>
                <w:highlight w:val="none"/>
                <w14:textFill>
                  <w14:solidFill>
                    <w14:schemeClr w14:val="tx1"/>
                  </w14:solidFill>
                </w14:textFill>
              </w:rPr>
            </w:pPr>
          </w:p>
        </w:tc>
      </w:tr>
      <w:tr w14:paraId="7ADAD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0" w:hRule="atLeast"/>
          <w:jc w:val="center"/>
        </w:trPr>
        <w:tc>
          <w:tcPr>
            <w:tcW w:w="9611" w:type="dxa"/>
            <w:gridSpan w:val="16"/>
            <w:vAlign w:val="center"/>
          </w:tcPr>
          <w:p w14:paraId="5C658996">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在建和已完工程项目情况</w:t>
            </w:r>
          </w:p>
        </w:tc>
      </w:tr>
      <w:tr w14:paraId="1B273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vAlign w:val="center"/>
          </w:tcPr>
          <w:p w14:paraId="41D7A329">
            <w:pPr>
              <w:jc w:val="center"/>
              <w:rPr>
                <w:color w:val="000000" w:themeColor="text1"/>
                <w:highlight w:val="none"/>
                <w14:textFill>
                  <w14:solidFill>
                    <w14:schemeClr w14:val="tx1"/>
                  </w14:solidFill>
                </w14:textFill>
              </w:rPr>
            </w:pPr>
          </w:p>
        </w:tc>
        <w:tc>
          <w:tcPr>
            <w:tcW w:w="1548" w:type="dxa"/>
            <w:gridSpan w:val="2"/>
            <w:vAlign w:val="center"/>
          </w:tcPr>
          <w:p w14:paraId="36D3ED39">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项目1</w:t>
            </w:r>
          </w:p>
        </w:tc>
        <w:tc>
          <w:tcPr>
            <w:tcW w:w="1979" w:type="dxa"/>
            <w:gridSpan w:val="3"/>
            <w:vAlign w:val="center"/>
          </w:tcPr>
          <w:p w14:paraId="7EBFA2BC">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项目2</w:t>
            </w:r>
          </w:p>
        </w:tc>
        <w:tc>
          <w:tcPr>
            <w:tcW w:w="1330" w:type="dxa"/>
            <w:gridSpan w:val="2"/>
            <w:vAlign w:val="center"/>
          </w:tcPr>
          <w:p w14:paraId="330777CC">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项目3</w:t>
            </w:r>
          </w:p>
        </w:tc>
        <w:tc>
          <w:tcPr>
            <w:tcW w:w="1641" w:type="dxa"/>
            <w:gridSpan w:val="4"/>
            <w:vAlign w:val="center"/>
          </w:tcPr>
          <w:p w14:paraId="094CAEFF">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项目4</w:t>
            </w:r>
          </w:p>
        </w:tc>
        <w:tc>
          <w:tcPr>
            <w:tcW w:w="1484" w:type="dxa"/>
            <w:gridSpan w:val="2"/>
            <w:vAlign w:val="center"/>
          </w:tcPr>
          <w:p w14:paraId="1F5DE8F4">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tc>
      </w:tr>
      <w:tr w14:paraId="11BC5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vAlign w:val="center"/>
          </w:tcPr>
          <w:p w14:paraId="23B8C821">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项目名称</w:t>
            </w:r>
          </w:p>
        </w:tc>
        <w:tc>
          <w:tcPr>
            <w:tcW w:w="1548" w:type="dxa"/>
            <w:gridSpan w:val="2"/>
            <w:vAlign w:val="center"/>
          </w:tcPr>
          <w:p w14:paraId="2E83E98E">
            <w:pPr>
              <w:jc w:val="center"/>
              <w:rPr>
                <w:color w:val="000000" w:themeColor="text1"/>
                <w:highlight w:val="none"/>
                <w14:textFill>
                  <w14:solidFill>
                    <w14:schemeClr w14:val="tx1"/>
                  </w14:solidFill>
                </w14:textFill>
              </w:rPr>
            </w:pPr>
          </w:p>
        </w:tc>
        <w:tc>
          <w:tcPr>
            <w:tcW w:w="1979" w:type="dxa"/>
            <w:gridSpan w:val="3"/>
            <w:vAlign w:val="center"/>
          </w:tcPr>
          <w:p w14:paraId="63C6A50F">
            <w:pPr>
              <w:jc w:val="center"/>
              <w:rPr>
                <w:color w:val="000000" w:themeColor="text1"/>
                <w:highlight w:val="none"/>
                <w14:textFill>
                  <w14:solidFill>
                    <w14:schemeClr w14:val="tx1"/>
                  </w14:solidFill>
                </w14:textFill>
              </w:rPr>
            </w:pPr>
          </w:p>
        </w:tc>
        <w:tc>
          <w:tcPr>
            <w:tcW w:w="1330" w:type="dxa"/>
            <w:gridSpan w:val="2"/>
            <w:vAlign w:val="center"/>
          </w:tcPr>
          <w:p w14:paraId="48E6305E">
            <w:pPr>
              <w:jc w:val="center"/>
              <w:rPr>
                <w:color w:val="000000" w:themeColor="text1"/>
                <w:highlight w:val="none"/>
                <w14:textFill>
                  <w14:solidFill>
                    <w14:schemeClr w14:val="tx1"/>
                  </w14:solidFill>
                </w14:textFill>
              </w:rPr>
            </w:pPr>
          </w:p>
        </w:tc>
        <w:tc>
          <w:tcPr>
            <w:tcW w:w="1641" w:type="dxa"/>
            <w:gridSpan w:val="4"/>
            <w:vAlign w:val="center"/>
          </w:tcPr>
          <w:p w14:paraId="7ED01204">
            <w:pPr>
              <w:jc w:val="center"/>
              <w:rPr>
                <w:color w:val="000000" w:themeColor="text1"/>
                <w:highlight w:val="none"/>
                <w14:textFill>
                  <w14:solidFill>
                    <w14:schemeClr w14:val="tx1"/>
                  </w14:solidFill>
                </w14:textFill>
              </w:rPr>
            </w:pPr>
          </w:p>
        </w:tc>
        <w:tc>
          <w:tcPr>
            <w:tcW w:w="1484" w:type="dxa"/>
            <w:gridSpan w:val="2"/>
            <w:vAlign w:val="center"/>
          </w:tcPr>
          <w:p w14:paraId="3DFE0421">
            <w:pPr>
              <w:jc w:val="center"/>
              <w:rPr>
                <w:color w:val="000000" w:themeColor="text1"/>
                <w:highlight w:val="none"/>
                <w14:textFill>
                  <w14:solidFill>
                    <w14:schemeClr w14:val="tx1"/>
                  </w14:solidFill>
                </w14:textFill>
              </w:rPr>
            </w:pPr>
          </w:p>
        </w:tc>
      </w:tr>
      <w:tr w14:paraId="175FA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38BB9D65">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建设单位</w:t>
            </w:r>
          </w:p>
        </w:tc>
        <w:tc>
          <w:tcPr>
            <w:tcW w:w="1548" w:type="dxa"/>
            <w:gridSpan w:val="2"/>
            <w:vAlign w:val="center"/>
          </w:tcPr>
          <w:p w14:paraId="172B88FD">
            <w:pPr>
              <w:jc w:val="center"/>
              <w:rPr>
                <w:color w:val="000000" w:themeColor="text1"/>
                <w:highlight w:val="none"/>
                <w14:textFill>
                  <w14:solidFill>
                    <w14:schemeClr w14:val="tx1"/>
                  </w14:solidFill>
                </w14:textFill>
              </w:rPr>
            </w:pPr>
          </w:p>
        </w:tc>
        <w:tc>
          <w:tcPr>
            <w:tcW w:w="1979" w:type="dxa"/>
            <w:gridSpan w:val="3"/>
            <w:vAlign w:val="center"/>
          </w:tcPr>
          <w:p w14:paraId="30898BD2">
            <w:pPr>
              <w:jc w:val="center"/>
              <w:rPr>
                <w:color w:val="000000" w:themeColor="text1"/>
                <w:highlight w:val="none"/>
                <w14:textFill>
                  <w14:solidFill>
                    <w14:schemeClr w14:val="tx1"/>
                  </w14:solidFill>
                </w14:textFill>
              </w:rPr>
            </w:pPr>
          </w:p>
        </w:tc>
        <w:tc>
          <w:tcPr>
            <w:tcW w:w="1330" w:type="dxa"/>
            <w:gridSpan w:val="2"/>
            <w:vAlign w:val="center"/>
          </w:tcPr>
          <w:p w14:paraId="5CDF7897">
            <w:pPr>
              <w:jc w:val="center"/>
              <w:rPr>
                <w:color w:val="000000" w:themeColor="text1"/>
                <w:highlight w:val="none"/>
                <w14:textFill>
                  <w14:solidFill>
                    <w14:schemeClr w14:val="tx1"/>
                  </w14:solidFill>
                </w14:textFill>
              </w:rPr>
            </w:pPr>
          </w:p>
        </w:tc>
        <w:tc>
          <w:tcPr>
            <w:tcW w:w="1641" w:type="dxa"/>
            <w:gridSpan w:val="4"/>
            <w:vAlign w:val="center"/>
          </w:tcPr>
          <w:p w14:paraId="738C7E48">
            <w:pPr>
              <w:jc w:val="center"/>
              <w:rPr>
                <w:color w:val="000000" w:themeColor="text1"/>
                <w:highlight w:val="none"/>
                <w14:textFill>
                  <w14:solidFill>
                    <w14:schemeClr w14:val="tx1"/>
                  </w14:solidFill>
                </w14:textFill>
              </w:rPr>
            </w:pPr>
          </w:p>
        </w:tc>
        <w:tc>
          <w:tcPr>
            <w:tcW w:w="1484" w:type="dxa"/>
            <w:gridSpan w:val="2"/>
            <w:vAlign w:val="center"/>
          </w:tcPr>
          <w:p w14:paraId="6887B7AE">
            <w:pPr>
              <w:jc w:val="center"/>
              <w:rPr>
                <w:color w:val="000000" w:themeColor="text1"/>
                <w:highlight w:val="none"/>
                <w14:textFill>
                  <w14:solidFill>
                    <w14:schemeClr w14:val="tx1"/>
                  </w14:solidFill>
                </w14:textFill>
              </w:rPr>
            </w:pPr>
          </w:p>
        </w:tc>
      </w:tr>
      <w:tr w14:paraId="45520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0118615E">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建设规模</w:t>
            </w:r>
          </w:p>
        </w:tc>
        <w:tc>
          <w:tcPr>
            <w:tcW w:w="1548" w:type="dxa"/>
            <w:gridSpan w:val="2"/>
            <w:vAlign w:val="center"/>
          </w:tcPr>
          <w:p w14:paraId="4FCF48B4">
            <w:pPr>
              <w:jc w:val="center"/>
              <w:rPr>
                <w:color w:val="000000" w:themeColor="text1"/>
                <w:highlight w:val="none"/>
                <w14:textFill>
                  <w14:solidFill>
                    <w14:schemeClr w14:val="tx1"/>
                  </w14:solidFill>
                </w14:textFill>
              </w:rPr>
            </w:pPr>
          </w:p>
        </w:tc>
        <w:tc>
          <w:tcPr>
            <w:tcW w:w="1979" w:type="dxa"/>
            <w:gridSpan w:val="3"/>
            <w:vAlign w:val="center"/>
          </w:tcPr>
          <w:p w14:paraId="1AD00E88">
            <w:pPr>
              <w:jc w:val="center"/>
              <w:rPr>
                <w:color w:val="000000" w:themeColor="text1"/>
                <w:highlight w:val="none"/>
                <w14:textFill>
                  <w14:solidFill>
                    <w14:schemeClr w14:val="tx1"/>
                  </w14:solidFill>
                </w14:textFill>
              </w:rPr>
            </w:pPr>
          </w:p>
        </w:tc>
        <w:tc>
          <w:tcPr>
            <w:tcW w:w="1330" w:type="dxa"/>
            <w:gridSpan w:val="2"/>
            <w:vAlign w:val="center"/>
          </w:tcPr>
          <w:p w14:paraId="6083A957">
            <w:pPr>
              <w:jc w:val="center"/>
              <w:rPr>
                <w:color w:val="000000" w:themeColor="text1"/>
                <w:highlight w:val="none"/>
                <w14:textFill>
                  <w14:solidFill>
                    <w14:schemeClr w14:val="tx1"/>
                  </w14:solidFill>
                </w14:textFill>
              </w:rPr>
            </w:pPr>
          </w:p>
        </w:tc>
        <w:tc>
          <w:tcPr>
            <w:tcW w:w="1641" w:type="dxa"/>
            <w:gridSpan w:val="4"/>
            <w:vAlign w:val="center"/>
          </w:tcPr>
          <w:p w14:paraId="620B8C3A">
            <w:pPr>
              <w:jc w:val="center"/>
              <w:rPr>
                <w:color w:val="000000" w:themeColor="text1"/>
                <w:highlight w:val="none"/>
                <w14:textFill>
                  <w14:solidFill>
                    <w14:schemeClr w14:val="tx1"/>
                  </w14:solidFill>
                </w14:textFill>
              </w:rPr>
            </w:pPr>
          </w:p>
        </w:tc>
        <w:tc>
          <w:tcPr>
            <w:tcW w:w="1484" w:type="dxa"/>
            <w:gridSpan w:val="2"/>
            <w:vAlign w:val="center"/>
          </w:tcPr>
          <w:p w14:paraId="1E8F64DD">
            <w:pPr>
              <w:jc w:val="center"/>
              <w:rPr>
                <w:color w:val="000000" w:themeColor="text1"/>
                <w:highlight w:val="none"/>
                <w14:textFill>
                  <w14:solidFill>
                    <w14:schemeClr w14:val="tx1"/>
                  </w14:solidFill>
                </w14:textFill>
              </w:rPr>
            </w:pPr>
          </w:p>
        </w:tc>
      </w:tr>
      <w:tr w14:paraId="424E4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12F72B38">
            <w:pPr>
              <w:jc w:val="center"/>
              <w:rPr>
                <w:rFonts w:ascii="宋体" w:hAnsi="宋体" w:cs="宋体"/>
                <w:color w:val="000000" w:themeColor="text1"/>
                <w:sz w:val="27"/>
                <w:szCs w:val="27"/>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开工日期</w:t>
            </w:r>
          </w:p>
        </w:tc>
        <w:tc>
          <w:tcPr>
            <w:tcW w:w="1548" w:type="dxa"/>
            <w:gridSpan w:val="2"/>
            <w:vAlign w:val="center"/>
          </w:tcPr>
          <w:p w14:paraId="17395958">
            <w:pPr>
              <w:jc w:val="center"/>
              <w:rPr>
                <w:color w:val="000000" w:themeColor="text1"/>
                <w:highlight w:val="none"/>
                <w14:textFill>
                  <w14:solidFill>
                    <w14:schemeClr w14:val="tx1"/>
                  </w14:solidFill>
                </w14:textFill>
              </w:rPr>
            </w:pPr>
          </w:p>
        </w:tc>
        <w:tc>
          <w:tcPr>
            <w:tcW w:w="1979" w:type="dxa"/>
            <w:gridSpan w:val="3"/>
            <w:vAlign w:val="center"/>
          </w:tcPr>
          <w:p w14:paraId="2052C90E">
            <w:pPr>
              <w:jc w:val="center"/>
              <w:rPr>
                <w:color w:val="000000" w:themeColor="text1"/>
                <w:highlight w:val="none"/>
                <w14:textFill>
                  <w14:solidFill>
                    <w14:schemeClr w14:val="tx1"/>
                  </w14:solidFill>
                </w14:textFill>
              </w:rPr>
            </w:pPr>
          </w:p>
        </w:tc>
        <w:tc>
          <w:tcPr>
            <w:tcW w:w="1330" w:type="dxa"/>
            <w:gridSpan w:val="2"/>
            <w:vAlign w:val="center"/>
          </w:tcPr>
          <w:p w14:paraId="1778C4BA">
            <w:pPr>
              <w:jc w:val="center"/>
              <w:rPr>
                <w:color w:val="000000" w:themeColor="text1"/>
                <w:highlight w:val="none"/>
                <w14:textFill>
                  <w14:solidFill>
                    <w14:schemeClr w14:val="tx1"/>
                  </w14:solidFill>
                </w14:textFill>
              </w:rPr>
            </w:pPr>
          </w:p>
        </w:tc>
        <w:tc>
          <w:tcPr>
            <w:tcW w:w="1641" w:type="dxa"/>
            <w:gridSpan w:val="4"/>
            <w:vAlign w:val="center"/>
          </w:tcPr>
          <w:p w14:paraId="465F9BDB">
            <w:pPr>
              <w:jc w:val="center"/>
              <w:rPr>
                <w:color w:val="000000" w:themeColor="text1"/>
                <w:highlight w:val="none"/>
                <w14:textFill>
                  <w14:solidFill>
                    <w14:schemeClr w14:val="tx1"/>
                  </w14:solidFill>
                </w14:textFill>
              </w:rPr>
            </w:pPr>
          </w:p>
        </w:tc>
        <w:tc>
          <w:tcPr>
            <w:tcW w:w="1484" w:type="dxa"/>
            <w:gridSpan w:val="2"/>
            <w:vAlign w:val="center"/>
          </w:tcPr>
          <w:p w14:paraId="0B794344">
            <w:pPr>
              <w:jc w:val="center"/>
              <w:rPr>
                <w:color w:val="000000" w:themeColor="text1"/>
                <w:highlight w:val="none"/>
                <w14:textFill>
                  <w14:solidFill>
                    <w14:schemeClr w14:val="tx1"/>
                  </w14:solidFill>
                </w14:textFill>
              </w:rPr>
            </w:pPr>
          </w:p>
        </w:tc>
      </w:tr>
      <w:tr w14:paraId="55A4B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53617EDF">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竣工日期</w:t>
            </w:r>
          </w:p>
        </w:tc>
        <w:tc>
          <w:tcPr>
            <w:tcW w:w="1548" w:type="dxa"/>
            <w:gridSpan w:val="2"/>
            <w:vAlign w:val="center"/>
          </w:tcPr>
          <w:p w14:paraId="7B98CB2B">
            <w:pPr>
              <w:jc w:val="center"/>
              <w:rPr>
                <w:color w:val="000000" w:themeColor="text1"/>
                <w:highlight w:val="none"/>
                <w14:textFill>
                  <w14:solidFill>
                    <w14:schemeClr w14:val="tx1"/>
                  </w14:solidFill>
                </w14:textFill>
              </w:rPr>
            </w:pPr>
          </w:p>
        </w:tc>
        <w:tc>
          <w:tcPr>
            <w:tcW w:w="1979" w:type="dxa"/>
            <w:gridSpan w:val="3"/>
            <w:vAlign w:val="center"/>
          </w:tcPr>
          <w:p w14:paraId="5DF467DA">
            <w:pPr>
              <w:jc w:val="center"/>
              <w:rPr>
                <w:color w:val="000000" w:themeColor="text1"/>
                <w:highlight w:val="none"/>
                <w14:textFill>
                  <w14:solidFill>
                    <w14:schemeClr w14:val="tx1"/>
                  </w14:solidFill>
                </w14:textFill>
              </w:rPr>
            </w:pPr>
          </w:p>
        </w:tc>
        <w:tc>
          <w:tcPr>
            <w:tcW w:w="1330" w:type="dxa"/>
            <w:gridSpan w:val="2"/>
            <w:vAlign w:val="center"/>
          </w:tcPr>
          <w:p w14:paraId="1F27EC1C">
            <w:pPr>
              <w:jc w:val="center"/>
              <w:rPr>
                <w:color w:val="000000" w:themeColor="text1"/>
                <w:highlight w:val="none"/>
                <w14:textFill>
                  <w14:solidFill>
                    <w14:schemeClr w14:val="tx1"/>
                  </w14:solidFill>
                </w14:textFill>
              </w:rPr>
            </w:pPr>
          </w:p>
        </w:tc>
        <w:tc>
          <w:tcPr>
            <w:tcW w:w="1641" w:type="dxa"/>
            <w:gridSpan w:val="4"/>
            <w:vAlign w:val="center"/>
          </w:tcPr>
          <w:p w14:paraId="67BB24A1">
            <w:pPr>
              <w:jc w:val="center"/>
              <w:rPr>
                <w:color w:val="000000" w:themeColor="text1"/>
                <w:highlight w:val="none"/>
                <w14:textFill>
                  <w14:solidFill>
                    <w14:schemeClr w14:val="tx1"/>
                  </w14:solidFill>
                </w14:textFill>
              </w:rPr>
            </w:pPr>
          </w:p>
        </w:tc>
        <w:tc>
          <w:tcPr>
            <w:tcW w:w="1484" w:type="dxa"/>
            <w:gridSpan w:val="2"/>
            <w:vAlign w:val="center"/>
          </w:tcPr>
          <w:p w14:paraId="3FC7DF3D">
            <w:pPr>
              <w:jc w:val="center"/>
              <w:rPr>
                <w:color w:val="000000" w:themeColor="text1"/>
                <w:highlight w:val="none"/>
                <w14:textFill>
                  <w14:solidFill>
                    <w14:schemeClr w14:val="tx1"/>
                  </w14:solidFill>
                </w14:textFill>
              </w:rPr>
            </w:pPr>
          </w:p>
        </w:tc>
      </w:tr>
      <w:tr w14:paraId="55E09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6B31302A">
            <w:pPr>
              <w:jc w:val="center"/>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人员角色</w:t>
            </w:r>
          </w:p>
        </w:tc>
        <w:tc>
          <w:tcPr>
            <w:tcW w:w="1548" w:type="dxa"/>
            <w:gridSpan w:val="2"/>
            <w:vAlign w:val="center"/>
          </w:tcPr>
          <w:p w14:paraId="0B0A08C9">
            <w:pPr>
              <w:jc w:val="center"/>
              <w:rPr>
                <w:color w:val="000000" w:themeColor="text1"/>
                <w:highlight w:val="none"/>
                <w14:textFill>
                  <w14:solidFill>
                    <w14:schemeClr w14:val="tx1"/>
                  </w14:solidFill>
                </w14:textFill>
              </w:rPr>
            </w:pPr>
          </w:p>
        </w:tc>
        <w:tc>
          <w:tcPr>
            <w:tcW w:w="1979" w:type="dxa"/>
            <w:gridSpan w:val="3"/>
            <w:vAlign w:val="center"/>
          </w:tcPr>
          <w:p w14:paraId="5A8B7E24">
            <w:pPr>
              <w:jc w:val="center"/>
              <w:rPr>
                <w:color w:val="000000" w:themeColor="text1"/>
                <w:highlight w:val="none"/>
                <w14:textFill>
                  <w14:solidFill>
                    <w14:schemeClr w14:val="tx1"/>
                  </w14:solidFill>
                </w14:textFill>
              </w:rPr>
            </w:pPr>
          </w:p>
        </w:tc>
        <w:tc>
          <w:tcPr>
            <w:tcW w:w="1330" w:type="dxa"/>
            <w:gridSpan w:val="2"/>
            <w:vAlign w:val="center"/>
          </w:tcPr>
          <w:p w14:paraId="7E5C9519">
            <w:pPr>
              <w:jc w:val="center"/>
              <w:rPr>
                <w:color w:val="000000" w:themeColor="text1"/>
                <w:highlight w:val="none"/>
                <w14:textFill>
                  <w14:solidFill>
                    <w14:schemeClr w14:val="tx1"/>
                  </w14:solidFill>
                </w14:textFill>
              </w:rPr>
            </w:pPr>
          </w:p>
        </w:tc>
        <w:tc>
          <w:tcPr>
            <w:tcW w:w="1641" w:type="dxa"/>
            <w:gridSpan w:val="4"/>
            <w:vAlign w:val="center"/>
          </w:tcPr>
          <w:p w14:paraId="1E605EFF">
            <w:pPr>
              <w:jc w:val="center"/>
              <w:rPr>
                <w:color w:val="000000" w:themeColor="text1"/>
                <w:highlight w:val="none"/>
                <w14:textFill>
                  <w14:solidFill>
                    <w14:schemeClr w14:val="tx1"/>
                  </w14:solidFill>
                </w14:textFill>
              </w:rPr>
            </w:pPr>
          </w:p>
        </w:tc>
        <w:tc>
          <w:tcPr>
            <w:tcW w:w="1484" w:type="dxa"/>
            <w:gridSpan w:val="2"/>
            <w:vAlign w:val="center"/>
          </w:tcPr>
          <w:p w14:paraId="554754F7">
            <w:pPr>
              <w:jc w:val="center"/>
              <w:rPr>
                <w:color w:val="000000" w:themeColor="text1"/>
                <w:highlight w:val="none"/>
                <w14:textFill>
                  <w14:solidFill>
                    <w14:schemeClr w14:val="tx1"/>
                  </w14:solidFill>
                </w14:textFill>
              </w:rPr>
            </w:pPr>
          </w:p>
        </w:tc>
      </w:tr>
      <w:tr w14:paraId="33A42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6388D78F">
            <w:pPr>
              <w:jc w:val="center"/>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在建或已完</w:t>
            </w:r>
          </w:p>
        </w:tc>
        <w:tc>
          <w:tcPr>
            <w:tcW w:w="1548" w:type="dxa"/>
            <w:gridSpan w:val="2"/>
            <w:vAlign w:val="center"/>
          </w:tcPr>
          <w:p w14:paraId="65571A5A">
            <w:pPr>
              <w:jc w:val="center"/>
              <w:rPr>
                <w:color w:val="000000" w:themeColor="text1"/>
                <w:highlight w:val="none"/>
                <w14:textFill>
                  <w14:solidFill>
                    <w14:schemeClr w14:val="tx1"/>
                  </w14:solidFill>
                </w14:textFill>
              </w:rPr>
            </w:pPr>
          </w:p>
        </w:tc>
        <w:tc>
          <w:tcPr>
            <w:tcW w:w="1979" w:type="dxa"/>
            <w:gridSpan w:val="3"/>
            <w:vAlign w:val="center"/>
          </w:tcPr>
          <w:p w14:paraId="559323B2">
            <w:pPr>
              <w:jc w:val="center"/>
              <w:rPr>
                <w:color w:val="000000" w:themeColor="text1"/>
                <w:highlight w:val="none"/>
                <w14:textFill>
                  <w14:solidFill>
                    <w14:schemeClr w14:val="tx1"/>
                  </w14:solidFill>
                </w14:textFill>
              </w:rPr>
            </w:pPr>
          </w:p>
        </w:tc>
        <w:tc>
          <w:tcPr>
            <w:tcW w:w="1330" w:type="dxa"/>
            <w:gridSpan w:val="2"/>
            <w:vAlign w:val="center"/>
          </w:tcPr>
          <w:p w14:paraId="3DB6EF2E">
            <w:pPr>
              <w:jc w:val="center"/>
              <w:rPr>
                <w:color w:val="000000" w:themeColor="text1"/>
                <w:highlight w:val="none"/>
                <w14:textFill>
                  <w14:solidFill>
                    <w14:schemeClr w14:val="tx1"/>
                  </w14:solidFill>
                </w14:textFill>
              </w:rPr>
            </w:pPr>
          </w:p>
        </w:tc>
        <w:tc>
          <w:tcPr>
            <w:tcW w:w="1641" w:type="dxa"/>
            <w:gridSpan w:val="4"/>
            <w:vAlign w:val="center"/>
          </w:tcPr>
          <w:p w14:paraId="1EE86C82">
            <w:pPr>
              <w:jc w:val="center"/>
              <w:rPr>
                <w:color w:val="000000" w:themeColor="text1"/>
                <w:highlight w:val="none"/>
                <w14:textFill>
                  <w14:solidFill>
                    <w14:schemeClr w14:val="tx1"/>
                  </w14:solidFill>
                </w14:textFill>
              </w:rPr>
            </w:pPr>
          </w:p>
        </w:tc>
        <w:tc>
          <w:tcPr>
            <w:tcW w:w="1484" w:type="dxa"/>
            <w:gridSpan w:val="2"/>
            <w:vAlign w:val="center"/>
          </w:tcPr>
          <w:p w14:paraId="6937FE8B">
            <w:pPr>
              <w:jc w:val="center"/>
              <w:rPr>
                <w:color w:val="000000" w:themeColor="text1"/>
                <w:highlight w:val="none"/>
                <w14:textFill>
                  <w14:solidFill>
                    <w14:schemeClr w14:val="tx1"/>
                  </w14:solidFill>
                </w14:textFill>
              </w:rPr>
            </w:pPr>
          </w:p>
        </w:tc>
      </w:tr>
      <w:tr w14:paraId="17250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3F843734">
            <w:pPr>
              <w:jc w:val="center"/>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工程质量</w:t>
            </w:r>
          </w:p>
        </w:tc>
        <w:tc>
          <w:tcPr>
            <w:tcW w:w="1548" w:type="dxa"/>
            <w:gridSpan w:val="2"/>
            <w:vAlign w:val="center"/>
          </w:tcPr>
          <w:p w14:paraId="400B8A21">
            <w:pPr>
              <w:jc w:val="center"/>
              <w:rPr>
                <w:color w:val="000000" w:themeColor="text1"/>
                <w:highlight w:val="none"/>
                <w14:textFill>
                  <w14:solidFill>
                    <w14:schemeClr w14:val="tx1"/>
                  </w14:solidFill>
                </w14:textFill>
              </w:rPr>
            </w:pPr>
          </w:p>
        </w:tc>
        <w:tc>
          <w:tcPr>
            <w:tcW w:w="1979" w:type="dxa"/>
            <w:gridSpan w:val="3"/>
            <w:vAlign w:val="center"/>
          </w:tcPr>
          <w:p w14:paraId="633D2C89">
            <w:pPr>
              <w:jc w:val="center"/>
              <w:rPr>
                <w:color w:val="000000" w:themeColor="text1"/>
                <w:highlight w:val="none"/>
                <w14:textFill>
                  <w14:solidFill>
                    <w14:schemeClr w14:val="tx1"/>
                  </w14:solidFill>
                </w14:textFill>
              </w:rPr>
            </w:pPr>
          </w:p>
        </w:tc>
        <w:tc>
          <w:tcPr>
            <w:tcW w:w="1330" w:type="dxa"/>
            <w:gridSpan w:val="2"/>
            <w:vAlign w:val="center"/>
          </w:tcPr>
          <w:p w14:paraId="1056D80C">
            <w:pPr>
              <w:jc w:val="center"/>
              <w:rPr>
                <w:color w:val="000000" w:themeColor="text1"/>
                <w:highlight w:val="none"/>
                <w14:textFill>
                  <w14:solidFill>
                    <w14:schemeClr w14:val="tx1"/>
                  </w14:solidFill>
                </w14:textFill>
              </w:rPr>
            </w:pPr>
          </w:p>
        </w:tc>
        <w:tc>
          <w:tcPr>
            <w:tcW w:w="1641" w:type="dxa"/>
            <w:gridSpan w:val="4"/>
            <w:vAlign w:val="center"/>
          </w:tcPr>
          <w:p w14:paraId="3659F73F">
            <w:pPr>
              <w:jc w:val="center"/>
              <w:rPr>
                <w:color w:val="000000" w:themeColor="text1"/>
                <w:highlight w:val="none"/>
                <w14:textFill>
                  <w14:solidFill>
                    <w14:schemeClr w14:val="tx1"/>
                  </w14:solidFill>
                </w14:textFill>
              </w:rPr>
            </w:pPr>
          </w:p>
        </w:tc>
        <w:tc>
          <w:tcPr>
            <w:tcW w:w="1484" w:type="dxa"/>
            <w:gridSpan w:val="2"/>
            <w:vAlign w:val="center"/>
          </w:tcPr>
          <w:p w14:paraId="6E92B78D">
            <w:pPr>
              <w:jc w:val="center"/>
              <w:rPr>
                <w:color w:val="000000" w:themeColor="text1"/>
                <w:highlight w:val="none"/>
                <w14:textFill>
                  <w14:solidFill>
                    <w14:schemeClr w14:val="tx1"/>
                  </w14:solidFill>
                </w14:textFill>
              </w:rPr>
            </w:pPr>
          </w:p>
        </w:tc>
      </w:tr>
      <w:tr w14:paraId="1721C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2EC626B0">
            <w:pPr>
              <w:jc w:val="center"/>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受奖情况</w:t>
            </w:r>
          </w:p>
        </w:tc>
        <w:tc>
          <w:tcPr>
            <w:tcW w:w="1548" w:type="dxa"/>
            <w:gridSpan w:val="2"/>
            <w:vAlign w:val="center"/>
          </w:tcPr>
          <w:p w14:paraId="466B0C12">
            <w:pPr>
              <w:jc w:val="center"/>
              <w:rPr>
                <w:color w:val="000000" w:themeColor="text1"/>
                <w:highlight w:val="none"/>
                <w14:textFill>
                  <w14:solidFill>
                    <w14:schemeClr w14:val="tx1"/>
                  </w14:solidFill>
                </w14:textFill>
              </w:rPr>
            </w:pPr>
          </w:p>
        </w:tc>
        <w:tc>
          <w:tcPr>
            <w:tcW w:w="1979" w:type="dxa"/>
            <w:gridSpan w:val="3"/>
            <w:vAlign w:val="center"/>
          </w:tcPr>
          <w:p w14:paraId="5EF1E3C9">
            <w:pPr>
              <w:jc w:val="center"/>
              <w:rPr>
                <w:color w:val="000000" w:themeColor="text1"/>
                <w:highlight w:val="none"/>
                <w14:textFill>
                  <w14:solidFill>
                    <w14:schemeClr w14:val="tx1"/>
                  </w14:solidFill>
                </w14:textFill>
              </w:rPr>
            </w:pPr>
          </w:p>
        </w:tc>
        <w:tc>
          <w:tcPr>
            <w:tcW w:w="1330" w:type="dxa"/>
            <w:gridSpan w:val="2"/>
            <w:vAlign w:val="center"/>
          </w:tcPr>
          <w:p w14:paraId="6100FCB2">
            <w:pPr>
              <w:jc w:val="center"/>
              <w:rPr>
                <w:color w:val="000000" w:themeColor="text1"/>
                <w:highlight w:val="none"/>
                <w14:textFill>
                  <w14:solidFill>
                    <w14:schemeClr w14:val="tx1"/>
                  </w14:solidFill>
                </w14:textFill>
              </w:rPr>
            </w:pPr>
          </w:p>
        </w:tc>
        <w:tc>
          <w:tcPr>
            <w:tcW w:w="1641" w:type="dxa"/>
            <w:gridSpan w:val="4"/>
            <w:vAlign w:val="center"/>
          </w:tcPr>
          <w:p w14:paraId="0D456E10">
            <w:pPr>
              <w:jc w:val="center"/>
              <w:rPr>
                <w:color w:val="000000" w:themeColor="text1"/>
                <w:highlight w:val="none"/>
                <w14:textFill>
                  <w14:solidFill>
                    <w14:schemeClr w14:val="tx1"/>
                  </w14:solidFill>
                </w14:textFill>
              </w:rPr>
            </w:pPr>
          </w:p>
        </w:tc>
        <w:tc>
          <w:tcPr>
            <w:tcW w:w="1484" w:type="dxa"/>
            <w:gridSpan w:val="2"/>
            <w:vAlign w:val="center"/>
          </w:tcPr>
          <w:p w14:paraId="55524BA1">
            <w:pPr>
              <w:jc w:val="center"/>
              <w:rPr>
                <w:color w:val="000000" w:themeColor="text1"/>
                <w:highlight w:val="none"/>
                <w14:textFill>
                  <w14:solidFill>
                    <w14:schemeClr w14:val="tx1"/>
                  </w14:solidFill>
                </w14:textFill>
              </w:rPr>
            </w:pPr>
          </w:p>
        </w:tc>
      </w:tr>
    </w:tbl>
    <w:p w14:paraId="1078FFDB">
      <w:pPr>
        <w:spacing w:line="360" w:lineRule="auto"/>
        <w:rPr>
          <w:rFonts w:ascii="宋体" w:hAnsi="宋体"/>
          <w:color w:val="000000" w:themeColor="text1"/>
          <w:highlight w:val="none"/>
          <w14:textFill>
            <w14:solidFill>
              <w14:schemeClr w14:val="tx1"/>
            </w14:solidFill>
          </w14:textFill>
        </w:rPr>
      </w:pPr>
      <w:r>
        <w:rPr>
          <w:rFonts w:hint="eastAsia" w:ascii="宋体" w:hAnsi="宋体" w:cs="楷体_GB2312"/>
          <w:color w:val="000000" w:themeColor="text1"/>
          <w:highlight w:val="none"/>
          <w14:textFill>
            <w14:solidFill>
              <w14:schemeClr w14:val="tx1"/>
            </w14:solidFill>
          </w14:textFill>
        </w:rPr>
        <w:t>备注：</w:t>
      </w:r>
    </w:p>
    <w:p w14:paraId="39B91FE5">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1.供应商可以根据项目情况增减表格内容，项目数可以根据需要增加。</w:t>
      </w:r>
    </w:p>
    <w:p w14:paraId="172A325D">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本表后附专职安全生产管理人员的安全生产考核合格证（C类）、本表所列证书复印件并加盖供应商电子签章。</w:t>
      </w:r>
    </w:p>
    <w:p w14:paraId="06B6069A">
      <w:pPr>
        <w:spacing w:line="360" w:lineRule="auto"/>
        <w:rPr>
          <w:rFonts w:ascii="宋体" w:hAns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br w:type="page"/>
      </w:r>
      <w:r>
        <w:rPr>
          <w:rFonts w:hint="eastAsia" w:ascii="宋体" w:hAnsi="宋体"/>
          <w:b/>
          <w:bCs/>
          <w:color w:val="000000" w:themeColor="text1"/>
          <w:sz w:val="24"/>
          <w:highlight w:val="none"/>
          <w14:textFill>
            <w14:solidFill>
              <w14:schemeClr w14:val="tx1"/>
            </w14:solidFill>
          </w14:textFill>
        </w:rPr>
        <w:t>其他文书、文件格式</w:t>
      </w:r>
    </w:p>
    <w:p w14:paraId="069CB89E">
      <w:pPr>
        <w:spacing w:line="360" w:lineRule="auto"/>
        <w:rPr>
          <w:rFonts w:ascii="宋体" w:hAnsi="宋体"/>
          <w:color w:val="000000" w:themeColor="text1"/>
          <w:szCs w:val="21"/>
          <w:highlight w:val="none"/>
          <w14:textFill>
            <w14:solidFill>
              <w14:schemeClr w14:val="tx1"/>
            </w14:solidFill>
          </w14:textFill>
        </w:rPr>
      </w:pPr>
    </w:p>
    <w:p w14:paraId="71FE1630">
      <w:pPr>
        <w:jc w:val="center"/>
        <w:rPr>
          <w:rFonts w:ascii="宋体" w:hAnsi="宋体" w:cs="方正小标宋简体"/>
          <w:b/>
          <w:color w:val="000000" w:themeColor="text1"/>
          <w:sz w:val="32"/>
          <w:szCs w:val="32"/>
          <w:highlight w:val="none"/>
          <w14:textFill>
            <w14:solidFill>
              <w14:schemeClr w14:val="tx1"/>
            </w14:solidFill>
          </w14:textFill>
        </w:rPr>
      </w:pPr>
      <w:bookmarkStart w:id="210" w:name="_Toc71365926"/>
      <w:r>
        <w:rPr>
          <w:rFonts w:hint="eastAsia" w:ascii="宋体" w:hAnsi="宋体" w:cs="方正小标宋简体"/>
          <w:b/>
          <w:color w:val="000000" w:themeColor="text1"/>
          <w:sz w:val="32"/>
          <w:szCs w:val="32"/>
          <w:highlight w:val="none"/>
          <w14:textFill>
            <w14:solidFill>
              <w14:schemeClr w14:val="tx1"/>
            </w14:solidFill>
          </w14:textFill>
        </w:rPr>
        <w:t>中小企业声明函（工程）</w:t>
      </w:r>
      <w:bookmarkEnd w:id="210"/>
    </w:p>
    <w:p w14:paraId="71786B3C">
      <w:pPr>
        <w:pStyle w:val="19"/>
        <w:spacing w:line="500" w:lineRule="exact"/>
        <w:ind w:right="142" w:firstLine="705" w:firstLineChars="294"/>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本公司（联合体）郑重声明，根据《政府采购促进中小企业发展管理办法》（财库﹝2020﹞46号）的规定，本公司（联合体）参加</w:t>
      </w:r>
      <w:r>
        <w:rPr>
          <w:rFonts w:ascii="宋体" w:hAnsi="宋体"/>
          <w:color w:val="000000" w:themeColor="text1"/>
          <w:sz w:val="24"/>
          <w:highlight w:val="none"/>
          <w:u w:val="single"/>
          <w14:textFill>
            <w14:solidFill>
              <w14:schemeClr w14:val="tx1"/>
            </w14:solidFill>
          </w14:textFill>
        </w:rPr>
        <w:t>（单位名称）</w:t>
      </w:r>
      <w:r>
        <w:rPr>
          <w:rFonts w:ascii="宋体" w:hAnsi="宋体"/>
          <w:color w:val="000000" w:themeColor="text1"/>
          <w:sz w:val="24"/>
          <w:highlight w:val="none"/>
          <w14:textFill>
            <w14:solidFill>
              <w14:schemeClr w14:val="tx1"/>
            </w14:solidFill>
          </w14:textFill>
        </w:rPr>
        <w:t>的</w:t>
      </w:r>
      <w:r>
        <w:rPr>
          <w:rFonts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u w:val="single"/>
          <w:lang w:val="en-US" w:eastAsia="zh-CN"/>
          <w14:textFill>
            <w14:solidFill>
              <w14:schemeClr w14:val="tx1"/>
            </w14:solidFill>
          </w14:textFill>
        </w:rPr>
        <w:t>/项目编号</w:t>
      </w:r>
      <w:r>
        <w:rPr>
          <w:rFonts w:ascii="宋体" w:hAnsi="宋体"/>
          <w:color w:val="000000" w:themeColor="text1"/>
          <w:sz w:val="24"/>
          <w:highlight w:val="none"/>
          <w:u w:val="single"/>
          <w14:textFill>
            <w14:solidFill>
              <w14:schemeClr w14:val="tx1"/>
            </w14:solidFill>
          </w14:textFill>
        </w:rPr>
        <w:t>）</w:t>
      </w:r>
      <w:r>
        <w:rPr>
          <w:rFonts w:ascii="宋体" w:hAnsi="宋体"/>
          <w:color w:val="000000" w:themeColor="text1"/>
          <w:sz w:val="24"/>
          <w:highlight w:val="none"/>
          <w14:textFill>
            <w14:solidFill>
              <w14:schemeClr w14:val="tx1"/>
            </w14:solidFill>
          </w14:textFill>
        </w:rPr>
        <w:t>采购活动，</w:t>
      </w:r>
      <w:r>
        <w:rPr>
          <w:rFonts w:hint="eastAsia" w:ascii="宋体" w:hAnsi="宋体"/>
          <w:color w:val="000000" w:themeColor="text1"/>
          <w:sz w:val="24"/>
          <w:highlight w:val="none"/>
          <w14:textFill>
            <w14:solidFill>
              <w14:schemeClr w14:val="tx1"/>
            </w14:solidFill>
          </w14:textFill>
        </w:rPr>
        <w:t>工程的施工单位全部为符合政策要求的中小企业。相关企业（含联合体中的中小企业、签订分包意向协议的中小企业）的具体情况如下：</w:t>
      </w:r>
    </w:p>
    <w:p w14:paraId="5B35C3EA">
      <w:pPr>
        <w:tabs>
          <w:tab w:val="left" w:pos="1384"/>
          <w:tab w:val="left" w:pos="4562"/>
          <w:tab w:val="left" w:pos="6803"/>
        </w:tabs>
        <w:spacing w:before="13" w:line="500" w:lineRule="exact"/>
        <w:ind w:right="142" w:firstLine="772" w:firstLineChars="322"/>
        <w:rPr>
          <w:rFonts w:hint="eastAsia" w:ascii="宋体" w:hAnsi="宋体" w:eastAsia="宋体"/>
          <w:color w:val="000000" w:themeColor="text1"/>
          <w:sz w:val="24"/>
          <w:highlight w:val="none"/>
          <w:lang w:eastAsia="zh-CN"/>
          <w14:textFill>
            <w14:solidFill>
              <w14:schemeClr w14:val="tx1"/>
            </w14:solidFill>
          </w14:textFill>
        </w:rPr>
      </w:pPr>
      <w:r>
        <w:rPr>
          <w:rFonts w:ascii="宋体" w:hAnsi="宋体"/>
          <w:color w:val="000000" w:themeColor="text1"/>
          <w:sz w:val="24"/>
          <w:highlight w:val="none"/>
          <w14:textFill>
            <w14:solidFill>
              <w14:schemeClr w14:val="tx1"/>
            </w14:solidFill>
          </w14:textFill>
        </w:rPr>
        <w:t>1.</w:t>
      </w:r>
      <w:r>
        <w:rPr>
          <w:rFonts w:ascii="宋体" w:hAnsi="宋体"/>
          <w:color w:val="000000" w:themeColor="text1"/>
          <w:sz w:val="24"/>
          <w:highlight w:val="none"/>
          <w:u w:val="single"/>
          <w14:textFill>
            <w14:solidFill>
              <w14:schemeClr w14:val="tx1"/>
            </w14:solidFill>
          </w14:textFill>
        </w:rPr>
        <w:t>（标的名称）</w:t>
      </w:r>
      <w:r>
        <w:rPr>
          <w:rFonts w:ascii="宋体" w:hAnsi="宋体"/>
          <w:color w:val="000000" w:themeColor="text1"/>
          <w:sz w:val="24"/>
          <w:highlight w:val="none"/>
          <w14:textFill>
            <w14:solidFill>
              <w14:schemeClr w14:val="tx1"/>
            </w14:solidFill>
          </w14:textFill>
        </w:rPr>
        <w:t>，属于</w:t>
      </w:r>
      <w:r>
        <w:rPr>
          <w:rFonts w:ascii="宋体" w:hAnsi="宋体"/>
          <w:color w:val="000000" w:themeColor="text1"/>
          <w:sz w:val="24"/>
          <w:highlight w:val="none"/>
          <w:u w:val="single"/>
          <w14:textFill>
            <w14:solidFill>
              <w14:schemeClr w14:val="tx1"/>
            </w14:solidFill>
          </w14:textFill>
        </w:rPr>
        <w:t>（采购文件中明确的所属</w:t>
      </w:r>
      <w:r>
        <w:rPr>
          <w:rFonts w:hint="eastAsia" w:ascii="宋体" w:hAnsi="宋体"/>
          <w:color w:val="000000" w:themeColor="text1"/>
          <w:sz w:val="24"/>
          <w:highlight w:val="none"/>
          <w:u w:val="single"/>
          <w14:textFill>
            <w14:solidFill>
              <w14:schemeClr w14:val="tx1"/>
            </w14:solidFill>
          </w14:textFill>
        </w:rPr>
        <w:t>行</w:t>
      </w:r>
      <w:r>
        <w:rPr>
          <w:rFonts w:ascii="宋体" w:hAnsi="宋体"/>
          <w:color w:val="000000" w:themeColor="text1"/>
          <w:sz w:val="24"/>
          <w:highlight w:val="none"/>
          <w:u w:val="single"/>
          <w14:textFill>
            <w14:solidFill>
              <w14:schemeClr w14:val="tx1"/>
            </w14:solidFill>
          </w14:textFill>
        </w:rPr>
        <w:t>业）</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承建企业为</w:t>
      </w:r>
      <w:r>
        <w:rPr>
          <w:rFonts w:hint="eastAsia" w:ascii="宋体" w:hAnsi="宋体"/>
          <w:color w:val="000000" w:themeColor="text1"/>
          <w:sz w:val="24"/>
          <w:highlight w:val="none"/>
          <w:u w:val="single"/>
          <w14:textFill>
            <w14:solidFill>
              <w14:schemeClr w14:val="tx1"/>
            </w14:solidFill>
          </w14:textFill>
        </w:rPr>
        <w:t>（企业名称）</w:t>
      </w:r>
      <w:r>
        <w:rPr>
          <w:rFonts w:hint="eastAsia" w:ascii="宋体" w:hAnsi="宋体"/>
          <w:color w:val="000000" w:themeColor="text1"/>
          <w:sz w:val="24"/>
          <w:highlight w:val="none"/>
          <w14:textFill>
            <w14:solidFill>
              <w14:schemeClr w14:val="tx1"/>
            </w14:solidFill>
          </w14:textFill>
        </w:rPr>
        <w:t>，从业人员</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人，营业收入为</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万元，资产总额为</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万元</w:t>
      </w:r>
      <w:r>
        <w:rPr>
          <w:rFonts w:ascii="宋体" w:hAnsi="宋体"/>
          <w:color w:val="000000" w:themeColor="text1"/>
          <w:sz w:val="24"/>
          <w:highlight w:val="none"/>
          <w14:textFill>
            <w14:solidFill>
              <w14:schemeClr w14:val="tx1"/>
            </w14:solidFill>
          </w14:textFill>
        </w:rPr>
        <w:t>，属于</w:t>
      </w:r>
      <w:r>
        <w:rPr>
          <w:rFonts w:ascii="宋体" w:hAnsi="宋体"/>
          <w:color w:val="000000" w:themeColor="text1"/>
          <w:sz w:val="24"/>
          <w:highlight w:val="none"/>
          <w:u w:val="single"/>
          <w14:textFill>
            <w14:solidFill>
              <w14:schemeClr w14:val="tx1"/>
            </w14:solidFill>
          </w14:textFill>
        </w:rPr>
        <w:t>（中型企业、</w:t>
      </w:r>
      <w:r>
        <w:rPr>
          <w:rFonts w:hint="eastAsia" w:ascii="宋体" w:hAnsi="宋体"/>
          <w:color w:val="000000" w:themeColor="text1"/>
          <w:sz w:val="24"/>
          <w:highlight w:val="none"/>
          <w:u w:val="single"/>
          <w14:textFill>
            <w14:solidFill>
              <w14:schemeClr w14:val="tx1"/>
            </w14:solidFill>
          </w14:textFill>
        </w:rPr>
        <w:t>小型企业、微型企业）</w:t>
      </w:r>
      <w:r>
        <w:rPr>
          <w:rFonts w:hint="eastAsia" w:ascii="宋体" w:hAnsi="宋体"/>
          <w:color w:val="000000" w:themeColor="text1"/>
          <w:sz w:val="24"/>
          <w:highlight w:val="none"/>
          <w:lang w:eastAsia="zh-CN"/>
          <w14:textFill>
            <w14:solidFill>
              <w14:schemeClr w14:val="tx1"/>
            </w14:solidFill>
          </w14:textFill>
        </w:rPr>
        <w:t>；</w:t>
      </w:r>
    </w:p>
    <w:p w14:paraId="402AB3B8">
      <w:pPr>
        <w:tabs>
          <w:tab w:val="left" w:pos="1065"/>
          <w:tab w:val="left" w:pos="4262"/>
          <w:tab w:val="left" w:pos="6477"/>
        </w:tabs>
        <w:spacing w:before="20" w:line="500" w:lineRule="exact"/>
        <w:ind w:right="84" w:firstLine="772" w:firstLineChars="322"/>
        <w:rPr>
          <w:rFonts w:hint="eastAsia" w:ascii="宋体" w:hAnsi="宋体" w:eastAsia="宋体"/>
          <w:color w:val="000000" w:themeColor="text1"/>
          <w:sz w:val="24"/>
          <w:highlight w:val="none"/>
          <w:u w:val="single"/>
          <w:lang w:eastAsia="zh-CN"/>
          <w14:textFill>
            <w14:solidFill>
              <w14:schemeClr w14:val="tx1"/>
            </w14:solidFill>
          </w14:textFill>
        </w:rPr>
      </w:pPr>
      <w:r>
        <w:rPr>
          <w:rFonts w:ascii="宋体" w:hAnsi="宋体"/>
          <w:color w:val="000000" w:themeColor="text1"/>
          <w:sz w:val="24"/>
          <w:highlight w:val="none"/>
          <w14:textFill>
            <w14:solidFill>
              <w14:schemeClr w14:val="tx1"/>
            </w14:solidFill>
          </w14:textFill>
        </w:rPr>
        <w:t>2.</w:t>
      </w:r>
      <w:r>
        <w:rPr>
          <w:rFonts w:ascii="宋体" w:hAnsi="宋体"/>
          <w:color w:val="000000" w:themeColor="text1"/>
          <w:sz w:val="24"/>
          <w:highlight w:val="none"/>
          <w:u w:val="single"/>
          <w14:textFill>
            <w14:solidFill>
              <w14:schemeClr w14:val="tx1"/>
            </w14:solidFill>
          </w14:textFill>
        </w:rPr>
        <w:t>（标的名称）</w:t>
      </w:r>
      <w:r>
        <w:rPr>
          <w:rFonts w:ascii="宋体" w:hAnsi="宋体"/>
          <w:color w:val="000000" w:themeColor="text1"/>
          <w:sz w:val="24"/>
          <w:highlight w:val="none"/>
          <w14:textFill>
            <w14:solidFill>
              <w14:schemeClr w14:val="tx1"/>
            </w14:solidFill>
          </w14:textFill>
        </w:rPr>
        <w:t>，属于</w:t>
      </w:r>
      <w:r>
        <w:rPr>
          <w:rFonts w:ascii="宋体" w:hAnsi="宋体"/>
          <w:color w:val="000000" w:themeColor="text1"/>
          <w:sz w:val="24"/>
          <w:highlight w:val="none"/>
          <w:u w:val="single"/>
          <w14:textFill>
            <w14:solidFill>
              <w14:schemeClr w14:val="tx1"/>
            </w14:solidFill>
          </w14:textFill>
        </w:rPr>
        <w:t>（采购文件中明确的所属</w:t>
      </w:r>
      <w:r>
        <w:rPr>
          <w:rFonts w:hint="eastAsia" w:ascii="宋体" w:hAnsi="宋体"/>
          <w:color w:val="000000" w:themeColor="text1"/>
          <w:sz w:val="24"/>
          <w:highlight w:val="none"/>
          <w:u w:val="single"/>
          <w14:textFill>
            <w14:solidFill>
              <w14:schemeClr w14:val="tx1"/>
            </w14:solidFill>
          </w14:textFill>
        </w:rPr>
        <w:t>行业</w:t>
      </w:r>
      <w:r>
        <w:rPr>
          <w:rFonts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承建企业为</w:t>
      </w:r>
      <w:r>
        <w:rPr>
          <w:rFonts w:hint="eastAsia" w:ascii="宋体" w:hAnsi="宋体"/>
          <w:color w:val="000000" w:themeColor="text1"/>
          <w:sz w:val="24"/>
          <w:highlight w:val="none"/>
          <w:u w:val="single"/>
          <w14:textFill>
            <w14:solidFill>
              <w14:schemeClr w14:val="tx1"/>
            </w14:solidFill>
          </w14:textFill>
        </w:rPr>
        <w:t>（企业名称）</w:t>
      </w:r>
      <w:r>
        <w:rPr>
          <w:rFonts w:hint="eastAsia" w:ascii="宋体" w:hAnsi="宋体"/>
          <w:color w:val="000000" w:themeColor="text1"/>
          <w:sz w:val="24"/>
          <w:highlight w:val="none"/>
          <w14:textFill>
            <w14:solidFill>
              <w14:schemeClr w14:val="tx1"/>
            </w14:solidFill>
          </w14:textFill>
        </w:rPr>
        <w:t>，从业人员</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人，营业收入为</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万元，资产总额为</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万元</w:t>
      </w:r>
      <w:r>
        <w:rPr>
          <w:rFonts w:ascii="宋体" w:hAnsi="宋体"/>
          <w:color w:val="000000" w:themeColor="text1"/>
          <w:sz w:val="24"/>
          <w:highlight w:val="none"/>
          <w14:textFill>
            <w14:solidFill>
              <w14:schemeClr w14:val="tx1"/>
            </w14:solidFill>
          </w14:textFill>
        </w:rPr>
        <w:t>，属于</w:t>
      </w:r>
      <w:r>
        <w:rPr>
          <w:rFonts w:ascii="宋体" w:hAnsi="宋体"/>
          <w:color w:val="000000" w:themeColor="text1"/>
          <w:sz w:val="24"/>
          <w:highlight w:val="none"/>
          <w:u w:val="single"/>
          <w14:textFill>
            <w14:solidFill>
              <w14:schemeClr w14:val="tx1"/>
            </w14:solidFill>
          </w14:textFill>
        </w:rPr>
        <w:t>（中型企业、</w:t>
      </w:r>
      <w:r>
        <w:rPr>
          <w:rFonts w:hint="eastAsia" w:ascii="宋体" w:hAnsi="宋体"/>
          <w:color w:val="000000" w:themeColor="text1"/>
          <w:sz w:val="24"/>
          <w:highlight w:val="none"/>
          <w:u w:val="single"/>
          <w14:textFill>
            <w14:solidFill>
              <w14:schemeClr w14:val="tx1"/>
            </w14:solidFill>
          </w14:textFill>
        </w:rPr>
        <w:t>小型企业、微型企业）</w:t>
      </w:r>
      <w:r>
        <w:rPr>
          <w:rFonts w:hint="eastAsia" w:ascii="宋体" w:hAnsi="宋体"/>
          <w:color w:val="000000" w:themeColor="text1"/>
          <w:sz w:val="24"/>
          <w:highlight w:val="none"/>
          <w:lang w:eastAsia="zh-CN"/>
          <w14:textFill>
            <w14:solidFill>
              <w14:schemeClr w14:val="tx1"/>
            </w14:solidFill>
          </w14:textFill>
        </w:rPr>
        <w:t>；</w:t>
      </w:r>
    </w:p>
    <w:p w14:paraId="04AC098A">
      <w:pPr>
        <w:pStyle w:val="19"/>
        <w:spacing w:before="34" w:line="500" w:lineRule="exact"/>
        <w:ind w:right="142" w:firstLine="705" w:firstLineChars="294"/>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 </w:t>
      </w:r>
    </w:p>
    <w:p w14:paraId="2AF49CF6">
      <w:pPr>
        <w:pStyle w:val="19"/>
        <w:spacing w:before="34" w:line="500" w:lineRule="exact"/>
        <w:ind w:right="142" w:firstLine="705" w:firstLineChars="294"/>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以上企业，不属于大企业的分支机构，不存在控股股东为大企业的情形，也不存在与大企业的负责人为同一人的情形。</w:t>
      </w:r>
    </w:p>
    <w:p w14:paraId="70272E69">
      <w:pPr>
        <w:pStyle w:val="19"/>
        <w:spacing w:before="25" w:line="500" w:lineRule="exact"/>
        <w:ind w:right="142" w:firstLine="705" w:firstLineChars="294"/>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本企业对上述声明内容的真实性负责。如有虚假，将依法承担相应责任。</w:t>
      </w:r>
    </w:p>
    <w:p w14:paraId="4317E9C3">
      <w:pPr>
        <w:pStyle w:val="19"/>
        <w:spacing w:before="56" w:line="500" w:lineRule="exact"/>
        <w:ind w:right="650" w:firstLine="5625" w:firstLineChars="2344"/>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企业名称（章）： </w:t>
      </w:r>
    </w:p>
    <w:p w14:paraId="4B3E75A1">
      <w:pPr>
        <w:pStyle w:val="19"/>
        <w:spacing w:before="56" w:line="500" w:lineRule="exact"/>
        <w:ind w:right="1808" w:firstLine="5625" w:firstLineChars="2344"/>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日 期：</w:t>
      </w:r>
    </w:p>
    <w:p w14:paraId="3EBD86A9">
      <w:pPr>
        <w:spacing w:line="520" w:lineRule="exact"/>
        <w:ind w:firstLine="420" w:firstLineChars="200"/>
        <w:jc w:val="left"/>
        <w:rPr>
          <w:rFonts w:ascii="宋体" w:hAnsi="宋体" w:cs="仿宋_GB2312"/>
          <w:color w:val="000000" w:themeColor="text1"/>
          <w:szCs w:val="21"/>
          <w:highlight w:val="none"/>
          <w14:textFill>
            <w14:solidFill>
              <w14:schemeClr w14:val="tx1"/>
            </w14:solidFill>
          </w14:textFill>
        </w:rPr>
      </w:pPr>
      <w:r>
        <w:rPr>
          <w:rFonts w:hint="eastAsia" w:ascii="宋体" w:hAnsi="宋体" w:cs="仿宋_GB2312"/>
          <w:color w:val="000000" w:themeColor="text1"/>
          <w:szCs w:val="21"/>
          <w:highlight w:val="none"/>
          <w14:textFill>
            <w14:solidFill>
              <w14:schemeClr w14:val="tx1"/>
            </w14:solidFill>
          </w14:textFill>
        </w:rPr>
        <w:t>注：1.对于联合体中由中小企业承担的部分，或者分包给中小企业的部分，供应商应当在声明函“项目名称”部分标明联合体中中小企业承担的具体内容或者中小企业的具体分包内容。</w:t>
      </w:r>
    </w:p>
    <w:p w14:paraId="5AECC603">
      <w:pPr>
        <w:spacing w:line="520" w:lineRule="exact"/>
        <w:ind w:firstLine="420" w:firstLineChars="200"/>
        <w:jc w:val="left"/>
        <w:rPr>
          <w:rFonts w:ascii="宋体" w:hAnsi="宋体" w:cs="仿宋_GB2312"/>
          <w:color w:val="000000" w:themeColor="text1"/>
          <w:szCs w:val="21"/>
          <w:highlight w:val="none"/>
          <w14:textFill>
            <w14:solidFill>
              <w14:schemeClr w14:val="tx1"/>
            </w14:solidFill>
          </w14:textFill>
        </w:rPr>
      </w:pPr>
      <w:r>
        <w:rPr>
          <w:rFonts w:hint="eastAsia" w:ascii="宋体" w:hAnsi="宋体" w:cs="仿宋_GB2312"/>
          <w:color w:val="000000" w:themeColor="text1"/>
          <w:szCs w:val="21"/>
          <w:highlight w:val="none"/>
          <w14:textFill>
            <w14:solidFill>
              <w14:schemeClr w14:val="tx1"/>
            </w14:solidFill>
          </w14:textFill>
        </w:rPr>
        <w:t>2.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0AD4D46E">
      <w:pPr>
        <w:spacing w:line="520" w:lineRule="exact"/>
        <w:jc w:val="center"/>
        <w:rPr>
          <w:rFonts w:ascii="宋体" w:hAnsi="宋体" w:cs="仿宋_GB2312"/>
          <w:b/>
          <w:color w:val="000000" w:themeColor="text1"/>
          <w:sz w:val="32"/>
          <w:szCs w:val="32"/>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br w:type="page"/>
      </w:r>
      <w:r>
        <w:rPr>
          <w:rFonts w:hint="eastAsia" w:ascii="宋体" w:hAnsi="宋体" w:cs="方正小标宋简体"/>
          <w:b/>
          <w:color w:val="000000" w:themeColor="text1"/>
          <w:sz w:val="32"/>
          <w:szCs w:val="32"/>
          <w:highlight w:val="none"/>
          <w14:textFill>
            <w14:solidFill>
              <w14:schemeClr w14:val="tx1"/>
            </w14:solidFill>
          </w14:textFill>
        </w:rPr>
        <w:t>残疾人福利性单位声明函</w:t>
      </w:r>
    </w:p>
    <w:p w14:paraId="1410A5EE">
      <w:pPr>
        <w:spacing w:line="360" w:lineRule="auto"/>
        <w:contextualSpacing/>
        <w:rPr>
          <w:rFonts w:ascii="仿宋_GB2312" w:hAnsi="仿宋_GB2312" w:eastAsia="仿宋_GB2312" w:cs="仿宋_GB2312"/>
          <w:color w:val="000000" w:themeColor="text1"/>
          <w:sz w:val="32"/>
          <w:szCs w:val="32"/>
          <w:highlight w:val="none"/>
          <w14:textFill>
            <w14:solidFill>
              <w14:schemeClr w14:val="tx1"/>
            </w14:solidFill>
          </w14:textFill>
        </w:rPr>
      </w:pPr>
    </w:p>
    <w:p w14:paraId="15B4AC35">
      <w:pPr>
        <w:spacing w:line="360" w:lineRule="auto"/>
        <w:ind w:firstLine="480" w:firstLineChars="2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单位的</w:t>
      </w:r>
      <w:r>
        <w:rPr>
          <w:rFonts w:hint="eastAsia"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0BE88C1C">
      <w:pPr>
        <w:spacing w:line="360" w:lineRule="auto"/>
        <w:ind w:firstLine="480" w:firstLineChars="2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本单位对上述声明的真实性负责。如有虚假，将依法承担相应责任。</w:t>
      </w:r>
    </w:p>
    <w:p w14:paraId="1FCC740F">
      <w:pPr>
        <w:spacing w:line="360" w:lineRule="auto"/>
        <w:contextualSpacing/>
        <w:rPr>
          <w:rFonts w:ascii="宋体" w:hAnsi="宋体" w:cs="仿宋_GB2312"/>
          <w:color w:val="000000" w:themeColor="text1"/>
          <w:sz w:val="24"/>
          <w:highlight w:val="none"/>
          <w14:textFill>
            <w14:solidFill>
              <w14:schemeClr w14:val="tx1"/>
            </w14:solidFill>
          </w14:textFill>
        </w:rPr>
      </w:pPr>
    </w:p>
    <w:p w14:paraId="1AA45633">
      <w:pPr>
        <w:spacing w:line="360" w:lineRule="auto"/>
        <w:contextualSpacing/>
        <w:rPr>
          <w:rFonts w:ascii="宋体" w:hAnsi="宋体" w:cs="仿宋_GB2312"/>
          <w:color w:val="000000" w:themeColor="text1"/>
          <w:sz w:val="24"/>
          <w:highlight w:val="none"/>
          <w14:textFill>
            <w14:solidFill>
              <w14:schemeClr w14:val="tx1"/>
            </w14:solidFill>
          </w14:textFill>
        </w:rPr>
      </w:pPr>
    </w:p>
    <w:p w14:paraId="7EA6FB7E">
      <w:pPr>
        <w:spacing w:line="360" w:lineRule="auto"/>
        <w:contextualSpacing/>
        <w:rPr>
          <w:rFonts w:ascii="宋体" w:hAnsi="宋体" w:cs="仿宋_GB2312"/>
          <w:color w:val="000000" w:themeColor="text1"/>
          <w:sz w:val="24"/>
          <w:highlight w:val="none"/>
          <w14:textFill>
            <w14:solidFill>
              <w14:schemeClr w14:val="tx1"/>
            </w14:solidFill>
          </w14:textFill>
        </w:rPr>
      </w:pPr>
    </w:p>
    <w:p w14:paraId="4149DEEF">
      <w:pPr>
        <w:spacing w:line="360" w:lineRule="auto"/>
        <w:ind w:firstLine="2400" w:firstLineChars="10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单位名称（盖章）：</w:t>
      </w:r>
    </w:p>
    <w:p w14:paraId="0A790FC0">
      <w:pPr>
        <w:spacing w:line="360" w:lineRule="auto"/>
        <w:ind w:firstLine="3600" w:firstLineChars="15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日  期：</w:t>
      </w:r>
    </w:p>
    <w:p w14:paraId="3F9DB753">
      <w:pPr>
        <w:spacing w:line="360" w:lineRule="auto"/>
        <w:contextualSpacing/>
        <w:rPr>
          <w:rFonts w:ascii="宋体" w:hAnsi="宋体" w:cs="仿宋_GB2312"/>
          <w:color w:val="000000" w:themeColor="text1"/>
          <w:sz w:val="24"/>
          <w:highlight w:val="none"/>
          <w14:textFill>
            <w14:solidFill>
              <w14:schemeClr w14:val="tx1"/>
            </w14:solidFill>
          </w14:textFill>
        </w:rPr>
      </w:pPr>
    </w:p>
    <w:p w14:paraId="6B357585">
      <w:pPr>
        <w:spacing w:line="360" w:lineRule="auto"/>
        <w:contextualSpacing/>
        <w:rPr>
          <w:rFonts w:ascii="宋体" w:hAnsi="宋体" w:cs="仿宋_GB2312"/>
          <w:color w:val="000000" w:themeColor="text1"/>
          <w:sz w:val="24"/>
          <w:highlight w:val="none"/>
          <w14:textFill>
            <w14:solidFill>
              <w14:schemeClr w14:val="tx1"/>
            </w14:solidFill>
          </w14:textFill>
        </w:rPr>
      </w:pPr>
    </w:p>
    <w:p w14:paraId="663E4F2F">
      <w:pPr>
        <w:spacing w:line="360" w:lineRule="auto"/>
        <w:contextualSpacing/>
        <w:rPr>
          <w:rFonts w:ascii="宋体" w:hAnsi="宋体" w:cs="仿宋_GB2312"/>
          <w:color w:val="000000" w:themeColor="text1"/>
          <w:sz w:val="24"/>
          <w:highlight w:val="none"/>
          <w14:textFill>
            <w14:solidFill>
              <w14:schemeClr w14:val="tx1"/>
            </w14:solidFill>
          </w14:textFill>
        </w:rPr>
      </w:pPr>
    </w:p>
    <w:p w14:paraId="00FC3F58">
      <w:pPr>
        <w:spacing w:line="360" w:lineRule="auto"/>
        <w:ind w:firstLine="420" w:firstLineChars="200"/>
        <w:contextualSpacing/>
        <w:rPr>
          <w:rFonts w:ascii="宋体" w:hAnsi="宋体" w:cs="仿宋_GB2312"/>
          <w:color w:val="000000" w:themeColor="text1"/>
          <w:szCs w:val="21"/>
          <w:highlight w:val="none"/>
          <w14:textFill>
            <w14:solidFill>
              <w14:schemeClr w14:val="tx1"/>
            </w14:solidFill>
          </w14:textFill>
        </w:rPr>
      </w:pPr>
      <w:r>
        <w:rPr>
          <w:rFonts w:hint="eastAsia" w:ascii="宋体" w:hAnsi="宋体" w:cs="仿宋_GB2312"/>
          <w:color w:val="000000" w:themeColor="text1"/>
          <w:szCs w:val="21"/>
          <w:highlight w:val="none"/>
          <w14:textFill>
            <w14:solidFill>
              <w14:schemeClr w14:val="tx1"/>
            </w14:solidFill>
          </w14:textFill>
        </w:rPr>
        <w:t>注：请根据自己的真实情况出具《残疾人福利性单位声明函》。依法享受中小企业优惠政策的，采购人或者采购代理机构在公告中标结果时，同时公告其《残疾人福利性单位声明函》，接受社会监督。</w:t>
      </w:r>
    </w:p>
    <w:p w14:paraId="5646ACCB">
      <w:pPr>
        <w:spacing w:line="360" w:lineRule="auto"/>
        <w:jc w:val="center"/>
        <w:rPr>
          <w:rFonts w:ascii="宋体" w:hAnsi="宋体"/>
          <w:b/>
          <w:bCs/>
          <w:color w:val="000000" w:themeColor="text1"/>
          <w:sz w:val="32"/>
          <w:szCs w:val="32"/>
          <w:highlight w:val="none"/>
          <w14:textFill>
            <w14:solidFill>
              <w14:schemeClr w14:val="tx1"/>
            </w14:solidFill>
          </w14:textFill>
        </w:rPr>
      </w:pPr>
      <w:r>
        <w:rPr>
          <w:rFonts w:ascii="宋体" w:hAnsi="宋体" w:cs="仿宋_GB2312"/>
          <w:color w:val="000000" w:themeColor="text1"/>
          <w:sz w:val="24"/>
          <w:highlight w:val="none"/>
          <w14:textFill>
            <w14:solidFill>
              <w14:schemeClr w14:val="tx1"/>
            </w14:solidFill>
          </w14:textFill>
        </w:rPr>
        <w:br w:type="page"/>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质疑函（格式）</w:t>
      </w:r>
    </w:p>
    <w:p w14:paraId="7C44C93A">
      <w:pPr>
        <w:pStyle w:val="25"/>
        <w:spacing w:line="360" w:lineRule="auto"/>
        <w:ind w:firstLine="482" w:firstLineChars="200"/>
        <w:contextualSpacing/>
        <w:rPr>
          <w:rFonts w:hAnsi="宋体"/>
          <w:b/>
          <w:bCs/>
          <w:color w:val="000000" w:themeColor="text1"/>
          <w:sz w:val="24"/>
          <w:szCs w:val="24"/>
          <w:highlight w:val="none"/>
          <w14:textFill>
            <w14:solidFill>
              <w14:schemeClr w14:val="tx1"/>
            </w14:solidFill>
          </w14:textFill>
        </w:rPr>
      </w:pPr>
      <w:r>
        <w:rPr>
          <w:rFonts w:hint="eastAsia" w:hAnsi="宋体"/>
          <w:b/>
          <w:bCs/>
          <w:color w:val="000000" w:themeColor="text1"/>
          <w:sz w:val="24"/>
          <w:szCs w:val="24"/>
          <w:highlight w:val="none"/>
          <w14:textFill>
            <w14:solidFill>
              <w14:schemeClr w14:val="tx1"/>
            </w14:solidFill>
          </w14:textFill>
        </w:rPr>
        <w:t>一、质疑供应商基本信息：</w:t>
      </w:r>
    </w:p>
    <w:p w14:paraId="575D21E7">
      <w:pPr>
        <w:pStyle w:val="25"/>
        <w:spacing w:line="360" w:lineRule="auto"/>
        <w:ind w:firstLine="480" w:firstLineChars="200"/>
        <w:contextualSpacing/>
        <w:rPr>
          <w:rFonts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质疑供应商：</w:t>
      </w:r>
      <w:r>
        <w:rPr>
          <w:rFonts w:hint="eastAsia" w:hAnsi="宋体"/>
          <w:bCs/>
          <w:color w:val="000000" w:themeColor="text1"/>
          <w:sz w:val="24"/>
          <w:szCs w:val="24"/>
          <w:highlight w:val="none"/>
          <w:u w:val="single"/>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 xml:space="preserve">                 </w:t>
      </w:r>
    </w:p>
    <w:p w14:paraId="7909694C">
      <w:pPr>
        <w:pStyle w:val="25"/>
        <w:spacing w:line="360" w:lineRule="auto"/>
        <w:ind w:firstLine="480" w:firstLineChars="200"/>
        <w:contextualSpacing/>
        <w:rPr>
          <w:rFonts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地址</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Ansi="宋体"/>
          <w:bCs/>
          <w:color w:val="000000" w:themeColor="text1"/>
          <w:sz w:val="24"/>
          <w:szCs w:val="24"/>
          <w:highlight w:val="none"/>
          <w14:textFill>
            <w14:solidFill>
              <w14:schemeClr w14:val="tx1"/>
            </w14:solidFill>
          </w14:textFill>
        </w:rPr>
        <w:t>邮编</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 xml:space="preserve">                 </w:t>
      </w:r>
    </w:p>
    <w:p w14:paraId="034A6707">
      <w:pPr>
        <w:pStyle w:val="25"/>
        <w:spacing w:line="360" w:lineRule="auto"/>
        <w:ind w:firstLine="480" w:firstLineChars="200"/>
        <w:contextualSpacing/>
        <w:rPr>
          <w:rFonts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联系人</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Ansi="宋体"/>
          <w:bCs/>
          <w:color w:val="000000" w:themeColor="text1"/>
          <w:sz w:val="24"/>
          <w:szCs w:val="24"/>
          <w:highlight w:val="none"/>
          <w14:textFill>
            <w14:solidFill>
              <w14:schemeClr w14:val="tx1"/>
            </w14:solidFill>
          </w14:textFill>
        </w:rPr>
        <w:t>联系电话</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p>
    <w:p w14:paraId="0F68B999">
      <w:pPr>
        <w:pStyle w:val="25"/>
        <w:spacing w:line="360" w:lineRule="auto"/>
        <w:ind w:firstLine="480" w:firstLineChars="200"/>
        <w:contextualSpacing/>
        <w:rPr>
          <w:rFonts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授权代表：</w:t>
      </w:r>
      <w:r>
        <w:rPr>
          <w:rFonts w:hint="eastAsia" w:hAnsi="宋体"/>
          <w:bCs/>
          <w:color w:val="000000" w:themeColor="text1"/>
          <w:sz w:val="24"/>
          <w:szCs w:val="24"/>
          <w:highlight w:val="none"/>
          <w:u w:val="single"/>
          <w14:textFill>
            <w14:solidFill>
              <w14:schemeClr w14:val="tx1"/>
            </w14:solidFill>
          </w14:textFill>
        </w:rPr>
        <w:t xml:space="preserve">                      </w:t>
      </w:r>
    </w:p>
    <w:p w14:paraId="114449C4">
      <w:pPr>
        <w:pStyle w:val="25"/>
        <w:spacing w:line="360" w:lineRule="auto"/>
        <w:ind w:firstLine="480" w:firstLineChars="200"/>
        <w:contextualSpacing/>
        <w:rPr>
          <w:rFonts w:hAnsi="宋体"/>
          <w:bCs/>
          <w:color w:val="000000" w:themeColor="text1"/>
          <w:sz w:val="24"/>
          <w:szCs w:val="24"/>
          <w:highlight w:val="none"/>
          <w:u w:val="single"/>
          <w14:textFill>
            <w14:solidFill>
              <w14:schemeClr w14:val="tx1"/>
            </w14:solidFill>
          </w14:textFill>
        </w:rPr>
      </w:pPr>
      <w:r>
        <w:rPr>
          <w:rFonts w:hAnsi="宋体"/>
          <w:bCs/>
          <w:color w:val="000000" w:themeColor="text1"/>
          <w:sz w:val="24"/>
          <w:szCs w:val="24"/>
          <w:highlight w:val="none"/>
          <w14:textFill>
            <w14:solidFill>
              <w14:schemeClr w14:val="tx1"/>
            </w14:solidFill>
          </w14:textFill>
        </w:rPr>
        <w:t>联系</w:t>
      </w:r>
      <w:r>
        <w:rPr>
          <w:rFonts w:hint="eastAsia" w:hAnsi="宋体"/>
          <w:bCs/>
          <w:color w:val="000000" w:themeColor="text1"/>
          <w:sz w:val="24"/>
          <w:szCs w:val="24"/>
          <w:highlight w:val="none"/>
          <w14:textFill>
            <w14:solidFill>
              <w14:schemeClr w14:val="tx1"/>
            </w14:solidFill>
          </w14:textFill>
        </w:rPr>
        <w:t>电话：</w:t>
      </w:r>
      <w:r>
        <w:rPr>
          <w:rFonts w:hint="eastAsia" w:hAnsi="宋体"/>
          <w:bCs/>
          <w:color w:val="000000" w:themeColor="text1"/>
          <w:sz w:val="24"/>
          <w:szCs w:val="24"/>
          <w:highlight w:val="none"/>
          <w:u w:val="single"/>
          <w14:textFill>
            <w14:solidFill>
              <w14:schemeClr w14:val="tx1"/>
            </w14:solidFill>
          </w14:textFill>
        </w:rPr>
        <w:t xml:space="preserve">                      </w:t>
      </w:r>
    </w:p>
    <w:p w14:paraId="30955590">
      <w:pPr>
        <w:pStyle w:val="25"/>
        <w:spacing w:line="360" w:lineRule="auto"/>
        <w:ind w:firstLine="480" w:firstLineChars="200"/>
        <w:contextualSpacing/>
        <w:rPr>
          <w:rFonts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地址</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Ansi="宋体"/>
          <w:bCs/>
          <w:color w:val="000000" w:themeColor="text1"/>
          <w:sz w:val="24"/>
          <w:szCs w:val="24"/>
          <w:highlight w:val="none"/>
          <w14:textFill>
            <w14:solidFill>
              <w14:schemeClr w14:val="tx1"/>
            </w14:solidFill>
          </w14:textFill>
        </w:rPr>
        <w:t>邮编</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 xml:space="preserve">     </w:t>
      </w:r>
    </w:p>
    <w:p w14:paraId="686A71DA">
      <w:pPr>
        <w:pStyle w:val="25"/>
        <w:spacing w:line="360" w:lineRule="auto"/>
        <w:ind w:firstLine="482" w:firstLineChars="200"/>
        <w:contextualSpacing/>
        <w:rPr>
          <w:rFonts w:hAnsi="宋体"/>
          <w:b/>
          <w:bCs/>
          <w:color w:val="000000" w:themeColor="text1"/>
          <w:sz w:val="24"/>
          <w:szCs w:val="24"/>
          <w:highlight w:val="none"/>
          <w14:textFill>
            <w14:solidFill>
              <w14:schemeClr w14:val="tx1"/>
            </w14:solidFill>
          </w14:textFill>
        </w:rPr>
      </w:pPr>
      <w:r>
        <w:rPr>
          <w:rFonts w:hint="eastAsia" w:hAnsi="宋体"/>
          <w:b/>
          <w:bCs/>
          <w:color w:val="000000" w:themeColor="text1"/>
          <w:sz w:val="24"/>
          <w:szCs w:val="24"/>
          <w:highlight w:val="none"/>
          <w14:textFill>
            <w14:solidFill>
              <w14:schemeClr w14:val="tx1"/>
            </w14:solidFill>
          </w14:textFill>
        </w:rPr>
        <w:t>二、质疑项目基本情况：</w:t>
      </w:r>
    </w:p>
    <w:p w14:paraId="5697852F">
      <w:pPr>
        <w:pStyle w:val="25"/>
        <w:spacing w:line="360" w:lineRule="auto"/>
        <w:ind w:left="25" w:leftChars="12" w:firstLine="472" w:firstLineChars="197"/>
        <w:contextualSpacing/>
        <w:rPr>
          <w:rFonts w:hAnsi="宋体"/>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质疑</w:t>
      </w:r>
      <w:r>
        <w:rPr>
          <w:rFonts w:hint="eastAsia" w:hAnsi="宋体"/>
          <w:color w:val="000000" w:themeColor="text1"/>
          <w:sz w:val="24"/>
          <w:szCs w:val="24"/>
          <w:highlight w:val="none"/>
          <w14:textFill>
            <w14:solidFill>
              <w14:schemeClr w14:val="tx1"/>
            </w14:solidFill>
          </w14:textFill>
        </w:rPr>
        <w:t>项目的名称：</w:t>
      </w:r>
      <w:r>
        <w:rPr>
          <w:rFonts w:hint="eastAsia" w:hAnsi="宋体"/>
          <w:bCs/>
          <w:color w:val="000000" w:themeColor="text1"/>
          <w:sz w:val="24"/>
          <w:szCs w:val="24"/>
          <w:highlight w:val="none"/>
          <w:u w:val="single"/>
          <w14:textFill>
            <w14:solidFill>
              <w14:schemeClr w14:val="tx1"/>
            </w14:solidFill>
          </w14:textFill>
        </w:rPr>
        <w:t xml:space="preserve">                                     </w:t>
      </w:r>
    </w:p>
    <w:p w14:paraId="54763F2C">
      <w:pPr>
        <w:pStyle w:val="25"/>
        <w:spacing w:line="360" w:lineRule="auto"/>
        <w:ind w:left="25" w:leftChars="12" w:firstLine="472" w:firstLineChars="197"/>
        <w:contextualSpacing/>
        <w:rPr>
          <w:rFonts w:hAnsi="宋体"/>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质疑</w:t>
      </w:r>
      <w:r>
        <w:rPr>
          <w:rFonts w:hint="eastAsia" w:hAnsi="宋体"/>
          <w:color w:val="000000" w:themeColor="text1"/>
          <w:sz w:val="24"/>
          <w:szCs w:val="24"/>
          <w:highlight w:val="none"/>
          <w14:textFill>
            <w14:solidFill>
              <w14:schemeClr w14:val="tx1"/>
            </w14:solidFill>
          </w14:textFill>
        </w:rPr>
        <w:t>项目的编号：</w:t>
      </w:r>
      <w:r>
        <w:rPr>
          <w:rFonts w:hint="eastAsia" w:hAnsi="宋体"/>
          <w:bCs/>
          <w:color w:val="000000" w:themeColor="text1"/>
          <w:sz w:val="24"/>
          <w:szCs w:val="24"/>
          <w:highlight w:val="none"/>
          <w:u w:val="single"/>
          <w14:textFill>
            <w14:solidFill>
              <w14:schemeClr w14:val="tx1"/>
            </w14:solidFill>
          </w14:textFill>
        </w:rPr>
        <w:t xml:space="preserve">                                     </w:t>
      </w:r>
    </w:p>
    <w:p w14:paraId="4EC88388">
      <w:pPr>
        <w:pStyle w:val="25"/>
        <w:spacing w:line="360" w:lineRule="auto"/>
        <w:ind w:left="25" w:leftChars="12" w:firstLine="472" w:firstLineChars="197"/>
        <w:contextualSpacing/>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采购人名称：</w:t>
      </w:r>
      <w:r>
        <w:rPr>
          <w:rFonts w:hint="eastAsia" w:hAnsi="宋体"/>
          <w:bCs/>
          <w:color w:val="000000" w:themeColor="text1"/>
          <w:sz w:val="24"/>
          <w:szCs w:val="24"/>
          <w:highlight w:val="none"/>
          <w:u w:val="single"/>
          <w14:textFill>
            <w14:solidFill>
              <w14:schemeClr w14:val="tx1"/>
            </w14:solidFill>
          </w14:textFill>
        </w:rPr>
        <w:t xml:space="preserve">                                         </w:t>
      </w:r>
    </w:p>
    <w:p w14:paraId="6E5B80AA">
      <w:pPr>
        <w:pStyle w:val="25"/>
        <w:spacing w:line="360" w:lineRule="auto"/>
        <w:ind w:left="25" w:leftChars="12" w:firstLine="472" w:firstLineChars="197"/>
        <w:contextualSpacing/>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质疑事项：</w:t>
      </w:r>
    </w:p>
    <w:p w14:paraId="43B2B3E2">
      <w:pPr>
        <w:pStyle w:val="25"/>
        <w:spacing w:line="360" w:lineRule="auto"/>
        <w:ind w:left="25" w:leftChars="12" w:firstLine="352" w:firstLineChars="147"/>
        <w:contextualSpacing/>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□采购文件   采购文件获取日期：</w:t>
      </w:r>
      <w:r>
        <w:rPr>
          <w:rFonts w:hint="eastAsia" w:hAnsi="宋体"/>
          <w:bCs/>
          <w:color w:val="000000" w:themeColor="text1"/>
          <w:sz w:val="24"/>
          <w:szCs w:val="24"/>
          <w:highlight w:val="none"/>
          <w:u w:val="single"/>
          <w14:textFill>
            <w14:solidFill>
              <w14:schemeClr w14:val="tx1"/>
            </w14:solidFill>
          </w14:textFill>
        </w:rPr>
        <w:t xml:space="preserve">                                   </w:t>
      </w:r>
    </w:p>
    <w:p w14:paraId="4BA8BA02">
      <w:pPr>
        <w:pStyle w:val="25"/>
        <w:spacing w:line="360" w:lineRule="auto"/>
        <w:ind w:left="25" w:leftChars="12" w:firstLine="352" w:firstLineChars="147"/>
        <w:contextualSpacing/>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 xml:space="preserve">□采购过程   </w:t>
      </w:r>
    </w:p>
    <w:p w14:paraId="608501B2">
      <w:pPr>
        <w:pStyle w:val="25"/>
        <w:spacing w:line="360" w:lineRule="auto"/>
        <w:ind w:left="25" w:leftChars="12" w:firstLine="352" w:firstLineChars="147"/>
        <w:contextualSpacing/>
        <w:rPr>
          <w:rFonts w:hAnsi="宋体"/>
          <w:bCs/>
          <w:color w:val="000000" w:themeColor="text1"/>
          <w:sz w:val="24"/>
          <w:szCs w:val="24"/>
          <w:highlight w:val="none"/>
          <w:u w:val="singl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 xml:space="preserve">□成交结果   </w:t>
      </w:r>
    </w:p>
    <w:p w14:paraId="0CC0B910">
      <w:pPr>
        <w:pStyle w:val="25"/>
        <w:spacing w:line="360" w:lineRule="auto"/>
        <w:ind w:left="25" w:leftChars="12" w:firstLine="472" w:firstLineChars="196"/>
        <w:contextualSpacing/>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三、质疑事项具体内容</w:t>
      </w:r>
    </w:p>
    <w:p w14:paraId="0077DA8C">
      <w:pPr>
        <w:pStyle w:val="25"/>
        <w:spacing w:line="360" w:lineRule="auto"/>
        <w:ind w:left="25" w:leftChars="12" w:firstLine="472" w:firstLineChars="197"/>
        <w:contextualSpacing/>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质疑事项1：</w:t>
      </w:r>
      <w:r>
        <w:rPr>
          <w:rFonts w:hint="eastAsia" w:hAnsi="宋体"/>
          <w:bCs/>
          <w:color w:val="000000" w:themeColor="text1"/>
          <w:sz w:val="24"/>
          <w:szCs w:val="24"/>
          <w:highlight w:val="none"/>
          <w:u w:val="single"/>
          <w14:textFill>
            <w14:solidFill>
              <w14:schemeClr w14:val="tx1"/>
            </w14:solidFill>
          </w14:textFill>
        </w:rPr>
        <w:t xml:space="preserve">                                                                    </w:t>
      </w:r>
    </w:p>
    <w:p w14:paraId="1C89EE95">
      <w:pPr>
        <w:pStyle w:val="25"/>
        <w:spacing w:line="360" w:lineRule="auto"/>
        <w:ind w:left="25" w:leftChars="12" w:firstLine="472" w:firstLineChars="197"/>
        <w:contextualSpacing/>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事实依据：</w:t>
      </w:r>
      <w:r>
        <w:rPr>
          <w:rFonts w:hint="eastAsia" w:hAnsi="宋体"/>
          <w:bCs/>
          <w:color w:val="000000" w:themeColor="text1"/>
          <w:sz w:val="24"/>
          <w:szCs w:val="24"/>
          <w:highlight w:val="none"/>
          <w:u w:val="single"/>
          <w14:textFill>
            <w14:solidFill>
              <w14:schemeClr w14:val="tx1"/>
            </w14:solidFill>
          </w14:textFill>
        </w:rPr>
        <w:t xml:space="preserve">                                                                      </w:t>
      </w:r>
    </w:p>
    <w:p w14:paraId="4C76CFAD">
      <w:pPr>
        <w:pStyle w:val="25"/>
        <w:spacing w:line="360" w:lineRule="auto"/>
        <w:ind w:left="25" w:leftChars="12" w:firstLine="472" w:firstLineChars="197"/>
        <w:contextualSpacing/>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法律依据：</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bCs/>
          <w:color w:val="000000" w:themeColor="text1"/>
          <w:sz w:val="24"/>
          <w:szCs w:val="24"/>
          <w:highlight w:val="none"/>
          <w:u w:val="single"/>
          <w14:textFill>
            <w14:solidFill>
              <w14:schemeClr w14:val="tx1"/>
            </w14:solidFill>
          </w14:textFill>
        </w:rPr>
        <w:t xml:space="preserve">               </w:t>
      </w:r>
    </w:p>
    <w:p w14:paraId="5A28154D">
      <w:pPr>
        <w:pStyle w:val="25"/>
        <w:spacing w:line="360" w:lineRule="auto"/>
        <w:ind w:left="25" w:leftChars="12" w:firstLine="472" w:firstLineChars="197"/>
        <w:contextualSpacing/>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质疑事项2</w:t>
      </w:r>
    </w:p>
    <w:p w14:paraId="1A91288A">
      <w:pPr>
        <w:pStyle w:val="25"/>
        <w:spacing w:line="360" w:lineRule="auto"/>
        <w:ind w:left="25" w:leftChars="12" w:firstLine="472" w:firstLineChars="197"/>
        <w:contextualSpacing/>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w:t>
      </w:r>
    </w:p>
    <w:p w14:paraId="5725F137">
      <w:pPr>
        <w:pStyle w:val="25"/>
        <w:spacing w:line="360" w:lineRule="auto"/>
        <w:ind w:left="25" w:leftChars="12" w:firstLine="472" w:firstLineChars="197"/>
        <w:contextualSpacing/>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四、与质疑事项相关的质疑请求：</w:t>
      </w:r>
    </w:p>
    <w:p w14:paraId="222A2D2D">
      <w:pPr>
        <w:pStyle w:val="25"/>
        <w:spacing w:line="360" w:lineRule="auto"/>
        <w:ind w:left="25" w:leftChars="12" w:firstLine="472" w:firstLineChars="197"/>
        <w:contextualSpacing/>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请求：</w:t>
      </w:r>
      <w:r>
        <w:rPr>
          <w:rFonts w:hint="eastAsia" w:hAnsi="宋体"/>
          <w:bCs/>
          <w:color w:val="000000" w:themeColor="text1"/>
          <w:sz w:val="24"/>
          <w:szCs w:val="24"/>
          <w:highlight w:val="none"/>
          <w:u w:val="single"/>
          <w14:textFill>
            <w14:solidFill>
              <w14:schemeClr w14:val="tx1"/>
            </w14:solidFill>
          </w14:textFill>
        </w:rPr>
        <w:t xml:space="preserve">                                                                </w:t>
      </w:r>
    </w:p>
    <w:p w14:paraId="3DC92991">
      <w:pPr>
        <w:pStyle w:val="25"/>
        <w:spacing w:line="360" w:lineRule="auto"/>
        <w:ind w:left="25" w:leftChars="12" w:firstLine="352" w:firstLineChars="147"/>
        <w:contextualSpacing/>
        <w:rPr>
          <w:rFonts w:hAnsi="宋体"/>
          <w:color w:val="000000" w:themeColor="text1"/>
          <w:sz w:val="24"/>
          <w:szCs w:val="24"/>
          <w:highlight w:val="none"/>
          <w14:textFill>
            <w14:solidFill>
              <w14:schemeClr w14:val="tx1"/>
            </w14:solidFill>
          </w14:textFill>
        </w:rPr>
      </w:pPr>
    </w:p>
    <w:p w14:paraId="5DFFC06B">
      <w:pPr>
        <w:pStyle w:val="25"/>
        <w:spacing w:line="360" w:lineRule="auto"/>
        <w:ind w:left="25" w:leftChars="12" w:firstLine="472" w:firstLineChars="197"/>
        <w:contextualSpacing/>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签字（签章）：                                       公章：</w:t>
      </w:r>
    </w:p>
    <w:p w14:paraId="6A0FC876">
      <w:pPr>
        <w:pStyle w:val="25"/>
        <w:spacing w:line="360" w:lineRule="auto"/>
        <w:ind w:firstLine="480" w:firstLineChars="200"/>
        <w:contextualSpacing/>
        <w:rPr>
          <w:rFonts w:hAnsi="宋体"/>
          <w:b/>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日期：</w:t>
      </w:r>
    </w:p>
    <w:p w14:paraId="0F52C3C2">
      <w:pPr>
        <w:pStyle w:val="25"/>
        <w:spacing w:line="360" w:lineRule="auto"/>
        <w:contextualSpacing/>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说明：</w:t>
      </w:r>
    </w:p>
    <w:p w14:paraId="34A30566">
      <w:pPr>
        <w:pStyle w:val="25"/>
        <w:spacing w:line="360" w:lineRule="auto"/>
        <w:ind w:left="25" w:leftChars="12" w:firstLine="354" w:firstLineChars="147"/>
        <w:contextualSpacing/>
        <w:rPr>
          <w:rFonts w:hAnsi="宋体"/>
          <w:b/>
          <w:bCs/>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1.供应商提出质疑时，应提交质疑函和必要的证明材料</w:t>
      </w:r>
      <w:r>
        <w:rPr>
          <w:rFonts w:hint="eastAsia" w:hAnsi="宋体"/>
          <w:b/>
          <w:bCs/>
          <w:color w:val="000000" w:themeColor="text1"/>
          <w:sz w:val="24"/>
          <w:szCs w:val="24"/>
          <w:highlight w:val="none"/>
          <w14:textFill>
            <w14:solidFill>
              <w14:schemeClr w14:val="tx1"/>
            </w14:solidFill>
          </w14:textFill>
        </w:rPr>
        <w:t>。</w:t>
      </w:r>
    </w:p>
    <w:p w14:paraId="03E41E3D">
      <w:pPr>
        <w:pStyle w:val="25"/>
        <w:spacing w:line="360" w:lineRule="auto"/>
        <w:ind w:left="25" w:leftChars="12" w:firstLine="354" w:firstLineChars="147"/>
        <w:contextualSpacing/>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90C373A">
      <w:pPr>
        <w:pStyle w:val="25"/>
        <w:spacing w:line="360" w:lineRule="auto"/>
        <w:ind w:left="25" w:leftChars="12" w:firstLine="354" w:firstLineChars="147"/>
        <w:contextualSpacing/>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3.质疑函的质疑事项应具体、明确，并有必要的事实依据和法律依据。</w:t>
      </w:r>
    </w:p>
    <w:p w14:paraId="19A129D4">
      <w:pPr>
        <w:pStyle w:val="25"/>
        <w:spacing w:line="360" w:lineRule="auto"/>
        <w:ind w:left="25" w:leftChars="12" w:firstLine="354" w:firstLineChars="147"/>
        <w:contextualSpacing/>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4.质疑函的质疑请求应与质疑事项相关。</w:t>
      </w:r>
    </w:p>
    <w:p w14:paraId="7B478261">
      <w:pPr>
        <w:pStyle w:val="25"/>
        <w:spacing w:line="360" w:lineRule="auto"/>
        <w:ind w:left="25" w:leftChars="12" w:firstLine="354" w:firstLineChars="147"/>
        <w:contextualSpacing/>
        <w:rPr>
          <w:rFonts w:hAnsi="宋体"/>
          <w:b/>
          <w:color w:val="000000" w:themeColor="text1"/>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5.质疑供应商为法人或者其他组织的，质疑函应由法定代表人、主要负责人，或者其授权代表签字或者盖章，并加盖公章。</w:t>
      </w:r>
    </w:p>
    <w:p w14:paraId="77EFD6AE">
      <w:pPr>
        <w:pStyle w:val="25"/>
        <w:snapToGrid w:val="0"/>
        <w:rPr>
          <w:b/>
          <w:color w:val="000000" w:themeColor="text1"/>
          <w:sz w:val="24"/>
          <w:szCs w:val="24"/>
          <w:highlight w:val="none"/>
          <w14:textFill>
            <w14:solidFill>
              <w14:schemeClr w14:val="tx1"/>
            </w14:solidFill>
          </w14:textFill>
        </w:rPr>
      </w:pPr>
    </w:p>
    <w:p w14:paraId="3C92FF0C">
      <w:pPr>
        <w:rPr>
          <w:color w:val="000000" w:themeColor="text1"/>
          <w:sz w:val="32"/>
          <w:szCs w:val="40"/>
          <w:highlight w:val="none"/>
          <w14:textFill>
            <w14:solidFill>
              <w14:schemeClr w14:val="tx1"/>
            </w14:solidFill>
          </w14:textFill>
        </w:rPr>
      </w:pPr>
    </w:p>
    <w:p w14:paraId="11D3D02E">
      <w:pPr>
        <w:rPr>
          <w:color w:val="000000" w:themeColor="text1"/>
          <w:sz w:val="32"/>
          <w:szCs w:val="40"/>
          <w:highlight w:val="none"/>
          <w14:textFill>
            <w14:solidFill>
              <w14:schemeClr w14:val="tx1"/>
            </w14:solidFill>
          </w14:textFill>
        </w:rPr>
      </w:pPr>
    </w:p>
    <w:p w14:paraId="4AE9AD0D">
      <w:pPr>
        <w:rPr>
          <w:color w:val="000000" w:themeColor="text1"/>
          <w:sz w:val="32"/>
          <w:szCs w:val="40"/>
          <w:highlight w:val="none"/>
          <w14:textFill>
            <w14:solidFill>
              <w14:schemeClr w14:val="tx1"/>
            </w14:solidFill>
          </w14:textFill>
        </w:rPr>
      </w:pPr>
    </w:p>
    <w:p w14:paraId="7C2BE011">
      <w:pPr>
        <w:rPr>
          <w:color w:val="000000" w:themeColor="text1"/>
          <w:sz w:val="32"/>
          <w:szCs w:val="40"/>
          <w:highlight w:val="none"/>
          <w14:textFill>
            <w14:solidFill>
              <w14:schemeClr w14:val="tx1"/>
            </w14:solidFill>
          </w14:textFill>
        </w:rPr>
      </w:pPr>
    </w:p>
    <w:p w14:paraId="42ABF246">
      <w:pPr>
        <w:rPr>
          <w:color w:val="000000" w:themeColor="text1"/>
          <w:sz w:val="32"/>
          <w:szCs w:val="40"/>
          <w:highlight w:val="none"/>
          <w14:textFill>
            <w14:solidFill>
              <w14:schemeClr w14:val="tx1"/>
            </w14:solidFill>
          </w14:textFill>
        </w:rPr>
      </w:pPr>
    </w:p>
    <w:p w14:paraId="732B352D">
      <w:pPr>
        <w:rPr>
          <w:color w:val="000000" w:themeColor="text1"/>
          <w:sz w:val="32"/>
          <w:szCs w:val="40"/>
          <w:highlight w:val="none"/>
          <w14:textFill>
            <w14:solidFill>
              <w14:schemeClr w14:val="tx1"/>
            </w14:solidFill>
          </w14:textFill>
        </w:rPr>
      </w:pPr>
    </w:p>
    <w:p w14:paraId="77CA4BB7">
      <w:pPr>
        <w:rPr>
          <w:color w:val="000000" w:themeColor="text1"/>
          <w:sz w:val="32"/>
          <w:szCs w:val="40"/>
          <w:highlight w:val="none"/>
          <w14:textFill>
            <w14:solidFill>
              <w14:schemeClr w14:val="tx1"/>
            </w14:solidFill>
          </w14:textFill>
        </w:rPr>
      </w:pPr>
    </w:p>
    <w:p w14:paraId="691B3A11">
      <w:pPr>
        <w:rPr>
          <w:color w:val="000000" w:themeColor="text1"/>
          <w:sz w:val="32"/>
          <w:szCs w:val="40"/>
          <w:highlight w:val="none"/>
          <w14:textFill>
            <w14:solidFill>
              <w14:schemeClr w14:val="tx1"/>
            </w14:solidFill>
          </w14:textFill>
        </w:rPr>
      </w:pPr>
    </w:p>
    <w:p w14:paraId="3D8A5937">
      <w:pPr>
        <w:rPr>
          <w:color w:val="000000" w:themeColor="text1"/>
          <w:sz w:val="32"/>
          <w:szCs w:val="40"/>
          <w:highlight w:val="none"/>
          <w14:textFill>
            <w14:solidFill>
              <w14:schemeClr w14:val="tx1"/>
            </w14:solidFill>
          </w14:textFill>
        </w:rPr>
      </w:pPr>
    </w:p>
    <w:p w14:paraId="489C81D1">
      <w:pPr>
        <w:rPr>
          <w:color w:val="000000" w:themeColor="text1"/>
          <w:sz w:val="32"/>
          <w:szCs w:val="40"/>
          <w:highlight w:val="none"/>
          <w14:textFill>
            <w14:solidFill>
              <w14:schemeClr w14:val="tx1"/>
            </w14:solidFill>
          </w14:textFill>
        </w:rPr>
      </w:pPr>
    </w:p>
    <w:p w14:paraId="2D95BB95">
      <w:pPr>
        <w:rPr>
          <w:color w:val="000000" w:themeColor="text1"/>
          <w:sz w:val="32"/>
          <w:szCs w:val="40"/>
          <w:highlight w:val="none"/>
          <w14:textFill>
            <w14:solidFill>
              <w14:schemeClr w14:val="tx1"/>
            </w14:solidFill>
          </w14:textFill>
        </w:rPr>
      </w:pPr>
    </w:p>
    <w:p w14:paraId="64DC9B62">
      <w:pPr>
        <w:rPr>
          <w:color w:val="000000" w:themeColor="text1"/>
          <w:sz w:val="32"/>
          <w:szCs w:val="40"/>
          <w:highlight w:val="none"/>
          <w14:textFill>
            <w14:solidFill>
              <w14:schemeClr w14:val="tx1"/>
            </w14:solidFill>
          </w14:textFill>
        </w:rPr>
      </w:pPr>
    </w:p>
    <w:p w14:paraId="12326663">
      <w:pPr>
        <w:rPr>
          <w:color w:val="000000" w:themeColor="text1"/>
          <w:sz w:val="32"/>
          <w:szCs w:val="40"/>
          <w:highlight w:val="none"/>
          <w14:textFill>
            <w14:solidFill>
              <w14:schemeClr w14:val="tx1"/>
            </w14:solidFill>
          </w14:textFill>
        </w:rPr>
      </w:pPr>
    </w:p>
    <w:p w14:paraId="61018D20">
      <w:pPr>
        <w:rPr>
          <w:color w:val="000000" w:themeColor="text1"/>
          <w:sz w:val="32"/>
          <w:szCs w:val="40"/>
          <w:highlight w:val="none"/>
          <w14:textFill>
            <w14:solidFill>
              <w14:schemeClr w14:val="tx1"/>
            </w14:solidFill>
          </w14:textFill>
        </w:rPr>
      </w:pPr>
    </w:p>
    <w:p w14:paraId="5CD6BFB8">
      <w:pPr>
        <w:spacing w:line="360" w:lineRule="auto"/>
        <w:jc w:val="center"/>
        <w:rPr>
          <w:rFonts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ascii="方正小标宋简体" w:hAnsi="方正小标宋简体" w:eastAsia="方正小标宋简体" w:cs="方正小标宋简体"/>
          <w:color w:val="000000" w:themeColor="text1"/>
          <w:sz w:val="44"/>
          <w:szCs w:val="44"/>
          <w:highlight w:val="none"/>
          <w14:textFill>
            <w14:solidFill>
              <w14:schemeClr w14:val="tx1"/>
            </w14:solidFill>
          </w14:textFill>
        </w:rPr>
        <w:br w:type="page"/>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投诉书（格式）</w:t>
      </w:r>
    </w:p>
    <w:p w14:paraId="1F259BFE">
      <w:pPr>
        <w:pStyle w:val="25"/>
        <w:snapToGrid w:val="0"/>
        <w:spacing w:line="360" w:lineRule="auto"/>
        <w:ind w:firstLine="482" w:firstLineChars="200"/>
        <w:rPr>
          <w:rFonts w:hAnsi="宋体"/>
          <w:b/>
          <w:bCs/>
          <w:color w:val="000000" w:themeColor="text1"/>
          <w:sz w:val="24"/>
          <w:szCs w:val="24"/>
          <w:highlight w:val="none"/>
          <w14:textFill>
            <w14:solidFill>
              <w14:schemeClr w14:val="tx1"/>
            </w14:solidFill>
          </w14:textFill>
        </w:rPr>
      </w:pPr>
      <w:r>
        <w:rPr>
          <w:rFonts w:hint="eastAsia" w:hAnsi="宋体"/>
          <w:b/>
          <w:bCs/>
          <w:color w:val="000000" w:themeColor="text1"/>
          <w:sz w:val="24"/>
          <w:szCs w:val="24"/>
          <w:highlight w:val="none"/>
          <w14:textFill>
            <w14:solidFill>
              <w14:schemeClr w14:val="tx1"/>
            </w14:solidFill>
          </w14:textFill>
        </w:rPr>
        <w:t>一、投诉相关主体基本情况：</w:t>
      </w:r>
    </w:p>
    <w:p w14:paraId="3BE8521B">
      <w:pPr>
        <w:pStyle w:val="25"/>
        <w:snapToGrid w:val="0"/>
        <w:spacing w:line="360" w:lineRule="auto"/>
        <w:ind w:firstLine="480" w:firstLineChars="200"/>
        <w:rPr>
          <w:rFonts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供应商：</w:t>
      </w:r>
      <w:r>
        <w:rPr>
          <w:rFonts w:hint="eastAsia" w:hAnsi="宋体"/>
          <w:bCs/>
          <w:color w:val="000000" w:themeColor="text1"/>
          <w:sz w:val="24"/>
          <w:szCs w:val="24"/>
          <w:highlight w:val="none"/>
          <w:u w:val="single"/>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 xml:space="preserve">                 </w:t>
      </w:r>
    </w:p>
    <w:p w14:paraId="2F83B959">
      <w:pPr>
        <w:pStyle w:val="25"/>
        <w:snapToGrid w:val="0"/>
        <w:spacing w:line="360" w:lineRule="auto"/>
        <w:ind w:firstLine="480" w:firstLineChars="200"/>
        <w:rPr>
          <w:rFonts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地址</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Ansi="宋体"/>
          <w:bCs/>
          <w:color w:val="000000" w:themeColor="text1"/>
          <w:sz w:val="24"/>
          <w:szCs w:val="24"/>
          <w:highlight w:val="none"/>
          <w14:textFill>
            <w14:solidFill>
              <w14:schemeClr w14:val="tx1"/>
            </w14:solidFill>
          </w14:textFill>
        </w:rPr>
        <w:t>邮编</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 xml:space="preserve">                 </w:t>
      </w:r>
    </w:p>
    <w:p w14:paraId="4A334401">
      <w:pPr>
        <w:pStyle w:val="25"/>
        <w:snapToGrid w:val="0"/>
        <w:spacing w:line="360" w:lineRule="auto"/>
        <w:ind w:firstLine="480" w:firstLineChars="200"/>
        <w:rPr>
          <w:rFonts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法定代表人/主要负责人：</w:t>
      </w:r>
      <w:r>
        <w:rPr>
          <w:rFonts w:hint="eastAsia" w:hAnsi="宋体"/>
          <w:bCs/>
          <w:color w:val="000000" w:themeColor="text1"/>
          <w:sz w:val="24"/>
          <w:szCs w:val="24"/>
          <w:highlight w:val="none"/>
          <w:u w:val="single"/>
          <w14:textFill>
            <w14:solidFill>
              <w14:schemeClr w14:val="tx1"/>
            </w14:solidFill>
          </w14:textFill>
        </w:rPr>
        <w:t xml:space="preserve">                                                         </w:t>
      </w:r>
    </w:p>
    <w:p w14:paraId="66E14119">
      <w:pPr>
        <w:pStyle w:val="25"/>
        <w:snapToGrid w:val="0"/>
        <w:spacing w:line="360" w:lineRule="auto"/>
        <w:ind w:firstLine="480" w:firstLineChars="200"/>
        <w:rPr>
          <w:rFonts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联系电话</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p>
    <w:p w14:paraId="751DCFB4">
      <w:pPr>
        <w:pStyle w:val="25"/>
        <w:snapToGrid w:val="0"/>
        <w:spacing w:line="360" w:lineRule="auto"/>
        <w:ind w:firstLine="480" w:firstLineChars="200"/>
        <w:rPr>
          <w:rFonts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授权代表：</w:t>
      </w:r>
      <w:r>
        <w:rPr>
          <w:rFonts w:hint="eastAsia" w:hAnsi="宋体"/>
          <w:bCs/>
          <w:color w:val="000000" w:themeColor="text1"/>
          <w:sz w:val="24"/>
          <w:szCs w:val="24"/>
          <w:highlight w:val="none"/>
          <w:u w:val="single"/>
          <w14:textFill>
            <w14:solidFill>
              <w14:schemeClr w14:val="tx1"/>
            </w14:solidFill>
          </w14:textFill>
        </w:rPr>
        <w:t xml:space="preserve">                                         </w:t>
      </w:r>
      <w:r>
        <w:rPr>
          <w:rFonts w:hAnsi="宋体"/>
          <w:bCs/>
          <w:color w:val="000000" w:themeColor="text1"/>
          <w:sz w:val="24"/>
          <w:szCs w:val="24"/>
          <w:highlight w:val="none"/>
          <w14:textFill>
            <w14:solidFill>
              <w14:schemeClr w14:val="tx1"/>
            </w14:solidFill>
          </w14:textFill>
        </w:rPr>
        <w:t>联系</w:t>
      </w:r>
      <w:r>
        <w:rPr>
          <w:rFonts w:hint="eastAsia" w:hAnsi="宋体"/>
          <w:bCs/>
          <w:color w:val="000000" w:themeColor="text1"/>
          <w:sz w:val="24"/>
          <w:szCs w:val="24"/>
          <w:highlight w:val="none"/>
          <w14:textFill>
            <w14:solidFill>
              <w14:schemeClr w14:val="tx1"/>
            </w14:solidFill>
          </w14:textFill>
        </w:rPr>
        <w:t>电话：</w:t>
      </w:r>
      <w:r>
        <w:rPr>
          <w:rFonts w:hint="eastAsia" w:hAnsi="宋体"/>
          <w:bCs/>
          <w:color w:val="000000" w:themeColor="text1"/>
          <w:sz w:val="24"/>
          <w:szCs w:val="24"/>
          <w:highlight w:val="none"/>
          <w:u w:val="single"/>
          <w14:textFill>
            <w14:solidFill>
              <w14:schemeClr w14:val="tx1"/>
            </w14:solidFill>
          </w14:textFill>
        </w:rPr>
        <w:t xml:space="preserve">                   </w:t>
      </w:r>
    </w:p>
    <w:p w14:paraId="29594C29">
      <w:pPr>
        <w:pStyle w:val="25"/>
        <w:snapToGrid w:val="0"/>
        <w:spacing w:line="360" w:lineRule="auto"/>
        <w:ind w:firstLine="480" w:firstLineChars="200"/>
        <w:rPr>
          <w:rFonts w:hAnsi="宋体"/>
          <w:bCs/>
          <w:color w:val="000000" w:themeColor="text1"/>
          <w:sz w:val="24"/>
          <w:szCs w:val="24"/>
          <w:highlight w:val="none"/>
          <w:u w:val="single"/>
          <w14:textFill>
            <w14:solidFill>
              <w14:schemeClr w14:val="tx1"/>
            </w14:solidFill>
          </w14:textFill>
        </w:rPr>
      </w:pPr>
      <w:r>
        <w:rPr>
          <w:rFonts w:hAnsi="宋体"/>
          <w:bCs/>
          <w:color w:val="000000" w:themeColor="text1"/>
          <w:sz w:val="24"/>
          <w:szCs w:val="24"/>
          <w:highlight w:val="none"/>
          <w14:textFill>
            <w14:solidFill>
              <w14:schemeClr w14:val="tx1"/>
            </w14:solidFill>
          </w14:textFill>
        </w:rPr>
        <w:t>地址</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p>
    <w:p w14:paraId="227F1BDD">
      <w:pPr>
        <w:pStyle w:val="25"/>
        <w:snapToGrid w:val="0"/>
        <w:spacing w:line="360" w:lineRule="auto"/>
        <w:ind w:firstLine="480" w:firstLineChars="200"/>
        <w:rPr>
          <w:rFonts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邮编</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 xml:space="preserve">   </w:t>
      </w:r>
    </w:p>
    <w:p w14:paraId="04389800">
      <w:pPr>
        <w:pStyle w:val="25"/>
        <w:snapToGrid w:val="0"/>
        <w:spacing w:line="360" w:lineRule="auto"/>
        <w:ind w:firstLine="480" w:firstLineChars="200"/>
        <w:rPr>
          <w:rFonts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被投诉人1：</w:t>
      </w:r>
    </w:p>
    <w:p w14:paraId="6499D87A">
      <w:pPr>
        <w:pStyle w:val="25"/>
        <w:snapToGrid w:val="0"/>
        <w:spacing w:line="360" w:lineRule="auto"/>
        <w:ind w:firstLine="480" w:firstLineChars="200"/>
        <w:rPr>
          <w:rFonts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地址：</w:t>
      </w:r>
      <w:r>
        <w:rPr>
          <w:rFonts w:hint="eastAsia" w:hAnsi="宋体"/>
          <w:bCs/>
          <w:color w:val="000000" w:themeColor="text1"/>
          <w:sz w:val="24"/>
          <w:szCs w:val="24"/>
          <w:highlight w:val="none"/>
          <w:u w:val="single"/>
          <w14:textFill>
            <w14:solidFill>
              <w14:schemeClr w14:val="tx1"/>
            </w14:solidFill>
          </w14:textFill>
        </w:rPr>
        <w:t xml:space="preserve">                                                            </w:t>
      </w:r>
    </w:p>
    <w:p w14:paraId="3A7E16D3">
      <w:pPr>
        <w:pStyle w:val="25"/>
        <w:snapToGrid w:val="0"/>
        <w:spacing w:line="360" w:lineRule="auto"/>
        <w:ind w:firstLine="480" w:firstLineChars="200"/>
        <w:rPr>
          <w:rFonts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邮编</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 xml:space="preserve">  </w:t>
      </w:r>
    </w:p>
    <w:p w14:paraId="2C77D201">
      <w:pPr>
        <w:pStyle w:val="25"/>
        <w:snapToGrid w:val="0"/>
        <w:spacing w:line="360" w:lineRule="auto"/>
        <w:ind w:firstLine="480" w:firstLineChars="200"/>
        <w:rPr>
          <w:rFonts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联系人：</w:t>
      </w:r>
      <w:r>
        <w:rPr>
          <w:rFonts w:hint="eastAsia" w:hAnsi="宋体"/>
          <w:bCs/>
          <w:color w:val="000000" w:themeColor="text1"/>
          <w:sz w:val="24"/>
          <w:szCs w:val="24"/>
          <w:highlight w:val="none"/>
          <w:u w:val="single"/>
          <w14:textFill>
            <w14:solidFill>
              <w14:schemeClr w14:val="tx1"/>
            </w14:solidFill>
          </w14:textFill>
        </w:rPr>
        <w:t xml:space="preserve">                                                </w:t>
      </w:r>
      <w:r>
        <w:rPr>
          <w:rFonts w:hAnsi="宋体"/>
          <w:bCs/>
          <w:color w:val="000000" w:themeColor="text1"/>
          <w:sz w:val="24"/>
          <w:szCs w:val="24"/>
          <w:highlight w:val="none"/>
          <w14:textFill>
            <w14:solidFill>
              <w14:schemeClr w14:val="tx1"/>
            </w14:solidFill>
          </w14:textFill>
        </w:rPr>
        <w:t>联系</w:t>
      </w:r>
      <w:r>
        <w:rPr>
          <w:rFonts w:hint="eastAsia" w:hAnsi="宋体"/>
          <w:bCs/>
          <w:color w:val="000000" w:themeColor="text1"/>
          <w:sz w:val="24"/>
          <w:szCs w:val="24"/>
          <w:highlight w:val="none"/>
          <w14:textFill>
            <w14:solidFill>
              <w14:schemeClr w14:val="tx1"/>
            </w14:solidFill>
          </w14:textFill>
        </w:rPr>
        <w:t>电话：</w:t>
      </w:r>
      <w:r>
        <w:rPr>
          <w:rFonts w:hint="eastAsia" w:hAnsi="宋体"/>
          <w:bCs/>
          <w:color w:val="000000" w:themeColor="text1"/>
          <w:sz w:val="24"/>
          <w:szCs w:val="24"/>
          <w:highlight w:val="none"/>
          <w:u w:val="single"/>
          <w14:textFill>
            <w14:solidFill>
              <w14:schemeClr w14:val="tx1"/>
            </w14:solidFill>
          </w14:textFill>
        </w:rPr>
        <w:t xml:space="preserve">                </w:t>
      </w:r>
    </w:p>
    <w:p w14:paraId="2B63D66B">
      <w:pPr>
        <w:pStyle w:val="25"/>
        <w:snapToGrid w:val="0"/>
        <w:spacing w:line="360" w:lineRule="auto"/>
        <w:ind w:firstLine="480" w:firstLineChars="200"/>
        <w:rPr>
          <w:rFonts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被投诉人2：</w:t>
      </w:r>
    </w:p>
    <w:p w14:paraId="62ED458C">
      <w:pPr>
        <w:pStyle w:val="25"/>
        <w:snapToGrid w:val="0"/>
        <w:spacing w:line="360" w:lineRule="auto"/>
        <w:ind w:firstLine="480" w:firstLineChars="200"/>
        <w:rPr>
          <w:rFonts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w:t>
      </w:r>
    </w:p>
    <w:p w14:paraId="205AD38F">
      <w:pPr>
        <w:pStyle w:val="25"/>
        <w:snapToGrid w:val="0"/>
        <w:spacing w:line="360" w:lineRule="auto"/>
        <w:ind w:firstLine="480" w:firstLineChars="200"/>
        <w:rPr>
          <w:rFonts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相关供应商：</w:t>
      </w:r>
      <w:r>
        <w:rPr>
          <w:rFonts w:hint="eastAsia" w:hAnsi="宋体"/>
          <w:bCs/>
          <w:color w:val="000000" w:themeColor="text1"/>
          <w:sz w:val="24"/>
          <w:szCs w:val="24"/>
          <w:highlight w:val="none"/>
          <w:u w:val="single"/>
          <w14:textFill>
            <w14:solidFill>
              <w14:schemeClr w14:val="tx1"/>
            </w14:solidFill>
          </w14:textFill>
        </w:rPr>
        <w:t xml:space="preserve">                                                                       </w:t>
      </w:r>
    </w:p>
    <w:p w14:paraId="6D596F63">
      <w:pPr>
        <w:pStyle w:val="25"/>
        <w:snapToGrid w:val="0"/>
        <w:spacing w:line="360" w:lineRule="auto"/>
        <w:ind w:firstLine="480" w:firstLineChars="200"/>
        <w:rPr>
          <w:rFonts w:hAnsi="宋体"/>
          <w:bCs/>
          <w:color w:val="000000" w:themeColor="text1"/>
          <w:sz w:val="24"/>
          <w:szCs w:val="24"/>
          <w:highlight w:val="none"/>
          <w:u w:val="single"/>
          <w14:textFill>
            <w14:solidFill>
              <w14:schemeClr w14:val="tx1"/>
            </w14:solidFill>
          </w14:textFill>
        </w:rPr>
      </w:pPr>
      <w:r>
        <w:rPr>
          <w:rFonts w:hAnsi="宋体"/>
          <w:bCs/>
          <w:color w:val="000000" w:themeColor="text1"/>
          <w:sz w:val="24"/>
          <w:szCs w:val="24"/>
          <w:highlight w:val="none"/>
          <w14:textFill>
            <w14:solidFill>
              <w14:schemeClr w14:val="tx1"/>
            </w14:solidFill>
          </w14:textFill>
        </w:rPr>
        <w:t>地址</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Ansi="宋体"/>
          <w:bCs/>
          <w:color w:val="000000" w:themeColor="text1"/>
          <w:sz w:val="24"/>
          <w:szCs w:val="24"/>
          <w:highlight w:val="none"/>
          <w14:textFill>
            <w14:solidFill>
              <w14:schemeClr w14:val="tx1"/>
            </w14:solidFill>
          </w14:textFill>
        </w:rPr>
        <w:t>邮编</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p>
    <w:p w14:paraId="79A8367F">
      <w:pPr>
        <w:pStyle w:val="25"/>
        <w:snapToGrid w:val="0"/>
        <w:spacing w:line="360" w:lineRule="auto"/>
        <w:ind w:firstLine="480" w:firstLineChars="200"/>
        <w:rPr>
          <w:rFonts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联系人：</w:t>
      </w:r>
      <w:r>
        <w:rPr>
          <w:rFonts w:hint="eastAsia" w:hAnsi="宋体"/>
          <w:bCs/>
          <w:color w:val="000000" w:themeColor="text1"/>
          <w:sz w:val="24"/>
          <w:szCs w:val="24"/>
          <w:highlight w:val="none"/>
          <w:u w:val="single"/>
          <w14:textFill>
            <w14:solidFill>
              <w14:schemeClr w14:val="tx1"/>
            </w14:solidFill>
          </w14:textFill>
        </w:rPr>
        <w:t xml:space="preserve">                                            </w:t>
      </w:r>
      <w:r>
        <w:rPr>
          <w:rFonts w:hAnsi="宋体"/>
          <w:bCs/>
          <w:color w:val="000000" w:themeColor="text1"/>
          <w:sz w:val="24"/>
          <w:szCs w:val="24"/>
          <w:highlight w:val="none"/>
          <w14:textFill>
            <w14:solidFill>
              <w14:schemeClr w14:val="tx1"/>
            </w14:solidFill>
          </w14:textFill>
        </w:rPr>
        <w:t>联系</w:t>
      </w:r>
      <w:r>
        <w:rPr>
          <w:rFonts w:hint="eastAsia" w:hAnsi="宋体"/>
          <w:bCs/>
          <w:color w:val="000000" w:themeColor="text1"/>
          <w:sz w:val="24"/>
          <w:szCs w:val="24"/>
          <w:highlight w:val="none"/>
          <w14:textFill>
            <w14:solidFill>
              <w14:schemeClr w14:val="tx1"/>
            </w14:solidFill>
          </w14:textFill>
        </w:rPr>
        <w:t>电话：</w:t>
      </w:r>
      <w:r>
        <w:rPr>
          <w:rFonts w:hint="eastAsia" w:hAnsi="宋体"/>
          <w:bCs/>
          <w:color w:val="000000" w:themeColor="text1"/>
          <w:sz w:val="24"/>
          <w:szCs w:val="24"/>
          <w:highlight w:val="none"/>
          <w:u w:val="single"/>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 xml:space="preserve">                </w:t>
      </w:r>
    </w:p>
    <w:p w14:paraId="3CAA9810">
      <w:pPr>
        <w:pStyle w:val="25"/>
        <w:snapToGrid w:val="0"/>
        <w:spacing w:line="360" w:lineRule="auto"/>
        <w:ind w:firstLine="482" w:firstLineChars="200"/>
        <w:rPr>
          <w:rFonts w:hAnsi="宋体"/>
          <w:b/>
          <w:bCs/>
          <w:color w:val="000000" w:themeColor="text1"/>
          <w:sz w:val="24"/>
          <w:szCs w:val="24"/>
          <w:highlight w:val="none"/>
          <w14:textFill>
            <w14:solidFill>
              <w14:schemeClr w14:val="tx1"/>
            </w14:solidFill>
          </w14:textFill>
        </w:rPr>
      </w:pPr>
      <w:r>
        <w:rPr>
          <w:rFonts w:hint="eastAsia" w:hAnsi="宋体"/>
          <w:b/>
          <w:bCs/>
          <w:color w:val="000000" w:themeColor="text1"/>
          <w:sz w:val="24"/>
          <w:szCs w:val="24"/>
          <w:highlight w:val="none"/>
          <w14:textFill>
            <w14:solidFill>
              <w14:schemeClr w14:val="tx1"/>
            </w14:solidFill>
          </w14:textFill>
        </w:rPr>
        <w:t>二、投诉项目基本情况：</w:t>
      </w:r>
    </w:p>
    <w:p w14:paraId="5068E423">
      <w:pPr>
        <w:pStyle w:val="25"/>
        <w:spacing w:line="360" w:lineRule="auto"/>
        <w:ind w:left="25" w:leftChars="12" w:firstLine="472" w:firstLineChars="197"/>
        <w:rPr>
          <w:rFonts w:hAnsi="宋体"/>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采购</w:t>
      </w:r>
      <w:r>
        <w:rPr>
          <w:rFonts w:hint="eastAsia" w:hAnsi="宋体"/>
          <w:color w:val="000000" w:themeColor="text1"/>
          <w:sz w:val="24"/>
          <w:szCs w:val="24"/>
          <w:highlight w:val="none"/>
          <w14:textFill>
            <w14:solidFill>
              <w14:schemeClr w14:val="tx1"/>
            </w14:solidFill>
          </w14:textFill>
        </w:rPr>
        <w:t>项目的名称：</w:t>
      </w:r>
      <w:r>
        <w:rPr>
          <w:rFonts w:hint="eastAsia" w:hAnsi="宋体"/>
          <w:bCs/>
          <w:color w:val="000000" w:themeColor="text1"/>
          <w:sz w:val="24"/>
          <w:szCs w:val="24"/>
          <w:highlight w:val="none"/>
          <w:u w:val="single"/>
          <w14:textFill>
            <w14:solidFill>
              <w14:schemeClr w14:val="tx1"/>
            </w14:solidFill>
          </w14:textFill>
        </w:rPr>
        <w:t xml:space="preserve">                                                                   </w:t>
      </w:r>
    </w:p>
    <w:p w14:paraId="2BD31D97">
      <w:pPr>
        <w:pStyle w:val="25"/>
        <w:spacing w:line="360" w:lineRule="auto"/>
        <w:ind w:left="25" w:leftChars="12" w:firstLine="472" w:firstLineChars="197"/>
        <w:rPr>
          <w:rFonts w:hAnsi="宋体"/>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采购</w:t>
      </w:r>
      <w:r>
        <w:rPr>
          <w:rFonts w:hint="eastAsia" w:hAnsi="宋体"/>
          <w:color w:val="000000" w:themeColor="text1"/>
          <w:sz w:val="24"/>
          <w:szCs w:val="24"/>
          <w:highlight w:val="none"/>
          <w14:textFill>
            <w14:solidFill>
              <w14:schemeClr w14:val="tx1"/>
            </w14:solidFill>
          </w14:textFill>
        </w:rPr>
        <w:t>项目的编号：</w:t>
      </w:r>
      <w:r>
        <w:rPr>
          <w:rFonts w:hint="eastAsia" w:hAnsi="宋体"/>
          <w:bCs/>
          <w:color w:val="000000" w:themeColor="text1"/>
          <w:sz w:val="24"/>
          <w:szCs w:val="24"/>
          <w:highlight w:val="none"/>
          <w:u w:val="single"/>
          <w14:textFill>
            <w14:solidFill>
              <w14:schemeClr w14:val="tx1"/>
            </w14:solidFill>
          </w14:textFill>
        </w:rPr>
        <w:t xml:space="preserve">                                          </w:t>
      </w:r>
    </w:p>
    <w:p w14:paraId="18E3D71A">
      <w:pPr>
        <w:pStyle w:val="25"/>
        <w:spacing w:line="360" w:lineRule="auto"/>
        <w:ind w:left="25" w:leftChars="12" w:firstLine="472" w:firstLineChars="197"/>
        <w:rPr>
          <w:rFonts w:hAnsi="宋体"/>
          <w:bCs/>
          <w:color w:val="000000" w:themeColor="text1"/>
          <w:sz w:val="24"/>
          <w:szCs w:val="24"/>
          <w:highlight w:val="none"/>
          <w:u w:val="singl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采购人名称：</w:t>
      </w:r>
      <w:r>
        <w:rPr>
          <w:rFonts w:hint="eastAsia" w:hAnsi="宋体"/>
          <w:bCs/>
          <w:color w:val="000000" w:themeColor="text1"/>
          <w:sz w:val="24"/>
          <w:szCs w:val="24"/>
          <w:highlight w:val="none"/>
          <w:u w:val="single"/>
          <w14:textFill>
            <w14:solidFill>
              <w14:schemeClr w14:val="tx1"/>
            </w14:solidFill>
          </w14:textFill>
        </w:rPr>
        <w:t xml:space="preserve">                                                                        </w:t>
      </w:r>
    </w:p>
    <w:p w14:paraId="70F7EDAF">
      <w:pPr>
        <w:pStyle w:val="25"/>
        <w:spacing w:line="360" w:lineRule="auto"/>
        <w:ind w:left="25" w:leftChars="12" w:firstLine="472" w:firstLineChars="197"/>
        <w:rPr>
          <w:rFonts w:hAnsi="宋体"/>
          <w:bCs/>
          <w:color w:val="000000" w:themeColor="text1"/>
          <w:sz w:val="24"/>
          <w:szCs w:val="24"/>
          <w:highlight w:val="none"/>
          <w:u w:val="singl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代理机构名称：</w:t>
      </w:r>
      <w:r>
        <w:rPr>
          <w:rFonts w:hint="eastAsia" w:hAnsi="宋体"/>
          <w:bCs/>
          <w:color w:val="000000" w:themeColor="text1"/>
          <w:sz w:val="24"/>
          <w:szCs w:val="24"/>
          <w:highlight w:val="none"/>
          <w:u w:val="single"/>
          <w14:textFill>
            <w14:solidFill>
              <w14:schemeClr w14:val="tx1"/>
            </w14:solidFill>
          </w14:textFill>
        </w:rPr>
        <w:t xml:space="preserve">                                                                      </w:t>
      </w:r>
    </w:p>
    <w:p w14:paraId="299982F2">
      <w:pPr>
        <w:pStyle w:val="25"/>
        <w:spacing w:line="360" w:lineRule="auto"/>
        <w:ind w:left="25" w:leftChars="12" w:firstLine="472" w:firstLineChars="197"/>
        <w:rPr>
          <w:rFonts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采购文件公告：</w:t>
      </w:r>
      <w:r>
        <w:rPr>
          <w:rFonts w:hint="eastAsia" w:hAnsi="宋体"/>
          <w:bCs/>
          <w:color w:val="000000" w:themeColor="text1"/>
          <w:sz w:val="24"/>
          <w:szCs w:val="24"/>
          <w:highlight w:val="none"/>
          <w:u w:val="single"/>
          <w14:textFill>
            <w14:solidFill>
              <w14:schemeClr w14:val="tx1"/>
            </w14:solidFill>
          </w14:textFill>
        </w:rPr>
        <w:t>是/否</w:t>
      </w:r>
      <w:r>
        <w:rPr>
          <w:rFonts w:hint="eastAsia" w:hAnsi="宋体"/>
          <w:bCs/>
          <w:color w:val="000000" w:themeColor="text1"/>
          <w:sz w:val="24"/>
          <w:szCs w:val="24"/>
          <w:highlight w:val="none"/>
          <w14:textFill>
            <w14:solidFill>
              <w14:schemeClr w14:val="tx1"/>
            </w14:solidFill>
          </w14:textFill>
        </w:rPr>
        <w:t>公告期限：</w:t>
      </w:r>
      <w:r>
        <w:rPr>
          <w:rFonts w:hint="eastAsia" w:hAnsi="宋体"/>
          <w:bCs/>
          <w:color w:val="000000" w:themeColor="text1"/>
          <w:sz w:val="24"/>
          <w:szCs w:val="24"/>
          <w:highlight w:val="none"/>
          <w:u w:val="single"/>
          <w14:textFill>
            <w14:solidFill>
              <w14:schemeClr w14:val="tx1"/>
            </w14:solidFill>
          </w14:textFill>
        </w:rPr>
        <w:t xml:space="preserve">                                                       </w:t>
      </w:r>
    </w:p>
    <w:p w14:paraId="562F07CB">
      <w:pPr>
        <w:pStyle w:val="25"/>
        <w:spacing w:line="360" w:lineRule="auto"/>
        <w:ind w:left="25" w:leftChars="12" w:firstLine="472" w:firstLineChars="197"/>
        <w:rPr>
          <w:rFonts w:hAnsi="宋体"/>
          <w:b/>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采购结果公告：</w:t>
      </w:r>
      <w:r>
        <w:rPr>
          <w:rFonts w:hint="eastAsia" w:hAnsi="宋体"/>
          <w:bCs/>
          <w:color w:val="000000" w:themeColor="text1"/>
          <w:sz w:val="24"/>
          <w:szCs w:val="24"/>
          <w:highlight w:val="none"/>
          <w:u w:val="single"/>
          <w14:textFill>
            <w14:solidFill>
              <w14:schemeClr w14:val="tx1"/>
            </w14:solidFill>
          </w14:textFill>
        </w:rPr>
        <w:t>是/否</w:t>
      </w:r>
      <w:r>
        <w:rPr>
          <w:rFonts w:hint="eastAsia" w:hAnsi="宋体"/>
          <w:bCs/>
          <w:color w:val="000000" w:themeColor="text1"/>
          <w:sz w:val="24"/>
          <w:szCs w:val="24"/>
          <w:highlight w:val="none"/>
          <w14:textFill>
            <w14:solidFill>
              <w14:schemeClr w14:val="tx1"/>
            </w14:solidFill>
          </w14:textFill>
        </w:rPr>
        <w:t>公告期限：</w:t>
      </w:r>
      <w:r>
        <w:rPr>
          <w:rFonts w:hint="eastAsia" w:hAnsi="宋体"/>
          <w:bCs/>
          <w:color w:val="000000" w:themeColor="text1"/>
          <w:sz w:val="24"/>
          <w:szCs w:val="24"/>
          <w:highlight w:val="none"/>
          <w:u w:val="single"/>
          <w14:textFill>
            <w14:solidFill>
              <w14:schemeClr w14:val="tx1"/>
            </w14:solidFill>
          </w14:textFill>
        </w:rPr>
        <w:t xml:space="preserve">                                                       </w:t>
      </w:r>
    </w:p>
    <w:p w14:paraId="249ACB24">
      <w:pPr>
        <w:pStyle w:val="25"/>
        <w:spacing w:line="360" w:lineRule="auto"/>
        <w:ind w:left="25" w:leftChars="12" w:firstLine="472" w:firstLineChars="196"/>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三、质疑基本情况</w:t>
      </w:r>
    </w:p>
    <w:p w14:paraId="30696F7F">
      <w:pPr>
        <w:pStyle w:val="25"/>
        <w:spacing w:line="360"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投诉人于</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年</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月</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日，向</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提出质疑，质疑事项为：</w:t>
      </w:r>
    </w:p>
    <w:p w14:paraId="675CF22E">
      <w:pPr>
        <w:pStyle w:val="25"/>
        <w:spacing w:line="360" w:lineRule="auto"/>
        <w:ind w:firstLine="241"/>
        <w:rPr>
          <w:rFonts w:hAnsi="宋体"/>
          <w:bCs/>
          <w:color w:val="000000" w:themeColor="text1"/>
          <w:sz w:val="24"/>
          <w:szCs w:val="24"/>
          <w:highlight w:val="none"/>
          <w:u w:val="singl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 xml:space="preserve">    </w:t>
      </w:r>
      <w:r>
        <w:rPr>
          <w:rFonts w:hint="eastAsia" w:hAnsi="宋体"/>
          <w:bCs/>
          <w:color w:val="000000" w:themeColor="text1"/>
          <w:sz w:val="24"/>
          <w:szCs w:val="24"/>
          <w:highlight w:val="none"/>
          <w:u w:val="single"/>
          <w14:textFill>
            <w14:solidFill>
              <w14:schemeClr w14:val="tx1"/>
            </w14:solidFill>
          </w14:textFill>
        </w:rPr>
        <w:t xml:space="preserve">                                                                                      </w:t>
      </w:r>
    </w:p>
    <w:p w14:paraId="79737399">
      <w:pPr>
        <w:pStyle w:val="25"/>
        <w:spacing w:line="360" w:lineRule="auto"/>
        <w:ind w:firstLine="241"/>
        <w:rPr>
          <w:rFonts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 xml:space="preserve">    </w:t>
      </w:r>
      <w:r>
        <w:rPr>
          <w:rFonts w:hint="eastAsia" w:hAnsi="宋体"/>
          <w:bCs/>
          <w:color w:val="000000" w:themeColor="text1"/>
          <w:sz w:val="24"/>
          <w:szCs w:val="24"/>
          <w:highlight w:val="none"/>
          <w:u w:val="single"/>
          <w14:textFill>
            <w14:solidFill>
              <w14:schemeClr w14:val="tx1"/>
            </w14:solidFill>
          </w14:textFill>
        </w:rPr>
        <w:t xml:space="preserve">                                                                                      </w:t>
      </w:r>
    </w:p>
    <w:p w14:paraId="30B1BD42">
      <w:pPr>
        <w:pStyle w:val="25"/>
        <w:spacing w:line="360"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u w:val="single"/>
          <w14:textFill>
            <w14:solidFill>
              <w14:schemeClr w14:val="tx1"/>
            </w14:solidFill>
          </w14:textFill>
        </w:rPr>
        <w:t>采购人/代理机构</w:t>
      </w:r>
      <w:r>
        <w:rPr>
          <w:rFonts w:hint="eastAsia" w:hAnsi="宋体"/>
          <w:bCs/>
          <w:color w:val="000000" w:themeColor="text1"/>
          <w:sz w:val="24"/>
          <w:szCs w:val="24"/>
          <w:highlight w:val="none"/>
          <w14:textFill>
            <w14:solidFill>
              <w14:schemeClr w14:val="tx1"/>
            </w14:solidFill>
          </w14:textFill>
        </w:rPr>
        <w:t>于</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年</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月</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日，</w:t>
      </w:r>
      <w:r>
        <w:rPr>
          <w:rFonts w:hint="eastAsia" w:hAnsi="宋体"/>
          <w:bCs/>
          <w:color w:val="000000" w:themeColor="text1"/>
          <w:sz w:val="24"/>
          <w:szCs w:val="24"/>
          <w:highlight w:val="none"/>
          <w14:textFill>
            <w14:solidFill>
              <w14:schemeClr w14:val="tx1"/>
            </w14:solidFill>
          </w14:textFill>
        </w:rPr>
        <w:t xml:space="preserve">就质疑事项作出了答复/没有在法定期限内作出答复。                                                                                             </w:t>
      </w:r>
    </w:p>
    <w:p w14:paraId="3B55E339">
      <w:pPr>
        <w:pStyle w:val="25"/>
        <w:spacing w:line="360" w:lineRule="auto"/>
        <w:ind w:left="25" w:leftChars="12" w:firstLine="472" w:firstLineChars="196"/>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四、投诉事项具体内容</w:t>
      </w:r>
    </w:p>
    <w:p w14:paraId="7502017C">
      <w:pPr>
        <w:pStyle w:val="25"/>
        <w:spacing w:line="360" w:lineRule="auto"/>
        <w:ind w:left="25" w:leftChars="12" w:firstLine="472" w:firstLineChars="197"/>
        <w:rPr>
          <w:rFonts w:hAnsi="宋体"/>
          <w:bCs/>
          <w:color w:val="000000" w:themeColor="text1"/>
          <w:sz w:val="24"/>
          <w:szCs w:val="24"/>
          <w:highlight w:val="none"/>
          <w:u w:val="singl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投诉事项1：</w:t>
      </w:r>
      <w:r>
        <w:rPr>
          <w:rFonts w:hint="eastAsia" w:hAnsi="宋体"/>
          <w:bCs/>
          <w:color w:val="000000" w:themeColor="text1"/>
          <w:sz w:val="24"/>
          <w:szCs w:val="24"/>
          <w:highlight w:val="none"/>
          <w:u w:val="single"/>
          <w14:textFill>
            <w14:solidFill>
              <w14:schemeClr w14:val="tx1"/>
            </w14:solidFill>
          </w14:textFill>
        </w:rPr>
        <w:t xml:space="preserve">                                                                           </w:t>
      </w:r>
    </w:p>
    <w:p w14:paraId="5B36211F">
      <w:pPr>
        <w:pStyle w:val="25"/>
        <w:spacing w:line="360" w:lineRule="auto"/>
        <w:ind w:firstLine="480" w:firstLineChars="200"/>
        <w:rPr>
          <w:rFonts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事实依据：</w:t>
      </w:r>
      <w:r>
        <w:rPr>
          <w:rFonts w:hint="eastAsia" w:hAnsi="宋体"/>
          <w:color w:val="000000" w:themeColor="text1"/>
          <w:sz w:val="24"/>
          <w:szCs w:val="24"/>
          <w:highlight w:val="none"/>
          <w14:textFill>
            <w14:solidFill>
              <w14:schemeClr w14:val="tx1"/>
            </w14:solidFill>
          </w14:textFill>
        </w:rPr>
        <w:t xml:space="preserve"> </w:t>
      </w:r>
      <w:r>
        <w:rPr>
          <w:rFonts w:hint="eastAsia" w:hAnsi="宋体"/>
          <w:bCs/>
          <w:color w:val="000000" w:themeColor="text1"/>
          <w:sz w:val="24"/>
          <w:szCs w:val="24"/>
          <w:highlight w:val="none"/>
          <w:u w:val="single"/>
          <w14:textFill>
            <w14:solidFill>
              <w14:schemeClr w14:val="tx1"/>
            </w14:solidFill>
          </w14:textFill>
        </w:rPr>
        <w:t xml:space="preserve">                                                                                      </w:t>
      </w:r>
    </w:p>
    <w:p w14:paraId="4BD98C66">
      <w:pPr>
        <w:pStyle w:val="25"/>
        <w:spacing w:line="360" w:lineRule="auto"/>
        <w:ind w:left="25" w:leftChars="12" w:firstLine="472" w:firstLineChars="197"/>
        <w:rPr>
          <w:rFonts w:hAnsi="宋体"/>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u w:val="single"/>
          <w14:textFill>
            <w14:solidFill>
              <w14:schemeClr w14:val="tx1"/>
            </w14:solidFill>
          </w14:textFill>
        </w:rPr>
        <w:t xml:space="preserve">                                                                                        </w:t>
      </w:r>
    </w:p>
    <w:p w14:paraId="0BD8C5B0">
      <w:pPr>
        <w:pStyle w:val="25"/>
        <w:spacing w:line="360" w:lineRule="auto"/>
        <w:ind w:firstLine="480" w:firstLineChars="200"/>
        <w:rPr>
          <w:rFonts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法律依据：</w:t>
      </w:r>
      <w:r>
        <w:rPr>
          <w:rFonts w:hint="eastAsia" w:hAnsi="宋体"/>
          <w:color w:val="000000" w:themeColor="text1"/>
          <w:sz w:val="24"/>
          <w:szCs w:val="24"/>
          <w:highlight w:val="none"/>
          <w14:textFill>
            <w14:solidFill>
              <w14:schemeClr w14:val="tx1"/>
            </w14:solidFill>
          </w14:textFill>
        </w:rPr>
        <w:t xml:space="preserve"> </w:t>
      </w:r>
      <w:r>
        <w:rPr>
          <w:rFonts w:hint="eastAsia" w:hAnsi="宋体"/>
          <w:bCs/>
          <w:color w:val="000000" w:themeColor="text1"/>
          <w:sz w:val="24"/>
          <w:szCs w:val="24"/>
          <w:highlight w:val="none"/>
          <w:u w:val="single"/>
          <w14:textFill>
            <w14:solidFill>
              <w14:schemeClr w14:val="tx1"/>
            </w14:solidFill>
          </w14:textFill>
        </w:rPr>
        <w:t xml:space="preserve">                                                                                      </w:t>
      </w:r>
    </w:p>
    <w:p w14:paraId="2426DB72">
      <w:pPr>
        <w:pStyle w:val="25"/>
        <w:spacing w:line="360" w:lineRule="auto"/>
        <w:ind w:left="25" w:leftChars="12" w:firstLine="352" w:firstLineChars="147"/>
        <w:rPr>
          <w:rFonts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 xml:space="preserve"> </w:t>
      </w:r>
      <w:r>
        <w:rPr>
          <w:rFonts w:hint="eastAsia" w:hAnsi="宋体"/>
          <w:bCs/>
          <w:color w:val="000000" w:themeColor="text1"/>
          <w:sz w:val="24"/>
          <w:szCs w:val="24"/>
          <w:highlight w:val="none"/>
          <w:u w:val="single"/>
          <w14:textFill>
            <w14:solidFill>
              <w14:schemeClr w14:val="tx1"/>
            </w14:solidFill>
          </w14:textFill>
        </w:rPr>
        <w:t xml:space="preserve">                                                                                        </w:t>
      </w:r>
    </w:p>
    <w:p w14:paraId="4E9E19F7">
      <w:pPr>
        <w:pStyle w:val="25"/>
        <w:spacing w:line="360" w:lineRule="auto"/>
        <w:ind w:left="25" w:leftChars="12" w:firstLine="472" w:firstLineChars="197"/>
        <w:rPr>
          <w:rFonts w:hAnsi="宋体"/>
          <w:bCs/>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 xml:space="preserve">投诉事项2  </w:t>
      </w:r>
      <w:r>
        <w:rPr>
          <w:rFonts w:hint="eastAsia" w:hAnsi="宋体"/>
          <w:bCs/>
          <w:color w:val="000000" w:themeColor="text1"/>
          <w:sz w:val="24"/>
          <w:szCs w:val="24"/>
          <w:highlight w:val="none"/>
          <w14:textFill>
            <w14:solidFill>
              <w14:schemeClr w14:val="tx1"/>
            </w14:solidFill>
          </w14:textFill>
        </w:rPr>
        <w:t xml:space="preserve">   </w:t>
      </w:r>
    </w:p>
    <w:p w14:paraId="181FA36D">
      <w:pPr>
        <w:pStyle w:val="25"/>
        <w:spacing w:line="360" w:lineRule="auto"/>
        <w:ind w:left="25" w:leftChars="12" w:firstLine="472" w:firstLineChars="197"/>
        <w:rPr>
          <w:rFonts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w:t>
      </w:r>
    </w:p>
    <w:p w14:paraId="1E0F385C">
      <w:pPr>
        <w:pStyle w:val="25"/>
        <w:spacing w:line="360" w:lineRule="auto"/>
        <w:ind w:left="25" w:leftChars="12" w:firstLine="472" w:firstLineChars="196"/>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五、与投诉事项相关的投诉请求：</w:t>
      </w:r>
    </w:p>
    <w:p w14:paraId="17C1AAC0">
      <w:pPr>
        <w:pStyle w:val="25"/>
        <w:spacing w:line="360" w:lineRule="auto"/>
        <w:ind w:left="25" w:leftChars="12" w:firstLine="472" w:firstLineChars="197"/>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请求：</w:t>
      </w:r>
      <w:r>
        <w:rPr>
          <w:rFonts w:hint="eastAsia" w:hAnsi="宋体"/>
          <w:bCs/>
          <w:color w:val="000000" w:themeColor="text1"/>
          <w:sz w:val="24"/>
          <w:szCs w:val="24"/>
          <w:highlight w:val="none"/>
          <w:u w:val="single"/>
          <w14:textFill>
            <w14:solidFill>
              <w14:schemeClr w14:val="tx1"/>
            </w14:solidFill>
          </w14:textFill>
        </w:rPr>
        <w:t xml:space="preserve">                                                                                 </w:t>
      </w:r>
    </w:p>
    <w:p w14:paraId="60F6B98A">
      <w:pPr>
        <w:pStyle w:val="25"/>
        <w:spacing w:line="360" w:lineRule="auto"/>
        <w:ind w:left="25" w:leftChars="12" w:firstLine="352" w:firstLineChars="147"/>
        <w:rPr>
          <w:rFonts w:hAnsi="宋体"/>
          <w:color w:val="000000" w:themeColor="text1"/>
          <w:sz w:val="24"/>
          <w:szCs w:val="24"/>
          <w:highlight w:val="none"/>
          <w14:textFill>
            <w14:solidFill>
              <w14:schemeClr w14:val="tx1"/>
            </w14:solidFill>
          </w14:textFill>
        </w:rPr>
      </w:pPr>
    </w:p>
    <w:p w14:paraId="6211FB97">
      <w:pPr>
        <w:pStyle w:val="25"/>
        <w:spacing w:line="360" w:lineRule="auto"/>
        <w:ind w:left="25" w:leftChars="12" w:firstLine="472" w:firstLineChars="197"/>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签字（签章）：                                       公章：</w:t>
      </w:r>
    </w:p>
    <w:p w14:paraId="62A33DFD">
      <w:pPr>
        <w:pStyle w:val="25"/>
        <w:spacing w:line="360" w:lineRule="auto"/>
        <w:ind w:left="25" w:leftChars="12" w:firstLine="352" w:firstLineChars="147"/>
        <w:rPr>
          <w:rFonts w:hAnsi="宋体"/>
          <w:color w:val="000000" w:themeColor="text1"/>
          <w:sz w:val="24"/>
          <w:szCs w:val="24"/>
          <w:highlight w:val="none"/>
          <w14:textFill>
            <w14:solidFill>
              <w14:schemeClr w14:val="tx1"/>
            </w14:solidFill>
          </w14:textFill>
        </w:rPr>
      </w:pPr>
    </w:p>
    <w:p w14:paraId="18D4739B">
      <w:pPr>
        <w:pStyle w:val="25"/>
        <w:spacing w:line="360" w:lineRule="auto"/>
        <w:ind w:left="25" w:leftChars="12" w:firstLine="472" w:firstLineChars="197"/>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日期：</w:t>
      </w:r>
    </w:p>
    <w:p w14:paraId="2CE66A2E">
      <w:pPr>
        <w:pStyle w:val="25"/>
        <w:spacing w:line="360" w:lineRule="auto"/>
        <w:ind w:left="25" w:leftChars="12" w:firstLine="472" w:firstLineChars="197"/>
        <w:rPr>
          <w:rFonts w:hAnsi="宋体"/>
          <w:b/>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 xml:space="preserve">                                                                                 </w:t>
      </w:r>
    </w:p>
    <w:p w14:paraId="75EBFB39">
      <w:pPr>
        <w:pStyle w:val="25"/>
        <w:snapToGrid w:val="0"/>
        <w:spacing w:line="360" w:lineRule="auto"/>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说明：</w:t>
      </w:r>
    </w:p>
    <w:p w14:paraId="72AEE083">
      <w:pPr>
        <w:pStyle w:val="25"/>
        <w:spacing w:line="360" w:lineRule="auto"/>
        <w:ind w:left="25" w:leftChars="12" w:firstLine="354" w:firstLineChars="147"/>
        <w:rPr>
          <w:rFonts w:hAnsi="宋体"/>
          <w:b/>
          <w:bCs/>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1.投诉人提起投诉时，应当提交投诉书和必要的证明材料，并按照被投诉人和与投诉事项有关的供应商数量提供投诉书副本</w:t>
      </w:r>
      <w:r>
        <w:rPr>
          <w:rFonts w:hint="eastAsia" w:hAnsi="宋体"/>
          <w:b/>
          <w:bCs/>
          <w:color w:val="000000" w:themeColor="text1"/>
          <w:sz w:val="24"/>
          <w:szCs w:val="24"/>
          <w:highlight w:val="none"/>
          <w14:textFill>
            <w14:solidFill>
              <w14:schemeClr w14:val="tx1"/>
            </w14:solidFill>
          </w14:textFill>
        </w:rPr>
        <w:t>。</w:t>
      </w:r>
    </w:p>
    <w:p w14:paraId="5B78658F">
      <w:pPr>
        <w:pStyle w:val="25"/>
        <w:spacing w:line="360" w:lineRule="auto"/>
        <w:ind w:left="25" w:leftChars="12" w:firstLine="354" w:firstLineChars="147"/>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2F39449F">
      <w:pPr>
        <w:pStyle w:val="25"/>
        <w:spacing w:line="360" w:lineRule="auto"/>
        <w:ind w:left="25" w:leftChars="12" w:firstLine="354" w:firstLineChars="147"/>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3.投诉书应简要列明质疑事项，质疑函、质疑答复等作为附件材料提供。</w:t>
      </w:r>
    </w:p>
    <w:p w14:paraId="1D8678C1">
      <w:pPr>
        <w:pStyle w:val="25"/>
        <w:spacing w:line="360" w:lineRule="auto"/>
        <w:ind w:left="25" w:leftChars="12" w:firstLine="354" w:firstLineChars="147"/>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4.投诉书的投诉事项应具体、明确，并有必要的事实依据和法律依据。</w:t>
      </w:r>
    </w:p>
    <w:p w14:paraId="4D74508C">
      <w:pPr>
        <w:pStyle w:val="25"/>
        <w:spacing w:line="360" w:lineRule="auto"/>
        <w:ind w:left="25" w:leftChars="12" w:firstLine="354" w:firstLineChars="147"/>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5.投诉书的投诉请求应与投诉事项相关。</w:t>
      </w:r>
    </w:p>
    <w:p w14:paraId="438EAEB5">
      <w:pPr>
        <w:pStyle w:val="25"/>
        <w:spacing w:line="360" w:lineRule="auto"/>
        <w:ind w:left="25" w:leftChars="12" w:firstLine="354" w:firstLineChars="147"/>
        <w:rPr>
          <w:rFonts w:hAnsi="宋体"/>
          <w:b/>
          <w:color w:val="000000" w:themeColor="text1"/>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6.投诉人为法人或者其他组织的，投诉书应由法定代表人、主要负责人，或者其授权代表签字或者盖章，并加盖公章。</w:t>
      </w:r>
    </w:p>
    <w:p w14:paraId="01A99FA9">
      <w:pPr>
        <w:pStyle w:val="2"/>
        <w:jc w:val="center"/>
        <w:rPr>
          <w:color w:val="000000" w:themeColor="text1"/>
          <w:highlight w:val="none"/>
          <w14:textFill>
            <w14:solidFill>
              <w14:schemeClr w14:val="tx1"/>
            </w14:solidFill>
          </w14:textFill>
        </w:rPr>
      </w:pPr>
    </w:p>
    <w:p w14:paraId="1F017E11">
      <w:pPr>
        <w:pStyle w:val="2"/>
        <w:jc w:val="center"/>
        <w:rPr>
          <w:color w:val="000000" w:themeColor="text1"/>
          <w:highlight w:val="none"/>
          <w14:textFill>
            <w14:solidFill>
              <w14:schemeClr w14:val="tx1"/>
            </w14:solidFill>
          </w14:textFill>
        </w:rPr>
      </w:pPr>
    </w:p>
    <w:p w14:paraId="7FA820F1">
      <w:pPr>
        <w:pStyle w:val="2"/>
        <w:jc w:val="center"/>
        <w:rPr>
          <w:color w:val="000000" w:themeColor="text1"/>
          <w:highlight w:val="none"/>
          <w14:textFill>
            <w14:solidFill>
              <w14:schemeClr w14:val="tx1"/>
            </w14:solidFill>
          </w14:textFill>
        </w:rPr>
      </w:pPr>
    </w:p>
    <w:p w14:paraId="7B9A7264">
      <w:pPr>
        <w:pStyle w:val="2"/>
        <w:jc w:val="center"/>
        <w:rPr>
          <w:color w:val="000000" w:themeColor="text1"/>
          <w:highlight w:val="none"/>
          <w14:textFill>
            <w14:solidFill>
              <w14:schemeClr w14:val="tx1"/>
            </w14:solidFill>
          </w14:textFill>
        </w:rPr>
      </w:pPr>
    </w:p>
    <w:p w14:paraId="60DA91D0">
      <w:pPr>
        <w:pStyle w:val="2"/>
        <w:jc w:val="center"/>
        <w:rPr>
          <w:color w:val="000000" w:themeColor="text1"/>
          <w:highlight w:val="none"/>
          <w14:textFill>
            <w14:solidFill>
              <w14:schemeClr w14:val="tx1"/>
            </w14:solidFill>
          </w14:textFill>
        </w:rPr>
      </w:pPr>
    </w:p>
    <w:p w14:paraId="69E1D3DD">
      <w:pPr>
        <w:pStyle w:val="2"/>
        <w:jc w:val="center"/>
        <w:rPr>
          <w:color w:val="000000" w:themeColor="text1"/>
          <w:highlight w:val="none"/>
          <w14:textFill>
            <w14:solidFill>
              <w14:schemeClr w14:val="tx1"/>
            </w14:solidFill>
          </w14:textFill>
        </w:rPr>
      </w:pPr>
      <w:bookmarkStart w:id="211" w:name="_Toc122424267"/>
      <w:r>
        <w:rPr>
          <w:rFonts w:hint="eastAsia"/>
          <w:color w:val="000000" w:themeColor="text1"/>
          <w:highlight w:val="none"/>
          <w14:textFill>
            <w14:solidFill>
              <w14:schemeClr w14:val="tx1"/>
            </w14:solidFill>
          </w14:textFill>
        </w:rPr>
        <w:t>第七章 合同文本</w:t>
      </w:r>
      <w:bookmarkEnd w:id="211"/>
    </w:p>
    <w:p w14:paraId="21D90218">
      <w:pPr>
        <w:spacing w:line="520" w:lineRule="exact"/>
        <w:rPr>
          <w:rFonts w:ascii="宋体" w:hAnsi="宋体" w:cs="Courier New"/>
          <w:b/>
          <w:color w:val="000000" w:themeColor="text1"/>
          <w:sz w:val="32"/>
          <w:szCs w:val="32"/>
          <w:highlight w:val="none"/>
          <w14:textFill>
            <w14:solidFill>
              <w14:schemeClr w14:val="tx1"/>
            </w14:solidFill>
          </w14:textFill>
        </w:rPr>
      </w:pPr>
    </w:p>
    <w:p w14:paraId="618D1A07">
      <w:pPr>
        <w:widowControl/>
        <w:rPr>
          <w:rFonts w:ascii="宋体" w:hAnsi="宋体" w:cs="宋体"/>
          <w:b/>
          <w:color w:val="000000" w:themeColor="text1"/>
          <w:sz w:val="44"/>
          <w:szCs w:val="44"/>
          <w:highlight w:val="none"/>
          <w14:textFill>
            <w14:solidFill>
              <w14:schemeClr w14:val="tx1"/>
            </w14:solidFill>
          </w14:textFill>
        </w:rPr>
      </w:pPr>
    </w:p>
    <w:p w14:paraId="2B7434EC">
      <w:pPr>
        <w:pStyle w:val="2"/>
        <w:jc w:val="center"/>
        <w:rPr>
          <w:color w:val="000000" w:themeColor="text1"/>
          <w:highlight w:val="none"/>
          <w14:textFill>
            <w14:solidFill>
              <w14:schemeClr w14:val="tx1"/>
            </w14:solidFill>
          </w14:textFill>
        </w:rPr>
      </w:pPr>
      <w:bookmarkStart w:id="212" w:name="_Toc1756478213"/>
      <w:bookmarkStart w:id="213" w:name="_Toc78449777"/>
      <w:bookmarkStart w:id="214" w:name="_Toc373478199"/>
      <w:bookmarkStart w:id="215" w:name="_Toc351203480"/>
      <w:bookmarkStart w:id="216" w:name="_Toc296890982"/>
      <w:bookmarkStart w:id="217" w:name="_Toc373227552"/>
      <w:bookmarkStart w:id="218" w:name="_Toc407135191"/>
      <w:bookmarkStart w:id="219" w:name="_Toc724920571"/>
      <w:bookmarkStart w:id="220" w:name="_Toc296503025"/>
      <w:bookmarkStart w:id="221" w:name="_Toc389065255"/>
      <w:r>
        <w:rPr>
          <w:rFonts w:cs="黑体"/>
          <w:color w:val="000000" w:themeColor="text1"/>
          <w:highlight w:val="none"/>
          <w14:textFill>
            <w14:solidFill>
              <w14:schemeClr w14:val="tx1"/>
            </w14:solidFill>
          </w14:textFill>
        </w:rPr>
        <w:br w:type="page"/>
      </w:r>
      <w:bookmarkStart w:id="222" w:name="_Toc122424268"/>
      <w:bookmarkStart w:id="223" w:name="_Toc122424019"/>
      <w:r>
        <w:rPr>
          <w:rFonts w:hint="eastAsia" w:cs="黑体"/>
          <w:color w:val="000000" w:themeColor="text1"/>
          <w:highlight w:val="none"/>
          <w14:textFill>
            <w14:solidFill>
              <w14:schemeClr w14:val="tx1"/>
            </w14:solidFill>
          </w14:textFill>
        </w:rPr>
        <w:t>第一部分</w:t>
      </w:r>
      <w:r>
        <w:rPr>
          <w:color w:val="000000" w:themeColor="text1"/>
          <w:highlight w:val="none"/>
          <w14:textFill>
            <w14:solidFill>
              <w14:schemeClr w14:val="tx1"/>
            </w14:solidFill>
          </w14:textFill>
        </w:rPr>
        <w:t xml:space="preserve"> </w:t>
      </w:r>
      <w:r>
        <w:rPr>
          <w:rFonts w:hint="eastAsia" w:cs="黑体"/>
          <w:color w:val="000000" w:themeColor="text1"/>
          <w:highlight w:val="none"/>
          <w14:textFill>
            <w14:solidFill>
              <w14:schemeClr w14:val="tx1"/>
            </w14:solidFill>
          </w14:textFill>
        </w:rPr>
        <w:t>合同协议书</w:t>
      </w:r>
      <w:bookmarkEnd w:id="212"/>
      <w:bookmarkEnd w:id="213"/>
      <w:bookmarkEnd w:id="214"/>
      <w:bookmarkEnd w:id="215"/>
      <w:bookmarkEnd w:id="216"/>
      <w:bookmarkEnd w:id="217"/>
      <w:bookmarkEnd w:id="218"/>
      <w:bookmarkEnd w:id="219"/>
      <w:bookmarkEnd w:id="220"/>
      <w:bookmarkEnd w:id="221"/>
      <w:bookmarkEnd w:id="222"/>
      <w:bookmarkEnd w:id="223"/>
    </w:p>
    <w:p w14:paraId="1E59482F">
      <w:pPr>
        <w:spacing w:line="360" w:lineRule="auto"/>
        <w:rPr>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发包人（全称）：</w:t>
      </w:r>
      <w:r>
        <w:rPr>
          <w:rFonts w:hAnsi="宋体"/>
          <w:color w:val="000000" w:themeColor="text1"/>
          <w:highlight w:val="none"/>
          <w:u w:val="single"/>
          <w14:textFill>
            <w14:solidFill>
              <w14:schemeClr w14:val="tx1"/>
            </w14:solidFill>
          </w14:textFill>
        </w:rPr>
        <w:t xml:space="preserve">  </w:t>
      </w:r>
      <w:r>
        <w:rPr>
          <w:rFonts w:hint="eastAsia"/>
          <w:color w:val="000000" w:themeColor="text1"/>
          <w:highlight w:val="none"/>
          <w:u w:val="single"/>
          <w:lang w:val="en-US" w:eastAsia="zh-CN"/>
          <w14:textFill>
            <w14:solidFill>
              <w14:schemeClr w14:val="tx1"/>
            </w14:solidFill>
          </w14:textFill>
        </w:rPr>
        <w:t>钦州市第十中学</w:t>
      </w:r>
      <w:r>
        <w:rPr>
          <w:rFonts w:hAnsi="宋体"/>
          <w:color w:val="000000" w:themeColor="text1"/>
          <w:highlight w:val="none"/>
          <w:u w:val="single"/>
          <w14:textFill>
            <w14:solidFill>
              <w14:schemeClr w14:val="tx1"/>
            </w14:solidFill>
          </w14:textFill>
        </w:rPr>
        <w:t xml:space="preserve">  </w:t>
      </w:r>
    </w:p>
    <w:p w14:paraId="2DA3D422">
      <w:pPr>
        <w:spacing w:line="360" w:lineRule="auto"/>
        <w:rPr>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承包人（全称）：</w:t>
      </w:r>
      <w:r>
        <w:rPr>
          <w:rFonts w:hAnsi="宋体"/>
          <w:color w:val="000000" w:themeColor="text1"/>
          <w:highlight w:val="none"/>
          <w:u w:val="single"/>
          <w14:textFill>
            <w14:solidFill>
              <w14:schemeClr w14:val="tx1"/>
            </w14:solidFill>
          </w14:textFill>
        </w:rPr>
        <w:t xml:space="preserve">                              </w:t>
      </w:r>
    </w:p>
    <w:p w14:paraId="58C990B8">
      <w:pPr>
        <w:spacing w:line="360" w:lineRule="auto"/>
        <w:ind w:firstLine="420" w:firstLineChars="200"/>
        <w:rPr>
          <w:rFonts w:hAnsi="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根据《中华人民共和国民法典》《中华人民共和国建筑法》及有关法律规定，遵循平等、自愿、公平和诚实信用的原则，双方就</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lang w:eastAsia="zh-CN"/>
          <w14:textFill>
            <w14:solidFill>
              <w14:schemeClr w14:val="tx1"/>
            </w14:solidFill>
          </w14:textFill>
        </w:rPr>
        <w:t>钦州市第十中学学生宿舍改造</w:t>
      </w:r>
      <w:r>
        <w:rPr>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工程施工及有关事项协商一致，共同达成如下协议：</w:t>
      </w:r>
      <w:bookmarkStart w:id="224" w:name="_Toc351203481"/>
    </w:p>
    <w:p w14:paraId="55F58FF6">
      <w:pPr>
        <w:spacing w:line="360" w:lineRule="auto"/>
        <w:ind w:firstLine="422" w:firstLineChars="200"/>
        <w:outlineLvl w:val="0"/>
        <w:rPr>
          <w:b/>
          <w:bCs/>
          <w:color w:val="000000" w:themeColor="text1"/>
          <w:highlight w:val="none"/>
          <w14:textFill>
            <w14:solidFill>
              <w14:schemeClr w14:val="tx1"/>
            </w14:solidFill>
          </w14:textFill>
        </w:rPr>
      </w:pPr>
      <w:bookmarkStart w:id="225" w:name="_Toc122424269"/>
      <w:bookmarkStart w:id="226" w:name="_Toc122424020"/>
      <w:r>
        <w:rPr>
          <w:rFonts w:hint="eastAsia" w:hAnsi="宋体" w:cs="宋体"/>
          <w:b/>
          <w:bCs/>
          <w:color w:val="000000" w:themeColor="text1"/>
          <w:highlight w:val="none"/>
          <w14:textFill>
            <w14:solidFill>
              <w14:schemeClr w14:val="tx1"/>
            </w14:solidFill>
          </w14:textFill>
        </w:rPr>
        <w:t>一、工程概况</w:t>
      </w:r>
      <w:bookmarkEnd w:id="224"/>
      <w:bookmarkEnd w:id="225"/>
      <w:bookmarkEnd w:id="226"/>
    </w:p>
    <w:p w14:paraId="17A80F37">
      <w:pPr>
        <w:spacing w:line="360" w:lineRule="auto"/>
        <w:ind w:firstLine="411" w:firstLineChars="196"/>
        <w:rPr>
          <w:color w:val="000000" w:themeColor="text1"/>
          <w:highlight w:val="none"/>
          <w:u w:val="single"/>
          <w14:textFill>
            <w14:solidFill>
              <w14:schemeClr w14:val="tx1"/>
            </w14:solidFill>
          </w14:textFill>
        </w:rPr>
      </w:pPr>
      <w:r>
        <w:rPr>
          <w:color w:val="000000" w:themeColor="text1"/>
          <w:highlight w:val="none"/>
          <w14:textFill>
            <w14:solidFill>
              <w14:schemeClr w14:val="tx1"/>
            </w14:solidFill>
          </w14:textFill>
        </w:rPr>
        <w:t xml:space="preserve">1. </w:t>
      </w:r>
      <w:r>
        <w:rPr>
          <w:rFonts w:hint="eastAsia" w:hAnsi="宋体" w:cs="宋体"/>
          <w:color w:val="000000" w:themeColor="text1"/>
          <w:highlight w:val="none"/>
          <w14:textFill>
            <w14:solidFill>
              <w14:schemeClr w14:val="tx1"/>
            </w14:solidFill>
          </w14:textFill>
        </w:rPr>
        <w:t>工程名称：</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lang w:eastAsia="zh-CN"/>
          <w14:textFill>
            <w14:solidFill>
              <w14:schemeClr w14:val="tx1"/>
            </w14:solidFill>
          </w14:textFill>
        </w:rPr>
        <w:t>钦州市第十中学学生宿舍改造</w:t>
      </w:r>
      <w:r>
        <w:rPr>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w:t>
      </w:r>
    </w:p>
    <w:p w14:paraId="3826A121">
      <w:pPr>
        <w:spacing w:line="360" w:lineRule="auto"/>
        <w:ind w:firstLine="411" w:firstLineChars="19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2. </w:t>
      </w:r>
      <w:r>
        <w:rPr>
          <w:rFonts w:hint="eastAsia" w:hAnsi="宋体" w:cs="宋体"/>
          <w:color w:val="000000" w:themeColor="text1"/>
          <w:highlight w:val="none"/>
          <w14:textFill>
            <w14:solidFill>
              <w14:schemeClr w14:val="tx1"/>
            </w14:solidFill>
          </w14:textFill>
        </w:rPr>
        <w:t>工程地点：</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钦州市第十中学</w:t>
      </w:r>
      <w:r>
        <w:rPr>
          <w:rFonts w:hint="eastAsia"/>
          <w:color w:val="000000" w:themeColor="text1"/>
          <w:highlight w:val="none"/>
          <w:u w:val="single"/>
          <w:lang w:eastAsia="zh-CN"/>
          <w14:textFill>
            <w14:solidFill>
              <w14:schemeClr w14:val="tx1"/>
            </w14:solidFill>
          </w14:textFill>
        </w:rPr>
        <w:t>校园内</w:t>
      </w:r>
      <w:r>
        <w:rPr>
          <w:rFonts w:hint="eastAsia"/>
          <w:color w:val="000000" w:themeColor="text1"/>
          <w:highlight w:val="none"/>
          <w:u w:val="single"/>
          <w14:textFill>
            <w14:solidFill>
              <w14:schemeClr w14:val="tx1"/>
            </w14:solidFill>
          </w14:textFill>
        </w:rPr>
        <w:t>。</w:t>
      </w:r>
      <w:r>
        <w:rPr>
          <w:color w:val="000000" w:themeColor="text1"/>
          <w:highlight w:val="none"/>
          <w:u w:val="single"/>
          <w14:textFill>
            <w14:solidFill>
              <w14:schemeClr w14:val="tx1"/>
            </w14:solidFill>
          </w14:textFill>
        </w:rPr>
        <w:t xml:space="preserve"> </w:t>
      </w:r>
    </w:p>
    <w:p w14:paraId="5F8FA0E0">
      <w:pPr>
        <w:spacing w:line="360" w:lineRule="auto"/>
        <w:ind w:firstLine="411" w:firstLineChars="19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3. </w:t>
      </w:r>
      <w:r>
        <w:rPr>
          <w:rFonts w:hint="eastAsia" w:hAnsi="宋体" w:cs="宋体"/>
          <w:color w:val="000000" w:themeColor="text1"/>
          <w:highlight w:val="none"/>
          <w14:textFill>
            <w14:solidFill>
              <w14:schemeClr w14:val="tx1"/>
            </w14:solidFill>
          </w14:textFill>
        </w:rPr>
        <w:t>工程立项批准文号：</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钦北发改投[2025] 33号</w:t>
      </w:r>
      <w:r>
        <w:rPr>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w:t>
      </w:r>
    </w:p>
    <w:p w14:paraId="3D087E15">
      <w:pPr>
        <w:spacing w:line="360" w:lineRule="auto"/>
        <w:ind w:firstLine="411" w:firstLineChars="19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4. </w:t>
      </w:r>
      <w:r>
        <w:rPr>
          <w:rFonts w:hint="eastAsia" w:hAnsi="宋体" w:cs="宋体"/>
          <w:color w:val="000000" w:themeColor="text1"/>
          <w:highlight w:val="none"/>
          <w14:textFill>
            <w14:solidFill>
              <w14:schemeClr w14:val="tx1"/>
            </w14:solidFill>
          </w14:textFill>
        </w:rPr>
        <w:t>资金来源：</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财政资金     </w:t>
      </w:r>
      <w:r>
        <w:rPr>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w:t>
      </w:r>
    </w:p>
    <w:p w14:paraId="03459594">
      <w:pPr>
        <w:spacing w:line="360" w:lineRule="auto"/>
        <w:ind w:firstLine="411" w:firstLineChars="196"/>
        <w:rPr>
          <w:color w:val="000000" w:themeColor="text1"/>
          <w:highlight w:val="none"/>
          <w14:textFill>
            <w14:solidFill>
              <w14:schemeClr w14:val="tx1"/>
            </w14:solidFill>
          </w14:textFill>
        </w:rPr>
      </w:pPr>
      <w:bookmarkStart w:id="227" w:name="_Toc122424021"/>
      <w:bookmarkStart w:id="228" w:name="_Toc122424270"/>
      <w:bookmarkStart w:id="229" w:name="_Toc351203482"/>
      <w:r>
        <w:rPr>
          <w:color w:val="000000" w:themeColor="text1"/>
          <w:highlight w:val="none"/>
          <w14:textFill>
            <w14:solidFill>
              <w14:schemeClr w14:val="tx1"/>
            </w14:solidFill>
          </w14:textFill>
        </w:rPr>
        <w:t xml:space="preserve">5. </w:t>
      </w:r>
      <w:r>
        <w:rPr>
          <w:rFonts w:hint="eastAsia" w:hAnsi="宋体" w:cs="宋体"/>
          <w:color w:val="000000" w:themeColor="text1"/>
          <w:highlight w:val="none"/>
          <w14:textFill>
            <w14:solidFill>
              <w14:schemeClr w14:val="tx1"/>
            </w14:solidFill>
          </w14:textFill>
        </w:rPr>
        <w:t>工程内容：</w:t>
      </w:r>
      <w:r>
        <w:rPr>
          <w:rFonts w:hint="eastAsia" w:hAnsi="宋体" w:cs="宋体"/>
          <w:color w:val="000000" w:themeColor="text1"/>
          <w:highlight w:val="none"/>
          <w:u w:val="single"/>
          <w14:textFill>
            <w14:solidFill>
              <w14:schemeClr w14:val="tx1"/>
            </w14:solidFill>
          </w14:textFill>
        </w:rPr>
        <w:t>详见工程量清单</w:t>
      </w:r>
      <w:r>
        <w:rPr>
          <w:rFonts w:hint="eastAsia"/>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w:t>
      </w:r>
    </w:p>
    <w:p w14:paraId="2F03F835">
      <w:pPr>
        <w:spacing w:line="360" w:lineRule="auto"/>
        <w:ind w:firstLine="411" w:firstLineChars="19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6. </w:t>
      </w:r>
      <w:r>
        <w:rPr>
          <w:rFonts w:hint="eastAsia" w:hAnsi="宋体" w:cs="宋体"/>
          <w:color w:val="000000" w:themeColor="text1"/>
          <w:highlight w:val="none"/>
          <w14:textFill>
            <w14:solidFill>
              <w14:schemeClr w14:val="tx1"/>
            </w14:solidFill>
          </w14:textFill>
        </w:rPr>
        <w:t>工程承包范围：</w:t>
      </w:r>
      <w:r>
        <w:rPr>
          <w:rFonts w:hint="eastAsia" w:hAnsi="宋体" w:cs="宋体"/>
          <w:color w:val="000000" w:themeColor="text1"/>
          <w:highlight w:val="none"/>
          <w:u w:val="single"/>
          <w14:textFill>
            <w14:solidFill>
              <w14:schemeClr w14:val="tx1"/>
            </w14:solidFill>
          </w14:textFill>
        </w:rPr>
        <w:t>详见施工图纸、工程量清单，以及经发包人基建管理部门同意变更的事项。</w:t>
      </w:r>
    </w:p>
    <w:p w14:paraId="01045EDE">
      <w:pPr>
        <w:spacing w:line="360" w:lineRule="auto"/>
        <w:ind w:firstLine="407" w:firstLineChars="193"/>
        <w:outlineLvl w:val="0"/>
        <w:rPr>
          <w:b/>
          <w:bCs/>
          <w:color w:val="000000" w:themeColor="text1"/>
          <w:highlight w:val="none"/>
          <w14:textFill>
            <w14:solidFill>
              <w14:schemeClr w14:val="tx1"/>
            </w14:solidFill>
          </w14:textFill>
        </w:rPr>
      </w:pPr>
      <w:r>
        <w:rPr>
          <w:rFonts w:hint="eastAsia" w:hAnsi="宋体" w:cs="宋体"/>
          <w:b/>
          <w:bCs/>
          <w:color w:val="000000" w:themeColor="text1"/>
          <w:highlight w:val="none"/>
          <w14:textFill>
            <w14:solidFill>
              <w14:schemeClr w14:val="tx1"/>
            </w14:solidFill>
          </w14:textFill>
        </w:rPr>
        <w:t>二、合同工期</w:t>
      </w:r>
      <w:bookmarkEnd w:id="227"/>
      <w:bookmarkEnd w:id="228"/>
      <w:bookmarkEnd w:id="229"/>
    </w:p>
    <w:p w14:paraId="3CDEFE50">
      <w:pPr>
        <w:spacing w:line="360" w:lineRule="auto"/>
        <w:ind w:firstLine="459"/>
        <w:rPr>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计划开工日期：</w:t>
      </w:r>
      <w:r>
        <w:rPr>
          <w:rFonts w:hAnsi="宋体"/>
          <w:color w:val="000000" w:themeColor="text1"/>
          <w:highlight w:val="none"/>
          <w:u w:val="single"/>
          <w14:textFill>
            <w14:solidFill>
              <w14:schemeClr w14:val="tx1"/>
            </w14:solidFill>
          </w14:textFill>
        </w:rPr>
        <w:t></w:t>
      </w:r>
      <w:r>
        <w:rPr>
          <w:rFonts w:hAnsi="宋体"/>
          <w:color w:val="000000" w:themeColor="text1"/>
          <w:highlight w:val="none"/>
          <w14:textFill>
            <w14:solidFill>
              <w14:schemeClr w14:val="tx1"/>
            </w14:solidFill>
          </w14:textFill>
        </w:rPr>
        <w:t>年</w:t>
      </w:r>
      <w:r>
        <w:rPr>
          <w:rFonts w:hAnsi="宋体"/>
          <w:color w:val="000000" w:themeColor="text1"/>
          <w:highlight w:val="none"/>
          <w:u w:val="single"/>
          <w14:textFill>
            <w14:solidFill>
              <w14:schemeClr w14:val="tx1"/>
            </w14:solidFill>
          </w14:textFill>
        </w:rPr>
        <w:t></w:t>
      </w:r>
      <w:r>
        <w:rPr>
          <w:rFonts w:hAnsi="宋体"/>
          <w:color w:val="000000" w:themeColor="text1"/>
          <w:highlight w:val="none"/>
          <w14:textFill>
            <w14:solidFill>
              <w14:schemeClr w14:val="tx1"/>
            </w14:solidFill>
          </w14:textFill>
        </w:rPr>
        <w:t>月</w:t>
      </w:r>
      <w:r>
        <w:rPr>
          <w:rFonts w:hAnsi="宋体"/>
          <w:color w:val="000000" w:themeColor="text1"/>
          <w:highlight w:val="none"/>
          <w:u w:val="single"/>
          <w14:textFill>
            <w14:solidFill>
              <w14:schemeClr w14:val="tx1"/>
            </w14:solidFill>
          </w14:textFill>
        </w:rPr>
        <w:t></w:t>
      </w:r>
      <w:r>
        <w:rPr>
          <w:rFonts w:hAnsi="宋体"/>
          <w:color w:val="000000" w:themeColor="text1"/>
          <w:highlight w:val="none"/>
          <w14:textFill>
            <w14:solidFill>
              <w14:schemeClr w14:val="tx1"/>
            </w14:solidFill>
          </w14:textFill>
        </w:rPr>
        <w:t>日。</w:t>
      </w:r>
      <w:r>
        <w:rPr>
          <w:rFonts w:hint="eastAsia" w:hAnsi="宋体" w:cs="宋体"/>
          <w:color w:val="000000" w:themeColor="text1"/>
          <w:highlight w:val="none"/>
          <w14:textFill>
            <w14:solidFill>
              <w14:schemeClr w14:val="tx1"/>
            </w14:solidFill>
          </w14:textFill>
        </w:rPr>
        <w:t>（具体以发包人书面通知为准）</w:t>
      </w:r>
    </w:p>
    <w:p w14:paraId="7C351464">
      <w:pPr>
        <w:spacing w:line="360" w:lineRule="auto"/>
        <w:ind w:firstLine="459"/>
        <w:rPr>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计划竣工日期：</w:t>
      </w:r>
      <w:r>
        <w:rPr>
          <w:rFonts w:hAnsi="宋体"/>
          <w:color w:val="000000" w:themeColor="text1"/>
          <w:highlight w:val="none"/>
          <w:u w:val="single"/>
          <w14:textFill>
            <w14:solidFill>
              <w14:schemeClr w14:val="tx1"/>
            </w14:solidFill>
          </w14:textFill>
        </w:rPr>
        <w:t></w:t>
      </w:r>
      <w:r>
        <w:rPr>
          <w:rFonts w:hAnsi="宋体"/>
          <w:color w:val="000000" w:themeColor="text1"/>
          <w:highlight w:val="none"/>
          <w14:textFill>
            <w14:solidFill>
              <w14:schemeClr w14:val="tx1"/>
            </w14:solidFill>
          </w14:textFill>
        </w:rPr>
        <w:t>年</w:t>
      </w:r>
      <w:r>
        <w:rPr>
          <w:rFonts w:hAnsi="宋体"/>
          <w:color w:val="000000" w:themeColor="text1"/>
          <w:highlight w:val="none"/>
          <w:u w:val="single"/>
          <w14:textFill>
            <w14:solidFill>
              <w14:schemeClr w14:val="tx1"/>
            </w14:solidFill>
          </w14:textFill>
        </w:rPr>
        <w:t></w:t>
      </w:r>
      <w:r>
        <w:rPr>
          <w:rFonts w:hAnsi="宋体"/>
          <w:color w:val="000000" w:themeColor="text1"/>
          <w:highlight w:val="none"/>
          <w14:textFill>
            <w14:solidFill>
              <w14:schemeClr w14:val="tx1"/>
            </w14:solidFill>
          </w14:textFill>
        </w:rPr>
        <w:t>月</w:t>
      </w:r>
      <w:r>
        <w:rPr>
          <w:rFonts w:hAnsi="宋体"/>
          <w:color w:val="000000" w:themeColor="text1"/>
          <w:highlight w:val="none"/>
          <w:u w:val="single"/>
          <w14:textFill>
            <w14:solidFill>
              <w14:schemeClr w14:val="tx1"/>
            </w14:solidFill>
          </w14:textFill>
        </w:rPr>
        <w:t></w:t>
      </w:r>
      <w:r>
        <w:rPr>
          <w:rFonts w:hAnsi="宋体"/>
          <w:color w:val="000000" w:themeColor="text1"/>
          <w:highlight w:val="none"/>
          <w14:textFill>
            <w14:solidFill>
              <w14:schemeClr w14:val="tx1"/>
            </w14:solidFill>
          </w14:textFill>
        </w:rPr>
        <w:t>日</w:t>
      </w:r>
      <w:r>
        <w:rPr>
          <w:rFonts w:hint="eastAsia" w:hAnsi="宋体" w:cs="宋体"/>
          <w:color w:val="000000" w:themeColor="text1"/>
          <w:highlight w:val="none"/>
          <w14:textFill>
            <w14:solidFill>
              <w14:schemeClr w14:val="tx1"/>
            </w14:solidFill>
          </w14:textFill>
        </w:rPr>
        <w:t>。</w:t>
      </w:r>
    </w:p>
    <w:p w14:paraId="218E46D9">
      <w:pPr>
        <w:spacing w:line="360" w:lineRule="auto"/>
        <w:ind w:firstLine="459"/>
        <w:rPr>
          <w:rFonts w:hAnsi="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工期总日历天数：</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u w:val="single"/>
          <w:lang w:val="en-US" w:eastAsia="zh-CN"/>
          <w14:textFill>
            <w14:solidFill>
              <w14:schemeClr w14:val="tx1"/>
            </w14:solidFill>
          </w14:textFill>
        </w:rPr>
        <w:t xml:space="preserve">   </w:t>
      </w:r>
      <w:r>
        <w:rPr>
          <w:rFonts w:hint="eastAsia" w:hAnsi="宋体" w:cs="宋体"/>
          <w:color w:val="000000" w:themeColor="text1"/>
          <w:highlight w:val="none"/>
          <w:u w:val="single"/>
          <w14:textFill>
            <w14:solidFill>
              <w14:schemeClr w14:val="tx1"/>
            </w14:solidFill>
          </w14:textFill>
        </w:rPr>
        <w:t>天</w:t>
      </w:r>
      <w:r>
        <w:rPr>
          <w:rFonts w:hint="eastAsia" w:hAnsi="宋体" w:cs="宋体"/>
          <w:color w:val="000000" w:themeColor="text1"/>
          <w:highlight w:val="none"/>
          <w14:textFill>
            <w14:solidFill>
              <w14:schemeClr w14:val="tx1"/>
            </w14:solidFill>
          </w14:textFill>
        </w:rPr>
        <w:t>工期总日历天数与根据前述计划开竣工日期计算的工期天数不一致的，以工期总日历天数为准。</w:t>
      </w:r>
    </w:p>
    <w:p w14:paraId="2F2AEC2B">
      <w:pPr>
        <w:spacing w:line="360" w:lineRule="auto"/>
        <w:ind w:firstLine="459"/>
        <w:outlineLvl w:val="0"/>
        <w:rPr>
          <w:b/>
          <w:bCs/>
          <w:color w:val="000000" w:themeColor="text1"/>
          <w:highlight w:val="none"/>
          <w14:textFill>
            <w14:solidFill>
              <w14:schemeClr w14:val="tx1"/>
            </w14:solidFill>
          </w14:textFill>
        </w:rPr>
      </w:pPr>
      <w:bookmarkStart w:id="230" w:name="_Toc351203483"/>
      <w:bookmarkStart w:id="231" w:name="_Toc122424022"/>
      <w:bookmarkStart w:id="232" w:name="_Toc122424271"/>
      <w:r>
        <w:rPr>
          <w:rFonts w:hint="eastAsia" w:hAnsi="宋体" w:cs="宋体"/>
          <w:b/>
          <w:bCs/>
          <w:color w:val="000000" w:themeColor="text1"/>
          <w:highlight w:val="none"/>
          <w14:textFill>
            <w14:solidFill>
              <w14:schemeClr w14:val="tx1"/>
            </w14:solidFill>
          </w14:textFill>
        </w:rPr>
        <w:t>三、质量标准</w:t>
      </w:r>
      <w:bookmarkEnd w:id="230"/>
      <w:bookmarkEnd w:id="231"/>
      <w:bookmarkEnd w:id="232"/>
    </w:p>
    <w:p w14:paraId="54F2812C">
      <w:pPr>
        <w:spacing w:line="360" w:lineRule="auto"/>
        <w:ind w:firstLine="459"/>
        <w:rPr>
          <w:rFonts w:hAnsi="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工程质量符合</w:t>
      </w:r>
      <w:r>
        <w:rPr>
          <w:rFonts w:eastAsia="仿宋_GB2312"/>
          <w:color w:val="000000" w:themeColor="text1"/>
          <w:highlight w:val="none"/>
          <w:u w:val="single"/>
          <w14:textFill>
            <w14:solidFill>
              <w14:schemeClr w14:val="tx1"/>
            </w14:solidFill>
          </w14:textFill>
        </w:rPr>
        <w:t></w:t>
      </w:r>
      <w:r>
        <w:rPr>
          <w:rFonts w:hint="eastAsia" w:ascii="宋体" w:hAnsi="宋体" w:cs="宋体"/>
          <w:color w:val="000000" w:themeColor="text1"/>
          <w:highlight w:val="none"/>
          <w:u w:val="single"/>
          <w14:textFill>
            <w14:solidFill>
              <w14:schemeClr w14:val="tx1"/>
            </w14:solidFill>
          </w14:textFill>
        </w:rPr>
        <w:t>达到国家施工验收规范合格</w:t>
      </w:r>
      <w:r>
        <w:rPr>
          <w:rFonts w:eastAsia="仿宋_GB2312"/>
          <w:color w:val="000000" w:themeColor="text1"/>
          <w:highlight w:val="none"/>
          <w:u w:val="single"/>
          <w14:textFill>
            <w14:solidFill>
              <w14:schemeClr w14:val="tx1"/>
            </w14:solidFill>
          </w14:textFill>
        </w:rPr>
        <w:t></w:t>
      </w:r>
      <w:r>
        <w:rPr>
          <w:rFonts w:hint="eastAsia" w:hAnsi="宋体" w:cs="宋体"/>
          <w:color w:val="000000" w:themeColor="text1"/>
          <w:highlight w:val="none"/>
          <w14:textFill>
            <w14:solidFill>
              <w14:schemeClr w14:val="tx1"/>
            </w14:solidFill>
          </w14:textFill>
        </w:rPr>
        <w:t>标准。</w:t>
      </w:r>
    </w:p>
    <w:p w14:paraId="69388A55">
      <w:pPr>
        <w:spacing w:line="360" w:lineRule="auto"/>
        <w:ind w:firstLine="459"/>
        <w:outlineLvl w:val="0"/>
        <w:rPr>
          <w:rFonts w:hAnsi="宋体"/>
          <w:b/>
          <w:bCs/>
          <w:color w:val="000000" w:themeColor="text1"/>
          <w:highlight w:val="none"/>
          <w14:textFill>
            <w14:solidFill>
              <w14:schemeClr w14:val="tx1"/>
            </w14:solidFill>
          </w14:textFill>
        </w:rPr>
      </w:pPr>
      <w:bookmarkStart w:id="233" w:name="_Toc122424272"/>
      <w:bookmarkStart w:id="234" w:name="_Toc122424023"/>
      <w:bookmarkStart w:id="235" w:name="_Toc351203484"/>
      <w:r>
        <w:rPr>
          <w:rFonts w:hint="eastAsia" w:hAnsi="宋体" w:cs="宋体"/>
          <w:b/>
          <w:bCs/>
          <w:color w:val="000000" w:themeColor="text1"/>
          <w:highlight w:val="none"/>
          <w14:textFill>
            <w14:solidFill>
              <w14:schemeClr w14:val="tx1"/>
            </w14:solidFill>
          </w14:textFill>
        </w:rPr>
        <w:t>四、签约合同价与合同价格形式</w:t>
      </w:r>
      <w:bookmarkEnd w:id="233"/>
      <w:bookmarkEnd w:id="234"/>
      <w:bookmarkEnd w:id="235"/>
    </w:p>
    <w:p w14:paraId="0821F2FB">
      <w:pPr>
        <w:spacing w:line="360" w:lineRule="auto"/>
        <w:ind w:firstLine="45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 </w:t>
      </w:r>
      <w:r>
        <w:rPr>
          <w:rFonts w:hint="eastAsia" w:hAnsi="宋体" w:cs="宋体"/>
          <w:color w:val="000000" w:themeColor="text1"/>
          <w:highlight w:val="none"/>
          <w14:textFill>
            <w14:solidFill>
              <w14:schemeClr w14:val="tx1"/>
            </w14:solidFill>
          </w14:textFill>
        </w:rPr>
        <w:t>签约合同价为：</w:t>
      </w:r>
    </w:p>
    <w:p w14:paraId="61FB5FFA">
      <w:pPr>
        <w:spacing w:line="360" w:lineRule="auto"/>
        <w:ind w:firstLine="525" w:firstLineChars="250"/>
        <w:rPr>
          <w:rFonts w:hint="eastAsia" w:hAnsi="宋体" w:eastAsia="宋体"/>
          <w:color w:val="000000" w:themeColor="text1"/>
          <w:highlight w:val="none"/>
          <w:lang w:eastAsia="zh-CN"/>
          <w14:textFill>
            <w14:solidFill>
              <w14:schemeClr w14:val="tx1"/>
            </w14:solidFill>
          </w14:textFill>
        </w:rPr>
      </w:pPr>
      <w:r>
        <w:rPr>
          <w:rFonts w:hint="eastAsia" w:hAnsi="宋体" w:cs="宋体"/>
          <w:color w:val="000000" w:themeColor="text1"/>
          <w:highlight w:val="none"/>
          <w14:textFill>
            <w14:solidFill>
              <w14:schemeClr w14:val="tx1"/>
            </w14:solidFill>
          </w14:textFill>
        </w:rPr>
        <w:t>人民币（大写）</w:t>
      </w:r>
      <w:r>
        <w:rPr>
          <w:color w:val="000000" w:themeColor="text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w:t>
      </w:r>
      <w:r>
        <w:rPr>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元</w:t>
      </w:r>
      <w:r>
        <w:rPr>
          <w:rFonts w:hint="eastAsia" w:cs="宋体"/>
          <w:color w:val="000000" w:themeColor="text1"/>
          <w:highlight w:val="none"/>
          <w14:textFill>
            <w14:solidFill>
              <w14:schemeClr w14:val="tx1"/>
            </w14:solidFill>
          </w14:textFill>
        </w:rPr>
        <w:t>）</w:t>
      </w:r>
      <w:r>
        <w:rPr>
          <w:rFonts w:hint="eastAsia" w:hAnsi="宋体" w:cs="宋体"/>
          <w:color w:val="000000" w:themeColor="text1"/>
          <w:highlight w:val="none"/>
          <w:lang w:eastAsia="zh-CN"/>
          <w14:textFill>
            <w14:solidFill>
              <w14:schemeClr w14:val="tx1"/>
            </w14:solidFill>
          </w14:textFill>
        </w:rPr>
        <w:t>；</w:t>
      </w:r>
    </w:p>
    <w:p w14:paraId="3D81C7E2">
      <w:pPr>
        <w:spacing w:line="360" w:lineRule="auto"/>
        <w:ind w:firstLine="525" w:firstLineChars="250"/>
        <w:rPr>
          <w:rFonts w:hAnsi="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其中：</w:t>
      </w:r>
    </w:p>
    <w:p w14:paraId="7F8353A5">
      <w:pPr>
        <w:spacing w:line="360" w:lineRule="auto"/>
        <w:ind w:firstLine="420" w:firstLineChars="200"/>
        <w:rPr>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w:t>
      </w:r>
      <w:r>
        <w:rPr>
          <w:rFonts w:hAnsi="宋体"/>
          <w:color w:val="000000" w:themeColor="text1"/>
          <w:highlight w:val="none"/>
          <w14:textFill>
            <w14:solidFill>
              <w14:schemeClr w14:val="tx1"/>
            </w14:solidFill>
          </w14:textFill>
        </w:rPr>
        <w:t>1</w:t>
      </w:r>
      <w:r>
        <w:rPr>
          <w:rFonts w:hint="eastAsia" w:hAnsi="宋体" w:cs="宋体"/>
          <w:color w:val="000000" w:themeColor="text1"/>
          <w:highlight w:val="none"/>
          <w14:textFill>
            <w14:solidFill>
              <w14:schemeClr w14:val="tx1"/>
            </w14:solidFill>
          </w14:textFill>
        </w:rPr>
        <w:t>）安全文明施工费：</w:t>
      </w:r>
    </w:p>
    <w:p w14:paraId="223322B5">
      <w:pPr>
        <w:spacing w:line="360" w:lineRule="auto"/>
        <w:ind w:left="420" w:leftChars="200" w:firstLine="525" w:firstLineChars="250"/>
        <w:rPr>
          <w:rFonts w:hint="eastAsia" w:hAnsi="宋体" w:eastAsia="宋体"/>
          <w:color w:val="000000" w:themeColor="text1"/>
          <w:highlight w:val="none"/>
          <w:lang w:eastAsia="zh-CN"/>
          <w14:textFill>
            <w14:solidFill>
              <w14:schemeClr w14:val="tx1"/>
            </w14:solidFill>
          </w14:textFill>
        </w:rPr>
      </w:pPr>
      <w:r>
        <w:rPr>
          <w:rFonts w:hint="eastAsia" w:hAnsi="宋体" w:cs="宋体"/>
          <w:color w:val="000000" w:themeColor="text1"/>
          <w:highlight w:val="none"/>
          <w14:textFill>
            <w14:solidFill>
              <w14:schemeClr w14:val="tx1"/>
            </w14:solidFill>
          </w14:textFill>
        </w:rPr>
        <w:t>人民币（大写）</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w:t>
      </w:r>
      <w:r>
        <w:rPr>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元</w:t>
      </w:r>
      <w:r>
        <w:rPr>
          <w:rFonts w:hint="eastAsia" w:cs="宋体"/>
          <w:color w:val="000000" w:themeColor="text1"/>
          <w:highlight w:val="none"/>
          <w14:textFill>
            <w14:solidFill>
              <w14:schemeClr w14:val="tx1"/>
            </w14:solidFill>
          </w14:textFill>
        </w:rPr>
        <w:t>）</w:t>
      </w:r>
      <w:r>
        <w:rPr>
          <w:rFonts w:hint="eastAsia" w:hAnsi="宋体" w:cs="宋体"/>
          <w:color w:val="000000" w:themeColor="text1"/>
          <w:highlight w:val="none"/>
          <w:lang w:eastAsia="zh-CN"/>
          <w14:textFill>
            <w14:solidFill>
              <w14:schemeClr w14:val="tx1"/>
            </w14:solidFill>
          </w14:textFill>
        </w:rPr>
        <w:t>；</w:t>
      </w:r>
    </w:p>
    <w:p w14:paraId="221C5690">
      <w:pPr>
        <w:spacing w:line="360" w:lineRule="auto"/>
        <w:ind w:firstLine="420" w:firstLineChars="200"/>
        <w:rPr>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2</w:t>
      </w:r>
      <w:r>
        <w:rPr>
          <w:rFonts w:hint="eastAsia" w:hAnsi="宋体" w:cs="宋体"/>
          <w:color w:val="000000" w:themeColor="text1"/>
          <w:highlight w:val="none"/>
          <w14:textFill>
            <w14:solidFill>
              <w14:schemeClr w14:val="tx1"/>
            </w14:solidFill>
          </w14:textFill>
        </w:rPr>
        <w:t>）材料和工程设备暂估价金额：</w:t>
      </w:r>
    </w:p>
    <w:p w14:paraId="5824A348">
      <w:pPr>
        <w:spacing w:line="360" w:lineRule="auto"/>
        <w:ind w:firstLine="945" w:firstLineChars="450"/>
        <w:rPr>
          <w:rFonts w:hint="eastAsia" w:eastAsia="宋体"/>
          <w:color w:val="000000" w:themeColor="text1"/>
          <w:highlight w:val="none"/>
          <w:lang w:eastAsia="zh-CN"/>
          <w14:textFill>
            <w14:solidFill>
              <w14:schemeClr w14:val="tx1"/>
            </w14:solidFill>
          </w14:textFill>
        </w:rPr>
      </w:pPr>
      <w:r>
        <w:rPr>
          <w:rFonts w:hint="eastAsia" w:hAnsi="宋体" w:cs="宋体"/>
          <w:color w:val="000000" w:themeColor="text1"/>
          <w:highlight w:val="none"/>
          <w14:textFill>
            <w14:solidFill>
              <w14:schemeClr w14:val="tx1"/>
            </w14:solidFill>
          </w14:textFill>
        </w:rPr>
        <w:t>人民币（大写）</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w:t>
      </w:r>
      <w:r>
        <w:rPr>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元</w:t>
      </w:r>
      <w:r>
        <w:rPr>
          <w:rFonts w:hint="eastAsia" w:cs="宋体"/>
          <w:color w:val="000000" w:themeColor="text1"/>
          <w:highlight w:val="none"/>
          <w14:textFill>
            <w14:solidFill>
              <w14:schemeClr w14:val="tx1"/>
            </w14:solidFill>
          </w14:textFill>
        </w:rPr>
        <w:t>）</w:t>
      </w:r>
      <w:r>
        <w:rPr>
          <w:rFonts w:hint="eastAsia" w:hAnsi="宋体" w:cs="宋体"/>
          <w:color w:val="000000" w:themeColor="text1"/>
          <w:highlight w:val="none"/>
          <w:lang w:eastAsia="zh-CN"/>
          <w14:textFill>
            <w14:solidFill>
              <w14:schemeClr w14:val="tx1"/>
            </w14:solidFill>
          </w14:textFill>
        </w:rPr>
        <w:t>；</w:t>
      </w:r>
    </w:p>
    <w:p w14:paraId="00F51EA3">
      <w:pPr>
        <w:spacing w:line="360" w:lineRule="auto"/>
        <w:ind w:firstLine="420" w:firstLineChars="200"/>
        <w:rPr>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3</w:t>
      </w:r>
      <w:r>
        <w:rPr>
          <w:rFonts w:hint="eastAsia" w:hAnsi="宋体" w:cs="宋体"/>
          <w:color w:val="000000" w:themeColor="text1"/>
          <w:highlight w:val="none"/>
          <w14:textFill>
            <w14:solidFill>
              <w14:schemeClr w14:val="tx1"/>
            </w14:solidFill>
          </w14:textFill>
        </w:rPr>
        <w:t>）专业工程暂估价金额：</w:t>
      </w:r>
    </w:p>
    <w:p w14:paraId="1CB7D14E">
      <w:pPr>
        <w:spacing w:line="360" w:lineRule="auto"/>
        <w:ind w:firstLine="945" w:firstLineChars="450"/>
        <w:rPr>
          <w:rFonts w:hint="eastAsia" w:eastAsia="宋体"/>
          <w:color w:val="000000" w:themeColor="text1"/>
          <w:highlight w:val="none"/>
          <w:lang w:eastAsia="zh-CN"/>
          <w14:textFill>
            <w14:solidFill>
              <w14:schemeClr w14:val="tx1"/>
            </w14:solidFill>
          </w14:textFill>
        </w:rPr>
      </w:pPr>
      <w:r>
        <w:rPr>
          <w:rFonts w:hint="eastAsia" w:hAnsi="宋体" w:cs="宋体"/>
          <w:color w:val="000000" w:themeColor="text1"/>
          <w:highlight w:val="none"/>
          <w14:textFill>
            <w14:solidFill>
              <w14:schemeClr w14:val="tx1"/>
            </w14:solidFill>
          </w14:textFill>
        </w:rPr>
        <w:t>人民币（大写）</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w:t>
      </w:r>
      <w:r>
        <w:rPr>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元</w:t>
      </w:r>
      <w:r>
        <w:rPr>
          <w:rFonts w:hint="eastAsia" w:cs="宋体"/>
          <w:color w:val="000000" w:themeColor="text1"/>
          <w:highlight w:val="none"/>
          <w14:textFill>
            <w14:solidFill>
              <w14:schemeClr w14:val="tx1"/>
            </w14:solidFill>
          </w14:textFill>
        </w:rPr>
        <w:t>）</w:t>
      </w:r>
      <w:r>
        <w:rPr>
          <w:rFonts w:hint="eastAsia" w:hAnsi="宋体" w:cs="宋体"/>
          <w:color w:val="000000" w:themeColor="text1"/>
          <w:highlight w:val="none"/>
          <w:lang w:eastAsia="zh-CN"/>
          <w14:textFill>
            <w14:solidFill>
              <w14:schemeClr w14:val="tx1"/>
            </w14:solidFill>
          </w14:textFill>
        </w:rPr>
        <w:t>；</w:t>
      </w:r>
    </w:p>
    <w:p w14:paraId="3C35863E">
      <w:pPr>
        <w:spacing w:line="360" w:lineRule="auto"/>
        <w:ind w:firstLine="420" w:firstLineChars="200"/>
        <w:rPr>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4</w:t>
      </w:r>
      <w:r>
        <w:rPr>
          <w:rFonts w:hint="eastAsia" w:hAnsi="宋体" w:cs="宋体"/>
          <w:color w:val="000000" w:themeColor="text1"/>
          <w:highlight w:val="none"/>
          <w14:textFill>
            <w14:solidFill>
              <w14:schemeClr w14:val="tx1"/>
            </w14:solidFill>
          </w14:textFill>
        </w:rPr>
        <w:t>）暂列金额：</w:t>
      </w:r>
    </w:p>
    <w:p w14:paraId="02261D48">
      <w:pPr>
        <w:spacing w:line="360" w:lineRule="auto"/>
        <w:ind w:firstLine="945" w:firstLineChars="450"/>
        <w:rPr>
          <w:rFonts w:hAnsi="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人民币（大写）</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w:t>
      </w:r>
      <w:r>
        <w:rPr>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元</w:t>
      </w:r>
      <w:r>
        <w:rPr>
          <w:rFonts w:hint="eastAsia" w:cs="宋体"/>
          <w:color w:val="000000" w:themeColor="text1"/>
          <w:highlight w:val="none"/>
          <w14:textFill>
            <w14:solidFill>
              <w14:schemeClr w14:val="tx1"/>
            </w14:solidFill>
          </w14:textFill>
        </w:rPr>
        <w:t>）</w:t>
      </w:r>
      <w:r>
        <w:rPr>
          <w:rFonts w:hint="eastAsia" w:hAnsi="宋体" w:cs="宋体"/>
          <w:color w:val="000000" w:themeColor="text1"/>
          <w:highlight w:val="none"/>
          <w14:textFill>
            <w14:solidFill>
              <w14:schemeClr w14:val="tx1"/>
            </w14:solidFill>
          </w14:textFill>
        </w:rPr>
        <w:t>。</w:t>
      </w:r>
    </w:p>
    <w:p w14:paraId="015CB619">
      <w:pPr>
        <w:spacing w:line="360" w:lineRule="auto"/>
        <w:ind w:firstLine="420" w:firstLineChars="200"/>
        <w:rPr>
          <w:rFonts w:hAnsi="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2. </w:t>
      </w:r>
      <w:r>
        <w:rPr>
          <w:rFonts w:hint="eastAsia" w:hAnsi="宋体" w:cs="宋体"/>
          <w:color w:val="000000" w:themeColor="text1"/>
          <w:highlight w:val="none"/>
          <w14:textFill>
            <w14:solidFill>
              <w14:schemeClr w14:val="tx1"/>
            </w14:solidFill>
          </w14:textFill>
        </w:rPr>
        <w:t>合同价格形式：</w:t>
      </w:r>
      <w:r>
        <w:rPr>
          <w:color w:val="000000" w:themeColor="text1"/>
          <w:highlight w:val="non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w:t>
      </w:r>
    </w:p>
    <w:p w14:paraId="4F6F8B56">
      <w:pPr>
        <w:spacing w:line="360" w:lineRule="auto"/>
        <w:ind w:firstLine="422" w:firstLineChars="200"/>
        <w:outlineLvl w:val="0"/>
        <w:rPr>
          <w:b/>
          <w:bCs/>
          <w:color w:val="000000" w:themeColor="text1"/>
          <w:highlight w:val="none"/>
          <w14:textFill>
            <w14:solidFill>
              <w14:schemeClr w14:val="tx1"/>
            </w14:solidFill>
          </w14:textFill>
        </w:rPr>
      </w:pPr>
      <w:bookmarkStart w:id="236" w:name="_Toc351203485"/>
      <w:bookmarkStart w:id="237" w:name="_Toc122424273"/>
      <w:bookmarkStart w:id="238" w:name="_Toc122424024"/>
      <w:r>
        <w:rPr>
          <w:rFonts w:hint="eastAsia" w:hAnsi="宋体" w:cs="宋体"/>
          <w:b/>
          <w:bCs/>
          <w:color w:val="000000" w:themeColor="text1"/>
          <w:highlight w:val="none"/>
          <w14:textFill>
            <w14:solidFill>
              <w14:schemeClr w14:val="tx1"/>
            </w14:solidFill>
          </w14:textFill>
        </w:rPr>
        <w:t>五、</w:t>
      </w:r>
      <w:bookmarkEnd w:id="236"/>
      <w:r>
        <w:rPr>
          <w:rFonts w:hint="eastAsia" w:hAnsi="宋体" w:cs="宋体"/>
          <w:b/>
          <w:bCs/>
          <w:color w:val="000000" w:themeColor="text1"/>
          <w:highlight w:val="none"/>
          <w14:textFill>
            <w14:solidFill>
              <w14:schemeClr w14:val="tx1"/>
            </w14:solidFill>
          </w14:textFill>
        </w:rPr>
        <w:t>项目经理</w:t>
      </w:r>
      <w:bookmarkEnd w:id="237"/>
      <w:bookmarkEnd w:id="238"/>
    </w:p>
    <w:p w14:paraId="1FF66E7E">
      <w:pPr>
        <w:spacing w:line="360" w:lineRule="auto"/>
        <w:ind w:firstLine="420" w:firstLineChars="200"/>
        <w:rPr>
          <w:rFonts w:hAnsi="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承包人项目经理：</w:t>
      </w:r>
      <w:r>
        <w:rPr>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w:t>
      </w:r>
    </w:p>
    <w:p w14:paraId="5EA7469E">
      <w:pPr>
        <w:spacing w:line="360" w:lineRule="auto"/>
        <w:ind w:firstLine="422" w:firstLineChars="200"/>
        <w:outlineLvl w:val="0"/>
        <w:rPr>
          <w:b/>
          <w:bCs/>
          <w:color w:val="000000" w:themeColor="text1"/>
          <w:highlight w:val="none"/>
          <w14:textFill>
            <w14:solidFill>
              <w14:schemeClr w14:val="tx1"/>
            </w14:solidFill>
          </w14:textFill>
        </w:rPr>
      </w:pPr>
      <w:bookmarkStart w:id="239" w:name="_Toc351203486"/>
      <w:bookmarkStart w:id="240" w:name="_Toc122424025"/>
      <w:bookmarkStart w:id="241" w:name="_Toc122424274"/>
      <w:r>
        <w:rPr>
          <w:rFonts w:hint="eastAsia" w:hAnsi="宋体" w:cs="宋体"/>
          <w:b/>
          <w:bCs/>
          <w:color w:val="000000" w:themeColor="text1"/>
          <w:highlight w:val="none"/>
          <w14:textFill>
            <w14:solidFill>
              <w14:schemeClr w14:val="tx1"/>
            </w14:solidFill>
          </w14:textFill>
        </w:rPr>
        <w:t>六、合同文件构成</w:t>
      </w:r>
      <w:bookmarkEnd w:id="239"/>
      <w:bookmarkEnd w:id="240"/>
      <w:bookmarkEnd w:id="241"/>
    </w:p>
    <w:p w14:paraId="21ED133C">
      <w:pPr>
        <w:spacing w:line="360" w:lineRule="auto"/>
        <w:ind w:firstLine="420" w:firstLineChars="200"/>
        <w:rPr>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本协议书与下列文件一起构成合同文件：</w:t>
      </w:r>
    </w:p>
    <w:p w14:paraId="35DAB258">
      <w:pPr>
        <w:autoSpaceDE w:val="0"/>
        <w:autoSpaceDN w:val="0"/>
        <w:adjustRightInd w:val="0"/>
        <w:spacing w:line="360" w:lineRule="auto"/>
        <w:ind w:firstLine="420" w:firstLineChars="200"/>
        <w:jc w:val="left"/>
        <w:rPr>
          <w:rFonts w:hint="eastAsia" w:eastAsia="宋体"/>
          <w:color w:val="000000" w:themeColor="text1"/>
          <w:highlight w:val="none"/>
          <w:lang w:eastAsia="zh-CN"/>
          <w14:textFill>
            <w14:solidFill>
              <w14:schemeClr w14:val="tx1"/>
            </w14:solidFill>
          </w14:textFill>
        </w:rPr>
      </w:pPr>
      <w:r>
        <w:rPr>
          <w:rFonts w:hint="eastAsia" w:hAnsi="宋体"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1</w:t>
      </w:r>
      <w:r>
        <w:rPr>
          <w:rFonts w:hint="eastAsia" w:hAnsi="宋体" w:cs="宋体"/>
          <w:color w:val="000000" w:themeColor="text1"/>
          <w:highlight w:val="none"/>
          <w14:textFill>
            <w14:solidFill>
              <w14:schemeClr w14:val="tx1"/>
            </w14:solidFill>
          </w14:textFill>
        </w:rPr>
        <w:t>）成交通知书（如有）</w:t>
      </w:r>
      <w:r>
        <w:rPr>
          <w:rFonts w:hint="eastAsia" w:hAnsi="宋体" w:cs="宋体"/>
          <w:color w:val="000000" w:themeColor="text1"/>
          <w:highlight w:val="none"/>
          <w:lang w:eastAsia="zh-CN"/>
          <w14:textFill>
            <w14:solidFill>
              <w14:schemeClr w14:val="tx1"/>
            </w14:solidFill>
          </w14:textFill>
        </w:rPr>
        <w:t>；</w:t>
      </w:r>
    </w:p>
    <w:p w14:paraId="0A297E4C">
      <w:pPr>
        <w:autoSpaceDE w:val="0"/>
        <w:autoSpaceDN w:val="0"/>
        <w:adjustRightInd w:val="0"/>
        <w:spacing w:line="360" w:lineRule="auto"/>
        <w:ind w:firstLine="420" w:firstLineChars="200"/>
        <w:jc w:val="left"/>
        <w:rPr>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2</w:t>
      </w:r>
      <w:r>
        <w:rPr>
          <w:rFonts w:hint="eastAsia" w:hAnsi="宋体" w:cs="宋体"/>
          <w:color w:val="000000" w:themeColor="text1"/>
          <w:highlight w:val="none"/>
          <w14:textFill>
            <w14:solidFill>
              <w14:schemeClr w14:val="tx1"/>
            </w14:solidFill>
          </w14:textFill>
        </w:rPr>
        <w:t>）竞标函及其附录（如有）</w:t>
      </w:r>
      <w:r>
        <w:rPr>
          <w:rFonts w:hint="eastAsia" w:hAnsi="宋体" w:cs="宋体"/>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 xml:space="preserve"> </w:t>
      </w:r>
    </w:p>
    <w:p w14:paraId="5F97E2D5">
      <w:pPr>
        <w:autoSpaceDE w:val="0"/>
        <w:autoSpaceDN w:val="0"/>
        <w:adjustRightInd w:val="0"/>
        <w:spacing w:line="360" w:lineRule="auto"/>
        <w:ind w:firstLine="420" w:firstLineChars="200"/>
        <w:jc w:val="left"/>
        <w:rPr>
          <w:rFonts w:hint="eastAsia" w:eastAsia="宋体"/>
          <w:color w:val="000000" w:themeColor="text1"/>
          <w:highlight w:val="none"/>
          <w:lang w:eastAsia="zh-CN"/>
          <w14:textFill>
            <w14:solidFill>
              <w14:schemeClr w14:val="tx1"/>
            </w14:solidFill>
          </w14:textFill>
        </w:rPr>
      </w:pPr>
      <w:r>
        <w:rPr>
          <w:rFonts w:hint="eastAsia" w:hAnsi="宋体"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3</w:t>
      </w:r>
      <w:r>
        <w:rPr>
          <w:rFonts w:hint="eastAsia" w:hAnsi="宋体" w:cs="宋体"/>
          <w:color w:val="000000" w:themeColor="text1"/>
          <w:highlight w:val="none"/>
          <w14:textFill>
            <w14:solidFill>
              <w14:schemeClr w14:val="tx1"/>
            </w14:solidFill>
          </w14:textFill>
        </w:rPr>
        <w:t>）专用合同条款及其附件</w:t>
      </w:r>
      <w:r>
        <w:rPr>
          <w:rFonts w:hint="eastAsia" w:hAnsi="宋体" w:cs="宋体"/>
          <w:color w:val="000000" w:themeColor="text1"/>
          <w:highlight w:val="none"/>
          <w:lang w:eastAsia="zh-CN"/>
          <w14:textFill>
            <w14:solidFill>
              <w14:schemeClr w14:val="tx1"/>
            </w14:solidFill>
          </w14:textFill>
        </w:rPr>
        <w:t>；</w:t>
      </w:r>
    </w:p>
    <w:p w14:paraId="2290076F">
      <w:pPr>
        <w:autoSpaceDE w:val="0"/>
        <w:autoSpaceDN w:val="0"/>
        <w:adjustRightInd w:val="0"/>
        <w:spacing w:line="360" w:lineRule="auto"/>
        <w:ind w:firstLine="420" w:firstLineChars="200"/>
        <w:jc w:val="left"/>
        <w:rPr>
          <w:rFonts w:hint="eastAsia" w:eastAsia="宋体"/>
          <w:color w:val="000000" w:themeColor="text1"/>
          <w:highlight w:val="none"/>
          <w:lang w:eastAsia="zh-CN"/>
          <w14:textFill>
            <w14:solidFill>
              <w14:schemeClr w14:val="tx1"/>
            </w14:solidFill>
          </w14:textFill>
        </w:rPr>
      </w:pPr>
      <w:r>
        <w:rPr>
          <w:rFonts w:hint="eastAsia" w:hAnsi="宋体"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4</w:t>
      </w:r>
      <w:r>
        <w:rPr>
          <w:rFonts w:hint="eastAsia" w:hAnsi="宋体" w:cs="宋体"/>
          <w:color w:val="000000" w:themeColor="text1"/>
          <w:highlight w:val="none"/>
          <w14:textFill>
            <w14:solidFill>
              <w14:schemeClr w14:val="tx1"/>
            </w14:solidFill>
          </w14:textFill>
        </w:rPr>
        <w:t>）通用合同条款</w:t>
      </w:r>
      <w:r>
        <w:rPr>
          <w:rFonts w:hint="eastAsia" w:hAnsi="宋体" w:cs="宋体"/>
          <w:color w:val="000000" w:themeColor="text1"/>
          <w:highlight w:val="none"/>
          <w:lang w:eastAsia="zh-CN"/>
          <w14:textFill>
            <w14:solidFill>
              <w14:schemeClr w14:val="tx1"/>
            </w14:solidFill>
          </w14:textFill>
        </w:rPr>
        <w:t>；</w:t>
      </w:r>
    </w:p>
    <w:p w14:paraId="213B8582">
      <w:pPr>
        <w:autoSpaceDE w:val="0"/>
        <w:autoSpaceDN w:val="0"/>
        <w:adjustRightInd w:val="0"/>
        <w:spacing w:line="360" w:lineRule="auto"/>
        <w:ind w:firstLine="420" w:firstLineChars="200"/>
        <w:jc w:val="left"/>
        <w:rPr>
          <w:rFonts w:hint="eastAsia" w:eastAsia="宋体"/>
          <w:color w:val="000000" w:themeColor="text1"/>
          <w:szCs w:val="21"/>
          <w:highlight w:val="none"/>
          <w:lang w:eastAsia="zh-CN"/>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5</w:t>
      </w:r>
      <w:r>
        <w:rPr>
          <w:rFonts w:hint="eastAsia" w:hAnsi="宋体" w:cs="宋体"/>
          <w:color w:val="000000" w:themeColor="text1"/>
          <w:szCs w:val="21"/>
          <w:highlight w:val="none"/>
          <w14:textFill>
            <w14:solidFill>
              <w14:schemeClr w14:val="tx1"/>
            </w14:solidFill>
          </w14:textFill>
        </w:rPr>
        <w:t>）技术标准和要求</w:t>
      </w:r>
      <w:r>
        <w:rPr>
          <w:rFonts w:hint="eastAsia" w:hAnsi="宋体" w:cs="宋体"/>
          <w:color w:val="000000" w:themeColor="text1"/>
          <w:szCs w:val="21"/>
          <w:highlight w:val="none"/>
          <w:lang w:eastAsia="zh-CN"/>
          <w14:textFill>
            <w14:solidFill>
              <w14:schemeClr w14:val="tx1"/>
            </w14:solidFill>
          </w14:textFill>
        </w:rPr>
        <w:t>；</w:t>
      </w:r>
    </w:p>
    <w:p w14:paraId="15312F25">
      <w:pPr>
        <w:autoSpaceDE w:val="0"/>
        <w:autoSpaceDN w:val="0"/>
        <w:adjustRightInd w:val="0"/>
        <w:spacing w:line="360" w:lineRule="auto"/>
        <w:ind w:firstLine="420" w:firstLineChars="200"/>
        <w:jc w:val="left"/>
        <w:rPr>
          <w:rFonts w:hint="eastAsia" w:eastAsia="宋体"/>
          <w:color w:val="000000" w:themeColor="text1"/>
          <w:szCs w:val="21"/>
          <w:highlight w:val="none"/>
          <w:lang w:eastAsia="zh-CN"/>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6</w:t>
      </w:r>
      <w:r>
        <w:rPr>
          <w:rFonts w:hint="eastAsia" w:hAnsi="宋体" w:cs="宋体"/>
          <w:color w:val="000000" w:themeColor="text1"/>
          <w:szCs w:val="21"/>
          <w:highlight w:val="none"/>
          <w14:textFill>
            <w14:solidFill>
              <w14:schemeClr w14:val="tx1"/>
            </w14:solidFill>
          </w14:textFill>
        </w:rPr>
        <w:t>）已标价工程量清单</w:t>
      </w:r>
      <w:r>
        <w:rPr>
          <w:rFonts w:hint="eastAsia" w:hAnsi="宋体" w:cs="宋体"/>
          <w:color w:val="000000" w:themeColor="text1"/>
          <w:szCs w:val="21"/>
          <w:highlight w:val="none"/>
          <w:lang w:eastAsia="zh-CN"/>
          <w14:textFill>
            <w14:solidFill>
              <w14:schemeClr w14:val="tx1"/>
            </w14:solidFill>
          </w14:textFill>
        </w:rPr>
        <w:t>；</w:t>
      </w:r>
    </w:p>
    <w:p w14:paraId="5E9058AE">
      <w:pPr>
        <w:autoSpaceDE w:val="0"/>
        <w:autoSpaceDN w:val="0"/>
        <w:adjustRightInd w:val="0"/>
        <w:spacing w:line="360" w:lineRule="auto"/>
        <w:ind w:firstLine="420" w:firstLineChars="200"/>
        <w:jc w:val="left"/>
        <w:rPr>
          <w:rFonts w:hint="eastAsia" w:eastAsia="宋体"/>
          <w:color w:val="000000" w:themeColor="text1"/>
          <w:szCs w:val="21"/>
          <w:highlight w:val="none"/>
          <w:lang w:eastAsia="zh-CN"/>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7</w:t>
      </w:r>
      <w:r>
        <w:rPr>
          <w:rFonts w:hint="eastAsia" w:hAnsi="宋体" w:cs="宋体"/>
          <w:color w:val="000000" w:themeColor="text1"/>
          <w:szCs w:val="21"/>
          <w:highlight w:val="none"/>
          <w14:textFill>
            <w14:solidFill>
              <w14:schemeClr w14:val="tx1"/>
            </w14:solidFill>
          </w14:textFill>
        </w:rPr>
        <w:t>）图纸</w:t>
      </w:r>
      <w:r>
        <w:rPr>
          <w:rFonts w:hint="eastAsia" w:hAnsi="宋体" w:cs="宋体"/>
          <w:color w:val="000000" w:themeColor="text1"/>
          <w:szCs w:val="21"/>
          <w:highlight w:val="none"/>
          <w:lang w:eastAsia="zh-CN"/>
          <w14:textFill>
            <w14:solidFill>
              <w14:schemeClr w14:val="tx1"/>
            </w14:solidFill>
          </w14:textFill>
        </w:rPr>
        <w:t>；</w:t>
      </w:r>
    </w:p>
    <w:p w14:paraId="2B21B1C3">
      <w:pPr>
        <w:autoSpaceDE w:val="0"/>
        <w:autoSpaceDN w:val="0"/>
        <w:adjustRightInd w:val="0"/>
        <w:spacing w:line="360" w:lineRule="auto"/>
        <w:ind w:firstLine="420" w:firstLineChars="200"/>
        <w:jc w:val="left"/>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8</w:t>
      </w:r>
      <w:r>
        <w:rPr>
          <w:rFonts w:hint="eastAsia" w:hAnsi="宋体" w:cs="宋体"/>
          <w:color w:val="000000" w:themeColor="text1"/>
          <w:szCs w:val="21"/>
          <w:highlight w:val="none"/>
          <w14:textFill>
            <w14:solidFill>
              <w14:schemeClr w14:val="tx1"/>
            </w14:solidFill>
          </w14:textFill>
        </w:rPr>
        <w:t>）其他合同文件：</w:t>
      </w:r>
    </w:p>
    <w:p w14:paraId="14D0D5A6">
      <w:pPr>
        <w:autoSpaceDE w:val="0"/>
        <w:autoSpaceDN w:val="0"/>
        <w:adjustRightInd w:val="0"/>
        <w:spacing w:line="360" w:lineRule="auto"/>
        <w:ind w:firstLine="420" w:firstLineChars="200"/>
        <w:jc w:val="left"/>
        <w:rPr>
          <w:rFonts w:hint="eastAsia" w:hAnsi="宋体" w:eastAsia="宋体" w:cs="宋体"/>
          <w:color w:val="000000" w:themeColor="text1"/>
          <w:szCs w:val="21"/>
          <w:highlight w:val="none"/>
          <w:lang w:eastAsia="zh-CN"/>
          <w14:textFill>
            <w14:solidFill>
              <w14:schemeClr w14:val="tx1"/>
            </w14:solidFill>
          </w14:textFill>
        </w:rPr>
      </w:pPr>
      <w:r>
        <w:rPr>
          <w:rFonts w:hint="eastAsia" w:hAnsi="宋体" w:cs="宋体"/>
          <w:color w:val="000000" w:themeColor="text1"/>
          <w:szCs w:val="21"/>
          <w:highlight w:val="none"/>
          <w:lang w:eastAsia="zh-CN"/>
          <w14:textFill>
            <w14:solidFill>
              <w14:schemeClr w14:val="tx1"/>
            </w14:solidFill>
          </w14:textFill>
        </w:rPr>
        <w:t>（</w:t>
      </w:r>
      <w:r>
        <w:rPr>
          <w:rFonts w:hint="eastAsia" w:hAnsi="宋体" w:cs="宋体"/>
          <w:color w:val="000000" w:themeColor="text1"/>
          <w:szCs w:val="21"/>
          <w:highlight w:val="none"/>
          <w:lang w:val="en-US" w:eastAsia="zh-CN"/>
          <w14:textFill>
            <w14:solidFill>
              <w14:schemeClr w14:val="tx1"/>
            </w14:solidFill>
          </w14:textFill>
        </w:rPr>
        <w:t>9</w:t>
      </w:r>
      <w:r>
        <w:rPr>
          <w:rFonts w:hint="eastAsia" w:hAnsi="宋体" w:cs="宋体"/>
          <w:color w:val="000000" w:themeColor="text1"/>
          <w:szCs w:val="21"/>
          <w:highlight w:val="none"/>
          <w:lang w:eastAsia="zh-CN"/>
          <w14:textFill>
            <w14:solidFill>
              <w14:schemeClr w14:val="tx1"/>
            </w14:solidFill>
          </w14:textFill>
        </w:rPr>
        <w:t>）</w:t>
      </w:r>
      <w:r>
        <w:rPr>
          <w:color w:val="000000" w:themeColor="text1"/>
          <w:highlight w:val="none"/>
          <w14:textFill>
            <w14:solidFill>
              <w14:schemeClr w14:val="tx1"/>
            </w14:solidFill>
          </w14:textFill>
        </w:rPr>
        <w:t>竞争性磋商文件及响应文件</w:t>
      </w:r>
      <w:r>
        <w:rPr>
          <w:rFonts w:hint="eastAsia" w:hAnsi="宋体" w:cs="宋体"/>
          <w:color w:val="000000" w:themeColor="text1"/>
          <w:szCs w:val="21"/>
          <w:highlight w:val="none"/>
          <w:lang w:eastAsia="zh-CN"/>
          <w14:textFill>
            <w14:solidFill>
              <w14:schemeClr w14:val="tx1"/>
            </w14:solidFill>
          </w14:textFill>
        </w:rPr>
        <w:t>；</w:t>
      </w:r>
    </w:p>
    <w:p w14:paraId="151B4CA9">
      <w:pPr>
        <w:autoSpaceDE w:val="0"/>
        <w:autoSpaceDN w:val="0"/>
        <w:adjustRightInd w:val="0"/>
        <w:spacing w:line="360" w:lineRule="auto"/>
        <w:ind w:firstLine="420" w:firstLineChars="200"/>
        <w:jc w:val="left"/>
        <w:rPr>
          <w:rFonts w:hAnsi="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上述各项合同文件包括合同当事人就该项合同文件所作出的补充和修改，属于同一类内容的文件，应以最新签署的为准（违反磋商文件</w:t>
      </w:r>
      <w:r>
        <w:rPr>
          <w:rFonts w:hAnsi="宋体" w:cs="宋体"/>
          <w:color w:val="000000" w:themeColor="text1"/>
          <w:highlight w:val="none"/>
          <w14:textFill>
            <w14:solidFill>
              <w14:schemeClr w14:val="tx1"/>
            </w14:solidFill>
          </w14:textFill>
        </w:rPr>
        <w:t>实质性内容的约定除外</w:t>
      </w:r>
      <w:r>
        <w:rPr>
          <w:rFonts w:hint="eastAsia" w:hAnsi="宋体" w:cs="宋体"/>
          <w:color w:val="000000" w:themeColor="text1"/>
          <w:highlight w:val="none"/>
          <w14:textFill>
            <w14:solidFill>
              <w14:schemeClr w14:val="tx1"/>
            </w14:solidFill>
          </w14:textFill>
        </w:rPr>
        <w:t>）。专用合同条款及其附件须经合同当事人签字或盖章。</w:t>
      </w:r>
    </w:p>
    <w:p w14:paraId="49AE9D09">
      <w:pPr>
        <w:autoSpaceDE w:val="0"/>
        <w:autoSpaceDN w:val="0"/>
        <w:adjustRightInd w:val="0"/>
        <w:spacing w:line="360" w:lineRule="auto"/>
        <w:ind w:firstLine="422" w:firstLineChars="200"/>
        <w:jc w:val="left"/>
        <w:outlineLvl w:val="0"/>
        <w:rPr>
          <w:b/>
          <w:bCs/>
          <w:color w:val="000000" w:themeColor="text1"/>
          <w:highlight w:val="none"/>
          <w14:textFill>
            <w14:solidFill>
              <w14:schemeClr w14:val="tx1"/>
            </w14:solidFill>
          </w14:textFill>
        </w:rPr>
      </w:pPr>
      <w:bookmarkStart w:id="242" w:name="_Toc122424275"/>
      <w:bookmarkStart w:id="243" w:name="_Toc122424026"/>
      <w:bookmarkStart w:id="244" w:name="_Toc351203487"/>
      <w:r>
        <w:rPr>
          <w:rFonts w:hint="eastAsia" w:hAnsi="宋体" w:cs="宋体"/>
          <w:b/>
          <w:bCs/>
          <w:color w:val="000000" w:themeColor="text1"/>
          <w:highlight w:val="none"/>
          <w14:textFill>
            <w14:solidFill>
              <w14:schemeClr w14:val="tx1"/>
            </w14:solidFill>
          </w14:textFill>
        </w:rPr>
        <w:t>七、承诺</w:t>
      </w:r>
      <w:bookmarkEnd w:id="242"/>
      <w:bookmarkEnd w:id="243"/>
      <w:bookmarkEnd w:id="244"/>
    </w:p>
    <w:p w14:paraId="04A3EC96">
      <w:pPr>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 </w:t>
      </w:r>
      <w:r>
        <w:rPr>
          <w:rFonts w:hint="eastAsia" w:hAnsi="宋体" w:cs="宋体"/>
          <w:color w:val="000000" w:themeColor="text1"/>
          <w:highlight w:val="none"/>
          <w14:textFill>
            <w14:solidFill>
              <w14:schemeClr w14:val="tx1"/>
            </w14:solidFill>
          </w14:textFill>
        </w:rPr>
        <w:t>发包人承诺按照法律规定履行项目审批手续、筹集工程建设资金并按照合同约定的期限和方式支付合同价款。</w:t>
      </w:r>
    </w:p>
    <w:p w14:paraId="361A8D84">
      <w:pPr>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2. </w:t>
      </w:r>
      <w:r>
        <w:rPr>
          <w:rFonts w:hint="eastAsia" w:hAnsi="宋体" w:cs="宋体"/>
          <w:color w:val="000000" w:themeColor="text1"/>
          <w:highlight w:val="none"/>
          <w14:textFill>
            <w14:solidFill>
              <w14:schemeClr w14:val="tx1"/>
            </w14:solidFill>
          </w14:textFill>
        </w:rPr>
        <w:t>承包人承诺按照法律规定及合同约定组织完成工程施工，确保工程质量和安全，不进行转包及违法分包，并在缺陷责任期及保修期内承担相应的工程维修责任。</w:t>
      </w:r>
    </w:p>
    <w:p w14:paraId="7F2AEB73">
      <w:pPr>
        <w:spacing w:line="360" w:lineRule="auto"/>
        <w:ind w:firstLine="420" w:firstLineChars="200"/>
        <w:rPr>
          <w:rFonts w:hAnsi="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3. </w:t>
      </w:r>
      <w:r>
        <w:rPr>
          <w:rFonts w:hint="eastAsia" w:hAnsi="宋体" w:cs="宋体"/>
          <w:color w:val="000000" w:themeColor="text1"/>
          <w:highlight w:val="none"/>
          <w14:textFill>
            <w14:solidFill>
              <w14:schemeClr w14:val="tx1"/>
            </w14:solidFill>
          </w14:textFill>
        </w:rPr>
        <w:t>发包人和承包人通过政府采购形式签订合同的，双方理解并承诺不再就同一工程另行签订与合同实质性内容相背离的协议。</w:t>
      </w:r>
      <w:bookmarkStart w:id="245" w:name="_Toc351203488"/>
    </w:p>
    <w:p w14:paraId="364BAF5C">
      <w:pPr>
        <w:spacing w:line="360" w:lineRule="auto"/>
        <w:ind w:firstLine="422" w:firstLineChars="200"/>
        <w:outlineLvl w:val="0"/>
        <w:rPr>
          <w:b/>
          <w:bCs/>
          <w:color w:val="000000" w:themeColor="text1"/>
          <w:highlight w:val="none"/>
          <w14:textFill>
            <w14:solidFill>
              <w14:schemeClr w14:val="tx1"/>
            </w14:solidFill>
          </w14:textFill>
        </w:rPr>
      </w:pPr>
      <w:bookmarkStart w:id="246" w:name="_Toc122424027"/>
      <w:bookmarkStart w:id="247" w:name="_Toc122424276"/>
      <w:r>
        <w:rPr>
          <w:rFonts w:hint="eastAsia" w:hAnsi="宋体" w:cs="宋体"/>
          <w:b/>
          <w:bCs/>
          <w:color w:val="000000" w:themeColor="text1"/>
          <w:highlight w:val="none"/>
          <w14:textFill>
            <w14:solidFill>
              <w14:schemeClr w14:val="tx1"/>
            </w14:solidFill>
          </w14:textFill>
        </w:rPr>
        <w:t>八、词语含义</w:t>
      </w:r>
      <w:bookmarkEnd w:id="245"/>
      <w:bookmarkEnd w:id="246"/>
      <w:bookmarkEnd w:id="247"/>
    </w:p>
    <w:p w14:paraId="34FB7D20">
      <w:pPr>
        <w:spacing w:line="360" w:lineRule="auto"/>
        <w:ind w:firstLine="420" w:firstLineChars="200"/>
        <w:rPr>
          <w:rFonts w:hAnsi="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本协议书中词语含义与第二部分通用合同条款中赋予的含义相同。</w:t>
      </w:r>
    </w:p>
    <w:p w14:paraId="172B87CF">
      <w:pPr>
        <w:spacing w:line="360" w:lineRule="auto"/>
        <w:ind w:firstLine="422" w:firstLineChars="200"/>
        <w:outlineLvl w:val="0"/>
        <w:rPr>
          <w:b/>
          <w:bCs/>
          <w:color w:val="000000" w:themeColor="text1"/>
          <w:highlight w:val="none"/>
          <w14:textFill>
            <w14:solidFill>
              <w14:schemeClr w14:val="tx1"/>
            </w14:solidFill>
          </w14:textFill>
        </w:rPr>
      </w:pPr>
      <w:bookmarkStart w:id="248" w:name="_Toc122424028"/>
      <w:bookmarkStart w:id="249" w:name="_Toc351203489"/>
      <w:bookmarkStart w:id="250" w:name="_Toc122424277"/>
      <w:r>
        <w:rPr>
          <w:rFonts w:hint="eastAsia" w:hAnsi="宋体" w:cs="宋体"/>
          <w:b/>
          <w:bCs/>
          <w:color w:val="000000" w:themeColor="text1"/>
          <w:highlight w:val="none"/>
          <w14:textFill>
            <w14:solidFill>
              <w14:schemeClr w14:val="tx1"/>
            </w14:solidFill>
          </w14:textFill>
        </w:rPr>
        <w:t>九、签订时间</w:t>
      </w:r>
      <w:bookmarkEnd w:id="248"/>
      <w:bookmarkEnd w:id="249"/>
      <w:bookmarkEnd w:id="250"/>
    </w:p>
    <w:p w14:paraId="1324C6DF">
      <w:pPr>
        <w:spacing w:line="360" w:lineRule="auto"/>
        <w:ind w:firstLine="420" w:firstLineChars="200"/>
        <w:rPr>
          <w:rFonts w:hAnsi="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本合同于</w:t>
      </w:r>
      <w:r>
        <w:rPr>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年</w:t>
      </w:r>
      <w:r>
        <w:rPr>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月</w:t>
      </w:r>
      <w:r>
        <w:rPr>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日签订。</w:t>
      </w:r>
    </w:p>
    <w:p w14:paraId="37D2BAA6">
      <w:pPr>
        <w:spacing w:line="360" w:lineRule="auto"/>
        <w:ind w:firstLine="422" w:firstLineChars="200"/>
        <w:outlineLvl w:val="0"/>
        <w:rPr>
          <w:b/>
          <w:bCs/>
          <w:color w:val="000000" w:themeColor="text1"/>
          <w:highlight w:val="none"/>
          <w14:textFill>
            <w14:solidFill>
              <w14:schemeClr w14:val="tx1"/>
            </w14:solidFill>
          </w14:textFill>
        </w:rPr>
      </w:pPr>
      <w:bookmarkStart w:id="251" w:name="_Toc351203490"/>
      <w:bookmarkStart w:id="252" w:name="_Toc122424278"/>
      <w:bookmarkStart w:id="253" w:name="_Toc122424029"/>
      <w:r>
        <w:rPr>
          <w:rFonts w:hint="eastAsia" w:hAnsi="宋体" w:cs="宋体"/>
          <w:b/>
          <w:bCs/>
          <w:color w:val="000000" w:themeColor="text1"/>
          <w:highlight w:val="none"/>
          <w14:textFill>
            <w14:solidFill>
              <w14:schemeClr w14:val="tx1"/>
            </w14:solidFill>
          </w14:textFill>
        </w:rPr>
        <w:t>十、签订地点</w:t>
      </w:r>
      <w:bookmarkEnd w:id="251"/>
      <w:bookmarkEnd w:id="252"/>
      <w:bookmarkEnd w:id="253"/>
    </w:p>
    <w:p w14:paraId="6800D981">
      <w:pPr>
        <w:spacing w:line="360" w:lineRule="auto"/>
        <w:ind w:firstLine="420" w:firstLineChars="200"/>
        <w:rPr>
          <w:rFonts w:hAnsi="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本合同在</w:t>
      </w:r>
      <w:r>
        <w:rPr>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签订。</w:t>
      </w:r>
    </w:p>
    <w:p w14:paraId="0E759340">
      <w:pPr>
        <w:spacing w:line="360" w:lineRule="auto"/>
        <w:ind w:firstLine="422" w:firstLineChars="200"/>
        <w:outlineLvl w:val="0"/>
        <w:rPr>
          <w:b/>
          <w:bCs/>
          <w:color w:val="000000" w:themeColor="text1"/>
          <w:highlight w:val="none"/>
          <w14:textFill>
            <w14:solidFill>
              <w14:schemeClr w14:val="tx1"/>
            </w14:solidFill>
          </w14:textFill>
        </w:rPr>
      </w:pPr>
      <w:bookmarkStart w:id="254" w:name="_Toc122424030"/>
      <w:bookmarkStart w:id="255" w:name="_Toc122424279"/>
      <w:bookmarkStart w:id="256" w:name="_Toc351203491"/>
      <w:r>
        <w:rPr>
          <w:rFonts w:hint="eastAsia" w:hAnsi="宋体" w:cs="宋体"/>
          <w:b/>
          <w:bCs/>
          <w:color w:val="000000" w:themeColor="text1"/>
          <w:highlight w:val="none"/>
          <w14:textFill>
            <w14:solidFill>
              <w14:schemeClr w14:val="tx1"/>
            </w14:solidFill>
          </w14:textFill>
        </w:rPr>
        <w:t>十一、补充协议</w:t>
      </w:r>
      <w:bookmarkEnd w:id="254"/>
      <w:bookmarkEnd w:id="255"/>
      <w:bookmarkEnd w:id="256"/>
    </w:p>
    <w:p w14:paraId="5E8CEC12">
      <w:pPr>
        <w:spacing w:line="360" w:lineRule="auto"/>
        <w:ind w:firstLine="420" w:firstLineChars="200"/>
        <w:rPr>
          <w:rFonts w:hAnsi="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合同未尽事宜，合同当事人另行签订补充协议，补充协议是合同的组成部分。</w:t>
      </w:r>
    </w:p>
    <w:p w14:paraId="7B220262">
      <w:pPr>
        <w:spacing w:line="360" w:lineRule="auto"/>
        <w:ind w:firstLine="422" w:firstLineChars="200"/>
        <w:outlineLvl w:val="0"/>
        <w:rPr>
          <w:b/>
          <w:bCs/>
          <w:color w:val="000000" w:themeColor="text1"/>
          <w:highlight w:val="none"/>
          <w14:textFill>
            <w14:solidFill>
              <w14:schemeClr w14:val="tx1"/>
            </w14:solidFill>
          </w14:textFill>
        </w:rPr>
      </w:pPr>
      <w:bookmarkStart w:id="257" w:name="_Toc351203492"/>
      <w:bookmarkStart w:id="258" w:name="_Toc122424031"/>
      <w:bookmarkStart w:id="259" w:name="_Toc122424280"/>
      <w:r>
        <w:rPr>
          <w:rFonts w:hint="eastAsia" w:hAnsi="宋体" w:cs="宋体"/>
          <w:b/>
          <w:bCs/>
          <w:color w:val="000000" w:themeColor="text1"/>
          <w:highlight w:val="none"/>
          <w14:textFill>
            <w14:solidFill>
              <w14:schemeClr w14:val="tx1"/>
            </w14:solidFill>
          </w14:textFill>
        </w:rPr>
        <w:t>十二、合同生效</w:t>
      </w:r>
      <w:bookmarkEnd w:id="257"/>
      <w:bookmarkEnd w:id="258"/>
      <w:bookmarkEnd w:id="259"/>
    </w:p>
    <w:p w14:paraId="5DD7BBEF">
      <w:pPr>
        <w:spacing w:line="360" w:lineRule="auto"/>
        <w:ind w:firstLine="420" w:firstLineChars="200"/>
        <w:rPr>
          <w:rFonts w:hAnsi="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本合同自</w:t>
      </w:r>
      <w:r>
        <w:rPr>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生效。</w:t>
      </w:r>
    </w:p>
    <w:p w14:paraId="36A263E3">
      <w:pPr>
        <w:spacing w:line="360" w:lineRule="auto"/>
        <w:ind w:firstLine="422" w:firstLineChars="200"/>
        <w:outlineLvl w:val="0"/>
        <w:rPr>
          <w:b/>
          <w:bCs/>
          <w:color w:val="000000" w:themeColor="text1"/>
          <w:highlight w:val="none"/>
          <w14:textFill>
            <w14:solidFill>
              <w14:schemeClr w14:val="tx1"/>
            </w14:solidFill>
          </w14:textFill>
        </w:rPr>
      </w:pPr>
      <w:bookmarkStart w:id="260" w:name="_Toc351203493"/>
      <w:bookmarkStart w:id="261" w:name="_Toc122424281"/>
      <w:bookmarkStart w:id="262" w:name="_Toc122424032"/>
      <w:r>
        <w:rPr>
          <w:rFonts w:hint="eastAsia" w:hAnsi="宋体" w:cs="宋体"/>
          <w:b/>
          <w:bCs/>
          <w:color w:val="000000" w:themeColor="text1"/>
          <w:highlight w:val="none"/>
          <w14:textFill>
            <w14:solidFill>
              <w14:schemeClr w14:val="tx1"/>
            </w14:solidFill>
          </w14:textFill>
        </w:rPr>
        <w:t>十三、合同份数</w:t>
      </w:r>
      <w:bookmarkEnd w:id="260"/>
      <w:bookmarkEnd w:id="261"/>
      <w:bookmarkEnd w:id="262"/>
    </w:p>
    <w:p w14:paraId="554F151C">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本合同一式伍份，均具有同等法律效力，发包人执叁 份，承包人执 贰份。</w:t>
      </w:r>
    </w:p>
    <w:p w14:paraId="65ED422B">
      <w:pPr>
        <w:spacing w:line="360" w:lineRule="auto"/>
        <w:rPr>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发包人：</w:t>
      </w:r>
      <w:r>
        <w:rPr>
          <w:color w:val="000000" w:themeColor="text1"/>
          <w:highlight w:val="non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w:t>
      </w:r>
      <w:r>
        <w:rPr>
          <w:rFonts w:hint="eastAsia" w:hAnsi="宋体" w:cs="宋体"/>
          <w:color w:val="000000" w:themeColor="text1"/>
          <w:highlight w:val="none"/>
          <w14:textFill>
            <w14:solidFill>
              <w14:schemeClr w14:val="tx1"/>
            </w14:solidFill>
          </w14:textFill>
        </w:rPr>
        <w:t>公章</w:t>
      </w:r>
      <w:r>
        <w:rPr>
          <w:rFonts w:hint="eastAsia"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承包人：</w:t>
      </w:r>
      <w:r>
        <w:rPr>
          <w:color w:val="000000" w:themeColor="text1"/>
          <w:highlight w:val="non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w:t>
      </w:r>
      <w:r>
        <w:rPr>
          <w:rFonts w:hint="eastAsia" w:hAnsi="宋体" w:cs="宋体"/>
          <w:color w:val="000000" w:themeColor="text1"/>
          <w:highlight w:val="none"/>
          <w14:textFill>
            <w14:solidFill>
              <w14:schemeClr w14:val="tx1"/>
            </w14:solidFill>
          </w14:textFill>
        </w:rPr>
        <w:t>公章</w:t>
      </w:r>
      <w:r>
        <w:rPr>
          <w:rFonts w:hint="eastAsia" w:cs="宋体"/>
          <w:color w:val="000000" w:themeColor="text1"/>
          <w:highlight w:val="none"/>
          <w14:textFill>
            <w14:solidFill>
              <w14:schemeClr w14:val="tx1"/>
            </w14:solidFill>
          </w14:textFill>
        </w:rPr>
        <w:t>）</w:t>
      </w:r>
    </w:p>
    <w:p w14:paraId="7C8595B4">
      <w:pPr>
        <w:spacing w:line="360" w:lineRule="auto"/>
        <w:rPr>
          <w:color w:val="000000" w:themeColor="text1"/>
          <w:highlight w:val="none"/>
          <w:u w:val="single"/>
          <w14:textFill>
            <w14:solidFill>
              <w14:schemeClr w14:val="tx1"/>
            </w14:solidFill>
          </w14:textFill>
        </w:rPr>
      </w:pPr>
      <w:r>
        <w:rPr>
          <w:color w:val="000000" w:themeColor="text1"/>
          <w:highlight w:val="none"/>
          <w14:textFill>
            <w14:solidFill>
              <w14:schemeClr w14:val="tx1"/>
            </w14:solidFill>
          </w14:textFill>
        </w:rPr>
        <w:t xml:space="preserve">                                 </w:t>
      </w:r>
    </w:p>
    <w:p w14:paraId="55520E23">
      <w:pPr>
        <w:spacing w:line="360" w:lineRule="auto"/>
        <w:rPr>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法定代表人或其委托代理人：</w:t>
      </w:r>
      <w:r>
        <w:rPr>
          <w:color w:val="000000" w:themeColor="text1"/>
          <w:highlight w:val="non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法定代表人或其委托代理人：</w:t>
      </w:r>
    </w:p>
    <w:p w14:paraId="3734AB4B">
      <w:pPr>
        <w:spacing w:line="360" w:lineRule="auto"/>
        <w:rPr>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（签字）</w:t>
      </w:r>
      <w:r>
        <w:rPr>
          <w:color w:val="000000" w:themeColor="text1"/>
          <w:highlight w:val="non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（签字）</w:t>
      </w:r>
    </w:p>
    <w:p w14:paraId="548002FD">
      <w:pPr>
        <w:spacing w:line="360" w:lineRule="auto"/>
        <w:rPr>
          <w:color w:val="000000" w:themeColor="text1"/>
          <w:highlight w:val="none"/>
          <w:u w:val="single"/>
          <w14:textFill>
            <w14:solidFill>
              <w14:schemeClr w14:val="tx1"/>
            </w14:solidFill>
          </w14:textFill>
        </w:rPr>
      </w:pPr>
    </w:p>
    <w:p w14:paraId="7F92A31C">
      <w:pPr>
        <w:tabs>
          <w:tab w:val="left" w:pos="4410"/>
        </w:tabs>
        <w:spacing w:line="360" w:lineRule="auto"/>
        <w:rPr>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统一社会信用代码：</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统一</w:t>
      </w:r>
      <w:r>
        <w:rPr>
          <w:rFonts w:hint="eastAsia" w:hAnsi="宋体" w:cs="宋体"/>
          <w:color w:val="000000" w:themeColor="text1"/>
          <w:highlight w:val="none"/>
          <w14:textFill>
            <w14:solidFill>
              <w14:schemeClr w14:val="tx1"/>
            </w14:solidFill>
          </w14:textFill>
        </w:rPr>
        <w:t>社会信用代码：</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p>
    <w:p w14:paraId="00A3CE16">
      <w:pPr>
        <w:spacing w:line="360" w:lineRule="auto"/>
        <w:rPr>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地</w:t>
      </w:r>
      <w:r>
        <w:rPr>
          <w:color w:val="000000" w:themeColor="text1"/>
          <w:highlight w:val="non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址：</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地</w:t>
      </w:r>
      <w:r>
        <w:rPr>
          <w:color w:val="000000" w:themeColor="text1"/>
          <w:highlight w:val="non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址：</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p>
    <w:p w14:paraId="74B51456">
      <w:pPr>
        <w:spacing w:line="360" w:lineRule="auto"/>
        <w:rPr>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邮政编码：</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邮政编码：</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p>
    <w:p w14:paraId="1BE2F872">
      <w:pPr>
        <w:spacing w:line="360" w:lineRule="auto"/>
        <w:rPr>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法定代表人：</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法定代表人：</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p>
    <w:p w14:paraId="4F2EF3E7">
      <w:pPr>
        <w:spacing w:line="360" w:lineRule="auto"/>
        <w:rPr>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委托代理人：</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委托代理人：</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p>
    <w:p w14:paraId="30F70F21">
      <w:pPr>
        <w:spacing w:line="360" w:lineRule="auto"/>
        <w:rPr>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电</w:t>
      </w:r>
      <w:r>
        <w:rPr>
          <w:color w:val="000000" w:themeColor="text1"/>
          <w:highlight w:val="non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话：</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电</w:t>
      </w:r>
      <w:r>
        <w:rPr>
          <w:color w:val="000000" w:themeColor="text1"/>
          <w:highlight w:val="non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话：</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p>
    <w:p w14:paraId="7197C303">
      <w:pPr>
        <w:spacing w:line="360" w:lineRule="auto"/>
        <w:rPr>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传</w:t>
      </w:r>
      <w:r>
        <w:rPr>
          <w:color w:val="000000" w:themeColor="text1"/>
          <w:highlight w:val="non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真：</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传</w:t>
      </w:r>
      <w:r>
        <w:rPr>
          <w:color w:val="000000" w:themeColor="text1"/>
          <w:highlight w:val="non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真：</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p>
    <w:p w14:paraId="1E65DAAA">
      <w:pPr>
        <w:spacing w:line="360" w:lineRule="auto"/>
        <w:rPr>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电子信箱：</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电子信箱：</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p>
    <w:p w14:paraId="10529C7A">
      <w:pPr>
        <w:spacing w:line="360" w:lineRule="auto"/>
        <w:rPr>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开户银行：</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开户银行：</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p>
    <w:p w14:paraId="55D1F562">
      <w:pPr>
        <w:rPr>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账</w:t>
      </w:r>
      <w:r>
        <w:rPr>
          <w:color w:val="000000" w:themeColor="text1"/>
          <w:highlight w:val="non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号：</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账</w:t>
      </w:r>
      <w:r>
        <w:rPr>
          <w:color w:val="000000" w:themeColor="text1"/>
          <w:highlight w:val="non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号：</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p>
    <w:p w14:paraId="08F0661E">
      <w:pPr>
        <w:pStyle w:val="2"/>
        <w:jc w:val="center"/>
        <w:rPr>
          <w:color w:val="000000" w:themeColor="text1"/>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br w:type="page"/>
      </w:r>
      <w:bookmarkStart w:id="263" w:name="_Toc86847323"/>
      <w:bookmarkStart w:id="264" w:name="_Toc122424033"/>
      <w:bookmarkStart w:id="265" w:name="_Toc407135192"/>
      <w:bookmarkStart w:id="266" w:name="_Toc1714491818"/>
      <w:bookmarkStart w:id="267" w:name="_Toc122424282"/>
      <w:bookmarkStart w:id="268" w:name="_Toc389065256"/>
      <w:bookmarkStart w:id="269" w:name="_Toc78449778"/>
      <w:bookmarkStart w:id="270" w:name="_Toc373227691"/>
      <w:bookmarkStart w:id="271" w:name="_Toc373478338"/>
      <w:bookmarkStart w:id="272" w:name="_Toc351203632"/>
      <w:r>
        <w:rPr>
          <w:rFonts w:hint="eastAsia" w:cs="黑体"/>
          <w:color w:val="000000" w:themeColor="text1"/>
          <w:highlight w:val="none"/>
          <w14:textFill>
            <w14:solidFill>
              <w14:schemeClr w14:val="tx1"/>
            </w14:solidFill>
          </w14:textFill>
        </w:rPr>
        <w:t>第二部分</w:t>
      </w:r>
      <w:r>
        <w:rPr>
          <w:color w:val="000000" w:themeColor="text1"/>
          <w:highlight w:val="none"/>
          <w14:textFill>
            <w14:solidFill>
              <w14:schemeClr w14:val="tx1"/>
            </w14:solidFill>
          </w14:textFill>
        </w:rPr>
        <w:t xml:space="preserve"> </w:t>
      </w:r>
      <w:r>
        <w:rPr>
          <w:rFonts w:hint="eastAsia" w:cs="黑体"/>
          <w:color w:val="000000" w:themeColor="text1"/>
          <w:highlight w:val="none"/>
          <w14:textFill>
            <w14:solidFill>
              <w14:schemeClr w14:val="tx1"/>
            </w14:solidFill>
          </w14:textFill>
        </w:rPr>
        <w:t>通用合同条款</w:t>
      </w:r>
      <w:bookmarkEnd w:id="263"/>
      <w:bookmarkEnd w:id="264"/>
      <w:bookmarkEnd w:id="265"/>
      <w:bookmarkEnd w:id="266"/>
      <w:bookmarkEnd w:id="267"/>
      <w:bookmarkEnd w:id="268"/>
      <w:bookmarkEnd w:id="269"/>
    </w:p>
    <w:p w14:paraId="59DEAA16">
      <w:pPr>
        <w:spacing w:line="360" w:lineRule="auto"/>
        <w:ind w:firstLine="420" w:firstLineChars="200"/>
        <w:rPr>
          <w:rFonts w:hAnsi="宋体"/>
          <w:color w:val="000000" w:themeColor="text1"/>
          <w:kern w:val="0"/>
          <w:highlight w:val="none"/>
          <w14:textFill>
            <w14:solidFill>
              <w14:schemeClr w14:val="tx1"/>
            </w14:solidFill>
          </w14:textFill>
        </w:rPr>
      </w:pPr>
    </w:p>
    <w:p w14:paraId="26721A4F">
      <w:pPr>
        <w:spacing w:line="360" w:lineRule="auto"/>
        <w:ind w:firstLine="422" w:firstLineChars="200"/>
        <w:rPr>
          <w:rFonts w:hAnsi="宋体"/>
          <w:b/>
          <w:bCs/>
          <w:color w:val="000000" w:themeColor="text1"/>
          <w:kern w:val="0"/>
          <w:highlight w:val="none"/>
          <w14:textFill>
            <w14:solidFill>
              <w14:schemeClr w14:val="tx1"/>
            </w14:solidFill>
          </w14:textFill>
        </w:rPr>
      </w:pPr>
      <w:r>
        <w:rPr>
          <w:rFonts w:hint="eastAsia" w:hAnsi="宋体" w:cs="宋体"/>
          <w:b/>
          <w:bCs/>
          <w:color w:val="000000" w:themeColor="text1"/>
          <w:kern w:val="0"/>
          <w:highlight w:val="none"/>
          <w14:textFill>
            <w14:solidFill>
              <w14:schemeClr w14:val="tx1"/>
            </w14:solidFill>
          </w14:textFill>
        </w:rPr>
        <w:t>采用《建设工程施工合同（示范文本）》（</w:t>
      </w:r>
      <w:r>
        <w:rPr>
          <w:rFonts w:hAnsi="宋体"/>
          <w:b/>
          <w:bCs/>
          <w:color w:val="000000" w:themeColor="text1"/>
          <w:kern w:val="0"/>
          <w:highlight w:val="none"/>
          <w14:textFill>
            <w14:solidFill>
              <w14:schemeClr w14:val="tx1"/>
            </w14:solidFill>
          </w14:textFill>
        </w:rPr>
        <w:t>GF</w:t>
      </w:r>
      <w:r>
        <w:rPr>
          <w:rFonts w:hAnsi="宋体" w:cs="宋体"/>
          <w:b/>
          <w:bCs/>
          <w:color w:val="000000" w:themeColor="text1"/>
          <w:kern w:val="0"/>
          <w:highlight w:val="none"/>
          <w14:textFill>
            <w14:solidFill>
              <w14:schemeClr w14:val="tx1"/>
            </w14:solidFill>
          </w14:textFill>
        </w:rPr>
        <w:t>—</w:t>
      </w:r>
      <w:r>
        <w:rPr>
          <w:rFonts w:hAnsi="宋体"/>
          <w:b/>
          <w:bCs/>
          <w:color w:val="000000" w:themeColor="text1"/>
          <w:kern w:val="0"/>
          <w:highlight w:val="none"/>
          <w14:textFill>
            <w14:solidFill>
              <w14:schemeClr w14:val="tx1"/>
            </w14:solidFill>
          </w14:textFill>
        </w:rPr>
        <w:t>201</w:t>
      </w:r>
      <w:r>
        <w:rPr>
          <w:rFonts w:hint="eastAsia" w:hAnsi="宋体"/>
          <w:b/>
          <w:bCs/>
          <w:color w:val="000000" w:themeColor="text1"/>
          <w:kern w:val="0"/>
          <w:highlight w:val="none"/>
          <w14:textFill>
            <w14:solidFill>
              <w14:schemeClr w14:val="tx1"/>
            </w14:solidFill>
          </w14:textFill>
        </w:rPr>
        <w:t>7</w:t>
      </w:r>
      <w:r>
        <w:rPr>
          <w:rFonts w:hAnsi="宋体" w:cs="宋体"/>
          <w:b/>
          <w:bCs/>
          <w:color w:val="000000" w:themeColor="text1"/>
          <w:kern w:val="0"/>
          <w:highlight w:val="none"/>
          <w14:textFill>
            <w14:solidFill>
              <w14:schemeClr w14:val="tx1"/>
            </w14:solidFill>
          </w14:textFill>
        </w:rPr>
        <w:t>—</w:t>
      </w:r>
      <w:r>
        <w:rPr>
          <w:rFonts w:hAnsi="宋体"/>
          <w:b/>
          <w:bCs/>
          <w:color w:val="000000" w:themeColor="text1"/>
          <w:kern w:val="0"/>
          <w:highlight w:val="none"/>
          <w14:textFill>
            <w14:solidFill>
              <w14:schemeClr w14:val="tx1"/>
            </w14:solidFill>
          </w14:textFill>
        </w:rPr>
        <w:t>0201</w:t>
      </w:r>
      <w:r>
        <w:rPr>
          <w:rFonts w:hint="eastAsia" w:hAnsi="宋体" w:cs="宋体"/>
          <w:b/>
          <w:bCs/>
          <w:color w:val="000000" w:themeColor="text1"/>
          <w:kern w:val="0"/>
          <w:highlight w:val="none"/>
          <w14:textFill>
            <w14:solidFill>
              <w14:schemeClr w14:val="tx1"/>
            </w14:solidFill>
          </w14:textFill>
        </w:rPr>
        <w:t>）。</w:t>
      </w:r>
    </w:p>
    <w:p w14:paraId="5C318C21">
      <w:pPr>
        <w:pStyle w:val="2"/>
        <w:keepNext w:val="0"/>
        <w:keepLines w:val="0"/>
        <w:jc w:val="center"/>
        <w:rPr>
          <w:rFonts w:hAnsi="宋体"/>
          <w:color w:val="000000" w:themeColor="text1"/>
          <w:sz w:val="30"/>
          <w:szCs w:val="30"/>
          <w:highlight w:val="none"/>
          <w14:textFill>
            <w14:solidFill>
              <w14:schemeClr w14:val="tx1"/>
            </w14:solidFill>
          </w14:textFill>
        </w:rPr>
      </w:pPr>
      <w:bookmarkStart w:id="273" w:name="_Toc704444909"/>
      <w:bookmarkStart w:id="274" w:name="_Toc389065257"/>
      <w:bookmarkStart w:id="275" w:name="_Toc122424283"/>
      <w:bookmarkStart w:id="276" w:name="_Toc407135193"/>
      <w:bookmarkStart w:id="277" w:name="_Toc78449779"/>
      <w:bookmarkStart w:id="278" w:name="_Toc122424034"/>
      <w:bookmarkStart w:id="279" w:name="_Toc1204138598"/>
      <w:r>
        <w:rPr>
          <w:rFonts w:hint="eastAsia" w:hAnsi="宋体" w:cs="黑体"/>
          <w:color w:val="000000" w:themeColor="text1"/>
          <w:sz w:val="30"/>
          <w:szCs w:val="30"/>
          <w:highlight w:val="none"/>
          <w14:textFill>
            <w14:solidFill>
              <w14:schemeClr w14:val="tx1"/>
            </w14:solidFill>
          </w14:textFill>
        </w:rPr>
        <w:t>第三部分</w:t>
      </w:r>
      <w:r>
        <w:rPr>
          <w:color w:val="000000" w:themeColor="text1"/>
          <w:sz w:val="30"/>
          <w:szCs w:val="30"/>
          <w:highlight w:val="none"/>
          <w14:textFill>
            <w14:solidFill>
              <w14:schemeClr w14:val="tx1"/>
            </w14:solidFill>
          </w14:textFill>
        </w:rPr>
        <w:t xml:space="preserve"> </w:t>
      </w:r>
      <w:r>
        <w:rPr>
          <w:rFonts w:hint="eastAsia" w:hAnsi="宋体" w:cs="黑体"/>
          <w:color w:val="000000" w:themeColor="text1"/>
          <w:sz w:val="30"/>
          <w:szCs w:val="30"/>
          <w:highlight w:val="none"/>
          <w14:textFill>
            <w14:solidFill>
              <w14:schemeClr w14:val="tx1"/>
            </w14:solidFill>
          </w14:textFill>
        </w:rPr>
        <w:t>专用合同条款</w:t>
      </w:r>
      <w:bookmarkEnd w:id="270"/>
      <w:bookmarkEnd w:id="271"/>
      <w:bookmarkEnd w:id="272"/>
      <w:bookmarkEnd w:id="273"/>
      <w:bookmarkEnd w:id="274"/>
      <w:bookmarkEnd w:id="275"/>
      <w:bookmarkEnd w:id="276"/>
      <w:bookmarkEnd w:id="277"/>
      <w:bookmarkEnd w:id="278"/>
      <w:bookmarkEnd w:id="279"/>
    </w:p>
    <w:p w14:paraId="17A360AC">
      <w:pPr>
        <w:keepNext/>
        <w:keepLines/>
        <w:widowControl/>
        <w:spacing w:before="120" w:after="120" w:line="440" w:lineRule="exact"/>
        <w:ind w:firstLine="413" w:firstLineChars="196"/>
        <w:outlineLvl w:val="3"/>
        <w:rPr>
          <w:rFonts w:ascii="宋体" w:hAnsi="宋体" w:eastAsia="黑体"/>
          <w:b/>
          <w:color w:val="000000" w:themeColor="text1"/>
          <w:kern w:val="0"/>
          <w:sz w:val="28"/>
          <w:szCs w:val="21"/>
          <w:highlight w:val="none"/>
          <w14:textFill>
            <w14:solidFill>
              <w14:schemeClr w14:val="tx1"/>
            </w14:solidFill>
          </w14:textFill>
        </w:rPr>
      </w:pPr>
      <w:bookmarkStart w:id="280" w:name="_Toc351203633"/>
      <w:r>
        <w:rPr>
          <w:rFonts w:ascii="宋体" w:hAnsi="宋体"/>
          <w:b/>
          <w:color w:val="000000" w:themeColor="text1"/>
          <w:kern w:val="0"/>
          <w:szCs w:val="21"/>
          <w:highlight w:val="none"/>
          <w14:textFill>
            <w14:solidFill>
              <w14:schemeClr w14:val="tx1"/>
            </w14:solidFill>
          </w14:textFill>
        </w:rPr>
        <w:t>1</w:t>
      </w:r>
      <w:bookmarkStart w:id="281" w:name="_Toc292559361"/>
      <w:bookmarkStart w:id="282" w:name="_Toc296347155"/>
      <w:bookmarkStart w:id="283" w:name="_Toc296891196"/>
      <w:bookmarkStart w:id="284" w:name="_Toc296890984"/>
      <w:bookmarkStart w:id="285" w:name="_Toc297120456"/>
      <w:bookmarkStart w:id="286" w:name="_Toc296944495"/>
      <w:bookmarkStart w:id="287" w:name="_Toc296346657"/>
      <w:bookmarkStart w:id="288" w:name="_Toc292559866"/>
      <w:bookmarkStart w:id="289" w:name="_Toc296503156"/>
      <w:bookmarkStart w:id="290" w:name="_Toc297048342"/>
      <w:r>
        <w:rPr>
          <w:rFonts w:ascii="宋体" w:hAnsi="宋体"/>
          <w:b/>
          <w:color w:val="000000" w:themeColor="text1"/>
          <w:kern w:val="0"/>
          <w:szCs w:val="21"/>
          <w:highlight w:val="none"/>
          <w14:textFill>
            <w14:solidFill>
              <w14:schemeClr w14:val="tx1"/>
            </w14:solidFill>
          </w14:textFill>
        </w:rPr>
        <w:t>. 一般约定</w:t>
      </w:r>
      <w:bookmarkEnd w:id="280"/>
      <w:bookmarkEnd w:id="281"/>
      <w:bookmarkEnd w:id="282"/>
      <w:bookmarkEnd w:id="283"/>
      <w:bookmarkEnd w:id="284"/>
      <w:bookmarkEnd w:id="285"/>
      <w:bookmarkEnd w:id="286"/>
      <w:bookmarkEnd w:id="287"/>
      <w:bookmarkEnd w:id="288"/>
      <w:bookmarkEnd w:id="289"/>
      <w:bookmarkEnd w:id="290"/>
    </w:p>
    <w:p w14:paraId="428B73A1">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1.1 词语定义</w:t>
      </w:r>
    </w:p>
    <w:p w14:paraId="739C0B4C">
      <w:pPr>
        <w:spacing w:line="440" w:lineRule="exact"/>
        <w:ind w:firstLine="420" w:firstLineChars="200"/>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1.1.1合同</w:t>
      </w:r>
    </w:p>
    <w:p w14:paraId="51C8EEF3">
      <w:pPr>
        <w:spacing w:line="440" w:lineRule="exact"/>
        <w:ind w:firstLine="420" w:firstLineChars="200"/>
        <w:rPr>
          <w:rFonts w:ascii="宋体" w:hAnsi="宋体"/>
          <w:color w:val="000000" w:themeColor="text1"/>
          <w:kern w:val="0"/>
          <w:szCs w:val="21"/>
          <w:highlight w:val="none"/>
          <w:u w:val="singl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1.1.1.</w:t>
      </w:r>
      <w:r>
        <w:rPr>
          <w:rFonts w:hint="eastAsia" w:ascii="宋体" w:hAnsi="宋体"/>
          <w:color w:val="000000" w:themeColor="text1"/>
          <w:kern w:val="0"/>
          <w:szCs w:val="21"/>
          <w:highlight w:val="none"/>
          <w14:textFill>
            <w14:solidFill>
              <w14:schemeClr w14:val="tx1"/>
            </w14:solidFill>
          </w14:textFill>
        </w:rPr>
        <w:t>1</w:t>
      </w:r>
      <w:r>
        <w:rPr>
          <w:rFonts w:ascii="宋体" w:hAnsi="宋体"/>
          <w:color w:val="000000" w:themeColor="text1"/>
          <w:kern w:val="0"/>
          <w:szCs w:val="21"/>
          <w:highlight w:val="none"/>
          <w14:textFill>
            <w14:solidFill>
              <w14:schemeClr w14:val="tx1"/>
            </w14:solidFill>
          </w14:textFill>
        </w:rPr>
        <w:t>其他合同文件包括：</w:t>
      </w:r>
      <w:r>
        <w:rPr>
          <w:rFonts w:hint="eastAsia" w:ascii="宋体" w:hAnsi="宋体"/>
          <w:color w:val="000000" w:themeColor="text1"/>
          <w:kern w:val="0"/>
          <w:szCs w:val="21"/>
          <w:highlight w:val="none"/>
          <w:u w:val="single"/>
          <w14:textFill>
            <w14:solidFill>
              <w14:schemeClr w14:val="tx1"/>
            </w14:solidFill>
          </w14:textFill>
        </w:rPr>
        <w:t>指合同书、成交通知书、竞标函及竞标函附录、专用合同条款、通用合同条款、规范、技术标准和要求、图纸、已标价工程量清单及工程量清单使用说明，以及双方共同确认的其他合同文件(包括但不限于在履行本合同过程中双方书面确认的会议纪要、签证、设计变更等资料)</w:t>
      </w:r>
      <w:r>
        <w:rPr>
          <w:rFonts w:ascii="宋体" w:hAnsi="宋体"/>
          <w:color w:val="000000" w:themeColor="text1"/>
          <w:szCs w:val="21"/>
          <w:highlight w:val="none"/>
          <w:u w:val="single"/>
          <w14:textFill>
            <w14:solidFill>
              <w14:schemeClr w14:val="tx1"/>
            </w14:solidFill>
          </w14:textFill>
        </w:rPr>
        <w:t>。</w:t>
      </w:r>
    </w:p>
    <w:p w14:paraId="1A6B3BE6">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1.1.2 合同当事人及其他相关方</w:t>
      </w:r>
    </w:p>
    <w:p w14:paraId="117945DE">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1.1.2.</w:t>
      </w: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监理人：</w:t>
      </w:r>
    </w:p>
    <w:p w14:paraId="673D752A">
      <w:pPr>
        <w:spacing w:line="440" w:lineRule="exact"/>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ascii="宋体" w:hAnsi="宋体"/>
          <w:color w:val="000000" w:themeColor="text1"/>
          <w:szCs w:val="21"/>
          <w:highlight w:val="none"/>
          <w14:textFill>
            <w14:solidFill>
              <w14:schemeClr w14:val="tx1"/>
            </w14:solidFill>
          </w14:textFill>
        </w:rPr>
        <w:t>名    称：</w:t>
      </w:r>
      <w:r>
        <w:rPr>
          <w:rFonts w:hint="eastAsia" w:ascii="宋体" w:hAnsi="宋体"/>
          <w:color w:val="000000" w:themeColor="text1"/>
          <w:szCs w:val="21"/>
          <w:highlight w:val="none"/>
          <w:lang w:eastAsia="zh-CN"/>
          <w14:textFill>
            <w14:solidFill>
              <w14:schemeClr w14:val="tx1"/>
            </w14:solidFill>
          </w14:textFill>
        </w:rPr>
        <w:t>；</w:t>
      </w:r>
    </w:p>
    <w:p w14:paraId="17512434">
      <w:pPr>
        <w:spacing w:line="440" w:lineRule="exact"/>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ascii="宋体" w:hAnsi="宋体"/>
          <w:color w:val="000000" w:themeColor="text1"/>
          <w:szCs w:val="21"/>
          <w:highlight w:val="none"/>
          <w14:textFill>
            <w14:solidFill>
              <w14:schemeClr w14:val="tx1"/>
            </w14:solidFill>
          </w14:textFill>
        </w:rPr>
        <w:t>资质类别和等级：</w:t>
      </w:r>
      <w:r>
        <w:rPr>
          <w:rFonts w:hint="eastAsia" w:ascii="宋体" w:hAnsi="宋体"/>
          <w:color w:val="000000" w:themeColor="text1"/>
          <w:szCs w:val="21"/>
          <w:highlight w:val="none"/>
          <w:lang w:eastAsia="zh-CN"/>
          <w14:textFill>
            <w14:solidFill>
              <w14:schemeClr w14:val="tx1"/>
            </w14:solidFill>
          </w14:textFill>
        </w:rPr>
        <w:t>；</w:t>
      </w:r>
    </w:p>
    <w:p w14:paraId="6C84331D">
      <w:pPr>
        <w:spacing w:line="440" w:lineRule="exact"/>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ascii="宋体" w:hAnsi="宋体"/>
          <w:color w:val="000000" w:themeColor="text1"/>
          <w:szCs w:val="21"/>
          <w:highlight w:val="none"/>
          <w14:textFill>
            <w14:solidFill>
              <w14:schemeClr w14:val="tx1"/>
            </w14:solidFill>
          </w14:textFill>
        </w:rPr>
        <w:t>联系电话：</w:t>
      </w:r>
      <w:r>
        <w:rPr>
          <w:rFonts w:hint="eastAsia" w:ascii="宋体" w:hAnsi="宋体"/>
          <w:color w:val="000000" w:themeColor="text1"/>
          <w:szCs w:val="21"/>
          <w:highlight w:val="none"/>
          <w:lang w:eastAsia="zh-CN"/>
          <w14:textFill>
            <w14:solidFill>
              <w14:schemeClr w14:val="tx1"/>
            </w14:solidFill>
          </w14:textFill>
        </w:rPr>
        <w:t>；</w:t>
      </w:r>
    </w:p>
    <w:p w14:paraId="648758AB">
      <w:pPr>
        <w:spacing w:line="440" w:lineRule="exact"/>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ascii="宋体" w:hAnsi="宋体"/>
          <w:color w:val="000000" w:themeColor="text1"/>
          <w:szCs w:val="21"/>
          <w:highlight w:val="none"/>
          <w14:textFill>
            <w14:solidFill>
              <w14:schemeClr w14:val="tx1"/>
            </w14:solidFill>
          </w14:textFill>
        </w:rPr>
        <w:t>电子信箱：</w:t>
      </w:r>
      <w:r>
        <w:rPr>
          <w:rFonts w:hint="eastAsia" w:ascii="宋体" w:hAnsi="宋体"/>
          <w:color w:val="000000" w:themeColor="text1"/>
          <w:szCs w:val="21"/>
          <w:highlight w:val="none"/>
          <w:lang w:eastAsia="zh-CN"/>
          <w14:textFill>
            <w14:solidFill>
              <w14:schemeClr w14:val="tx1"/>
            </w14:solidFill>
          </w14:textFill>
        </w:rPr>
        <w:t>；</w:t>
      </w:r>
    </w:p>
    <w:p w14:paraId="22BCD86D">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通信地址：。</w:t>
      </w:r>
    </w:p>
    <w:p w14:paraId="74FDDB3A">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1.1.2.</w:t>
      </w: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 xml:space="preserve"> 设计人：</w:t>
      </w:r>
    </w:p>
    <w:p w14:paraId="2BFDDD94">
      <w:pPr>
        <w:spacing w:line="440" w:lineRule="exact"/>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ascii="宋体" w:hAnsi="宋体"/>
          <w:color w:val="000000" w:themeColor="text1"/>
          <w:szCs w:val="21"/>
          <w:highlight w:val="none"/>
          <w14:textFill>
            <w14:solidFill>
              <w14:schemeClr w14:val="tx1"/>
            </w14:solidFill>
          </w14:textFill>
        </w:rPr>
        <w:t>名    称：</w:t>
      </w:r>
      <w:r>
        <w:rPr>
          <w:rFonts w:hint="eastAsia" w:ascii="宋体" w:hAnsi="宋体"/>
          <w:color w:val="000000" w:themeColor="text1"/>
          <w:szCs w:val="21"/>
          <w:highlight w:val="none"/>
          <w:lang w:eastAsia="zh-CN"/>
          <w14:textFill>
            <w14:solidFill>
              <w14:schemeClr w14:val="tx1"/>
            </w14:solidFill>
          </w14:textFill>
        </w:rPr>
        <w:t>；</w:t>
      </w:r>
    </w:p>
    <w:p w14:paraId="2BDE60D7">
      <w:pPr>
        <w:spacing w:line="440" w:lineRule="exact"/>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ascii="宋体" w:hAnsi="宋体"/>
          <w:color w:val="000000" w:themeColor="text1"/>
          <w:szCs w:val="21"/>
          <w:highlight w:val="none"/>
          <w14:textFill>
            <w14:solidFill>
              <w14:schemeClr w14:val="tx1"/>
            </w14:solidFill>
          </w14:textFill>
        </w:rPr>
        <w:t>资质类别和等级：</w:t>
      </w:r>
      <w:r>
        <w:rPr>
          <w:rFonts w:hint="eastAsia" w:ascii="宋体" w:hAnsi="宋体"/>
          <w:color w:val="000000" w:themeColor="text1"/>
          <w:szCs w:val="21"/>
          <w:highlight w:val="none"/>
          <w:lang w:eastAsia="zh-CN"/>
          <w14:textFill>
            <w14:solidFill>
              <w14:schemeClr w14:val="tx1"/>
            </w14:solidFill>
          </w14:textFill>
        </w:rPr>
        <w:t>；</w:t>
      </w:r>
    </w:p>
    <w:p w14:paraId="25FA933D">
      <w:pPr>
        <w:spacing w:line="440" w:lineRule="exact"/>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ascii="宋体" w:hAnsi="宋体"/>
          <w:color w:val="000000" w:themeColor="text1"/>
          <w:szCs w:val="21"/>
          <w:highlight w:val="none"/>
          <w14:textFill>
            <w14:solidFill>
              <w14:schemeClr w14:val="tx1"/>
            </w14:solidFill>
          </w14:textFill>
        </w:rPr>
        <w:t>联系电话：</w:t>
      </w:r>
      <w:r>
        <w:rPr>
          <w:rFonts w:hint="eastAsia" w:ascii="宋体" w:hAnsi="宋体"/>
          <w:color w:val="000000" w:themeColor="text1"/>
          <w:szCs w:val="21"/>
          <w:highlight w:val="none"/>
          <w:lang w:eastAsia="zh-CN"/>
          <w14:textFill>
            <w14:solidFill>
              <w14:schemeClr w14:val="tx1"/>
            </w14:solidFill>
          </w14:textFill>
        </w:rPr>
        <w:t>；</w:t>
      </w:r>
    </w:p>
    <w:p w14:paraId="476CF3BF">
      <w:pPr>
        <w:spacing w:line="440" w:lineRule="exact"/>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ascii="宋体" w:hAnsi="宋体"/>
          <w:color w:val="000000" w:themeColor="text1"/>
          <w:szCs w:val="21"/>
          <w:highlight w:val="none"/>
          <w14:textFill>
            <w14:solidFill>
              <w14:schemeClr w14:val="tx1"/>
            </w14:solidFill>
          </w14:textFill>
        </w:rPr>
        <w:t>电子信箱：</w:t>
      </w:r>
      <w:r>
        <w:rPr>
          <w:rFonts w:hint="eastAsia" w:ascii="宋体" w:hAnsi="宋体"/>
          <w:color w:val="000000" w:themeColor="text1"/>
          <w:szCs w:val="21"/>
          <w:highlight w:val="none"/>
          <w:lang w:eastAsia="zh-CN"/>
          <w14:textFill>
            <w14:solidFill>
              <w14:schemeClr w14:val="tx1"/>
            </w14:solidFill>
          </w14:textFill>
        </w:rPr>
        <w:t>；</w:t>
      </w:r>
    </w:p>
    <w:p w14:paraId="33B10AD3">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通信地址：。</w:t>
      </w:r>
    </w:p>
    <w:p w14:paraId="559100F0">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1.1.3 工程和设备</w:t>
      </w:r>
    </w:p>
    <w:p w14:paraId="01FA7835">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1.1.3.</w:t>
      </w: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作为施工现场组成部分的其他场所包括：</w:t>
      </w:r>
      <w:r>
        <w:rPr>
          <w:rFonts w:hint="eastAsia" w:hAnsi="宋体"/>
          <w:color w:val="000000" w:themeColor="text1"/>
          <w:szCs w:val="21"/>
          <w:highlight w:val="none"/>
          <w:u w:val="single"/>
          <w14:textFill>
            <w14:solidFill>
              <w14:schemeClr w14:val="tx1"/>
            </w14:solidFill>
          </w14:textFill>
        </w:rPr>
        <w:t xml:space="preserve">无  </w:t>
      </w:r>
      <w:r>
        <w:rPr>
          <w:rFonts w:ascii="宋体" w:hAnsi="宋体"/>
          <w:color w:val="000000" w:themeColor="text1"/>
          <w:szCs w:val="21"/>
          <w:highlight w:val="none"/>
          <w14:textFill>
            <w14:solidFill>
              <w14:schemeClr w14:val="tx1"/>
            </w14:solidFill>
          </w14:textFill>
        </w:rPr>
        <w:t>。</w:t>
      </w:r>
    </w:p>
    <w:p w14:paraId="45ABC66B">
      <w:pPr>
        <w:spacing w:line="400" w:lineRule="exact"/>
        <w:ind w:firstLine="424" w:firstLineChars="202"/>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1.1.3.9  永久占地包括：</w:t>
      </w:r>
      <w:r>
        <w:rPr>
          <w:rFonts w:hint="eastAsia" w:ascii="宋体" w:hAnsi="宋体"/>
          <w:color w:val="000000" w:themeColor="text1"/>
          <w:szCs w:val="21"/>
          <w:highlight w:val="none"/>
          <w:u w:val="single"/>
          <w14:textFill>
            <w14:solidFill>
              <w14:schemeClr w14:val="tx1"/>
            </w14:solidFill>
          </w14:textFill>
        </w:rPr>
        <w:t>实施工程需永久占用的土地</w:t>
      </w:r>
      <w:r>
        <w:rPr>
          <w:rFonts w:hint="eastAsia" w:ascii="宋体" w:hAnsi="宋体"/>
          <w:color w:val="000000" w:themeColor="text1"/>
          <w:kern w:val="0"/>
          <w:szCs w:val="21"/>
          <w:highlight w:val="none"/>
          <w14:textFill>
            <w14:solidFill>
              <w14:schemeClr w14:val="tx1"/>
            </w14:solidFill>
          </w14:textFill>
        </w:rPr>
        <w:t>。</w:t>
      </w:r>
    </w:p>
    <w:p w14:paraId="7F8B6D89">
      <w:pPr>
        <w:spacing w:line="400" w:lineRule="exact"/>
        <w:ind w:firstLine="424" w:firstLineChars="202"/>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1.1.3.10 临时占地包括：</w:t>
      </w:r>
      <w:r>
        <w:rPr>
          <w:rFonts w:hint="eastAsia" w:ascii="宋体" w:hAnsi="宋体"/>
          <w:color w:val="000000" w:themeColor="text1"/>
          <w:szCs w:val="21"/>
          <w:highlight w:val="none"/>
          <w:u w:val="single"/>
          <w14:textFill>
            <w14:solidFill>
              <w14:schemeClr w14:val="tx1"/>
            </w14:solidFill>
          </w14:textFill>
        </w:rPr>
        <w:t>实施工程需要临时占用的土地</w:t>
      </w:r>
      <w:r>
        <w:rPr>
          <w:rFonts w:hint="eastAsia" w:ascii="宋体" w:hAnsi="宋体"/>
          <w:color w:val="000000" w:themeColor="text1"/>
          <w:kern w:val="0"/>
          <w:szCs w:val="21"/>
          <w:highlight w:val="none"/>
          <w14:textFill>
            <w14:solidFill>
              <w14:schemeClr w14:val="tx1"/>
            </w14:solidFill>
          </w14:textFill>
        </w:rPr>
        <w:t>。</w:t>
      </w:r>
    </w:p>
    <w:p w14:paraId="547B26E7">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1.3法律 </w:t>
      </w:r>
    </w:p>
    <w:p w14:paraId="34D94FCC">
      <w:pPr>
        <w:spacing w:line="360" w:lineRule="auto"/>
        <w:ind w:firstLine="420" w:firstLineChars="200"/>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适用于合同的其他规范性文件：</w:t>
      </w:r>
      <w:r>
        <w:rPr>
          <w:rFonts w:hint="eastAsia" w:ascii="宋体" w:hAnsi="宋体"/>
          <w:color w:val="000000" w:themeColor="text1"/>
          <w:szCs w:val="21"/>
          <w:highlight w:val="none"/>
          <w:u w:val="single"/>
          <w14:textFill>
            <w14:solidFill>
              <w14:schemeClr w14:val="tx1"/>
            </w14:solidFill>
          </w14:textFill>
        </w:rPr>
        <w:t>中华人民共和国现行的法律、行政法规及规章</w:t>
      </w:r>
      <w:r>
        <w:rPr>
          <w:rFonts w:hAnsi="宋体"/>
          <w:color w:val="000000" w:themeColor="text1"/>
          <w:szCs w:val="21"/>
          <w:highlight w:val="none"/>
          <w14:textFill>
            <w14:solidFill>
              <w14:schemeClr w14:val="tx1"/>
            </w14:solidFill>
          </w14:textFill>
        </w:rPr>
        <w:t>。</w:t>
      </w:r>
    </w:p>
    <w:p w14:paraId="2670C57D">
      <w:pPr>
        <w:keepNext/>
        <w:keepLines/>
        <w:spacing w:before="260" w:after="260" w:line="24" w:lineRule="auto"/>
        <w:outlineLvl w:val="2"/>
        <w:rPr>
          <w:rFonts w:ascii="宋体" w:hAnsi="宋体"/>
          <w:b/>
          <w:bCs/>
          <w:color w:val="000000" w:themeColor="text1"/>
          <w:kern w:val="0"/>
          <w:sz w:val="24"/>
          <w:szCs w:val="32"/>
          <w:highlight w:val="none"/>
          <w14:textFill>
            <w14:solidFill>
              <w14:schemeClr w14:val="tx1"/>
            </w14:solidFill>
          </w14:textFill>
        </w:rPr>
      </w:pPr>
      <w:bookmarkStart w:id="291" w:name="_Toc373478342"/>
      <w:bookmarkStart w:id="292" w:name="_Toc389065261"/>
      <w:bookmarkStart w:id="293" w:name="_Toc373227695"/>
      <w:bookmarkStart w:id="294" w:name="_Toc465114856"/>
      <w:r>
        <w:rPr>
          <w:rFonts w:ascii="宋体" w:hAnsi="宋体"/>
          <w:b/>
          <w:bCs/>
          <w:color w:val="000000" w:themeColor="text1"/>
          <w:kern w:val="0"/>
          <w:sz w:val="24"/>
          <w:szCs w:val="32"/>
          <w:highlight w:val="none"/>
          <w14:textFill>
            <w14:solidFill>
              <w14:schemeClr w14:val="tx1"/>
            </w14:solidFill>
          </w14:textFill>
        </w:rPr>
        <w:t>1.4 标准和规范</w:t>
      </w:r>
      <w:bookmarkEnd w:id="291"/>
      <w:bookmarkEnd w:id="292"/>
      <w:bookmarkEnd w:id="293"/>
      <w:bookmarkEnd w:id="294"/>
    </w:p>
    <w:p w14:paraId="4F620085">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1.4.1</w:t>
      </w:r>
      <w:r>
        <w:rPr>
          <w:rFonts w:hAnsi="宋体"/>
          <w:color w:val="000000" w:themeColor="text1"/>
          <w:szCs w:val="21"/>
          <w:highlight w:val="none"/>
          <w14:textFill>
            <w14:solidFill>
              <w14:schemeClr w14:val="tx1"/>
            </w14:solidFill>
          </w14:textFill>
        </w:rPr>
        <w:t>适用于工程的标准规范包括：</w:t>
      </w:r>
      <w:r>
        <w:rPr>
          <w:rFonts w:hint="eastAsia" w:ascii="宋体" w:hAnsi="宋体"/>
          <w:color w:val="000000" w:themeColor="text1"/>
          <w:szCs w:val="21"/>
          <w:highlight w:val="none"/>
          <w:u w:val="single"/>
          <w14:textFill>
            <w14:solidFill>
              <w14:schemeClr w14:val="tx1"/>
            </w14:solidFill>
          </w14:textFill>
        </w:rPr>
        <w:t>国家现行的行业标准及相关规范。</w:t>
      </w:r>
    </w:p>
    <w:p w14:paraId="5C9856DB">
      <w:pPr>
        <w:spacing w:line="360" w:lineRule="auto"/>
        <w:ind w:firstLine="420" w:firstLineChars="200"/>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xml:space="preserve">1.4.2 </w:t>
      </w:r>
      <w:r>
        <w:rPr>
          <w:rFonts w:hAnsi="宋体"/>
          <w:color w:val="000000" w:themeColor="text1"/>
          <w:kern w:val="0"/>
          <w:szCs w:val="21"/>
          <w:highlight w:val="none"/>
          <w14:textFill>
            <w14:solidFill>
              <w14:schemeClr w14:val="tx1"/>
            </w14:solidFill>
          </w14:textFill>
        </w:rPr>
        <w:t>发包人提供国外标准、规范的名称：</w:t>
      </w:r>
      <w:r>
        <w:rPr>
          <w:rFonts w:hAnsi="宋体"/>
          <w:color w:val="000000" w:themeColor="text1"/>
          <w:szCs w:val="21"/>
          <w:highlight w:val="none"/>
          <w:u w:val="single"/>
          <w14:textFill>
            <w14:solidFill>
              <w14:schemeClr w14:val="tx1"/>
            </w14:solidFill>
          </w14:textFill>
        </w:rPr>
        <w:t>无。</w:t>
      </w:r>
    </w:p>
    <w:p w14:paraId="4A3CB6D8">
      <w:pPr>
        <w:spacing w:line="360" w:lineRule="auto"/>
        <w:ind w:firstLine="420" w:firstLineChars="200"/>
        <w:rPr>
          <w:rFonts w:hint="eastAsia" w:eastAsia="宋体"/>
          <w:color w:val="000000" w:themeColor="text1"/>
          <w:kern w:val="0"/>
          <w:szCs w:val="21"/>
          <w:highlight w:val="none"/>
          <w:lang w:eastAsia="zh-CN"/>
          <w14:textFill>
            <w14:solidFill>
              <w14:schemeClr w14:val="tx1"/>
            </w14:solidFill>
          </w14:textFill>
        </w:rPr>
      </w:pPr>
      <w:r>
        <w:rPr>
          <w:rFonts w:hAnsi="宋体"/>
          <w:color w:val="000000" w:themeColor="text1"/>
          <w:kern w:val="0"/>
          <w:szCs w:val="21"/>
          <w:highlight w:val="none"/>
          <w14:textFill>
            <w14:solidFill>
              <w14:schemeClr w14:val="tx1"/>
            </w14:solidFill>
          </w14:textFill>
        </w:rPr>
        <w:t>发包人提供国外标准、规范的份数：</w:t>
      </w:r>
      <w:r>
        <w:rPr>
          <w:color w:val="000000" w:themeColor="text1"/>
          <w:kern w:val="0"/>
          <w:szCs w:val="21"/>
          <w:highlight w:val="none"/>
          <w:u w:val="single"/>
          <w14:textFill>
            <w14:solidFill>
              <w14:schemeClr w14:val="tx1"/>
            </w14:solidFill>
          </w14:textFill>
        </w:rPr>
        <w:t xml:space="preserve">    无     </w:t>
      </w:r>
      <w:r>
        <w:rPr>
          <w:rFonts w:hint="eastAsia" w:hAnsi="宋体"/>
          <w:color w:val="000000" w:themeColor="text1"/>
          <w:kern w:val="0"/>
          <w:szCs w:val="21"/>
          <w:highlight w:val="none"/>
          <w:lang w:eastAsia="zh-CN"/>
          <w14:textFill>
            <w14:solidFill>
              <w14:schemeClr w14:val="tx1"/>
            </w14:solidFill>
          </w14:textFill>
        </w:rPr>
        <w:t>；</w:t>
      </w:r>
    </w:p>
    <w:p w14:paraId="7CB40707">
      <w:pPr>
        <w:spacing w:line="360" w:lineRule="auto"/>
        <w:ind w:firstLine="420" w:firstLineChars="200"/>
        <w:rPr>
          <w:color w:val="000000" w:themeColor="text1"/>
          <w:szCs w:val="21"/>
          <w:highlight w:val="none"/>
          <w14:textFill>
            <w14:solidFill>
              <w14:schemeClr w14:val="tx1"/>
            </w14:solidFill>
          </w14:textFill>
        </w:rPr>
      </w:pPr>
      <w:r>
        <w:rPr>
          <w:rFonts w:hAnsi="宋体"/>
          <w:color w:val="000000" w:themeColor="text1"/>
          <w:kern w:val="0"/>
          <w:szCs w:val="21"/>
          <w:highlight w:val="none"/>
          <w14:textFill>
            <w14:solidFill>
              <w14:schemeClr w14:val="tx1"/>
            </w14:solidFill>
          </w14:textFill>
        </w:rPr>
        <w:t>发包人提供国外标准、规范的名称：</w:t>
      </w:r>
      <w:r>
        <w:rPr>
          <w:color w:val="000000" w:themeColor="text1"/>
          <w:kern w:val="0"/>
          <w:szCs w:val="21"/>
          <w:highlight w:val="none"/>
          <w:u w:val="single"/>
          <w14:textFill>
            <w14:solidFill>
              <w14:schemeClr w14:val="tx1"/>
            </w14:solidFill>
          </w14:textFill>
        </w:rPr>
        <w:t xml:space="preserve">   无      </w:t>
      </w:r>
      <w:r>
        <w:rPr>
          <w:rFonts w:hAnsi="宋体"/>
          <w:color w:val="000000" w:themeColor="text1"/>
          <w:kern w:val="0"/>
          <w:szCs w:val="21"/>
          <w:highlight w:val="none"/>
          <w14:textFill>
            <w14:solidFill>
              <w14:schemeClr w14:val="tx1"/>
            </w14:solidFill>
          </w14:textFill>
        </w:rPr>
        <w:t>。</w:t>
      </w:r>
    </w:p>
    <w:p w14:paraId="54164497">
      <w:pPr>
        <w:spacing w:line="400" w:lineRule="exact"/>
        <w:ind w:left="479" w:leftChars="228"/>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1.4.3</w:t>
      </w:r>
      <w:r>
        <w:rPr>
          <w:rFonts w:hAnsi="宋体"/>
          <w:color w:val="000000" w:themeColor="text1"/>
          <w:szCs w:val="21"/>
          <w:highlight w:val="none"/>
          <w14:textFill>
            <w14:solidFill>
              <w14:schemeClr w14:val="tx1"/>
            </w14:solidFill>
          </w14:textFill>
        </w:rPr>
        <w:t>发包人对工程的技术标准和功能要求的特殊要求：</w:t>
      </w:r>
      <w:r>
        <w:rPr>
          <w:rFonts w:hint="eastAsia" w:ascii="宋体" w:hAnsi="宋体"/>
          <w:color w:val="000000" w:themeColor="text1"/>
          <w:szCs w:val="21"/>
          <w:highlight w:val="none"/>
          <w:u w:val="single"/>
          <w14:textFill>
            <w14:solidFill>
              <w14:schemeClr w14:val="tx1"/>
            </w14:solidFill>
          </w14:textFill>
        </w:rPr>
        <w:t>按中华人民共和国现行的标准、行业标准或地方标准执行</w:t>
      </w:r>
      <w:r>
        <w:rPr>
          <w:rFonts w:hint="eastAsia" w:ascii="宋体" w:hAnsi="宋体"/>
          <w:color w:val="000000" w:themeColor="text1"/>
          <w:szCs w:val="21"/>
          <w:highlight w:val="none"/>
          <w14:textFill>
            <w14:solidFill>
              <w14:schemeClr w14:val="tx1"/>
            </w14:solidFill>
          </w14:textFill>
        </w:rPr>
        <w:t>。</w:t>
      </w:r>
    </w:p>
    <w:p w14:paraId="5C3F8E8E">
      <w:pPr>
        <w:keepNext/>
        <w:keepLines/>
        <w:spacing w:before="260" w:after="260" w:line="24" w:lineRule="auto"/>
        <w:outlineLvl w:val="2"/>
        <w:rPr>
          <w:rFonts w:ascii="宋体" w:hAnsi="宋体"/>
          <w:b/>
          <w:bCs/>
          <w:color w:val="000000" w:themeColor="text1"/>
          <w:kern w:val="0"/>
          <w:sz w:val="24"/>
          <w:szCs w:val="32"/>
          <w:highlight w:val="none"/>
          <w14:textFill>
            <w14:solidFill>
              <w14:schemeClr w14:val="tx1"/>
            </w14:solidFill>
          </w14:textFill>
        </w:rPr>
      </w:pPr>
      <w:bookmarkStart w:id="295" w:name="_Toc389065262"/>
      <w:bookmarkStart w:id="296" w:name="_Toc373227696"/>
      <w:bookmarkStart w:id="297" w:name="_Toc465114857"/>
      <w:bookmarkStart w:id="298" w:name="_Toc373478343"/>
      <w:r>
        <w:rPr>
          <w:rFonts w:ascii="宋体" w:hAnsi="宋体"/>
          <w:b/>
          <w:bCs/>
          <w:color w:val="000000" w:themeColor="text1"/>
          <w:kern w:val="0"/>
          <w:sz w:val="24"/>
          <w:szCs w:val="32"/>
          <w:highlight w:val="none"/>
          <w14:textFill>
            <w14:solidFill>
              <w14:schemeClr w14:val="tx1"/>
            </w14:solidFill>
          </w14:textFill>
        </w:rPr>
        <w:t>1.5 合同文件的优先顺序</w:t>
      </w:r>
      <w:bookmarkEnd w:id="295"/>
      <w:bookmarkEnd w:id="296"/>
      <w:bookmarkEnd w:id="297"/>
      <w:bookmarkEnd w:id="298"/>
    </w:p>
    <w:p w14:paraId="08075AA1">
      <w:pPr>
        <w:spacing w:line="360" w:lineRule="auto"/>
        <w:ind w:firstLine="420" w:firstLineChars="200"/>
        <w:rPr>
          <w:rFonts w:hAnsi="宋体"/>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合同文件组成及优先顺序为：</w:t>
      </w:r>
    </w:p>
    <w:p w14:paraId="452FCE4A">
      <w:pPr>
        <w:autoSpaceDE w:val="0"/>
        <w:autoSpaceDN w:val="0"/>
        <w:adjustRightInd w:val="0"/>
        <w:spacing w:line="400" w:lineRule="exact"/>
        <w:ind w:firstLine="420" w:firstLineChars="20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（1）合同协议书</w:t>
      </w:r>
      <w:r>
        <w:rPr>
          <w:rFonts w:hint="eastAsia" w:ascii="宋体" w:hAnsi="宋体"/>
          <w:color w:val="000000" w:themeColor="text1"/>
          <w:szCs w:val="21"/>
          <w:highlight w:val="none"/>
          <w:lang w:eastAsia="zh-CN"/>
          <w14:textFill>
            <w14:solidFill>
              <w14:schemeClr w14:val="tx1"/>
            </w14:solidFill>
          </w14:textFill>
        </w:rPr>
        <w:t>；</w:t>
      </w:r>
    </w:p>
    <w:p w14:paraId="1F3FCDB1">
      <w:pPr>
        <w:autoSpaceDE w:val="0"/>
        <w:autoSpaceDN w:val="0"/>
        <w:adjustRightInd w:val="0"/>
        <w:spacing w:line="400" w:lineRule="exact"/>
        <w:ind w:firstLine="420" w:firstLineChars="20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（2）中标通知书</w:t>
      </w:r>
      <w:r>
        <w:rPr>
          <w:rFonts w:hint="eastAsia" w:ascii="宋体" w:hAnsi="宋体"/>
          <w:color w:val="000000" w:themeColor="text1"/>
          <w:szCs w:val="21"/>
          <w:highlight w:val="none"/>
          <w:lang w:eastAsia="zh-CN"/>
          <w14:textFill>
            <w14:solidFill>
              <w14:schemeClr w14:val="tx1"/>
            </w14:solidFill>
          </w14:textFill>
        </w:rPr>
        <w:t>；</w:t>
      </w:r>
    </w:p>
    <w:p w14:paraId="3CBD9D21">
      <w:pPr>
        <w:autoSpaceDE w:val="0"/>
        <w:autoSpaceDN w:val="0"/>
        <w:adjustRightInd w:val="0"/>
        <w:spacing w:line="400" w:lineRule="exact"/>
        <w:ind w:firstLine="420" w:firstLineChars="20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（3）竞标函及其附录</w:t>
      </w:r>
      <w:r>
        <w:rPr>
          <w:rFonts w:hint="eastAsia" w:ascii="宋体" w:hAnsi="宋体"/>
          <w:color w:val="000000" w:themeColor="text1"/>
          <w:szCs w:val="21"/>
          <w:highlight w:val="none"/>
          <w:lang w:eastAsia="zh-CN"/>
          <w14:textFill>
            <w14:solidFill>
              <w14:schemeClr w14:val="tx1"/>
            </w14:solidFill>
          </w14:textFill>
        </w:rPr>
        <w:t>；</w:t>
      </w:r>
    </w:p>
    <w:p w14:paraId="4723417A">
      <w:pPr>
        <w:autoSpaceDE w:val="0"/>
        <w:autoSpaceDN w:val="0"/>
        <w:adjustRightInd w:val="0"/>
        <w:spacing w:line="400" w:lineRule="exact"/>
        <w:ind w:firstLine="420" w:firstLineChars="20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（4）专用合同条款及其附件</w:t>
      </w:r>
      <w:r>
        <w:rPr>
          <w:rFonts w:hint="eastAsia" w:ascii="宋体" w:hAnsi="宋体"/>
          <w:color w:val="000000" w:themeColor="text1"/>
          <w:szCs w:val="21"/>
          <w:highlight w:val="none"/>
          <w:lang w:eastAsia="zh-CN"/>
          <w14:textFill>
            <w14:solidFill>
              <w14:schemeClr w14:val="tx1"/>
            </w14:solidFill>
          </w14:textFill>
        </w:rPr>
        <w:t>；</w:t>
      </w:r>
    </w:p>
    <w:p w14:paraId="685F8A48">
      <w:pPr>
        <w:autoSpaceDE w:val="0"/>
        <w:autoSpaceDN w:val="0"/>
        <w:adjustRightInd w:val="0"/>
        <w:spacing w:line="400" w:lineRule="exact"/>
        <w:ind w:firstLine="420" w:firstLineChars="20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（5）通用合同条款</w:t>
      </w:r>
      <w:r>
        <w:rPr>
          <w:rFonts w:hint="eastAsia" w:ascii="宋体" w:hAnsi="宋体"/>
          <w:color w:val="000000" w:themeColor="text1"/>
          <w:szCs w:val="21"/>
          <w:highlight w:val="none"/>
          <w:lang w:eastAsia="zh-CN"/>
          <w14:textFill>
            <w14:solidFill>
              <w14:schemeClr w14:val="tx1"/>
            </w14:solidFill>
          </w14:textFill>
        </w:rPr>
        <w:t>；</w:t>
      </w:r>
    </w:p>
    <w:p w14:paraId="0163461D">
      <w:pPr>
        <w:autoSpaceDE w:val="0"/>
        <w:autoSpaceDN w:val="0"/>
        <w:adjustRightInd w:val="0"/>
        <w:spacing w:line="400" w:lineRule="exact"/>
        <w:ind w:firstLine="420" w:firstLineChars="20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（6）技术标准和要求</w:t>
      </w:r>
      <w:r>
        <w:rPr>
          <w:rFonts w:hint="eastAsia" w:ascii="宋体" w:hAnsi="宋体"/>
          <w:color w:val="000000" w:themeColor="text1"/>
          <w:szCs w:val="21"/>
          <w:highlight w:val="none"/>
          <w:lang w:eastAsia="zh-CN"/>
          <w14:textFill>
            <w14:solidFill>
              <w14:schemeClr w14:val="tx1"/>
            </w14:solidFill>
          </w14:textFill>
        </w:rPr>
        <w:t>；</w:t>
      </w:r>
    </w:p>
    <w:p w14:paraId="462706A4">
      <w:pPr>
        <w:autoSpaceDE w:val="0"/>
        <w:autoSpaceDN w:val="0"/>
        <w:adjustRightInd w:val="0"/>
        <w:spacing w:line="400" w:lineRule="exact"/>
        <w:ind w:firstLine="420" w:firstLineChars="20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（7）图纸</w:t>
      </w:r>
      <w:r>
        <w:rPr>
          <w:rFonts w:hint="eastAsia" w:ascii="宋体" w:hAnsi="宋体"/>
          <w:color w:val="000000" w:themeColor="text1"/>
          <w:szCs w:val="21"/>
          <w:highlight w:val="none"/>
          <w:lang w:eastAsia="zh-CN"/>
          <w14:textFill>
            <w14:solidFill>
              <w14:schemeClr w14:val="tx1"/>
            </w14:solidFill>
          </w14:textFill>
        </w:rPr>
        <w:t>；</w:t>
      </w:r>
    </w:p>
    <w:p w14:paraId="463F5B90">
      <w:pPr>
        <w:autoSpaceDE w:val="0"/>
        <w:autoSpaceDN w:val="0"/>
        <w:adjustRightInd w:val="0"/>
        <w:spacing w:line="400" w:lineRule="exact"/>
        <w:ind w:firstLine="420" w:firstLineChars="20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（8）已标价工程量清单</w:t>
      </w:r>
      <w:r>
        <w:rPr>
          <w:rFonts w:hint="eastAsia" w:ascii="宋体" w:hAnsi="宋体"/>
          <w:color w:val="000000" w:themeColor="text1"/>
          <w:szCs w:val="21"/>
          <w:highlight w:val="none"/>
          <w:lang w:eastAsia="zh-CN"/>
          <w14:textFill>
            <w14:solidFill>
              <w14:schemeClr w14:val="tx1"/>
            </w14:solidFill>
          </w14:textFill>
        </w:rPr>
        <w:t>；</w:t>
      </w:r>
    </w:p>
    <w:p w14:paraId="707A46AE">
      <w:pPr>
        <w:autoSpaceDE w:val="0"/>
        <w:autoSpaceDN w:val="0"/>
        <w:adjustRightInd w:val="0"/>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w:t>
      </w:r>
      <w:r>
        <w:rPr>
          <w:color w:val="000000" w:themeColor="text1"/>
          <w:highlight w:val="none"/>
          <w14:textFill>
            <w14:solidFill>
              <w14:schemeClr w14:val="tx1"/>
            </w14:solidFill>
          </w14:textFill>
        </w:rPr>
        <w:t>竞争性磋商文件及响应文件</w:t>
      </w:r>
      <w:r>
        <w:rPr>
          <w:rFonts w:hint="eastAsia" w:ascii="宋体" w:hAnsi="宋体"/>
          <w:color w:val="000000" w:themeColor="text1"/>
          <w:szCs w:val="21"/>
          <w:highlight w:val="none"/>
          <w:lang w:eastAsia="zh-CN"/>
          <w14:textFill>
            <w14:solidFill>
              <w14:schemeClr w14:val="tx1"/>
            </w14:solidFill>
          </w14:textFill>
        </w:rPr>
        <w:t>；</w:t>
      </w:r>
    </w:p>
    <w:p w14:paraId="4F573C02">
      <w:pPr>
        <w:spacing w:line="360" w:lineRule="auto"/>
        <w:ind w:firstLine="420" w:firstLineChars="200"/>
        <w:rPr>
          <w:rFonts w:hAnsi="宋体"/>
          <w:color w:val="000000" w:themeColor="text1"/>
          <w:kern w:val="0"/>
          <w:szCs w:val="21"/>
          <w:highlight w:val="none"/>
          <w14:textFill>
            <w14:solidFill>
              <w14:schemeClr w14:val="tx1"/>
            </w14:solidFill>
          </w14:textFill>
        </w:rPr>
      </w:pPr>
      <w:r>
        <w:rPr>
          <w:rFonts w:hint="eastAsia" w:hAnsi="宋体"/>
          <w:color w:val="000000" w:themeColor="text1"/>
          <w:kern w:val="0"/>
          <w:szCs w:val="21"/>
          <w:highlight w:val="none"/>
          <w14:textFill>
            <w14:solidFill>
              <w14:schemeClr w14:val="tx1"/>
            </w14:solidFill>
          </w14:textFill>
        </w:rPr>
        <w:t>（10）《</w:t>
      </w:r>
      <w:r>
        <w:rPr>
          <w:rFonts w:hAnsi="宋体"/>
          <w:color w:val="000000" w:themeColor="text1"/>
          <w:kern w:val="0"/>
          <w:szCs w:val="21"/>
          <w:highlight w:val="none"/>
          <w14:textFill>
            <w14:solidFill>
              <w14:schemeClr w14:val="tx1"/>
            </w14:solidFill>
          </w14:textFill>
        </w:rPr>
        <w:t>建设工程工程量清单计价规范（GB5050-2013）</w:t>
      </w:r>
      <w:r>
        <w:rPr>
          <w:rFonts w:hint="eastAsia" w:hAnsi="宋体"/>
          <w:color w:val="000000" w:themeColor="text1"/>
          <w:kern w:val="0"/>
          <w:szCs w:val="21"/>
          <w:highlight w:val="none"/>
          <w14:textFill>
            <w14:solidFill>
              <w14:schemeClr w14:val="tx1"/>
            </w14:solidFill>
          </w14:textFill>
        </w:rPr>
        <w:t>》及其</w:t>
      </w:r>
      <w:r>
        <w:rPr>
          <w:rFonts w:hAnsi="宋体"/>
          <w:color w:val="000000" w:themeColor="text1"/>
          <w:kern w:val="0"/>
          <w:szCs w:val="21"/>
          <w:highlight w:val="none"/>
          <w14:textFill>
            <w14:solidFill>
              <w14:schemeClr w14:val="tx1"/>
            </w14:solidFill>
          </w14:textFill>
        </w:rPr>
        <w:t>广西实施细则</w:t>
      </w:r>
      <w:r>
        <w:rPr>
          <w:rFonts w:hint="eastAsia" w:hAnsi="宋体"/>
          <w:color w:val="000000" w:themeColor="text1"/>
          <w:kern w:val="0"/>
          <w:szCs w:val="21"/>
          <w:highlight w:val="none"/>
          <w14:textFill>
            <w14:solidFill>
              <w14:schemeClr w14:val="tx1"/>
            </w14:solidFill>
          </w14:textFill>
        </w:rPr>
        <w:t>及《关于建筑业实施营业税改征增值税后广西壮族自治区建设工程计价依据调整的通知》（桂建标〔2016〕17号）、《</w:t>
      </w:r>
      <w:r>
        <w:rPr>
          <w:rFonts w:hAnsi="宋体"/>
          <w:color w:val="000000" w:themeColor="text1"/>
          <w:kern w:val="0"/>
          <w:szCs w:val="21"/>
          <w:highlight w:val="none"/>
          <w14:textFill>
            <w14:solidFill>
              <w14:schemeClr w14:val="tx1"/>
            </w14:solidFill>
          </w14:textFill>
        </w:rPr>
        <w:t>建设工程工程量清单计</w:t>
      </w:r>
      <w:r>
        <w:rPr>
          <w:rFonts w:hint="eastAsia" w:hAnsi="宋体"/>
          <w:color w:val="000000" w:themeColor="text1"/>
          <w:kern w:val="0"/>
          <w:szCs w:val="21"/>
          <w:highlight w:val="none"/>
          <w14:textFill>
            <w14:solidFill>
              <w14:schemeClr w14:val="tx1"/>
            </w14:solidFill>
          </w14:textFill>
        </w:rPr>
        <w:t>算</w:t>
      </w:r>
      <w:r>
        <w:rPr>
          <w:rFonts w:hAnsi="宋体"/>
          <w:color w:val="000000" w:themeColor="text1"/>
          <w:kern w:val="0"/>
          <w:szCs w:val="21"/>
          <w:highlight w:val="none"/>
          <w14:textFill>
            <w14:solidFill>
              <w14:schemeClr w14:val="tx1"/>
            </w14:solidFill>
          </w14:textFill>
        </w:rPr>
        <w:t>规范（GB5</w:t>
      </w:r>
      <w:r>
        <w:rPr>
          <w:rFonts w:hint="eastAsia" w:hAnsi="宋体"/>
          <w:color w:val="000000" w:themeColor="text1"/>
          <w:kern w:val="0"/>
          <w:szCs w:val="21"/>
          <w:highlight w:val="none"/>
          <w14:textFill>
            <w14:solidFill>
              <w14:schemeClr w14:val="tx1"/>
            </w14:solidFill>
          </w14:textFill>
        </w:rPr>
        <w:t>854~50862</w:t>
      </w:r>
      <w:r>
        <w:rPr>
          <w:rFonts w:hAnsi="宋体"/>
          <w:color w:val="000000" w:themeColor="text1"/>
          <w:kern w:val="0"/>
          <w:szCs w:val="21"/>
          <w:highlight w:val="none"/>
          <w14:textFill>
            <w14:solidFill>
              <w14:schemeClr w14:val="tx1"/>
            </w14:solidFill>
          </w14:textFill>
        </w:rPr>
        <w:t>-2013）</w:t>
      </w:r>
      <w:r>
        <w:rPr>
          <w:rFonts w:hint="eastAsia" w:hAnsi="宋体"/>
          <w:color w:val="000000" w:themeColor="text1"/>
          <w:kern w:val="0"/>
          <w:szCs w:val="21"/>
          <w:highlight w:val="none"/>
          <w14:textFill>
            <w14:solidFill>
              <w14:schemeClr w14:val="tx1"/>
            </w14:solidFill>
          </w14:textFill>
        </w:rPr>
        <w:t>》及其</w:t>
      </w:r>
      <w:r>
        <w:rPr>
          <w:rFonts w:hAnsi="宋体"/>
          <w:color w:val="000000" w:themeColor="text1"/>
          <w:kern w:val="0"/>
          <w:szCs w:val="21"/>
          <w:highlight w:val="none"/>
          <w14:textFill>
            <w14:solidFill>
              <w14:schemeClr w14:val="tx1"/>
            </w14:solidFill>
          </w14:textFill>
        </w:rPr>
        <w:t>广西实施细则</w:t>
      </w:r>
      <w:r>
        <w:rPr>
          <w:rFonts w:hint="eastAsia" w:hAnsi="宋体"/>
          <w:color w:val="000000" w:themeColor="text1"/>
          <w:kern w:val="0"/>
          <w:szCs w:val="21"/>
          <w:highlight w:val="none"/>
          <w14:textFill>
            <w14:solidFill>
              <w14:schemeClr w14:val="tx1"/>
            </w14:solidFill>
          </w14:textFill>
        </w:rPr>
        <w:t>（修订本）</w:t>
      </w:r>
      <w:r>
        <w:rPr>
          <w:rFonts w:hAnsi="宋体"/>
          <w:color w:val="000000" w:themeColor="text1"/>
          <w:kern w:val="0"/>
          <w:szCs w:val="21"/>
          <w:highlight w:val="none"/>
          <w14:textFill>
            <w14:solidFill>
              <w14:schemeClr w14:val="tx1"/>
            </w14:solidFill>
          </w14:textFill>
        </w:rPr>
        <w:t>。</w:t>
      </w:r>
    </w:p>
    <w:p w14:paraId="29FED881">
      <w:pPr>
        <w:spacing w:line="400" w:lineRule="exact"/>
        <w:ind w:firstLine="447" w:firstLineChars="213"/>
        <w:rPr>
          <w:rFonts w:ascii="宋体" w:hAnsi="宋体"/>
          <w:color w:val="000000" w:themeColor="text1"/>
          <w:szCs w:val="21"/>
          <w:highlight w:val="none"/>
          <w14:textFill>
            <w14:solidFill>
              <w14:schemeClr w14:val="tx1"/>
            </w14:solidFill>
          </w14:textFill>
        </w:rPr>
      </w:pPr>
      <w:bookmarkStart w:id="299" w:name="_Toc373227697"/>
      <w:bookmarkStart w:id="300" w:name="_Toc465114858"/>
      <w:bookmarkStart w:id="301" w:name="_Toc389065263"/>
      <w:bookmarkStart w:id="302" w:name="_Toc373478344"/>
      <w:r>
        <w:rPr>
          <w:rFonts w:hint="eastAsia" w:ascii="宋体" w:hAnsi="宋体"/>
          <w:color w:val="000000" w:themeColor="text1"/>
          <w:szCs w:val="21"/>
          <w:highlight w:val="none"/>
          <w14:textFill>
            <w14:solidFill>
              <w14:schemeClr w14:val="tx1"/>
            </w14:solidFill>
          </w14:textFill>
        </w:rPr>
        <w:t>上述各项合同文件包括合同当事人就该项合同文件所作出的补充和修改，属于同一类内容的文件，应以最新签署的为准。</w:t>
      </w:r>
    </w:p>
    <w:p w14:paraId="2F7AA7C7">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在合同订立及履行过程中形成的与合同有关的文件均构成合同文件组成部分，并根据其性质确定优先解释顺序。</w:t>
      </w:r>
    </w:p>
    <w:p w14:paraId="7F2F1D7D">
      <w:pPr>
        <w:keepNext/>
        <w:keepLines/>
        <w:spacing w:before="260" w:after="260" w:line="24" w:lineRule="auto"/>
        <w:outlineLvl w:val="2"/>
        <w:rPr>
          <w:rFonts w:ascii="宋体" w:hAnsi="宋体"/>
          <w:b/>
          <w:bCs/>
          <w:color w:val="000000" w:themeColor="text1"/>
          <w:kern w:val="0"/>
          <w:sz w:val="24"/>
          <w:szCs w:val="32"/>
          <w:highlight w:val="none"/>
          <w14:textFill>
            <w14:solidFill>
              <w14:schemeClr w14:val="tx1"/>
            </w14:solidFill>
          </w14:textFill>
        </w:rPr>
      </w:pPr>
      <w:r>
        <w:rPr>
          <w:rFonts w:ascii="宋体" w:hAnsi="宋体"/>
          <w:b/>
          <w:bCs/>
          <w:color w:val="000000" w:themeColor="text1"/>
          <w:kern w:val="0"/>
          <w:sz w:val="24"/>
          <w:szCs w:val="32"/>
          <w:highlight w:val="none"/>
          <w14:textFill>
            <w14:solidFill>
              <w14:schemeClr w14:val="tx1"/>
            </w14:solidFill>
          </w14:textFill>
        </w:rPr>
        <w:t>1.6 图纸和承包人文件</w:t>
      </w:r>
      <w:bookmarkEnd w:id="299"/>
      <w:bookmarkEnd w:id="300"/>
      <w:bookmarkEnd w:id="301"/>
      <w:bookmarkEnd w:id="302"/>
      <w:r>
        <w:rPr>
          <w:rFonts w:ascii="宋体" w:hAnsi="宋体"/>
          <w:b/>
          <w:bCs/>
          <w:color w:val="000000" w:themeColor="text1"/>
          <w:kern w:val="0"/>
          <w:sz w:val="24"/>
          <w:szCs w:val="32"/>
          <w:highlight w:val="none"/>
          <w14:textFill>
            <w14:solidFill>
              <w14:schemeClr w14:val="tx1"/>
            </w14:solidFill>
          </w14:textFill>
        </w:rPr>
        <w:tab/>
      </w:r>
    </w:p>
    <w:p w14:paraId="75E754FB">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1.6.1 </w:t>
      </w:r>
      <w:r>
        <w:rPr>
          <w:rFonts w:hAnsi="宋体"/>
          <w:color w:val="000000" w:themeColor="text1"/>
          <w:szCs w:val="21"/>
          <w:highlight w:val="none"/>
          <w14:textFill>
            <w14:solidFill>
              <w14:schemeClr w14:val="tx1"/>
            </w14:solidFill>
          </w14:textFill>
        </w:rPr>
        <w:t>图纸的提供</w:t>
      </w:r>
    </w:p>
    <w:p w14:paraId="45E52AE1">
      <w:pPr>
        <w:spacing w:line="360" w:lineRule="auto"/>
        <w:ind w:firstLine="420" w:firstLineChars="200"/>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发包人向承包人提供图纸的期限：</w:t>
      </w:r>
      <w:r>
        <w:rPr>
          <w:rFonts w:hAnsi="宋体"/>
          <w:color w:val="000000" w:themeColor="text1"/>
          <w:szCs w:val="21"/>
          <w:highlight w:val="none"/>
          <w:u w:val="single"/>
          <w14:textFill>
            <w14:solidFill>
              <w14:schemeClr w14:val="tx1"/>
            </w14:solidFill>
          </w14:textFill>
        </w:rPr>
        <w:t>签订合同后</w:t>
      </w:r>
      <w:r>
        <w:rPr>
          <w:rFonts w:hint="eastAsia" w:hAnsi="宋体"/>
          <w:color w:val="000000" w:themeColor="text1"/>
          <w:szCs w:val="21"/>
          <w:highlight w:val="none"/>
          <w:u w:val="single"/>
          <w14:textFill>
            <w14:solidFill>
              <w14:schemeClr w14:val="tx1"/>
            </w14:solidFill>
          </w14:textFill>
        </w:rPr>
        <w:t>5</w:t>
      </w:r>
      <w:r>
        <w:rPr>
          <w:rFonts w:hAnsi="宋体"/>
          <w:color w:val="000000" w:themeColor="text1"/>
          <w:szCs w:val="21"/>
          <w:highlight w:val="none"/>
          <w:u w:val="single"/>
          <w14:textFill>
            <w14:solidFill>
              <w14:schemeClr w14:val="tx1"/>
            </w14:solidFill>
          </w14:textFill>
        </w:rPr>
        <w:t>天内。</w:t>
      </w:r>
    </w:p>
    <w:p w14:paraId="112DC3D1">
      <w:pPr>
        <w:spacing w:line="360" w:lineRule="auto"/>
        <w:ind w:firstLine="420" w:firstLineChars="200"/>
        <w:rPr>
          <w:rFonts w:hint="eastAsia" w:eastAsia="宋体"/>
          <w:color w:val="000000" w:themeColor="text1"/>
          <w:szCs w:val="21"/>
          <w:highlight w:val="none"/>
          <w:lang w:eastAsia="zh-CN"/>
          <w14:textFill>
            <w14:solidFill>
              <w14:schemeClr w14:val="tx1"/>
            </w14:solidFill>
          </w14:textFill>
        </w:rPr>
      </w:pPr>
      <w:r>
        <w:rPr>
          <w:rFonts w:hAnsi="宋体"/>
          <w:color w:val="000000" w:themeColor="text1"/>
          <w:szCs w:val="21"/>
          <w:highlight w:val="none"/>
          <w14:textFill>
            <w14:solidFill>
              <w14:schemeClr w14:val="tx1"/>
            </w14:solidFill>
          </w14:textFill>
        </w:rPr>
        <w:t>发包人向承包人提供图纸的数量：</w:t>
      </w:r>
      <w:r>
        <w:rPr>
          <w:rFonts w:hint="eastAsia" w:ascii="宋体" w:hAnsi="宋体"/>
          <w:color w:val="000000" w:themeColor="text1"/>
          <w:szCs w:val="21"/>
          <w:highlight w:val="none"/>
          <w:u w:val="single"/>
          <w14:textFill>
            <w14:solidFill>
              <w14:schemeClr w14:val="tx1"/>
            </w14:solidFill>
          </w14:textFill>
        </w:rPr>
        <w:t>壹套施工图纸（承包人需要更多份数时，应自费复制）</w:t>
      </w:r>
      <w:r>
        <w:rPr>
          <w:rFonts w:hint="eastAsia" w:hAnsi="宋体"/>
          <w:color w:val="000000" w:themeColor="text1"/>
          <w:szCs w:val="21"/>
          <w:highlight w:val="none"/>
          <w:u w:val="single"/>
          <w:lang w:eastAsia="zh-CN"/>
          <w14:textFill>
            <w14:solidFill>
              <w14:schemeClr w14:val="tx1"/>
            </w14:solidFill>
          </w14:textFill>
        </w:rPr>
        <w:t>；</w:t>
      </w:r>
    </w:p>
    <w:p w14:paraId="6B77AE43">
      <w:pPr>
        <w:spacing w:line="360" w:lineRule="auto"/>
        <w:ind w:firstLine="420" w:firstLineChars="200"/>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发包人向承包人提供图纸的内容：</w:t>
      </w:r>
      <w:r>
        <w:rPr>
          <w:rFonts w:hint="eastAsia" w:ascii="宋体" w:hAnsi="宋体"/>
          <w:color w:val="000000" w:themeColor="text1"/>
          <w:szCs w:val="21"/>
          <w:highlight w:val="none"/>
          <w:u w:val="single"/>
          <w14:textFill>
            <w14:solidFill>
              <w14:schemeClr w14:val="tx1"/>
            </w14:solidFill>
          </w14:textFill>
        </w:rPr>
        <w:t>详见施工图纸(全套)</w:t>
      </w:r>
      <w:r>
        <w:rPr>
          <w:rFonts w:hAnsi="宋体"/>
          <w:color w:val="000000" w:themeColor="text1"/>
          <w:szCs w:val="21"/>
          <w:highlight w:val="none"/>
          <w14:textFill>
            <w14:solidFill>
              <w14:schemeClr w14:val="tx1"/>
            </w14:solidFill>
          </w14:textFill>
        </w:rPr>
        <w:t>。</w:t>
      </w:r>
    </w:p>
    <w:p w14:paraId="181B4DC2">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1.6.4 </w:t>
      </w:r>
      <w:r>
        <w:rPr>
          <w:rFonts w:hAnsi="宋体"/>
          <w:color w:val="000000" w:themeColor="text1"/>
          <w:szCs w:val="21"/>
          <w:highlight w:val="none"/>
          <w14:textFill>
            <w14:solidFill>
              <w14:schemeClr w14:val="tx1"/>
            </w14:solidFill>
          </w14:textFill>
        </w:rPr>
        <w:t>承包人文件</w:t>
      </w:r>
    </w:p>
    <w:p w14:paraId="0501B724">
      <w:pPr>
        <w:spacing w:line="360" w:lineRule="auto"/>
        <w:ind w:firstLine="420" w:firstLineChars="200"/>
        <w:jc w:val="left"/>
        <w:rPr>
          <w:rFonts w:hint="eastAsia" w:eastAsia="宋体"/>
          <w:color w:val="000000" w:themeColor="text1"/>
          <w:szCs w:val="21"/>
          <w:highlight w:val="none"/>
          <w:u w:val="single"/>
          <w:lang w:eastAsia="zh-CN"/>
          <w14:textFill>
            <w14:solidFill>
              <w14:schemeClr w14:val="tx1"/>
            </w14:solidFill>
          </w14:textFill>
        </w:rPr>
      </w:pPr>
      <w:r>
        <w:rPr>
          <w:rFonts w:hAnsi="宋体"/>
          <w:color w:val="000000" w:themeColor="text1"/>
          <w:szCs w:val="21"/>
          <w:highlight w:val="none"/>
          <w14:textFill>
            <w14:solidFill>
              <w14:schemeClr w14:val="tx1"/>
            </w14:solidFill>
          </w14:textFill>
        </w:rPr>
        <w:t>需要由承包人提供的文件，包括：</w:t>
      </w:r>
      <w:r>
        <w:rPr>
          <w:rFonts w:hint="eastAsia" w:hAnsi="宋体"/>
          <w:color w:val="000000" w:themeColor="text1"/>
          <w:szCs w:val="21"/>
          <w:highlight w:val="none"/>
          <w:u w:val="single"/>
          <w14:textFill>
            <w14:solidFill>
              <w14:schemeClr w14:val="tx1"/>
            </w14:solidFill>
          </w14:textFill>
        </w:rPr>
        <w:t>无</w:t>
      </w:r>
      <w:r>
        <w:rPr>
          <w:rFonts w:hint="eastAsia" w:hAnsi="宋体"/>
          <w:color w:val="000000" w:themeColor="text1"/>
          <w:szCs w:val="21"/>
          <w:highlight w:val="none"/>
          <w:lang w:eastAsia="zh-CN"/>
          <w14:textFill>
            <w14:solidFill>
              <w14:schemeClr w14:val="tx1"/>
            </w14:solidFill>
          </w14:textFill>
        </w:rPr>
        <w:t>；</w:t>
      </w:r>
    </w:p>
    <w:p w14:paraId="263D4EC5">
      <w:pPr>
        <w:spacing w:line="360" w:lineRule="auto"/>
        <w:ind w:firstLine="420" w:firstLineChars="200"/>
        <w:rPr>
          <w:rFonts w:hint="eastAsia" w:eastAsia="宋体"/>
          <w:color w:val="000000" w:themeColor="text1"/>
          <w:szCs w:val="21"/>
          <w:highlight w:val="none"/>
          <w:lang w:eastAsia="zh-CN"/>
          <w14:textFill>
            <w14:solidFill>
              <w14:schemeClr w14:val="tx1"/>
            </w14:solidFill>
          </w14:textFill>
        </w:rPr>
      </w:pPr>
      <w:r>
        <w:rPr>
          <w:rFonts w:hAnsi="宋体"/>
          <w:color w:val="000000" w:themeColor="text1"/>
          <w:szCs w:val="21"/>
          <w:highlight w:val="none"/>
          <w14:textFill>
            <w14:solidFill>
              <w14:schemeClr w14:val="tx1"/>
            </w14:solidFill>
          </w14:textFill>
        </w:rPr>
        <w:t>承包人提供的文件的期限为：</w:t>
      </w:r>
      <w:r>
        <w:rPr>
          <w:rFonts w:hint="eastAsia" w:hAnsi="宋体"/>
          <w:color w:val="000000" w:themeColor="text1"/>
          <w:szCs w:val="21"/>
          <w:highlight w:val="none"/>
          <w:u w:val="single"/>
          <w14:textFill>
            <w14:solidFill>
              <w14:schemeClr w14:val="tx1"/>
            </w14:solidFill>
          </w14:textFill>
        </w:rPr>
        <w:t>无</w:t>
      </w:r>
      <w:r>
        <w:rPr>
          <w:rFonts w:hint="eastAsia" w:hAnsi="宋体"/>
          <w:color w:val="000000" w:themeColor="text1"/>
          <w:szCs w:val="21"/>
          <w:highlight w:val="none"/>
          <w:lang w:eastAsia="zh-CN"/>
          <w14:textFill>
            <w14:solidFill>
              <w14:schemeClr w14:val="tx1"/>
            </w14:solidFill>
          </w14:textFill>
        </w:rPr>
        <w:t>；</w:t>
      </w:r>
    </w:p>
    <w:p w14:paraId="72CCA751">
      <w:pPr>
        <w:spacing w:line="360" w:lineRule="auto"/>
        <w:ind w:firstLine="420" w:firstLineChars="200"/>
        <w:rPr>
          <w:rFonts w:hint="eastAsia" w:eastAsia="宋体"/>
          <w:color w:val="000000" w:themeColor="text1"/>
          <w:szCs w:val="21"/>
          <w:highlight w:val="none"/>
          <w:lang w:eastAsia="zh-CN"/>
          <w14:textFill>
            <w14:solidFill>
              <w14:schemeClr w14:val="tx1"/>
            </w14:solidFill>
          </w14:textFill>
        </w:rPr>
      </w:pPr>
      <w:r>
        <w:rPr>
          <w:rFonts w:hAnsi="宋体"/>
          <w:color w:val="000000" w:themeColor="text1"/>
          <w:szCs w:val="21"/>
          <w:highlight w:val="none"/>
          <w14:textFill>
            <w14:solidFill>
              <w14:schemeClr w14:val="tx1"/>
            </w14:solidFill>
          </w14:textFill>
        </w:rPr>
        <w:t>承包人提供的文件的数量为：</w:t>
      </w:r>
      <w:r>
        <w:rPr>
          <w:rFonts w:hint="eastAsia" w:hAnsi="宋体"/>
          <w:color w:val="000000" w:themeColor="text1"/>
          <w:szCs w:val="21"/>
          <w:highlight w:val="none"/>
          <w:u w:val="single"/>
          <w14:textFill>
            <w14:solidFill>
              <w14:schemeClr w14:val="tx1"/>
            </w14:solidFill>
          </w14:textFill>
        </w:rPr>
        <w:t>无</w:t>
      </w:r>
      <w:r>
        <w:rPr>
          <w:rFonts w:hint="eastAsia" w:hAnsi="宋体"/>
          <w:color w:val="000000" w:themeColor="text1"/>
          <w:szCs w:val="21"/>
          <w:highlight w:val="none"/>
          <w:lang w:eastAsia="zh-CN"/>
          <w14:textFill>
            <w14:solidFill>
              <w14:schemeClr w14:val="tx1"/>
            </w14:solidFill>
          </w14:textFill>
        </w:rPr>
        <w:t>；</w:t>
      </w:r>
    </w:p>
    <w:p w14:paraId="6665DB9F">
      <w:pPr>
        <w:spacing w:line="360" w:lineRule="auto"/>
        <w:ind w:firstLine="420" w:firstLineChars="200"/>
        <w:rPr>
          <w:rFonts w:hint="eastAsia" w:eastAsia="宋体"/>
          <w:color w:val="000000" w:themeColor="text1"/>
          <w:szCs w:val="21"/>
          <w:highlight w:val="none"/>
          <w:lang w:eastAsia="zh-CN"/>
          <w14:textFill>
            <w14:solidFill>
              <w14:schemeClr w14:val="tx1"/>
            </w14:solidFill>
          </w14:textFill>
        </w:rPr>
      </w:pPr>
      <w:r>
        <w:rPr>
          <w:rFonts w:hAnsi="宋体"/>
          <w:color w:val="000000" w:themeColor="text1"/>
          <w:szCs w:val="21"/>
          <w:highlight w:val="none"/>
          <w14:textFill>
            <w14:solidFill>
              <w14:schemeClr w14:val="tx1"/>
            </w14:solidFill>
          </w14:textFill>
        </w:rPr>
        <w:t>承包人提供的文件的形式为：</w:t>
      </w:r>
      <w:r>
        <w:rPr>
          <w:rFonts w:hint="eastAsia" w:hAnsi="宋体"/>
          <w:color w:val="000000" w:themeColor="text1"/>
          <w:szCs w:val="21"/>
          <w:highlight w:val="none"/>
          <w:u w:val="single"/>
          <w14:textFill>
            <w14:solidFill>
              <w14:schemeClr w14:val="tx1"/>
            </w14:solidFill>
          </w14:textFill>
        </w:rPr>
        <w:t>书面文件</w:t>
      </w:r>
      <w:r>
        <w:rPr>
          <w:rFonts w:hint="eastAsia" w:hAnsi="宋体"/>
          <w:color w:val="000000" w:themeColor="text1"/>
          <w:szCs w:val="21"/>
          <w:highlight w:val="none"/>
          <w:lang w:eastAsia="zh-CN"/>
          <w14:textFill>
            <w14:solidFill>
              <w14:schemeClr w14:val="tx1"/>
            </w14:solidFill>
          </w14:textFill>
        </w:rPr>
        <w:t>；</w:t>
      </w:r>
    </w:p>
    <w:p w14:paraId="40D0B6A8">
      <w:pPr>
        <w:spacing w:line="360" w:lineRule="auto"/>
        <w:ind w:firstLine="420" w:firstLineChars="200"/>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发包人审批承包人文件的期限：</w:t>
      </w:r>
      <w:r>
        <w:rPr>
          <w:rFonts w:hint="eastAsia" w:hAnsi="宋体"/>
          <w:color w:val="000000" w:themeColor="text1"/>
          <w:szCs w:val="21"/>
          <w:highlight w:val="none"/>
          <w:u w:val="single"/>
          <w14:textFill>
            <w14:solidFill>
              <w14:schemeClr w14:val="tx1"/>
            </w14:solidFill>
          </w14:textFill>
        </w:rPr>
        <w:t xml:space="preserve"> 10个工作日</w:t>
      </w:r>
      <w:r>
        <w:rPr>
          <w:rFonts w:hAnsi="宋体"/>
          <w:color w:val="000000" w:themeColor="text1"/>
          <w:szCs w:val="21"/>
          <w:highlight w:val="none"/>
          <w14:textFill>
            <w14:solidFill>
              <w14:schemeClr w14:val="tx1"/>
            </w14:solidFill>
          </w14:textFill>
        </w:rPr>
        <w:t>。</w:t>
      </w:r>
    </w:p>
    <w:p w14:paraId="5280BAAB">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1.6.5 </w:t>
      </w:r>
      <w:r>
        <w:rPr>
          <w:rFonts w:hAnsi="宋体"/>
          <w:color w:val="000000" w:themeColor="text1"/>
          <w:szCs w:val="21"/>
          <w:highlight w:val="none"/>
          <w14:textFill>
            <w14:solidFill>
              <w14:schemeClr w14:val="tx1"/>
            </w14:solidFill>
          </w14:textFill>
        </w:rPr>
        <w:t>现场图纸准备</w:t>
      </w:r>
    </w:p>
    <w:p w14:paraId="53278723">
      <w:pPr>
        <w:spacing w:line="360" w:lineRule="auto"/>
        <w:ind w:firstLine="420" w:firstLineChars="200"/>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关于现场图纸准备的约定：</w:t>
      </w:r>
      <w:r>
        <w:rPr>
          <w:rFonts w:hint="eastAsia" w:ascii="宋体" w:hAnsi="宋体"/>
          <w:color w:val="000000" w:themeColor="text1"/>
          <w:szCs w:val="21"/>
          <w:highlight w:val="none"/>
          <w:u w:val="single"/>
          <w14:textFill>
            <w14:solidFill>
              <w14:schemeClr w14:val="tx1"/>
            </w14:solidFill>
          </w14:textFill>
        </w:rPr>
        <w:t>按《通用合同条款》执行</w:t>
      </w:r>
      <w:r>
        <w:rPr>
          <w:rFonts w:hAnsi="宋体"/>
          <w:color w:val="000000" w:themeColor="text1"/>
          <w:szCs w:val="21"/>
          <w:highlight w:val="none"/>
          <w14:textFill>
            <w14:solidFill>
              <w14:schemeClr w14:val="tx1"/>
            </w14:solidFill>
          </w14:textFill>
        </w:rPr>
        <w:t>。</w:t>
      </w:r>
    </w:p>
    <w:p w14:paraId="195841D0">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1.7 联络</w:t>
      </w:r>
    </w:p>
    <w:p w14:paraId="6C4842C9">
      <w:pPr>
        <w:spacing w:line="440" w:lineRule="exact"/>
        <w:ind w:firstLine="420" w:firstLineChars="200"/>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1.7.1发包人和承包人应当在</w:t>
      </w:r>
      <w:r>
        <w:rPr>
          <w:rFonts w:hint="eastAsia" w:ascii="宋体" w:hAnsi="宋体" w:cs="宋体"/>
          <w:color w:val="000000" w:themeColor="text1"/>
          <w:szCs w:val="21"/>
          <w:highlight w:val="none"/>
          <w:u w:val="single"/>
          <w14:textFill>
            <w14:solidFill>
              <w14:schemeClr w14:val="tx1"/>
            </w14:solidFill>
          </w14:textFill>
        </w:rPr>
        <w:t>3</w:t>
      </w:r>
      <w:r>
        <w:rPr>
          <w:rFonts w:ascii="宋体" w:hAnsi="宋体"/>
          <w:color w:val="000000" w:themeColor="text1"/>
          <w:kern w:val="0"/>
          <w:szCs w:val="21"/>
          <w:highlight w:val="none"/>
          <w14:textFill>
            <w14:solidFill>
              <w14:schemeClr w14:val="tx1"/>
            </w14:solidFill>
          </w14:textFill>
        </w:rPr>
        <w:t>天内将与合同有关的通知、批准、证明、证书、指示、指令、要求、请求、同意、意见、确定和决定等书面函件送达对方当事人</w:t>
      </w:r>
      <w:r>
        <w:rPr>
          <w:rFonts w:hint="eastAsia" w:ascii="宋体" w:hAnsi="宋体"/>
          <w:color w:val="000000" w:themeColor="text1"/>
          <w:kern w:val="0"/>
          <w:szCs w:val="21"/>
          <w:highlight w:val="none"/>
          <w14:textFill>
            <w14:solidFill>
              <w14:schemeClr w14:val="tx1"/>
            </w14:solidFill>
          </w14:textFill>
        </w:rPr>
        <w:t>。</w:t>
      </w:r>
    </w:p>
    <w:p w14:paraId="6E1E6C62">
      <w:pPr>
        <w:spacing w:line="440" w:lineRule="exact"/>
        <w:ind w:firstLine="420" w:firstLineChars="200"/>
        <w:rPr>
          <w:rFonts w:hint="eastAsia" w:ascii="宋体" w:hAnsi="宋体" w:eastAsia="宋体"/>
          <w:color w:val="000000" w:themeColor="text1"/>
          <w:kern w:val="0"/>
          <w:szCs w:val="21"/>
          <w:highlight w:val="none"/>
          <w:lang w:eastAsia="zh-CN"/>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1.7.2 发包人接收文件的地点：</w:t>
      </w:r>
      <w:r>
        <w:rPr>
          <w:rFonts w:hint="eastAsia" w:hAnsi="宋体"/>
          <w:color w:val="000000" w:themeColor="text1"/>
          <w:szCs w:val="21"/>
          <w:highlight w:val="none"/>
          <w:u w:val="single"/>
          <w14:textFill>
            <w14:solidFill>
              <w14:schemeClr w14:val="tx1"/>
            </w14:solidFill>
          </w14:textFill>
        </w:rPr>
        <w:t>工程项目部</w:t>
      </w:r>
      <w:r>
        <w:rPr>
          <w:rFonts w:hint="eastAsia" w:ascii="宋体" w:hAnsi="宋体"/>
          <w:color w:val="000000" w:themeColor="text1"/>
          <w:kern w:val="0"/>
          <w:szCs w:val="21"/>
          <w:highlight w:val="none"/>
          <w:lang w:eastAsia="zh-CN"/>
          <w14:textFill>
            <w14:solidFill>
              <w14:schemeClr w14:val="tx1"/>
            </w14:solidFill>
          </w14:textFill>
        </w:rPr>
        <w:t>；</w:t>
      </w:r>
    </w:p>
    <w:p w14:paraId="45CC4230">
      <w:pPr>
        <w:spacing w:line="440" w:lineRule="exact"/>
        <w:ind w:firstLine="420" w:firstLineChars="200"/>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发包人指定的接收人为：。</w:t>
      </w:r>
    </w:p>
    <w:p w14:paraId="640F888D">
      <w:pPr>
        <w:spacing w:line="440" w:lineRule="exact"/>
        <w:ind w:firstLine="420" w:firstLineChars="200"/>
        <w:rPr>
          <w:rFonts w:hint="eastAsia" w:ascii="宋体" w:hAnsi="宋体" w:eastAsia="宋体"/>
          <w:color w:val="000000" w:themeColor="text1"/>
          <w:kern w:val="0"/>
          <w:szCs w:val="21"/>
          <w:highlight w:val="none"/>
          <w:lang w:eastAsia="zh-CN"/>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承包人接收文件的地点：</w:t>
      </w:r>
      <w:r>
        <w:rPr>
          <w:rFonts w:hint="eastAsia" w:hAnsi="宋体"/>
          <w:color w:val="000000" w:themeColor="text1"/>
          <w:szCs w:val="21"/>
          <w:highlight w:val="none"/>
          <w:u w:val="single"/>
          <w14:textFill>
            <w14:solidFill>
              <w14:schemeClr w14:val="tx1"/>
            </w14:solidFill>
          </w14:textFill>
        </w:rPr>
        <w:t>工程项目部</w:t>
      </w:r>
      <w:r>
        <w:rPr>
          <w:rFonts w:hint="eastAsia" w:ascii="宋体" w:hAnsi="宋体"/>
          <w:color w:val="000000" w:themeColor="text1"/>
          <w:kern w:val="0"/>
          <w:szCs w:val="21"/>
          <w:highlight w:val="none"/>
          <w:lang w:eastAsia="zh-CN"/>
          <w14:textFill>
            <w14:solidFill>
              <w14:schemeClr w14:val="tx1"/>
            </w14:solidFill>
          </w14:textFill>
        </w:rPr>
        <w:t>；</w:t>
      </w:r>
    </w:p>
    <w:p w14:paraId="01913A4E">
      <w:pPr>
        <w:spacing w:line="440" w:lineRule="exact"/>
        <w:ind w:firstLine="420" w:firstLineChars="200"/>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承包人指定的接收人为：。</w:t>
      </w:r>
    </w:p>
    <w:p w14:paraId="5D6ABE11">
      <w:pPr>
        <w:spacing w:line="440" w:lineRule="exact"/>
        <w:ind w:firstLine="420" w:firstLineChars="200"/>
        <w:rPr>
          <w:rFonts w:hint="eastAsia" w:ascii="宋体" w:hAnsi="宋体" w:eastAsia="宋体"/>
          <w:color w:val="000000" w:themeColor="text1"/>
          <w:kern w:val="0"/>
          <w:szCs w:val="21"/>
          <w:highlight w:val="none"/>
          <w:lang w:eastAsia="zh-CN"/>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监理人接收文件的地点：</w:t>
      </w:r>
      <w:r>
        <w:rPr>
          <w:rFonts w:hint="eastAsia" w:hAnsi="宋体"/>
          <w:color w:val="000000" w:themeColor="text1"/>
          <w:szCs w:val="21"/>
          <w:highlight w:val="none"/>
          <w:u w:val="single"/>
          <w14:textFill>
            <w14:solidFill>
              <w14:schemeClr w14:val="tx1"/>
            </w14:solidFill>
          </w14:textFill>
        </w:rPr>
        <w:t>工程项目部</w:t>
      </w:r>
      <w:r>
        <w:rPr>
          <w:rFonts w:hint="eastAsia" w:ascii="宋体" w:hAnsi="宋体"/>
          <w:color w:val="000000" w:themeColor="text1"/>
          <w:kern w:val="0"/>
          <w:szCs w:val="21"/>
          <w:highlight w:val="none"/>
          <w:lang w:eastAsia="zh-CN"/>
          <w14:textFill>
            <w14:solidFill>
              <w14:schemeClr w14:val="tx1"/>
            </w14:solidFill>
          </w14:textFill>
        </w:rPr>
        <w:t>；</w:t>
      </w:r>
    </w:p>
    <w:p w14:paraId="7AE68D6C">
      <w:pPr>
        <w:spacing w:line="440" w:lineRule="exact"/>
        <w:ind w:firstLine="420" w:firstLineChars="200"/>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监理人指定的接收人为：。</w:t>
      </w:r>
    </w:p>
    <w:p w14:paraId="32D593E3">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8</w:t>
      </w:r>
      <w:r>
        <w:rPr>
          <w:rFonts w:ascii="宋体" w:hAnsi="宋体"/>
          <w:color w:val="000000" w:themeColor="text1"/>
          <w:szCs w:val="21"/>
          <w:highlight w:val="none"/>
          <w14:textFill>
            <w14:solidFill>
              <w14:schemeClr w14:val="tx1"/>
            </w14:solidFill>
          </w14:textFill>
        </w:rPr>
        <w:t xml:space="preserve"> 交通运输</w:t>
      </w:r>
    </w:p>
    <w:p w14:paraId="41F1B2EC">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bookmarkStart w:id="303" w:name="_Toc300934943"/>
      <w:bookmarkStart w:id="304" w:name="_Toc318581155"/>
      <w:bookmarkStart w:id="305" w:name="_Toc304295521"/>
      <w:bookmarkStart w:id="306" w:name="_Toc312677986"/>
      <w:bookmarkStart w:id="307" w:name="_Toc303539100"/>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8</w:t>
      </w:r>
      <w:r>
        <w:rPr>
          <w:rFonts w:ascii="宋体" w:hAnsi="宋体"/>
          <w:color w:val="000000" w:themeColor="text1"/>
          <w:szCs w:val="21"/>
          <w:highlight w:val="none"/>
          <w14:textFill>
            <w14:solidFill>
              <w14:schemeClr w14:val="tx1"/>
            </w14:solidFill>
          </w14:textFill>
        </w:rPr>
        <w:t>.1 出入现场的权利</w:t>
      </w:r>
    </w:p>
    <w:p w14:paraId="1AC49A50">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关于出入现场的权利的约定：</w:t>
      </w:r>
      <w:r>
        <w:rPr>
          <w:rFonts w:hint="eastAsia" w:ascii="宋体" w:hAnsi="宋体"/>
          <w:bCs/>
          <w:color w:val="000000" w:themeColor="text1"/>
          <w:szCs w:val="21"/>
          <w:highlight w:val="none"/>
          <w:u w:val="single"/>
          <w14:textFill>
            <w14:solidFill>
              <w14:schemeClr w14:val="tx1"/>
            </w14:solidFill>
          </w14:textFill>
        </w:rPr>
        <w:t>发包人应根据施工需要，负责取得出入施工现场所需的批准手续和全部权利，以及取得因施工所需修建道路及其他基础设施的权利，并承担相关手续费用和建设费用。承包人应协助发包人办理修建场内外道路及其他基础设施的手续。</w:t>
      </w:r>
    </w:p>
    <w:bookmarkEnd w:id="303"/>
    <w:bookmarkEnd w:id="304"/>
    <w:bookmarkEnd w:id="305"/>
    <w:bookmarkEnd w:id="306"/>
    <w:bookmarkEnd w:id="307"/>
    <w:p w14:paraId="7B3BE00E">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bookmarkStart w:id="308" w:name="_Toc312677987"/>
      <w:bookmarkStart w:id="309" w:name="_Toc304295522"/>
      <w:bookmarkStart w:id="310" w:name="_Toc300934944"/>
      <w:bookmarkStart w:id="311" w:name="_Toc303539101"/>
      <w:bookmarkStart w:id="312" w:name="_Toc318581156"/>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8</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场内交通</w:t>
      </w:r>
    </w:p>
    <w:p w14:paraId="6C500471">
      <w:pPr>
        <w:spacing w:line="400" w:lineRule="exact"/>
        <w:ind w:firstLine="424" w:firstLineChars="202"/>
        <w:jc w:val="left"/>
        <w:rPr>
          <w:rFonts w:ascii="宋体" w:hAnsi="宋体"/>
          <w:bCs/>
          <w:color w:val="000000" w:themeColor="text1"/>
          <w:szCs w:val="21"/>
          <w:highlight w:val="none"/>
          <w:u w:val="singl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关于场外交通和场内交通的边界的约定：</w:t>
      </w:r>
      <w:r>
        <w:rPr>
          <w:rFonts w:hint="eastAsia" w:ascii="宋体" w:hAnsi="宋体"/>
          <w:bCs/>
          <w:color w:val="000000" w:themeColor="text1"/>
          <w:szCs w:val="21"/>
          <w:highlight w:val="none"/>
          <w:u w:val="single"/>
          <w14:textFill>
            <w14:solidFill>
              <w14:schemeClr w14:val="tx1"/>
            </w14:solidFill>
          </w14:textFill>
        </w:rPr>
        <w:t>建筑征地红线范围内的为场内交通，建筑征地红线范围外的为场外交通。</w:t>
      </w:r>
    </w:p>
    <w:p w14:paraId="2EB52F0B">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关于发包人向承包人免费提供满足工程施工需要的场内道路和交通设施的约定：</w:t>
      </w:r>
      <w:r>
        <w:rPr>
          <w:rFonts w:hint="eastAsia" w:ascii="宋体" w:hAnsi="宋体" w:cs="宋体"/>
          <w:color w:val="000000" w:themeColor="text1"/>
          <w:szCs w:val="21"/>
          <w:highlight w:val="none"/>
          <w:u w:val="single"/>
          <w14:textFill>
            <w14:solidFill>
              <w14:schemeClr w14:val="tx1"/>
            </w14:solidFill>
          </w14:textFill>
        </w:rPr>
        <w:t>无</w:t>
      </w:r>
      <w:r>
        <w:rPr>
          <w:rFonts w:ascii="宋体" w:hAnsi="宋体"/>
          <w:color w:val="000000" w:themeColor="text1"/>
          <w:szCs w:val="21"/>
          <w:highlight w:val="none"/>
          <w14:textFill>
            <w14:solidFill>
              <w14:schemeClr w14:val="tx1"/>
            </w14:solidFill>
          </w14:textFill>
        </w:rPr>
        <w:t>。</w:t>
      </w:r>
      <w:bookmarkEnd w:id="308"/>
      <w:bookmarkEnd w:id="309"/>
      <w:bookmarkEnd w:id="310"/>
      <w:bookmarkEnd w:id="311"/>
      <w:bookmarkEnd w:id="312"/>
      <w:bookmarkStart w:id="313" w:name="_Toc318581157"/>
    </w:p>
    <w:p w14:paraId="213F4ACF">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8</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3</w:t>
      </w:r>
      <w:r>
        <w:rPr>
          <w:rFonts w:ascii="宋体" w:hAnsi="宋体"/>
          <w:color w:val="000000" w:themeColor="text1"/>
          <w:szCs w:val="21"/>
          <w:highlight w:val="none"/>
          <w14:textFill>
            <w14:solidFill>
              <w14:schemeClr w14:val="tx1"/>
            </w14:solidFill>
          </w14:textFill>
        </w:rPr>
        <w:t>超大件和超重件的运输</w:t>
      </w:r>
    </w:p>
    <w:p w14:paraId="02B62D97">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运输超大件或超重件所需的道路和桥梁临时加固改造费用和其他有关费用由承担。</w:t>
      </w:r>
    </w:p>
    <w:bookmarkEnd w:id="313"/>
    <w:p w14:paraId="60008302">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9</w:t>
      </w:r>
      <w:r>
        <w:rPr>
          <w:rFonts w:ascii="宋体" w:hAnsi="宋体"/>
          <w:color w:val="000000" w:themeColor="text1"/>
          <w:szCs w:val="21"/>
          <w:highlight w:val="none"/>
          <w14:textFill>
            <w14:solidFill>
              <w14:schemeClr w14:val="tx1"/>
            </w14:solidFill>
          </w14:textFill>
        </w:rPr>
        <w:t xml:space="preserve"> 知识产权</w:t>
      </w:r>
    </w:p>
    <w:p w14:paraId="762EB345">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9</w:t>
      </w:r>
      <w:r>
        <w:rPr>
          <w:rFonts w:ascii="宋体" w:hAnsi="宋体"/>
          <w:color w:val="000000" w:themeColor="text1"/>
          <w:szCs w:val="21"/>
          <w:highlight w:val="none"/>
          <w14:textFill>
            <w14:solidFill>
              <w14:schemeClr w14:val="tx1"/>
            </w14:solidFill>
          </w14:textFill>
        </w:rPr>
        <w:t>.1关于发包人提供给承包人的图纸、发包人为实施工程自行编制或委托编制的技术规范以及反映发包人关于合同要求或其他类似性质的文件的著作权的归属：</w:t>
      </w:r>
      <w:r>
        <w:rPr>
          <w:rFonts w:hint="eastAsia" w:ascii="宋体" w:hAnsi="宋体" w:cs="宋体"/>
          <w:color w:val="000000" w:themeColor="text1"/>
          <w:szCs w:val="21"/>
          <w:highlight w:val="none"/>
          <w:u w:val="single"/>
          <w14:textFill>
            <w14:solidFill>
              <w14:schemeClr w14:val="tx1"/>
            </w14:solidFill>
          </w14:textFill>
        </w:rPr>
        <w:t xml:space="preserve">无     </w:t>
      </w:r>
      <w:r>
        <w:rPr>
          <w:rFonts w:ascii="宋体" w:hAnsi="宋体"/>
          <w:color w:val="000000" w:themeColor="text1"/>
          <w:szCs w:val="21"/>
          <w:highlight w:val="none"/>
          <w14:textFill>
            <w14:solidFill>
              <w14:schemeClr w14:val="tx1"/>
            </w14:solidFill>
          </w14:textFill>
        </w:rPr>
        <w:t>。</w:t>
      </w:r>
    </w:p>
    <w:p w14:paraId="50FFEE1C">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关于发包人提供的上述文件的使用限制的要求：。</w:t>
      </w:r>
    </w:p>
    <w:p w14:paraId="5D88F943">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9</w:t>
      </w:r>
      <w:r>
        <w:rPr>
          <w:rFonts w:ascii="宋体" w:hAnsi="宋体"/>
          <w:color w:val="000000" w:themeColor="text1"/>
          <w:szCs w:val="21"/>
          <w:highlight w:val="none"/>
          <w14:textFill>
            <w14:solidFill>
              <w14:schemeClr w14:val="tx1"/>
            </w14:solidFill>
          </w14:textFill>
        </w:rPr>
        <w:t>.2 关于承包人为实施工程所编制文件的著作权的归属：</w:t>
      </w:r>
      <w:r>
        <w:rPr>
          <w:rFonts w:hint="eastAsia" w:ascii="宋体" w:hAnsi="宋体" w:cs="宋体"/>
          <w:color w:val="000000" w:themeColor="text1"/>
          <w:szCs w:val="21"/>
          <w:highlight w:val="none"/>
          <w:u w:val="single"/>
          <w14:textFill>
            <w14:solidFill>
              <w14:schemeClr w14:val="tx1"/>
            </w14:solidFill>
          </w14:textFill>
        </w:rPr>
        <w:t>无</w:t>
      </w:r>
      <w:r>
        <w:rPr>
          <w:rFonts w:ascii="宋体" w:hAnsi="宋体"/>
          <w:color w:val="000000" w:themeColor="text1"/>
          <w:szCs w:val="21"/>
          <w:highlight w:val="none"/>
          <w14:textFill>
            <w14:solidFill>
              <w14:schemeClr w14:val="tx1"/>
            </w14:solidFill>
          </w14:textFill>
        </w:rPr>
        <w:t>。</w:t>
      </w:r>
    </w:p>
    <w:p w14:paraId="3B2D1790">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关于承包人提供的上述文件的使用限制的要求：</w:t>
      </w:r>
      <w:r>
        <w:rPr>
          <w:rFonts w:hint="eastAsia" w:ascii="宋体" w:hAnsi="宋体" w:cs="宋体"/>
          <w:color w:val="000000" w:themeColor="text1"/>
          <w:szCs w:val="21"/>
          <w:highlight w:val="none"/>
          <w:u w:val="single"/>
          <w14:textFill>
            <w14:solidFill>
              <w14:schemeClr w14:val="tx1"/>
            </w14:solidFill>
          </w14:textFill>
        </w:rPr>
        <w:t xml:space="preserve">无   </w:t>
      </w:r>
      <w:r>
        <w:rPr>
          <w:rFonts w:ascii="宋体" w:hAnsi="宋体"/>
          <w:color w:val="000000" w:themeColor="text1"/>
          <w:szCs w:val="21"/>
          <w:highlight w:val="none"/>
          <w14:textFill>
            <w14:solidFill>
              <w14:schemeClr w14:val="tx1"/>
            </w14:solidFill>
          </w14:textFill>
        </w:rPr>
        <w:t>。</w:t>
      </w:r>
    </w:p>
    <w:p w14:paraId="0BEFB7EF">
      <w:pPr>
        <w:spacing w:line="440" w:lineRule="exact"/>
        <w:ind w:firstLine="420" w:firstLineChars="200"/>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9</w:t>
      </w:r>
      <w:r>
        <w:rPr>
          <w:rFonts w:ascii="宋体" w:hAnsi="宋体"/>
          <w:color w:val="000000" w:themeColor="text1"/>
          <w:szCs w:val="21"/>
          <w:highlight w:val="none"/>
          <w14:textFill>
            <w14:solidFill>
              <w14:schemeClr w14:val="tx1"/>
            </w14:solidFill>
          </w14:textFill>
        </w:rPr>
        <w:t>.4 承包人在施工过程中所采用的专利、专有技术、技术秘密的使用费的承担方式：</w:t>
      </w:r>
      <w:r>
        <w:rPr>
          <w:rFonts w:hint="eastAsia" w:ascii="宋体" w:hAnsi="宋体" w:cs="宋体"/>
          <w:color w:val="000000" w:themeColor="text1"/>
          <w:szCs w:val="21"/>
          <w:highlight w:val="none"/>
          <w:u w:val="single"/>
          <w14:textFill>
            <w14:solidFill>
              <w14:schemeClr w14:val="tx1"/>
            </w14:solidFill>
          </w14:textFill>
        </w:rPr>
        <w:t>无</w:t>
      </w:r>
      <w:r>
        <w:rPr>
          <w:rFonts w:ascii="宋体" w:hAnsi="宋体"/>
          <w:color w:val="000000" w:themeColor="text1"/>
          <w:kern w:val="0"/>
          <w:szCs w:val="21"/>
          <w:highlight w:val="none"/>
          <w14:textFill>
            <w14:solidFill>
              <w14:schemeClr w14:val="tx1"/>
            </w14:solidFill>
          </w14:textFill>
        </w:rPr>
        <w:t>。</w:t>
      </w:r>
    </w:p>
    <w:p w14:paraId="63C3F20B">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1.1</w:t>
      </w:r>
      <w:r>
        <w:rPr>
          <w:rFonts w:hint="eastAsia" w:ascii="宋体" w:hAnsi="宋体"/>
          <w:color w:val="000000" w:themeColor="text1"/>
          <w:szCs w:val="21"/>
          <w:highlight w:val="none"/>
          <w14:textFill>
            <w14:solidFill>
              <w14:schemeClr w14:val="tx1"/>
            </w14:solidFill>
          </w14:textFill>
        </w:rPr>
        <w:t>0</w:t>
      </w:r>
      <w:r>
        <w:rPr>
          <w:rFonts w:ascii="宋体" w:hAnsi="宋体"/>
          <w:color w:val="000000" w:themeColor="text1"/>
          <w:szCs w:val="21"/>
          <w:highlight w:val="none"/>
          <w14:textFill>
            <w14:solidFill>
              <w14:schemeClr w14:val="tx1"/>
            </w14:solidFill>
          </w14:textFill>
        </w:rPr>
        <w:t>工程量清单错误的修正</w:t>
      </w:r>
    </w:p>
    <w:p w14:paraId="37DE30AF">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出现工程量清单错误时，是否调整合同价格：</w:t>
      </w:r>
      <w:r>
        <w:rPr>
          <w:rFonts w:hint="eastAsia" w:ascii="宋体" w:hAnsi="宋体"/>
          <w:color w:val="000000" w:themeColor="text1"/>
          <w:szCs w:val="21"/>
          <w:highlight w:val="none"/>
          <w:u w:val="single"/>
          <w14:textFill>
            <w14:solidFill>
              <w14:schemeClr w14:val="tx1"/>
            </w14:solidFill>
          </w14:textFill>
        </w:rPr>
        <w:t xml:space="preserve">  是</w:t>
      </w:r>
      <w:r>
        <w:rPr>
          <w:rFonts w:ascii="宋体" w:hAnsi="宋体"/>
          <w:color w:val="000000" w:themeColor="text1"/>
          <w:kern w:val="0"/>
          <w:szCs w:val="21"/>
          <w:highlight w:val="none"/>
          <w14:textFill>
            <w14:solidFill>
              <w14:schemeClr w14:val="tx1"/>
            </w14:solidFill>
          </w14:textFill>
        </w:rPr>
        <w:t>。</w:t>
      </w:r>
    </w:p>
    <w:p w14:paraId="5FEC70C1">
      <w:pPr>
        <w:spacing w:line="440" w:lineRule="exact"/>
        <w:ind w:firstLine="420" w:firstLineChars="200"/>
        <w:rPr>
          <w:rFonts w:ascii="宋体" w:hAnsi="宋体"/>
          <w:color w:val="000000" w:themeColor="text1"/>
          <w:szCs w:val="21"/>
          <w:highlight w:val="none"/>
          <w:u w:val="single"/>
          <w14:textFill>
            <w14:solidFill>
              <w14:schemeClr w14:val="tx1"/>
            </w14:solidFill>
          </w14:textFill>
        </w:rPr>
      </w:pPr>
      <w:r>
        <w:rPr>
          <w:rFonts w:ascii="宋体" w:hAnsi="宋体"/>
          <w:color w:val="000000" w:themeColor="text1"/>
          <w:szCs w:val="21"/>
          <w:highlight w:val="none"/>
          <w14:textFill>
            <w14:solidFill>
              <w14:schemeClr w14:val="tx1"/>
            </w14:solidFill>
          </w14:textFill>
        </w:rPr>
        <w:t>允许调整合同价格的工程量偏差范围：</w:t>
      </w:r>
      <w:r>
        <w:rPr>
          <w:rFonts w:hint="eastAsia" w:ascii="宋体" w:hAnsi="宋体"/>
          <w:color w:val="000000" w:themeColor="text1"/>
          <w:szCs w:val="21"/>
          <w:highlight w:val="none"/>
          <w14:textFill>
            <w14:solidFill>
              <w14:schemeClr w14:val="tx1"/>
            </w14:solidFill>
          </w14:textFill>
        </w:rPr>
        <w:t>。</w:t>
      </w:r>
    </w:p>
    <w:p w14:paraId="05968309">
      <w:pPr>
        <w:keepNext/>
        <w:keepLines/>
        <w:widowControl/>
        <w:spacing w:before="120" w:after="120" w:line="440" w:lineRule="exact"/>
        <w:ind w:firstLine="281" w:firstLineChars="100"/>
        <w:outlineLvl w:val="3"/>
        <w:rPr>
          <w:rFonts w:ascii="宋体" w:hAnsi="宋体" w:eastAsia="黑体"/>
          <w:b/>
          <w:color w:val="000000" w:themeColor="text1"/>
          <w:kern w:val="0"/>
          <w:sz w:val="28"/>
          <w:szCs w:val="21"/>
          <w:highlight w:val="none"/>
          <w14:textFill>
            <w14:solidFill>
              <w14:schemeClr w14:val="tx1"/>
            </w14:solidFill>
          </w14:textFill>
        </w:rPr>
      </w:pPr>
      <w:bookmarkStart w:id="314" w:name="_Toc351203634"/>
      <w:r>
        <w:rPr>
          <w:rFonts w:ascii="宋体" w:hAnsi="宋体" w:eastAsia="黑体"/>
          <w:b/>
          <w:color w:val="000000" w:themeColor="text1"/>
          <w:kern w:val="0"/>
          <w:sz w:val="28"/>
          <w:szCs w:val="21"/>
          <w:highlight w:val="none"/>
          <w14:textFill>
            <w14:solidFill>
              <w14:schemeClr w14:val="tx1"/>
            </w14:solidFill>
          </w14:textFill>
        </w:rPr>
        <w:t>2</w:t>
      </w:r>
      <w:bookmarkStart w:id="315" w:name="_Toc296503157"/>
      <w:bookmarkStart w:id="316" w:name="_Toc296891197"/>
      <w:bookmarkStart w:id="317" w:name="_Toc297120457"/>
      <w:bookmarkStart w:id="318" w:name="_Toc292559362"/>
      <w:bookmarkStart w:id="319" w:name="_Toc296346658"/>
      <w:bookmarkStart w:id="320" w:name="_Toc296347156"/>
      <w:bookmarkStart w:id="321" w:name="_Toc296890985"/>
      <w:bookmarkStart w:id="322" w:name="_Toc297048343"/>
      <w:bookmarkStart w:id="323" w:name="_Toc296944496"/>
      <w:bookmarkStart w:id="324" w:name="_Toc292559867"/>
      <w:r>
        <w:rPr>
          <w:rFonts w:ascii="宋体" w:hAnsi="宋体" w:eastAsia="黑体"/>
          <w:b/>
          <w:color w:val="000000" w:themeColor="text1"/>
          <w:kern w:val="0"/>
          <w:sz w:val="28"/>
          <w:szCs w:val="21"/>
          <w:highlight w:val="none"/>
          <w14:textFill>
            <w14:solidFill>
              <w14:schemeClr w14:val="tx1"/>
            </w14:solidFill>
          </w14:textFill>
        </w:rPr>
        <w:t>. 发包人</w:t>
      </w:r>
      <w:bookmarkEnd w:id="314"/>
    </w:p>
    <w:bookmarkEnd w:id="315"/>
    <w:bookmarkEnd w:id="316"/>
    <w:bookmarkEnd w:id="317"/>
    <w:bookmarkEnd w:id="318"/>
    <w:bookmarkEnd w:id="319"/>
    <w:bookmarkEnd w:id="320"/>
    <w:bookmarkEnd w:id="321"/>
    <w:bookmarkEnd w:id="322"/>
    <w:bookmarkEnd w:id="323"/>
    <w:bookmarkEnd w:id="324"/>
    <w:p w14:paraId="71EEADAE">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 xml:space="preserve"> 发包人代表</w:t>
      </w:r>
    </w:p>
    <w:p w14:paraId="1F1570B4">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发包人代表：</w:t>
      </w:r>
    </w:p>
    <w:p w14:paraId="3E7A7B82">
      <w:pPr>
        <w:spacing w:line="440" w:lineRule="exact"/>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ascii="宋体" w:hAnsi="宋体"/>
          <w:color w:val="000000" w:themeColor="text1"/>
          <w:szCs w:val="21"/>
          <w:highlight w:val="none"/>
          <w14:textFill>
            <w14:solidFill>
              <w14:schemeClr w14:val="tx1"/>
            </w14:solidFill>
          </w14:textFill>
        </w:rPr>
        <w:t>姓    名：</w:t>
      </w:r>
      <w:r>
        <w:rPr>
          <w:rFonts w:hint="eastAsia" w:ascii="宋体" w:hAnsi="宋体"/>
          <w:color w:val="000000" w:themeColor="text1"/>
          <w:szCs w:val="21"/>
          <w:highlight w:val="none"/>
          <w:lang w:eastAsia="zh-CN"/>
          <w14:textFill>
            <w14:solidFill>
              <w14:schemeClr w14:val="tx1"/>
            </w14:solidFill>
          </w14:textFill>
        </w:rPr>
        <w:t>；</w:t>
      </w:r>
    </w:p>
    <w:p w14:paraId="7D519E59">
      <w:pPr>
        <w:spacing w:line="440" w:lineRule="exact"/>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ascii="宋体" w:hAnsi="宋体"/>
          <w:color w:val="000000" w:themeColor="text1"/>
          <w:szCs w:val="21"/>
          <w:highlight w:val="none"/>
          <w14:textFill>
            <w14:solidFill>
              <w14:schemeClr w14:val="tx1"/>
            </w14:solidFill>
          </w14:textFill>
        </w:rPr>
        <w:t>身份证号：</w:t>
      </w:r>
      <w:r>
        <w:rPr>
          <w:rFonts w:hint="eastAsia" w:ascii="宋体" w:hAnsi="宋体"/>
          <w:color w:val="000000" w:themeColor="text1"/>
          <w:szCs w:val="21"/>
          <w:highlight w:val="none"/>
          <w:lang w:eastAsia="zh-CN"/>
          <w14:textFill>
            <w14:solidFill>
              <w14:schemeClr w14:val="tx1"/>
            </w14:solidFill>
          </w14:textFill>
        </w:rPr>
        <w:t>；</w:t>
      </w:r>
    </w:p>
    <w:p w14:paraId="78DA6CA8">
      <w:pPr>
        <w:spacing w:line="440" w:lineRule="exact"/>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ascii="宋体" w:hAnsi="宋体"/>
          <w:color w:val="000000" w:themeColor="text1"/>
          <w:szCs w:val="21"/>
          <w:highlight w:val="none"/>
          <w14:textFill>
            <w14:solidFill>
              <w14:schemeClr w14:val="tx1"/>
            </w14:solidFill>
          </w14:textFill>
        </w:rPr>
        <w:t>职    务：</w:t>
      </w:r>
      <w:r>
        <w:rPr>
          <w:rFonts w:hint="eastAsia" w:ascii="宋体" w:hAnsi="宋体"/>
          <w:color w:val="000000" w:themeColor="text1"/>
          <w:szCs w:val="21"/>
          <w:highlight w:val="none"/>
          <w:lang w:eastAsia="zh-CN"/>
          <w14:textFill>
            <w14:solidFill>
              <w14:schemeClr w14:val="tx1"/>
            </w14:solidFill>
          </w14:textFill>
        </w:rPr>
        <w:t>；</w:t>
      </w:r>
    </w:p>
    <w:p w14:paraId="47A41E83">
      <w:pPr>
        <w:spacing w:line="440" w:lineRule="exact"/>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ascii="宋体" w:hAnsi="宋体"/>
          <w:color w:val="000000" w:themeColor="text1"/>
          <w:szCs w:val="21"/>
          <w:highlight w:val="none"/>
          <w14:textFill>
            <w14:solidFill>
              <w14:schemeClr w14:val="tx1"/>
            </w14:solidFill>
          </w14:textFill>
        </w:rPr>
        <w:t>联系电话：</w:t>
      </w:r>
      <w:r>
        <w:rPr>
          <w:rFonts w:hint="eastAsia" w:ascii="宋体" w:hAnsi="宋体"/>
          <w:color w:val="000000" w:themeColor="text1"/>
          <w:szCs w:val="21"/>
          <w:highlight w:val="none"/>
          <w:lang w:eastAsia="zh-CN"/>
          <w14:textFill>
            <w14:solidFill>
              <w14:schemeClr w14:val="tx1"/>
            </w14:solidFill>
          </w14:textFill>
        </w:rPr>
        <w:t>；</w:t>
      </w:r>
    </w:p>
    <w:p w14:paraId="24150878">
      <w:pPr>
        <w:spacing w:line="440" w:lineRule="exact"/>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ascii="宋体" w:hAnsi="宋体"/>
          <w:color w:val="000000" w:themeColor="text1"/>
          <w:szCs w:val="21"/>
          <w:highlight w:val="none"/>
          <w14:textFill>
            <w14:solidFill>
              <w14:schemeClr w14:val="tx1"/>
            </w14:solidFill>
          </w14:textFill>
        </w:rPr>
        <w:t>电子信箱：</w:t>
      </w:r>
      <w:r>
        <w:rPr>
          <w:rFonts w:hint="eastAsia" w:ascii="宋体" w:hAnsi="宋体"/>
          <w:color w:val="000000" w:themeColor="text1"/>
          <w:szCs w:val="21"/>
          <w:highlight w:val="none"/>
          <w:lang w:eastAsia="zh-CN"/>
          <w14:textFill>
            <w14:solidFill>
              <w14:schemeClr w14:val="tx1"/>
            </w14:solidFill>
          </w14:textFill>
        </w:rPr>
        <w:t>；</w:t>
      </w:r>
    </w:p>
    <w:p w14:paraId="7A6049F8">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通信地址：。</w:t>
      </w:r>
    </w:p>
    <w:p w14:paraId="56E3213F">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发包人对发包人代表的授权范围如下：</w:t>
      </w:r>
    </w:p>
    <w:p w14:paraId="30A3BC2D">
      <w:pPr>
        <w:spacing w:line="360" w:lineRule="auto"/>
        <w:ind w:firstLine="420" w:firstLineChars="200"/>
        <w:rPr>
          <w:rFonts w:hint="eastAsia" w:hAnsi="宋体" w:eastAsia="宋体"/>
          <w:color w:val="000000" w:themeColor="text1"/>
          <w:szCs w:val="21"/>
          <w:highlight w:val="none"/>
          <w:u w:val="single"/>
          <w:lang w:eastAsia="zh-CN"/>
          <w14:textFill>
            <w14:solidFill>
              <w14:schemeClr w14:val="tx1"/>
            </w14:solidFill>
          </w14:textFill>
        </w:rPr>
      </w:pPr>
      <w:r>
        <w:rPr>
          <w:rFonts w:hint="eastAsia" w:hAnsi="宋体"/>
          <w:color w:val="000000" w:themeColor="text1"/>
          <w:szCs w:val="21"/>
          <w:highlight w:val="none"/>
          <w:u w:val="single"/>
          <w14:textFill>
            <w14:solidFill>
              <w14:schemeClr w14:val="tx1"/>
            </w14:solidFill>
          </w14:textFill>
        </w:rPr>
        <w:t>（1）负责工程施工现场的管理</w:t>
      </w:r>
      <w:r>
        <w:rPr>
          <w:rFonts w:hint="eastAsia" w:hAnsi="宋体"/>
          <w:color w:val="000000" w:themeColor="text1"/>
          <w:szCs w:val="21"/>
          <w:highlight w:val="none"/>
          <w:u w:val="single"/>
          <w:lang w:eastAsia="zh-CN"/>
          <w14:textFill>
            <w14:solidFill>
              <w14:schemeClr w14:val="tx1"/>
            </w14:solidFill>
          </w14:textFill>
        </w:rPr>
        <w:t>；</w:t>
      </w:r>
    </w:p>
    <w:p w14:paraId="6C91D8D2">
      <w:pPr>
        <w:spacing w:line="360" w:lineRule="auto"/>
        <w:ind w:firstLine="420" w:firstLineChars="200"/>
        <w:rPr>
          <w:rFonts w:hint="eastAsia" w:hAnsi="宋体" w:eastAsia="宋体"/>
          <w:color w:val="000000" w:themeColor="text1"/>
          <w:szCs w:val="21"/>
          <w:highlight w:val="none"/>
          <w:u w:val="single"/>
          <w:lang w:eastAsia="zh-CN"/>
          <w14:textFill>
            <w14:solidFill>
              <w14:schemeClr w14:val="tx1"/>
            </w14:solidFill>
          </w14:textFill>
        </w:rPr>
      </w:pPr>
      <w:r>
        <w:rPr>
          <w:rFonts w:hint="eastAsia" w:hAnsi="宋体"/>
          <w:color w:val="000000" w:themeColor="text1"/>
          <w:szCs w:val="21"/>
          <w:highlight w:val="none"/>
          <w:u w:val="single"/>
          <w14:textFill>
            <w14:solidFill>
              <w14:schemeClr w14:val="tx1"/>
            </w14:solidFill>
          </w14:textFill>
        </w:rPr>
        <w:t>（2）负责协调与工程项目有关的事项</w:t>
      </w:r>
      <w:r>
        <w:rPr>
          <w:rFonts w:hint="eastAsia" w:hAnsi="宋体"/>
          <w:color w:val="000000" w:themeColor="text1"/>
          <w:szCs w:val="21"/>
          <w:highlight w:val="none"/>
          <w:u w:val="single"/>
          <w:lang w:eastAsia="zh-CN"/>
          <w14:textFill>
            <w14:solidFill>
              <w14:schemeClr w14:val="tx1"/>
            </w14:solidFill>
          </w14:textFill>
        </w:rPr>
        <w:t>；</w:t>
      </w:r>
    </w:p>
    <w:p w14:paraId="6ECE767C">
      <w:pPr>
        <w:spacing w:line="360" w:lineRule="auto"/>
        <w:ind w:firstLine="420" w:firstLineChars="200"/>
        <w:rPr>
          <w:rFonts w:hint="eastAsia" w:hAnsi="宋体" w:eastAsia="宋体"/>
          <w:color w:val="000000" w:themeColor="text1"/>
          <w:szCs w:val="21"/>
          <w:highlight w:val="none"/>
          <w:u w:val="single"/>
          <w:lang w:eastAsia="zh-CN"/>
          <w14:textFill>
            <w14:solidFill>
              <w14:schemeClr w14:val="tx1"/>
            </w14:solidFill>
          </w14:textFill>
        </w:rPr>
      </w:pPr>
      <w:r>
        <w:rPr>
          <w:rFonts w:hint="eastAsia" w:hAnsi="宋体"/>
          <w:color w:val="000000" w:themeColor="text1"/>
          <w:szCs w:val="21"/>
          <w:highlight w:val="none"/>
          <w:u w:val="single"/>
          <w14:textFill>
            <w14:solidFill>
              <w14:schemeClr w14:val="tx1"/>
            </w14:solidFill>
          </w14:textFill>
        </w:rPr>
        <w:t>（3）工程量确认</w:t>
      </w:r>
      <w:r>
        <w:rPr>
          <w:rFonts w:hint="eastAsia" w:hAnsi="宋体"/>
          <w:color w:val="000000" w:themeColor="text1"/>
          <w:szCs w:val="21"/>
          <w:highlight w:val="none"/>
          <w:u w:val="single"/>
          <w:lang w:eastAsia="zh-CN"/>
          <w14:textFill>
            <w14:solidFill>
              <w14:schemeClr w14:val="tx1"/>
            </w14:solidFill>
          </w14:textFill>
        </w:rPr>
        <w:t>；</w:t>
      </w:r>
    </w:p>
    <w:p w14:paraId="243FE647">
      <w:pPr>
        <w:spacing w:line="360" w:lineRule="auto"/>
        <w:ind w:firstLine="420" w:firstLineChars="200"/>
        <w:rPr>
          <w:rFonts w:hint="eastAsia" w:hAnsi="宋体" w:eastAsia="宋体"/>
          <w:color w:val="000000" w:themeColor="text1"/>
          <w:szCs w:val="21"/>
          <w:highlight w:val="none"/>
          <w:u w:val="single"/>
          <w:lang w:eastAsia="zh-CN"/>
          <w14:textFill>
            <w14:solidFill>
              <w14:schemeClr w14:val="tx1"/>
            </w14:solidFill>
          </w14:textFill>
        </w:rPr>
      </w:pPr>
      <w:r>
        <w:rPr>
          <w:rFonts w:hint="eastAsia" w:hAnsi="宋体"/>
          <w:color w:val="000000" w:themeColor="text1"/>
          <w:szCs w:val="21"/>
          <w:highlight w:val="none"/>
          <w:u w:val="single"/>
          <w14:textFill>
            <w14:solidFill>
              <w14:schemeClr w14:val="tx1"/>
            </w14:solidFill>
          </w14:textFill>
        </w:rPr>
        <w:t>（4）同意监理工程师发布开工令、停工令及复工令</w:t>
      </w:r>
      <w:r>
        <w:rPr>
          <w:rFonts w:hint="eastAsia" w:hAnsi="宋体"/>
          <w:color w:val="000000" w:themeColor="text1"/>
          <w:szCs w:val="21"/>
          <w:highlight w:val="none"/>
          <w:u w:val="single"/>
          <w:lang w:eastAsia="zh-CN"/>
          <w14:textFill>
            <w14:solidFill>
              <w14:schemeClr w14:val="tx1"/>
            </w14:solidFill>
          </w14:textFill>
        </w:rPr>
        <w:t>；</w:t>
      </w:r>
    </w:p>
    <w:p w14:paraId="07EE7E3E">
      <w:pPr>
        <w:spacing w:line="360" w:lineRule="auto"/>
        <w:ind w:firstLine="420" w:firstLineChars="200"/>
        <w:rPr>
          <w:rFonts w:hint="eastAsia" w:hAnsi="宋体" w:eastAsia="宋体"/>
          <w:color w:val="000000" w:themeColor="text1"/>
          <w:szCs w:val="21"/>
          <w:highlight w:val="none"/>
          <w:u w:val="single"/>
          <w:lang w:eastAsia="zh-CN"/>
          <w14:textFill>
            <w14:solidFill>
              <w14:schemeClr w14:val="tx1"/>
            </w14:solidFill>
          </w14:textFill>
        </w:rPr>
      </w:pPr>
      <w:r>
        <w:rPr>
          <w:rFonts w:hint="eastAsia" w:hAnsi="宋体"/>
          <w:color w:val="000000" w:themeColor="text1"/>
          <w:szCs w:val="21"/>
          <w:highlight w:val="none"/>
          <w:u w:val="single"/>
          <w14:textFill>
            <w14:solidFill>
              <w14:schemeClr w14:val="tx1"/>
            </w14:solidFill>
          </w14:textFill>
        </w:rPr>
        <w:t>（5）确认或修改承包人的施工组织设计和工程进度计划</w:t>
      </w:r>
      <w:r>
        <w:rPr>
          <w:rFonts w:hint="eastAsia" w:hAnsi="宋体"/>
          <w:color w:val="000000" w:themeColor="text1"/>
          <w:szCs w:val="21"/>
          <w:highlight w:val="none"/>
          <w:u w:val="single"/>
          <w:lang w:eastAsia="zh-CN"/>
          <w14:textFill>
            <w14:solidFill>
              <w14:schemeClr w14:val="tx1"/>
            </w14:solidFill>
          </w14:textFill>
        </w:rPr>
        <w:t>；</w:t>
      </w:r>
    </w:p>
    <w:p w14:paraId="5CD83A73">
      <w:pPr>
        <w:spacing w:line="360" w:lineRule="auto"/>
        <w:ind w:firstLine="420" w:firstLineChars="200"/>
        <w:rPr>
          <w:rFonts w:hint="eastAsia" w:hAnsi="宋体" w:eastAsia="宋体"/>
          <w:color w:val="000000" w:themeColor="text1"/>
          <w:szCs w:val="21"/>
          <w:highlight w:val="none"/>
          <w:u w:val="single"/>
          <w:lang w:eastAsia="zh-CN"/>
          <w14:textFill>
            <w14:solidFill>
              <w14:schemeClr w14:val="tx1"/>
            </w14:solidFill>
          </w14:textFill>
        </w:rPr>
      </w:pPr>
      <w:r>
        <w:rPr>
          <w:rFonts w:hint="eastAsia" w:hAnsi="宋体"/>
          <w:color w:val="000000" w:themeColor="text1"/>
          <w:szCs w:val="21"/>
          <w:highlight w:val="none"/>
          <w:u w:val="single"/>
          <w14:textFill>
            <w14:solidFill>
              <w14:schemeClr w14:val="tx1"/>
            </w14:solidFill>
          </w14:textFill>
        </w:rPr>
        <w:t>（6）对进度的检查、监督和提出改进措施</w:t>
      </w:r>
      <w:r>
        <w:rPr>
          <w:rFonts w:hint="eastAsia" w:hAnsi="宋体"/>
          <w:color w:val="000000" w:themeColor="text1"/>
          <w:szCs w:val="21"/>
          <w:highlight w:val="none"/>
          <w:u w:val="single"/>
          <w:lang w:eastAsia="zh-CN"/>
          <w14:textFill>
            <w14:solidFill>
              <w14:schemeClr w14:val="tx1"/>
            </w14:solidFill>
          </w14:textFill>
        </w:rPr>
        <w:t>；</w:t>
      </w:r>
    </w:p>
    <w:p w14:paraId="2ED4198A">
      <w:pPr>
        <w:spacing w:line="360" w:lineRule="auto"/>
        <w:ind w:firstLine="420" w:firstLineChars="200"/>
        <w:rPr>
          <w:rFonts w:hint="eastAsia" w:hAnsi="宋体" w:eastAsia="宋体"/>
          <w:color w:val="000000" w:themeColor="text1"/>
          <w:szCs w:val="21"/>
          <w:highlight w:val="none"/>
          <w:u w:val="single"/>
          <w:lang w:eastAsia="zh-CN"/>
          <w14:textFill>
            <w14:solidFill>
              <w14:schemeClr w14:val="tx1"/>
            </w14:solidFill>
          </w14:textFill>
        </w:rPr>
      </w:pPr>
      <w:r>
        <w:rPr>
          <w:rFonts w:hint="eastAsia" w:hAnsi="宋体"/>
          <w:color w:val="000000" w:themeColor="text1"/>
          <w:szCs w:val="21"/>
          <w:highlight w:val="none"/>
          <w:u w:val="single"/>
          <w14:textFill>
            <w14:solidFill>
              <w14:schemeClr w14:val="tx1"/>
            </w14:solidFill>
          </w14:textFill>
        </w:rPr>
        <w:t>（7）对承包人延期开工要求进行答复</w:t>
      </w:r>
      <w:r>
        <w:rPr>
          <w:rFonts w:hint="eastAsia" w:hAnsi="宋体"/>
          <w:color w:val="000000" w:themeColor="text1"/>
          <w:szCs w:val="21"/>
          <w:highlight w:val="none"/>
          <w:u w:val="single"/>
          <w:lang w:eastAsia="zh-CN"/>
          <w14:textFill>
            <w14:solidFill>
              <w14:schemeClr w14:val="tx1"/>
            </w14:solidFill>
          </w14:textFill>
        </w:rPr>
        <w:t>；</w:t>
      </w:r>
    </w:p>
    <w:p w14:paraId="31F1E30F">
      <w:pPr>
        <w:spacing w:line="360" w:lineRule="auto"/>
        <w:ind w:firstLine="420" w:firstLineChars="200"/>
        <w:rPr>
          <w:rFonts w:hint="eastAsia" w:hAnsi="宋体" w:eastAsia="宋体"/>
          <w:color w:val="000000" w:themeColor="text1"/>
          <w:szCs w:val="21"/>
          <w:highlight w:val="none"/>
          <w:u w:val="single"/>
          <w:lang w:eastAsia="zh-CN"/>
          <w14:textFill>
            <w14:solidFill>
              <w14:schemeClr w14:val="tx1"/>
            </w14:solidFill>
          </w14:textFill>
        </w:rPr>
      </w:pPr>
      <w:r>
        <w:rPr>
          <w:rFonts w:hint="eastAsia" w:hAnsi="宋体"/>
          <w:color w:val="000000" w:themeColor="text1"/>
          <w:szCs w:val="21"/>
          <w:highlight w:val="none"/>
          <w:u w:val="single"/>
          <w14:textFill>
            <w14:solidFill>
              <w14:schemeClr w14:val="tx1"/>
            </w14:solidFill>
          </w14:textFill>
        </w:rPr>
        <w:t>（8）以通知方式推迟开工日期</w:t>
      </w:r>
      <w:r>
        <w:rPr>
          <w:rFonts w:hint="eastAsia" w:hAnsi="宋体"/>
          <w:color w:val="000000" w:themeColor="text1"/>
          <w:szCs w:val="21"/>
          <w:highlight w:val="none"/>
          <w:u w:val="single"/>
          <w:lang w:eastAsia="zh-CN"/>
          <w14:textFill>
            <w14:solidFill>
              <w14:schemeClr w14:val="tx1"/>
            </w14:solidFill>
          </w14:textFill>
        </w:rPr>
        <w:t>；</w:t>
      </w:r>
    </w:p>
    <w:p w14:paraId="40F029F4">
      <w:pPr>
        <w:spacing w:line="360" w:lineRule="auto"/>
        <w:ind w:firstLine="420" w:firstLineChars="200"/>
        <w:rPr>
          <w:rFonts w:hint="eastAsia" w:hAnsi="宋体" w:eastAsia="宋体"/>
          <w:color w:val="000000" w:themeColor="text1"/>
          <w:szCs w:val="21"/>
          <w:highlight w:val="none"/>
          <w:u w:val="single"/>
          <w:lang w:eastAsia="zh-CN"/>
          <w14:textFill>
            <w14:solidFill>
              <w14:schemeClr w14:val="tx1"/>
            </w14:solidFill>
          </w14:textFill>
        </w:rPr>
      </w:pPr>
      <w:r>
        <w:rPr>
          <w:rFonts w:hint="eastAsia" w:hAnsi="宋体"/>
          <w:color w:val="000000" w:themeColor="text1"/>
          <w:szCs w:val="21"/>
          <w:highlight w:val="none"/>
          <w:u w:val="single"/>
          <w14:textFill>
            <w14:solidFill>
              <w14:schemeClr w14:val="tx1"/>
            </w14:solidFill>
          </w14:textFill>
        </w:rPr>
        <w:t>（9）暂停施工并提出处理意见，对承包人复工要求进行答复</w:t>
      </w:r>
      <w:r>
        <w:rPr>
          <w:rFonts w:hint="eastAsia" w:hAnsi="宋体"/>
          <w:color w:val="000000" w:themeColor="text1"/>
          <w:szCs w:val="21"/>
          <w:highlight w:val="none"/>
          <w:u w:val="single"/>
          <w:lang w:eastAsia="zh-CN"/>
          <w14:textFill>
            <w14:solidFill>
              <w14:schemeClr w14:val="tx1"/>
            </w14:solidFill>
          </w14:textFill>
        </w:rPr>
        <w:t>；</w:t>
      </w:r>
    </w:p>
    <w:p w14:paraId="3C19A73B">
      <w:pPr>
        <w:spacing w:line="360" w:lineRule="auto"/>
        <w:ind w:firstLine="420" w:firstLineChars="200"/>
        <w:rPr>
          <w:rFonts w:hint="eastAsia" w:hAnsi="宋体" w:eastAsia="宋体"/>
          <w:color w:val="000000" w:themeColor="text1"/>
          <w:szCs w:val="21"/>
          <w:highlight w:val="none"/>
          <w:u w:val="single"/>
          <w:lang w:eastAsia="zh-CN"/>
          <w14:textFill>
            <w14:solidFill>
              <w14:schemeClr w14:val="tx1"/>
            </w14:solidFill>
          </w14:textFill>
        </w:rPr>
      </w:pPr>
      <w:r>
        <w:rPr>
          <w:rFonts w:hint="eastAsia" w:hAnsi="宋体"/>
          <w:color w:val="000000" w:themeColor="text1"/>
          <w:szCs w:val="21"/>
          <w:highlight w:val="none"/>
          <w:u w:val="single"/>
          <w14:textFill>
            <w14:solidFill>
              <w14:schemeClr w14:val="tx1"/>
            </w14:solidFill>
          </w14:textFill>
        </w:rPr>
        <w:t>（10）确认工期顺延</w:t>
      </w:r>
      <w:r>
        <w:rPr>
          <w:rFonts w:hint="eastAsia" w:hAnsi="宋体"/>
          <w:color w:val="000000" w:themeColor="text1"/>
          <w:szCs w:val="21"/>
          <w:highlight w:val="none"/>
          <w:u w:val="single"/>
          <w:lang w:eastAsia="zh-CN"/>
          <w14:textFill>
            <w14:solidFill>
              <w14:schemeClr w14:val="tx1"/>
            </w14:solidFill>
          </w14:textFill>
        </w:rPr>
        <w:t>；</w:t>
      </w:r>
    </w:p>
    <w:p w14:paraId="407FECDB">
      <w:pPr>
        <w:spacing w:line="360" w:lineRule="auto"/>
        <w:ind w:firstLine="420" w:firstLineChars="200"/>
        <w:rPr>
          <w:rFonts w:hint="eastAsia" w:hAnsi="宋体" w:eastAsia="宋体"/>
          <w:color w:val="000000" w:themeColor="text1"/>
          <w:szCs w:val="21"/>
          <w:highlight w:val="none"/>
          <w:u w:val="single"/>
          <w:lang w:eastAsia="zh-CN"/>
          <w14:textFill>
            <w14:solidFill>
              <w14:schemeClr w14:val="tx1"/>
            </w14:solidFill>
          </w14:textFill>
        </w:rPr>
      </w:pPr>
      <w:r>
        <w:rPr>
          <w:rFonts w:hint="eastAsia" w:hAnsi="宋体"/>
          <w:color w:val="000000" w:themeColor="text1"/>
          <w:szCs w:val="21"/>
          <w:highlight w:val="none"/>
          <w:u w:val="single"/>
          <w14:textFill>
            <w14:solidFill>
              <w14:schemeClr w14:val="tx1"/>
            </w14:solidFill>
          </w14:textFill>
        </w:rPr>
        <w:t>（11）对承包人工程质量检查检验</w:t>
      </w:r>
      <w:r>
        <w:rPr>
          <w:rFonts w:hint="eastAsia" w:hAnsi="宋体"/>
          <w:color w:val="000000" w:themeColor="text1"/>
          <w:szCs w:val="21"/>
          <w:highlight w:val="none"/>
          <w:u w:val="single"/>
          <w:lang w:eastAsia="zh-CN"/>
          <w14:textFill>
            <w14:solidFill>
              <w14:schemeClr w14:val="tx1"/>
            </w14:solidFill>
          </w14:textFill>
        </w:rPr>
        <w:t>；</w:t>
      </w:r>
    </w:p>
    <w:p w14:paraId="035EFCAB">
      <w:pPr>
        <w:spacing w:line="360" w:lineRule="auto"/>
        <w:ind w:firstLine="420" w:firstLineChars="200"/>
        <w:rPr>
          <w:rFonts w:hAnsi="宋体"/>
          <w:color w:val="000000" w:themeColor="text1"/>
          <w:szCs w:val="21"/>
          <w:highlight w:val="none"/>
          <w:u w:val="single"/>
          <w14:textFill>
            <w14:solidFill>
              <w14:schemeClr w14:val="tx1"/>
            </w14:solidFill>
          </w14:textFill>
        </w:rPr>
      </w:pPr>
      <w:r>
        <w:rPr>
          <w:rFonts w:hint="eastAsia" w:hAnsi="宋体"/>
          <w:color w:val="000000" w:themeColor="text1"/>
          <w:szCs w:val="21"/>
          <w:highlight w:val="none"/>
          <w:u w:val="single"/>
          <w14:textFill>
            <w14:solidFill>
              <w14:schemeClr w14:val="tx1"/>
            </w14:solidFill>
          </w14:textFill>
        </w:rPr>
        <w:t>（12）工程质量达不到约定标准的部分，要求承包人拆除和重新施工。</w:t>
      </w:r>
    </w:p>
    <w:p w14:paraId="73C1E0A7">
      <w:pPr>
        <w:spacing w:line="360" w:lineRule="auto"/>
        <w:ind w:firstLine="420" w:firstLineChars="200"/>
        <w:rPr>
          <w:rFonts w:hint="eastAsia" w:hAnsi="宋体" w:eastAsia="宋体"/>
          <w:color w:val="000000" w:themeColor="text1"/>
          <w:szCs w:val="21"/>
          <w:highlight w:val="none"/>
          <w:u w:val="single"/>
          <w:lang w:eastAsia="zh-CN"/>
          <w14:textFill>
            <w14:solidFill>
              <w14:schemeClr w14:val="tx1"/>
            </w14:solidFill>
          </w14:textFill>
        </w:rPr>
      </w:pPr>
      <w:r>
        <w:rPr>
          <w:rFonts w:hint="eastAsia" w:hAnsi="宋体"/>
          <w:color w:val="000000" w:themeColor="text1"/>
          <w:szCs w:val="21"/>
          <w:highlight w:val="none"/>
          <w:u w:val="single"/>
          <w14:textFill>
            <w14:solidFill>
              <w14:schemeClr w14:val="tx1"/>
            </w14:solidFill>
          </w14:textFill>
        </w:rPr>
        <w:t>（13）隐蔽工程验收</w:t>
      </w:r>
      <w:r>
        <w:rPr>
          <w:rFonts w:hint="eastAsia" w:hAnsi="宋体"/>
          <w:color w:val="000000" w:themeColor="text1"/>
          <w:szCs w:val="21"/>
          <w:highlight w:val="none"/>
          <w:u w:val="single"/>
          <w:lang w:eastAsia="zh-CN"/>
          <w14:textFill>
            <w14:solidFill>
              <w14:schemeClr w14:val="tx1"/>
            </w14:solidFill>
          </w14:textFill>
        </w:rPr>
        <w:t>；</w:t>
      </w:r>
    </w:p>
    <w:p w14:paraId="3F8407EB">
      <w:pPr>
        <w:spacing w:line="360" w:lineRule="auto"/>
        <w:ind w:firstLine="420" w:firstLineChars="200"/>
        <w:rPr>
          <w:rFonts w:hint="eastAsia" w:hAnsi="宋体" w:eastAsia="宋体"/>
          <w:color w:val="000000" w:themeColor="text1"/>
          <w:szCs w:val="21"/>
          <w:highlight w:val="none"/>
          <w:u w:val="single"/>
          <w:lang w:eastAsia="zh-CN"/>
          <w14:textFill>
            <w14:solidFill>
              <w14:schemeClr w14:val="tx1"/>
            </w14:solidFill>
          </w14:textFill>
        </w:rPr>
      </w:pPr>
      <w:r>
        <w:rPr>
          <w:rFonts w:hint="eastAsia" w:hAnsi="宋体"/>
          <w:color w:val="000000" w:themeColor="text1"/>
          <w:szCs w:val="21"/>
          <w:highlight w:val="none"/>
          <w:u w:val="single"/>
          <w14:textFill>
            <w14:solidFill>
              <w14:schemeClr w14:val="tx1"/>
            </w14:solidFill>
          </w14:textFill>
        </w:rPr>
        <w:t>（14）隐蔽工程重新检验</w:t>
      </w:r>
      <w:r>
        <w:rPr>
          <w:rFonts w:hint="eastAsia" w:hAnsi="宋体"/>
          <w:color w:val="000000" w:themeColor="text1"/>
          <w:szCs w:val="21"/>
          <w:highlight w:val="none"/>
          <w:u w:val="single"/>
          <w:lang w:eastAsia="zh-CN"/>
          <w14:textFill>
            <w14:solidFill>
              <w14:schemeClr w14:val="tx1"/>
            </w14:solidFill>
          </w14:textFill>
        </w:rPr>
        <w:t>；</w:t>
      </w:r>
    </w:p>
    <w:p w14:paraId="5CE3C14D">
      <w:pPr>
        <w:spacing w:line="360" w:lineRule="auto"/>
        <w:ind w:firstLine="420" w:firstLineChars="200"/>
        <w:rPr>
          <w:rFonts w:hint="eastAsia" w:hAnsi="宋体" w:eastAsia="宋体"/>
          <w:color w:val="000000" w:themeColor="text1"/>
          <w:szCs w:val="21"/>
          <w:highlight w:val="none"/>
          <w:u w:val="single"/>
          <w:lang w:eastAsia="zh-CN"/>
          <w14:textFill>
            <w14:solidFill>
              <w14:schemeClr w14:val="tx1"/>
            </w14:solidFill>
          </w14:textFill>
        </w:rPr>
      </w:pPr>
      <w:r>
        <w:rPr>
          <w:rFonts w:hint="eastAsia" w:hAnsi="宋体"/>
          <w:color w:val="000000" w:themeColor="text1"/>
          <w:szCs w:val="21"/>
          <w:highlight w:val="none"/>
          <w:u w:val="single"/>
          <w14:textFill>
            <w14:solidFill>
              <w14:schemeClr w14:val="tx1"/>
            </w14:solidFill>
          </w14:textFill>
        </w:rPr>
        <w:t>（15）根据本款（17）项确认或修改承包人提出的调整金额</w:t>
      </w:r>
      <w:r>
        <w:rPr>
          <w:rFonts w:hint="eastAsia" w:hAnsi="宋体"/>
          <w:color w:val="000000" w:themeColor="text1"/>
          <w:szCs w:val="21"/>
          <w:highlight w:val="none"/>
          <w:u w:val="single"/>
          <w:lang w:eastAsia="zh-CN"/>
          <w14:textFill>
            <w14:solidFill>
              <w14:schemeClr w14:val="tx1"/>
            </w14:solidFill>
          </w14:textFill>
        </w:rPr>
        <w:t>；</w:t>
      </w:r>
    </w:p>
    <w:p w14:paraId="138980A2">
      <w:pPr>
        <w:spacing w:line="360" w:lineRule="auto"/>
        <w:ind w:firstLine="420" w:firstLineChars="200"/>
        <w:rPr>
          <w:rFonts w:hint="eastAsia" w:hAnsi="宋体" w:eastAsia="宋体"/>
          <w:color w:val="000000" w:themeColor="text1"/>
          <w:szCs w:val="21"/>
          <w:highlight w:val="none"/>
          <w:u w:val="single"/>
          <w:lang w:eastAsia="zh-CN"/>
          <w14:textFill>
            <w14:solidFill>
              <w14:schemeClr w14:val="tx1"/>
            </w14:solidFill>
          </w14:textFill>
        </w:rPr>
      </w:pPr>
      <w:r>
        <w:rPr>
          <w:rFonts w:hint="eastAsia" w:hAnsi="宋体"/>
          <w:color w:val="000000" w:themeColor="text1"/>
          <w:szCs w:val="21"/>
          <w:highlight w:val="none"/>
          <w:u w:val="single"/>
          <w14:textFill>
            <w14:solidFill>
              <w14:schemeClr w14:val="tx1"/>
            </w14:solidFill>
          </w14:textFill>
        </w:rPr>
        <w:t>（16）核实承包人已完工程量</w:t>
      </w:r>
      <w:r>
        <w:rPr>
          <w:rFonts w:hint="eastAsia" w:hAnsi="宋体"/>
          <w:color w:val="000000" w:themeColor="text1"/>
          <w:szCs w:val="21"/>
          <w:highlight w:val="none"/>
          <w:u w:val="single"/>
          <w:lang w:eastAsia="zh-CN"/>
          <w14:textFill>
            <w14:solidFill>
              <w14:schemeClr w14:val="tx1"/>
            </w14:solidFill>
          </w14:textFill>
        </w:rPr>
        <w:t>；</w:t>
      </w:r>
    </w:p>
    <w:p w14:paraId="6CD7CFA6">
      <w:pPr>
        <w:spacing w:line="360" w:lineRule="auto"/>
        <w:ind w:firstLine="420" w:firstLineChars="200"/>
        <w:rPr>
          <w:rFonts w:hint="eastAsia" w:hAnsi="宋体" w:eastAsia="宋体"/>
          <w:color w:val="000000" w:themeColor="text1"/>
          <w:szCs w:val="21"/>
          <w:highlight w:val="none"/>
          <w:u w:val="single"/>
          <w:lang w:eastAsia="zh-CN"/>
          <w14:textFill>
            <w14:solidFill>
              <w14:schemeClr w14:val="tx1"/>
            </w14:solidFill>
          </w14:textFill>
        </w:rPr>
      </w:pPr>
      <w:r>
        <w:rPr>
          <w:rFonts w:hint="eastAsia" w:hAnsi="宋体"/>
          <w:color w:val="000000" w:themeColor="text1"/>
          <w:szCs w:val="21"/>
          <w:highlight w:val="none"/>
          <w:u w:val="single"/>
          <w14:textFill>
            <w14:solidFill>
              <w14:schemeClr w14:val="tx1"/>
            </w14:solidFill>
          </w14:textFill>
        </w:rPr>
        <w:t>（17）要求更换承包人采购的不符合要求的材料设备</w:t>
      </w:r>
      <w:r>
        <w:rPr>
          <w:rFonts w:hint="eastAsia" w:hAnsi="宋体"/>
          <w:color w:val="000000" w:themeColor="text1"/>
          <w:szCs w:val="21"/>
          <w:highlight w:val="none"/>
          <w:u w:val="single"/>
          <w:lang w:eastAsia="zh-CN"/>
          <w14:textFill>
            <w14:solidFill>
              <w14:schemeClr w14:val="tx1"/>
            </w14:solidFill>
          </w14:textFill>
        </w:rPr>
        <w:t>；</w:t>
      </w:r>
    </w:p>
    <w:p w14:paraId="44992400">
      <w:pPr>
        <w:spacing w:line="360" w:lineRule="auto"/>
        <w:ind w:firstLine="420" w:firstLineChars="200"/>
        <w:rPr>
          <w:rFonts w:hint="eastAsia" w:hAnsi="宋体" w:eastAsia="宋体"/>
          <w:color w:val="000000" w:themeColor="text1"/>
          <w:szCs w:val="21"/>
          <w:highlight w:val="none"/>
          <w:u w:val="single"/>
          <w:lang w:eastAsia="zh-CN"/>
          <w14:textFill>
            <w14:solidFill>
              <w14:schemeClr w14:val="tx1"/>
            </w14:solidFill>
          </w14:textFill>
        </w:rPr>
      </w:pPr>
      <w:r>
        <w:rPr>
          <w:rFonts w:hint="eastAsia" w:hAnsi="宋体"/>
          <w:color w:val="000000" w:themeColor="text1"/>
          <w:szCs w:val="21"/>
          <w:highlight w:val="none"/>
          <w:u w:val="single"/>
          <w14:textFill>
            <w14:solidFill>
              <w14:schemeClr w14:val="tx1"/>
            </w14:solidFill>
          </w14:textFill>
        </w:rPr>
        <w:t>（18）要求承包人对采购的材料设备在使用前进行检验或试验</w:t>
      </w:r>
      <w:r>
        <w:rPr>
          <w:rFonts w:hint="eastAsia" w:hAnsi="宋体"/>
          <w:color w:val="000000" w:themeColor="text1"/>
          <w:szCs w:val="21"/>
          <w:highlight w:val="none"/>
          <w:u w:val="single"/>
          <w:lang w:eastAsia="zh-CN"/>
          <w14:textFill>
            <w14:solidFill>
              <w14:schemeClr w14:val="tx1"/>
            </w14:solidFill>
          </w14:textFill>
        </w:rPr>
        <w:t>；</w:t>
      </w:r>
    </w:p>
    <w:p w14:paraId="62FA96EF">
      <w:pPr>
        <w:spacing w:line="360" w:lineRule="auto"/>
        <w:ind w:firstLine="420" w:firstLineChars="200"/>
        <w:rPr>
          <w:rFonts w:hint="eastAsia" w:hAnsi="宋体" w:eastAsia="宋体"/>
          <w:color w:val="000000" w:themeColor="text1"/>
          <w:szCs w:val="21"/>
          <w:highlight w:val="none"/>
          <w:u w:val="single"/>
          <w:lang w:eastAsia="zh-CN"/>
          <w14:textFill>
            <w14:solidFill>
              <w14:schemeClr w14:val="tx1"/>
            </w14:solidFill>
          </w14:textFill>
        </w:rPr>
      </w:pPr>
      <w:r>
        <w:rPr>
          <w:rFonts w:hint="eastAsia" w:hAnsi="宋体"/>
          <w:color w:val="000000" w:themeColor="text1"/>
          <w:szCs w:val="21"/>
          <w:highlight w:val="none"/>
          <w:u w:val="single"/>
          <w14:textFill>
            <w14:solidFill>
              <w14:schemeClr w14:val="tx1"/>
            </w14:solidFill>
          </w14:textFill>
        </w:rPr>
        <w:t>（19）批准承包人使用替代材料</w:t>
      </w:r>
      <w:r>
        <w:rPr>
          <w:rFonts w:hint="eastAsia" w:hAnsi="宋体"/>
          <w:color w:val="000000" w:themeColor="text1"/>
          <w:szCs w:val="21"/>
          <w:highlight w:val="none"/>
          <w:u w:val="single"/>
          <w:lang w:eastAsia="zh-CN"/>
          <w14:textFill>
            <w14:solidFill>
              <w14:schemeClr w14:val="tx1"/>
            </w14:solidFill>
          </w14:textFill>
        </w:rPr>
        <w:t>；</w:t>
      </w:r>
    </w:p>
    <w:p w14:paraId="41F462BD">
      <w:pPr>
        <w:spacing w:line="360" w:lineRule="auto"/>
        <w:ind w:firstLine="420" w:firstLineChars="200"/>
        <w:rPr>
          <w:rFonts w:hint="eastAsia" w:hAnsi="宋体" w:eastAsia="宋体"/>
          <w:color w:val="000000" w:themeColor="text1"/>
          <w:szCs w:val="21"/>
          <w:highlight w:val="none"/>
          <w:u w:val="single"/>
          <w:lang w:eastAsia="zh-CN"/>
          <w14:textFill>
            <w14:solidFill>
              <w14:schemeClr w14:val="tx1"/>
            </w14:solidFill>
          </w14:textFill>
        </w:rPr>
      </w:pPr>
      <w:r>
        <w:rPr>
          <w:rFonts w:hint="eastAsia" w:hAnsi="宋体"/>
          <w:color w:val="000000" w:themeColor="text1"/>
          <w:szCs w:val="21"/>
          <w:highlight w:val="none"/>
          <w:u w:val="single"/>
          <w14:textFill>
            <w14:solidFill>
              <w14:schemeClr w14:val="tx1"/>
            </w14:solidFill>
          </w14:textFill>
        </w:rPr>
        <w:t>（20）同意承包人提出的合理化建议</w:t>
      </w:r>
      <w:r>
        <w:rPr>
          <w:rFonts w:hint="eastAsia" w:hAnsi="宋体"/>
          <w:color w:val="000000" w:themeColor="text1"/>
          <w:szCs w:val="21"/>
          <w:highlight w:val="none"/>
          <w:u w:val="single"/>
          <w:lang w:eastAsia="zh-CN"/>
          <w14:textFill>
            <w14:solidFill>
              <w14:schemeClr w14:val="tx1"/>
            </w14:solidFill>
          </w14:textFill>
        </w:rPr>
        <w:t>；</w:t>
      </w:r>
    </w:p>
    <w:p w14:paraId="693BAC15">
      <w:pPr>
        <w:spacing w:line="360" w:lineRule="auto"/>
        <w:ind w:firstLine="420" w:firstLineChars="200"/>
        <w:rPr>
          <w:rFonts w:hint="eastAsia" w:hAnsi="宋体" w:eastAsia="宋体"/>
          <w:color w:val="000000" w:themeColor="text1"/>
          <w:szCs w:val="21"/>
          <w:highlight w:val="none"/>
          <w:u w:val="single"/>
          <w:lang w:eastAsia="zh-CN"/>
          <w14:textFill>
            <w14:solidFill>
              <w14:schemeClr w14:val="tx1"/>
            </w14:solidFill>
          </w14:textFill>
        </w:rPr>
      </w:pPr>
      <w:r>
        <w:rPr>
          <w:rFonts w:hint="eastAsia" w:hAnsi="宋体"/>
          <w:color w:val="000000" w:themeColor="text1"/>
          <w:szCs w:val="21"/>
          <w:highlight w:val="none"/>
          <w:u w:val="single"/>
          <w14:textFill>
            <w14:solidFill>
              <w14:schemeClr w14:val="tx1"/>
            </w14:solidFill>
          </w14:textFill>
        </w:rPr>
        <w:t>（21）确认变更价款</w:t>
      </w:r>
      <w:r>
        <w:rPr>
          <w:rFonts w:hint="eastAsia" w:hAnsi="宋体"/>
          <w:color w:val="000000" w:themeColor="text1"/>
          <w:szCs w:val="21"/>
          <w:highlight w:val="none"/>
          <w:u w:val="single"/>
          <w:lang w:eastAsia="zh-CN"/>
          <w14:textFill>
            <w14:solidFill>
              <w14:schemeClr w14:val="tx1"/>
            </w14:solidFill>
          </w14:textFill>
        </w:rPr>
        <w:t>；</w:t>
      </w:r>
    </w:p>
    <w:p w14:paraId="1BDEEBFE">
      <w:pPr>
        <w:spacing w:line="360" w:lineRule="auto"/>
        <w:ind w:firstLine="420" w:firstLineChars="200"/>
        <w:rPr>
          <w:rFonts w:hAnsi="宋体"/>
          <w:color w:val="000000" w:themeColor="text1"/>
          <w:szCs w:val="21"/>
          <w:highlight w:val="none"/>
          <w:u w:val="single"/>
          <w14:textFill>
            <w14:solidFill>
              <w14:schemeClr w14:val="tx1"/>
            </w14:solidFill>
          </w14:textFill>
        </w:rPr>
      </w:pPr>
      <w:r>
        <w:rPr>
          <w:rFonts w:hint="eastAsia" w:hAnsi="宋体"/>
          <w:color w:val="000000" w:themeColor="text1"/>
          <w:szCs w:val="21"/>
          <w:highlight w:val="none"/>
          <w:u w:val="single"/>
          <w14:textFill>
            <w14:solidFill>
              <w14:schemeClr w14:val="tx1"/>
            </w14:solidFill>
          </w14:textFill>
        </w:rPr>
        <w:t>（22）答复索赔。</w:t>
      </w:r>
    </w:p>
    <w:p w14:paraId="4492472D">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 xml:space="preserve"> 施工现场、施工条件和基础资料的提供</w:t>
      </w:r>
    </w:p>
    <w:p w14:paraId="6CFCE945">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.1 提供施工现场</w:t>
      </w:r>
    </w:p>
    <w:p w14:paraId="3188AC6C">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关于发包人移交施工现场的期限要求：</w:t>
      </w:r>
      <w:r>
        <w:rPr>
          <w:rFonts w:hint="eastAsia" w:ascii="宋体" w:hAnsi="宋体"/>
          <w:color w:val="000000" w:themeColor="text1"/>
          <w:szCs w:val="21"/>
          <w:highlight w:val="none"/>
          <w:u w:val="single"/>
          <w14:textFill>
            <w14:solidFill>
              <w14:schemeClr w14:val="tx1"/>
            </w14:solidFill>
          </w14:textFill>
        </w:rPr>
        <w:t>计划开工日前3天</w:t>
      </w:r>
      <w:r>
        <w:rPr>
          <w:rFonts w:ascii="宋体" w:hAnsi="宋体"/>
          <w:color w:val="000000" w:themeColor="text1"/>
          <w:szCs w:val="21"/>
          <w:highlight w:val="none"/>
          <w14:textFill>
            <w14:solidFill>
              <w14:schemeClr w14:val="tx1"/>
            </w14:solidFill>
          </w14:textFill>
        </w:rPr>
        <w:t>。</w:t>
      </w:r>
    </w:p>
    <w:p w14:paraId="32BEA283">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3</w:t>
      </w:r>
      <w:r>
        <w:rPr>
          <w:rFonts w:ascii="宋体" w:hAnsi="宋体"/>
          <w:color w:val="000000" w:themeColor="text1"/>
          <w:szCs w:val="21"/>
          <w:highlight w:val="none"/>
          <w14:textFill>
            <w14:solidFill>
              <w14:schemeClr w14:val="tx1"/>
            </w14:solidFill>
          </w14:textFill>
        </w:rPr>
        <w:t>.2 提供施工条件</w:t>
      </w:r>
    </w:p>
    <w:p w14:paraId="5A1EEA6D">
      <w:pPr>
        <w:spacing w:line="440" w:lineRule="exact"/>
        <w:ind w:firstLine="420" w:firstLineChars="200"/>
        <w:rPr>
          <w:rFonts w:ascii="宋体" w:hAnsi="宋体"/>
          <w:color w:val="000000" w:themeColor="text1"/>
          <w:szCs w:val="21"/>
          <w:highlight w:val="none"/>
          <w:u w:val="single"/>
          <w14:textFill>
            <w14:solidFill>
              <w14:schemeClr w14:val="tx1"/>
            </w14:solidFill>
          </w14:textFill>
        </w:rPr>
      </w:pPr>
      <w:r>
        <w:rPr>
          <w:rFonts w:ascii="宋体" w:hAnsi="宋体"/>
          <w:color w:val="000000" w:themeColor="text1"/>
          <w:szCs w:val="21"/>
          <w:highlight w:val="none"/>
          <w14:textFill>
            <w14:solidFill>
              <w14:schemeClr w14:val="tx1"/>
            </w14:solidFill>
          </w14:textFill>
        </w:rPr>
        <w:t>关于发包人应负责提供施工</w:t>
      </w:r>
      <w:r>
        <w:rPr>
          <w:rFonts w:hint="eastAsia" w:ascii="宋体" w:hAnsi="宋体"/>
          <w:color w:val="000000" w:themeColor="text1"/>
          <w:szCs w:val="21"/>
          <w:highlight w:val="none"/>
          <w14:textFill>
            <w14:solidFill>
              <w14:schemeClr w14:val="tx1"/>
            </w14:solidFill>
          </w14:textFill>
        </w:rPr>
        <w:t>所需要的条件，</w:t>
      </w:r>
      <w:r>
        <w:rPr>
          <w:rFonts w:ascii="宋体" w:hAnsi="宋体"/>
          <w:color w:val="000000" w:themeColor="text1"/>
          <w:szCs w:val="21"/>
          <w:highlight w:val="none"/>
          <w14:textFill>
            <w14:solidFill>
              <w14:schemeClr w14:val="tx1"/>
            </w14:solidFill>
          </w14:textFill>
        </w:rPr>
        <w:t>包括：。</w:t>
      </w:r>
    </w:p>
    <w:p w14:paraId="558822B9">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4</w:t>
      </w:r>
      <w:r>
        <w:rPr>
          <w:rFonts w:ascii="宋体" w:hAnsi="宋体"/>
          <w:color w:val="000000" w:themeColor="text1"/>
          <w:szCs w:val="21"/>
          <w:highlight w:val="none"/>
          <w14:textFill>
            <w14:solidFill>
              <w14:schemeClr w14:val="tx1"/>
            </w14:solidFill>
          </w14:textFill>
        </w:rPr>
        <w:t xml:space="preserve"> 资金来源证明及支付担保</w:t>
      </w:r>
    </w:p>
    <w:p w14:paraId="6E2068F5">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发包人提供资金来源证明的期限要求：</w:t>
      </w:r>
      <w:r>
        <w:rPr>
          <w:rFonts w:hint="eastAsia" w:ascii="宋体" w:hAnsi="宋体" w:cs="宋体"/>
          <w:color w:val="000000" w:themeColor="text1"/>
          <w:szCs w:val="21"/>
          <w:highlight w:val="none"/>
          <w:u w:val="single"/>
          <w14:textFill>
            <w14:solidFill>
              <w14:schemeClr w14:val="tx1"/>
            </w14:solidFill>
          </w14:textFill>
        </w:rPr>
        <w:t xml:space="preserve">无  </w:t>
      </w:r>
      <w:r>
        <w:rPr>
          <w:rFonts w:ascii="宋体" w:hAnsi="宋体"/>
          <w:color w:val="000000" w:themeColor="text1"/>
          <w:szCs w:val="21"/>
          <w:highlight w:val="none"/>
          <w14:textFill>
            <w14:solidFill>
              <w14:schemeClr w14:val="tx1"/>
            </w14:solidFill>
          </w14:textFill>
        </w:rPr>
        <w:t>。</w:t>
      </w:r>
    </w:p>
    <w:p w14:paraId="66AB05CF">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发包人是否提供支付担保：</w:t>
      </w:r>
      <w:r>
        <w:rPr>
          <w:rFonts w:hint="eastAsia" w:ascii="宋体" w:hAnsi="宋体" w:cs="宋体"/>
          <w:color w:val="000000" w:themeColor="text1"/>
          <w:szCs w:val="21"/>
          <w:highlight w:val="none"/>
          <w:u w:val="single"/>
          <w14:textFill>
            <w14:solidFill>
              <w14:schemeClr w14:val="tx1"/>
            </w14:solidFill>
          </w14:textFill>
        </w:rPr>
        <w:t xml:space="preserve">无     </w:t>
      </w:r>
      <w:r>
        <w:rPr>
          <w:rFonts w:ascii="宋体" w:hAnsi="宋体"/>
          <w:color w:val="000000" w:themeColor="text1"/>
          <w:szCs w:val="21"/>
          <w:highlight w:val="none"/>
          <w14:textFill>
            <w14:solidFill>
              <w14:schemeClr w14:val="tx1"/>
            </w14:solidFill>
          </w14:textFill>
        </w:rPr>
        <w:t>。</w:t>
      </w:r>
    </w:p>
    <w:p w14:paraId="4649F1C0">
      <w:pPr>
        <w:spacing w:line="440" w:lineRule="exact"/>
        <w:ind w:firstLine="420" w:firstLineChars="200"/>
        <w:rPr>
          <w:rFonts w:ascii="宋体" w:hAnsi="宋体"/>
          <w:color w:val="000000" w:themeColor="text1"/>
          <w:szCs w:val="21"/>
          <w:highlight w:val="none"/>
          <w:u w:val="single"/>
          <w14:textFill>
            <w14:solidFill>
              <w14:schemeClr w14:val="tx1"/>
            </w14:solidFill>
          </w14:textFill>
        </w:rPr>
      </w:pPr>
      <w:r>
        <w:rPr>
          <w:rFonts w:ascii="宋体" w:hAnsi="宋体"/>
          <w:color w:val="000000" w:themeColor="text1"/>
          <w:szCs w:val="21"/>
          <w:highlight w:val="none"/>
          <w14:textFill>
            <w14:solidFill>
              <w14:schemeClr w14:val="tx1"/>
            </w14:solidFill>
          </w14:textFill>
        </w:rPr>
        <w:t>发包人提供支付担保的形式：</w:t>
      </w:r>
      <w:r>
        <w:rPr>
          <w:rFonts w:hint="eastAsia" w:ascii="宋体" w:hAnsi="宋体" w:cs="宋体"/>
          <w:color w:val="000000" w:themeColor="text1"/>
          <w:szCs w:val="21"/>
          <w:highlight w:val="none"/>
          <w:u w:val="single"/>
          <w14:textFill>
            <w14:solidFill>
              <w14:schemeClr w14:val="tx1"/>
            </w14:solidFill>
          </w14:textFill>
        </w:rPr>
        <w:t>无</w:t>
      </w:r>
      <w:r>
        <w:rPr>
          <w:rFonts w:ascii="宋体" w:hAnsi="宋体"/>
          <w:color w:val="000000" w:themeColor="text1"/>
          <w:szCs w:val="21"/>
          <w:highlight w:val="none"/>
          <w14:textFill>
            <w14:solidFill>
              <w14:schemeClr w14:val="tx1"/>
            </w14:solidFill>
          </w14:textFill>
        </w:rPr>
        <w:t>。</w:t>
      </w:r>
    </w:p>
    <w:p w14:paraId="50876FF2">
      <w:pPr>
        <w:keepNext/>
        <w:keepLines/>
        <w:widowControl/>
        <w:spacing w:before="120" w:after="120" w:line="440" w:lineRule="exact"/>
        <w:ind w:firstLine="281" w:firstLineChars="100"/>
        <w:outlineLvl w:val="3"/>
        <w:rPr>
          <w:rFonts w:ascii="宋体" w:hAnsi="宋体" w:eastAsia="黑体"/>
          <w:b/>
          <w:color w:val="000000" w:themeColor="text1"/>
          <w:kern w:val="0"/>
          <w:sz w:val="28"/>
          <w:szCs w:val="21"/>
          <w:highlight w:val="none"/>
          <w14:textFill>
            <w14:solidFill>
              <w14:schemeClr w14:val="tx1"/>
            </w14:solidFill>
          </w14:textFill>
        </w:rPr>
      </w:pPr>
      <w:bookmarkStart w:id="325" w:name="_Toc351203635"/>
      <w:r>
        <w:rPr>
          <w:rFonts w:ascii="宋体" w:hAnsi="宋体" w:eastAsia="黑体"/>
          <w:b/>
          <w:color w:val="000000" w:themeColor="text1"/>
          <w:kern w:val="0"/>
          <w:sz w:val="28"/>
          <w:szCs w:val="21"/>
          <w:highlight w:val="none"/>
          <w14:textFill>
            <w14:solidFill>
              <w14:schemeClr w14:val="tx1"/>
            </w14:solidFill>
          </w14:textFill>
        </w:rPr>
        <w:t>3</w:t>
      </w:r>
      <w:bookmarkStart w:id="326" w:name="_Toc296346659"/>
      <w:bookmarkStart w:id="327" w:name="_Toc296944497"/>
      <w:bookmarkStart w:id="328" w:name="_Toc292559868"/>
      <w:bookmarkStart w:id="329" w:name="_Toc297048344"/>
      <w:bookmarkStart w:id="330" w:name="_Toc292559363"/>
      <w:bookmarkStart w:id="331" w:name="_Toc296891198"/>
      <w:bookmarkStart w:id="332" w:name="_Toc296890986"/>
      <w:bookmarkStart w:id="333" w:name="_Toc296347157"/>
      <w:bookmarkStart w:id="334" w:name="_Toc297120458"/>
      <w:bookmarkStart w:id="335" w:name="_Toc296503158"/>
      <w:r>
        <w:rPr>
          <w:rFonts w:ascii="宋体" w:hAnsi="宋体" w:eastAsia="黑体"/>
          <w:b/>
          <w:color w:val="000000" w:themeColor="text1"/>
          <w:kern w:val="0"/>
          <w:sz w:val="28"/>
          <w:szCs w:val="21"/>
          <w:highlight w:val="none"/>
          <w14:textFill>
            <w14:solidFill>
              <w14:schemeClr w14:val="tx1"/>
            </w14:solidFill>
          </w14:textFill>
        </w:rPr>
        <w:t>. 承包人</w:t>
      </w:r>
      <w:bookmarkEnd w:id="325"/>
    </w:p>
    <w:bookmarkEnd w:id="326"/>
    <w:bookmarkEnd w:id="327"/>
    <w:bookmarkEnd w:id="328"/>
    <w:bookmarkEnd w:id="329"/>
    <w:bookmarkEnd w:id="330"/>
    <w:bookmarkEnd w:id="331"/>
    <w:bookmarkEnd w:id="332"/>
    <w:bookmarkEnd w:id="333"/>
    <w:bookmarkEnd w:id="334"/>
    <w:bookmarkEnd w:id="335"/>
    <w:p w14:paraId="3D6CAAD9">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3.1 承包人的一般义务</w:t>
      </w:r>
    </w:p>
    <w:p w14:paraId="4494D12B">
      <w:pPr>
        <w:spacing w:line="440" w:lineRule="exact"/>
        <w:ind w:firstLine="315" w:firstLineChars="15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（5）</w:t>
      </w:r>
      <w:r>
        <w:rPr>
          <w:rFonts w:ascii="宋体" w:hAnsi="宋体"/>
          <w:color w:val="000000" w:themeColor="text1"/>
          <w:szCs w:val="21"/>
          <w:highlight w:val="none"/>
          <w14:textFill>
            <w14:solidFill>
              <w14:schemeClr w14:val="tx1"/>
            </w14:solidFill>
          </w14:textFill>
        </w:rPr>
        <w:t>承包人提交的竣工资料的内容：。</w:t>
      </w:r>
    </w:p>
    <w:p w14:paraId="667D8DCE">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承包人需要提交的竣工资料套数：。</w:t>
      </w:r>
    </w:p>
    <w:p w14:paraId="25D8434B">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承包人提交的竣工资料的费用承担：。</w:t>
      </w:r>
    </w:p>
    <w:p w14:paraId="10E2C84B">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承包人提交的竣工资料移交时间：。</w:t>
      </w:r>
    </w:p>
    <w:p w14:paraId="42FF82A9">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承包人提交的竣工资料形式要求：。</w:t>
      </w:r>
    </w:p>
    <w:p w14:paraId="7108552F">
      <w:pPr>
        <w:spacing w:line="440" w:lineRule="exact"/>
        <w:ind w:firstLine="420" w:firstLineChars="200"/>
        <w:rPr>
          <w:rFonts w:ascii="宋体" w:hAnsi="宋体"/>
          <w:b/>
          <w:color w:val="000000" w:themeColor="text1"/>
          <w:szCs w:val="21"/>
          <w:highlight w:val="none"/>
          <w:u w:val="singl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（6）承包人应履行的其他义务：</w:t>
      </w:r>
      <w:r>
        <w:rPr>
          <w:rFonts w:hint="eastAsia" w:ascii="宋体" w:hAnsi="宋体"/>
          <w:b/>
          <w:color w:val="000000" w:themeColor="text1"/>
          <w:szCs w:val="21"/>
          <w:highlight w:val="none"/>
          <w:u w:val="single"/>
          <w14:textFill>
            <w14:solidFill>
              <w14:schemeClr w14:val="tx1"/>
            </w14:solidFill>
          </w14:textFill>
        </w:rPr>
        <w:t>①施工场地周围地下管线和邻近建筑物、构筑物（含文物保护建筑）、古树名木的保护要求及费用承担：承包人施工时应探明并负责保护且承包费用，施工时如损坏地下管线、邻近建筑物、构筑物，所发生费用由承包人承担。</w:t>
      </w:r>
    </w:p>
    <w:p w14:paraId="76F8DA6E">
      <w:pPr>
        <w:spacing w:line="440" w:lineRule="exact"/>
        <w:ind w:firstLine="422" w:firstLineChars="200"/>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u w:val="single"/>
          <w14:textFill>
            <w14:solidFill>
              <w14:schemeClr w14:val="tx1"/>
            </w14:solidFill>
          </w14:textFill>
        </w:rPr>
        <w:t>②取土场及弃土场由承包人自行解决，但不得违反相关管理规定，并承担相关费用。</w:t>
      </w:r>
    </w:p>
    <w:p w14:paraId="64617C5D">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3.2 项目经理</w:t>
      </w:r>
    </w:p>
    <w:p w14:paraId="5C8008DD">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 xml:space="preserve">3.2.1 </w:t>
      </w:r>
      <w:r>
        <w:rPr>
          <w:rFonts w:ascii="宋体" w:hAnsi="宋体"/>
          <w:color w:val="000000" w:themeColor="text1"/>
          <w:szCs w:val="21"/>
          <w:highlight w:val="none"/>
          <w14:textFill>
            <w14:solidFill>
              <w14:schemeClr w14:val="tx1"/>
            </w14:solidFill>
          </w14:textFill>
        </w:rPr>
        <w:t>项目经理：</w:t>
      </w:r>
    </w:p>
    <w:p w14:paraId="1565AD0F">
      <w:pPr>
        <w:spacing w:line="440" w:lineRule="exact"/>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ascii="宋体" w:hAnsi="宋体"/>
          <w:color w:val="000000" w:themeColor="text1"/>
          <w:szCs w:val="21"/>
          <w:highlight w:val="none"/>
          <w14:textFill>
            <w14:solidFill>
              <w14:schemeClr w14:val="tx1"/>
            </w14:solidFill>
          </w14:textFill>
        </w:rPr>
        <w:t>姓    名：</w:t>
      </w:r>
      <w:r>
        <w:rPr>
          <w:rFonts w:hint="eastAsia" w:ascii="宋体" w:hAnsi="宋体"/>
          <w:color w:val="000000" w:themeColor="text1"/>
          <w:szCs w:val="21"/>
          <w:highlight w:val="none"/>
          <w:lang w:eastAsia="zh-CN"/>
          <w14:textFill>
            <w14:solidFill>
              <w14:schemeClr w14:val="tx1"/>
            </w14:solidFill>
          </w14:textFill>
        </w:rPr>
        <w:t>；</w:t>
      </w:r>
    </w:p>
    <w:p w14:paraId="6EA386A7">
      <w:pPr>
        <w:spacing w:line="440" w:lineRule="exact"/>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ascii="宋体" w:hAnsi="宋体"/>
          <w:color w:val="000000" w:themeColor="text1"/>
          <w:szCs w:val="21"/>
          <w:highlight w:val="none"/>
          <w14:textFill>
            <w14:solidFill>
              <w14:schemeClr w14:val="tx1"/>
            </w14:solidFill>
          </w14:textFill>
        </w:rPr>
        <w:t>身份证号：</w:t>
      </w:r>
      <w:r>
        <w:rPr>
          <w:rFonts w:hint="eastAsia" w:ascii="宋体" w:hAnsi="宋体"/>
          <w:color w:val="000000" w:themeColor="text1"/>
          <w:szCs w:val="21"/>
          <w:highlight w:val="none"/>
          <w:lang w:eastAsia="zh-CN"/>
          <w14:textFill>
            <w14:solidFill>
              <w14:schemeClr w14:val="tx1"/>
            </w14:solidFill>
          </w14:textFill>
        </w:rPr>
        <w:t>；</w:t>
      </w:r>
    </w:p>
    <w:p w14:paraId="19C15D05">
      <w:pPr>
        <w:spacing w:line="440" w:lineRule="exact"/>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ascii="宋体" w:hAnsi="宋体"/>
          <w:color w:val="000000" w:themeColor="text1"/>
          <w:szCs w:val="21"/>
          <w:highlight w:val="none"/>
          <w14:textFill>
            <w14:solidFill>
              <w14:schemeClr w14:val="tx1"/>
            </w14:solidFill>
          </w14:textFill>
        </w:rPr>
        <w:t>建造师执业资格等级：</w:t>
      </w:r>
      <w:r>
        <w:rPr>
          <w:rFonts w:hint="eastAsia" w:ascii="宋体" w:hAnsi="宋体"/>
          <w:color w:val="000000" w:themeColor="text1"/>
          <w:szCs w:val="21"/>
          <w:highlight w:val="none"/>
          <w:lang w:eastAsia="zh-CN"/>
          <w14:textFill>
            <w14:solidFill>
              <w14:schemeClr w14:val="tx1"/>
            </w14:solidFill>
          </w14:textFill>
        </w:rPr>
        <w:t>；</w:t>
      </w:r>
    </w:p>
    <w:p w14:paraId="54487C6F">
      <w:pPr>
        <w:spacing w:line="440" w:lineRule="exact"/>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ascii="宋体" w:hAnsi="宋体"/>
          <w:color w:val="000000" w:themeColor="text1"/>
          <w:szCs w:val="21"/>
          <w:highlight w:val="none"/>
          <w14:textFill>
            <w14:solidFill>
              <w14:schemeClr w14:val="tx1"/>
            </w14:solidFill>
          </w14:textFill>
        </w:rPr>
        <w:t>建造师注册证书号：</w:t>
      </w:r>
      <w:r>
        <w:rPr>
          <w:rFonts w:hint="eastAsia" w:ascii="宋体" w:hAnsi="宋体"/>
          <w:color w:val="000000" w:themeColor="text1"/>
          <w:szCs w:val="21"/>
          <w:highlight w:val="none"/>
          <w:lang w:eastAsia="zh-CN"/>
          <w14:textFill>
            <w14:solidFill>
              <w14:schemeClr w14:val="tx1"/>
            </w14:solidFill>
          </w14:textFill>
        </w:rPr>
        <w:t>；</w:t>
      </w:r>
    </w:p>
    <w:p w14:paraId="0C40065A">
      <w:pPr>
        <w:spacing w:line="440" w:lineRule="exact"/>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ascii="宋体" w:hAnsi="宋体"/>
          <w:color w:val="000000" w:themeColor="text1"/>
          <w:szCs w:val="21"/>
          <w:highlight w:val="none"/>
          <w14:textFill>
            <w14:solidFill>
              <w14:schemeClr w14:val="tx1"/>
            </w14:solidFill>
          </w14:textFill>
        </w:rPr>
        <w:t>建造师执业印章号：</w:t>
      </w:r>
      <w:r>
        <w:rPr>
          <w:rFonts w:hint="eastAsia" w:ascii="宋体" w:hAnsi="宋体"/>
          <w:color w:val="000000" w:themeColor="text1"/>
          <w:szCs w:val="21"/>
          <w:highlight w:val="none"/>
          <w:lang w:eastAsia="zh-CN"/>
          <w14:textFill>
            <w14:solidFill>
              <w14:schemeClr w14:val="tx1"/>
            </w14:solidFill>
          </w14:textFill>
        </w:rPr>
        <w:t>；</w:t>
      </w:r>
    </w:p>
    <w:p w14:paraId="4AE4BA41">
      <w:pPr>
        <w:spacing w:line="440" w:lineRule="exact"/>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ascii="宋体" w:hAnsi="宋体"/>
          <w:color w:val="000000" w:themeColor="text1"/>
          <w:szCs w:val="21"/>
          <w:highlight w:val="none"/>
          <w14:textFill>
            <w14:solidFill>
              <w14:schemeClr w14:val="tx1"/>
            </w14:solidFill>
          </w14:textFill>
        </w:rPr>
        <w:t>安全生产考核合格证书号：</w:t>
      </w:r>
      <w:r>
        <w:rPr>
          <w:rFonts w:hint="eastAsia" w:ascii="宋体" w:hAnsi="宋体"/>
          <w:color w:val="000000" w:themeColor="text1"/>
          <w:szCs w:val="21"/>
          <w:highlight w:val="none"/>
          <w:lang w:eastAsia="zh-CN"/>
          <w14:textFill>
            <w14:solidFill>
              <w14:schemeClr w14:val="tx1"/>
            </w14:solidFill>
          </w14:textFill>
        </w:rPr>
        <w:t>；</w:t>
      </w:r>
    </w:p>
    <w:p w14:paraId="6FC8761F">
      <w:pPr>
        <w:spacing w:line="440" w:lineRule="exact"/>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ascii="宋体" w:hAnsi="宋体"/>
          <w:color w:val="000000" w:themeColor="text1"/>
          <w:szCs w:val="21"/>
          <w:highlight w:val="none"/>
          <w14:textFill>
            <w14:solidFill>
              <w14:schemeClr w14:val="tx1"/>
            </w14:solidFill>
          </w14:textFill>
        </w:rPr>
        <w:t>联系电话：</w:t>
      </w:r>
      <w:r>
        <w:rPr>
          <w:rFonts w:hint="eastAsia" w:ascii="宋体" w:hAnsi="宋体"/>
          <w:color w:val="000000" w:themeColor="text1"/>
          <w:szCs w:val="21"/>
          <w:highlight w:val="none"/>
          <w:lang w:eastAsia="zh-CN"/>
          <w14:textFill>
            <w14:solidFill>
              <w14:schemeClr w14:val="tx1"/>
            </w14:solidFill>
          </w14:textFill>
        </w:rPr>
        <w:t>；</w:t>
      </w:r>
    </w:p>
    <w:p w14:paraId="12C1262B">
      <w:pPr>
        <w:spacing w:line="440" w:lineRule="exact"/>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ascii="宋体" w:hAnsi="宋体"/>
          <w:color w:val="000000" w:themeColor="text1"/>
          <w:szCs w:val="21"/>
          <w:highlight w:val="none"/>
          <w14:textFill>
            <w14:solidFill>
              <w14:schemeClr w14:val="tx1"/>
            </w14:solidFill>
          </w14:textFill>
        </w:rPr>
        <w:t>电子信箱：</w:t>
      </w:r>
      <w:r>
        <w:rPr>
          <w:rFonts w:hint="eastAsia" w:ascii="宋体" w:hAnsi="宋体"/>
          <w:color w:val="000000" w:themeColor="text1"/>
          <w:szCs w:val="21"/>
          <w:highlight w:val="none"/>
          <w:lang w:eastAsia="zh-CN"/>
          <w14:textFill>
            <w14:solidFill>
              <w14:schemeClr w14:val="tx1"/>
            </w14:solidFill>
          </w14:textFill>
        </w:rPr>
        <w:t>；</w:t>
      </w:r>
    </w:p>
    <w:p w14:paraId="23874B31">
      <w:pPr>
        <w:spacing w:line="440" w:lineRule="exact"/>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ascii="宋体" w:hAnsi="宋体"/>
          <w:color w:val="000000" w:themeColor="text1"/>
          <w:szCs w:val="21"/>
          <w:highlight w:val="none"/>
          <w14:textFill>
            <w14:solidFill>
              <w14:schemeClr w14:val="tx1"/>
            </w14:solidFill>
          </w14:textFill>
        </w:rPr>
        <w:t>通信地址：</w:t>
      </w:r>
      <w:r>
        <w:rPr>
          <w:rFonts w:hint="eastAsia" w:ascii="宋体" w:hAnsi="宋体"/>
          <w:color w:val="000000" w:themeColor="text1"/>
          <w:szCs w:val="21"/>
          <w:highlight w:val="none"/>
          <w:lang w:eastAsia="zh-CN"/>
          <w14:textFill>
            <w14:solidFill>
              <w14:schemeClr w14:val="tx1"/>
            </w14:solidFill>
          </w14:textFill>
        </w:rPr>
        <w:t>；</w:t>
      </w:r>
    </w:p>
    <w:p w14:paraId="0D875DD9">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承包人对项目经理的授权范围如下：</w:t>
      </w:r>
      <w:r>
        <w:rPr>
          <w:rFonts w:hint="eastAsia" w:ascii="宋体" w:hAnsi="宋体"/>
          <w:color w:val="000000" w:themeColor="text1"/>
          <w:szCs w:val="21"/>
          <w:highlight w:val="none"/>
          <w:u w:val="single"/>
          <w14:textFill>
            <w14:solidFill>
              <w14:schemeClr w14:val="tx1"/>
            </w14:solidFill>
          </w14:textFill>
        </w:rPr>
        <w:t>负责组织合同工程内容的施工</w:t>
      </w:r>
      <w:r>
        <w:rPr>
          <w:rFonts w:ascii="宋体" w:hAnsi="宋体"/>
          <w:color w:val="000000" w:themeColor="text1"/>
          <w:szCs w:val="21"/>
          <w:highlight w:val="none"/>
          <w14:textFill>
            <w14:solidFill>
              <w14:schemeClr w14:val="tx1"/>
            </w14:solidFill>
          </w14:textFill>
        </w:rPr>
        <w:t>。</w:t>
      </w:r>
    </w:p>
    <w:p w14:paraId="30BAA3A1">
      <w:pPr>
        <w:spacing w:line="440" w:lineRule="exact"/>
        <w:ind w:firstLine="420" w:firstLineChars="200"/>
        <w:jc w:val="lef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关于项目经理每月在施工现场的时间要求：</w:t>
      </w:r>
      <w:r>
        <w:rPr>
          <w:rFonts w:hint="eastAsia" w:ascii="宋体" w:hAnsi="宋体" w:cs="宋体"/>
          <w:color w:val="000000" w:themeColor="text1"/>
          <w:szCs w:val="21"/>
          <w:highlight w:val="none"/>
          <w:u w:val="single"/>
          <w14:textFill>
            <w14:solidFill>
              <w14:schemeClr w14:val="tx1"/>
            </w14:solidFill>
          </w14:textFill>
        </w:rPr>
        <w:t xml:space="preserve">     不少于5天且符合国家相关规定要求    </w:t>
      </w:r>
      <w:r>
        <w:rPr>
          <w:rFonts w:ascii="宋体" w:hAnsi="宋体"/>
          <w:color w:val="000000" w:themeColor="text1"/>
          <w:szCs w:val="21"/>
          <w:highlight w:val="none"/>
          <w14:textFill>
            <w14:solidFill>
              <w14:schemeClr w14:val="tx1"/>
            </w14:solidFill>
          </w14:textFill>
        </w:rPr>
        <w:t>。</w:t>
      </w:r>
    </w:p>
    <w:p w14:paraId="1B81EF8A">
      <w:pPr>
        <w:spacing w:line="440" w:lineRule="exact"/>
        <w:ind w:firstLine="420" w:firstLineChars="200"/>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承包人未提交劳动合同，以及没有为项目经理缴纳社会保险证明的违约责任：</w:t>
      </w:r>
      <w:r>
        <w:rPr>
          <w:rFonts w:hint="eastAsia" w:ascii="宋体" w:hAnsi="宋体"/>
          <w:color w:val="000000" w:themeColor="text1"/>
          <w:kern w:val="0"/>
          <w:szCs w:val="21"/>
          <w:highlight w:val="none"/>
          <w:u w:val="single"/>
          <w14:textFill>
            <w14:solidFill>
              <w14:schemeClr w14:val="tx1"/>
            </w14:solidFill>
          </w14:textFill>
        </w:rPr>
        <w:t>承包人支付违约金10000元，并责令限期提交劳动合同并补缴社会保险。如承包人未在规定期限内提交项目经理劳动合同和缴交社会保险证明材料的，则发包人可致函承包人要求更换项目经理，且承包人按1000元/天标准向发包人支付违约金直至承包人更换新的项目经理。如在更换项目经理期间造成发包人损失的，承包人须另行赔偿发包人损失。</w:t>
      </w:r>
    </w:p>
    <w:p w14:paraId="71E2D8D0">
      <w:pPr>
        <w:spacing w:line="440" w:lineRule="exact"/>
        <w:ind w:firstLine="420" w:firstLineChars="200"/>
        <w:rPr>
          <w:rFonts w:ascii="宋体" w:hAnsi="宋体"/>
          <w:color w:val="000000" w:themeColor="text1"/>
          <w:szCs w:val="21"/>
          <w:highlight w:val="none"/>
          <w:u w:val="singl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项目经理未经批准，擅自离开施工现场的违约责任：</w:t>
      </w:r>
      <w:r>
        <w:rPr>
          <w:rFonts w:hint="eastAsia" w:ascii="宋体" w:hAnsi="宋体"/>
          <w:color w:val="000000" w:themeColor="text1"/>
          <w:kern w:val="0"/>
          <w:szCs w:val="21"/>
          <w:highlight w:val="none"/>
          <w:u w:val="single"/>
          <w14:textFill>
            <w14:solidFill>
              <w14:schemeClr w14:val="tx1"/>
            </w14:solidFill>
          </w14:textFill>
        </w:rPr>
        <w:t>未经发包人同意，项目经理擅自离岗的，视为承包人违约，承包人向发包人支付违约金人民币1000元/人•次</w:t>
      </w:r>
      <w:r>
        <w:rPr>
          <w:rFonts w:ascii="宋体" w:hAnsi="宋体"/>
          <w:color w:val="000000" w:themeColor="text1"/>
          <w:szCs w:val="21"/>
          <w:highlight w:val="none"/>
          <w:u w:val="single"/>
          <w14:textFill>
            <w14:solidFill>
              <w14:schemeClr w14:val="tx1"/>
            </w14:solidFill>
          </w14:textFill>
        </w:rPr>
        <w:t>。</w:t>
      </w:r>
    </w:p>
    <w:p w14:paraId="321E673B">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3.2.</w:t>
      </w: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 xml:space="preserve"> 承包人擅自更换项目经理的违约责任：</w:t>
      </w:r>
      <w:r>
        <w:rPr>
          <w:rFonts w:hint="eastAsia" w:ascii="宋体" w:hAnsi="宋体"/>
          <w:color w:val="000000" w:themeColor="text1"/>
          <w:szCs w:val="21"/>
          <w:highlight w:val="none"/>
          <w:u w:val="single"/>
          <w14:textFill>
            <w14:solidFill>
              <w14:schemeClr w14:val="tx1"/>
            </w14:solidFill>
          </w14:textFill>
        </w:rPr>
        <w:t>承包人项目经理必须与承包人竞标时所承诺的人员一致，并在项目开工日期前到任。在监理人向承包人颁发（竣工证明材料名称）前，项目经理不得同时兼任其他任何项目的项目经理。未经发包人书面同意，承包人擅自更换项目经理的视为违约，违约金为人民币15000元/人•次。如发现承包人的项目经理同时兼任其他项目的，发包人视承包人违约，违约金为人民币20000元，同时报住建监管部门。</w:t>
      </w:r>
    </w:p>
    <w:p w14:paraId="61E3CB2C">
      <w:pPr>
        <w:spacing w:line="440" w:lineRule="exact"/>
        <w:rPr>
          <w:rFonts w:ascii="宋体" w:hAnsi="宋体"/>
          <w:color w:val="000000" w:themeColor="text1"/>
          <w:szCs w:val="21"/>
          <w:highlight w:val="none"/>
          <w:u w:val="singl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    3.2.</w:t>
      </w:r>
      <w:r>
        <w:rPr>
          <w:rFonts w:hint="eastAsia" w:ascii="宋体" w:hAnsi="宋体"/>
          <w:color w:val="000000" w:themeColor="text1"/>
          <w:szCs w:val="21"/>
          <w:highlight w:val="none"/>
          <w14:textFill>
            <w14:solidFill>
              <w14:schemeClr w14:val="tx1"/>
            </w14:solidFill>
          </w14:textFill>
        </w:rPr>
        <w:t>3</w:t>
      </w:r>
      <w:r>
        <w:rPr>
          <w:rFonts w:ascii="宋体" w:hAnsi="宋体"/>
          <w:color w:val="000000" w:themeColor="text1"/>
          <w:szCs w:val="21"/>
          <w:highlight w:val="none"/>
          <w14:textFill>
            <w14:solidFill>
              <w14:schemeClr w14:val="tx1"/>
            </w14:solidFill>
          </w14:textFill>
        </w:rPr>
        <w:t xml:space="preserve"> 承包人无正当理由拒绝更换项目经理的违约责任：</w:t>
      </w:r>
      <w:r>
        <w:rPr>
          <w:rFonts w:hint="eastAsia" w:ascii="宋体" w:hAnsi="宋体"/>
          <w:color w:val="000000" w:themeColor="text1"/>
          <w:szCs w:val="21"/>
          <w:highlight w:val="none"/>
          <w:u w:val="single"/>
          <w14:textFill>
            <w14:solidFill>
              <w14:schemeClr w14:val="tx1"/>
            </w14:solidFill>
          </w14:textFill>
        </w:rPr>
        <w:t>承包人项目经理因不称职，在收到发包人调换通知后7日内未调换的，视为承包人违约，必须向发包人支付违约金人民币10000元/人•次</w:t>
      </w:r>
      <w:r>
        <w:rPr>
          <w:rFonts w:ascii="宋体" w:hAnsi="宋体"/>
          <w:color w:val="000000" w:themeColor="text1"/>
          <w:szCs w:val="21"/>
          <w:highlight w:val="none"/>
          <w:u w:val="single"/>
          <w14:textFill>
            <w14:solidFill>
              <w14:schemeClr w14:val="tx1"/>
            </w14:solidFill>
          </w14:textFill>
        </w:rPr>
        <w:t>。</w:t>
      </w:r>
    </w:p>
    <w:p w14:paraId="126DA52F">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3.3 承包人人员</w:t>
      </w:r>
    </w:p>
    <w:p w14:paraId="769D3690">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3.3.1 承包人提交项目管理机构及施工现场管理人员安排报告的期限：</w:t>
      </w:r>
      <w:r>
        <w:rPr>
          <w:rFonts w:hint="eastAsia" w:ascii="宋体" w:hAnsi="宋体"/>
          <w:color w:val="000000" w:themeColor="text1"/>
          <w:szCs w:val="21"/>
          <w:highlight w:val="none"/>
          <w:u w:val="single"/>
          <w14:textFill>
            <w14:solidFill>
              <w14:schemeClr w14:val="tx1"/>
            </w14:solidFill>
          </w14:textFill>
        </w:rPr>
        <w:t>开工前7天</w:t>
      </w:r>
      <w:r>
        <w:rPr>
          <w:rFonts w:ascii="宋体" w:hAnsi="宋体"/>
          <w:color w:val="000000" w:themeColor="text1"/>
          <w:szCs w:val="21"/>
          <w:highlight w:val="none"/>
          <w14:textFill>
            <w14:solidFill>
              <w14:schemeClr w14:val="tx1"/>
            </w14:solidFill>
          </w14:textFill>
        </w:rPr>
        <w:t>。</w:t>
      </w:r>
    </w:p>
    <w:p w14:paraId="54357BB1">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3.3.</w:t>
      </w: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 xml:space="preserve"> 承包人无正当理由拒绝撤换主要施工管理人员的违约责任：</w:t>
      </w:r>
      <w:r>
        <w:rPr>
          <w:rFonts w:hint="eastAsia" w:ascii="宋体" w:hAnsi="宋体"/>
          <w:color w:val="000000" w:themeColor="text1"/>
          <w:szCs w:val="21"/>
          <w:highlight w:val="none"/>
          <w:u w:val="single"/>
          <w14:textFill>
            <w14:solidFill>
              <w14:schemeClr w14:val="tx1"/>
            </w14:solidFill>
          </w14:textFill>
        </w:rPr>
        <w:t>承包人主要施工管理人员因不称职，在收到发包人调换通知后7日内未调换的，视为承包人违约，必须向发包人承担违约责任并支付违约金，违约金按：技术负责人人民币10000元/人•次</w:t>
      </w:r>
      <w:r>
        <w:rPr>
          <w:rFonts w:hint="eastAsia" w:ascii="宋体" w:hAnsi="宋体"/>
          <w:color w:val="000000" w:themeColor="text1"/>
          <w:szCs w:val="21"/>
          <w:highlight w:val="none"/>
          <w:u w:val="single"/>
          <w:lang w:eastAsia="zh-CN"/>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专业工程师人民币5000元/人•次进行支付。</w:t>
      </w:r>
    </w:p>
    <w:p w14:paraId="3244D156">
      <w:pPr>
        <w:spacing w:line="440" w:lineRule="exact"/>
        <w:ind w:firstLine="420" w:firstLineChars="200"/>
        <w:rPr>
          <w:rFonts w:ascii="宋体" w:hAnsi="宋体"/>
          <w:color w:val="000000" w:themeColor="text1"/>
          <w:szCs w:val="21"/>
          <w:highlight w:val="none"/>
          <w:u w:val="single"/>
          <w14:textFill>
            <w14:solidFill>
              <w14:schemeClr w14:val="tx1"/>
            </w14:solidFill>
          </w14:textFill>
        </w:rPr>
      </w:pPr>
      <w:r>
        <w:rPr>
          <w:rFonts w:ascii="宋体" w:hAnsi="宋体"/>
          <w:color w:val="000000" w:themeColor="text1"/>
          <w:szCs w:val="21"/>
          <w:highlight w:val="none"/>
          <w14:textFill>
            <w14:solidFill>
              <w14:schemeClr w14:val="tx1"/>
            </w14:solidFill>
          </w14:textFill>
        </w:rPr>
        <w:t>3.3.</w:t>
      </w:r>
      <w:r>
        <w:rPr>
          <w:rFonts w:hint="eastAsia" w:ascii="宋体" w:hAnsi="宋体"/>
          <w:color w:val="000000" w:themeColor="text1"/>
          <w:szCs w:val="21"/>
          <w:highlight w:val="none"/>
          <w14:textFill>
            <w14:solidFill>
              <w14:schemeClr w14:val="tx1"/>
            </w14:solidFill>
          </w14:textFill>
        </w:rPr>
        <w:t>3</w:t>
      </w:r>
      <w:r>
        <w:rPr>
          <w:rFonts w:ascii="宋体" w:hAnsi="宋体"/>
          <w:color w:val="000000" w:themeColor="text1"/>
          <w:szCs w:val="21"/>
          <w:highlight w:val="none"/>
          <w14:textFill>
            <w14:solidFill>
              <w14:schemeClr w14:val="tx1"/>
            </w14:solidFill>
          </w14:textFill>
        </w:rPr>
        <w:t xml:space="preserve"> 承包人主要施工管理人员离开施工现场的批准要求：</w:t>
      </w:r>
      <w:r>
        <w:rPr>
          <w:rFonts w:hint="eastAsia" w:ascii="宋体" w:hAnsi="宋体"/>
          <w:color w:val="000000" w:themeColor="text1"/>
          <w:szCs w:val="21"/>
          <w:highlight w:val="none"/>
          <w:u w:val="single"/>
          <w14:textFill>
            <w14:solidFill>
              <w14:schemeClr w14:val="tx1"/>
            </w14:solidFill>
          </w14:textFill>
        </w:rPr>
        <w:t>须经发包人或监理人书面同意。</w:t>
      </w:r>
    </w:p>
    <w:p w14:paraId="7D335C48">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3.3.</w:t>
      </w:r>
      <w:r>
        <w:rPr>
          <w:rFonts w:hint="eastAsia" w:ascii="宋体" w:hAnsi="宋体"/>
          <w:color w:val="000000" w:themeColor="text1"/>
          <w:szCs w:val="21"/>
          <w:highlight w:val="none"/>
          <w14:textFill>
            <w14:solidFill>
              <w14:schemeClr w14:val="tx1"/>
            </w14:solidFill>
          </w14:textFill>
        </w:rPr>
        <w:t>4</w:t>
      </w:r>
      <w:r>
        <w:rPr>
          <w:rFonts w:ascii="宋体" w:hAnsi="宋体"/>
          <w:color w:val="000000" w:themeColor="text1"/>
          <w:szCs w:val="21"/>
          <w:highlight w:val="none"/>
          <w14:textFill>
            <w14:solidFill>
              <w14:schemeClr w14:val="tx1"/>
            </w14:solidFill>
          </w14:textFill>
        </w:rPr>
        <w:t>承包人擅自更换主要施工管理人员的违约责任：</w:t>
      </w:r>
      <w:r>
        <w:rPr>
          <w:rFonts w:hint="eastAsia" w:ascii="宋体" w:hAnsi="宋体"/>
          <w:color w:val="000000" w:themeColor="text1"/>
          <w:szCs w:val="21"/>
          <w:highlight w:val="none"/>
          <w:u w:val="single"/>
          <w14:textFill>
            <w14:solidFill>
              <w14:schemeClr w14:val="tx1"/>
            </w14:solidFill>
          </w14:textFill>
        </w:rPr>
        <w:t>技术负责人、专业工程师未经发包人书面同意不准擅自更换，擅自更换技术负责人的按人民币100000元/人•次违约金进行支付</w:t>
      </w:r>
      <w:r>
        <w:rPr>
          <w:rFonts w:hint="eastAsia" w:ascii="宋体" w:hAnsi="宋体"/>
          <w:color w:val="000000" w:themeColor="text1"/>
          <w:szCs w:val="21"/>
          <w:highlight w:val="none"/>
          <w:u w:val="single"/>
          <w:lang w:eastAsia="zh-CN"/>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擅自更换专业工程师（施工员、安全员、资料员）处人民币20000元/人•次违约金。项目管理人员出现身故、重伤、重病、离职及被发包人主动更换五者之一情况而无法履职的，承包人在出具相关证明后变更管理人员的，可免于向发包人支付违约金。如承包人需要调换施工现场管理人员时，需经发包人同意后生效。新调换施工管理人员应与被调换管理人员有相同或更优秀的资历（专业、职称、职业资格），否则，发包人有权拒绝。</w:t>
      </w:r>
    </w:p>
    <w:p w14:paraId="5FD26FF5">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承包人主要施工管理人员擅自离开施工现场的违约责任：</w:t>
      </w:r>
      <w:r>
        <w:rPr>
          <w:rFonts w:hint="eastAsia" w:ascii="宋体" w:hAnsi="宋体"/>
          <w:color w:val="000000" w:themeColor="text1"/>
          <w:szCs w:val="21"/>
          <w:highlight w:val="none"/>
          <w:u w:val="single"/>
          <w14:textFill>
            <w14:solidFill>
              <w14:schemeClr w14:val="tx1"/>
            </w14:solidFill>
          </w14:textFill>
        </w:rPr>
        <w:t>未经发包人同意，技术负责人擅自离岗或者不到位的，视为承包人违约，承包人按人民币1000元/人•次（天）向发包人支付违约金</w:t>
      </w:r>
      <w:r>
        <w:rPr>
          <w:rFonts w:hint="eastAsia" w:ascii="宋体" w:hAnsi="宋体"/>
          <w:color w:val="000000" w:themeColor="text1"/>
          <w:szCs w:val="21"/>
          <w:highlight w:val="none"/>
          <w:u w:val="single"/>
          <w:lang w:eastAsia="zh-CN"/>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未经发包人同意，专业工程师（施工员、安全员、资料员）擅自离岗或者不到位的，视为承包人违约，承包人按人民币500 元/人•次（天）向发包人支付违约金</w:t>
      </w:r>
      <w:r>
        <w:rPr>
          <w:rFonts w:ascii="宋体" w:hAnsi="宋体"/>
          <w:color w:val="000000" w:themeColor="text1"/>
          <w:szCs w:val="21"/>
          <w:highlight w:val="none"/>
          <w:u w:val="single"/>
          <w14:textFill>
            <w14:solidFill>
              <w14:schemeClr w14:val="tx1"/>
            </w14:solidFill>
          </w14:textFill>
        </w:rPr>
        <w:t>。</w:t>
      </w:r>
    </w:p>
    <w:p w14:paraId="656DF5E0">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w:t>
      </w:r>
      <w:bookmarkStart w:id="336" w:name="_Toc296891199"/>
      <w:bookmarkStart w:id="337" w:name="_Toc292559364"/>
      <w:bookmarkStart w:id="338" w:name="_Toc297216151"/>
      <w:bookmarkStart w:id="339" w:name="_Toc297048345"/>
      <w:bookmarkStart w:id="340" w:name="_Toc296890987"/>
      <w:bookmarkStart w:id="341" w:name="_Toc297123492"/>
      <w:bookmarkStart w:id="342" w:name="_Toc303539102"/>
      <w:bookmarkStart w:id="343" w:name="_Toc292559869"/>
      <w:bookmarkStart w:id="344" w:name="_Toc296346660"/>
      <w:bookmarkStart w:id="345" w:name="_Toc304295523"/>
      <w:bookmarkStart w:id="346" w:name="_Toc297120459"/>
      <w:bookmarkStart w:id="347" w:name="_Toc296944498"/>
      <w:bookmarkStart w:id="348" w:name="_Toc296347158"/>
      <w:bookmarkStart w:id="349" w:name="_Toc312677988"/>
      <w:bookmarkStart w:id="350" w:name="_Toc296503159"/>
      <w:bookmarkStart w:id="351" w:name="_Toc300934945"/>
      <w:r>
        <w:rPr>
          <w:rFonts w:ascii="宋体" w:hAnsi="宋体"/>
          <w:color w:val="000000" w:themeColor="text1"/>
          <w:szCs w:val="21"/>
          <w:highlight w:val="none"/>
          <w14:textFill>
            <w14:solidFill>
              <w14:schemeClr w14:val="tx1"/>
            </w14:solidFill>
          </w14:textFill>
        </w:rPr>
        <w:t>.5 分包</w:t>
      </w:r>
    </w:p>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p w14:paraId="3CA01732">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w:t>
      </w:r>
      <w:bookmarkStart w:id="352" w:name="_Toc296891200"/>
      <w:bookmarkStart w:id="353" w:name="_Toc296503160"/>
      <w:bookmarkStart w:id="354" w:name="_Toc296944499"/>
      <w:bookmarkStart w:id="355" w:name="_Toc292559365"/>
      <w:bookmarkStart w:id="356" w:name="_Toc292559870"/>
      <w:bookmarkStart w:id="357" w:name="_Toc297123493"/>
      <w:bookmarkStart w:id="358" w:name="_Toc296890988"/>
      <w:bookmarkStart w:id="359" w:name="_Toc300934946"/>
      <w:bookmarkStart w:id="360" w:name="_Toc297120460"/>
      <w:bookmarkStart w:id="361" w:name="_Toc304295524"/>
      <w:bookmarkStart w:id="362" w:name="_Toc297048346"/>
      <w:bookmarkStart w:id="363" w:name="_Toc296346661"/>
      <w:bookmarkStart w:id="364" w:name="_Toc303539103"/>
      <w:bookmarkStart w:id="365" w:name="_Toc296347159"/>
      <w:bookmarkStart w:id="366" w:name="_Toc297216152"/>
      <w:bookmarkStart w:id="367" w:name="_Toc318581158"/>
      <w:bookmarkStart w:id="368" w:name="_Toc312677989"/>
      <w:r>
        <w:rPr>
          <w:rFonts w:ascii="宋体" w:hAnsi="宋体"/>
          <w:color w:val="000000" w:themeColor="text1"/>
          <w:szCs w:val="21"/>
          <w:highlight w:val="none"/>
          <w14:textFill>
            <w14:solidFill>
              <w14:schemeClr w14:val="tx1"/>
            </w14:solidFill>
          </w14:textFill>
        </w:rPr>
        <w:t>.5.1 分包的一般约定</w:t>
      </w:r>
    </w:p>
    <w:p w14:paraId="65BDDE76">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禁止分包的工程包括：</w:t>
      </w:r>
      <w:r>
        <w:rPr>
          <w:rFonts w:hint="eastAsia" w:ascii="宋体" w:hAnsi="宋体"/>
          <w:color w:val="000000" w:themeColor="text1"/>
          <w:szCs w:val="21"/>
          <w:highlight w:val="none"/>
          <w14:textFill>
            <w14:solidFill>
              <w14:schemeClr w14:val="tx1"/>
            </w14:solidFill>
          </w14:textFill>
        </w:rPr>
        <w:t>本工程禁止分包</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w:t>
      </w:r>
    </w:p>
    <w:p w14:paraId="1B2FF0D6">
      <w:pPr>
        <w:spacing w:line="440" w:lineRule="exact"/>
        <w:ind w:firstLine="420" w:firstLineChars="200"/>
        <w:jc w:val="left"/>
        <w:rPr>
          <w:rFonts w:ascii="宋体" w:hAnsi="宋体"/>
          <w:color w:val="000000" w:themeColor="text1"/>
          <w:szCs w:val="21"/>
          <w:highlight w:val="none"/>
          <w:u w:val="single"/>
          <w14:textFill>
            <w14:solidFill>
              <w14:schemeClr w14:val="tx1"/>
            </w14:solidFill>
          </w14:textFill>
        </w:rPr>
      </w:pPr>
      <w:r>
        <w:rPr>
          <w:rFonts w:ascii="宋体" w:hAnsi="宋体"/>
          <w:color w:val="000000" w:themeColor="text1"/>
          <w:szCs w:val="21"/>
          <w:highlight w:val="none"/>
          <w14:textFill>
            <w14:solidFill>
              <w14:schemeClr w14:val="tx1"/>
            </w14:solidFill>
          </w14:textFill>
        </w:rPr>
        <w:t>主体结构、关键性工作的范围：</w:t>
      </w:r>
      <w:r>
        <w:rPr>
          <w:rFonts w:hint="eastAsia" w:ascii="宋体" w:hAnsi="宋体" w:cs="宋体"/>
          <w:color w:val="000000" w:themeColor="text1"/>
          <w:szCs w:val="21"/>
          <w:highlight w:val="none"/>
          <w:u w:val="single"/>
          <w14:textFill>
            <w14:solidFill>
              <w14:schemeClr w14:val="tx1"/>
            </w14:solidFill>
          </w14:textFill>
        </w:rPr>
        <w:t>/</w:t>
      </w:r>
      <w:r>
        <w:rPr>
          <w:rFonts w:ascii="宋体" w:hAnsi="宋体"/>
          <w:color w:val="000000" w:themeColor="text1"/>
          <w:szCs w:val="21"/>
          <w:highlight w:val="none"/>
          <w14:textFill>
            <w14:solidFill>
              <w14:schemeClr w14:val="tx1"/>
            </w14:solidFill>
          </w14:textFill>
        </w:rPr>
        <w:t>。</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Start w:id="369" w:name="_Toc303539104"/>
      <w:bookmarkStart w:id="370" w:name="_Toc296944500"/>
      <w:bookmarkStart w:id="371" w:name="_Toc300934947"/>
      <w:bookmarkStart w:id="372" w:name="_Toc297048347"/>
      <w:bookmarkStart w:id="373" w:name="_Toc296346662"/>
      <w:bookmarkStart w:id="374" w:name="_Toc296503161"/>
      <w:bookmarkStart w:id="375" w:name="_Toc297123494"/>
      <w:bookmarkStart w:id="376" w:name="_Toc296890989"/>
      <w:bookmarkStart w:id="377" w:name="_Toc297120461"/>
      <w:bookmarkStart w:id="378" w:name="_Toc304295525"/>
      <w:bookmarkStart w:id="379" w:name="_Toc296891201"/>
      <w:bookmarkStart w:id="380" w:name="_Toc296347160"/>
      <w:bookmarkStart w:id="381" w:name="_Toc297216153"/>
    </w:p>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14:paraId="6D642E45">
      <w:pPr>
        <w:spacing w:line="44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    3</w:t>
      </w:r>
      <w:bookmarkStart w:id="382" w:name="_Toc312677990"/>
      <w:bookmarkStart w:id="383" w:name="_Toc318581159"/>
      <w:r>
        <w:rPr>
          <w:rFonts w:ascii="宋体" w:hAnsi="宋体"/>
          <w:color w:val="000000" w:themeColor="text1"/>
          <w:szCs w:val="21"/>
          <w:highlight w:val="none"/>
          <w14:textFill>
            <w14:solidFill>
              <w14:schemeClr w14:val="tx1"/>
            </w14:solidFill>
          </w14:textFill>
        </w:rPr>
        <w:t>.5.2分包的确定</w:t>
      </w:r>
    </w:p>
    <w:p w14:paraId="5B48C392">
      <w:pPr>
        <w:spacing w:line="440" w:lineRule="exact"/>
        <w:ind w:firstLine="420" w:firstLineChars="200"/>
        <w:rPr>
          <w:rFonts w:ascii="宋体" w:hAnsi="宋体"/>
          <w:color w:val="000000" w:themeColor="text1"/>
          <w:szCs w:val="21"/>
          <w:highlight w:val="none"/>
          <w:u w:val="single"/>
          <w14:textFill>
            <w14:solidFill>
              <w14:schemeClr w14:val="tx1"/>
            </w14:solidFill>
          </w14:textFill>
        </w:rPr>
      </w:pPr>
      <w:r>
        <w:rPr>
          <w:rFonts w:ascii="宋体" w:hAnsi="宋体"/>
          <w:color w:val="000000" w:themeColor="text1"/>
          <w:szCs w:val="21"/>
          <w:highlight w:val="none"/>
          <w14:textFill>
            <w14:solidFill>
              <w14:schemeClr w14:val="tx1"/>
            </w14:solidFill>
          </w14:textFill>
        </w:rPr>
        <w:t>允许分包的专业工程包括</w:t>
      </w:r>
      <w:r>
        <w:rPr>
          <w:rFonts w:ascii="宋体" w:hAnsi="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本工程禁止分包</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w:t>
      </w:r>
    </w:p>
    <w:p w14:paraId="21B436EE">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其他关于分包的约定：。</w:t>
      </w:r>
    </w:p>
    <w:p w14:paraId="37AC6272">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3.5.</w:t>
      </w:r>
      <w:r>
        <w:rPr>
          <w:rFonts w:hint="eastAsia" w:ascii="宋体" w:hAnsi="宋体"/>
          <w:color w:val="000000" w:themeColor="text1"/>
          <w:szCs w:val="21"/>
          <w:highlight w:val="none"/>
          <w14:textFill>
            <w14:solidFill>
              <w14:schemeClr w14:val="tx1"/>
            </w14:solidFill>
          </w14:textFill>
        </w:rPr>
        <w:t>3</w:t>
      </w:r>
      <w:r>
        <w:rPr>
          <w:rFonts w:ascii="宋体" w:hAnsi="宋体"/>
          <w:color w:val="000000" w:themeColor="text1"/>
          <w:szCs w:val="21"/>
          <w:highlight w:val="none"/>
          <w14:textFill>
            <w14:solidFill>
              <w14:schemeClr w14:val="tx1"/>
            </w14:solidFill>
          </w14:textFill>
        </w:rPr>
        <w:t xml:space="preserve"> 分包合同价款</w:t>
      </w:r>
    </w:p>
    <w:p w14:paraId="38155705">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关于分包合同价款支付的约定：</w:t>
      </w:r>
      <w:r>
        <w:rPr>
          <w:rFonts w:hint="eastAsia" w:ascii="宋体" w:hAnsi="宋体" w:cs="宋体"/>
          <w:color w:val="000000" w:themeColor="text1"/>
          <w:szCs w:val="21"/>
          <w:highlight w:val="none"/>
          <w:u w:val="single"/>
          <w14:textFill>
            <w14:solidFill>
              <w14:schemeClr w14:val="tx1"/>
            </w14:solidFill>
          </w14:textFill>
        </w:rPr>
        <w:t xml:space="preserve">无        </w:t>
      </w:r>
      <w:r>
        <w:rPr>
          <w:rFonts w:ascii="宋体" w:hAnsi="宋体"/>
          <w:color w:val="000000" w:themeColor="text1"/>
          <w:szCs w:val="21"/>
          <w:highlight w:val="none"/>
          <w14:textFill>
            <w14:solidFill>
              <w14:schemeClr w14:val="tx1"/>
            </w14:solidFill>
          </w14:textFill>
        </w:rPr>
        <w:t>。</w:t>
      </w:r>
    </w:p>
    <w:bookmarkEnd w:id="382"/>
    <w:bookmarkEnd w:id="383"/>
    <w:p w14:paraId="2B814164">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3.6 工程照管与成品、半成品保护</w:t>
      </w:r>
    </w:p>
    <w:p w14:paraId="2C21BCCC">
      <w:pPr>
        <w:spacing w:before="120" w:after="120" w:line="440" w:lineRule="exact"/>
        <w:ind w:firstLine="420" w:firstLineChars="200"/>
        <w:rPr>
          <w:rFonts w:ascii="宋体" w:hAnsi="宋体"/>
          <w:color w:val="000000" w:themeColor="text1"/>
          <w:kern w:val="0"/>
          <w:szCs w:val="21"/>
          <w:highlight w:val="none"/>
          <w:u w:val="singl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承包人负责照管工程及工程相关的材料、工程设备的起始时间：。</w:t>
      </w:r>
    </w:p>
    <w:p w14:paraId="7E192F7A">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3.7 履约担保</w:t>
      </w:r>
    </w:p>
    <w:p w14:paraId="48923F1E">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bookmarkStart w:id="384" w:name="_Toc351203636"/>
      <w:r>
        <w:rPr>
          <w:rFonts w:hint="eastAsia" w:ascii="宋体" w:hAnsi="宋体"/>
          <w:color w:val="000000" w:themeColor="text1"/>
          <w:szCs w:val="21"/>
          <w:highlight w:val="none"/>
          <w14:textFill>
            <w14:solidFill>
              <w14:schemeClr w14:val="tx1"/>
            </w14:solidFill>
          </w14:textFill>
        </w:rPr>
        <w:t>承包人是否提供履约担保：</w:t>
      </w:r>
      <w:r>
        <w:rPr>
          <w:rFonts w:hint="eastAsia" w:ascii="宋体" w:hAnsi="宋体"/>
          <w:color w:val="000000" w:themeColor="text1"/>
          <w:szCs w:val="21"/>
          <w:highlight w:val="none"/>
          <w:u w:val="single"/>
          <w14:textFill>
            <w14:solidFill>
              <w14:schemeClr w14:val="tx1"/>
            </w14:solidFill>
          </w14:textFill>
        </w:rPr>
        <w:t>无</w:t>
      </w:r>
      <w:r>
        <w:rPr>
          <w:rFonts w:ascii="宋体" w:hAnsi="宋体"/>
          <w:color w:val="000000" w:themeColor="text1"/>
          <w:szCs w:val="21"/>
          <w:highlight w:val="none"/>
          <w14:textFill>
            <w14:solidFill>
              <w14:schemeClr w14:val="tx1"/>
            </w14:solidFill>
          </w14:textFill>
        </w:rPr>
        <w:t>。</w:t>
      </w:r>
    </w:p>
    <w:p w14:paraId="6B0E7143">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承包人提供履约担保的形式</w:t>
      </w:r>
      <w:r>
        <w:rPr>
          <w:rFonts w:hint="eastAsia" w:ascii="宋体" w:hAnsi="宋体"/>
          <w:color w:val="000000" w:themeColor="text1"/>
          <w:szCs w:val="21"/>
          <w:highlight w:val="none"/>
          <w14:textFill>
            <w14:solidFill>
              <w14:schemeClr w14:val="tx1"/>
            </w14:solidFill>
          </w14:textFill>
        </w:rPr>
        <w:t>、金额及期限的</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无</w:t>
      </w:r>
      <w:r>
        <w:rPr>
          <w:rFonts w:ascii="宋体" w:hAnsi="宋体"/>
          <w:color w:val="000000" w:themeColor="text1"/>
          <w:szCs w:val="21"/>
          <w:highlight w:val="none"/>
          <w14:textFill>
            <w14:solidFill>
              <w14:schemeClr w14:val="tx1"/>
            </w14:solidFill>
          </w14:textFill>
        </w:rPr>
        <w:t>。</w:t>
      </w:r>
    </w:p>
    <w:p w14:paraId="3CA73C9D">
      <w:pPr>
        <w:keepNext/>
        <w:keepLines/>
        <w:widowControl/>
        <w:spacing w:before="120" w:after="120" w:line="440" w:lineRule="exact"/>
        <w:outlineLvl w:val="3"/>
        <w:rPr>
          <w:rFonts w:ascii="宋体" w:hAnsi="宋体" w:eastAsia="黑体"/>
          <w:b/>
          <w:color w:val="000000" w:themeColor="text1"/>
          <w:kern w:val="0"/>
          <w:sz w:val="28"/>
          <w:szCs w:val="21"/>
          <w:highlight w:val="none"/>
          <w14:textFill>
            <w14:solidFill>
              <w14:schemeClr w14:val="tx1"/>
            </w14:solidFill>
          </w14:textFill>
        </w:rPr>
      </w:pPr>
      <w:r>
        <w:rPr>
          <w:rFonts w:ascii="宋体" w:hAnsi="宋体" w:eastAsia="黑体"/>
          <w:b/>
          <w:color w:val="000000" w:themeColor="text1"/>
          <w:kern w:val="0"/>
          <w:sz w:val="28"/>
          <w:szCs w:val="21"/>
          <w:highlight w:val="none"/>
          <w14:textFill>
            <w14:solidFill>
              <w14:schemeClr w14:val="tx1"/>
            </w14:solidFill>
          </w14:textFill>
        </w:rPr>
        <w:t>4</w:t>
      </w:r>
      <w:bookmarkStart w:id="385" w:name="_Toc267251413"/>
      <w:bookmarkStart w:id="386" w:name="_Toc296503162"/>
      <w:bookmarkStart w:id="387" w:name="_Toc297048348"/>
      <w:bookmarkStart w:id="388" w:name="_Toc296346663"/>
      <w:bookmarkStart w:id="389" w:name="_Toc297120462"/>
      <w:bookmarkStart w:id="390" w:name="_Toc292559871"/>
      <w:bookmarkStart w:id="391" w:name="_Toc296347161"/>
      <w:bookmarkStart w:id="392" w:name="_Toc296944501"/>
      <w:bookmarkStart w:id="393" w:name="_Toc292559366"/>
      <w:bookmarkStart w:id="394" w:name="_Toc296891202"/>
      <w:bookmarkStart w:id="395" w:name="_Toc296890990"/>
      <w:r>
        <w:rPr>
          <w:rFonts w:ascii="宋体" w:hAnsi="宋体" w:eastAsia="黑体"/>
          <w:b/>
          <w:color w:val="000000" w:themeColor="text1"/>
          <w:kern w:val="0"/>
          <w:sz w:val="28"/>
          <w:szCs w:val="21"/>
          <w:highlight w:val="none"/>
          <w14:textFill>
            <w14:solidFill>
              <w14:schemeClr w14:val="tx1"/>
            </w14:solidFill>
          </w14:textFill>
        </w:rPr>
        <w:t>. 监</w:t>
      </w:r>
      <w:bookmarkEnd w:id="385"/>
      <w:bookmarkEnd w:id="386"/>
      <w:bookmarkEnd w:id="387"/>
      <w:bookmarkEnd w:id="388"/>
      <w:bookmarkEnd w:id="389"/>
      <w:bookmarkEnd w:id="390"/>
      <w:bookmarkEnd w:id="391"/>
      <w:bookmarkEnd w:id="392"/>
      <w:bookmarkEnd w:id="393"/>
      <w:bookmarkEnd w:id="394"/>
      <w:bookmarkEnd w:id="395"/>
      <w:r>
        <w:rPr>
          <w:rFonts w:ascii="宋体" w:hAnsi="宋体" w:eastAsia="黑体"/>
          <w:b/>
          <w:color w:val="000000" w:themeColor="text1"/>
          <w:kern w:val="0"/>
          <w:sz w:val="28"/>
          <w:szCs w:val="21"/>
          <w:highlight w:val="none"/>
          <w14:textFill>
            <w14:solidFill>
              <w14:schemeClr w14:val="tx1"/>
            </w14:solidFill>
          </w14:textFill>
        </w:rPr>
        <w:t>理人</w:t>
      </w:r>
      <w:bookmarkEnd w:id="384"/>
    </w:p>
    <w:p w14:paraId="4268DC43">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4.1监理人的一般规定</w:t>
      </w:r>
    </w:p>
    <w:p w14:paraId="74A5C84A">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关于监理人的监理内容：。</w:t>
      </w:r>
    </w:p>
    <w:p w14:paraId="752CC511">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关于监理人的监理权限：。 </w:t>
      </w:r>
    </w:p>
    <w:p w14:paraId="1BB26584">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关于监理人在施工现场的办公场所、生活场所的提供和费用承担的约定：。</w:t>
      </w:r>
    </w:p>
    <w:p w14:paraId="51892418">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4.2 监理人员</w:t>
      </w:r>
    </w:p>
    <w:p w14:paraId="06B18E92">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总监理工程师：</w:t>
      </w:r>
    </w:p>
    <w:p w14:paraId="673B81A5">
      <w:pPr>
        <w:spacing w:line="440" w:lineRule="exact"/>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ascii="宋体" w:hAnsi="宋体"/>
          <w:color w:val="000000" w:themeColor="text1"/>
          <w:szCs w:val="21"/>
          <w:highlight w:val="none"/>
          <w14:textFill>
            <w14:solidFill>
              <w14:schemeClr w14:val="tx1"/>
            </w14:solidFill>
          </w14:textFill>
        </w:rPr>
        <w:t>姓    名：</w:t>
      </w:r>
      <w:r>
        <w:rPr>
          <w:rFonts w:hint="eastAsia" w:ascii="宋体" w:hAnsi="宋体"/>
          <w:color w:val="000000" w:themeColor="text1"/>
          <w:szCs w:val="21"/>
          <w:highlight w:val="none"/>
          <w:lang w:eastAsia="zh-CN"/>
          <w14:textFill>
            <w14:solidFill>
              <w14:schemeClr w14:val="tx1"/>
            </w14:solidFill>
          </w14:textFill>
        </w:rPr>
        <w:t>；</w:t>
      </w:r>
    </w:p>
    <w:p w14:paraId="600C10EF">
      <w:pPr>
        <w:spacing w:line="440" w:lineRule="exact"/>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ascii="宋体" w:hAnsi="宋体"/>
          <w:color w:val="000000" w:themeColor="text1"/>
          <w:szCs w:val="21"/>
          <w:highlight w:val="none"/>
          <w14:textFill>
            <w14:solidFill>
              <w14:schemeClr w14:val="tx1"/>
            </w14:solidFill>
          </w14:textFill>
        </w:rPr>
        <w:t>职    务：</w:t>
      </w:r>
      <w:r>
        <w:rPr>
          <w:rFonts w:hint="eastAsia" w:ascii="宋体" w:hAnsi="宋体"/>
          <w:color w:val="000000" w:themeColor="text1"/>
          <w:szCs w:val="21"/>
          <w:highlight w:val="none"/>
          <w:lang w:eastAsia="zh-CN"/>
          <w14:textFill>
            <w14:solidFill>
              <w14:schemeClr w14:val="tx1"/>
            </w14:solidFill>
          </w14:textFill>
        </w:rPr>
        <w:t>；</w:t>
      </w:r>
    </w:p>
    <w:p w14:paraId="1AC7B9E7">
      <w:pPr>
        <w:spacing w:line="440" w:lineRule="exact"/>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ascii="宋体" w:hAnsi="宋体"/>
          <w:color w:val="000000" w:themeColor="text1"/>
          <w:szCs w:val="21"/>
          <w:highlight w:val="none"/>
          <w14:textFill>
            <w14:solidFill>
              <w14:schemeClr w14:val="tx1"/>
            </w14:solidFill>
          </w14:textFill>
        </w:rPr>
        <w:t>监理工程师执业资格证书号：</w:t>
      </w:r>
      <w:r>
        <w:rPr>
          <w:rFonts w:hint="eastAsia" w:ascii="宋体" w:hAnsi="宋体"/>
          <w:color w:val="000000" w:themeColor="text1"/>
          <w:szCs w:val="21"/>
          <w:highlight w:val="none"/>
          <w:lang w:eastAsia="zh-CN"/>
          <w14:textFill>
            <w14:solidFill>
              <w14:schemeClr w14:val="tx1"/>
            </w14:solidFill>
          </w14:textFill>
        </w:rPr>
        <w:t>；</w:t>
      </w:r>
    </w:p>
    <w:p w14:paraId="05F82FDB">
      <w:pPr>
        <w:spacing w:line="440" w:lineRule="exact"/>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ascii="宋体" w:hAnsi="宋体"/>
          <w:color w:val="000000" w:themeColor="text1"/>
          <w:szCs w:val="21"/>
          <w:highlight w:val="none"/>
          <w14:textFill>
            <w14:solidFill>
              <w14:schemeClr w14:val="tx1"/>
            </w14:solidFill>
          </w14:textFill>
        </w:rPr>
        <w:t>联系电话：</w:t>
      </w:r>
      <w:r>
        <w:rPr>
          <w:rFonts w:hint="eastAsia" w:ascii="宋体" w:hAnsi="宋体"/>
          <w:color w:val="000000" w:themeColor="text1"/>
          <w:szCs w:val="21"/>
          <w:highlight w:val="none"/>
          <w:lang w:eastAsia="zh-CN"/>
          <w14:textFill>
            <w14:solidFill>
              <w14:schemeClr w14:val="tx1"/>
            </w14:solidFill>
          </w14:textFill>
        </w:rPr>
        <w:t>；</w:t>
      </w:r>
    </w:p>
    <w:p w14:paraId="2399C674">
      <w:pPr>
        <w:spacing w:line="440" w:lineRule="exact"/>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ascii="宋体" w:hAnsi="宋体"/>
          <w:color w:val="000000" w:themeColor="text1"/>
          <w:szCs w:val="21"/>
          <w:highlight w:val="none"/>
          <w14:textFill>
            <w14:solidFill>
              <w14:schemeClr w14:val="tx1"/>
            </w14:solidFill>
          </w14:textFill>
        </w:rPr>
        <w:t>电子信箱：</w:t>
      </w:r>
      <w:r>
        <w:rPr>
          <w:rFonts w:hint="eastAsia" w:ascii="宋体" w:hAnsi="宋体"/>
          <w:color w:val="000000" w:themeColor="text1"/>
          <w:szCs w:val="21"/>
          <w:highlight w:val="none"/>
          <w:lang w:eastAsia="zh-CN"/>
          <w14:textFill>
            <w14:solidFill>
              <w14:schemeClr w14:val="tx1"/>
            </w14:solidFill>
          </w14:textFill>
        </w:rPr>
        <w:t>；</w:t>
      </w:r>
    </w:p>
    <w:p w14:paraId="684AB81A">
      <w:pPr>
        <w:spacing w:line="440" w:lineRule="exact"/>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ascii="宋体" w:hAnsi="宋体"/>
          <w:color w:val="000000" w:themeColor="text1"/>
          <w:szCs w:val="21"/>
          <w:highlight w:val="none"/>
          <w14:textFill>
            <w14:solidFill>
              <w14:schemeClr w14:val="tx1"/>
            </w14:solidFill>
          </w14:textFill>
        </w:rPr>
        <w:t>通信地址：</w:t>
      </w:r>
      <w:r>
        <w:rPr>
          <w:rFonts w:hint="eastAsia" w:ascii="宋体" w:hAnsi="宋体"/>
          <w:color w:val="000000" w:themeColor="text1"/>
          <w:szCs w:val="21"/>
          <w:highlight w:val="none"/>
          <w:lang w:eastAsia="zh-CN"/>
          <w14:textFill>
            <w14:solidFill>
              <w14:schemeClr w14:val="tx1"/>
            </w14:solidFill>
          </w14:textFill>
        </w:rPr>
        <w:t>；</w:t>
      </w:r>
    </w:p>
    <w:p w14:paraId="0315B94B">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关于监理人的其他约定：。</w:t>
      </w:r>
    </w:p>
    <w:p w14:paraId="790CADB3">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3</w:t>
      </w:r>
      <w:r>
        <w:rPr>
          <w:rFonts w:ascii="宋体" w:hAnsi="宋体"/>
          <w:color w:val="000000" w:themeColor="text1"/>
          <w:szCs w:val="21"/>
          <w:highlight w:val="none"/>
          <w14:textFill>
            <w14:solidFill>
              <w14:schemeClr w14:val="tx1"/>
            </w14:solidFill>
          </w14:textFill>
        </w:rPr>
        <w:t xml:space="preserve"> 商定或确定</w:t>
      </w:r>
    </w:p>
    <w:p w14:paraId="59361211">
      <w:pPr>
        <w:spacing w:line="440" w:lineRule="exact"/>
        <w:ind w:firstLine="420" w:firstLineChars="200"/>
        <w:rPr>
          <w:rFonts w:ascii="宋体" w:hAnsi="宋体"/>
          <w:color w:val="000000" w:themeColor="text1"/>
          <w:szCs w:val="21"/>
          <w:highlight w:val="none"/>
          <w14:textFill>
            <w14:solidFill>
              <w14:schemeClr w14:val="tx1"/>
            </w14:solidFill>
          </w14:textFill>
        </w:rPr>
      </w:pPr>
      <w:bookmarkStart w:id="396" w:name="_Toc267251418"/>
      <w:r>
        <w:rPr>
          <w:rFonts w:ascii="宋体" w:hAnsi="宋体"/>
          <w:color w:val="000000" w:themeColor="text1"/>
          <w:szCs w:val="21"/>
          <w:highlight w:val="none"/>
          <w14:textFill>
            <w14:solidFill>
              <w14:schemeClr w14:val="tx1"/>
            </w14:solidFill>
          </w14:textFill>
        </w:rPr>
        <w:t>在发包人和承包人不能通过协商达成一致意见时，发包人授权监理人对以下事项进行确定：</w:t>
      </w:r>
    </w:p>
    <w:p w14:paraId="1FD40DC4">
      <w:pPr>
        <w:autoSpaceDE w:val="0"/>
        <w:autoSpaceDN w:val="0"/>
        <w:adjustRightInd w:val="0"/>
        <w:spacing w:line="440" w:lineRule="exact"/>
        <w:ind w:firstLine="420" w:firstLineChars="200"/>
        <w:jc w:val="left"/>
        <w:rPr>
          <w:rFonts w:hint="eastAsia" w:ascii="宋体" w:hAnsi="宋体" w:eastAsia="宋体"/>
          <w:color w:val="000000" w:themeColor="text1"/>
          <w:kern w:val="0"/>
          <w:szCs w:val="21"/>
          <w:highlight w:val="none"/>
          <w:lang w:eastAsia="zh-CN"/>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（1）</w:t>
      </w:r>
      <w:r>
        <w:rPr>
          <w:rFonts w:hint="eastAsia" w:ascii="宋体" w:hAnsi="宋体"/>
          <w:color w:val="000000" w:themeColor="text1"/>
          <w:szCs w:val="21"/>
          <w:highlight w:val="none"/>
          <w:lang w:eastAsia="zh-CN"/>
          <w14:textFill>
            <w14:solidFill>
              <w14:schemeClr w14:val="tx1"/>
            </w14:solidFill>
          </w14:textFill>
        </w:rPr>
        <w:t>；</w:t>
      </w:r>
    </w:p>
    <w:p w14:paraId="42CF5FF9">
      <w:pPr>
        <w:autoSpaceDE w:val="0"/>
        <w:autoSpaceDN w:val="0"/>
        <w:adjustRightInd w:val="0"/>
        <w:spacing w:line="440" w:lineRule="exact"/>
        <w:ind w:firstLine="420" w:firstLineChars="200"/>
        <w:jc w:val="left"/>
        <w:rPr>
          <w:rFonts w:hint="eastAsia" w:ascii="宋体" w:hAnsi="宋体" w:eastAsia="宋体"/>
          <w:color w:val="000000" w:themeColor="text1"/>
          <w:kern w:val="0"/>
          <w:szCs w:val="21"/>
          <w:highlight w:val="none"/>
          <w:lang w:eastAsia="zh-CN"/>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（2）</w:t>
      </w:r>
      <w:r>
        <w:rPr>
          <w:rFonts w:hint="eastAsia" w:ascii="宋体" w:hAnsi="宋体"/>
          <w:color w:val="000000" w:themeColor="text1"/>
          <w:szCs w:val="21"/>
          <w:highlight w:val="none"/>
          <w:lang w:eastAsia="zh-CN"/>
          <w14:textFill>
            <w14:solidFill>
              <w14:schemeClr w14:val="tx1"/>
            </w14:solidFill>
          </w14:textFill>
        </w:rPr>
        <w:t>；</w:t>
      </w:r>
    </w:p>
    <w:p w14:paraId="66C82205">
      <w:pPr>
        <w:autoSpaceDE w:val="0"/>
        <w:autoSpaceDN w:val="0"/>
        <w:adjustRightInd w:val="0"/>
        <w:spacing w:line="440" w:lineRule="exact"/>
        <w:ind w:firstLine="420" w:firstLineChars="200"/>
        <w:jc w:val="lef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（3）</w:t>
      </w:r>
      <w:r>
        <w:rPr>
          <w:rFonts w:ascii="宋体" w:hAnsi="宋体"/>
          <w:color w:val="000000" w:themeColor="text1"/>
          <w:szCs w:val="21"/>
          <w:highlight w:val="none"/>
          <w14:textFill>
            <w14:solidFill>
              <w14:schemeClr w14:val="tx1"/>
            </w14:solidFill>
          </w14:textFill>
        </w:rPr>
        <w:t>。</w:t>
      </w:r>
    </w:p>
    <w:p w14:paraId="1F95252E">
      <w:pPr>
        <w:keepNext/>
        <w:keepLines/>
        <w:widowControl/>
        <w:spacing w:before="120" w:after="120" w:line="440" w:lineRule="exact"/>
        <w:outlineLvl w:val="3"/>
        <w:rPr>
          <w:rFonts w:ascii="宋体" w:hAnsi="宋体" w:eastAsia="黑体"/>
          <w:b/>
          <w:color w:val="000000" w:themeColor="text1"/>
          <w:kern w:val="0"/>
          <w:sz w:val="28"/>
          <w:szCs w:val="21"/>
          <w:highlight w:val="none"/>
          <w14:textFill>
            <w14:solidFill>
              <w14:schemeClr w14:val="tx1"/>
            </w14:solidFill>
          </w14:textFill>
        </w:rPr>
      </w:pPr>
      <w:bookmarkStart w:id="397" w:name="_Toc351203637"/>
      <w:r>
        <w:rPr>
          <w:rFonts w:ascii="宋体" w:hAnsi="宋体" w:eastAsia="黑体"/>
          <w:b/>
          <w:color w:val="000000" w:themeColor="text1"/>
          <w:kern w:val="0"/>
          <w:sz w:val="28"/>
          <w:szCs w:val="21"/>
          <w:highlight w:val="none"/>
          <w14:textFill>
            <w14:solidFill>
              <w14:schemeClr w14:val="tx1"/>
            </w14:solidFill>
          </w14:textFill>
        </w:rPr>
        <w:t>5</w:t>
      </w:r>
      <w:bookmarkEnd w:id="396"/>
      <w:bookmarkStart w:id="398" w:name="_Toc296346664"/>
      <w:bookmarkStart w:id="399" w:name="_Toc296944502"/>
      <w:bookmarkStart w:id="400" w:name="_Toc297048349"/>
      <w:bookmarkStart w:id="401" w:name="_Toc296891203"/>
      <w:bookmarkStart w:id="402" w:name="_Toc297120463"/>
      <w:bookmarkStart w:id="403" w:name="_Toc292559367"/>
      <w:bookmarkStart w:id="404" w:name="_Toc292559872"/>
      <w:bookmarkStart w:id="405" w:name="_Toc296890991"/>
      <w:bookmarkStart w:id="406" w:name="_Toc296503163"/>
      <w:bookmarkStart w:id="407" w:name="_Toc296347162"/>
      <w:r>
        <w:rPr>
          <w:rFonts w:ascii="宋体" w:hAnsi="宋体" w:eastAsia="黑体"/>
          <w:b/>
          <w:color w:val="000000" w:themeColor="text1"/>
          <w:kern w:val="0"/>
          <w:sz w:val="28"/>
          <w:szCs w:val="21"/>
          <w:highlight w:val="none"/>
          <w14:textFill>
            <w14:solidFill>
              <w14:schemeClr w14:val="tx1"/>
            </w14:solidFill>
          </w14:textFill>
        </w:rPr>
        <w:t>. 工程质量</w:t>
      </w:r>
      <w:bookmarkEnd w:id="397"/>
    </w:p>
    <w:p w14:paraId="23A31149">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5.1 质量要求</w:t>
      </w:r>
    </w:p>
    <w:p w14:paraId="0DC58FDB">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w:t>
      </w:r>
      <w:bookmarkStart w:id="408" w:name="_Toc303539106"/>
      <w:bookmarkStart w:id="409" w:name="_Toc304295527"/>
      <w:bookmarkStart w:id="410" w:name="_Toc297123496"/>
      <w:bookmarkStart w:id="411" w:name="_Toc312677997"/>
      <w:bookmarkStart w:id="412" w:name="_Toc318581164"/>
      <w:bookmarkStart w:id="413" w:name="_Toc300934949"/>
      <w:bookmarkStart w:id="414" w:name="_Toc297216155"/>
      <w:r>
        <w:rPr>
          <w:rFonts w:ascii="宋体" w:hAnsi="宋体"/>
          <w:color w:val="000000" w:themeColor="text1"/>
          <w:szCs w:val="21"/>
          <w:highlight w:val="none"/>
          <w14:textFill>
            <w14:solidFill>
              <w14:schemeClr w14:val="tx1"/>
            </w14:solidFill>
          </w14:textFill>
        </w:rPr>
        <w:t>.1.1 特殊质量标准和要求：。</w:t>
      </w:r>
    </w:p>
    <w:p w14:paraId="0E7BF029">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关于工程奖项的约定：。</w:t>
      </w:r>
    </w:p>
    <w:p w14:paraId="57A44696">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5.3 隐蔽工程检查</w:t>
      </w:r>
    </w:p>
    <w:p w14:paraId="3CC2CA8A">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5.3.2承包人提前通知监理人隐蔽工程检查的期限的约定：</w:t>
      </w:r>
      <w:r>
        <w:rPr>
          <w:rFonts w:hint="eastAsia" w:ascii="宋体" w:hAnsi="宋体"/>
          <w:b/>
          <w:bCs/>
          <w:color w:val="000000" w:themeColor="text1"/>
          <w:szCs w:val="21"/>
          <w:highlight w:val="none"/>
          <w:u w:val="single"/>
          <w14:textFill>
            <w14:solidFill>
              <w14:schemeClr w14:val="tx1"/>
            </w14:solidFill>
          </w14:textFill>
        </w:rPr>
        <w:t>工程隐蔽或中间验收前24小时以书面形式通知发包人和监理工程师验收的内容、时间、地点，承包人准备验收记录单（最好是印制的表格）由双方签证。验收合格，承包人可进行隐蔽和继续施工</w:t>
      </w:r>
      <w:r>
        <w:rPr>
          <w:rFonts w:hint="eastAsia" w:ascii="宋体" w:hAnsi="宋体"/>
          <w:b/>
          <w:bCs/>
          <w:color w:val="000000" w:themeColor="text1"/>
          <w:szCs w:val="21"/>
          <w:highlight w:val="none"/>
          <w:u w:val="single"/>
          <w:lang w:eastAsia="zh-CN"/>
          <w14:textFill>
            <w14:solidFill>
              <w14:schemeClr w14:val="tx1"/>
            </w14:solidFill>
          </w14:textFill>
        </w:rPr>
        <w:t>；</w:t>
      </w:r>
      <w:r>
        <w:rPr>
          <w:rFonts w:hint="eastAsia" w:ascii="宋体" w:hAnsi="宋体"/>
          <w:b/>
          <w:bCs/>
          <w:color w:val="000000" w:themeColor="text1"/>
          <w:szCs w:val="21"/>
          <w:highlight w:val="none"/>
          <w:u w:val="single"/>
          <w14:textFill>
            <w14:solidFill>
              <w14:schemeClr w14:val="tx1"/>
            </w14:solidFill>
          </w14:textFill>
        </w:rPr>
        <w:t>验收不合格，双方商订时限内修改后按上述循序重新验收。</w:t>
      </w:r>
    </w:p>
    <w:p w14:paraId="38D88F70">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监理人不能按时进行检查时，应提前</w:t>
      </w:r>
      <w:r>
        <w:rPr>
          <w:rFonts w:hint="eastAsia" w:ascii="宋体" w:hAnsi="宋体"/>
          <w:color w:val="000000" w:themeColor="text1"/>
          <w:szCs w:val="21"/>
          <w:highlight w:val="none"/>
          <w14:textFill>
            <w14:solidFill>
              <w14:schemeClr w14:val="tx1"/>
            </w14:solidFill>
          </w14:textFill>
        </w:rPr>
        <w:t>24</w:t>
      </w:r>
      <w:r>
        <w:rPr>
          <w:rFonts w:ascii="宋体" w:hAnsi="宋体"/>
          <w:color w:val="000000" w:themeColor="text1"/>
          <w:szCs w:val="21"/>
          <w:highlight w:val="none"/>
          <w14:textFill>
            <w14:solidFill>
              <w14:schemeClr w14:val="tx1"/>
            </w14:solidFill>
          </w14:textFill>
        </w:rPr>
        <w:t>小时提交书面延期要求。</w:t>
      </w:r>
    </w:p>
    <w:p w14:paraId="481B41D5">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关于延期最长不得超过：</w:t>
      </w:r>
      <w:r>
        <w:rPr>
          <w:rFonts w:hint="eastAsia" w:ascii="宋体" w:hAnsi="宋体"/>
          <w:color w:val="000000" w:themeColor="text1"/>
          <w:szCs w:val="21"/>
          <w:highlight w:val="none"/>
          <w14:textFill>
            <w14:solidFill>
              <w14:schemeClr w14:val="tx1"/>
            </w14:solidFill>
          </w14:textFill>
        </w:rPr>
        <w:t>12</w:t>
      </w:r>
      <w:r>
        <w:rPr>
          <w:rFonts w:ascii="宋体" w:hAnsi="宋体"/>
          <w:color w:val="000000" w:themeColor="text1"/>
          <w:szCs w:val="21"/>
          <w:highlight w:val="none"/>
          <w14:textFill>
            <w14:solidFill>
              <w14:schemeClr w14:val="tx1"/>
            </w14:solidFill>
          </w14:textFill>
        </w:rPr>
        <w:t>小时。</w:t>
      </w:r>
    </w:p>
    <w:p w14:paraId="47ABC650">
      <w:pPr>
        <w:keepNext/>
        <w:keepLines/>
        <w:widowControl/>
        <w:spacing w:before="120" w:after="120" w:line="440" w:lineRule="exact"/>
        <w:outlineLvl w:val="3"/>
        <w:rPr>
          <w:rFonts w:ascii="宋体" w:hAnsi="宋体" w:eastAsia="黑体"/>
          <w:b/>
          <w:color w:val="000000" w:themeColor="text1"/>
          <w:kern w:val="0"/>
          <w:sz w:val="28"/>
          <w:szCs w:val="21"/>
          <w:highlight w:val="none"/>
          <w14:textFill>
            <w14:solidFill>
              <w14:schemeClr w14:val="tx1"/>
            </w14:solidFill>
          </w14:textFill>
        </w:rPr>
      </w:pPr>
      <w:bookmarkStart w:id="415" w:name="_Toc351203638"/>
      <w:r>
        <w:rPr>
          <w:rFonts w:ascii="宋体" w:hAnsi="宋体" w:eastAsia="黑体"/>
          <w:b/>
          <w:color w:val="000000" w:themeColor="text1"/>
          <w:kern w:val="0"/>
          <w:sz w:val="28"/>
          <w:szCs w:val="21"/>
          <w:highlight w:val="none"/>
          <w14:textFill>
            <w14:solidFill>
              <w14:schemeClr w14:val="tx1"/>
            </w14:solidFill>
          </w14:textFill>
        </w:rPr>
        <w:t>6. 安全文明施工与环境保护</w:t>
      </w:r>
      <w:bookmarkEnd w:id="415"/>
    </w:p>
    <w:p w14:paraId="544D2E77">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6.1安全文明施工</w:t>
      </w:r>
    </w:p>
    <w:p w14:paraId="7B8E4C9D">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6.1.1 项目安全生产的达标目标及相应事项的约定：。</w:t>
      </w:r>
    </w:p>
    <w:p w14:paraId="5CF48B04">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6.1.</w:t>
      </w: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 xml:space="preserve"> 关于治安保卫的特别约定：</w:t>
      </w:r>
      <w:r>
        <w:rPr>
          <w:rFonts w:hint="eastAsia" w:ascii="宋体" w:hAnsi="宋体"/>
          <w:b/>
          <w:color w:val="000000" w:themeColor="text1"/>
          <w:szCs w:val="21"/>
          <w:highlight w:val="none"/>
          <w:u w:val="single"/>
          <w14:textFill>
            <w14:solidFill>
              <w14:schemeClr w14:val="tx1"/>
            </w14:solidFill>
          </w14:textFill>
        </w:rPr>
        <w:t>承包人应承担施工安全保卫工作及非夜间施工照明的责任，承包人应采取一切合理的预防措施，防止人员伤亡、财产损失事故，费用由承包人承担</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承包人生活设施及施工场应自费配备消防设备，防止火灾发生。</w:t>
      </w:r>
    </w:p>
    <w:p w14:paraId="2D8F59CF">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关于编制施工场地治安管理计划的约定：</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w:t>
      </w:r>
    </w:p>
    <w:p w14:paraId="3A38AF3F">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6.1.3 文明施工</w:t>
      </w:r>
    </w:p>
    <w:p w14:paraId="65EA0BFC">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当事人对文明施工的要求：承包人应按住建主管部门有关规定做好工程质量和安全管理、环境保护和文明施工的工作，建立完善的工程质量和安全管理、环境保护和文明施工体系，严格遵照实施，并接受发包人及相关职能部门的监督检查。</w:t>
      </w:r>
    </w:p>
    <w:p w14:paraId="0F581693">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6.1.</w:t>
      </w:r>
      <w:r>
        <w:rPr>
          <w:rFonts w:hint="eastAsia" w:ascii="宋体" w:hAnsi="宋体"/>
          <w:color w:val="000000" w:themeColor="text1"/>
          <w:szCs w:val="21"/>
          <w:highlight w:val="none"/>
          <w14:textFill>
            <w14:solidFill>
              <w14:schemeClr w14:val="tx1"/>
            </w14:solidFill>
          </w14:textFill>
        </w:rPr>
        <w:t>4</w:t>
      </w:r>
      <w:r>
        <w:rPr>
          <w:rFonts w:ascii="宋体" w:hAnsi="宋体"/>
          <w:color w:val="000000" w:themeColor="text1"/>
          <w:szCs w:val="21"/>
          <w:highlight w:val="none"/>
          <w14:textFill>
            <w14:solidFill>
              <w14:schemeClr w14:val="tx1"/>
            </w14:solidFill>
          </w14:textFill>
        </w:rPr>
        <w:t>关于安全文明施工费支付比例和支付期限的约定：</w:t>
      </w:r>
    </w:p>
    <w:p w14:paraId="4FBE0759">
      <w:pPr>
        <w:numPr>
          <w:ilvl w:val="0"/>
          <w:numId w:val="4"/>
        </w:num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本合同价款已包含安全文明施工费</w:t>
      </w:r>
    </w:p>
    <w:p w14:paraId="6A6FDA5A">
      <w:pPr>
        <w:numPr>
          <w:ilvl w:val="0"/>
          <w:numId w:val="4"/>
        </w:num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使用要求：专款专用。具体按《广西壮族自治区建设工程安全文明施工费使用管理细则》（桂建质【2015】16号及其相关规定执行）</w:t>
      </w:r>
      <w:r>
        <w:rPr>
          <w:rFonts w:ascii="宋体" w:hAnsi="宋体"/>
          <w:color w:val="000000" w:themeColor="text1"/>
          <w:szCs w:val="21"/>
          <w:highlight w:val="none"/>
          <w14:textFill>
            <w14:solidFill>
              <w14:schemeClr w14:val="tx1"/>
            </w14:solidFill>
          </w14:textFill>
        </w:rPr>
        <w:t>。</w:t>
      </w:r>
    </w:p>
    <w:p w14:paraId="7828199C">
      <w:pPr>
        <w:numPr>
          <w:ilvl w:val="0"/>
          <w:numId w:val="4"/>
        </w:num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支付约定：限额内专款专用，实报实销。</w:t>
      </w:r>
    </w:p>
    <w:p w14:paraId="661BC763">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6.2环境保护:</w:t>
      </w:r>
      <w:r>
        <w:rPr>
          <w:rFonts w:hint="eastAsia" w:ascii="宋体" w:hAnsi="宋体"/>
          <w:b/>
          <w:color w:val="000000" w:themeColor="text1"/>
          <w:szCs w:val="21"/>
          <w:highlight w:val="none"/>
          <w:u w:val="single"/>
          <w14:textFill>
            <w14:solidFill>
              <w14:schemeClr w14:val="tx1"/>
            </w14:solidFill>
          </w14:textFill>
        </w:rPr>
        <w:t>因施工需要，经发包人批准，由承包人办理有关施工场地交通、环卫和施工噪音管理等手续，费用由承包人负责。经过城市道路的施工车辆，必须按交警、城管、运输等部门相关规定执行。由于施工车辆造成的道路、环境等污染，其责任和费用均由承包人承担。</w:t>
      </w:r>
    </w:p>
    <w:bookmarkEnd w:id="408"/>
    <w:bookmarkEnd w:id="409"/>
    <w:bookmarkEnd w:id="410"/>
    <w:bookmarkEnd w:id="411"/>
    <w:bookmarkEnd w:id="412"/>
    <w:bookmarkEnd w:id="413"/>
    <w:bookmarkEnd w:id="414"/>
    <w:p w14:paraId="74C601D5">
      <w:pPr>
        <w:keepNext/>
        <w:keepLines/>
        <w:widowControl/>
        <w:spacing w:before="120" w:after="120" w:line="440" w:lineRule="exact"/>
        <w:ind w:firstLine="141" w:firstLineChars="50"/>
        <w:outlineLvl w:val="3"/>
        <w:rPr>
          <w:rFonts w:ascii="宋体" w:hAnsi="宋体" w:eastAsia="黑体"/>
          <w:b/>
          <w:color w:val="000000" w:themeColor="text1"/>
          <w:kern w:val="0"/>
          <w:sz w:val="28"/>
          <w:szCs w:val="21"/>
          <w:highlight w:val="none"/>
          <w14:textFill>
            <w14:solidFill>
              <w14:schemeClr w14:val="tx1"/>
            </w14:solidFill>
          </w14:textFill>
        </w:rPr>
      </w:pPr>
      <w:bookmarkStart w:id="416" w:name="_Toc351203639"/>
      <w:r>
        <w:rPr>
          <w:rFonts w:ascii="宋体" w:hAnsi="宋体" w:eastAsia="黑体"/>
          <w:b/>
          <w:color w:val="000000" w:themeColor="text1"/>
          <w:kern w:val="0"/>
          <w:sz w:val="28"/>
          <w:szCs w:val="21"/>
          <w:highlight w:val="none"/>
          <w14:textFill>
            <w14:solidFill>
              <w14:schemeClr w14:val="tx1"/>
            </w14:solidFill>
          </w14:textFill>
        </w:rPr>
        <w:t>7. 工期和进度</w:t>
      </w:r>
      <w:bookmarkEnd w:id="416"/>
    </w:p>
    <w:p w14:paraId="6AEFEFCF">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7.1 施工组织设计</w:t>
      </w:r>
    </w:p>
    <w:p w14:paraId="03060624">
      <w:pPr>
        <w:autoSpaceDE w:val="0"/>
        <w:autoSpaceDN w:val="0"/>
        <w:adjustRightInd w:val="0"/>
        <w:spacing w:line="440" w:lineRule="exact"/>
        <w:ind w:firstLine="420" w:firstLineChars="200"/>
        <w:jc w:val="lef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7.1.</w:t>
      </w:r>
      <w:r>
        <w:rPr>
          <w:rFonts w:hint="eastAsia" w:ascii="宋体" w:hAnsi="宋体"/>
          <w:color w:val="000000" w:themeColor="text1"/>
          <w:szCs w:val="21"/>
          <w:highlight w:val="none"/>
          <w14:textFill>
            <w14:solidFill>
              <w14:schemeClr w14:val="tx1"/>
            </w14:solidFill>
          </w14:textFill>
        </w:rPr>
        <w:t>1 合</w:t>
      </w:r>
      <w:r>
        <w:rPr>
          <w:rFonts w:hint="eastAsia" w:ascii="宋体" w:hAnsi="宋体"/>
          <w:color w:val="000000" w:themeColor="text1"/>
          <w:kern w:val="0"/>
          <w:szCs w:val="21"/>
          <w:highlight w:val="none"/>
          <w14:textFill>
            <w14:solidFill>
              <w14:schemeClr w14:val="tx1"/>
            </w14:solidFill>
          </w14:textFill>
        </w:rPr>
        <w:t>同当事人约定的</w:t>
      </w:r>
      <w:r>
        <w:rPr>
          <w:rFonts w:ascii="宋体" w:hAnsi="宋体"/>
          <w:color w:val="000000" w:themeColor="text1"/>
          <w:kern w:val="0"/>
          <w:szCs w:val="21"/>
          <w:highlight w:val="none"/>
          <w14:textFill>
            <w14:solidFill>
              <w14:schemeClr w14:val="tx1"/>
            </w14:solidFill>
          </w14:textFill>
        </w:rPr>
        <w:t>施工组织设计</w:t>
      </w:r>
      <w:r>
        <w:rPr>
          <w:rFonts w:hint="eastAsia" w:ascii="宋体" w:hAnsi="宋体"/>
          <w:color w:val="000000" w:themeColor="text1"/>
          <w:kern w:val="0"/>
          <w:szCs w:val="21"/>
          <w:highlight w:val="none"/>
          <w14:textFill>
            <w14:solidFill>
              <w14:schemeClr w14:val="tx1"/>
            </w14:solidFill>
          </w14:textFill>
        </w:rPr>
        <w:t>应包括的其他内容</w:t>
      </w:r>
      <w:r>
        <w:rPr>
          <w:rFonts w:ascii="宋体" w:hAnsi="宋体"/>
          <w:color w:val="000000" w:themeColor="text1"/>
          <w:kern w:val="0"/>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w:t>
      </w:r>
    </w:p>
    <w:p w14:paraId="45A80876">
      <w:pPr>
        <w:autoSpaceDE w:val="0"/>
        <w:autoSpaceDN w:val="0"/>
        <w:adjustRightInd w:val="0"/>
        <w:spacing w:line="440" w:lineRule="exact"/>
        <w:ind w:firstLine="420" w:firstLineChars="200"/>
        <w:jc w:val="lef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7.1.2</w:t>
      </w:r>
      <w:r>
        <w:rPr>
          <w:rFonts w:ascii="宋体" w:hAnsi="宋体"/>
          <w:color w:val="000000" w:themeColor="text1"/>
          <w:kern w:val="0"/>
          <w:szCs w:val="21"/>
          <w:highlight w:val="none"/>
          <w14:textFill>
            <w14:solidFill>
              <w14:schemeClr w14:val="tx1"/>
            </w14:solidFill>
          </w14:textFill>
        </w:rPr>
        <w:t>施工组织设计的提交和修改</w:t>
      </w:r>
    </w:p>
    <w:p w14:paraId="29032B81">
      <w:pPr>
        <w:autoSpaceDE w:val="0"/>
        <w:autoSpaceDN w:val="0"/>
        <w:adjustRightInd w:val="0"/>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承包人提交详细施工组织设计的期限的约定：</w:t>
      </w:r>
      <w:r>
        <w:rPr>
          <w:rFonts w:ascii="宋体" w:hAnsi="宋体"/>
          <w:color w:val="000000" w:themeColor="text1"/>
          <w:szCs w:val="21"/>
          <w:highlight w:val="none"/>
          <w14:textFill>
            <w14:solidFill>
              <w14:schemeClr w14:val="tx1"/>
            </w14:solidFill>
          </w14:textFill>
        </w:rPr>
        <w:t>。</w:t>
      </w:r>
    </w:p>
    <w:p w14:paraId="3B38A7AF">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发包人和监理人在收到</w:t>
      </w:r>
      <w:r>
        <w:rPr>
          <w:rFonts w:hint="eastAsia" w:ascii="宋体" w:hAnsi="宋体"/>
          <w:color w:val="000000" w:themeColor="text1"/>
          <w:szCs w:val="21"/>
          <w:highlight w:val="none"/>
          <w14:textFill>
            <w14:solidFill>
              <w14:schemeClr w14:val="tx1"/>
            </w14:solidFill>
          </w14:textFill>
        </w:rPr>
        <w:t>详细的施工组织设计</w:t>
      </w:r>
      <w:r>
        <w:rPr>
          <w:rFonts w:ascii="宋体" w:hAnsi="宋体"/>
          <w:color w:val="000000" w:themeColor="text1"/>
          <w:szCs w:val="21"/>
          <w:highlight w:val="none"/>
          <w14:textFill>
            <w14:solidFill>
              <w14:schemeClr w14:val="tx1"/>
            </w14:solidFill>
          </w14:textFill>
        </w:rPr>
        <w:t>后确认或提出修改意见的期限：。</w:t>
      </w:r>
    </w:p>
    <w:p w14:paraId="2C833DEF">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7</w:t>
      </w:r>
      <w:bookmarkStart w:id="417" w:name="_Toc297123514"/>
      <w:bookmarkStart w:id="418" w:name="_Toc312678005"/>
      <w:bookmarkStart w:id="419" w:name="_Toc300934966"/>
      <w:bookmarkStart w:id="420" w:name="_Toc303539123"/>
      <w:bookmarkStart w:id="421" w:name="_Toc312677479"/>
      <w:bookmarkStart w:id="422" w:name="_Toc297216173"/>
      <w:bookmarkStart w:id="423" w:name="_Toc304295541"/>
      <w:r>
        <w:rPr>
          <w:rFonts w:ascii="宋体" w:hAnsi="宋体"/>
          <w:color w:val="000000" w:themeColor="text1"/>
          <w:szCs w:val="21"/>
          <w:highlight w:val="none"/>
          <w14:textFill>
            <w14:solidFill>
              <w14:schemeClr w14:val="tx1"/>
            </w14:solidFill>
          </w14:textFill>
        </w:rPr>
        <w:t>.2 施工进度计划</w:t>
      </w:r>
    </w:p>
    <w:p w14:paraId="5166FEF9">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7.2.</w:t>
      </w: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 xml:space="preserve"> 施工进度计划的修订</w:t>
      </w:r>
    </w:p>
    <w:p w14:paraId="70438558">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发包人和监理人在收到修订的施工进度计划后确认或提出修改意见的期限：。</w:t>
      </w:r>
    </w:p>
    <w:p w14:paraId="2789EC3F">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7.3 开工</w:t>
      </w:r>
    </w:p>
    <w:p w14:paraId="7D3C1198">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7.3.1 开工准备</w:t>
      </w:r>
    </w:p>
    <w:p w14:paraId="42D95EEE">
      <w:pPr>
        <w:spacing w:line="440" w:lineRule="exact"/>
        <w:ind w:firstLine="420" w:firstLineChars="200"/>
        <w:jc w:val="left"/>
        <w:rPr>
          <w:rFonts w:ascii="宋体" w:hAnsi="宋体"/>
          <w:color w:val="000000" w:themeColor="text1"/>
          <w:szCs w:val="21"/>
          <w:highlight w:val="none"/>
          <w:u w:val="single"/>
          <w14:textFill>
            <w14:solidFill>
              <w14:schemeClr w14:val="tx1"/>
            </w14:solidFill>
          </w14:textFill>
        </w:rPr>
      </w:pPr>
      <w:r>
        <w:rPr>
          <w:rFonts w:ascii="宋体" w:hAnsi="宋体"/>
          <w:color w:val="000000" w:themeColor="text1"/>
          <w:szCs w:val="21"/>
          <w:highlight w:val="none"/>
          <w14:textFill>
            <w14:solidFill>
              <w14:schemeClr w14:val="tx1"/>
            </w14:solidFill>
          </w14:textFill>
        </w:rPr>
        <w:t>关于承包人提交</w:t>
      </w:r>
      <w:r>
        <w:rPr>
          <w:rFonts w:ascii="宋体" w:hAnsi="宋体"/>
          <w:color w:val="000000" w:themeColor="text1"/>
          <w:kern w:val="0"/>
          <w:szCs w:val="21"/>
          <w:highlight w:val="none"/>
          <w14:textFill>
            <w14:solidFill>
              <w14:schemeClr w14:val="tx1"/>
            </w14:solidFill>
          </w14:textFill>
        </w:rPr>
        <w:t>工程开工报审表的期限：</w:t>
      </w:r>
      <w:r>
        <w:rPr>
          <w:rFonts w:ascii="宋体" w:hAnsi="宋体"/>
          <w:color w:val="000000" w:themeColor="text1"/>
          <w:szCs w:val="21"/>
          <w:highlight w:val="none"/>
          <w14:textFill>
            <w14:solidFill>
              <w14:schemeClr w14:val="tx1"/>
            </w14:solidFill>
          </w14:textFill>
        </w:rPr>
        <w:t>。</w:t>
      </w:r>
    </w:p>
    <w:p w14:paraId="4A40EDB5">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关于发包人应完成的其他开工准备工作及期限：。</w:t>
      </w:r>
    </w:p>
    <w:p w14:paraId="2CFA7E9B">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关于承包人应完成的其他开工准备工作及期限：。</w:t>
      </w:r>
    </w:p>
    <w:p w14:paraId="14EF979C">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7.3.2开工通知</w:t>
      </w:r>
    </w:p>
    <w:p w14:paraId="2D6BA583">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因发包人原因造成监理人未能在计划开工日期之日起天内发出开工通知的，承包人有权提出价格调整要求，或者解除合同。</w:t>
      </w:r>
    </w:p>
    <w:bookmarkEnd w:id="417"/>
    <w:bookmarkEnd w:id="418"/>
    <w:bookmarkEnd w:id="419"/>
    <w:bookmarkEnd w:id="420"/>
    <w:bookmarkEnd w:id="421"/>
    <w:bookmarkEnd w:id="422"/>
    <w:bookmarkEnd w:id="423"/>
    <w:p w14:paraId="445B64F3">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7.4 测量放线</w:t>
      </w:r>
    </w:p>
    <w:p w14:paraId="366C17C0">
      <w:pPr>
        <w:spacing w:line="440" w:lineRule="exact"/>
        <w:ind w:firstLine="420" w:firstLineChars="200"/>
        <w:jc w:val="left"/>
        <w:rPr>
          <w:rFonts w:ascii="宋体" w:hAnsi="宋体"/>
          <w:color w:val="000000" w:themeColor="text1"/>
          <w:szCs w:val="21"/>
          <w:highlight w:val="none"/>
          <w:u w:val="single"/>
          <w14:textFill>
            <w14:solidFill>
              <w14:schemeClr w14:val="tx1"/>
            </w14:solidFill>
          </w14:textFill>
        </w:rPr>
      </w:pPr>
      <w:r>
        <w:rPr>
          <w:rFonts w:ascii="宋体" w:hAnsi="宋体"/>
          <w:color w:val="000000" w:themeColor="text1"/>
          <w:szCs w:val="21"/>
          <w:highlight w:val="none"/>
          <w14:textFill>
            <w14:solidFill>
              <w14:schemeClr w14:val="tx1"/>
            </w14:solidFill>
          </w14:textFill>
        </w:rPr>
        <w:t>7.4.1发包人通过监理人向承包人提供测量基准点、基准线和水准点及其书面资料的期限：。</w:t>
      </w:r>
    </w:p>
    <w:p w14:paraId="334158BD">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7</w:t>
      </w:r>
      <w:bookmarkStart w:id="424" w:name="_Toc312677484"/>
      <w:bookmarkStart w:id="425" w:name="_Toc300934968"/>
      <w:bookmarkStart w:id="426" w:name="_Toc297216175"/>
      <w:bookmarkStart w:id="427" w:name="_Toc297123516"/>
      <w:bookmarkStart w:id="428" w:name="_Toc312678010"/>
      <w:bookmarkStart w:id="429" w:name="_Toc304295546"/>
      <w:bookmarkStart w:id="430" w:name="_Toc303539125"/>
      <w:r>
        <w:rPr>
          <w:rFonts w:ascii="宋体" w:hAnsi="宋体"/>
          <w:color w:val="000000" w:themeColor="text1"/>
          <w:szCs w:val="21"/>
          <w:highlight w:val="none"/>
          <w14:textFill>
            <w14:solidFill>
              <w14:schemeClr w14:val="tx1"/>
            </w14:solidFill>
          </w14:textFill>
        </w:rPr>
        <w:t>.5 工期延误</w:t>
      </w:r>
    </w:p>
    <w:bookmarkEnd w:id="424"/>
    <w:bookmarkEnd w:id="425"/>
    <w:bookmarkEnd w:id="426"/>
    <w:bookmarkEnd w:id="427"/>
    <w:bookmarkEnd w:id="428"/>
    <w:bookmarkEnd w:id="429"/>
    <w:bookmarkEnd w:id="430"/>
    <w:p w14:paraId="712EF3CC">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7.5.1 因发包人原因导致工期延误</w:t>
      </w:r>
    </w:p>
    <w:p w14:paraId="68DEAA76">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（7）因发包人原因导致工期延误的其他情形：。</w:t>
      </w:r>
    </w:p>
    <w:p w14:paraId="6415215D">
      <w:pPr>
        <w:spacing w:line="440" w:lineRule="exact"/>
        <w:ind w:firstLine="422" w:firstLineChars="200"/>
        <w:jc w:val="left"/>
        <w:rPr>
          <w:rFonts w:ascii="宋体" w:hAnsi="宋体"/>
          <w:color w:val="000000" w:themeColor="text1"/>
          <w:szCs w:val="21"/>
          <w:highlight w:val="none"/>
          <w14:textFill>
            <w14:solidFill>
              <w14:schemeClr w14:val="tx1"/>
            </w14:solidFill>
          </w14:textFill>
        </w:rPr>
      </w:pPr>
      <w:r>
        <w:rPr>
          <w:rFonts w:ascii="宋体" w:hAnsi="宋体"/>
          <w:b/>
          <w:bCs/>
          <w:color w:val="000000" w:themeColor="text1"/>
          <w:szCs w:val="21"/>
          <w:highlight w:val="none"/>
          <w:u w:val="single"/>
          <w14:textFill>
            <w14:solidFill>
              <w14:schemeClr w14:val="tx1"/>
            </w14:solidFill>
          </w14:textFill>
        </w:rPr>
        <w:t>因</w:t>
      </w:r>
      <w:r>
        <w:rPr>
          <w:rFonts w:hint="eastAsia" w:ascii="宋体" w:hAnsi="宋体"/>
          <w:b/>
          <w:bCs/>
          <w:color w:val="000000" w:themeColor="text1"/>
          <w:szCs w:val="21"/>
          <w:highlight w:val="none"/>
          <w:u w:val="single"/>
          <w14:textFill>
            <w14:solidFill>
              <w14:schemeClr w14:val="tx1"/>
            </w14:solidFill>
          </w14:textFill>
        </w:rPr>
        <w:t>发</w:t>
      </w:r>
      <w:r>
        <w:rPr>
          <w:rFonts w:ascii="宋体" w:hAnsi="宋体"/>
          <w:b/>
          <w:bCs/>
          <w:color w:val="000000" w:themeColor="text1"/>
          <w:szCs w:val="21"/>
          <w:highlight w:val="none"/>
          <w:u w:val="single"/>
          <w14:textFill>
            <w14:solidFill>
              <w14:schemeClr w14:val="tx1"/>
            </w14:solidFill>
          </w14:textFill>
        </w:rPr>
        <w:t>包人</w:t>
      </w:r>
      <w:r>
        <w:rPr>
          <w:rFonts w:hint="eastAsia" w:ascii="宋体" w:hAnsi="宋体"/>
          <w:b/>
          <w:bCs/>
          <w:color w:val="000000" w:themeColor="text1"/>
          <w:szCs w:val="21"/>
          <w:highlight w:val="none"/>
          <w:u w:val="single"/>
          <w14:textFill>
            <w14:solidFill>
              <w14:schemeClr w14:val="tx1"/>
            </w14:solidFill>
          </w14:textFill>
        </w:rPr>
        <w:t>资金未能及时支付等资金方面的</w:t>
      </w:r>
      <w:r>
        <w:rPr>
          <w:rFonts w:ascii="宋体" w:hAnsi="宋体"/>
          <w:b/>
          <w:bCs/>
          <w:color w:val="000000" w:themeColor="text1"/>
          <w:szCs w:val="21"/>
          <w:highlight w:val="none"/>
          <w:u w:val="single"/>
          <w14:textFill>
            <w14:solidFill>
              <w14:schemeClr w14:val="tx1"/>
            </w14:solidFill>
          </w14:textFill>
        </w:rPr>
        <w:t>原因</w:t>
      </w:r>
      <w:r>
        <w:rPr>
          <w:rFonts w:hint="eastAsia" w:ascii="宋体" w:hAnsi="宋体"/>
          <w:b/>
          <w:bCs/>
          <w:color w:val="000000" w:themeColor="text1"/>
          <w:szCs w:val="21"/>
          <w:highlight w:val="none"/>
          <w:u w:val="single"/>
          <w14:textFill>
            <w14:solidFill>
              <w14:schemeClr w14:val="tx1"/>
            </w14:solidFill>
          </w14:textFill>
        </w:rPr>
        <w:t>，若承包人因此造成的窝工、停工超过两个月的，发包人有权更换承包人。</w:t>
      </w:r>
    </w:p>
    <w:p w14:paraId="1E6EA9A6">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7</w:t>
      </w:r>
      <w:bookmarkStart w:id="431" w:name="_Toc318581169"/>
      <w:bookmarkStart w:id="432" w:name="_Toc312678012"/>
      <w:bookmarkStart w:id="433" w:name="_Toc312677486"/>
      <w:bookmarkStart w:id="434" w:name="_Toc303539127"/>
      <w:bookmarkStart w:id="435" w:name="_Toc300934970"/>
      <w:bookmarkStart w:id="436" w:name="_Toc297123518"/>
      <w:bookmarkStart w:id="437" w:name="_Toc297216177"/>
      <w:bookmarkStart w:id="438" w:name="_Toc304295548"/>
      <w:r>
        <w:rPr>
          <w:rFonts w:ascii="宋体" w:hAnsi="宋体"/>
          <w:color w:val="000000" w:themeColor="text1"/>
          <w:szCs w:val="21"/>
          <w:highlight w:val="none"/>
          <w14:textFill>
            <w14:solidFill>
              <w14:schemeClr w14:val="tx1"/>
            </w14:solidFill>
          </w14:textFill>
        </w:rPr>
        <w:t>.5.2 因承包人原因导致工期延误</w:t>
      </w:r>
    </w:p>
    <w:bookmarkEnd w:id="431"/>
    <w:bookmarkEnd w:id="432"/>
    <w:bookmarkEnd w:id="433"/>
    <w:p w14:paraId="0DC38FF6">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因</w:t>
      </w:r>
      <w:bookmarkStart w:id="439" w:name="_Toc312677487"/>
      <w:bookmarkStart w:id="440" w:name="_Toc312678013"/>
      <w:bookmarkStart w:id="441" w:name="_Toc318581170"/>
      <w:r>
        <w:rPr>
          <w:rFonts w:ascii="宋体" w:hAnsi="宋体"/>
          <w:color w:val="000000" w:themeColor="text1"/>
          <w:szCs w:val="21"/>
          <w:highlight w:val="none"/>
          <w14:textFill>
            <w14:solidFill>
              <w14:schemeClr w14:val="tx1"/>
            </w14:solidFill>
          </w14:textFill>
        </w:rPr>
        <w:t>承包人原因造成工期延误，逾期竣工违约金的计算方法：</w:t>
      </w:r>
      <w:r>
        <w:rPr>
          <w:rFonts w:hint="eastAsia" w:ascii="宋体" w:hAnsi="宋体"/>
          <w:b/>
          <w:color w:val="000000" w:themeColor="text1"/>
          <w:szCs w:val="21"/>
          <w:highlight w:val="none"/>
          <w:u w:val="single"/>
          <w14:textFill>
            <w14:solidFill>
              <w14:schemeClr w14:val="tx1"/>
            </w14:solidFill>
          </w14:textFill>
        </w:rPr>
        <w:t>非上述原因，承包人不能按合同约定的时间竣工，承包人应承担违约责任。应向发包人支付误期赔偿费（每天赔偿金额为合同价款的万分之一），误期时间从规定竣工日期起直到全部工程或相应部分工程竣工验收各方签章日期之间的天数（扣除发包人批准顺延的工期）。发包人可从应向承包人支付的任何金额中扣除此项赔款费或其他方式收回此款，此赔偿款的支付并不能解除承包人应完成工程的责任或合同规定的其他责任</w:t>
      </w:r>
      <w:r>
        <w:rPr>
          <w:rFonts w:ascii="宋体" w:hAnsi="宋体"/>
          <w:color w:val="000000" w:themeColor="text1"/>
          <w:szCs w:val="21"/>
          <w:highlight w:val="none"/>
          <w14:textFill>
            <w14:solidFill>
              <w14:schemeClr w14:val="tx1"/>
            </w14:solidFill>
          </w14:textFill>
        </w:rPr>
        <w:t>。</w:t>
      </w:r>
      <w:bookmarkEnd w:id="434"/>
      <w:bookmarkEnd w:id="435"/>
      <w:bookmarkEnd w:id="436"/>
      <w:bookmarkEnd w:id="437"/>
      <w:bookmarkEnd w:id="438"/>
      <w:bookmarkEnd w:id="439"/>
      <w:bookmarkEnd w:id="440"/>
    </w:p>
    <w:bookmarkEnd w:id="441"/>
    <w:p w14:paraId="05122477">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因承包人原因造成工期延误，逾</w:t>
      </w:r>
      <w:bookmarkStart w:id="442" w:name="_Toc312678014"/>
      <w:bookmarkStart w:id="443" w:name="_Toc318581171"/>
      <w:r>
        <w:rPr>
          <w:rFonts w:ascii="宋体" w:hAnsi="宋体"/>
          <w:color w:val="000000" w:themeColor="text1"/>
          <w:szCs w:val="21"/>
          <w:highlight w:val="none"/>
          <w14:textFill>
            <w14:solidFill>
              <w14:schemeClr w14:val="tx1"/>
            </w14:solidFill>
          </w14:textFill>
        </w:rPr>
        <w:t>期竣工违约金的上限：</w:t>
      </w:r>
      <w:r>
        <w:rPr>
          <w:rFonts w:hint="eastAsia" w:ascii="宋体" w:hAnsi="宋体"/>
          <w:color w:val="000000" w:themeColor="text1"/>
          <w:szCs w:val="21"/>
          <w:highlight w:val="none"/>
          <w:u w:val="single"/>
          <w14:textFill>
            <w14:solidFill>
              <w14:schemeClr w14:val="tx1"/>
            </w14:solidFill>
          </w14:textFill>
        </w:rPr>
        <w:t>每逾期一天，每天赔偿金额为逾期竣工的单位工程结算造价</w:t>
      </w:r>
      <w:r>
        <w:rPr>
          <w:rFonts w:ascii="宋体" w:hAnsi="宋体"/>
          <w:color w:val="000000" w:themeColor="text1"/>
          <w:szCs w:val="21"/>
          <w:highlight w:val="none"/>
          <w:u w:val="single"/>
          <w14:textFill>
            <w14:solidFill>
              <w14:schemeClr w14:val="tx1"/>
            </w14:solidFill>
          </w14:textFill>
        </w:rPr>
        <w:t>扣</w:t>
      </w:r>
      <w:r>
        <w:rPr>
          <w:rFonts w:hAnsi="宋体"/>
          <w:color w:val="000000" w:themeColor="text1"/>
          <w:szCs w:val="21"/>
          <w:highlight w:val="none"/>
          <w:u w:val="single"/>
          <w14:textFill>
            <w14:solidFill>
              <w14:schemeClr w14:val="tx1"/>
            </w14:solidFill>
          </w14:textFill>
        </w:rPr>
        <w:t>除建安劳保费、发包人材料</w:t>
      </w:r>
      <w:r>
        <w:rPr>
          <w:rFonts w:hint="eastAsia" w:hAnsi="宋体"/>
          <w:color w:val="000000" w:themeColor="text1"/>
          <w:szCs w:val="21"/>
          <w:highlight w:val="none"/>
          <w:u w:val="single"/>
          <w14:textFill>
            <w14:solidFill>
              <w14:schemeClr w14:val="tx1"/>
            </w14:solidFill>
          </w14:textFill>
        </w:rPr>
        <w:t>设备</w:t>
      </w:r>
      <w:r>
        <w:rPr>
          <w:rFonts w:hAnsi="宋体"/>
          <w:color w:val="000000" w:themeColor="text1"/>
          <w:szCs w:val="21"/>
          <w:highlight w:val="none"/>
          <w:u w:val="single"/>
          <w14:textFill>
            <w14:solidFill>
              <w14:schemeClr w14:val="tx1"/>
            </w14:solidFill>
          </w14:textFill>
        </w:rPr>
        <w:t>价款、暂估专业工程、暂列金额后的</w:t>
      </w:r>
      <w:r>
        <w:rPr>
          <w:rFonts w:hint="eastAsia"/>
          <w:color w:val="000000" w:themeColor="text1"/>
          <w:szCs w:val="21"/>
          <w:highlight w:val="none"/>
          <w:u w:val="single"/>
          <w14:textFill>
            <w14:solidFill>
              <w14:schemeClr w14:val="tx1"/>
            </w14:solidFill>
          </w14:textFill>
        </w:rPr>
        <w:t>1</w:t>
      </w:r>
      <w:r>
        <w:rPr>
          <w:color w:val="000000" w:themeColor="text1"/>
          <w:szCs w:val="21"/>
          <w:highlight w:val="none"/>
          <w:u w:val="single"/>
          <w14:textFill>
            <w14:solidFill>
              <w14:schemeClr w14:val="tx1"/>
            </w14:solidFill>
          </w14:textFill>
        </w:rPr>
        <w:t>%</w:t>
      </w:r>
      <w:r>
        <w:rPr>
          <w:rFonts w:ascii="宋体" w:hAnsi="宋体"/>
          <w:color w:val="000000" w:themeColor="text1"/>
          <w:szCs w:val="21"/>
          <w:highlight w:val="none"/>
          <w14:textFill>
            <w14:solidFill>
              <w14:schemeClr w14:val="tx1"/>
            </w14:solidFill>
          </w14:textFill>
        </w:rPr>
        <w:t>。</w:t>
      </w:r>
    </w:p>
    <w:bookmarkEnd w:id="442"/>
    <w:bookmarkEnd w:id="443"/>
    <w:p w14:paraId="0CA830AF">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7</w:t>
      </w:r>
      <w:bookmarkStart w:id="444" w:name="_Toc304295549"/>
      <w:bookmarkStart w:id="445" w:name="_Toc297216178"/>
      <w:bookmarkStart w:id="446" w:name="_Toc312678015"/>
      <w:bookmarkStart w:id="447" w:name="_Toc297123519"/>
      <w:bookmarkStart w:id="448" w:name="_Toc303539128"/>
      <w:bookmarkStart w:id="449" w:name="_Toc300934971"/>
      <w:r>
        <w:rPr>
          <w:rFonts w:ascii="宋体" w:hAnsi="宋体"/>
          <w:color w:val="000000" w:themeColor="text1"/>
          <w:szCs w:val="21"/>
          <w:highlight w:val="none"/>
          <w14:textFill>
            <w14:solidFill>
              <w14:schemeClr w14:val="tx1"/>
            </w14:solidFill>
          </w14:textFill>
        </w:rPr>
        <w:t>.6 不</w:t>
      </w:r>
      <w:bookmarkEnd w:id="444"/>
      <w:bookmarkEnd w:id="445"/>
      <w:bookmarkEnd w:id="446"/>
      <w:bookmarkEnd w:id="447"/>
      <w:bookmarkEnd w:id="448"/>
      <w:bookmarkEnd w:id="449"/>
      <w:r>
        <w:rPr>
          <w:rFonts w:ascii="宋体" w:hAnsi="宋体"/>
          <w:color w:val="000000" w:themeColor="text1"/>
          <w:szCs w:val="21"/>
          <w:highlight w:val="none"/>
          <w14:textFill>
            <w14:solidFill>
              <w14:schemeClr w14:val="tx1"/>
            </w14:solidFill>
          </w14:textFill>
        </w:rPr>
        <w:t>利物质条件</w:t>
      </w:r>
    </w:p>
    <w:p w14:paraId="474AB90D">
      <w:pPr>
        <w:spacing w:line="440" w:lineRule="exact"/>
        <w:ind w:firstLine="315" w:firstLineChars="150"/>
        <w:jc w:val="left"/>
        <w:rPr>
          <w:rFonts w:ascii="宋体" w:hAnsi="宋体"/>
          <w:color w:val="000000" w:themeColor="text1"/>
          <w:szCs w:val="21"/>
          <w:highlight w:val="none"/>
          <w14:textFill>
            <w14:solidFill>
              <w14:schemeClr w14:val="tx1"/>
            </w14:solidFill>
          </w14:textFill>
        </w:rPr>
      </w:pPr>
      <w:bookmarkStart w:id="450" w:name="_Toc304295550"/>
      <w:bookmarkStart w:id="451" w:name="_Toc300934972"/>
      <w:bookmarkStart w:id="452" w:name="_Toc297216179"/>
      <w:bookmarkStart w:id="453" w:name="_Toc297123520"/>
      <w:bookmarkStart w:id="454" w:name="_Toc318581172"/>
      <w:bookmarkStart w:id="455" w:name="_Toc312678016"/>
      <w:bookmarkStart w:id="456" w:name="_Toc303539129"/>
      <w:r>
        <w:rPr>
          <w:rFonts w:ascii="宋体" w:hAnsi="宋体"/>
          <w:color w:val="000000" w:themeColor="text1"/>
          <w:szCs w:val="21"/>
          <w:highlight w:val="none"/>
          <w14:textFill>
            <w14:solidFill>
              <w14:schemeClr w14:val="tx1"/>
            </w14:solidFill>
          </w14:textFill>
        </w:rPr>
        <w:t>不利物质条件的其他情形和有关约定：。</w:t>
      </w:r>
    </w:p>
    <w:bookmarkEnd w:id="450"/>
    <w:bookmarkEnd w:id="451"/>
    <w:bookmarkEnd w:id="452"/>
    <w:bookmarkEnd w:id="453"/>
    <w:bookmarkEnd w:id="454"/>
    <w:bookmarkEnd w:id="455"/>
    <w:bookmarkEnd w:id="456"/>
    <w:p w14:paraId="1366BBFB">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7</w:t>
      </w:r>
      <w:bookmarkStart w:id="457" w:name="_Toc304295551"/>
      <w:bookmarkStart w:id="458" w:name="_Toc303539130"/>
      <w:bookmarkStart w:id="459" w:name="_Toc297123521"/>
      <w:bookmarkStart w:id="460" w:name="_Toc312678017"/>
      <w:bookmarkStart w:id="461" w:name="_Toc300934973"/>
      <w:bookmarkStart w:id="462" w:name="_Toc297216180"/>
      <w:r>
        <w:rPr>
          <w:rFonts w:ascii="宋体" w:hAnsi="宋体"/>
          <w:color w:val="000000" w:themeColor="text1"/>
          <w:szCs w:val="21"/>
          <w:highlight w:val="none"/>
          <w14:textFill>
            <w14:solidFill>
              <w14:schemeClr w14:val="tx1"/>
            </w14:solidFill>
          </w14:textFill>
        </w:rPr>
        <w:t>.7异常恶劣的气候条件</w:t>
      </w:r>
    </w:p>
    <w:bookmarkEnd w:id="457"/>
    <w:bookmarkEnd w:id="458"/>
    <w:bookmarkEnd w:id="459"/>
    <w:bookmarkEnd w:id="460"/>
    <w:bookmarkEnd w:id="461"/>
    <w:bookmarkEnd w:id="462"/>
    <w:p w14:paraId="2678712B">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发包人和承包人同意以下情形视为异常恶劣的气候条件：</w:t>
      </w:r>
    </w:p>
    <w:p w14:paraId="086F62CB">
      <w:pPr>
        <w:spacing w:line="360" w:lineRule="exact"/>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（1）六级及其以上台风,合同约定的不可抗力除外。</w:t>
      </w:r>
    </w:p>
    <w:p w14:paraId="109C29CB">
      <w:pPr>
        <w:widowControl/>
        <w:snapToGrid w:val="0"/>
        <w:spacing w:line="36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（2）异常恶劣的气候条件引起的工程延误，由监理工程师根据承包人提交的证明予以评定，异常气候在每月对工程进度影响的评定，应在整个合同内予以累计。</w:t>
      </w:r>
    </w:p>
    <w:p w14:paraId="3CF7BFCD">
      <w:pPr>
        <w:autoSpaceDE w:val="0"/>
        <w:autoSpaceDN w:val="0"/>
        <w:adjustRightInd w:val="0"/>
        <w:spacing w:line="360" w:lineRule="exact"/>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（3）承包人应采取克服异常恶劣的气候条件的合理措施继续施工，并在发生后48小时内及时通知发包人和监理人。监理人应在接到通知后48小时内报发包人同意后应当及时发出指示，指示构成变更的，按</w:t>
      </w:r>
      <w:r>
        <w:rPr>
          <w:rFonts w:hint="eastAsia" w:ascii="宋体" w:hAnsi="宋体"/>
          <w:snapToGrid w:val="0"/>
          <w:color w:val="000000" w:themeColor="text1"/>
          <w:kern w:val="0"/>
          <w:szCs w:val="21"/>
          <w:highlight w:val="none"/>
          <w:u w:val="single"/>
          <w14:textFill>
            <w14:solidFill>
              <w14:schemeClr w14:val="tx1"/>
            </w14:solidFill>
          </w14:textFill>
        </w:rPr>
        <w:t>专用合同条款</w:t>
      </w:r>
      <w:r>
        <w:rPr>
          <w:rFonts w:hint="eastAsia" w:ascii="宋体" w:hAnsi="宋体"/>
          <w:color w:val="000000" w:themeColor="text1"/>
          <w:szCs w:val="21"/>
          <w:highlight w:val="none"/>
          <w:u w:val="single"/>
          <w14:textFill>
            <w14:solidFill>
              <w14:schemeClr w14:val="tx1"/>
            </w14:solidFill>
          </w14:textFill>
        </w:rPr>
        <w:t>第10条〔变更〕约定办理。承包人因采取合理措施而延误的工期由发包人承担，但发包人不承担增加的费用。</w:t>
      </w:r>
    </w:p>
    <w:p w14:paraId="30D75802">
      <w:pPr>
        <w:spacing w:line="360" w:lineRule="auto"/>
        <w:ind w:firstLine="420" w:firstLineChars="200"/>
        <w:jc w:val="left"/>
        <w:rPr>
          <w:color w:val="000000" w:themeColor="text1"/>
          <w:szCs w:val="21"/>
          <w:highlight w:val="none"/>
          <w:u w:val="single"/>
          <w14:textFill>
            <w14:solidFill>
              <w14:schemeClr w14:val="tx1"/>
            </w14:solidFill>
          </w14:textFill>
        </w:rPr>
      </w:pPr>
      <w:r>
        <w:rPr>
          <w:rFonts w:ascii="宋体" w:hAnsi="宋体"/>
          <w:color w:val="000000" w:themeColor="text1"/>
          <w:szCs w:val="21"/>
          <w:highlight w:val="none"/>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8</w:t>
      </w:r>
      <w:r>
        <w:rPr>
          <w:rFonts w:ascii="宋体" w:hAnsi="宋体"/>
          <w:color w:val="000000" w:themeColor="text1"/>
          <w:szCs w:val="21"/>
          <w:highlight w:val="none"/>
          <w14:textFill>
            <w14:solidFill>
              <w14:schemeClr w14:val="tx1"/>
            </w14:solidFill>
          </w14:textFill>
        </w:rPr>
        <w:t xml:space="preserve"> 提前竣工的奖励</w:t>
      </w:r>
    </w:p>
    <w:p w14:paraId="75247DC7">
      <w:pPr>
        <w:spacing w:line="360" w:lineRule="auto"/>
        <w:ind w:firstLine="420" w:firstLineChars="200"/>
        <w:jc w:val="left"/>
        <w:rPr>
          <w:rFonts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8</w:t>
      </w:r>
      <w:r>
        <w:rPr>
          <w:rFonts w:ascii="宋体" w:hAnsi="宋体"/>
          <w:color w:val="000000" w:themeColor="text1"/>
          <w:szCs w:val="21"/>
          <w:highlight w:val="none"/>
          <w14:textFill>
            <w14:solidFill>
              <w14:schemeClr w14:val="tx1"/>
            </w14:solidFill>
          </w14:textFill>
        </w:rPr>
        <w:t>.2提前竣工的奖励：</w:t>
      </w:r>
      <w:r>
        <w:rPr>
          <w:rFonts w:hint="eastAsia"/>
          <w:color w:val="000000" w:themeColor="text1"/>
          <w:szCs w:val="21"/>
          <w:highlight w:val="none"/>
          <w:u w:val="single"/>
          <w14:textFill>
            <w14:solidFill>
              <w14:schemeClr w14:val="tx1"/>
            </w14:solidFill>
          </w14:textFill>
        </w:rPr>
        <w:t>无</w:t>
      </w:r>
      <w:r>
        <w:rPr>
          <w:rFonts w:hAnsi="宋体"/>
          <w:color w:val="000000" w:themeColor="text1"/>
          <w:szCs w:val="21"/>
          <w:highlight w:val="none"/>
          <w14:textFill>
            <w14:solidFill>
              <w14:schemeClr w14:val="tx1"/>
            </w14:solidFill>
          </w14:textFill>
        </w:rPr>
        <w:t>。</w:t>
      </w:r>
    </w:p>
    <w:p w14:paraId="38C0C2E7">
      <w:pPr>
        <w:keepNext/>
        <w:keepLines/>
        <w:widowControl/>
        <w:spacing w:before="120" w:after="120" w:line="440" w:lineRule="exact"/>
        <w:outlineLvl w:val="3"/>
        <w:rPr>
          <w:rFonts w:ascii="宋体" w:hAnsi="宋体" w:eastAsia="黑体"/>
          <w:b/>
          <w:color w:val="000000" w:themeColor="text1"/>
          <w:kern w:val="0"/>
          <w:sz w:val="28"/>
          <w:szCs w:val="21"/>
          <w:highlight w:val="none"/>
          <w14:textFill>
            <w14:solidFill>
              <w14:schemeClr w14:val="tx1"/>
            </w14:solidFill>
          </w14:textFill>
        </w:rPr>
      </w:pPr>
      <w:bookmarkStart w:id="463" w:name="_Toc351203640"/>
      <w:r>
        <w:rPr>
          <w:rFonts w:ascii="宋体" w:hAnsi="宋体" w:eastAsia="黑体"/>
          <w:b/>
          <w:color w:val="000000" w:themeColor="text1"/>
          <w:kern w:val="0"/>
          <w:sz w:val="28"/>
          <w:szCs w:val="21"/>
          <w:highlight w:val="none"/>
          <w14:textFill>
            <w14:solidFill>
              <w14:schemeClr w14:val="tx1"/>
            </w14:solidFill>
          </w14:textFill>
        </w:rPr>
        <w:t>8. 材料与设备</w:t>
      </w:r>
      <w:bookmarkEnd w:id="463"/>
    </w:p>
    <w:bookmarkEnd w:id="398"/>
    <w:bookmarkEnd w:id="399"/>
    <w:bookmarkEnd w:id="400"/>
    <w:bookmarkEnd w:id="401"/>
    <w:bookmarkEnd w:id="402"/>
    <w:bookmarkEnd w:id="403"/>
    <w:bookmarkEnd w:id="404"/>
    <w:bookmarkEnd w:id="405"/>
    <w:bookmarkEnd w:id="406"/>
    <w:bookmarkEnd w:id="407"/>
    <w:p w14:paraId="7DD8008C">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8</w:t>
      </w:r>
      <w:bookmarkStart w:id="464" w:name="_Toc303539136"/>
      <w:bookmarkStart w:id="465" w:name="_Toc297123527"/>
      <w:bookmarkStart w:id="466" w:name="_Toc296944506"/>
      <w:bookmarkStart w:id="467" w:name="_Toc296891207"/>
      <w:bookmarkStart w:id="468" w:name="_Toc297048353"/>
      <w:bookmarkStart w:id="469" w:name="_Toc297120467"/>
      <w:bookmarkStart w:id="470" w:name="_Toc304295556"/>
      <w:bookmarkStart w:id="471" w:name="_Toc280868654"/>
      <w:bookmarkStart w:id="472" w:name="_Toc296503167"/>
      <w:bookmarkStart w:id="473" w:name="_Toc312678019"/>
      <w:bookmarkStart w:id="474" w:name="_Toc296346668"/>
      <w:bookmarkStart w:id="475" w:name="_Toc297216186"/>
      <w:bookmarkStart w:id="476" w:name="_Toc292559877"/>
      <w:bookmarkStart w:id="477" w:name="_Toc312677493"/>
      <w:bookmarkStart w:id="478" w:name="_Toc296890995"/>
      <w:bookmarkStart w:id="479" w:name="_Toc300934979"/>
      <w:bookmarkStart w:id="480" w:name="_Toc296347166"/>
      <w:bookmarkStart w:id="481" w:name="_Toc292559372"/>
      <w:bookmarkStart w:id="482" w:name="_Toc280868655"/>
      <w:bookmarkStart w:id="483" w:name="_Toc280868656"/>
      <w:bookmarkStart w:id="484" w:name="_Toc267251424"/>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材料与工程设备的保管与使用</w:t>
      </w:r>
    </w:p>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p w14:paraId="4739093C">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8</w:t>
      </w:r>
      <w:bookmarkStart w:id="485" w:name="_Toc292559878"/>
      <w:bookmarkStart w:id="486" w:name="_Toc292559373"/>
      <w:bookmarkStart w:id="487" w:name="_Toc297123528"/>
      <w:bookmarkStart w:id="488" w:name="_Toc303539137"/>
      <w:bookmarkStart w:id="489" w:name="_Toc296503168"/>
      <w:bookmarkStart w:id="490" w:name="_Toc297216187"/>
      <w:bookmarkStart w:id="491" w:name="_Toc312677494"/>
      <w:bookmarkStart w:id="492" w:name="_Toc296346669"/>
      <w:bookmarkStart w:id="493" w:name="_Toc318581173"/>
      <w:bookmarkStart w:id="494" w:name="_Toc304295557"/>
      <w:bookmarkStart w:id="495" w:name="_Toc297048354"/>
      <w:bookmarkStart w:id="496" w:name="_Toc296890996"/>
      <w:bookmarkStart w:id="497" w:name="_Toc297120468"/>
      <w:bookmarkStart w:id="498" w:name="_Toc296944507"/>
      <w:bookmarkStart w:id="499" w:name="_Toc296347167"/>
      <w:bookmarkStart w:id="500" w:name="_Toc312678020"/>
      <w:bookmarkStart w:id="501" w:name="_Toc300934980"/>
      <w:bookmarkStart w:id="502" w:name="_Toc296891208"/>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.1发包人供应的材料设备的保管费用的承担：。</w:t>
      </w:r>
      <w:bookmarkEnd w:id="485"/>
      <w:bookmarkEnd w:id="486"/>
    </w:p>
    <w:p w14:paraId="499134CB">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8.</w:t>
      </w: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 xml:space="preserve"> 样品</w:t>
      </w:r>
    </w:p>
    <w:p w14:paraId="5EF18835">
      <w:pPr>
        <w:autoSpaceDE w:val="0"/>
        <w:autoSpaceDN w:val="0"/>
        <w:adjustRightInd w:val="0"/>
        <w:spacing w:line="440" w:lineRule="exact"/>
        <w:ind w:firstLine="420" w:firstLineChars="200"/>
        <w:jc w:val="lef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8.</w:t>
      </w:r>
      <w:r>
        <w:rPr>
          <w:rFonts w:hint="eastAsia" w:ascii="宋体" w:hAnsi="宋体"/>
          <w:color w:val="000000" w:themeColor="text1"/>
          <w:kern w:val="0"/>
          <w:szCs w:val="21"/>
          <w:highlight w:val="none"/>
          <w14:textFill>
            <w14:solidFill>
              <w14:schemeClr w14:val="tx1"/>
            </w14:solidFill>
          </w14:textFill>
        </w:rPr>
        <w:t>2</w:t>
      </w:r>
      <w:r>
        <w:rPr>
          <w:rFonts w:ascii="宋体" w:hAnsi="宋体"/>
          <w:color w:val="000000" w:themeColor="text1"/>
          <w:kern w:val="0"/>
          <w:szCs w:val="21"/>
          <w:highlight w:val="none"/>
          <w14:textFill>
            <w14:solidFill>
              <w14:schemeClr w14:val="tx1"/>
            </w14:solidFill>
          </w14:textFill>
        </w:rPr>
        <w:t>.1</w:t>
      </w:r>
      <w:r>
        <w:rPr>
          <w:rFonts w:ascii="宋体" w:hAnsi="宋体"/>
          <w:color w:val="000000" w:themeColor="text1"/>
          <w:kern w:val="0"/>
          <w:szCs w:val="21"/>
          <w:highlight w:val="none"/>
          <w14:textFill>
            <w14:solidFill>
              <w14:schemeClr w14:val="tx1"/>
            </w14:solidFill>
          </w14:textFill>
        </w:rPr>
        <w:tab/>
      </w:r>
      <w:r>
        <w:rPr>
          <w:rFonts w:ascii="宋体" w:hAnsi="宋体"/>
          <w:color w:val="000000" w:themeColor="text1"/>
          <w:kern w:val="0"/>
          <w:szCs w:val="21"/>
          <w:highlight w:val="none"/>
          <w14:textFill>
            <w14:solidFill>
              <w14:schemeClr w14:val="tx1"/>
            </w14:solidFill>
          </w14:textFill>
        </w:rPr>
        <w:t>样品的报送</w:t>
      </w:r>
      <w:r>
        <w:rPr>
          <w:rFonts w:hint="eastAsia" w:ascii="宋体" w:hAnsi="宋体"/>
          <w:color w:val="000000" w:themeColor="text1"/>
          <w:kern w:val="0"/>
          <w:szCs w:val="21"/>
          <w:highlight w:val="none"/>
          <w14:textFill>
            <w14:solidFill>
              <w14:schemeClr w14:val="tx1"/>
            </w14:solidFill>
          </w14:textFill>
        </w:rPr>
        <w:t>与封存</w:t>
      </w:r>
    </w:p>
    <w:p w14:paraId="57473674">
      <w:pPr>
        <w:autoSpaceDE w:val="0"/>
        <w:autoSpaceDN w:val="0"/>
        <w:adjustRightInd w:val="0"/>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需要承包人报送样品的材料或工程设备，样品的种类、名称、规格、数量要求：</w:t>
      </w:r>
      <w:r>
        <w:rPr>
          <w:rFonts w:hint="eastAsia" w:ascii="宋体" w:hAnsi="宋体"/>
          <w:color w:val="000000" w:themeColor="text1"/>
          <w:szCs w:val="21"/>
          <w:highlight w:val="none"/>
          <w:u w:val="single"/>
          <w14:textFill>
            <w14:solidFill>
              <w14:schemeClr w14:val="tx1"/>
            </w14:solidFill>
          </w14:textFill>
        </w:rPr>
        <w:t>主要材料涉及品种、款式、颜色等方面内容的，承包人应提交准备合格的材料样品送发包人选定。</w:t>
      </w:r>
    </w:p>
    <w:p w14:paraId="6634AB14">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8.</w:t>
      </w:r>
      <w:r>
        <w:rPr>
          <w:rFonts w:hint="eastAsia" w:ascii="宋体" w:hAnsi="宋体"/>
          <w:color w:val="000000" w:themeColor="text1"/>
          <w:szCs w:val="21"/>
          <w:highlight w:val="none"/>
          <w14:textFill>
            <w14:solidFill>
              <w14:schemeClr w14:val="tx1"/>
            </w14:solidFill>
          </w14:textFill>
        </w:rPr>
        <w:t>3</w:t>
      </w:r>
      <w:r>
        <w:rPr>
          <w:rFonts w:ascii="宋体" w:hAnsi="宋体"/>
          <w:color w:val="000000" w:themeColor="text1"/>
          <w:szCs w:val="21"/>
          <w:highlight w:val="none"/>
          <w14:textFill>
            <w14:solidFill>
              <w14:schemeClr w14:val="tx1"/>
            </w14:solidFill>
          </w14:textFill>
        </w:rPr>
        <w:t xml:space="preserve"> 施工设备和临时设施</w:t>
      </w:r>
    </w:p>
    <w:p w14:paraId="07BB3361">
      <w:pPr>
        <w:autoSpaceDE w:val="0"/>
        <w:autoSpaceDN w:val="0"/>
        <w:adjustRightIn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8.</w:t>
      </w:r>
      <w:r>
        <w:rPr>
          <w:rFonts w:hint="eastAsia" w:ascii="宋体" w:hAnsi="宋体"/>
          <w:color w:val="000000" w:themeColor="text1"/>
          <w:szCs w:val="21"/>
          <w:highlight w:val="none"/>
          <w14:textFill>
            <w14:solidFill>
              <w14:schemeClr w14:val="tx1"/>
            </w14:solidFill>
          </w14:textFill>
        </w:rPr>
        <w:t>3</w:t>
      </w:r>
      <w:r>
        <w:rPr>
          <w:rFonts w:ascii="宋体" w:hAnsi="宋体"/>
          <w:color w:val="000000" w:themeColor="text1"/>
          <w:szCs w:val="21"/>
          <w:highlight w:val="none"/>
          <w14:textFill>
            <w14:solidFill>
              <w14:schemeClr w14:val="tx1"/>
            </w14:solidFill>
          </w14:textFill>
        </w:rPr>
        <w:t>.1 承包人提供的施工设备和临时设施</w:t>
      </w:r>
      <w:r>
        <w:rPr>
          <w:rFonts w:hint="eastAsia" w:ascii="宋体" w:hAnsi="宋体"/>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除专用合同条款另有约定的其他独立承包人和监理人指示的他人提供条件外，承包人运入施工场地的所有施工设备以及在施工场地建设的临时设施仅限于用于合同工程。</w:t>
      </w:r>
    </w:p>
    <w:p w14:paraId="3C6F7A34">
      <w:pPr>
        <w:autoSpaceDE w:val="0"/>
        <w:autoSpaceDN w:val="0"/>
        <w:adjustRightInd w:val="0"/>
        <w:spacing w:line="440" w:lineRule="exact"/>
        <w:ind w:firstLine="420" w:firstLineChars="200"/>
        <w:jc w:val="left"/>
        <w:rPr>
          <w:rFonts w:ascii="宋体" w:hAnsi="宋体"/>
          <w:b/>
          <w:color w:val="000000" w:themeColor="text1"/>
          <w:szCs w:val="21"/>
          <w:highlight w:val="none"/>
          <w:u w:val="single"/>
          <w14:textFill>
            <w14:solidFill>
              <w14:schemeClr w14:val="tx1"/>
            </w14:solidFill>
          </w14:textFill>
        </w:rPr>
      </w:pPr>
      <w:r>
        <w:rPr>
          <w:rFonts w:ascii="宋体" w:hAnsi="宋体"/>
          <w:color w:val="000000" w:themeColor="text1"/>
          <w:szCs w:val="21"/>
          <w:highlight w:val="none"/>
          <w14:textFill>
            <w14:solidFill>
              <w14:schemeClr w14:val="tx1"/>
            </w14:solidFill>
          </w14:textFill>
        </w:rPr>
        <w:t>关于修建临时设施费用承担的约定：</w:t>
      </w:r>
      <w:r>
        <w:rPr>
          <w:rFonts w:hint="eastAsia" w:ascii="宋体" w:hAnsi="宋体"/>
          <w:b/>
          <w:color w:val="000000" w:themeColor="text1"/>
          <w:szCs w:val="21"/>
          <w:highlight w:val="none"/>
          <w:u w:val="single"/>
          <w14:textFill>
            <w14:solidFill>
              <w14:schemeClr w14:val="tx1"/>
            </w14:solidFill>
          </w14:textFill>
        </w:rPr>
        <w:t>①承包人的临时用地（含项目部驻地等）租用费（含拆迁补偿）、临时用地的环保、恢复、临时用地的青苗补偿及地面附着物拆除等费用均由承包人负责，以上费用在竞标报价中综合考虑。</w:t>
      </w:r>
    </w:p>
    <w:p w14:paraId="64B6E247">
      <w:pPr>
        <w:autoSpaceDE w:val="0"/>
        <w:autoSpaceDN w:val="0"/>
        <w:adjustRightInd w:val="0"/>
        <w:spacing w:line="440" w:lineRule="exact"/>
        <w:ind w:firstLine="422" w:firstLineChars="200"/>
        <w:jc w:val="left"/>
        <w:rPr>
          <w:rFonts w:ascii="宋体" w:hAnsi="宋体"/>
          <w:b/>
          <w:color w:val="000000" w:themeColor="text1"/>
          <w:szCs w:val="21"/>
          <w:highlight w:val="none"/>
          <w:u w:val="single"/>
          <w14:textFill>
            <w14:solidFill>
              <w14:schemeClr w14:val="tx1"/>
            </w14:solidFill>
          </w14:textFill>
        </w:rPr>
      </w:pPr>
      <w:r>
        <w:rPr>
          <w:rFonts w:hint="eastAsia" w:ascii="宋体" w:hAnsi="宋体"/>
          <w:b/>
          <w:color w:val="000000" w:themeColor="text1"/>
          <w:szCs w:val="21"/>
          <w:highlight w:val="none"/>
          <w:u w:val="single"/>
          <w14:textFill>
            <w14:solidFill>
              <w14:schemeClr w14:val="tx1"/>
            </w14:solidFill>
          </w14:textFill>
        </w:rPr>
        <w:t>②承包人负责合同实施期间其合同段内临时交通道路（含场内外连接公共交通道路）和交通设施的修建、维修、养护和交通管理工作，并承担一切费用。</w:t>
      </w:r>
    </w:p>
    <w:p w14:paraId="6B28A6D4">
      <w:pPr>
        <w:autoSpaceDE w:val="0"/>
        <w:autoSpaceDN w:val="0"/>
        <w:adjustRightInd w:val="0"/>
        <w:spacing w:line="440" w:lineRule="exact"/>
        <w:ind w:firstLine="422"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u w:val="single"/>
          <w14:textFill>
            <w14:solidFill>
              <w14:schemeClr w14:val="tx1"/>
            </w14:solidFill>
          </w14:textFill>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p w14:paraId="244A3474">
      <w:pPr>
        <w:keepNext/>
        <w:keepLines/>
        <w:widowControl/>
        <w:spacing w:before="120" w:after="120" w:line="440" w:lineRule="exact"/>
        <w:outlineLvl w:val="3"/>
        <w:rPr>
          <w:rFonts w:ascii="宋体" w:hAnsi="宋体" w:eastAsia="黑体"/>
          <w:b/>
          <w:color w:val="000000" w:themeColor="text1"/>
          <w:kern w:val="0"/>
          <w:sz w:val="28"/>
          <w:szCs w:val="21"/>
          <w:highlight w:val="none"/>
          <w14:textFill>
            <w14:solidFill>
              <w14:schemeClr w14:val="tx1"/>
            </w14:solidFill>
          </w14:textFill>
        </w:rPr>
      </w:pPr>
      <w:bookmarkStart w:id="503" w:name="_Toc351203641"/>
      <w:r>
        <w:rPr>
          <w:rFonts w:ascii="宋体" w:hAnsi="宋体" w:eastAsia="黑体"/>
          <w:b/>
          <w:color w:val="000000" w:themeColor="text1"/>
          <w:kern w:val="0"/>
          <w:sz w:val="28"/>
          <w:szCs w:val="21"/>
          <w:highlight w:val="none"/>
          <w14:textFill>
            <w14:solidFill>
              <w14:schemeClr w14:val="tx1"/>
            </w14:solidFill>
          </w14:textFill>
        </w:rPr>
        <w:t>9</w:t>
      </w:r>
      <w:bookmarkEnd w:id="482"/>
      <w:bookmarkEnd w:id="483"/>
      <w:bookmarkEnd w:id="484"/>
      <w:bookmarkStart w:id="504" w:name="_Toc312678021"/>
      <w:bookmarkStart w:id="505" w:name="_Toc297123533"/>
      <w:bookmarkStart w:id="506" w:name="_Toc304295559"/>
      <w:bookmarkStart w:id="507" w:name="_Toc297216192"/>
      <w:bookmarkStart w:id="508" w:name="_Toc303539139"/>
      <w:bookmarkStart w:id="509" w:name="_Toc312677495"/>
      <w:bookmarkStart w:id="510" w:name="_Toc300934982"/>
      <w:bookmarkStart w:id="511" w:name="_Toc296346674"/>
      <w:bookmarkStart w:id="512" w:name="_Toc296347172"/>
      <w:bookmarkStart w:id="513" w:name="_Toc297048359"/>
      <w:bookmarkStart w:id="514" w:name="_Toc267251428"/>
      <w:bookmarkStart w:id="515" w:name="_Toc267251427"/>
      <w:bookmarkStart w:id="516" w:name="_Toc296891213"/>
      <w:bookmarkStart w:id="517" w:name="_Toc297120473"/>
      <w:bookmarkStart w:id="518" w:name="_Toc296503173"/>
      <w:bookmarkStart w:id="519" w:name="_Toc292559883"/>
      <w:bookmarkStart w:id="520" w:name="_Toc296944512"/>
      <w:bookmarkStart w:id="521" w:name="_Toc292559378"/>
      <w:bookmarkStart w:id="522" w:name="_Toc296891001"/>
      <w:r>
        <w:rPr>
          <w:rFonts w:ascii="宋体" w:hAnsi="宋体" w:eastAsia="黑体"/>
          <w:b/>
          <w:color w:val="000000" w:themeColor="text1"/>
          <w:kern w:val="0"/>
          <w:sz w:val="28"/>
          <w:szCs w:val="21"/>
          <w:highlight w:val="none"/>
          <w14:textFill>
            <w14:solidFill>
              <w14:schemeClr w14:val="tx1"/>
            </w14:solidFill>
          </w14:textFill>
        </w:rPr>
        <w:t>. 试验与检验</w:t>
      </w:r>
      <w:bookmarkEnd w:id="503"/>
    </w:p>
    <w:bookmarkEnd w:id="504"/>
    <w:bookmarkEnd w:id="505"/>
    <w:bookmarkEnd w:id="506"/>
    <w:bookmarkEnd w:id="507"/>
    <w:bookmarkEnd w:id="508"/>
    <w:bookmarkEnd w:id="509"/>
    <w:bookmarkEnd w:id="510"/>
    <w:p w14:paraId="1C646180">
      <w:pPr>
        <w:keepNext/>
        <w:keepLines/>
        <w:spacing w:before="260" w:after="260" w:line="24" w:lineRule="auto"/>
        <w:outlineLvl w:val="2"/>
        <w:rPr>
          <w:rFonts w:ascii="宋体" w:hAnsi="宋体"/>
          <w:b/>
          <w:bCs/>
          <w:color w:val="000000" w:themeColor="text1"/>
          <w:kern w:val="0"/>
          <w:sz w:val="24"/>
          <w:szCs w:val="32"/>
          <w:highlight w:val="none"/>
          <w14:textFill>
            <w14:solidFill>
              <w14:schemeClr w14:val="tx1"/>
            </w14:solidFill>
          </w14:textFill>
        </w:rPr>
      </w:pPr>
      <w:bookmarkStart w:id="523" w:name="_Toc373478384"/>
      <w:bookmarkStart w:id="524" w:name="_Toc373227737"/>
      <w:bookmarkStart w:id="525" w:name="_Toc389065303"/>
      <w:bookmarkStart w:id="526" w:name="_Toc465114896"/>
      <w:bookmarkStart w:id="527" w:name="_Toc351203642"/>
      <w:r>
        <w:rPr>
          <w:rFonts w:ascii="宋体" w:hAnsi="宋体"/>
          <w:b/>
          <w:bCs/>
          <w:color w:val="000000" w:themeColor="text1"/>
          <w:kern w:val="0"/>
          <w:sz w:val="24"/>
          <w:szCs w:val="32"/>
          <w:highlight w:val="none"/>
          <w14:textFill>
            <w14:solidFill>
              <w14:schemeClr w14:val="tx1"/>
            </w14:solidFill>
          </w14:textFill>
        </w:rPr>
        <w:t>9</w:t>
      </w:r>
      <w:bookmarkStart w:id="528" w:name="_Toc312677496"/>
      <w:bookmarkStart w:id="529" w:name="_Toc300934983"/>
      <w:bookmarkStart w:id="530" w:name="_Toc312678022"/>
      <w:bookmarkStart w:id="531" w:name="_Toc304295560"/>
      <w:bookmarkStart w:id="532" w:name="_Toc297123534"/>
      <w:bookmarkStart w:id="533" w:name="_Toc303539140"/>
      <w:bookmarkStart w:id="534" w:name="_Toc297216193"/>
      <w:r>
        <w:rPr>
          <w:rFonts w:ascii="宋体" w:hAnsi="宋体"/>
          <w:b/>
          <w:bCs/>
          <w:color w:val="000000" w:themeColor="text1"/>
          <w:kern w:val="0"/>
          <w:sz w:val="24"/>
          <w:szCs w:val="32"/>
          <w:highlight w:val="none"/>
          <w14:textFill>
            <w14:solidFill>
              <w14:schemeClr w14:val="tx1"/>
            </w14:solidFill>
          </w14:textFill>
        </w:rPr>
        <w:t>.1 试验设备与试验人员</w:t>
      </w:r>
      <w:bookmarkEnd w:id="523"/>
      <w:bookmarkEnd w:id="524"/>
      <w:bookmarkEnd w:id="525"/>
      <w:bookmarkEnd w:id="526"/>
    </w:p>
    <w:bookmarkEnd w:id="528"/>
    <w:bookmarkEnd w:id="529"/>
    <w:bookmarkEnd w:id="530"/>
    <w:bookmarkEnd w:id="531"/>
    <w:bookmarkEnd w:id="532"/>
    <w:bookmarkEnd w:id="533"/>
    <w:bookmarkEnd w:id="534"/>
    <w:p w14:paraId="1BC78035">
      <w:pPr>
        <w:spacing w:line="360" w:lineRule="auto"/>
        <w:ind w:firstLine="420"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9</w:t>
      </w:r>
      <w:bookmarkStart w:id="535" w:name="_Toc297216194"/>
      <w:bookmarkStart w:id="536" w:name="_Toc312678023"/>
      <w:bookmarkStart w:id="537" w:name="_Toc300934984"/>
      <w:bookmarkStart w:id="538" w:name="_Toc304295561"/>
      <w:bookmarkStart w:id="539" w:name="_Toc303539141"/>
      <w:bookmarkStart w:id="540" w:name="_Toc297123535"/>
      <w:bookmarkStart w:id="541" w:name="_Toc312677497"/>
      <w:bookmarkStart w:id="542" w:name="_Toc318581174"/>
      <w:r>
        <w:rPr>
          <w:color w:val="000000" w:themeColor="text1"/>
          <w:szCs w:val="21"/>
          <w:highlight w:val="none"/>
          <w14:textFill>
            <w14:solidFill>
              <w14:schemeClr w14:val="tx1"/>
            </w14:solidFill>
          </w14:textFill>
        </w:rPr>
        <w:t xml:space="preserve">.1.2 </w:t>
      </w:r>
      <w:r>
        <w:rPr>
          <w:rFonts w:hAnsi="宋体"/>
          <w:color w:val="000000" w:themeColor="text1"/>
          <w:szCs w:val="21"/>
          <w:highlight w:val="none"/>
          <w14:textFill>
            <w14:solidFill>
              <w14:schemeClr w14:val="tx1"/>
            </w14:solidFill>
          </w14:textFill>
        </w:rPr>
        <w:t>试验设备</w:t>
      </w:r>
    </w:p>
    <w:bookmarkEnd w:id="535"/>
    <w:bookmarkEnd w:id="536"/>
    <w:bookmarkEnd w:id="537"/>
    <w:bookmarkEnd w:id="538"/>
    <w:bookmarkEnd w:id="539"/>
    <w:bookmarkEnd w:id="540"/>
    <w:bookmarkEnd w:id="541"/>
    <w:p w14:paraId="7FE676DC">
      <w:pPr>
        <w:spacing w:line="400" w:lineRule="exact"/>
        <w:ind w:firstLine="420" w:firstLineChars="200"/>
        <w:jc w:val="left"/>
        <w:rPr>
          <w:rFonts w:ascii="宋体" w:hAnsi="宋体"/>
          <w:color w:val="000000" w:themeColor="text1"/>
          <w:szCs w:val="21"/>
          <w:highlight w:val="none"/>
          <w14:textFill>
            <w14:solidFill>
              <w14:schemeClr w14:val="tx1"/>
            </w14:solidFill>
          </w14:textFill>
        </w:rPr>
      </w:pPr>
      <w:bookmarkStart w:id="543" w:name="_Toc373478385"/>
      <w:bookmarkStart w:id="544" w:name="_Toc373227738"/>
      <w:bookmarkStart w:id="545" w:name="_Toc389065304"/>
      <w:bookmarkStart w:id="546" w:name="_Toc465114897"/>
      <w:bookmarkStart w:id="547" w:name="_Toc312677498"/>
      <w:bookmarkStart w:id="548" w:name="_Toc312678024"/>
      <w:bookmarkStart w:id="549" w:name="_Toc303539142"/>
      <w:bookmarkStart w:id="550" w:name="_Toc297216195"/>
      <w:bookmarkStart w:id="551" w:name="_Toc304295562"/>
      <w:bookmarkStart w:id="552" w:name="_Toc300934985"/>
      <w:bookmarkStart w:id="553" w:name="_Toc297123536"/>
      <w:r>
        <w:rPr>
          <w:rFonts w:hint="eastAsia" w:ascii="宋体" w:hAnsi="宋体"/>
          <w:color w:val="000000" w:themeColor="text1"/>
          <w:szCs w:val="21"/>
          <w:highlight w:val="none"/>
          <w14:textFill>
            <w14:solidFill>
              <w14:schemeClr w14:val="tx1"/>
            </w14:solidFill>
          </w14:textFill>
        </w:rPr>
        <w:t>施工现场需要配置的试验场所：</w:t>
      </w:r>
      <w:r>
        <w:rPr>
          <w:rFonts w:hint="eastAsia" w:ascii="宋体" w:hAnsi="宋体"/>
          <w:color w:val="000000" w:themeColor="text1"/>
          <w:szCs w:val="21"/>
          <w:highlight w:val="none"/>
          <w:u w:val="single"/>
          <w14:textFill>
            <w14:solidFill>
              <w14:schemeClr w14:val="tx1"/>
            </w14:solidFill>
          </w14:textFill>
        </w:rPr>
        <w:t xml:space="preserve">  满足自检需要</w:t>
      </w:r>
      <w:r>
        <w:rPr>
          <w:rFonts w:hint="eastAsia" w:ascii="宋体" w:hAnsi="宋体"/>
          <w:color w:val="000000" w:themeColor="text1"/>
          <w:szCs w:val="21"/>
          <w:highlight w:val="none"/>
          <w14:textFill>
            <w14:solidFill>
              <w14:schemeClr w14:val="tx1"/>
            </w14:solidFill>
          </w14:textFill>
        </w:rPr>
        <w:t xml:space="preserve">。 </w:t>
      </w:r>
    </w:p>
    <w:p w14:paraId="7D1860D2">
      <w:pPr>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施工现场需要配备的试验设备：</w:t>
      </w:r>
      <w:r>
        <w:rPr>
          <w:rFonts w:hint="eastAsia" w:ascii="宋体" w:hAnsi="宋体"/>
          <w:color w:val="000000" w:themeColor="text1"/>
          <w:szCs w:val="21"/>
          <w:highlight w:val="none"/>
          <w:u w:val="single"/>
          <w14:textFill>
            <w14:solidFill>
              <w14:schemeClr w14:val="tx1"/>
            </w14:solidFill>
          </w14:textFill>
        </w:rPr>
        <w:t xml:space="preserve">   满足自检需要  </w:t>
      </w:r>
      <w:r>
        <w:rPr>
          <w:rFonts w:hint="eastAsia" w:ascii="宋体" w:hAnsi="宋体"/>
          <w:color w:val="000000" w:themeColor="text1"/>
          <w:szCs w:val="21"/>
          <w:highlight w:val="none"/>
          <w14:textFill>
            <w14:solidFill>
              <w14:schemeClr w14:val="tx1"/>
            </w14:solidFill>
          </w14:textFill>
        </w:rPr>
        <w:t>。</w:t>
      </w:r>
    </w:p>
    <w:p w14:paraId="452FF730">
      <w:pPr>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施工现场需要具备的其他试验条件：</w:t>
      </w:r>
      <w:r>
        <w:rPr>
          <w:rFonts w:hint="eastAsia" w:ascii="宋体" w:hAnsi="宋体"/>
          <w:color w:val="000000" w:themeColor="text1"/>
          <w:szCs w:val="21"/>
          <w:highlight w:val="none"/>
          <w:u w:val="single"/>
          <w14:textFill>
            <w14:solidFill>
              <w14:schemeClr w14:val="tx1"/>
            </w14:solidFill>
          </w14:textFill>
        </w:rPr>
        <w:t xml:space="preserve">  满足自检需要  </w:t>
      </w:r>
      <w:r>
        <w:rPr>
          <w:rFonts w:hint="eastAsia" w:ascii="宋体" w:hAnsi="宋体"/>
          <w:color w:val="000000" w:themeColor="text1"/>
          <w:szCs w:val="21"/>
          <w:highlight w:val="none"/>
          <w14:textFill>
            <w14:solidFill>
              <w14:schemeClr w14:val="tx1"/>
            </w14:solidFill>
          </w14:textFill>
        </w:rPr>
        <w:t>。</w:t>
      </w:r>
    </w:p>
    <w:p w14:paraId="50ADA4AE">
      <w:pPr>
        <w:keepNext/>
        <w:keepLines/>
        <w:spacing w:before="260" w:after="260" w:line="24" w:lineRule="auto"/>
        <w:outlineLvl w:val="2"/>
        <w:rPr>
          <w:rFonts w:ascii="宋体" w:hAnsi="宋体"/>
          <w:b/>
          <w:bCs/>
          <w:color w:val="000000" w:themeColor="text1"/>
          <w:kern w:val="0"/>
          <w:sz w:val="24"/>
          <w:szCs w:val="32"/>
          <w:highlight w:val="none"/>
          <w14:textFill>
            <w14:solidFill>
              <w14:schemeClr w14:val="tx1"/>
            </w14:solidFill>
          </w14:textFill>
        </w:rPr>
      </w:pPr>
      <w:r>
        <w:rPr>
          <w:rFonts w:ascii="宋体" w:hAnsi="宋体"/>
          <w:b/>
          <w:bCs/>
          <w:color w:val="000000" w:themeColor="text1"/>
          <w:kern w:val="0"/>
          <w:sz w:val="24"/>
          <w:szCs w:val="32"/>
          <w:highlight w:val="none"/>
          <w14:textFill>
            <w14:solidFill>
              <w14:schemeClr w14:val="tx1"/>
            </w14:solidFill>
          </w14:textFill>
        </w:rPr>
        <w:t>9.4 现场工艺试验</w:t>
      </w:r>
      <w:bookmarkEnd w:id="543"/>
      <w:bookmarkEnd w:id="544"/>
      <w:bookmarkEnd w:id="545"/>
      <w:bookmarkEnd w:id="546"/>
    </w:p>
    <w:p w14:paraId="14C9DC41">
      <w:pPr>
        <w:spacing w:line="400" w:lineRule="exact"/>
        <w:ind w:firstLine="420" w:firstLineChars="200"/>
        <w:jc w:val="left"/>
        <w:rPr>
          <w:rFonts w:ascii="宋体" w:hAnsi="宋体"/>
          <w:color w:val="000000" w:themeColor="text1"/>
          <w:szCs w:val="21"/>
          <w:highlight w:val="none"/>
          <w14:textFill>
            <w14:solidFill>
              <w14:schemeClr w14:val="tx1"/>
            </w14:solidFill>
          </w14:textFill>
        </w:rPr>
      </w:pPr>
      <w:bookmarkStart w:id="554" w:name="_Toc465114898"/>
      <w:bookmarkStart w:id="555" w:name="OLE_LINK1"/>
      <w:r>
        <w:rPr>
          <w:rFonts w:hint="eastAsia" w:ascii="宋体" w:hAnsi="宋体"/>
          <w:color w:val="000000" w:themeColor="text1"/>
          <w:szCs w:val="21"/>
          <w:highlight w:val="none"/>
          <w14:textFill>
            <w14:solidFill>
              <w14:schemeClr w14:val="tx1"/>
            </w14:solidFill>
          </w14:textFill>
        </w:rPr>
        <w:t>现场工艺试验的有关约定：</w:t>
      </w:r>
      <w:r>
        <w:rPr>
          <w:rFonts w:hint="eastAsia" w:ascii="宋体" w:hAnsi="宋体"/>
          <w:color w:val="000000" w:themeColor="text1"/>
          <w:szCs w:val="21"/>
          <w:highlight w:val="none"/>
          <w:u w:val="single"/>
          <w14:textFill>
            <w14:solidFill>
              <w14:schemeClr w14:val="tx1"/>
            </w14:solidFill>
          </w14:textFill>
        </w:rPr>
        <w:t xml:space="preserve">  满足自检需要</w:t>
      </w:r>
      <w:r>
        <w:rPr>
          <w:rFonts w:hint="eastAsia" w:ascii="宋体" w:hAnsi="宋体"/>
          <w:color w:val="000000" w:themeColor="text1"/>
          <w:szCs w:val="21"/>
          <w:highlight w:val="none"/>
          <w14:textFill>
            <w14:solidFill>
              <w14:schemeClr w14:val="tx1"/>
            </w14:solidFill>
          </w14:textFill>
        </w:rPr>
        <w:t>。</w:t>
      </w:r>
    </w:p>
    <w:p w14:paraId="1D048BB3">
      <w:pPr>
        <w:keepNext/>
        <w:keepLines/>
        <w:spacing w:before="260" w:after="260" w:line="24" w:lineRule="auto"/>
        <w:outlineLvl w:val="2"/>
        <w:rPr>
          <w:rFonts w:ascii="宋体" w:hAnsi="宋体"/>
          <w:b/>
          <w:bCs/>
          <w:color w:val="000000" w:themeColor="text1"/>
          <w:kern w:val="0"/>
          <w:sz w:val="24"/>
          <w:szCs w:val="32"/>
          <w:highlight w:val="none"/>
          <w14:textFill>
            <w14:solidFill>
              <w14:schemeClr w14:val="tx1"/>
            </w14:solidFill>
          </w14:textFill>
        </w:rPr>
      </w:pPr>
      <w:r>
        <w:rPr>
          <w:rFonts w:ascii="宋体" w:hAnsi="宋体"/>
          <w:b/>
          <w:bCs/>
          <w:color w:val="000000" w:themeColor="text1"/>
          <w:kern w:val="0"/>
          <w:sz w:val="24"/>
          <w:szCs w:val="32"/>
          <w:highlight w:val="none"/>
          <w14:textFill>
            <w14:solidFill>
              <w14:schemeClr w14:val="tx1"/>
            </w14:solidFill>
          </w14:textFill>
        </w:rPr>
        <w:t>9.5 检验费用</w:t>
      </w:r>
      <w:bookmarkEnd w:id="554"/>
    </w:p>
    <w:p w14:paraId="6DCB9575">
      <w:pPr>
        <w:spacing w:line="360" w:lineRule="auto"/>
        <w:ind w:firstLine="411" w:firstLineChars="196"/>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根据</w:t>
      </w:r>
      <w:r>
        <w:rPr>
          <w:rFonts w:hAnsi="宋体"/>
          <w:bCs/>
          <w:color w:val="000000" w:themeColor="text1"/>
          <w:szCs w:val="21"/>
          <w:highlight w:val="none"/>
          <w14:textFill>
            <w14:solidFill>
              <w14:schemeClr w14:val="tx1"/>
            </w14:solidFill>
          </w14:textFill>
        </w:rPr>
        <w:t>《广西壮族自治区建设工程质量检测管理规定》</w:t>
      </w:r>
      <w:r>
        <w:rPr>
          <w:rFonts w:hint="eastAsia"/>
          <w:bCs/>
          <w:color w:val="000000" w:themeColor="text1"/>
          <w:szCs w:val="21"/>
          <w:highlight w:val="none"/>
          <w14:textFill>
            <w14:solidFill>
              <w14:schemeClr w14:val="tx1"/>
            </w14:solidFill>
          </w14:textFill>
        </w:rPr>
        <w:t>（</w:t>
      </w:r>
      <w:r>
        <w:rPr>
          <w:rFonts w:hAnsi="宋体"/>
          <w:bCs/>
          <w:color w:val="000000" w:themeColor="text1"/>
          <w:szCs w:val="21"/>
          <w:highlight w:val="none"/>
          <w14:textFill>
            <w14:solidFill>
              <w14:schemeClr w14:val="tx1"/>
            </w14:solidFill>
          </w14:textFill>
        </w:rPr>
        <w:t>桂建管</w:t>
      </w:r>
      <w:r>
        <w:rPr>
          <w:rFonts w:hint="eastAsia"/>
          <w:bCs/>
          <w:color w:val="000000" w:themeColor="text1"/>
          <w:szCs w:val="21"/>
          <w:highlight w:val="none"/>
          <w14:textFill>
            <w14:solidFill>
              <w14:schemeClr w14:val="tx1"/>
            </w14:solidFill>
          </w14:textFill>
        </w:rPr>
        <w:t>〔</w:t>
      </w:r>
      <w:r>
        <w:rPr>
          <w:bCs/>
          <w:color w:val="000000" w:themeColor="text1"/>
          <w:szCs w:val="21"/>
          <w:highlight w:val="none"/>
          <w14:textFill>
            <w14:solidFill>
              <w14:schemeClr w14:val="tx1"/>
            </w14:solidFill>
          </w14:textFill>
        </w:rPr>
        <w:t>2013</w:t>
      </w:r>
      <w:r>
        <w:rPr>
          <w:rFonts w:hint="eastAsia"/>
          <w:bCs/>
          <w:color w:val="000000" w:themeColor="text1"/>
          <w:szCs w:val="21"/>
          <w:highlight w:val="none"/>
          <w14:textFill>
            <w14:solidFill>
              <w14:schemeClr w14:val="tx1"/>
            </w14:solidFill>
          </w14:textFill>
        </w:rPr>
        <w:t>〕</w:t>
      </w:r>
      <w:r>
        <w:rPr>
          <w:bCs/>
          <w:color w:val="000000" w:themeColor="text1"/>
          <w:szCs w:val="21"/>
          <w:highlight w:val="none"/>
          <w14:textFill>
            <w14:solidFill>
              <w14:schemeClr w14:val="tx1"/>
            </w14:solidFill>
          </w14:textFill>
        </w:rPr>
        <w:t>11</w:t>
      </w:r>
      <w:r>
        <w:rPr>
          <w:rFonts w:hAnsi="宋体"/>
          <w:bCs/>
          <w:color w:val="000000" w:themeColor="text1"/>
          <w:szCs w:val="21"/>
          <w:highlight w:val="none"/>
          <w14:textFill>
            <w14:solidFill>
              <w14:schemeClr w14:val="tx1"/>
            </w14:solidFill>
          </w14:textFill>
        </w:rPr>
        <w:t>号</w:t>
      </w:r>
      <w:r>
        <w:rPr>
          <w:rFonts w:hint="eastAsia"/>
          <w:bCs/>
          <w:color w:val="000000" w:themeColor="text1"/>
          <w:szCs w:val="21"/>
          <w:highlight w:val="none"/>
          <w14:textFill>
            <w14:solidFill>
              <w14:schemeClr w14:val="tx1"/>
            </w14:solidFill>
          </w14:textFill>
        </w:rPr>
        <w:t>）</w:t>
      </w:r>
      <w:r>
        <w:rPr>
          <w:rFonts w:hAnsi="宋体"/>
          <w:color w:val="000000" w:themeColor="text1"/>
          <w:szCs w:val="21"/>
          <w:highlight w:val="none"/>
          <w14:textFill>
            <w14:solidFill>
              <w14:schemeClr w14:val="tx1"/>
            </w14:solidFill>
          </w14:textFill>
        </w:rPr>
        <w:t>规定，工程质量检测业务由</w:t>
      </w:r>
      <w:r>
        <w:rPr>
          <w:rFonts w:hint="eastAsia" w:hAnsi="宋体"/>
          <w:color w:val="000000" w:themeColor="text1"/>
          <w:szCs w:val="21"/>
          <w:highlight w:val="none"/>
          <w14:textFill>
            <w14:solidFill>
              <w14:schemeClr w14:val="tx1"/>
            </w14:solidFill>
          </w14:textFill>
        </w:rPr>
        <w:t>发包人</w:t>
      </w:r>
      <w:r>
        <w:rPr>
          <w:rFonts w:hAnsi="宋体"/>
          <w:color w:val="000000" w:themeColor="text1"/>
          <w:szCs w:val="21"/>
          <w:highlight w:val="none"/>
          <w14:textFill>
            <w14:solidFill>
              <w14:schemeClr w14:val="tx1"/>
            </w14:solidFill>
          </w14:textFill>
        </w:rPr>
        <w:t>委托有相应资质的检测机构检测。费用</w:t>
      </w:r>
      <w:r>
        <w:rPr>
          <w:rFonts w:hint="eastAsia" w:hAnsi="宋体"/>
          <w:color w:val="000000" w:themeColor="text1"/>
          <w:szCs w:val="21"/>
          <w:highlight w:val="none"/>
          <w14:textFill>
            <w14:solidFill>
              <w14:schemeClr w14:val="tx1"/>
            </w14:solidFill>
          </w14:textFill>
        </w:rPr>
        <w:t>由发包人</w:t>
      </w:r>
      <w:r>
        <w:rPr>
          <w:rFonts w:hAnsi="宋体"/>
          <w:color w:val="000000" w:themeColor="text1"/>
          <w:szCs w:val="21"/>
          <w:highlight w:val="none"/>
          <w14:textFill>
            <w14:solidFill>
              <w14:schemeClr w14:val="tx1"/>
            </w14:solidFill>
          </w14:textFill>
        </w:rPr>
        <w:t>直接支付给检测机构，不计入合同价款内。</w:t>
      </w:r>
      <w:r>
        <w:rPr>
          <w:rFonts w:hint="eastAsia" w:hAnsi="宋体"/>
          <w:color w:val="000000" w:themeColor="text1"/>
          <w:szCs w:val="21"/>
          <w:highlight w:val="none"/>
          <w14:textFill>
            <w14:solidFill>
              <w14:schemeClr w14:val="tx1"/>
            </w14:solidFill>
          </w14:textFill>
        </w:rPr>
        <w:t>检验试验配合费按费用定额规定计取，计入本合同价款内。</w:t>
      </w:r>
    </w:p>
    <w:bookmarkEnd w:id="542"/>
    <w:bookmarkEnd w:id="547"/>
    <w:bookmarkEnd w:id="548"/>
    <w:bookmarkEnd w:id="549"/>
    <w:bookmarkEnd w:id="550"/>
    <w:bookmarkEnd w:id="551"/>
    <w:bookmarkEnd w:id="552"/>
    <w:bookmarkEnd w:id="553"/>
    <w:bookmarkEnd w:id="555"/>
    <w:p w14:paraId="5A5DBAE8">
      <w:pPr>
        <w:keepNext/>
        <w:keepLines/>
        <w:widowControl/>
        <w:spacing w:before="120" w:after="120" w:line="440" w:lineRule="exact"/>
        <w:outlineLvl w:val="3"/>
        <w:rPr>
          <w:rFonts w:ascii="宋体" w:hAnsi="宋体" w:eastAsia="黑体"/>
          <w:b/>
          <w:color w:val="000000" w:themeColor="text1"/>
          <w:kern w:val="0"/>
          <w:sz w:val="28"/>
          <w:szCs w:val="21"/>
          <w:highlight w:val="none"/>
          <w14:textFill>
            <w14:solidFill>
              <w14:schemeClr w14:val="tx1"/>
            </w14:solidFill>
          </w14:textFill>
        </w:rPr>
      </w:pPr>
      <w:r>
        <w:rPr>
          <w:rFonts w:ascii="宋体" w:hAnsi="宋体" w:eastAsia="黑体"/>
          <w:b/>
          <w:color w:val="000000" w:themeColor="text1"/>
          <w:kern w:val="0"/>
          <w:sz w:val="28"/>
          <w:szCs w:val="21"/>
          <w:highlight w:val="none"/>
          <w14:textFill>
            <w14:solidFill>
              <w14:schemeClr w14:val="tx1"/>
            </w14:solidFill>
          </w14:textFill>
        </w:rPr>
        <w:t>1</w:t>
      </w:r>
      <w:bookmarkEnd w:id="511"/>
      <w:bookmarkEnd w:id="512"/>
      <w:bookmarkEnd w:id="513"/>
      <w:bookmarkEnd w:id="514"/>
      <w:bookmarkEnd w:id="515"/>
      <w:bookmarkEnd w:id="516"/>
      <w:bookmarkEnd w:id="517"/>
      <w:bookmarkEnd w:id="518"/>
      <w:bookmarkEnd w:id="519"/>
      <w:bookmarkEnd w:id="520"/>
      <w:bookmarkEnd w:id="521"/>
      <w:bookmarkEnd w:id="522"/>
      <w:bookmarkStart w:id="556" w:name="_Toc296347192"/>
      <w:bookmarkStart w:id="557" w:name="_Toc303539146"/>
      <w:bookmarkStart w:id="558" w:name="_Toc297216199"/>
      <w:bookmarkStart w:id="559" w:name="_Toc296503193"/>
      <w:bookmarkStart w:id="560" w:name="_Toc300934989"/>
      <w:bookmarkStart w:id="561" w:name="_Toc297048379"/>
      <w:bookmarkStart w:id="562" w:name="_Toc296891233"/>
      <w:bookmarkStart w:id="563" w:name="_Toc297120493"/>
      <w:bookmarkStart w:id="564" w:name="_Toc296891021"/>
      <w:bookmarkStart w:id="565" w:name="_Toc296944532"/>
      <w:bookmarkStart w:id="566" w:name="_Toc292559398"/>
      <w:bookmarkStart w:id="567" w:name="_Toc296346694"/>
      <w:bookmarkStart w:id="568" w:name="_Toc292559903"/>
      <w:bookmarkStart w:id="569" w:name="_Toc297123540"/>
      <w:bookmarkStart w:id="570" w:name="_Toc304295566"/>
      <w:bookmarkStart w:id="571" w:name="_Toc312678025"/>
      <w:bookmarkStart w:id="572" w:name="_Toc312677499"/>
      <w:bookmarkStart w:id="573" w:name="_Toc267251440"/>
      <w:bookmarkStart w:id="574" w:name="_Toc267251437"/>
      <w:bookmarkStart w:id="575" w:name="_Toc267251433"/>
      <w:bookmarkStart w:id="576" w:name="_Toc267251435"/>
      <w:bookmarkStart w:id="577" w:name="_Toc267251439"/>
      <w:bookmarkStart w:id="578" w:name="_Toc267251441"/>
      <w:bookmarkStart w:id="579" w:name="_Toc267251442"/>
      <w:r>
        <w:rPr>
          <w:rFonts w:ascii="宋体" w:hAnsi="宋体" w:eastAsia="黑体"/>
          <w:b/>
          <w:color w:val="000000" w:themeColor="text1"/>
          <w:kern w:val="0"/>
          <w:sz w:val="28"/>
          <w:szCs w:val="21"/>
          <w:highlight w:val="none"/>
          <w14:textFill>
            <w14:solidFill>
              <w14:schemeClr w14:val="tx1"/>
            </w14:solidFill>
          </w14:textFill>
        </w:rPr>
        <w:t>0. 变更</w:t>
      </w:r>
      <w:bookmarkEnd w:id="527"/>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p>
    <w:bookmarkEnd w:id="571"/>
    <w:bookmarkEnd w:id="572"/>
    <w:p w14:paraId="68262A69">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bookmarkStart w:id="580" w:name="_Toc296891022"/>
      <w:bookmarkStart w:id="581" w:name="_Toc300934990"/>
      <w:bookmarkStart w:id="582" w:name="_Toc296346695"/>
      <w:bookmarkStart w:id="583" w:name="_Toc312678026"/>
      <w:bookmarkStart w:id="584" w:name="_Toc292559904"/>
      <w:bookmarkStart w:id="585" w:name="_Toc297048380"/>
      <w:bookmarkStart w:id="586" w:name="_Toc296944533"/>
      <w:bookmarkStart w:id="587" w:name="_Toc303539147"/>
      <w:bookmarkStart w:id="588" w:name="_Toc292559399"/>
      <w:bookmarkStart w:id="589" w:name="_Toc296503194"/>
      <w:bookmarkStart w:id="590" w:name="_Toc297123541"/>
      <w:bookmarkStart w:id="591" w:name="_Toc304295567"/>
      <w:bookmarkStart w:id="592" w:name="_Toc297216200"/>
      <w:bookmarkStart w:id="593" w:name="_Toc312677500"/>
      <w:bookmarkStart w:id="594" w:name="_Toc297120494"/>
      <w:bookmarkStart w:id="595" w:name="_Toc296891234"/>
      <w:bookmarkStart w:id="596" w:name="_Toc296347193"/>
      <w:r>
        <w:rPr>
          <w:rFonts w:ascii="宋体" w:hAnsi="宋体"/>
          <w:color w:val="000000" w:themeColor="text1"/>
          <w:szCs w:val="21"/>
          <w:highlight w:val="none"/>
          <w14:textFill>
            <w14:solidFill>
              <w14:schemeClr w14:val="tx1"/>
            </w14:solidFill>
          </w14:textFill>
        </w:rPr>
        <w:t>0.1变更的范围</w:t>
      </w:r>
    </w:p>
    <w:p w14:paraId="4DD00B4C">
      <w:pPr>
        <w:spacing w:line="440" w:lineRule="exact"/>
        <w:ind w:firstLine="420" w:firstLineChars="200"/>
        <w:jc w:val="left"/>
        <w:rPr>
          <w:rFonts w:ascii="宋体" w:hAnsi="宋体"/>
          <w:color w:val="000000" w:themeColor="text1"/>
          <w:szCs w:val="21"/>
          <w:highlight w:val="none"/>
          <w:u w:val="single"/>
          <w14:textFill>
            <w14:solidFill>
              <w14:schemeClr w14:val="tx1"/>
            </w14:solidFill>
          </w14:textFill>
        </w:rPr>
      </w:pPr>
      <w:r>
        <w:rPr>
          <w:rFonts w:ascii="宋体" w:hAnsi="宋体"/>
          <w:color w:val="000000" w:themeColor="text1"/>
          <w:szCs w:val="21"/>
          <w:highlight w:val="none"/>
          <w14:textFill>
            <w14:solidFill>
              <w14:schemeClr w14:val="tx1"/>
            </w14:solidFill>
          </w14:textFill>
        </w:rPr>
        <w:t>关于变更的范围的约定：</w:t>
      </w:r>
      <w:r>
        <w:rPr>
          <w:rFonts w:hint="eastAsia" w:ascii="宋体" w:hAnsi="宋体"/>
          <w:color w:val="000000" w:themeColor="text1"/>
          <w:szCs w:val="21"/>
          <w:highlight w:val="none"/>
          <w:u w:val="single"/>
          <w14:textFill>
            <w14:solidFill>
              <w14:schemeClr w14:val="tx1"/>
            </w14:solidFill>
          </w14:textFill>
        </w:rPr>
        <w:t>在实施项目过程中，若发生隐蔽工程或工程量发生增减变动，必须经建设单位、监理单位、与施工单位等有关单位现场签字确认方可作为工程结算依据。</w:t>
      </w:r>
    </w:p>
    <w:p w14:paraId="00199EC8">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在实施项目过程中,若发生单价变动,由建设单位、监理单位、与施工单位共同商定并签字确认。</w:t>
      </w:r>
    </w:p>
    <w:p w14:paraId="4F0B0DF3">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10.</w:t>
      </w: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 xml:space="preserve"> 变更估价</w:t>
      </w:r>
    </w:p>
    <w:p w14:paraId="42B979A4">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10.2.1 变更估价原则</w:t>
      </w:r>
    </w:p>
    <w:p w14:paraId="6E93A6C6">
      <w:pPr>
        <w:spacing w:line="440" w:lineRule="exact"/>
        <w:ind w:firstLine="420" w:firstLineChars="200"/>
        <w:rPr>
          <w:rFonts w:ascii="宋体" w:hAnsi="宋体"/>
          <w:color w:val="000000" w:themeColor="text1"/>
          <w:szCs w:val="21"/>
          <w:highlight w:val="none"/>
          <w:u w:val="single"/>
          <w14:textFill>
            <w14:solidFill>
              <w14:schemeClr w14:val="tx1"/>
            </w14:solidFill>
          </w14:textFill>
        </w:rPr>
      </w:pPr>
      <w:r>
        <w:rPr>
          <w:rFonts w:ascii="宋体" w:hAnsi="宋体"/>
          <w:color w:val="000000" w:themeColor="text1"/>
          <w:szCs w:val="21"/>
          <w:highlight w:val="none"/>
          <w14:textFill>
            <w14:solidFill>
              <w14:schemeClr w14:val="tx1"/>
            </w14:solidFill>
          </w14:textFill>
        </w:rPr>
        <w:t>关于变更估价的约定:</w:t>
      </w: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u w:val="single"/>
          <w14:textFill>
            <w14:solidFill>
              <w14:schemeClr w14:val="tx1"/>
            </w14:solidFill>
          </w14:textFill>
        </w:rPr>
        <w:t>因设计变更引起工程项目、工程量变化的，工程量清单报价表中有相同细目的按竞标人竞标时的中标单价进行结算，工程量清单报价表中有类似细目的参考类似成交单价结算</w:t>
      </w:r>
      <w:r>
        <w:rPr>
          <w:rFonts w:hint="eastAsia" w:ascii="宋体" w:hAnsi="宋体"/>
          <w:color w:val="000000" w:themeColor="text1"/>
          <w:szCs w:val="21"/>
          <w:highlight w:val="none"/>
          <w:u w:val="single"/>
          <w:lang w:eastAsia="zh-CN"/>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新增项目有定额的套定额计算，其中材料价格有信息的按信息价，无信息的按市场价</w:t>
      </w:r>
      <w:r>
        <w:rPr>
          <w:rFonts w:hint="eastAsia" w:ascii="宋体" w:hAnsi="宋体"/>
          <w:color w:val="000000" w:themeColor="text1"/>
          <w:szCs w:val="21"/>
          <w:highlight w:val="none"/>
          <w:u w:val="single"/>
          <w:lang w:eastAsia="zh-CN"/>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新增项目无定额可套的，由发包人、承包人根据市场价格协商决定</w:t>
      </w:r>
      <w:r>
        <w:rPr>
          <w:rFonts w:hint="eastAsia" w:ascii="宋体" w:hAnsi="宋体"/>
          <w:color w:val="000000" w:themeColor="text1"/>
          <w:szCs w:val="21"/>
          <w:highlight w:val="none"/>
          <w:u w:val="single"/>
          <w:lang w:eastAsia="zh-CN"/>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新增项目的单价应经有政府审计中心审定。</w:t>
      </w:r>
    </w:p>
    <w:p w14:paraId="003E4600">
      <w:pPr>
        <w:spacing w:line="440" w:lineRule="exact"/>
        <w:ind w:firstLine="420" w:firstLineChars="200"/>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u w:val="single"/>
          <w14:textFill>
            <w14:solidFill>
              <w14:schemeClr w14:val="tx1"/>
            </w14:solidFill>
          </w14:textFill>
        </w:rPr>
        <w:t xml:space="preserve">国家和自治区政策性调整有关费用标准的，按文件规定执行。  </w:t>
      </w:r>
    </w:p>
    <w:p w14:paraId="2CAC2D26">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Start w:id="597" w:name="_Toc303539150"/>
      <w:bookmarkStart w:id="598" w:name="_Toc297123544"/>
      <w:bookmarkStart w:id="599" w:name="_Toc296347196"/>
      <w:bookmarkStart w:id="600" w:name="_Toc296503197"/>
      <w:bookmarkStart w:id="601" w:name="_Toc292559907"/>
      <w:bookmarkStart w:id="602" w:name="_Toc296944536"/>
      <w:bookmarkStart w:id="603" w:name="_Toc297216203"/>
      <w:bookmarkStart w:id="604" w:name="_Toc296891025"/>
      <w:bookmarkStart w:id="605" w:name="_Toc296891237"/>
      <w:bookmarkStart w:id="606" w:name="_Toc297120497"/>
      <w:bookmarkStart w:id="607" w:name="_Toc297048383"/>
      <w:bookmarkStart w:id="608" w:name="_Toc300934993"/>
      <w:bookmarkStart w:id="609" w:name="_Toc292559402"/>
      <w:bookmarkStart w:id="610" w:name="_Toc296346698"/>
      <w:bookmarkStart w:id="611" w:name="_Toc312678029"/>
      <w:bookmarkStart w:id="612" w:name="_Toc312677503"/>
      <w:bookmarkStart w:id="613" w:name="_Toc304295570"/>
      <w:r>
        <w:rPr>
          <w:rFonts w:ascii="宋体" w:hAnsi="宋体"/>
          <w:color w:val="000000" w:themeColor="text1"/>
          <w:szCs w:val="21"/>
          <w:highlight w:val="none"/>
          <w14:textFill>
            <w14:solidFill>
              <w14:schemeClr w14:val="tx1"/>
            </w14:solidFill>
          </w14:textFill>
        </w:rPr>
        <w:t>0.</w:t>
      </w:r>
      <w:r>
        <w:rPr>
          <w:rFonts w:hint="eastAsia" w:ascii="宋体" w:hAnsi="宋体"/>
          <w:color w:val="000000" w:themeColor="text1"/>
          <w:szCs w:val="21"/>
          <w:highlight w:val="none"/>
          <w14:textFill>
            <w14:solidFill>
              <w14:schemeClr w14:val="tx1"/>
            </w14:solidFill>
          </w14:textFill>
        </w:rPr>
        <w:t>3</w:t>
      </w:r>
      <w:r>
        <w:rPr>
          <w:rFonts w:ascii="宋体" w:hAnsi="宋体"/>
          <w:color w:val="000000" w:themeColor="text1"/>
          <w:szCs w:val="21"/>
          <w:highlight w:val="none"/>
          <w14:textFill>
            <w14:solidFill>
              <w14:schemeClr w14:val="tx1"/>
            </w14:solidFill>
          </w14:textFill>
        </w:rPr>
        <w:t>承</w:t>
      </w:r>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Start w:id="614" w:name="_Toc300934994"/>
      <w:bookmarkStart w:id="615" w:name="_Toc296891031"/>
      <w:bookmarkStart w:id="616" w:name="_Toc296346704"/>
      <w:bookmarkStart w:id="617" w:name="_Toc292559913"/>
      <w:bookmarkStart w:id="618" w:name="_Toc297123545"/>
      <w:bookmarkStart w:id="619" w:name="_Toc297048389"/>
      <w:bookmarkStart w:id="620" w:name="_Toc296944542"/>
      <w:bookmarkStart w:id="621" w:name="_Toc296503203"/>
      <w:bookmarkStart w:id="622" w:name="_Toc297216204"/>
      <w:bookmarkStart w:id="623" w:name="_Toc297120503"/>
      <w:bookmarkStart w:id="624" w:name="_Toc292559408"/>
      <w:bookmarkStart w:id="625" w:name="_Toc296347202"/>
      <w:bookmarkStart w:id="626" w:name="_Toc296891243"/>
      <w:bookmarkStart w:id="627" w:name="_Toc303539151"/>
      <w:r>
        <w:rPr>
          <w:rFonts w:ascii="宋体" w:hAnsi="宋体"/>
          <w:color w:val="000000" w:themeColor="text1"/>
          <w:szCs w:val="21"/>
          <w:highlight w:val="none"/>
          <w14:textFill>
            <w14:solidFill>
              <w14:schemeClr w14:val="tx1"/>
            </w14:solidFill>
          </w14:textFill>
        </w:rPr>
        <w:t>包人的合理化建议</w:t>
      </w:r>
    </w:p>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p w14:paraId="7D053FBC">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监理人审查承包人合理化建议的期限：</w:t>
      </w:r>
      <w:r>
        <w:rPr>
          <w:rFonts w:hint="eastAsia" w:ascii="宋体" w:hAnsi="宋体"/>
          <w:color w:val="000000" w:themeColor="text1"/>
          <w:szCs w:val="21"/>
          <w:highlight w:val="none"/>
          <w:u w:val="single"/>
          <w14:textFill>
            <w14:solidFill>
              <w14:schemeClr w14:val="tx1"/>
            </w14:solidFill>
          </w14:textFill>
        </w:rPr>
        <w:t>在收到承包人提交的合理化建议后 7天内。</w:t>
      </w:r>
    </w:p>
    <w:p w14:paraId="57F10E1B">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发包人审批承包人合理化建议的期限：</w:t>
      </w:r>
      <w:r>
        <w:rPr>
          <w:rFonts w:hint="eastAsia" w:ascii="宋体" w:hAnsi="宋体"/>
          <w:color w:val="000000" w:themeColor="text1"/>
          <w:szCs w:val="21"/>
          <w:highlight w:val="none"/>
          <w:u w:val="single"/>
          <w14:textFill>
            <w14:solidFill>
              <w14:schemeClr w14:val="tx1"/>
            </w14:solidFill>
          </w14:textFill>
        </w:rPr>
        <w:t>在收到监理人报送的合理化建议后 7天内。</w:t>
      </w:r>
    </w:p>
    <w:p w14:paraId="368CAB98">
      <w:pPr>
        <w:spacing w:line="440" w:lineRule="exact"/>
        <w:ind w:firstLine="420" w:firstLineChars="200"/>
        <w:jc w:val="left"/>
        <w:rPr>
          <w:rFonts w:ascii="宋体" w:hAnsi="宋体"/>
          <w:color w:val="000000" w:themeColor="text1"/>
          <w:szCs w:val="21"/>
          <w:highlight w:val="none"/>
          <w:u w:val="single"/>
          <w14:textFill>
            <w14:solidFill>
              <w14:schemeClr w14:val="tx1"/>
            </w14:solidFill>
          </w14:textFill>
        </w:rPr>
      </w:pPr>
      <w:r>
        <w:rPr>
          <w:rFonts w:ascii="宋体" w:hAnsi="宋体"/>
          <w:color w:val="000000" w:themeColor="text1"/>
          <w:szCs w:val="21"/>
          <w:highlight w:val="none"/>
          <w14:textFill>
            <w14:solidFill>
              <w14:schemeClr w14:val="tx1"/>
            </w14:solidFill>
          </w14:textFill>
        </w:rPr>
        <w:t>承</w:t>
      </w:r>
      <w:bookmarkStart w:id="628" w:name="_Toc297048390"/>
      <w:bookmarkStart w:id="629" w:name="_Toc312677504"/>
      <w:bookmarkStart w:id="630" w:name="_Toc297123546"/>
      <w:bookmarkStart w:id="631" w:name="_Toc297120504"/>
      <w:bookmarkStart w:id="632" w:name="_Toc296891244"/>
      <w:bookmarkStart w:id="633" w:name="_Toc292559914"/>
      <w:bookmarkStart w:id="634" w:name="_Toc296346705"/>
      <w:bookmarkStart w:id="635" w:name="_Toc297216205"/>
      <w:bookmarkStart w:id="636" w:name="_Toc296347203"/>
      <w:bookmarkStart w:id="637" w:name="_Toc296944543"/>
      <w:bookmarkStart w:id="638" w:name="_Toc312678030"/>
      <w:bookmarkStart w:id="639" w:name="_Toc292559409"/>
      <w:bookmarkStart w:id="640" w:name="_Toc296503204"/>
      <w:bookmarkStart w:id="641" w:name="_Toc303539152"/>
      <w:bookmarkStart w:id="642" w:name="_Toc300934995"/>
      <w:bookmarkStart w:id="643" w:name="_Toc318581175"/>
      <w:bookmarkStart w:id="644" w:name="_Toc296891032"/>
      <w:bookmarkStart w:id="645" w:name="_Toc304295571"/>
      <w:r>
        <w:rPr>
          <w:rFonts w:ascii="宋体" w:hAnsi="宋体"/>
          <w:color w:val="000000" w:themeColor="text1"/>
          <w:szCs w:val="21"/>
          <w:highlight w:val="none"/>
          <w14:textFill>
            <w14:solidFill>
              <w14:schemeClr w14:val="tx1"/>
            </w14:solidFill>
          </w14:textFill>
        </w:rPr>
        <w:t>包人提出的合理化建议降低了合同价格或者提高了工程经济效益的奖励的方法和金额为：。</w:t>
      </w:r>
    </w:p>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 w14:paraId="71ECF868">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bookmarkStart w:id="646" w:name="_Toc312677507"/>
      <w:bookmarkStart w:id="647" w:name="_Toc300934997"/>
      <w:bookmarkStart w:id="648" w:name="_Toc303539154"/>
      <w:bookmarkStart w:id="649" w:name="_Toc296346700"/>
      <w:bookmarkStart w:id="650" w:name="_Toc292559909"/>
      <w:bookmarkStart w:id="651" w:name="_Toc297123548"/>
      <w:bookmarkStart w:id="652" w:name="_Toc296891239"/>
      <w:bookmarkStart w:id="653" w:name="_Toc304295574"/>
      <w:bookmarkStart w:id="654" w:name="_Toc296503199"/>
      <w:bookmarkStart w:id="655" w:name="_Toc297120499"/>
      <w:bookmarkStart w:id="656" w:name="_Toc296944538"/>
      <w:bookmarkStart w:id="657" w:name="_Toc296891027"/>
      <w:bookmarkStart w:id="658" w:name="_Toc296347198"/>
      <w:bookmarkStart w:id="659" w:name="_Toc297216207"/>
      <w:bookmarkStart w:id="660" w:name="_Toc297048385"/>
      <w:bookmarkStart w:id="661" w:name="_Toc312678033"/>
      <w:bookmarkStart w:id="662" w:name="_Toc292559404"/>
      <w:r>
        <w:rPr>
          <w:rFonts w:ascii="宋体" w:hAnsi="宋体"/>
          <w:color w:val="000000" w:themeColor="text1"/>
          <w:szCs w:val="21"/>
          <w:highlight w:val="none"/>
          <w14:textFill>
            <w14:solidFill>
              <w14:schemeClr w14:val="tx1"/>
            </w14:solidFill>
          </w14:textFill>
        </w:rPr>
        <w:t>0.</w:t>
      </w:r>
      <w:r>
        <w:rPr>
          <w:rFonts w:hint="eastAsia" w:ascii="宋体" w:hAnsi="宋体"/>
          <w:color w:val="000000" w:themeColor="text1"/>
          <w:szCs w:val="21"/>
          <w:highlight w:val="none"/>
          <w14:textFill>
            <w14:solidFill>
              <w14:schemeClr w14:val="tx1"/>
            </w14:solidFill>
          </w14:textFill>
        </w:rPr>
        <w:t>4</w:t>
      </w:r>
      <w:r>
        <w:rPr>
          <w:rFonts w:ascii="宋体" w:hAnsi="宋体"/>
          <w:color w:val="000000" w:themeColor="text1"/>
          <w:szCs w:val="21"/>
          <w:highlight w:val="none"/>
          <w14:textFill>
            <w14:solidFill>
              <w14:schemeClr w14:val="tx1"/>
            </w14:solidFill>
          </w14:textFill>
        </w:rPr>
        <w:t xml:space="preserve"> 暂估价</w:t>
      </w:r>
    </w:p>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p w14:paraId="6F88C09B">
      <w:pPr>
        <w:spacing w:line="360" w:lineRule="auto"/>
        <w:ind w:firstLine="420"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10.4.1 </w:t>
      </w:r>
      <w:r>
        <w:rPr>
          <w:rFonts w:hAnsi="宋体"/>
          <w:color w:val="000000" w:themeColor="text1"/>
          <w:szCs w:val="21"/>
          <w:highlight w:val="none"/>
          <w14:textFill>
            <w14:solidFill>
              <w14:schemeClr w14:val="tx1"/>
            </w14:solidFill>
          </w14:textFill>
        </w:rPr>
        <w:t>变更估价原则</w:t>
      </w:r>
    </w:p>
    <w:p w14:paraId="6BFD4A1C">
      <w:pPr>
        <w:spacing w:line="360" w:lineRule="auto"/>
        <w:ind w:firstLine="420" w:firstLineChars="200"/>
        <w:jc w:val="left"/>
        <w:rPr>
          <w:rFonts w:hAnsi="宋体"/>
          <w:bCs/>
          <w:color w:val="000000" w:themeColor="text1"/>
          <w:szCs w:val="21"/>
          <w:highlight w:val="none"/>
          <w:u w:val="single"/>
          <w14:textFill>
            <w14:solidFill>
              <w14:schemeClr w14:val="tx1"/>
            </w14:solidFill>
          </w14:textFill>
        </w:rPr>
      </w:pPr>
      <w:r>
        <w:rPr>
          <w:rFonts w:hAnsi="宋体"/>
          <w:color w:val="000000" w:themeColor="text1"/>
          <w:szCs w:val="21"/>
          <w:highlight w:val="none"/>
          <w14:textFill>
            <w14:solidFill>
              <w14:schemeClr w14:val="tx1"/>
            </w14:solidFill>
          </w14:textFill>
        </w:rPr>
        <w:t>关于变更估价的约定</w:t>
      </w:r>
      <w:r>
        <w:rPr>
          <w:color w:val="000000" w:themeColor="text1"/>
          <w:szCs w:val="21"/>
          <w:highlight w:val="none"/>
          <w14:textFill>
            <w14:solidFill>
              <w14:schemeClr w14:val="tx1"/>
            </w14:solidFill>
          </w14:textFill>
        </w:rPr>
        <w:t xml:space="preserve">: </w:t>
      </w:r>
      <w:bookmarkStart w:id="663" w:name="_Toc251051742"/>
      <w:r>
        <w:rPr>
          <w:rFonts w:hint="eastAsia" w:hAnsi="宋体"/>
          <w:bCs/>
          <w:color w:val="000000" w:themeColor="text1"/>
          <w:szCs w:val="21"/>
          <w:highlight w:val="none"/>
          <w:u w:val="single"/>
          <w14:textFill>
            <w14:solidFill>
              <w14:schemeClr w14:val="tx1"/>
            </w14:solidFill>
          </w14:textFill>
        </w:rPr>
        <w:t>工程</w:t>
      </w:r>
      <w:r>
        <w:rPr>
          <w:rFonts w:hAnsi="宋体"/>
          <w:bCs/>
          <w:color w:val="000000" w:themeColor="text1"/>
          <w:szCs w:val="21"/>
          <w:highlight w:val="none"/>
          <w:u w:val="single"/>
          <w14:textFill>
            <w14:solidFill>
              <w14:schemeClr w14:val="tx1"/>
            </w14:solidFill>
          </w14:textFill>
        </w:rPr>
        <w:t>变更合同价款按下列方法进行：（</w:t>
      </w:r>
      <w:r>
        <w:rPr>
          <w:bCs/>
          <w:color w:val="000000" w:themeColor="text1"/>
          <w:szCs w:val="21"/>
          <w:highlight w:val="none"/>
          <w:u w:val="single"/>
          <w14:textFill>
            <w14:solidFill>
              <w14:schemeClr w14:val="tx1"/>
            </w14:solidFill>
          </w14:textFill>
        </w:rPr>
        <w:t>1</w:t>
      </w:r>
      <w:r>
        <w:rPr>
          <w:rFonts w:hAnsi="宋体"/>
          <w:bCs/>
          <w:color w:val="000000" w:themeColor="text1"/>
          <w:szCs w:val="21"/>
          <w:highlight w:val="none"/>
          <w:u w:val="single"/>
          <w14:textFill>
            <w14:solidFill>
              <w14:schemeClr w14:val="tx1"/>
            </w14:solidFill>
          </w14:textFill>
        </w:rPr>
        <w:t>）合同中已有相同清单项目的，按合同该清单项目价格进行计算</w:t>
      </w:r>
      <w:r>
        <w:rPr>
          <w:rFonts w:hint="eastAsia" w:hAnsi="宋体"/>
          <w:bCs/>
          <w:color w:val="000000" w:themeColor="text1"/>
          <w:szCs w:val="21"/>
          <w:highlight w:val="none"/>
          <w:u w:val="single"/>
          <w:lang w:eastAsia="zh-CN"/>
          <w14:textFill>
            <w14:solidFill>
              <w14:schemeClr w14:val="tx1"/>
            </w14:solidFill>
          </w14:textFill>
        </w:rPr>
        <w:t>；</w:t>
      </w:r>
      <w:r>
        <w:rPr>
          <w:rFonts w:hAnsi="宋体"/>
          <w:bCs/>
          <w:color w:val="000000" w:themeColor="text1"/>
          <w:szCs w:val="21"/>
          <w:highlight w:val="none"/>
          <w:u w:val="single"/>
          <w14:textFill>
            <w14:solidFill>
              <w14:schemeClr w14:val="tx1"/>
            </w14:solidFill>
          </w14:textFill>
        </w:rPr>
        <w:t>（</w:t>
      </w:r>
      <w:r>
        <w:rPr>
          <w:bCs/>
          <w:color w:val="000000" w:themeColor="text1"/>
          <w:szCs w:val="21"/>
          <w:highlight w:val="none"/>
          <w:u w:val="single"/>
          <w14:textFill>
            <w14:solidFill>
              <w14:schemeClr w14:val="tx1"/>
            </w14:solidFill>
          </w14:textFill>
        </w:rPr>
        <w:t>2</w:t>
      </w:r>
      <w:r>
        <w:rPr>
          <w:rFonts w:hAnsi="宋体"/>
          <w:bCs/>
          <w:color w:val="000000" w:themeColor="text1"/>
          <w:szCs w:val="21"/>
          <w:highlight w:val="none"/>
          <w:u w:val="single"/>
          <w14:textFill>
            <w14:solidFill>
              <w14:schemeClr w14:val="tx1"/>
            </w14:solidFill>
          </w14:textFill>
        </w:rPr>
        <w:t>）合同中只有类似清单项目的，参照该类似清单项目价格进行计算</w:t>
      </w:r>
      <w:r>
        <w:rPr>
          <w:rFonts w:hint="eastAsia" w:hAnsi="宋体"/>
          <w:bCs/>
          <w:color w:val="000000" w:themeColor="text1"/>
          <w:szCs w:val="21"/>
          <w:highlight w:val="none"/>
          <w:u w:val="single"/>
          <w:lang w:eastAsia="zh-CN"/>
          <w14:textFill>
            <w14:solidFill>
              <w14:schemeClr w14:val="tx1"/>
            </w14:solidFill>
          </w14:textFill>
        </w:rPr>
        <w:t>；</w:t>
      </w:r>
      <w:r>
        <w:rPr>
          <w:rFonts w:hAnsi="宋体"/>
          <w:bCs/>
          <w:color w:val="000000" w:themeColor="text1"/>
          <w:szCs w:val="21"/>
          <w:highlight w:val="none"/>
          <w:u w:val="single"/>
          <w14:textFill>
            <w14:solidFill>
              <w14:schemeClr w14:val="tx1"/>
            </w14:solidFill>
          </w14:textFill>
        </w:rPr>
        <w:t>（</w:t>
      </w:r>
      <w:r>
        <w:rPr>
          <w:bCs/>
          <w:color w:val="000000" w:themeColor="text1"/>
          <w:szCs w:val="21"/>
          <w:highlight w:val="none"/>
          <w:u w:val="single"/>
          <w14:textFill>
            <w14:solidFill>
              <w14:schemeClr w14:val="tx1"/>
            </w14:solidFill>
          </w14:textFill>
        </w:rPr>
        <w:t>3</w:t>
      </w:r>
      <w:r>
        <w:rPr>
          <w:rFonts w:hAnsi="宋体"/>
          <w:bCs/>
          <w:color w:val="000000" w:themeColor="text1"/>
          <w:szCs w:val="21"/>
          <w:highlight w:val="none"/>
          <w:u w:val="single"/>
          <w14:textFill>
            <w14:solidFill>
              <w14:schemeClr w14:val="tx1"/>
            </w14:solidFill>
          </w14:textFill>
        </w:rPr>
        <w:t>）合同中没有适用或类似清单项目的价格计算方法：有定额的套定额，并乘以</w:t>
      </w:r>
      <w:r>
        <w:rPr>
          <w:rFonts w:hint="eastAsia" w:hAnsi="宋体"/>
          <w:bCs/>
          <w:color w:val="000000" w:themeColor="text1"/>
          <w:szCs w:val="21"/>
          <w:highlight w:val="none"/>
          <w:u w:val="single"/>
          <w14:textFill>
            <w14:solidFill>
              <w14:schemeClr w14:val="tx1"/>
            </w14:solidFill>
          </w14:textFill>
        </w:rPr>
        <w:t>（竞标价/采购</w:t>
      </w:r>
      <w:r>
        <w:rPr>
          <w:rFonts w:hAnsi="宋体"/>
          <w:bCs/>
          <w:color w:val="000000" w:themeColor="text1"/>
          <w:szCs w:val="21"/>
          <w:highlight w:val="none"/>
          <w:u w:val="single"/>
          <w14:textFill>
            <w14:solidFill>
              <w14:schemeClr w14:val="tx1"/>
            </w14:solidFill>
          </w14:textFill>
        </w:rPr>
        <w:t>控制价</w:t>
      </w:r>
      <w:r>
        <w:rPr>
          <w:rFonts w:hint="eastAsia" w:hAnsi="宋体"/>
          <w:bCs/>
          <w:color w:val="000000" w:themeColor="text1"/>
          <w:szCs w:val="21"/>
          <w:highlight w:val="none"/>
          <w:u w:val="single"/>
          <w14:textFill>
            <w14:solidFill>
              <w14:schemeClr w14:val="tx1"/>
            </w14:solidFill>
          </w14:textFill>
        </w:rPr>
        <w:t>）</w:t>
      </w:r>
      <w:r>
        <w:rPr>
          <w:rFonts w:hAnsi="宋体"/>
          <w:bCs/>
          <w:color w:val="000000" w:themeColor="text1"/>
          <w:szCs w:val="21"/>
          <w:highlight w:val="none"/>
          <w:u w:val="single"/>
          <w14:textFill>
            <w14:solidFill>
              <w14:schemeClr w14:val="tx1"/>
            </w14:solidFill>
          </w14:textFill>
        </w:rPr>
        <w:t>系数计算，其中材料价格按施工期间的《</w:t>
      </w:r>
      <w:r>
        <w:rPr>
          <w:rFonts w:hint="eastAsia"/>
          <w:bCs/>
          <w:color w:val="000000" w:themeColor="text1"/>
          <w:szCs w:val="21"/>
          <w:highlight w:val="none"/>
          <w:u w:val="single"/>
          <w14:textFill>
            <w14:solidFill>
              <w14:schemeClr w14:val="tx1"/>
            </w14:solidFill>
          </w14:textFill>
        </w:rPr>
        <w:t>钦州</w:t>
      </w:r>
      <w:r>
        <w:rPr>
          <w:rFonts w:hAnsi="宋体"/>
          <w:bCs/>
          <w:color w:val="000000" w:themeColor="text1"/>
          <w:szCs w:val="21"/>
          <w:highlight w:val="none"/>
          <w:u w:val="single"/>
          <w14:textFill>
            <w14:solidFill>
              <w14:schemeClr w14:val="tx1"/>
            </w14:solidFill>
          </w14:textFill>
        </w:rPr>
        <w:t>市建设工程造价信息》相应价格信息进行计算</w:t>
      </w:r>
      <w:r>
        <w:rPr>
          <w:rFonts w:hint="eastAsia" w:hAnsi="宋体"/>
          <w:bCs/>
          <w:color w:val="000000" w:themeColor="text1"/>
          <w:szCs w:val="21"/>
          <w:highlight w:val="none"/>
          <w:u w:val="single"/>
          <w:lang w:eastAsia="zh-CN"/>
          <w14:textFill>
            <w14:solidFill>
              <w14:schemeClr w14:val="tx1"/>
            </w14:solidFill>
          </w14:textFill>
        </w:rPr>
        <w:t>；</w:t>
      </w:r>
      <w:r>
        <w:rPr>
          <w:rFonts w:hAnsi="宋体"/>
          <w:bCs/>
          <w:color w:val="000000" w:themeColor="text1"/>
          <w:szCs w:val="21"/>
          <w:highlight w:val="none"/>
          <w:u w:val="single"/>
          <w14:textFill>
            <w14:solidFill>
              <w14:schemeClr w14:val="tx1"/>
            </w14:solidFill>
          </w14:textFill>
        </w:rPr>
        <w:t>《</w:t>
      </w:r>
      <w:r>
        <w:rPr>
          <w:rFonts w:hint="eastAsia"/>
          <w:bCs/>
          <w:color w:val="000000" w:themeColor="text1"/>
          <w:szCs w:val="21"/>
          <w:highlight w:val="none"/>
          <w:u w:val="single"/>
          <w14:textFill>
            <w14:solidFill>
              <w14:schemeClr w14:val="tx1"/>
            </w14:solidFill>
          </w14:textFill>
        </w:rPr>
        <w:t>钦州</w:t>
      </w:r>
      <w:r>
        <w:rPr>
          <w:rFonts w:hAnsi="宋体"/>
          <w:bCs/>
          <w:color w:val="000000" w:themeColor="text1"/>
          <w:szCs w:val="21"/>
          <w:highlight w:val="none"/>
          <w:u w:val="single"/>
          <w14:textFill>
            <w14:solidFill>
              <w14:schemeClr w14:val="tx1"/>
            </w14:solidFill>
          </w14:textFill>
        </w:rPr>
        <w:t>市建设工程造价信息》没有相应价格信息的</w:t>
      </w:r>
      <w:r>
        <w:rPr>
          <w:rFonts w:hint="eastAsia" w:hAnsi="宋体"/>
          <w:bCs/>
          <w:color w:val="000000" w:themeColor="text1"/>
          <w:szCs w:val="21"/>
          <w:highlight w:val="none"/>
          <w:u w:val="single"/>
          <w14:textFill>
            <w14:solidFill>
              <w14:schemeClr w14:val="tx1"/>
            </w14:solidFill>
          </w14:textFill>
        </w:rPr>
        <w:t>可</w:t>
      </w:r>
      <w:r>
        <w:rPr>
          <w:rFonts w:hAnsi="宋体"/>
          <w:bCs/>
          <w:color w:val="000000" w:themeColor="text1"/>
          <w:szCs w:val="21"/>
          <w:highlight w:val="none"/>
          <w:u w:val="single"/>
          <w14:textFill>
            <w14:solidFill>
              <w14:schemeClr w14:val="tx1"/>
            </w14:solidFill>
          </w14:textFill>
        </w:rPr>
        <w:t>参照</w:t>
      </w:r>
      <w:r>
        <w:rPr>
          <w:rFonts w:hint="eastAsia" w:hAnsi="宋体"/>
          <w:bCs/>
          <w:color w:val="000000" w:themeColor="text1"/>
          <w:szCs w:val="21"/>
          <w:highlight w:val="none"/>
          <w:u w:val="single"/>
          <w14:textFill>
            <w14:solidFill>
              <w14:schemeClr w14:val="tx1"/>
            </w14:solidFill>
          </w14:textFill>
        </w:rPr>
        <w:t>《</w:t>
      </w:r>
      <w:r>
        <w:rPr>
          <w:rFonts w:hAnsi="宋体"/>
          <w:bCs/>
          <w:color w:val="000000" w:themeColor="text1"/>
          <w:szCs w:val="21"/>
          <w:highlight w:val="none"/>
          <w:u w:val="single"/>
          <w14:textFill>
            <w14:solidFill>
              <w14:schemeClr w14:val="tx1"/>
            </w14:solidFill>
          </w14:textFill>
        </w:rPr>
        <w:t>南宁市</w:t>
      </w:r>
      <w:r>
        <w:rPr>
          <w:rFonts w:hint="eastAsia" w:hAnsi="宋体"/>
          <w:bCs/>
          <w:color w:val="000000" w:themeColor="text1"/>
          <w:szCs w:val="21"/>
          <w:highlight w:val="none"/>
          <w:u w:val="single"/>
          <w14:textFill>
            <w14:solidFill>
              <w14:schemeClr w14:val="tx1"/>
            </w14:solidFill>
          </w14:textFill>
        </w:rPr>
        <w:t>建设工程</w:t>
      </w:r>
      <w:r>
        <w:rPr>
          <w:rFonts w:hAnsi="宋体"/>
          <w:bCs/>
          <w:color w:val="000000" w:themeColor="text1"/>
          <w:szCs w:val="21"/>
          <w:highlight w:val="none"/>
          <w:u w:val="single"/>
          <w14:textFill>
            <w14:solidFill>
              <w14:schemeClr w14:val="tx1"/>
            </w14:solidFill>
          </w14:textFill>
        </w:rPr>
        <w:t>信息价</w:t>
      </w:r>
      <w:r>
        <w:rPr>
          <w:rFonts w:hint="eastAsia" w:hAnsi="宋体"/>
          <w:bCs/>
          <w:color w:val="000000" w:themeColor="text1"/>
          <w:szCs w:val="21"/>
          <w:highlight w:val="none"/>
          <w:u w:val="single"/>
          <w14:textFill>
            <w14:solidFill>
              <w14:schemeClr w14:val="tx1"/>
            </w14:solidFill>
          </w14:textFill>
        </w:rPr>
        <w:t>》</w:t>
      </w:r>
      <w:r>
        <w:rPr>
          <w:rFonts w:hAnsi="宋体"/>
          <w:bCs/>
          <w:color w:val="000000" w:themeColor="text1"/>
          <w:szCs w:val="21"/>
          <w:highlight w:val="none"/>
          <w:u w:val="single"/>
          <w14:textFill>
            <w14:solidFill>
              <w14:schemeClr w14:val="tx1"/>
            </w14:solidFill>
          </w14:textFill>
        </w:rPr>
        <w:t>或</w:t>
      </w:r>
      <w:r>
        <w:rPr>
          <w:rFonts w:hint="eastAsia" w:hAnsi="宋体"/>
          <w:bCs/>
          <w:color w:val="000000" w:themeColor="text1"/>
          <w:szCs w:val="21"/>
          <w:highlight w:val="none"/>
          <w:u w:val="single"/>
          <w14:textFill>
            <w14:solidFill>
              <w14:schemeClr w14:val="tx1"/>
            </w14:solidFill>
          </w14:textFill>
        </w:rPr>
        <w:t>广西</w:t>
      </w:r>
      <w:r>
        <w:rPr>
          <w:rFonts w:hAnsi="宋体"/>
          <w:bCs/>
          <w:color w:val="000000" w:themeColor="text1"/>
          <w:szCs w:val="21"/>
          <w:highlight w:val="none"/>
          <w:u w:val="single"/>
          <w14:textFill>
            <w14:solidFill>
              <w14:schemeClr w14:val="tx1"/>
            </w14:solidFill>
          </w14:textFill>
        </w:rPr>
        <w:t>区内其他城市信息价</w:t>
      </w:r>
      <w:r>
        <w:rPr>
          <w:rFonts w:hint="eastAsia" w:hAnsi="宋体"/>
          <w:bCs/>
          <w:color w:val="000000" w:themeColor="text1"/>
          <w:szCs w:val="21"/>
          <w:highlight w:val="none"/>
          <w:u w:val="single"/>
          <w:lang w:eastAsia="zh-CN"/>
          <w14:textFill>
            <w14:solidFill>
              <w14:schemeClr w14:val="tx1"/>
            </w14:solidFill>
          </w14:textFill>
        </w:rPr>
        <w:t>；</w:t>
      </w:r>
      <w:r>
        <w:rPr>
          <w:rFonts w:hAnsi="宋体"/>
          <w:bCs/>
          <w:color w:val="000000" w:themeColor="text1"/>
          <w:szCs w:val="21"/>
          <w:highlight w:val="none"/>
          <w:u w:val="single"/>
          <w14:textFill>
            <w14:solidFill>
              <w14:schemeClr w14:val="tx1"/>
            </w14:solidFill>
          </w14:textFill>
        </w:rPr>
        <w:t>无定额可套的，根据</w:t>
      </w:r>
      <w:r>
        <w:rPr>
          <w:rFonts w:hint="eastAsia" w:hAnsi="宋体"/>
          <w:bCs/>
          <w:color w:val="000000" w:themeColor="text1"/>
          <w:szCs w:val="21"/>
          <w:highlight w:val="none"/>
          <w:u w:val="single"/>
          <w14:textFill>
            <w14:solidFill>
              <w14:schemeClr w14:val="tx1"/>
            </w14:solidFill>
          </w14:textFill>
        </w:rPr>
        <w:t>经</w:t>
      </w:r>
      <w:r>
        <w:rPr>
          <w:rFonts w:hAnsi="宋体"/>
          <w:bCs/>
          <w:color w:val="000000" w:themeColor="text1"/>
          <w:szCs w:val="21"/>
          <w:highlight w:val="none"/>
          <w:u w:val="single"/>
          <w14:textFill>
            <w14:solidFill>
              <w14:schemeClr w14:val="tx1"/>
            </w14:solidFill>
          </w14:textFill>
        </w:rPr>
        <w:t>市场</w:t>
      </w:r>
      <w:r>
        <w:rPr>
          <w:rFonts w:hint="eastAsia" w:hAnsi="宋体"/>
          <w:bCs/>
          <w:color w:val="000000" w:themeColor="text1"/>
          <w:szCs w:val="21"/>
          <w:highlight w:val="none"/>
          <w:u w:val="single"/>
          <w14:textFill>
            <w14:solidFill>
              <w14:schemeClr w14:val="tx1"/>
            </w14:solidFill>
          </w14:textFill>
        </w:rPr>
        <w:t>询价</w:t>
      </w:r>
      <w:r>
        <w:rPr>
          <w:rFonts w:hAnsi="宋体"/>
          <w:bCs/>
          <w:color w:val="000000" w:themeColor="text1"/>
          <w:szCs w:val="21"/>
          <w:highlight w:val="none"/>
          <w:u w:val="single"/>
          <w14:textFill>
            <w14:solidFill>
              <w14:schemeClr w14:val="tx1"/>
            </w14:solidFill>
          </w14:textFill>
        </w:rPr>
        <w:t>协商确定综合价格</w:t>
      </w:r>
      <w:r>
        <w:rPr>
          <w:rFonts w:hint="eastAsia" w:hAnsi="宋体"/>
          <w:bCs/>
          <w:color w:val="000000" w:themeColor="text1"/>
          <w:szCs w:val="21"/>
          <w:highlight w:val="none"/>
          <w:u w:val="single"/>
          <w14:textFill>
            <w14:solidFill>
              <w14:schemeClr w14:val="tx1"/>
            </w14:solidFill>
          </w14:textFill>
        </w:rPr>
        <w:t>或经</w:t>
      </w:r>
      <w:r>
        <w:rPr>
          <w:rFonts w:hAnsi="宋体"/>
          <w:bCs/>
          <w:color w:val="000000" w:themeColor="text1"/>
          <w:szCs w:val="21"/>
          <w:highlight w:val="none"/>
          <w:u w:val="single"/>
          <w14:textFill>
            <w14:solidFill>
              <w14:schemeClr w14:val="tx1"/>
            </w14:solidFill>
          </w14:textFill>
        </w:rPr>
        <w:t>采购</w:t>
      </w:r>
      <w:r>
        <w:rPr>
          <w:rFonts w:hint="eastAsia" w:hAnsi="宋体"/>
          <w:bCs/>
          <w:color w:val="000000" w:themeColor="text1"/>
          <w:szCs w:val="21"/>
          <w:highlight w:val="none"/>
          <w:u w:val="single"/>
          <w14:textFill>
            <w14:solidFill>
              <w14:schemeClr w14:val="tx1"/>
            </w14:solidFill>
          </w14:textFill>
        </w:rPr>
        <w:t>采购</w:t>
      </w:r>
      <w:r>
        <w:rPr>
          <w:rFonts w:hAnsi="宋体"/>
          <w:bCs/>
          <w:color w:val="000000" w:themeColor="text1"/>
          <w:szCs w:val="21"/>
          <w:highlight w:val="none"/>
          <w:u w:val="single"/>
          <w14:textFill>
            <w14:solidFill>
              <w14:schemeClr w14:val="tx1"/>
            </w14:solidFill>
          </w14:textFill>
        </w:rPr>
        <w:t>确定材料</w:t>
      </w:r>
      <w:r>
        <w:rPr>
          <w:rFonts w:hint="eastAsia" w:hAnsi="宋体"/>
          <w:bCs/>
          <w:color w:val="000000" w:themeColor="text1"/>
          <w:szCs w:val="21"/>
          <w:highlight w:val="none"/>
          <w:u w:val="single"/>
          <w14:textFill>
            <w14:solidFill>
              <w14:schemeClr w14:val="tx1"/>
            </w14:solidFill>
          </w14:textFill>
        </w:rPr>
        <w:t>单价</w:t>
      </w:r>
      <w:bookmarkEnd w:id="663"/>
      <w:r>
        <w:rPr>
          <w:rFonts w:hint="eastAsia" w:hAnsi="宋体"/>
          <w:bCs/>
          <w:color w:val="000000" w:themeColor="text1"/>
          <w:szCs w:val="21"/>
          <w:highlight w:val="none"/>
          <w:u w:val="single"/>
          <w14:textFill>
            <w14:solidFill>
              <w14:schemeClr w14:val="tx1"/>
            </w14:solidFill>
          </w14:textFill>
        </w:rPr>
        <w:t>。</w:t>
      </w:r>
    </w:p>
    <w:p w14:paraId="1654A375">
      <w:pPr>
        <w:spacing w:line="360" w:lineRule="auto"/>
        <w:ind w:firstLine="420" w:firstLineChars="200"/>
        <w:jc w:val="left"/>
        <w:rPr>
          <w:color w:val="000000" w:themeColor="text1"/>
          <w:szCs w:val="21"/>
          <w:highlight w:val="none"/>
          <w:u w:val="single"/>
          <w14:textFill>
            <w14:solidFill>
              <w14:schemeClr w14:val="tx1"/>
            </w14:solidFill>
          </w14:textFill>
        </w:rPr>
      </w:pPr>
      <w:r>
        <w:rPr>
          <w:rFonts w:hint="eastAsia"/>
          <w:color w:val="000000" w:themeColor="text1"/>
          <w:szCs w:val="21"/>
          <w:highlight w:val="none"/>
          <w:u w:val="single"/>
          <w14:textFill>
            <w14:solidFill>
              <w14:schemeClr w14:val="tx1"/>
            </w14:solidFill>
          </w14:textFill>
        </w:rPr>
        <w:t>工程变更导致实际完成的变更工程量与已标价清单或预算书中列明的该项目工程量有偏差时，其综合单价的确定按专用条款“1.13工程量清单错误的修正”执行。</w:t>
      </w:r>
    </w:p>
    <w:p w14:paraId="6E7CF149">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10.</w:t>
      </w:r>
      <w:r>
        <w:rPr>
          <w:rFonts w:hint="eastAsia" w:ascii="宋体" w:hAnsi="宋体"/>
          <w:color w:val="000000" w:themeColor="text1"/>
          <w:szCs w:val="21"/>
          <w:highlight w:val="none"/>
          <w14:textFill>
            <w14:solidFill>
              <w14:schemeClr w14:val="tx1"/>
            </w14:solidFill>
          </w14:textFill>
        </w:rPr>
        <w:t>5</w:t>
      </w:r>
      <w:r>
        <w:rPr>
          <w:rFonts w:ascii="宋体" w:hAnsi="宋体"/>
          <w:color w:val="000000" w:themeColor="text1"/>
          <w:szCs w:val="21"/>
          <w:highlight w:val="none"/>
          <w14:textFill>
            <w14:solidFill>
              <w14:schemeClr w14:val="tx1"/>
            </w14:solidFill>
          </w14:textFill>
        </w:rPr>
        <w:t xml:space="preserve"> 暂列金额</w:t>
      </w:r>
    </w:p>
    <w:p w14:paraId="4E64C763">
      <w:pPr>
        <w:spacing w:line="360" w:lineRule="auto"/>
        <w:ind w:firstLine="420" w:firstLineChars="200"/>
        <w:jc w:val="left"/>
        <w:rPr>
          <w:rFonts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合同当事人关于暂列金额使用的约定：</w:t>
      </w:r>
      <w:r>
        <w:rPr>
          <w:rFonts w:hAnsi="宋体"/>
          <w:color w:val="000000" w:themeColor="text1"/>
          <w:kern w:val="0"/>
          <w:szCs w:val="21"/>
          <w:highlight w:val="none"/>
          <w14:textFill>
            <w14:solidFill>
              <w14:schemeClr w14:val="tx1"/>
            </w14:solidFill>
          </w14:textFill>
        </w:rPr>
        <w:t>暂</w:t>
      </w:r>
      <w:bookmarkStart w:id="664" w:name="_Toc318581176"/>
      <w:bookmarkStart w:id="665" w:name="_Toc312677508"/>
      <w:bookmarkStart w:id="666" w:name="_Toc312678034"/>
      <w:r>
        <w:rPr>
          <w:rFonts w:hAnsi="宋体"/>
          <w:color w:val="000000" w:themeColor="text1"/>
          <w:kern w:val="0"/>
          <w:szCs w:val="21"/>
          <w:highlight w:val="none"/>
          <w14:textFill>
            <w14:solidFill>
              <w14:schemeClr w14:val="tx1"/>
            </w14:solidFill>
          </w14:textFill>
        </w:rPr>
        <w:t>估价材料和工程设备的明细详见</w:t>
      </w:r>
      <w:r>
        <w:rPr>
          <w:rFonts w:hint="eastAsia" w:hAnsi="宋体"/>
          <w:color w:val="000000" w:themeColor="text1"/>
          <w:kern w:val="0"/>
          <w:szCs w:val="21"/>
          <w:highlight w:val="none"/>
          <w14:textFill>
            <w14:solidFill>
              <w14:schemeClr w14:val="tx1"/>
            </w14:solidFill>
          </w14:textFill>
        </w:rPr>
        <w:t>已标价工程量清单《</w:t>
      </w:r>
      <w:r>
        <w:rPr>
          <w:color w:val="000000" w:themeColor="text1"/>
          <w:szCs w:val="21"/>
          <w:highlight w:val="none"/>
          <w14:textFill>
            <w14:solidFill>
              <w14:schemeClr w14:val="tx1"/>
            </w14:solidFill>
          </w14:textFill>
        </w:rPr>
        <w:t>材料（工程设备）暂估价格及调整表</w:t>
      </w:r>
      <w:r>
        <w:rPr>
          <w:rFonts w:hint="eastAsia"/>
          <w:color w:val="000000" w:themeColor="text1"/>
          <w:szCs w:val="21"/>
          <w:highlight w:val="none"/>
          <w14:textFill>
            <w14:solidFill>
              <w14:schemeClr w14:val="tx1"/>
            </w14:solidFill>
          </w14:textFill>
        </w:rPr>
        <w:t>》</w:t>
      </w:r>
      <w:r>
        <w:rPr>
          <w:rFonts w:hint="eastAsia" w:hAnsi="宋体"/>
          <w:color w:val="000000" w:themeColor="text1"/>
          <w:kern w:val="0"/>
          <w:szCs w:val="21"/>
          <w:highlight w:val="none"/>
          <w14:textFill>
            <w14:solidFill>
              <w14:schemeClr w14:val="tx1"/>
            </w14:solidFill>
          </w14:textFill>
        </w:rPr>
        <w:t>（表12-2）和《</w:t>
      </w:r>
      <w:r>
        <w:rPr>
          <w:color w:val="000000" w:themeColor="text1"/>
          <w:szCs w:val="21"/>
          <w:highlight w:val="none"/>
          <w14:textFill>
            <w14:solidFill>
              <w14:schemeClr w14:val="tx1"/>
            </w14:solidFill>
          </w14:textFill>
        </w:rPr>
        <w:t>专业工程暂估价表</w:t>
      </w:r>
      <w:r>
        <w:rPr>
          <w:rFonts w:hint="eastAsia"/>
          <w:color w:val="000000" w:themeColor="text1"/>
          <w:szCs w:val="21"/>
          <w:highlight w:val="none"/>
          <w14:textFill>
            <w14:solidFill>
              <w14:schemeClr w14:val="tx1"/>
            </w14:solidFill>
          </w14:textFill>
        </w:rPr>
        <w:t>》（</w:t>
      </w:r>
      <w:r>
        <w:rPr>
          <w:rFonts w:hint="eastAsia" w:hAnsi="宋体"/>
          <w:color w:val="000000" w:themeColor="text1"/>
          <w:kern w:val="0"/>
          <w:szCs w:val="21"/>
          <w:highlight w:val="none"/>
          <w14:textFill>
            <w14:solidFill>
              <w14:schemeClr w14:val="tx1"/>
            </w14:solidFill>
          </w14:textFill>
        </w:rPr>
        <w:t>表12-3）</w:t>
      </w:r>
      <w:r>
        <w:rPr>
          <w:rFonts w:hAnsi="宋体"/>
          <w:color w:val="000000" w:themeColor="text1"/>
          <w:kern w:val="0"/>
          <w:szCs w:val="21"/>
          <w:highlight w:val="none"/>
          <w14:textFill>
            <w14:solidFill>
              <w14:schemeClr w14:val="tx1"/>
            </w14:solidFill>
          </w14:textFill>
        </w:rPr>
        <w:t>。</w:t>
      </w:r>
    </w:p>
    <w:p w14:paraId="2C9F5725">
      <w:pPr>
        <w:autoSpaceDE w:val="0"/>
        <w:autoSpaceDN w:val="0"/>
        <w:adjustRightInd w:val="0"/>
        <w:spacing w:line="360" w:lineRule="auto"/>
        <w:ind w:firstLine="420" w:firstLineChars="200"/>
        <w:jc w:val="left"/>
        <w:rPr>
          <w:color w:val="000000" w:themeColor="text1"/>
          <w:szCs w:val="21"/>
          <w:highlight w:val="none"/>
          <w:u w:val="single"/>
          <w14:textFill>
            <w14:solidFill>
              <w14:schemeClr w14:val="tx1"/>
            </w14:solidFill>
          </w14:textFill>
        </w:rPr>
      </w:pPr>
      <w:r>
        <w:rPr>
          <w:rFonts w:hAnsi="宋体"/>
          <w:color w:val="000000" w:themeColor="text1"/>
          <w:kern w:val="0"/>
          <w:szCs w:val="21"/>
          <w:highlight w:val="none"/>
          <w14:textFill>
            <w14:solidFill>
              <w14:schemeClr w14:val="tx1"/>
            </w14:solidFill>
          </w14:textFill>
        </w:rPr>
        <w:t>合同当事人关于暂列金额使用的约定：</w:t>
      </w:r>
      <w:r>
        <w:rPr>
          <w:rFonts w:hint="eastAsia"/>
          <w:color w:val="000000" w:themeColor="text1"/>
          <w:szCs w:val="21"/>
          <w:highlight w:val="none"/>
          <w:u w:val="single"/>
          <w14:textFill>
            <w14:solidFill>
              <w14:schemeClr w14:val="tx1"/>
            </w14:solidFill>
          </w14:textFill>
        </w:rPr>
        <w:t>暂列金额应由监理人报发包人批准后指令全部或部分地使用，或者根本不予动用。承包人有权得到的暂列金额应限于监理人根据本条约定决定动用暂列金额的工程、供应或不可预见费用方面的金额。监理人应将根据本款做出的每项决定报发包人批准并通知承包人。</w:t>
      </w:r>
    </w:p>
    <w:bookmarkEnd w:id="664"/>
    <w:bookmarkEnd w:id="665"/>
    <w:bookmarkEnd w:id="666"/>
    <w:p w14:paraId="37122D71">
      <w:pPr>
        <w:keepNext/>
        <w:keepLines/>
        <w:widowControl/>
        <w:spacing w:before="120" w:after="120" w:line="440" w:lineRule="exact"/>
        <w:outlineLvl w:val="3"/>
        <w:rPr>
          <w:rFonts w:ascii="宋体" w:hAnsi="宋体" w:eastAsia="黑体"/>
          <w:b/>
          <w:color w:val="000000" w:themeColor="text1"/>
          <w:kern w:val="0"/>
          <w:sz w:val="28"/>
          <w:szCs w:val="21"/>
          <w:highlight w:val="none"/>
          <w14:textFill>
            <w14:solidFill>
              <w14:schemeClr w14:val="tx1"/>
            </w14:solidFill>
          </w14:textFill>
        </w:rPr>
      </w:pPr>
      <w:bookmarkStart w:id="667" w:name="_Toc351203643"/>
      <w:r>
        <w:rPr>
          <w:rFonts w:ascii="宋体" w:hAnsi="宋体" w:eastAsia="黑体"/>
          <w:b/>
          <w:color w:val="000000" w:themeColor="text1"/>
          <w:kern w:val="0"/>
          <w:sz w:val="28"/>
          <w:szCs w:val="21"/>
          <w:highlight w:val="none"/>
          <w14:textFill>
            <w14:solidFill>
              <w14:schemeClr w14:val="tx1"/>
            </w14:solidFill>
          </w14:textFill>
        </w:rPr>
        <w:t>11. 价格调整</w:t>
      </w:r>
      <w:bookmarkEnd w:id="667"/>
    </w:p>
    <w:p w14:paraId="33971637">
      <w:pPr>
        <w:spacing w:after="120" w:line="440" w:lineRule="exact"/>
        <w:ind w:firstLine="420" w:firstLineChars="200"/>
        <w:rPr>
          <w:rFonts w:ascii="宋体" w:hAnsi="宋体"/>
          <w:color w:val="000000" w:themeColor="text1"/>
          <w:szCs w:val="21"/>
          <w:highlight w:val="none"/>
          <w14:textFill>
            <w14:solidFill>
              <w14:schemeClr w14:val="tx1"/>
            </w14:solidFill>
          </w14:textFill>
        </w:rPr>
      </w:pPr>
      <w:bookmarkStart w:id="668" w:name="_Toc300935000"/>
      <w:bookmarkStart w:id="669" w:name="_Toc292559406"/>
      <w:bookmarkStart w:id="670" w:name="_Toc297048387"/>
      <w:bookmarkStart w:id="671" w:name="_Toc303539157"/>
      <w:bookmarkStart w:id="672" w:name="_Toc297123550"/>
      <w:bookmarkStart w:id="673" w:name="_Toc296503201"/>
      <w:bookmarkStart w:id="674" w:name="_Toc296944540"/>
      <w:bookmarkStart w:id="675" w:name="_Toc296891029"/>
      <w:bookmarkStart w:id="676" w:name="_Toc312678039"/>
      <w:bookmarkStart w:id="677" w:name="_Toc297120501"/>
      <w:bookmarkStart w:id="678" w:name="_Toc296346702"/>
      <w:bookmarkStart w:id="679" w:name="_Toc297216209"/>
      <w:bookmarkStart w:id="680" w:name="_Toc296891241"/>
      <w:bookmarkStart w:id="681" w:name="_Toc296347200"/>
      <w:bookmarkStart w:id="682" w:name="_Toc304295577"/>
      <w:bookmarkStart w:id="683" w:name="_Toc292559911"/>
      <w:r>
        <w:rPr>
          <w:rFonts w:ascii="宋体" w:hAnsi="宋体"/>
          <w:color w:val="000000" w:themeColor="text1"/>
          <w:szCs w:val="21"/>
          <w:highlight w:val="none"/>
          <w14:textFill>
            <w14:solidFill>
              <w14:schemeClr w14:val="tx1"/>
            </w14:solidFill>
          </w14:textFill>
        </w:rPr>
        <w:t>11.1 市场价格波动引起的调整</w:t>
      </w:r>
    </w:p>
    <w:bookmarkEnd w:id="573"/>
    <w:bookmarkEnd w:id="574"/>
    <w:bookmarkEnd w:id="575"/>
    <w:bookmarkEnd w:id="576"/>
    <w:bookmarkEnd w:id="577"/>
    <w:bookmarkEnd w:id="578"/>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p w14:paraId="76DE97AA">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bookmarkStart w:id="684" w:name="_Toc296891245"/>
      <w:bookmarkStart w:id="685" w:name="_Toc296346706"/>
      <w:bookmarkStart w:id="686" w:name="_Toc296891033"/>
      <w:bookmarkStart w:id="687" w:name="_Toc297048391"/>
      <w:bookmarkStart w:id="688" w:name="_Toc292559410"/>
      <w:bookmarkStart w:id="689" w:name="_Toc297120505"/>
      <w:bookmarkStart w:id="690" w:name="_Toc296503205"/>
      <w:bookmarkStart w:id="691" w:name="_Toc296347204"/>
      <w:bookmarkStart w:id="692" w:name="_Toc296944544"/>
      <w:bookmarkStart w:id="693" w:name="_Toc292559915"/>
      <w:bookmarkStart w:id="694" w:name="_Toc351203644"/>
      <w:bookmarkStart w:id="695" w:name="_Toc312678040"/>
      <w:bookmarkStart w:id="696" w:name="_Toc300935002"/>
      <w:bookmarkStart w:id="697" w:name="_Toc297123552"/>
      <w:bookmarkStart w:id="698" w:name="_Toc303539159"/>
      <w:bookmarkStart w:id="699" w:name="_Toc304295579"/>
      <w:bookmarkStart w:id="700" w:name="_Toc297216211"/>
      <w:r>
        <w:rPr>
          <w:rFonts w:hint="eastAsia" w:ascii="宋体" w:hAnsi="宋体"/>
          <w:color w:val="000000" w:themeColor="text1"/>
          <w:szCs w:val="21"/>
          <w:highlight w:val="none"/>
          <w14:textFill>
            <w14:solidFill>
              <w14:schemeClr w14:val="tx1"/>
            </w14:solidFill>
          </w14:textFill>
        </w:rPr>
        <w:t>市场价格波动是否调整合同价格的约定：</w:t>
      </w:r>
      <w:r>
        <w:rPr>
          <w:rFonts w:hint="eastAsia" w:ascii="宋体" w:hAnsi="宋体"/>
          <w:color w:val="000000" w:themeColor="text1"/>
          <w:szCs w:val="21"/>
          <w:highlight w:val="none"/>
          <w:u w:val="single"/>
          <w14:textFill>
            <w14:solidFill>
              <w14:schemeClr w14:val="tx1"/>
            </w14:solidFill>
          </w14:textFill>
        </w:rPr>
        <w:t>可调整</w:t>
      </w:r>
      <w:r>
        <w:rPr>
          <w:rFonts w:hint="eastAsia" w:ascii="宋体" w:hAnsi="宋体"/>
          <w:color w:val="000000" w:themeColor="text1"/>
          <w:szCs w:val="21"/>
          <w:highlight w:val="none"/>
          <w14:textFill>
            <w14:solidFill>
              <w14:schemeClr w14:val="tx1"/>
            </w14:solidFill>
          </w14:textFill>
        </w:rPr>
        <w:t>。</w:t>
      </w:r>
    </w:p>
    <w:p w14:paraId="52D8F1AB">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因市场价格波动调整合同价格，采用以下第</w:t>
      </w:r>
      <w:r>
        <w:rPr>
          <w:rFonts w:hint="eastAsia" w:ascii="宋体" w:hAnsi="宋体"/>
          <w:color w:val="000000" w:themeColor="text1"/>
          <w:szCs w:val="21"/>
          <w:highlight w:val="none"/>
          <w:u w:val="singl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种方式对合同价格进行调整：</w:t>
      </w:r>
    </w:p>
    <w:p w14:paraId="1972A66C">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w:t>
      </w: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种方式：采用价格指数进行价格调整。</w:t>
      </w:r>
    </w:p>
    <w:p w14:paraId="1EA42ED4">
      <w:pPr>
        <w:spacing w:line="440" w:lineRule="exact"/>
        <w:ind w:firstLine="420" w:firstLineChars="20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关于各可调因子、定值和变值权重，以及基本价格指数及其来源的约定：</w:t>
      </w:r>
      <w:r>
        <w:rPr>
          <w:rFonts w:hint="eastAsia" w:ascii="宋体" w:hAnsi="宋体"/>
          <w:color w:val="000000" w:themeColor="text1"/>
          <w:szCs w:val="21"/>
          <w:highlight w:val="none"/>
          <w:lang w:eastAsia="zh-CN"/>
          <w14:textFill>
            <w14:solidFill>
              <w14:schemeClr w14:val="tx1"/>
            </w14:solidFill>
          </w14:textFill>
        </w:rPr>
        <w:t>；</w:t>
      </w:r>
    </w:p>
    <w:p w14:paraId="4E97A7FE">
      <w:pPr>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第2种方式：根据《关于加强建筑材料价格风险控制的指导意见》（钦州市住房和城乡建设委员会2010年9月21日文件）规定采用造价信息按算术平均差价进行价格调整。</w:t>
      </w:r>
    </w:p>
    <w:p w14:paraId="6651523A">
      <w:pPr>
        <w:spacing w:line="400" w:lineRule="exact"/>
        <w:ind w:firstLine="420" w:firstLineChars="200"/>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（2）关于基准价格的约定：</w:t>
      </w:r>
      <w:r>
        <w:rPr>
          <w:rFonts w:hint="eastAsia" w:ascii="宋体" w:hAnsi="宋体"/>
          <w:color w:val="000000" w:themeColor="text1"/>
          <w:szCs w:val="21"/>
          <w:highlight w:val="none"/>
          <w:u w:val="single"/>
          <w14:textFill>
            <w14:solidFill>
              <w14:schemeClr w14:val="tx1"/>
            </w14:solidFill>
          </w14:textFill>
        </w:rPr>
        <w:t>1、采购发包的工程，材料基准价格为采购当期《钦州市建设工程造价信息》发布的材料信息价</w:t>
      </w:r>
      <w:r>
        <w:rPr>
          <w:rFonts w:hint="eastAsia" w:ascii="宋体" w:hAnsi="宋体"/>
          <w:color w:val="000000" w:themeColor="text1"/>
          <w:szCs w:val="21"/>
          <w:highlight w:val="none"/>
          <w:u w:val="single"/>
          <w:lang w:eastAsia="zh-CN"/>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采购当期《钦州市建设工程造价信息》没有发布信息价的材料，其基准价为经评审的采购控制价中的材料价格</w:t>
      </w:r>
      <w:r>
        <w:rPr>
          <w:rFonts w:hint="eastAsia" w:ascii="宋体" w:hAnsi="宋体"/>
          <w:color w:val="000000" w:themeColor="text1"/>
          <w:szCs w:val="21"/>
          <w:highlight w:val="none"/>
          <w:u w:val="single"/>
          <w:lang w:eastAsia="zh-CN"/>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2、直接发包的工程，主要材料按签订合同当期的《钦州市建设工程造价信息》发布的材料价格为基准价格。签订合同当期没有发布信息价的材料，其基准价为经评审的工程预算书中的材料价格。  </w:t>
      </w:r>
    </w:p>
    <w:p w14:paraId="2C38B88D">
      <w:pPr>
        <w:spacing w:line="400" w:lineRule="exact"/>
        <w:ind w:firstLine="420" w:firstLineChars="200"/>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合同履行期间经审核材料单价涨跌幅以基准单价为基础，超过±5%时，其超过±5 %部分据实调整（具体调整办法按钦州市住房和城乡建设委员会文件《关于加强建筑材料价格风险控制的指导意见》[2010年9月21日]的规定执行）。</w:t>
      </w:r>
    </w:p>
    <w:p w14:paraId="5837509E">
      <w:pPr>
        <w:spacing w:line="360" w:lineRule="auto"/>
        <w:ind w:firstLine="525" w:firstLineChars="25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第3种方式：其他价格调整方式：</w:t>
      </w:r>
      <w:r>
        <w:rPr>
          <w:rFonts w:hint="eastAsia" w:ascii="宋体" w:hAnsi="宋体"/>
          <w:color w:val="000000" w:themeColor="text1"/>
          <w:szCs w:val="21"/>
          <w:highlight w:val="none"/>
          <w:u w:val="single"/>
          <w14:textFill>
            <w14:solidFill>
              <w14:schemeClr w14:val="tx1"/>
            </w14:solidFill>
          </w14:textFill>
        </w:rPr>
        <w:t xml:space="preserve">  无  </w:t>
      </w:r>
      <w:r>
        <w:rPr>
          <w:rFonts w:hint="eastAsia" w:ascii="宋体" w:hAnsi="宋体"/>
          <w:color w:val="000000" w:themeColor="text1"/>
          <w:szCs w:val="21"/>
          <w:highlight w:val="none"/>
          <w14:textFill>
            <w14:solidFill>
              <w14:schemeClr w14:val="tx1"/>
            </w14:solidFill>
          </w14:textFill>
        </w:rPr>
        <w:t>。</w:t>
      </w:r>
    </w:p>
    <w:p w14:paraId="00F29E46">
      <w:pPr>
        <w:adjustRightInd w:val="0"/>
        <w:snapToGrid w:val="0"/>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11.2</w:t>
      </w:r>
      <w:r>
        <w:rPr>
          <w:rFonts w:hint="eastAsia" w:ascii="宋体" w:hAnsi="宋体"/>
          <w:color w:val="000000" w:themeColor="text1"/>
          <w:szCs w:val="21"/>
          <w:highlight w:val="none"/>
          <w:u w:val="single"/>
          <w14:textFill>
            <w14:solidFill>
              <w14:schemeClr w14:val="tx1"/>
            </w14:solidFill>
          </w14:textFill>
        </w:rPr>
        <w:t>合同履行期间，除专用合同条款第11.3 款约定的增减以外，其他条件引起的综合单价变动均不调整。</w:t>
      </w:r>
    </w:p>
    <w:p w14:paraId="7E036EE8">
      <w:pPr>
        <w:adjustRightInd w:val="0"/>
        <w:snapToGrid w:val="0"/>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11.3 综合单价调整：</w:t>
      </w:r>
    </w:p>
    <w:p w14:paraId="05AA1E45">
      <w:pPr>
        <w:spacing w:line="360" w:lineRule="auto"/>
        <w:ind w:firstLine="480"/>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（1）由于工程量清单项目漏项（指图纸有而清单无的漏项清单项目），其综合单价，依据2013年《</w:t>
      </w:r>
      <w:r>
        <w:rPr>
          <w:rFonts w:hint="eastAsia"/>
          <w:color w:val="000000" w:themeColor="text1"/>
          <w:highlight w:val="none"/>
          <w:u w:val="single"/>
          <w14:textFill>
            <w14:solidFill>
              <w14:schemeClr w14:val="tx1"/>
            </w14:solidFill>
          </w14:textFill>
        </w:rPr>
        <w:t>广西壮族自治区建筑装饰工程消耗量定额</w:t>
      </w:r>
      <w:r>
        <w:rPr>
          <w:rFonts w:hint="eastAsia" w:ascii="宋体" w:hAnsi="宋体"/>
          <w:color w:val="000000" w:themeColor="text1"/>
          <w:szCs w:val="21"/>
          <w:highlight w:val="none"/>
          <w:u w:val="single"/>
          <w14:textFill>
            <w14:solidFill>
              <w14:schemeClr w14:val="tx1"/>
            </w14:solidFill>
          </w14:textFill>
        </w:rPr>
        <w:t>》、2014版《广西壮族自治区市政工程消耗量定额》</w:t>
      </w:r>
      <w:r>
        <w:rPr>
          <w:rFonts w:hint="eastAsia"/>
          <w:color w:val="000000" w:themeColor="text1"/>
          <w:szCs w:val="21"/>
          <w:highlight w:val="none"/>
          <w:u w:val="single"/>
          <w14:textFill>
            <w14:solidFill>
              <w14:schemeClr w14:val="tx1"/>
            </w14:solidFill>
          </w14:textFill>
        </w:rPr>
        <w:t>、</w:t>
      </w:r>
      <w:r>
        <w:rPr>
          <w:color w:val="000000" w:themeColor="text1"/>
          <w:highlight w:val="none"/>
          <w:u w:val="single"/>
          <w14:textFill>
            <w14:solidFill>
              <w14:schemeClr w14:val="tx1"/>
            </w14:solidFill>
          </w14:textFill>
        </w:rPr>
        <w:t>2015</w:t>
      </w:r>
      <w:r>
        <w:rPr>
          <w:rFonts w:hint="eastAsia"/>
          <w:color w:val="000000" w:themeColor="text1"/>
          <w:highlight w:val="none"/>
          <w:u w:val="single"/>
          <w14:textFill>
            <w14:solidFill>
              <w14:schemeClr w14:val="tx1"/>
            </w14:solidFill>
          </w14:textFill>
        </w:rPr>
        <w:t>版《广西壮族自治区安装工程消耗量定额》、</w:t>
      </w:r>
      <w:r>
        <w:rPr>
          <w:rFonts w:hint="eastAsia"/>
          <w:color w:val="000000" w:themeColor="text1"/>
          <w:szCs w:val="21"/>
          <w:highlight w:val="none"/>
          <w:u w:val="single"/>
          <w14:textFill>
            <w14:solidFill>
              <w14:schemeClr w14:val="tx1"/>
            </w14:solidFill>
          </w14:textFill>
        </w:rPr>
        <w:t>2016年《广西壮族自治区建设工程费用定额》</w:t>
      </w:r>
      <w:r>
        <w:rPr>
          <w:rFonts w:hint="eastAsia" w:ascii="宋体" w:hAnsi="宋体"/>
          <w:color w:val="000000" w:themeColor="text1"/>
          <w:szCs w:val="21"/>
          <w:highlight w:val="none"/>
          <w:u w:val="single"/>
          <w14:textFill>
            <w14:solidFill>
              <w14:schemeClr w14:val="tx1"/>
            </w14:solidFill>
          </w14:textFill>
        </w:rPr>
        <w:t>及承包人的竞标材料单价（新增材料按施工期间的钦州市信息中钦州价格或经发包人、承包人、监理及有关监督部门共同认可的实际购买价）计算出综合单价后，乘以承包人的中标价与工程采购控制价比较得出的系数，确定新的综合单价。</w:t>
      </w:r>
    </w:p>
    <w:p w14:paraId="5F518DCA">
      <w:pPr>
        <w:widowControl/>
        <w:adjustRightInd w:val="0"/>
        <w:snapToGrid w:val="0"/>
        <w:spacing w:line="360" w:lineRule="auto"/>
        <w:ind w:firstLine="420" w:firstLineChars="200"/>
        <w:outlineLvl w:val="2"/>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(2) 由于设计变更或工程量清单数量有误引起的工程量增减（指原有清单项目），执行原有的综合单价。</w:t>
      </w:r>
    </w:p>
    <w:p w14:paraId="252F0561">
      <w:pPr>
        <w:keepNext/>
        <w:keepLines/>
        <w:spacing w:before="120" w:after="120" w:line="360" w:lineRule="auto"/>
        <w:ind w:firstLine="420" w:firstLineChars="200"/>
        <w:outlineLvl w:val="3"/>
        <w:rPr>
          <w:rFonts w:ascii="宋体" w:hAnsi="宋体"/>
          <w:bCs/>
          <w:color w:val="000000" w:themeColor="text1"/>
          <w:szCs w:val="28"/>
          <w:highlight w:val="none"/>
          <w:u w:val="single"/>
          <w14:textFill>
            <w14:solidFill>
              <w14:schemeClr w14:val="tx1"/>
            </w14:solidFill>
          </w14:textFill>
        </w:rPr>
      </w:pPr>
      <w:r>
        <w:rPr>
          <w:rFonts w:hint="eastAsia" w:ascii="宋体" w:hAnsi="宋体"/>
          <w:bCs/>
          <w:color w:val="000000" w:themeColor="text1"/>
          <w:szCs w:val="28"/>
          <w:highlight w:val="none"/>
          <w:u w:val="single"/>
          <w14:textFill>
            <w14:solidFill>
              <w14:schemeClr w14:val="tx1"/>
            </w14:solidFill>
          </w14:textFill>
        </w:rPr>
        <w:t>(3) 材料价格调整：按专用合同条款第11.1项的规定执行。</w:t>
      </w:r>
    </w:p>
    <w:p w14:paraId="0D28C553">
      <w:pPr>
        <w:keepNext/>
        <w:keepLines/>
        <w:spacing w:before="120" w:after="120" w:line="360" w:lineRule="auto"/>
        <w:ind w:firstLine="420" w:firstLineChars="200"/>
        <w:outlineLvl w:val="3"/>
        <w:rPr>
          <w:rFonts w:ascii="宋体" w:hAnsi="宋体"/>
          <w:bCs/>
          <w:color w:val="000000" w:themeColor="text1"/>
          <w:szCs w:val="28"/>
          <w:highlight w:val="none"/>
          <w:u w:val="single"/>
          <w14:textFill>
            <w14:solidFill>
              <w14:schemeClr w14:val="tx1"/>
            </w14:solidFill>
          </w14:textFill>
        </w:rPr>
      </w:pPr>
      <w:r>
        <w:rPr>
          <w:rFonts w:hint="eastAsia" w:ascii="宋体" w:hAnsi="宋体"/>
          <w:bCs/>
          <w:color w:val="000000" w:themeColor="text1"/>
          <w:szCs w:val="28"/>
          <w:highlight w:val="none"/>
          <w:u w:val="single"/>
          <w14:textFill>
            <w14:solidFill>
              <w14:schemeClr w14:val="tx1"/>
            </w14:solidFill>
          </w14:textFill>
        </w:rPr>
        <w:t>(4) 由于设计变更引起新的工程量清单项目，按本款第（1）项的办法，确定新的综合单价。</w:t>
      </w:r>
    </w:p>
    <w:p w14:paraId="057C90C7">
      <w:pPr>
        <w:keepNext/>
        <w:keepLines/>
        <w:spacing w:before="120" w:after="120" w:line="360" w:lineRule="auto"/>
        <w:outlineLvl w:val="3"/>
        <w:rPr>
          <w:rFonts w:ascii="宋体" w:hAnsi="宋体"/>
          <w:bCs/>
          <w:color w:val="000000" w:themeColor="text1"/>
          <w:szCs w:val="28"/>
          <w:highlight w:val="none"/>
          <w:u w:val="single"/>
          <w14:textFill>
            <w14:solidFill>
              <w14:schemeClr w14:val="tx1"/>
            </w14:solidFill>
          </w14:textFill>
        </w:rPr>
      </w:pPr>
      <w:r>
        <w:rPr>
          <w:rFonts w:hint="eastAsia" w:ascii="宋体" w:hAnsi="宋体"/>
          <w:bCs/>
          <w:color w:val="000000" w:themeColor="text1"/>
          <w:szCs w:val="28"/>
          <w:highlight w:val="none"/>
          <w:u w:val="single"/>
          <w14:textFill>
            <w14:solidFill>
              <w14:schemeClr w14:val="tx1"/>
            </w14:solidFill>
          </w14:textFill>
        </w:rPr>
        <w:t xml:space="preserve">    (5) 工程量清单中已有的项目，材料的品种（含颜色、规格等）因发包人的原因发生变更的，只调整该种材料的差价部分及相应税金（发包人采购控制价中的材料价格与经认可的实际购买价差），其他费用不变。</w:t>
      </w:r>
    </w:p>
    <w:p w14:paraId="689CFC39">
      <w:pPr>
        <w:keepNext/>
        <w:keepLines/>
        <w:spacing w:before="120" w:after="120" w:line="360" w:lineRule="auto"/>
        <w:ind w:firstLine="420" w:firstLineChars="200"/>
        <w:outlineLvl w:val="3"/>
        <w:rPr>
          <w:rFonts w:ascii="宋体" w:hAnsi="宋体"/>
          <w:bCs/>
          <w:color w:val="000000" w:themeColor="text1"/>
          <w:szCs w:val="28"/>
          <w:highlight w:val="none"/>
          <w:u w:val="single"/>
          <w14:textFill>
            <w14:solidFill>
              <w14:schemeClr w14:val="tx1"/>
            </w14:solidFill>
          </w14:textFill>
        </w:rPr>
      </w:pPr>
      <w:r>
        <w:rPr>
          <w:rFonts w:hint="eastAsia" w:ascii="宋体" w:hAnsi="宋体"/>
          <w:bCs/>
          <w:color w:val="000000" w:themeColor="text1"/>
          <w:szCs w:val="28"/>
          <w:highlight w:val="none"/>
          <w:u w:val="single"/>
          <w14:textFill>
            <w14:solidFill>
              <w14:schemeClr w14:val="tx1"/>
            </w14:solidFill>
          </w14:textFill>
        </w:rPr>
        <w:t>(6) 工程量清单中只有类似于变更工程的综合单价，可以参照类似的综合单价变更合同价款。即其他项目特征、施工方法不变，仅是设计配合化的变更，材料色彩的变更，材料出产地的变更，材料等级的变更，材料规格的变更等，只调整设计配合比及材料的差价部分及相应税金，其他费用不变。</w:t>
      </w:r>
    </w:p>
    <w:p w14:paraId="02F16A39">
      <w:pPr>
        <w:keepNext/>
        <w:keepLines/>
        <w:spacing w:before="120" w:after="120" w:line="360" w:lineRule="auto"/>
        <w:ind w:firstLine="315" w:firstLineChars="150"/>
        <w:outlineLvl w:val="3"/>
        <w:rPr>
          <w:rFonts w:ascii="宋体" w:hAnsi="宋体"/>
          <w:bCs/>
          <w:color w:val="000000" w:themeColor="text1"/>
          <w:szCs w:val="28"/>
          <w:highlight w:val="none"/>
          <w:u w:val="single"/>
          <w14:textFill>
            <w14:solidFill>
              <w14:schemeClr w14:val="tx1"/>
            </w14:solidFill>
          </w14:textFill>
        </w:rPr>
      </w:pPr>
      <w:r>
        <w:rPr>
          <w:rFonts w:hint="eastAsia" w:ascii="宋体" w:hAnsi="宋体"/>
          <w:bCs/>
          <w:color w:val="000000" w:themeColor="text1"/>
          <w:szCs w:val="28"/>
          <w:highlight w:val="none"/>
          <w:u w:val="single"/>
          <w14:textFill>
            <w14:solidFill>
              <w14:schemeClr w14:val="tx1"/>
            </w14:solidFill>
          </w14:textFill>
        </w:rPr>
        <w:t>（7）按桂建标[2015]5号、桂建标[2016]16号、桂建标[2016]17号文件规定进行调整，如专用合同条款合同履行期间计价依据有调整的，按调整文件规定执行。</w:t>
      </w:r>
    </w:p>
    <w:p w14:paraId="16ECA382">
      <w:pPr>
        <w:keepNext/>
        <w:keepLines/>
        <w:widowControl/>
        <w:spacing w:before="120" w:after="120" w:line="440" w:lineRule="exact"/>
        <w:outlineLvl w:val="3"/>
        <w:rPr>
          <w:rFonts w:ascii="宋体" w:hAnsi="宋体" w:eastAsia="黑体"/>
          <w:b/>
          <w:color w:val="000000" w:themeColor="text1"/>
          <w:kern w:val="0"/>
          <w:sz w:val="28"/>
          <w:szCs w:val="21"/>
          <w:highlight w:val="none"/>
          <w14:textFill>
            <w14:solidFill>
              <w14:schemeClr w14:val="tx1"/>
            </w14:solidFill>
          </w14:textFill>
        </w:rPr>
      </w:pPr>
      <w:r>
        <w:rPr>
          <w:rFonts w:ascii="宋体" w:hAnsi="宋体" w:eastAsia="黑体"/>
          <w:color w:val="000000" w:themeColor="text1"/>
          <w:kern w:val="0"/>
          <w:sz w:val="28"/>
          <w:szCs w:val="21"/>
          <w:highlight w:val="none"/>
          <w14:textFill>
            <w14:solidFill>
              <w14:schemeClr w14:val="tx1"/>
            </w14:solidFill>
          </w14:textFill>
        </w:rPr>
        <w:t>1</w:t>
      </w:r>
      <w:r>
        <w:rPr>
          <w:rFonts w:ascii="宋体" w:hAnsi="宋体" w:eastAsia="黑体"/>
          <w:b/>
          <w:color w:val="000000" w:themeColor="text1"/>
          <w:kern w:val="0"/>
          <w:sz w:val="28"/>
          <w:szCs w:val="21"/>
          <w:highlight w:val="none"/>
          <w14:textFill>
            <w14:solidFill>
              <w14:schemeClr w14:val="tx1"/>
            </w14:solidFill>
          </w14:textFill>
        </w:rPr>
        <w:t xml:space="preserve">2. </w:t>
      </w:r>
      <w:bookmarkEnd w:id="684"/>
      <w:bookmarkEnd w:id="685"/>
      <w:bookmarkEnd w:id="686"/>
      <w:bookmarkEnd w:id="687"/>
      <w:bookmarkEnd w:id="688"/>
      <w:bookmarkEnd w:id="689"/>
      <w:bookmarkEnd w:id="690"/>
      <w:bookmarkEnd w:id="691"/>
      <w:bookmarkEnd w:id="692"/>
      <w:bookmarkEnd w:id="693"/>
      <w:r>
        <w:rPr>
          <w:rFonts w:ascii="宋体" w:hAnsi="宋体" w:eastAsia="黑体"/>
          <w:b/>
          <w:color w:val="000000" w:themeColor="text1"/>
          <w:kern w:val="0"/>
          <w:sz w:val="28"/>
          <w:szCs w:val="21"/>
          <w:highlight w:val="none"/>
          <w14:textFill>
            <w14:solidFill>
              <w14:schemeClr w14:val="tx1"/>
            </w14:solidFill>
          </w14:textFill>
        </w:rPr>
        <w:t>合同价格、计量与支付</w:t>
      </w:r>
      <w:bookmarkEnd w:id="694"/>
    </w:p>
    <w:bookmarkEnd w:id="695"/>
    <w:bookmarkEnd w:id="696"/>
    <w:bookmarkEnd w:id="697"/>
    <w:bookmarkEnd w:id="698"/>
    <w:bookmarkEnd w:id="699"/>
    <w:bookmarkEnd w:id="700"/>
    <w:p w14:paraId="26C07981">
      <w:pPr>
        <w:spacing w:after="120" w:line="440" w:lineRule="exact"/>
        <w:ind w:firstLine="420" w:firstLineChars="200"/>
        <w:rPr>
          <w:rFonts w:ascii="宋体" w:hAnsi="宋体"/>
          <w:color w:val="000000" w:themeColor="text1"/>
          <w:szCs w:val="21"/>
          <w:highlight w:val="none"/>
          <w14:textFill>
            <w14:solidFill>
              <w14:schemeClr w14:val="tx1"/>
            </w14:solidFill>
          </w14:textFill>
        </w:rPr>
      </w:pPr>
      <w:bookmarkStart w:id="701" w:name="_Toc292559916"/>
      <w:bookmarkStart w:id="702" w:name="_Toc267251461"/>
      <w:bookmarkStart w:id="703" w:name="_Toc292559411"/>
      <w:bookmarkStart w:id="704" w:name="_Toc296891246"/>
      <w:bookmarkStart w:id="705" w:name="_Toc296944545"/>
      <w:bookmarkStart w:id="706" w:name="_Toc297048392"/>
      <w:bookmarkStart w:id="707" w:name="_Toc296891034"/>
      <w:bookmarkStart w:id="708" w:name="_Toc296503206"/>
      <w:bookmarkStart w:id="709" w:name="_Toc296346707"/>
      <w:bookmarkStart w:id="710" w:name="_Toc297120506"/>
      <w:bookmarkStart w:id="711" w:name="_Toc296347205"/>
      <w:bookmarkStart w:id="712" w:name="_Toc300935003"/>
      <w:bookmarkStart w:id="713" w:name="_Toc312678041"/>
      <w:bookmarkStart w:id="714" w:name="_Toc303539160"/>
      <w:bookmarkStart w:id="715" w:name="_Toc297123553"/>
      <w:bookmarkStart w:id="716" w:name="_Toc297216212"/>
      <w:bookmarkStart w:id="717" w:name="_Toc304295580"/>
      <w:r>
        <w:rPr>
          <w:rFonts w:ascii="宋体" w:hAnsi="宋体"/>
          <w:color w:val="000000" w:themeColor="text1"/>
          <w:szCs w:val="21"/>
          <w:highlight w:val="none"/>
          <w14:textFill>
            <w14:solidFill>
              <w14:schemeClr w14:val="tx1"/>
            </w14:solidFill>
          </w14:textFill>
        </w:rPr>
        <w:t>12.1 合</w:t>
      </w:r>
      <w:bookmarkEnd w:id="701"/>
      <w:bookmarkEnd w:id="702"/>
      <w:bookmarkEnd w:id="703"/>
      <w:r>
        <w:rPr>
          <w:rFonts w:ascii="宋体" w:hAnsi="宋体"/>
          <w:color w:val="000000" w:themeColor="text1"/>
          <w:szCs w:val="21"/>
          <w:highlight w:val="none"/>
          <w14:textFill>
            <w14:solidFill>
              <w14:schemeClr w14:val="tx1"/>
            </w14:solidFill>
          </w14:textFill>
        </w:rPr>
        <w:t>同价</w:t>
      </w:r>
      <w:bookmarkEnd w:id="704"/>
      <w:bookmarkEnd w:id="705"/>
      <w:bookmarkEnd w:id="706"/>
      <w:bookmarkEnd w:id="707"/>
      <w:bookmarkEnd w:id="708"/>
      <w:bookmarkEnd w:id="709"/>
      <w:bookmarkEnd w:id="710"/>
      <w:bookmarkEnd w:id="711"/>
      <w:r>
        <w:rPr>
          <w:rFonts w:ascii="宋体" w:hAnsi="宋体"/>
          <w:color w:val="000000" w:themeColor="text1"/>
          <w:szCs w:val="21"/>
          <w:highlight w:val="none"/>
          <w14:textFill>
            <w14:solidFill>
              <w14:schemeClr w14:val="tx1"/>
            </w14:solidFill>
          </w14:textFill>
        </w:rPr>
        <w:t>格形式</w:t>
      </w:r>
    </w:p>
    <w:bookmarkEnd w:id="712"/>
    <w:bookmarkEnd w:id="713"/>
    <w:bookmarkEnd w:id="714"/>
    <w:bookmarkEnd w:id="715"/>
    <w:bookmarkEnd w:id="716"/>
    <w:bookmarkEnd w:id="717"/>
    <w:p w14:paraId="0EB09C79">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单价合同。</w:t>
      </w:r>
    </w:p>
    <w:p w14:paraId="7D920E46">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综合单价包含的风险范围：。</w:t>
      </w:r>
    </w:p>
    <w:p w14:paraId="1AA43FB8">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风险费用的计算方法：。</w:t>
      </w:r>
    </w:p>
    <w:p w14:paraId="752C5F0A">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风险范围以外合同价格的调整方法：</w:t>
      </w:r>
    </w:p>
    <w:p w14:paraId="549D60F2">
      <w:pPr>
        <w:spacing w:line="440" w:lineRule="exact"/>
        <w:ind w:firstLine="420" w:firstLineChars="200"/>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u w:val="single"/>
          <w14:textFill>
            <w14:solidFill>
              <w14:schemeClr w14:val="tx1"/>
            </w14:solidFill>
          </w14:textFill>
        </w:rPr>
        <w:t>因设计变更引起工程项目、工程量变化的，工程量清单报价表中有相同细目的按竞标人竞标时的中标单价进行结算，工程量清单报价表中有类似细目的参考类似成交单价结算</w:t>
      </w:r>
      <w:r>
        <w:rPr>
          <w:rFonts w:hint="eastAsia" w:ascii="宋体" w:hAnsi="宋体"/>
          <w:color w:val="000000" w:themeColor="text1"/>
          <w:szCs w:val="21"/>
          <w:highlight w:val="none"/>
          <w:u w:val="single"/>
          <w:lang w:eastAsia="zh-CN"/>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新增项目有定额的套定额计算，其中材料价格有信息的按信息价，无信息的按市场价</w:t>
      </w:r>
      <w:r>
        <w:rPr>
          <w:rFonts w:hint="eastAsia" w:ascii="宋体" w:hAnsi="宋体"/>
          <w:color w:val="000000" w:themeColor="text1"/>
          <w:szCs w:val="21"/>
          <w:highlight w:val="none"/>
          <w:u w:val="single"/>
          <w:lang w:eastAsia="zh-CN"/>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新增项目无定额可套的，由发包人、承包人根据市场价格协商决定</w:t>
      </w:r>
      <w:r>
        <w:rPr>
          <w:rFonts w:hint="eastAsia" w:ascii="宋体" w:hAnsi="宋体"/>
          <w:color w:val="000000" w:themeColor="text1"/>
          <w:szCs w:val="21"/>
          <w:highlight w:val="none"/>
          <w:u w:val="single"/>
          <w:lang w:eastAsia="zh-CN"/>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新增项目的单价应经有政府审计中心审定。</w:t>
      </w:r>
    </w:p>
    <w:p w14:paraId="36227F32">
      <w:pPr>
        <w:spacing w:line="440" w:lineRule="exact"/>
        <w:ind w:firstLine="420" w:firstLineChars="200"/>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u w:val="single"/>
          <w14:textFill>
            <w14:solidFill>
              <w14:schemeClr w14:val="tx1"/>
            </w14:solidFill>
          </w14:textFill>
        </w:rPr>
        <w:t>国家和自治区政策性调整有关费用标准的，按文件规定执行。</w:t>
      </w:r>
    </w:p>
    <w:p w14:paraId="376DC4D6">
      <w:pPr>
        <w:spacing w:after="120" w:line="440" w:lineRule="exact"/>
        <w:ind w:firstLine="420" w:firstLineChars="200"/>
        <w:rPr>
          <w:rFonts w:ascii="宋体" w:hAnsi="宋体"/>
          <w:color w:val="000000" w:themeColor="text1"/>
          <w:szCs w:val="21"/>
          <w:highlight w:val="none"/>
          <w14:textFill>
            <w14:solidFill>
              <w14:schemeClr w14:val="tx1"/>
            </w14:solidFill>
          </w14:textFill>
        </w:rPr>
      </w:pPr>
      <w:bookmarkStart w:id="718" w:name="_Toc296346708"/>
      <w:bookmarkStart w:id="719" w:name="_Toc296891035"/>
      <w:bookmarkStart w:id="720" w:name="_Toc312678042"/>
      <w:bookmarkStart w:id="721" w:name="_Toc300935004"/>
      <w:bookmarkStart w:id="722" w:name="_Toc292559412"/>
      <w:bookmarkStart w:id="723" w:name="_Toc297048393"/>
      <w:bookmarkStart w:id="724" w:name="_Toc296944546"/>
      <w:bookmarkStart w:id="725" w:name="_Toc296503207"/>
      <w:bookmarkStart w:id="726" w:name="_Toc292559917"/>
      <w:bookmarkStart w:id="727" w:name="_Toc297120507"/>
      <w:bookmarkStart w:id="728" w:name="_Toc296347206"/>
      <w:bookmarkStart w:id="729" w:name="_Toc297216213"/>
      <w:bookmarkStart w:id="730" w:name="_Toc303539161"/>
      <w:bookmarkStart w:id="731" w:name="_Toc297123554"/>
      <w:bookmarkStart w:id="732" w:name="_Toc296891247"/>
      <w:bookmarkStart w:id="733" w:name="_Toc304295581"/>
      <w:r>
        <w:rPr>
          <w:rFonts w:ascii="宋体" w:hAnsi="宋体"/>
          <w:color w:val="000000" w:themeColor="text1"/>
          <w:szCs w:val="21"/>
          <w:highlight w:val="none"/>
          <w14:textFill>
            <w14:solidFill>
              <w14:schemeClr w14:val="tx1"/>
            </w14:solidFill>
          </w14:textFill>
        </w:rPr>
        <w:t>12.2 预付款</w:t>
      </w:r>
    </w:p>
    <w:bookmarkEnd w:id="579"/>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p w14:paraId="0744E6B1">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bookmarkStart w:id="734" w:name="_Toc351203646"/>
      <w:bookmarkStart w:id="735" w:name="_Toc267251472"/>
      <w:bookmarkStart w:id="736" w:name="_Toc267251470"/>
      <w:bookmarkStart w:id="737" w:name="_Toc267251471"/>
      <w:bookmarkStart w:id="738" w:name="_Toc280868709"/>
      <w:bookmarkStart w:id="739" w:name="_Toc267251474"/>
      <w:bookmarkStart w:id="740" w:name="_Toc267251475"/>
      <w:bookmarkStart w:id="741" w:name="_Toc267251473"/>
      <w:bookmarkStart w:id="742" w:name="_Toc267251476"/>
      <w:r>
        <w:rPr>
          <w:rFonts w:ascii="宋体" w:hAnsi="宋体"/>
          <w:color w:val="000000" w:themeColor="text1"/>
          <w:szCs w:val="21"/>
          <w:highlight w:val="none"/>
          <w14:textFill>
            <w14:solidFill>
              <w14:schemeClr w14:val="tx1"/>
            </w14:solidFill>
          </w14:textFill>
        </w:rPr>
        <w:t>12.2.1 预付款的支付</w:t>
      </w:r>
    </w:p>
    <w:p w14:paraId="2DCDDAAD">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预付款支付比例或金额：</w:t>
      </w:r>
      <w:r>
        <w:rPr>
          <w:rFonts w:hint="eastAsia" w:ascii="宋体" w:hAnsi="宋体"/>
          <w:color w:val="000000" w:themeColor="text1"/>
          <w:szCs w:val="21"/>
          <w:highlight w:val="none"/>
          <w:u w:val="single"/>
          <w:lang w:val="en-US" w:eastAsia="zh-CN"/>
          <w14:textFill>
            <w14:solidFill>
              <w14:schemeClr w14:val="tx1"/>
            </w14:solidFill>
          </w14:textFill>
        </w:rPr>
        <w:t>合同价的25%</w:t>
      </w:r>
      <w:r>
        <w:rPr>
          <w:rFonts w:ascii="宋体" w:hAnsi="宋体"/>
          <w:color w:val="000000" w:themeColor="text1"/>
          <w:szCs w:val="21"/>
          <w:highlight w:val="none"/>
          <w14:textFill>
            <w14:solidFill>
              <w14:schemeClr w14:val="tx1"/>
            </w14:solidFill>
          </w14:textFill>
        </w:rPr>
        <w:t>。</w:t>
      </w:r>
    </w:p>
    <w:p w14:paraId="22AB3329">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预付款支付期限：</w:t>
      </w:r>
      <w:r>
        <w:rPr>
          <w:rFonts w:hint="eastAsia"/>
          <w:color w:val="000000" w:themeColor="text1"/>
          <w:szCs w:val="21"/>
          <w:highlight w:val="none"/>
          <w:u w:val="single"/>
          <w14:textFill>
            <w14:solidFill>
              <w14:schemeClr w14:val="tx1"/>
            </w14:solidFill>
          </w14:textFill>
        </w:rPr>
        <w:t>合同签订后5个工作日内</w:t>
      </w:r>
      <w:r>
        <w:rPr>
          <w:rFonts w:ascii="宋体" w:hAnsi="宋体"/>
          <w:color w:val="000000" w:themeColor="text1"/>
          <w:szCs w:val="21"/>
          <w:highlight w:val="none"/>
          <w14:textFill>
            <w14:solidFill>
              <w14:schemeClr w14:val="tx1"/>
            </w14:solidFill>
          </w14:textFill>
        </w:rPr>
        <w:t>。</w:t>
      </w:r>
    </w:p>
    <w:p w14:paraId="13EEB054">
      <w:pPr>
        <w:spacing w:line="360" w:lineRule="auto"/>
        <w:ind w:firstLine="420" w:firstLineChars="200"/>
        <w:jc w:val="left"/>
        <w:rPr>
          <w:rFonts w:hAnsi="宋体"/>
          <w:color w:val="000000" w:themeColor="text1"/>
          <w:szCs w:val="21"/>
          <w:highlight w:val="none"/>
          <w:u w:val="single"/>
          <w14:textFill>
            <w14:solidFill>
              <w14:schemeClr w14:val="tx1"/>
            </w14:solidFill>
          </w14:textFill>
        </w:rPr>
      </w:pPr>
      <w:r>
        <w:rPr>
          <w:rFonts w:ascii="宋体" w:hAnsi="宋体"/>
          <w:color w:val="000000" w:themeColor="text1"/>
          <w:szCs w:val="21"/>
          <w:highlight w:val="none"/>
          <w14:textFill>
            <w14:solidFill>
              <w14:schemeClr w14:val="tx1"/>
            </w14:solidFill>
          </w14:textFill>
        </w:rPr>
        <w:t>预付款扣回的方式：</w:t>
      </w:r>
      <w:r>
        <w:rPr>
          <w:rFonts w:hint="eastAsia"/>
          <w:color w:val="000000" w:themeColor="text1"/>
          <w:szCs w:val="21"/>
          <w:highlight w:val="none"/>
          <w:u w:val="single"/>
          <w:lang w:val="en-US" w:eastAsia="zh-CN"/>
          <w14:textFill>
            <w14:solidFill>
              <w14:schemeClr w14:val="tx1"/>
            </w14:solidFill>
          </w14:textFill>
        </w:rPr>
        <w:t>合同签订后，在具备施工条件的前提下，按照合同总价的25%预付工程款，工程预付款在第一次申请进度款时回扣。</w:t>
      </w:r>
    </w:p>
    <w:p w14:paraId="43C3DB2B">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12.2.2 预付款担保</w:t>
      </w:r>
    </w:p>
    <w:p w14:paraId="278A2165">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承包人提交预付款担保的期限：</w:t>
      </w:r>
      <w:r>
        <w:rPr>
          <w:rFonts w:hint="eastAsia" w:ascii="宋体" w:hAnsi="宋体"/>
          <w:color w:val="000000" w:themeColor="text1"/>
          <w:szCs w:val="21"/>
          <w:highlight w:val="none"/>
          <w:u w:val="single"/>
          <w14:textFill>
            <w14:solidFill>
              <w14:schemeClr w14:val="tx1"/>
            </w14:solidFill>
          </w14:textFill>
        </w:rPr>
        <w:t>无</w:t>
      </w:r>
      <w:r>
        <w:rPr>
          <w:rFonts w:ascii="宋体" w:hAnsi="宋体"/>
          <w:color w:val="000000" w:themeColor="text1"/>
          <w:szCs w:val="21"/>
          <w:highlight w:val="none"/>
          <w14:textFill>
            <w14:solidFill>
              <w14:schemeClr w14:val="tx1"/>
            </w14:solidFill>
          </w14:textFill>
        </w:rPr>
        <w:t>。</w:t>
      </w:r>
    </w:p>
    <w:p w14:paraId="754B0537">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预付款担保的形式为：</w:t>
      </w:r>
      <w:r>
        <w:rPr>
          <w:rFonts w:hint="eastAsia" w:ascii="宋体" w:hAnsi="宋体"/>
          <w:color w:val="000000" w:themeColor="text1"/>
          <w:szCs w:val="21"/>
          <w:highlight w:val="none"/>
          <w:u w:val="single"/>
          <w14:textFill>
            <w14:solidFill>
              <w14:schemeClr w14:val="tx1"/>
            </w14:solidFill>
          </w14:textFill>
        </w:rPr>
        <w:t>无</w:t>
      </w:r>
      <w:r>
        <w:rPr>
          <w:rFonts w:ascii="宋体" w:hAnsi="宋体"/>
          <w:color w:val="000000" w:themeColor="text1"/>
          <w:szCs w:val="21"/>
          <w:highlight w:val="none"/>
          <w14:textFill>
            <w14:solidFill>
              <w14:schemeClr w14:val="tx1"/>
            </w14:solidFill>
          </w14:textFill>
        </w:rPr>
        <w:t>。</w:t>
      </w:r>
    </w:p>
    <w:p w14:paraId="177CA81C">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12.3 计量</w:t>
      </w:r>
    </w:p>
    <w:p w14:paraId="475F9405">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12.3.1 计量原则</w:t>
      </w:r>
    </w:p>
    <w:p w14:paraId="40A36B5D">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工程量计算规则：</w:t>
      </w:r>
      <w:r>
        <w:rPr>
          <w:b/>
          <w:color w:val="000000" w:themeColor="text1"/>
          <w:szCs w:val="21"/>
          <w:highlight w:val="none"/>
          <w:u w:val="single"/>
          <w14:textFill>
            <w14:solidFill>
              <w14:schemeClr w14:val="tx1"/>
            </w14:solidFill>
          </w14:textFill>
        </w:rPr>
        <w:t>工程的计量均以国家标准《建设工程工程量</w:t>
      </w:r>
      <w:r>
        <w:rPr>
          <w:rFonts w:hint="eastAsia"/>
          <w:b/>
          <w:color w:val="000000" w:themeColor="text1"/>
          <w:szCs w:val="21"/>
          <w:highlight w:val="none"/>
          <w:u w:val="single"/>
          <w14:textFill>
            <w14:solidFill>
              <w14:schemeClr w14:val="tx1"/>
            </w14:solidFill>
          </w14:textFill>
        </w:rPr>
        <w:t>计算</w:t>
      </w:r>
      <w:r>
        <w:rPr>
          <w:b/>
          <w:color w:val="000000" w:themeColor="text1"/>
          <w:szCs w:val="21"/>
          <w:highlight w:val="none"/>
          <w:u w:val="single"/>
          <w14:textFill>
            <w14:solidFill>
              <w14:schemeClr w14:val="tx1"/>
            </w14:solidFill>
          </w14:textFill>
        </w:rPr>
        <w:t>规范》（GB50</w:t>
      </w:r>
      <w:r>
        <w:rPr>
          <w:rFonts w:hint="eastAsia"/>
          <w:b/>
          <w:color w:val="000000" w:themeColor="text1"/>
          <w:szCs w:val="21"/>
          <w:highlight w:val="none"/>
          <w:u w:val="single"/>
          <w14:textFill>
            <w14:solidFill>
              <w14:schemeClr w14:val="tx1"/>
            </w14:solidFill>
          </w14:textFill>
        </w:rPr>
        <w:t>854～50862</w:t>
      </w:r>
      <w:r>
        <w:rPr>
          <w:b/>
          <w:color w:val="000000" w:themeColor="text1"/>
          <w:szCs w:val="21"/>
          <w:highlight w:val="none"/>
          <w:u w:val="single"/>
          <w14:textFill>
            <w14:solidFill>
              <w14:schemeClr w14:val="tx1"/>
            </w14:solidFill>
          </w14:textFill>
        </w:rPr>
        <w:t>－20</w:t>
      </w:r>
      <w:r>
        <w:rPr>
          <w:rFonts w:hint="eastAsia"/>
          <w:b/>
          <w:color w:val="000000" w:themeColor="text1"/>
          <w:szCs w:val="21"/>
          <w:highlight w:val="none"/>
          <w:u w:val="single"/>
          <w14:textFill>
            <w14:solidFill>
              <w14:schemeClr w14:val="tx1"/>
            </w14:solidFill>
          </w14:textFill>
        </w:rPr>
        <w:t>13</w:t>
      </w:r>
      <w:r>
        <w:rPr>
          <w:b/>
          <w:color w:val="000000" w:themeColor="text1"/>
          <w:szCs w:val="21"/>
          <w:highlight w:val="none"/>
          <w:u w:val="single"/>
          <w14:textFill>
            <w14:solidFill>
              <w14:schemeClr w14:val="tx1"/>
            </w14:solidFill>
          </w14:textFill>
        </w:rPr>
        <w:t>）和</w:t>
      </w:r>
      <w:r>
        <w:rPr>
          <w:rFonts w:hint="eastAsia"/>
          <w:b/>
          <w:color w:val="000000" w:themeColor="text1"/>
          <w:szCs w:val="21"/>
          <w:highlight w:val="none"/>
          <w:u w:val="single"/>
          <w14:textFill>
            <w14:solidFill>
              <w14:schemeClr w14:val="tx1"/>
            </w14:solidFill>
          </w14:textFill>
        </w:rPr>
        <w:t>《建设工程工程量计算规范（GB50854～50862-2013）广西壮族自治区实施细则》</w:t>
      </w:r>
      <w:r>
        <w:rPr>
          <w:b/>
          <w:color w:val="000000" w:themeColor="text1"/>
          <w:szCs w:val="21"/>
          <w:highlight w:val="none"/>
          <w:u w:val="single"/>
          <w14:textFill>
            <w14:solidFill>
              <w14:schemeClr w14:val="tx1"/>
            </w14:solidFill>
          </w14:textFill>
        </w:rPr>
        <w:t>计算的净值为准，如有不明之处，应以监理工程师或造价管理部门指定的计量方法为准</w:t>
      </w:r>
      <w:r>
        <w:rPr>
          <w:rFonts w:ascii="宋体" w:hAnsi="宋体"/>
          <w:color w:val="000000" w:themeColor="text1"/>
          <w:szCs w:val="21"/>
          <w:highlight w:val="none"/>
          <w14:textFill>
            <w14:solidFill>
              <w14:schemeClr w14:val="tx1"/>
            </w14:solidFill>
          </w14:textFill>
        </w:rPr>
        <w:t>。</w:t>
      </w:r>
    </w:p>
    <w:p w14:paraId="0F991DDA">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12.3.2 计量周期</w:t>
      </w:r>
    </w:p>
    <w:p w14:paraId="052B732F">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关于计量周期的约定：</w:t>
      </w:r>
      <w:r>
        <w:rPr>
          <w:rFonts w:hint="eastAsia" w:ascii="宋体" w:hAnsi="宋体"/>
          <w:b/>
          <w:color w:val="000000" w:themeColor="text1"/>
          <w:szCs w:val="21"/>
          <w:highlight w:val="none"/>
          <w:u w:val="single"/>
          <w14:textFill>
            <w14:solidFill>
              <w14:schemeClr w14:val="tx1"/>
            </w14:solidFill>
          </w14:textFill>
        </w:rPr>
        <w:t>按实际完成工程量计量</w:t>
      </w:r>
      <w:r>
        <w:rPr>
          <w:rFonts w:ascii="宋体" w:hAnsi="宋体"/>
          <w:color w:val="000000" w:themeColor="text1"/>
          <w:szCs w:val="21"/>
          <w:highlight w:val="none"/>
          <w14:textFill>
            <w14:solidFill>
              <w14:schemeClr w14:val="tx1"/>
            </w14:solidFill>
          </w14:textFill>
        </w:rPr>
        <w:t>。</w:t>
      </w:r>
    </w:p>
    <w:p w14:paraId="6764D9DA">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12.3.3 单价合同的计量</w:t>
      </w:r>
    </w:p>
    <w:p w14:paraId="35AE5FE6">
      <w:pPr>
        <w:spacing w:line="440" w:lineRule="exact"/>
        <w:ind w:firstLine="420" w:firstLineChars="200"/>
        <w:jc w:val="left"/>
        <w:rPr>
          <w:rFonts w:ascii="宋体" w:hAnsi="宋体"/>
          <w:color w:val="000000" w:themeColor="text1"/>
          <w:szCs w:val="21"/>
          <w:highlight w:val="none"/>
          <w:u w:val="single"/>
          <w14:textFill>
            <w14:solidFill>
              <w14:schemeClr w14:val="tx1"/>
            </w14:solidFill>
          </w14:textFill>
        </w:rPr>
      </w:pPr>
      <w:r>
        <w:rPr>
          <w:rFonts w:ascii="宋体" w:hAnsi="宋体"/>
          <w:color w:val="000000" w:themeColor="text1"/>
          <w:szCs w:val="21"/>
          <w:highlight w:val="none"/>
          <w14:textFill>
            <w14:solidFill>
              <w14:schemeClr w14:val="tx1"/>
            </w14:solidFill>
          </w14:textFill>
        </w:rPr>
        <w:t>关于单价合同计量的约定：</w:t>
      </w:r>
      <w:r>
        <w:rPr>
          <w:rFonts w:hint="eastAsia" w:ascii="宋体" w:hAnsi="宋体"/>
          <w:b/>
          <w:color w:val="000000" w:themeColor="text1"/>
          <w:szCs w:val="21"/>
          <w:highlight w:val="none"/>
          <w:u w:val="single"/>
          <w14:textFill>
            <w14:solidFill>
              <w14:schemeClr w14:val="tx1"/>
            </w14:solidFill>
          </w14:textFill>
        </w:rPr>
        <w:t xml:space="preserve">(1) </w:t>
      </w:r>
      <w:r>
        <w:rPr>
          <w:rFonts w:ascii="宋体" w:hAnsi="宋体"/>
          <w:b/>
          <w:color w:val="000000" w:themeColor="text1"/>
          <w:szCs w:val="21"/>
          <w:highlight w:val="none"/>
          <w:u w:val="single"/>
          <w14:textFill>
            <w14:solidFill>
              <w14:schemeClr w14:val="tx1"/>
            </w14:solidFill>
          </w14:textFill>
        </w:rPr>
        <w:t>工程量清单所列的工程量，不能作为承包人按合同履行其责任依据，实际施工中发生的工程量增加或减少并不影响承包人履行合同的责任，工程结算以完成的实际工程量为准。</w:t>
      </w:r>
      <w:r>
        <w:rPr>
          <w:rFonts w:hint="eastAsia" w:ascii="宋体" w:hAnsi="宋体"/>
          <w:b/>
          <w:color w:val="000000" w:themeColor="text1"/>
          <w:szCs w:val="21"/>
          <w:highlight w:val="none"/>
          <w:u w:val="single"/>
          <w14:textFill>
            <w14:solidFill>
              <w14:schemeClr w14:val="tx1"/>
            </w14:solidFill>
          </w14:textFill>
        </w:rPr>
        <w:t>(2)</w:t>
      </w:r>
      <w:r>
        <w:rPr>
          <w:rFonts w:ascii="宋体" w:hAnsi="宋体"/>
          <w:b/>
          <w:color w:val="000000" w:themeColor="text1"/>
          <w:szCs w:val="21"/>
          <w:highlight w:val="none"/>
          <w:u w:val="single"/>
          <w14:textFill>
            <w14:solidFill>
              <w14:schemeClr w14:val="tx1"/>
            </w14:solidFill>
          </w14:textFill>
        </w:rPr>
        <w:t xml:space="preserve"> 除另有规定外，工程师应按照合同通过计量来核实确定已完成的工程量和价值，承包人应得到该价值扣除保留金后的价款。当工程师要对已完工的工程量进行计量时，应适时地通知承包人参加。</w:t>
      </w:r>
    </w:p>
    <w:p w14:paraId="55CFB712">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12.3.4 总价合同的计量</w:t>
      </w:r>
    </w:p>
    <w:p w14:paraId="0E8BC5EA">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关于总价合同计量的约定：。</w:t>
      </w:r>
    </w:p>
    <w:p w14:paraId="41674A3E">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12.3.5总价合同采用支付分解表计量支付的，是否适用第</w:t>
      </w:r>
      <w:r>
        <w:rPr>
          <w:rFonts w:ascii="宋体" w:hAnsi="宋体"/>
          <w:color w:val="000000" w:themeColor="text1"/>
          <w:kern w:val="0"/>
          <w:szCs w:val="21"/>
          <w:highlight w:val="none"/>
          <w14:textFill>
            <w14:solidFill>
              <w14:schemeClr w14:val="tx1"/>
            </w14:solidFill>
          </w14:textFill>
        </w:rPr>
        <w:t xml:space="preserve">12.3.4 </w:t>
      </w:r>
      <w:r>
        <w:rPr>
          <w:rFonts w:ascii="宋体" w:hAnsi="宋体"/>
          <w:color w:val="000000" w:themeColor="text1"/>
          <w:szCs w:val="21"/>
          <w:highlight w:val="none"/>
          <w14:textFill>
            <w14:solidFill>
              <w14:schemeClr w14:val="tx1"/>
            </w14:solidFill>
          </w14:textFill>
        </w:rPr>
        <w:t>项</w:t>
      </w:r>
      <w:r>
        <w:rPr>
          <w:rFonts w:hint="eastAsia" w:ascii="宋体" w:hAnsi="宋体"/>
          <w:color w:val="000000" w:themeColor="text1"/>
          <w:kern w:val="0"/>
          <w:szCs w:val="21"/>
          <w:highlight w:val="none"/>
          <w14:textFill>
            <w14:solidFill>
              <w14:schemeClr w14:val="tx1"/>
            </w14:solidFill>
          </w14:textFill>
        </w:rPr>
        <w:t>〔</w:t>
      </w:r>
      <w:r>
        <w:rPr>
          <w:rFonts w:ascii="宋体" w:hAnsi="宋体"/>
          <w:color w:val="000000" w:themeColor="text1"/>
          <w:kern w:val="0"/>
          <w:szCs w:val="21"/>
          <w:highlight w:val="none"/>
          <w14:textFill>
            <w14:solidFill>
              <w14:schemeClr w14:val="tx1"/>
            </w14:solidFill>
          </w14:textFill>
        </w:rPr>
        <w:t>总价合同的计量</w:t>
      </w:r>
      <w:r>
        <w:rPr>
          <w:rFonts w:hint="eastAsia" w:ascii="宋体" w:hAnsi="宋体"/>
          <w:color w:val="000000" w:themeColor="text1"/>
          <w:kern w:val="0"/>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约定</w:t>
      </w:r>
      <w:r>
        <w:rPr>
          <w:rFonts w:hint="eastAsia" w:ascii="宋体" w:hAnsi="宋体"/>
          <w:color w:val="000000" w:themeColor="text1"/>
          <w:szCs w:val="21"/>
          <w:highlight w:val="none"/>
          <w14:textFill>
            <w14:solidFill>
              <w14:schemeClr w14:val="tx1"/>
            </w14:solidFill>
          </w14:textFill>
        </w:rPr>
        <w:t>进行计量：</w:t>
      </w:r>
      <w:r>
        <w:rPr>
          <w:rFonts w:ascii="宋体" w:hAnsi="宋体"/>
          <w:color w:val="000000" w:themeColor="text1"/>
          <w:szCs w:val="21"/>
          <w:highlight w:val="none"/>
          <w14:textFill>
            <w14:solidFill>
              <w14:schemeClr w14:val="tx1"/>
            </w14:solidFill>
          </w14:textFill>
        </w:rPr>
        <w:t>。</w:t>
      </w:r>
    </w:p>
    <w:p w14:paraId="207DFF51">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12.3.6 其他价格形式合同的计量</w:t>
      </w:r>
    </w:p>
    <w:p w14:paraId="13DC4735">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其他价格形式的计量方式和程序：。</w:t>
      </w:r>
    </w:p>
    <w:p w14:paraId="53BDF667">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12.4 工程进度款支付</w:t>
      </w:r>
    </w:p>
    <w:p w14:paraId="16C7C1FF">
      <w:pPr>
        <w:spacing w:line="360" w:lineRule="auto"/>
        <w:ind w:firstLine="420" w:firstLineChars="200"/>
        <w:jc w:val="left"/>
        <w:rPr>
          <w:rFonts w:hint="eastAsia" w:hAnsi="宋体"/>
          <w:bCs/>
          <w:color w:val="000000" w:themeColor="text1"/>
          <w:szCs w:val="21"/>
          <w:highlight w:val="none"/>
          <w:u w:val="single"/>
          <w14:textFill>
            <w14:solidFill>
              <w14:schemeClr w14:val="tx1"/>
            </w14:solidFill>
          </w14:textFill>
        </w:rPr>
      </w:pPr>
      <w:bookmarkStart w:id="743" w:name="_Toc296891039"/>
      <w:bookmarkStart w:id="744" w:name="_Toc296347210"/>
      <w:bookmarkStart w:id="745" w:name="_Toc300935006"/>
      <w:bookmarkStart w:id="746" w:name="_Toc297048397"/>
      <w:bookmarkStart w:id="747" w:name="_Toc297123556"/>
      <w:bookmarkStart w:id="748" w:name="_Toc297120511"/>
      <w:bookmarkStart w:id="749" w:name="_Toc303539163"/>
      <w:bookmarkStart w:id="750" w:name="_Toc296346712"/>
      <w:bookmarkStart w:id="751" w:name="_Toc296891251"/>
      <w:bookmarkStart w:id="752" w:name="_Toc292559921"/>
      <w:bookmarkStart w:id="753" w:name="_Toc297216215"/>
      <w:bookmarkStart w:id="754" w:name="_Toc296503211"/>
      <w:bookmarkStart w:id="755" w:name="_Toc296944550"/>
      <w:bookmarkStart w:id="756" w:name="_Toc292559416"/>
      <w:r>
        <w:rPr>
          <w:rFonts w:ascii="宋体" w:hAnsi="宋体"/>
          <w:color w:val="000000" w:themeColor="text1"/>
          <w:szCs w:val="21"/>
          <w:highlight w:val="none"/>
          <w14:textFill>
            <w14:solidFill>
              <w14:schemeClr w14:val="tx1"/>
            </w14:solidFill>
          </w14:textFill>
        </w:rPr>
        <w:t>12.4.1</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r>
        <w:rPr>
          <w:rFonts w:hint="eastAsia" w:ascii="宋体" w:hAnsi="宋体"/>
          <w:b/>
          <w:color w:val="000000" w:themeColor="text1"/>
          <w:szCs w:val="21"/>
          <w:highlight w:val="none"/>
          <w14:textFill>
            <w14:solidFill>
              <w14:schemeClr w14:val="tx1"/>
            </w14:solidFill>
          </w14:textFill>
        </w:rPr>
        <w:t>双方约定工程款的支付方式和时间</w:t>
      </w:r>
      <w:r>
        <w:rPr>
          <w:rFonts w:hint="eastAsia" w:ascii="宋体" w:hAnsi="宋体"/>
          <w:color w:val="000000" w:themeColor="text1"/>
          <w:szCs w:val="21"/>
          <w:highlight w:val="none"/>
          <w14:textFill>
            <w14:solidFill>
              <w14:schemeClr w14:val="tx1"/>
            </w14:solidFill>
          </w14:textFill>
        </w:rPr>
        <w:t>：</w:t>
      </w:r>
      <w:bookmarkStart w:id="757" w:name="_Toc351203645"/>
      <w:bookmarkStart w:id="758" w:name="_Toc303539172"/>
      <w:bookmarkStart w:id="759" w:name="_Toc292559424"/>
      <w:bookmarkStart w:id="760" w:name="_Toc297123564"/>
      <w:bookmarkStart w:id="761" w:name="_Toc296503219"/>
      <w:bookmarkStart w:id="762" w:name="_Toc297048405"/>
      <w:bookmarkStart w:id="763" w:name="_Toc300935015"/>
      <w:bookmarkStart w:id="764" w:name="_Toc292559929"/>
      <w:bookmarkStart w:id="765" w:name="_Toc297120519"/>
      <w:bookmarkStart w:id="766" w:name="_Toc296346720"/>
      <w:bookmarkStart w:id="767" w:name="_Toc296891259"/>
      <w:bookmarkStart w:id="768" w:name="_Toc297216223"/>
      <w:bookmarkStart w:id="769" w:name="_Toc296944558"/>
      <w:bookmarkStart w:id="770" w:name="_Toc304295593"/>
      <w:bookmarkStart w:id="771" w:name="_Toc296891047"/>
      <w:bookmarkStart w:id="772" w:name="_Toc296347218"/>
      <w:bookmarkStart w:id="773" w:name="_Toc312678053"/>
      <w:r>
        <w:rPr>
          <w:rFonts w:hint="eastAsia" w:hAnsi="宋体"/>
          <w:bCs/>
          <w:color w:val="000000" w:themeColor="text1"/>
          <w:szCs w:val="21"/>
          <w:highlight w:val="none"/>
          <w:u w:val="single"/>
          <w14:textFill>
            <w14:solidFill>
              <w14:schemeClr w14:val="tx1"/>
            </w14:solidFill>
          </w14:textFill>
        </w:rPr>
        <w:t>工程进度款原则上按月支付，合同内进度款支付为已完成工程量的80%，工程竣工验收合格后，工程进度款支付最高限额为合同总价的80%；结算经审计后并有完整的验收备案资料，工程款支付至审定结算总价的97% (含已支付的)；发包人按工程审定结算总价的3%预留工程质量保修金，待工程缺陷责任期满后返还(无息)。</w:t>
      </w:r>
    </w:p>
    <w:p w14:paraId="340E2439">
      <w:pPr>
        <w:spacing w:line="440" w:lineRule="exact"/>
        <w:ind w:firstLine="422" w:firstLineChars="200"/>
        <w:jc w:val="left"/>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13.验收和工程试车</w:t>
      </w:r>
      <w:bookmarkEnd w:id="757"/>
    </w:p>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p w14:paraId="6CC8C9BC">
      <w:pPr>
        <w:spacing w:after="120" w:line="40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13.1 分部分项工程验收</w:t>
      </w:r>
    </w:p>
    <w:p w14:paraId="1B2D117A">
      <w:pPr>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13.1.2监理人不能按时进行验收时，应提前小时提交书面延期要求。</w:t>
      </w:r>
    </w:p>
    <w:p w14:paraId="58CBC622">
      <w:pPr>
        <w:spacing w:line="400" w:lineRule="exact"/>
        <w:ind w:firstLine="420" w:firstLineChars="200"/>
        <w:jc w:val="left"/>
        <w:rPr>
          <w:rFonts w:ascii="宋体" w:hAnsi="宋体"/>
          <w:b/>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关于延期最长不得超过：小时。</w:t>
      </w:r>
    </w:p>
    <w:p w14:paraId="29864919">
      <w:pPr>
        <w:spacing w:after="120" w:line="400" w:lineRule="exact"/>
        <w:ind w:firstLine="420" w:firstLineChars="200"/>
        <w:rPr>
          <w:rFonts w:ascii="宋体" w:hAnsi="宋体"/>
          <w:color w:val="000000" w:themeColor="text1"/>
          <w:szCs w:val="21"/>
          <w:highlight w:val="none"/>
          <w14:textFill>
            <w14:solidFill>
              <w14:schemeClr w14:val="tx1"/>
            </w14:solidFill>
          </w14:textFill>
        </w:rPr>
      </w:pPr>
      <w:bookmarkStart w:id="774" w:name="_Toc296891051"/>
      <w:bookmarkStart w:id="775" w:name="_Toc292559933"/>
      <w:bookmarkStart w:id="776" w:name="_Toc297216224"/>
      <w:bookmarkStart w:id="777" w:name="_Toc297048409"/>
      <w:bookmarkStart w:id="778" w:name="_Toc296503223"/>
      <w:bookmarkStart w:id="779" w:name="_Toc296944562"/>
      <w:bookmarkStart w:id="780" w:name="_Toc300935016"/>
      <w:bookmarkStart w:id="781" w:name="_Toc297120523"/>
      <w:bookmarkStart w:id="782" w:name="_Toc292559428"/>
      <w:bookmarkStart w:id="783" w:name="_Toc312678056"/>
      <w:bookmarkStart w:id="784" w:name="_Toc296891263"/>
      <w:bookmarkStart w:id="785" w:name="_Toc304295596"/>
      <w:bookmarkStart w:id="786" w:name="_Toc296346724"/>
      <w:bookmarkStart w:id="787" w:name="_Toc303539173"/>
      <w:bookmarkStart w:id="788" w:name="_Toc296347222"/>
      <w:bookmarkStart w:id="789" w:name="_Toc297123565"/>
      <w:r>
        <w:rPr>
          <w:rFonts w:ascii="宋体" w:hAnsi="宋体"/>
          <w:color w:val="000000" w:themeColor="text1"/>
          <w:szCs w:val="21"/>
          <w:highlight w:val="none"/>
          <w14:textFill>
            <w14:solidFill>
              <w14:schemeClr w14:val="tx1"/>
            </w14:solidFill>
          </w14:textFill>
        </w:rPr>
        <w:t>13.2 竣工验收</w:t>
      </w:r>
    </w:p>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p w14:paraId="3C765445">
      <w:pPr>
        <w:spacing w:line="400" w:lineRule="exact"/>
        <w:ind w:firstLine="420" w:firstLineChars="200"/>
        <w:jc w:val="left"/>
        <w:rPr>
          <w:rFonts w:ascii="宋体" w:hAnsi="宋体"/>
          <w:color w:val="000000" w:themeColor="text1"/>
          <w:szCs w:val="21"/>
          <w:highlight w:val="none"/>
          <w14:textFill>
            <w14:solidFill>
              <w14:schemeClr w14:val="tx1"/>
            </w14:solidFill>
          </w14:textFill>
        </w:rPr>
      </w:pPr>
      <w:bookmarkStart w:id="790" w:name="_Toc280868704"/>
      <w:bookmarkStart w:id="791" w:name="_Toc280868705"/>
      <w:bookmarkStart w:id="792" w:name="_Toc280868706"/>
      <w:bookmarkStart w:id="793" w:name="_Toc280868707"/>
      <w:bookmarkStart w:id="794" w:name="_Toc280868708"/>
      <w:r>
        <w:rPr>
          <w:rFonts w:ascii="宋体" w:hAnsi="宋体"/>
          <w:color w:val="000000" w:themeColor="text1"/>
          <w:szCs w:val="21"/>
          <w:highlight w:val="none"/>
          <w14:textFill>
            <w14:solidFill>
              <w14:schemeClr w14:val="tx1"/>
            </w14:solidFill>
          </w14:textFill>
        </w:rPr>
        <w:t>13.2.</w:t>
      </w: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竣工验收程序</w:t>
      </w:r>
    </w:p>
    <w:bookmarkEnd w:id="790"/>
    <w:p w14:paraId="7E7EBB76">
      <w:pPr>
        <w:spacing w:line="400" w:lineRule="exact"/>
        <w:ind w:left="4376" w:leftChars="284" w:hanging="3780" w:hangingChars="18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关于竣工验收程序的约定：</w:t>
      </w:r>
      <w:r>
        <w:rPr>
          <w:rFonts w:hint="eastAsia" w:ascii="宋体" w:hAnsi="宋体"/>
          <w:color w:val="000000" w:themeColor="text1"/>
          <w:kern w:val="0"/>
          <w:szCs w:val="21"/>
          <w:highlight w:val="none"/>
          <w:u w:val="single"/>
          <w14:textFill>
            <w14:solidFill>
              <w14:schemeClr w14:val="tx1"/>
            </w14:solidFill>
          </w14:textFill>
        </w:rPr>
        <w:t>按《通用合同条款》执行</w:t>
      </w:r>
      <w:r>
        <w:rPr>
          <w:rFonts w:ascii="宋体" w:hAnsi="宋体"/>
          <w:color w:val="000000" w:themeColor="text1"/>
          <w:szCs w:val="21"/>
          <w:highlight w:val="none"/>
          <w14:textFill>
            <w14:solidFill>
              <w14:schemeClr w14:val="tx1"/>
            </w14:solidFill>
          </w14:textFill>
        </w:rPr>
        <w:t>。</w:t>
      </w:r>
    </w:p>
    <w:p w14:paraId="69B2C5BC">
      <w:pPr>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发包人不按照本项约定组织竣工验收、颁发工程接收证书的违约金的计算方法：</w:t>
      </w:r>
      <w:r>
        <w:rPr>
          <w:rFonts w:ascii="宋体" w:hAnsi="宋体"/>
          <w:color w:val="000000" w:themeColor="text1"/>
          <w:szCs w:val="21"/>
          <w:highlight w:val="none"/>
          <w14:textFill>
            <w14:solidFill>
              <w14:schemeClr w14:val="tx1"/>
            </w14:solidFill>
          </w14:textFill>
        </w:rPr>
        <w:t>。</w:t>
      </w:r>
    </w:p>
    <w:bookmarkEnd w:id="791"/>
    <w:p w14:paraId="071BA47E">
      <w:pPr>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13.2.</w:t>
      </w: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移交、接收全部与部分工程</w:t>
      </w:r>
    </w:p>
    <w:bookmarkEnd w:id="792"/>
    <w:p w14:paraId="05F85522">
      <w:pPr>
        <w:spacing w:line="400" w:lineRule="exact"/>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承包人向发包人移交工程的期限：</w:t>
      </w:r>
      <w:r>
        <w:rPr>
          <w:rFonts w:hint="eastAsia" w:ascii="宋体" w:hAnsi="宋体"/>
          <w:color w:val="000000" w:themeColor="text1"/>
          <w:kern w:val="0"/>
          <w:szCs w:val="21"/>
          <w:highlight w:val="none"/>
          <w:u w:val="single"/>
          <w14:textFill>
            <w14:solidFill>
              <w14:schemeClr w14:val="tx1"/>
            </w14:solidFill>
          </w14:textFill>
        </w:rPr>
        <w:t>按《通用合同条款》执行</w:t>
      </w:r>
      <w:r>
        <w:rPr>
          <w:rFonts w:hint="eastAsia" w:ascii="宋体" w:hAnsi="宋体"/>
          <w:color w:val="000000" w:themeColor="text1"/>
          <w:szCs w:val="21"/>
          <w:highlight w:val="none"/>
          <w14:textFill>
            <w14:solidFill>
              <w14:schemeClr w14:val="tx1"/>
            </w14:solidFill>
          </w14:textFill>
        </w:rPr>
        <w:t>。</w:t>
      </w:r>
    </w:p>
    <w:p w14:paraId="3E6A6D3B">
      <w:pPr>
        <w:spacing w:line="360" w:lineRule="auto"/>
        <w:ind w:firstLine="420" w:firstLineChars="200"/>
        <w:jc w:val="left"/>
        <w:rPr>
          <w:color w:val="000000" w:themeColor="text1"/>
          <w:szCs w:val="21"/>
          <w:highlight w:val="none"/>
          <w:u w:val="singl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发包人未按本合同约定接收全部或部分工程的，违约金的计算方法为：</w:t>
      </w:r>
      <w:r>
        <w:rPr>
          <w:rFonts w:hint="eastAsia"/>
          <w:color w:val="000000" w:themeColor="text1"/>
          <w:szCs w:val="21"/>
          <w:highlight w:val="none"/>
          <w:u w:val="single"/>
          <w14:textFill>
            <w14:solidFill>
              <w14:schemeClr w14:val="tx1"/>
            </w14:solidFill>
          </w14:textFill>
        </w:rPr>
        <w:t>承担承包人</w:t>
      </w:r>
      <w:r>
        <w:rPr>
          <w:color w:val="000000" w:themeColor="text1"/>
          <w:szCs w:val="21"/>
          <w:highlight w:val="none"/>
          <w:u w:val="single"/>
          <w14:textFill>
            <w14:solidFill>
              <w14:schemeClr w14:val="tx1"/>
            </w14:solidFill>
          </w14:textFill>
        </w:rPr>
        <w:t>未能</w:t>
      </w:r>
      <w:r>
        <w:rPr>
          <w:rFonts w:hint="eastAsia"/>
          <w:color w:val="000000" w:themeColor="text1"/>
          <w:szCs w:val="21"/>
          <w:highlight w:val="none"/>
          <w:u w:val="single"/>
          <w14:textFill>
            <w14:solidFill>
              <w14:schemeClr w14:val="tx1"/>
            </w14:solidFill>
          </w14:textFill>
        </w:rPr>
        <w:t>按约定</w:t>
      </w:r>
      <w:r>
        <w:rPr>
          <w:color w:val="000000" w:themeColor="text1"/>
          <w:szCs w:val="21"/>
          <w:highlight w:val="none"/>
          <w:u w:val="single"/>
          <w14:textFill>
            <w14:solidFill>
              <w14:schemeClr w14:val="tx1"/>
            </w14:solidFill>
          </w14:textFill>
        </w:rPr>
        <w:t>退场造成</w:t>
      </w:r>
      <w:r>
        <w:rPr>
          <w:rFonts w:hint="eastAsia"/>
          <w:color w:val="000000" w:themeColor="text1"/>
          <w:szCs w:val="21"/>
          <w:highlight w:val="none"/>
          <w:u w:val="single"/>
          <w14:textFill>
            <w14:solidFill>
              <w14:schemeClr w14:val="tx1"/>
            </w14:solidFill>
          </w14:textFill>
        </w:rPr>
        <w:t>的</w:t>
      </w:r>
      <w:r>
        <w:rPr>
          <w:color w:val="000000" w:themeColor="text1"/>
          <w:szCs w:val="21"/>
          <w:highlight w:val="none"/>
          <w:u w:val="single"/>
          <w14:textFill>
            <w14:solidFill>
              <w14:schemeClr w14:val="tx1"/>
            </w14:solidFill>
          </w14:textFill>
        </w:rPr>
        <w:t xml:space="preserve">全部损失  </w:t>
      </w:r>
      <w:r>
        <w:rPr>
          <w:rFonts w:ascii="宋体" w:hAnsi="宋体"/>
          <w:color w:val="000000" w:themeColor="text1"/>
          <w:szCs w:val="21"/>
          <w:highlight w:val="none"/>
          <w14:textFill>
            <w14:solidFill>
              <w14:schemeClr w14:val="tx1"/>
            </w14:solidFill>
          </w14:textFill>
        </w:rPr>
        <w:t>。</w:t>
      </w:r>
    </w:p>
    <w:bookmarkEnd w:id="793"/>
    <w:p w14:paraId="0BD29AA0">
      <w:pPr>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承包人未按时移交工程的，违约金的计算方法为：</w:t>
      </w:r>
      <w:r>
        <w:rPr>
          <w:rFonts w:hint="eastAsia" w:ascii="宋体" w:hAnsi="宋体"/>
          <w:color w:val="000000" w:themeColor="text1"/>
          <w:szCs w:val="21"/>
          <w:highlight w:val="none"/>
          <w:u w:val="single"/>
          <w14:textFill>
            <w14:solidFill>
              <w14:schemeClr w14:val="tx1"/>
            </w14:solidFill>
          </w14:textFill>
        </w:rPr>
        <w:t>承担发包人不能按接收期投入使用所造成全部的损失。</w:t>
      </w:r>
    </w:p>
    <w:p w14:paraId="2F906E68">
      <w:pPr>
        <w:spacing w:after="120" w:line="40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13.3 工程试车</w:t>
      </w:r>
    </w:p>
    <w:bookmarkEnd w:id="794"/>
    <w:p w14:paraId="1F18F5F5">
      <w:pPr>
        <w:spacing w:line="400" w:lineRule="exact"/>
        <w:ind w:firstLine="420" w:firstLineChars="200"/>
        <w:jc w:val="lef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13.3.1 试车程序</w:t>
      </w:r>
    </w:p>
    <w:p w14:paraId="095CB2BA">
      <w:pPr>
        <w:spacing w:line="400" w:lineRule="exact"/>
        <w:ind w:firstLine="420" w:firstLineChars="200"/>
        <w:jc w:val="lef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工程试车内容：</w:t>
      </w:r>
      <w:r>
        <w:rPr>
          <w:rFonts w:hint="eastAsia" w:ascii="宋体" w:hAnsi="宋体"/>
          <w:color w:val="000000" w:themeColor="text1"/>
          <w:szCs w:val="21"/>
          <w:highlight w:val="none"/>
          <w:u w:val="single"/>
          <w14:textFill>
            <w14:solidFill>
              <w14:schemeClr w14:val="tx1"/>
            </w14:solidFill>
          </w14:textFill>
        </w:rPr>
        <w:t>按《通用合同条款》执行</w:t>
      </w:r>
      <w:r>
        <w:rPr>
          <w:rFonts w:ascii="宋体" w:hAnsi="宋体"/>
          <w:color w:val="000000" w:themeColor="text1"/>
          <w:szCs w:val="21"/>
          <w:highlight w:val="none"/>
          <w14:textFill>
            <w14:solidFill>
              <w14:schemeClr w14:val="tx1"/>
            </w14:solidFill>
          </w14:textFill>
        </w:rPr>
        <w:t>。</w:t>
      </w:r>
    </w:p>
    <w:p w14:paraId="2B1B3462">
      <w:pPr>
        <w:spacing w:line="400" w:lineRule="exact"/>
        <w:ind w:firstLine="420" w:firstLineChars="200"/>
        <w:jc w:val="left"/>
        <w:rPr>
          <w:rFonts w:hint="eastAsia" w:ascii="宋体" w:hAnsi="宋体" w:eastAsia="宋体"/>
          <w:color w:val="000000" w:themeColor="text1"/>
          <w:kern w:val="0"/>
          <w:szCs w:val="21"/>
          <w:highlight w:val="none"/>
          <w:lang w:eastAsia="zh-CN"/>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（1）单机无负荷试车费用由</w:t>
      </w:r>
      <w:r>
        <w:rPr>
          <w:rFonts w:hint="eastAsia"/>
          <w:color w:val="000000" w:themeColor="text1"/>
          <w:szCs w:val="21"/>
          <w:highlight w:val="none"/>
          <w:u w:val="single"/>
          <w14:textFill>
            <w14:solidFill>
              <w14:schemeClr w14:val="tx1"/>
            </w14:solidFill>
          </w14:textFill>
        </w:rPr>
        <w:t>承包人</w:t>
      </w:r>
      <w:r>
        <w:rPr>
          <w:rFonts w:ascii="宋体" w:hAnsi="宋体"/>
          <w:color w:val="000000" w:themeColor="text1"/>
          <w:kern w:val="0"/>
          <w:szCs w:val="21"/>
          <w:highlight w:val="none"/>
          <w14:textFill>
            <w14:solidFill>
              <w14:schemeClr w14:val="tx1"/>
            </w14:solidFill>
          </w14:textFill>
        </w:rPr>
        <w:t>承担</w:t>
      </w:r>
      <w:r>
        <w:rPr>
          <w:rFonts w:hint="eastAsia" w:ascii="宋体" w:hAnsi="宋体"/>
          <w:color w:val="000000" w:themeColor="text1"/>
          <w:kern w:val="0"/>
          <w:szCs w:val="21"/>
          <w:highlight w:val="none"/>
          <w:lang w:eastAsia="zh-CN"/>
          <w14:textFill>
            <w14:solidFill>
              <w14:schemeClr w14:val="tx1"/>
            </w14:solidFill>
          </w14:textFill>
        </w:rPr>
        <w:t>；</w:t>
      </w:r>
    </w:p>
    <w:p w14:paraId="66914F5A">
      <w:pPr>
        <w:spacing w:line="400" w:lineRule="exact"/>
        <w:ind w:firstLine="420" w:firstLineChars="200"/>
        <w:jc w:val="lef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（2）无负荷联动试车费用由</w:t>
      </w:r>
      <w:r>
        <w:rPr>
          <w:rFonts w:hint="eastAsia"/>
          <w:color w:val="000000" w:themeColor="text1"/>
          <w:szCs w:val="21"/>
          <w:highlight w:val="none"/>
          <w:u w:val="single"/>
          <w14:textFill>
            <w14:solidFill>
              <w14:schemeClr w14:val="tx1"/>
            </w14:solidFill>
          </w14:textFill>
        </w:rPr>
        <w:t>承包人</w:t>
      </w:r>
      <w:r>
        <w:rPr>
          <w:rFonts w:ascii="宋体" w:hAnsi="宋体"/>
          <w:color w:val="000000" w:themeColor="text1"/>
          <w:kern w:val="0"/>
          <w:szCs w:val="21"/>
          <w:highlight w:val="none"/>
          <w14:textFill>
            <w14:solidFill>
              <w14:schemeClr w14:val="tx1"/>
            </w14:solidFill>
          </w14:textFill>
        </w:rPr>
        <w:t>承担。</w:t>
      </w:r>
    </w:p>
    <w:p w14:paraId="6918C298">
      <w:pPr>
        <w:spacing w:line="400" w:lineRule="exact"/>
        <w:ind w:firstLine="420" w:firstLineChars="200"/>
        <w:jc w:val="lef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13.3.</w:t>
      </w:r>
      <w:r>
        <w:rPr>
          <w:rFonts w:hint="eastAsia" w:ascii="宋体" w:hAnsi="宋体"/>
          <w:color w:val="000000" w:themeColor="text1"/>
          <w:kern w:val="0"/>
          <w:szCs w:val="21"/>
          <w:highlight w:val="none"/>
          <w14:textFill>
            <w14:solidFill>
              <w14:schemeClr w14:val="tx1"/>
            </w14:solidFill>
          </w14:textFill>
        </w:rPr>
        <w:t>3</w:t>
      </w:r>
      <w:r>
        <w:rPr>
          <w:rFonts w:ascii="宋体" w:hAnsi="宋体"/>
          <w:color w:val="000000" w:themeColor="text1"/>
          <w:kern w:val="0"/>
          <w:szCs w:val="21"/>
          <w:highlight w:val="none"/>
          <w14:textFill>
            <w14:solidFill>
              <w14:schemeClr w14:val="tx1"/>
            </w14:solidFill>
          </w14:textFill>
        </w:rPr>
        <w:t xml:space="preserve"> 投料试车</w:t>
      </w:r>
    </w:p>
    <w:p w14:paraId="490AE103">
      <w:pPr>
        <w:spacing w:line="400" w:lineRule="exact"/>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关于投料试车相关事项的约定：</w:t>
      </w:r>
      <w:r>
        <w:rPr>
          <w:rFonts w:ascii="宋体" w:hAnsi="宋体"/>
          <w:color w:val="000000" w:themeColor="text1"/>
          <w:szCs w:val="21"/>
          <w:highlight w:val="none"/>
          <w14:textFill>
            <w14:solidFill>
              <w14:schemeClr w14:val="tx1"/>
            </w14:solidFill>
          </w14:textFill>
        </w:rPr>
        <w:t>。</w:t>
      </w:r>
    </w:p>
    <w:p w14:paraId="38537B44">
      <w:pPr>
        <w:spacing w:after="120" w:line="40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13.</w:t>
      </w:r>
      <w:r>
        <w:rPr>
          <w:rFonts w:hint="eastAsia" w:ascii="宋体" w:hAnsi="宋体"/>
          <w:color w:val="000000" w:themeColor="text1"/>
          <w:szCs w:val="21"/>
          <w:highlight w:val="none"/>
          <w14:textFill>
            <w14:solidFill>
              <w14:schemeClr w14:val="tx1"/>
            </w14:solidFill>
          </w14:textFill>
        </w:rPr>
        <w:t>4</w:t>
      </w:r>
      <w:r>
        <w:rPr>
          <w:rFonts w:ascii="宋体" w:hAnsi="宋体"/>
          <w:color w:val="000000" w:themeColor="text1"/>
          <w:szCs w:val="21"/>
          <w:highlight w:val="none"/>
          <w14:textFill>
            <w14:solidFill>
              <w14:schemeClr w14:val="tx1"/>
            </w14:solidFill>
          </w14:textFill>
        </w:rPr>
        <w:t xml:space="preserve"> 竣工退场</w:t>
      </w:r>
    </w:p>
    <w:p w14:paraId="0F12BD63">
      <w:pPr>
        <w:spacing w:line="400" w:lineRule="exact"/>
        <w:ind w:firstLine="420" w:firstLineChars="200"/>
        <w:jc w:val="lef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13.</w:t>
      </w:r>
      <w:r>
        <w:rPr>
          <w:rFonts w:hint="eastAsia" w:ascii="宋体" w:hAnsi="宋体"/>
          <w:color w:val="000000" w:themeColor="text1"/>
          <w:kern w:val="0"/>
          <w:szCs w:val="21"/>
          <w:highlight w:val="none"/>
          <w14:textFill>
            <w14:solidFill>
              <w14:schemeClr w14:val="tx1"/>
            </w14:solidFill>
          </w14:textFill>
        </w:rPr>
        <w:t>4</w:t>
      </w:r>
      <w:r>
        <w:rPr>
          <w:rFonts w:ascii="宋体" w:hAnsi="宋体"/>
          <w:color w:val="000000" w:themeColor="text1"/>
          <w:kern w:val="0"/>
          <w:szCs w:val="21"/>
          <w:highlight w:val="none"/>
          <w14:textFill>
            <w14:solidFill>
              <w14:schemeClr w14:val="tx1"/>
            </w14:solidFill>
          </w14:textFill>
        </w:rPr>
        <w:t>.1 竣工退场</w:t>
      </w:r>
    </w:p>
    <w:p w14:paraId="59E34B4C">
      <w:pPr>
        <w:spacing w:line="400" w:lineRule="exact"/>
        <w:ind w:firstLine="420" w:firstLineChars="200"/>
        <w:jc w:val="lef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承包人完成竣工退场的期限：</w:t>
      </w:r>
      <w:r>
        <w:rPr>
          <w:rFonts w:hint="eastAsia" w:ascii="宋体" w:hAnsi="宋体"/>
          <w:color w:val="000000" w:themeColor="text1"/>
          <w:szCs w:val="21"/>
          <w:highlight w:val="none"/>
          <w:u w:val="single"/>
          <w14:textFill>
            <w14:solidFill>
              <w14:schemeClr w14:val="tx1"/>
            </w14:solidFill>
          </w14:textFill>
        </w:rPr>
        <w:t xml:space="preserve"> 20天  </w:t>
      </w:r>
      <w:r>
        <w:rPr>
          <w:rFonts w:ascii="宋体" w:hAnsi="宋体"/>
          <w:color w:val="000000" w:themeColor="text1"/>
          <w:kern w:val="0"/>
          <w:szCs w:val="21"/>
          <w:highlight w:val="none"/>
          <w14:textFill>
            <w14:solidFill>
              <w14:schemeClr w14:val="tx1"/>
            </w14:solidFill>
          </w14:textFill>
        </w:rPr>
        <w:t>。</w:t>
      </w:r>
    </w:p>
    <w:p w14:paraId="2884350D">
      <w:pPr>
        <w:keepNext/>
        <w:keepLines/>
        <w:widowControl/>
        <w:spacing w:before="120" w:after="120" w:line="400" w:lineRule="exact"/>
        <w:outlineLvl w:val="3"/>
        <w:rPr>
          <w:rFonts w:ascii="宋体" w:hAnsi="宋体" w:eastAsia="黑体"/>
          <w:b/>
          <w:color w:val="000000" w:themeColor="text1"/>
          <w:kern w:val="0"/>
          <w:sz w:val="28"/>
          <w:szCs w:val="21"/>
          <w:highlight w:val="none"/>
          <w14:textFill>
            <w14:solidFill>
              <w14:schemeClr w14:val="tx1"/>
            </w14:solidFill>
          </w14:textFill>
        </w:rPr>
      </w:pPr>
      <w:r>
        <w:rPr>
          <w:rFonts w:ascii="宋体" w:hAnsi="宋体" w:eastAsia="黑体"/>
          <w:b/>
          <w:color w:val="000000" w:themeColor="text1"/>
          <w:kern w:val="0"/>
          <w:sz w:val="28"/>
          <w:szCs w:val="21"/>
          <w:highlight w:val="none"/>
          <w14:textFill>
            <w14:solidFill>
              <w14:schemeClr w14:val="tx1"/>
            </w14:solidFill>
          </w14:textFill>
        </w:rPr>
        <w:t>14. 竣工结算</w:t>
      </w:r>
      <w:bookmarkEnd w:id="734"/>
    </w:p>
    <w:p w14:paraId="16CD669A">
      <w:pPr>
        <w:spacing w:after="120" w:line="40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14.1 竣工付款申请</w:t>
      </w:r>
    </w:p>
    <w:p w14:paraId="20C597D1">
      <w:pPr>
        <w:spacing w:after="120" w:line="40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承包人提交竣工付款申请单的期限：</w:t>
      </w:r>
      <w:r>
        <w:rPr>
          <w:rFonts w:hint="eastAsia" w:ascii="宋体" w:hAnsi="宋体"/>
          <w:color w:val="000000" w:themeColor="text1"/>
          <w:szCs w:val="21"/>
          <w:highlight w:val="none"/>
          <w:u w:val="single"/>
          <w14:textFill>
            <w14:solidFill>
              <w14:schemeClr w14:val="tx1"/>
            </w14:solidFill>
          </w14:textFill>
        </w:rPr>
        <w:t>承包人应在工程竣工验收后28天内向监理人提交一式伍份的资料完整的竣工结算申请单，并提供相关证明材料。承包人未在约定的时间内提供完整的工程竣工结算资料，经发包人书面催促后28天内仍未提交，则发包人有权将已有资料送给造价咨询审核结算部门审核，由此产生的责任由承包人自负</w:t>
      </w:r>
      <w:r>
        <w:rPr>
          <w:rFonts w:hint="eastAsia" w:ascii="宋体" w:hAnsi="宋体"/>
          <w:color w:val="000000" w:themeColor="text1"/>
          <w:szCs w:val="21"/>
          <w:highlight w:val="none"/>
          <w:u w:val="single"/>
          <w:lang w:eastAsia="zh-CN"/>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除此之外，承包人还应就延迟提交工程竣工结算资料向发包人支付违约金。</w:t>
      </w:r>
    </w:p>
    <w:p w14:paraId="535EFCF5">
      <w:pPr>
        <w:spacing w:after="120" w:line="40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竣工付款申请单应包括的内容：</w:t>
      </w:r>
      <w:r>
        <w:rPr>
          <w:rFonts w:hint="eastAsia" w:ascii="宋体" w:hAnsi="宋体"/>
          <w:color w:val="000000" w:themeColor="text1"/>
          <w:szCs w:val="21"/>
          <w:highlight w:val="none"/>
          <w:u w:val="single"/>
          <w14:textFill>
            <w14:solidFill>
              <w14:schemeClr w14:val="tx1"/>
            </w14:solidFill>
          </w14:textFill>
        </w:rPr>
        <w:t>竣工结算合同价格、发包人已支付承包人的工程价款、应扣留的质量保证金、应支付的竣工付款金额</w:t>
      </w:r>
      <w:r>
        <w:rPr>
          <w:rFonts w:ascii="宋体" w:hAnsi="宋体"/>
          <w:color w:val="000000" w:themeColor="text1"/>
          <w:szCs w:val="21"/>
          <w:highlight w:val="none"/>
          <w14:textFill>
            <w14:solidFill>
              <w14:schemeClr w14:val="tx1"/>
            </w14:solidFill>
          </w14:textFill>
        </w:rPr>
        <w:t xml:space="preserve"> 。</w:t>
      </w:r>
    </w:p>
    <w:p w14:paraId="083F96D1">
      <w:pPr>
        <w:spacing w:after="120" w:line="40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14.2 竣工结算审核</w:t>
      </w:r>
    </w:p>
    <w:p w14:paraId="5896DC70">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发包人</w:t>
      </w:r>
      <w:r>
        <w:rPr>
          <w:rFonts w:hint="eastAsia" w:ascii="宋体" w:hAnsi="宋体"/>
          <w:color w:val="000000" w:themeColor="text1"/>
          <w:szCs w:val="21"/>
          <w:highlight w:val="none"/>
          <w14:textFill>
            <w14:solidFill>
              <w14:schemeClr w14:val="tx1"/>
            </w14:solidFill>
          </w14:textFill>
        </w:rPr>
        <w:t>审批</w:t>
      </w:r>
      <w:r>
        <w:rPr>
          <w:rFonts w:ascii="宋体" w:hAnsi="宋体"/>
          <w:color w:val="000000" w:themeColor="text1"/>
          <w:szCs w:val="21"/>
          <w:highlight w:val="none"/>
          <w14:textFill>
            <w14:solidFill>
              <w14:schemeClr w14:val="tx1"/>
            </w14:solidFill>
          </w14:textFill>
        </w:rPr>
        <w:t>竣工付款申请单的期限：</w:t>
      </w:r>
      <w:r>
        <w:rPr>
          <w:rFonts w:hint="eastAsia" w:ascii="宋体" w:hAnsi="宋体"/>
          <w:color w:val="000000" w:themeColor="text1"/>
          <w:szCs w:val="21"/>
          <w:highlight w:val="none"/>
          <w:u w:val="single"/>
          <w14:textFill>
            <w14:solidFill>
              <w14:schemeClr w14:val="tx1"/>
            </w14:solidFill>
          </w14:textFill>
        </w:rPr>
        <w:t>承包人应在工程竣工验收后28天内向监理人提交一式伍份的资料完整的竣工结算申请单，并提供相关证明材料。承包人未在约定的时间内提供完整的工程竣工结算资料，经发包人书面催促后28天内仍未提交，则发包人有权将已有资料送审计部门或第三方有资质的审计机构出具审核报告后，由此产生的责任由承包人自负</w:t>
      </w:r>
      <w:r>
        <w:rPr>
          <w:rFonts w:hint="eastAsia" w:ascii="宋体" w:hAnsi="宋体"/>
          <w:color w:val="000000" w:themeColor="text1"/>
          <w:szCs w:val="21"/>
          <w:highlight w:val="none"/>
          <w:u w:val="single"/>
          <w:lang w:eastAsia="zh-CN"/>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除此之外，承包人还应就延迟提交工程竣工结算资料向发包人支付违约金。</w:t>
      </w:r>
    </w:p>
    <w:p w14:paraId="6BEE4CE7">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发包人完成竣工付款的期限：</w:t>
      </w:r>
      <w:r>
        <w:rPr>
          <w:rFonts w:ascii="宋体" w:hAnsi="宋体" w:cs="楷体_GB2312"/>
          <w:color w:val="000000" w:themeColor="text1"/>
          <w:szCs w:val="21"/>
          <w:highlight w:val="none"/>
          <w:u w:val="single"/>
          <w14:textFill>
            <w14:solidFill>
              <w14:schemeClr w14:val="tx1"/>
            </w14:solidFill>
          </w14:textFill>
        </w:rPr>
        <w:t>56</w:t>
      </w:r>
      <w:r>
        <w:rPr>
          <w:rFonts w:hint="eastAsia" w:ascii="宋体" w:hAnsi="宋体" w:cs="楷体_GB2312"/>
          <w:color w:val="000000" w:themeColor="text1"/>
          <w:szCs w:val="21"/>
          <w:highlight w:val="none"/>
          <w:u w:val="single"/>
          <w14:textFill>
            <w14:solidFill>
              <w14:schemeClr w14:val="tx1"/>
            </w14:solidFill>
          </w14:textFill>
        </w:rPr>
        <w:t>天（超过</w:t>
      </w:r>
      <w:r>
        <w:rPr>
          <w:rFonts w:ascii="宋体" w:hAnsi="宋体" w:cs="楷体_GB2312"/>
          <w:color w:val="000000" w:themeColor="text1"/>
          <w:szCs w:val="21"/>
          <w:highlight w:val="none"/>
          <w:u w:val="single"/>
          <w14:textFill>
            <w14:solidFill>
              <w14:schemeClr w14:val="tx1"/>
            </w14:solidFill>
          </w14:textFill>
        </w:rPr>
        <w:t>56天</w:t>
      </w:r>
      <w:r>
        <w:rPr>
          <w:rFonts w:hint="eastAsia" w:ascii="宋体" w:hAnsi="宋体" w:cs="楷体_GB2312"/>
          <w:color w:val="000000" w:themeColor="text1"/>
          <w:szCs w:val="21"/>
          <w:highlight w:val="none"/>
          <w:u w:val="single"/>
          <w14:textFill>
            <w14:solidFill>
              <w14:schemeClr w14:val="tx1"/>
            </w14:solidFill>
          </w14:textFill>
        </w:rPr>
        <w:t>以上按中国人民银行同期贷款基准利率计算）</w:t>
      </w:r>
      <w:r>
        <w:rPr>
          <w:rFonts w:hint="eastAsia" w:hAnsi="宋体"/>
          <w:color w:val="000000" w:themeColor="text1"/>
          <w:szCs w:val="21"/>
          <w:highlight w:val="none"/>
          <w14:textFill>
            <w14:solidFill>
              <w14:schemeClr w14:val="tx1"/>
            </w14:solidFill>
          </w14:textFill>
        </w:rPr>
        <w:t>。</w:t>
      </w:r>
    </w:p>
    <w:p w14:paraId="2DF4F979">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关于竣工付款证书异议部分复核的方式和程序：</w:t>
      </w:r>
      <w:r>
        <w:rPr>
          <w:rFonts w:hint="eastAsia" w:ascii="宋体" w:hAnsi="宋体"/>
          <w:color w:val="000000" w:themeColor="text1"/>
          <w:szCs w:val="21"/>
          <w:highlight w:val="none"/>
          <w:u w:val="single"/>
          <w14:textFill>
            <w14:solidFill>
              <w14:schemeClr w14:val="tx1"/>
            </w14:solidFill>
          </w14:textFill>
        </w:rPr>
        <w:t>按《通用合同条款》</w:t>
      </w:r>
      <w:r>
        <w:rPr>
          <w:rFonts w:ascii="宋体" w:hAnsi="宋体"/>
          <w:color w:val="000000" w:themeColor="text1"/>
          <w:szCs w:val="21"/>
          <w:highlight w:val="none"/>
          <w14:textFill>
            <w14:solidFill>
              <w14:schemeClr w14:val="tx1"/>
            </w14:solidFill>
          </w14:textFill>
        </w:rPr>
        <w:t>。</w:t>
      </w:r>
    </w:p>
    <w:p w14:paraId="121F135A">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14.</w:t>
      </w:r>
      <w:r>
        <w:rPr>
          <w:rFonts w:hint="eastAsia" w:ascii="宋体" w:hAnsi="宋体"/>
          <w:color w:val="000000" w:themeColor="text1"/>
          <w:szCs w:val="21"/>
          <w:highlight w:val="none"/>
          <w14:textFill>
            <w14:solidFill>
              <w14:schemeClr w14:val="tx1"/>
            </w14:solidFill>
          </w14:textFill>
        </w:rPr>
        <w:t>3</w:t>
      </w:r>
      <w:r>
        <w:rPr>
          <w:rFonts w:ascii="宋体" w:hAnsi="宋体"/>
          <w:color w:val="000000" w:themeColor="text1"/>
          <w:szCs w:val="21"/>
          <w:highlight w:val="none"/>
          <w14:textFill>
            <w14:solidFill>
              <w14:schemeClr w14:val="tx1"/>
            </w14:solidFill>
          </w14:textFill>
        </w:rPr>
        <w:t xml:space="preserve"> 最终结清</w:t>
      </w:r>
    </w:p>
    <w:p w14:paraId="6192CC2D">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14.</w:t>
      </w:r>
      <w:r>
        <w:rPr>
          <w:rFonts w:hint="eastAsia" w:ascii="宋体" w:hAnsi="宋体"/>
          <w:color w:val="000000" w:themeColor="text1"/>
          <w:szCs w:val="21"/>
          <w:highlight w:val="none"/>
          <w14:textFill>
            <w14:solidFill>
              <w14:schemeClr w14:val="tx1"/>
            </w14:solidFill>
          </w14:textFill>
        </w:rPr>
        <w:t>3</w:t>
      </w:r>
      <w:r>
        <w:rPr>
          <w:rFonts w:ascii="宋体" w:hAnsi="宋体"/>
          <w:color w:val="000000" w:themeColor="text1"/>
          <w:szCs w:val="21"/>
          <w:highlight w:val="none"/>
          <w14:textFill>
            <w14:solidFill>
              <w14:schemeClr w14:val="tx1"/>
            </w14:solidFill>
          </w14:textFill>
        </w:rPr>
        <w:t>.1 最终结清申请单</w:t>
      </w:r>
    </w:p>
    <w:p w14:paraId="12B6D567">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承包人提交最终结清申请单的份数：</w:t>
      </w:r>
      <w:r>
        <w:rPr>
          <w:rFonts w:hint="eastAsia" w:ascii="宋体" w:hAnsi="宋体"/>
          <w:color w:val="000000" w:themeColor="text1"/>
          <w:szCs w:val="21"/>
          <w:highlight w:val="none"/>
          <w:u w:val="single"/>
          <w14:textFill>
            <w14:solidFill>
              <w14:schemeClr w14:val="tx1"/>
            </w14:solidFill>
          </w14:textFill>
        </w:rPr>
        <w:t>提交最终结清申请书一式五份</w:t>
      </w:r>
      <w:r>
        <w:rPr>
          <w:rFonts w:ascii="宋体" w:hAnsi="宋体"/>
          <w:color w:val="000000" w:themeColor="text1"/>
          <w:szCs w:val="21"/>
          <w:highlight w:val="none"/>
          <w14:textFill>
            <w14:solidFill>
              <w14:schemeClr w14:val="tx1"/>
            </w14:solidFill>
          </w14:textFill>
        </w:rPr>
        <w:t>。</w:t>
      </w:r>
    </w:p>
    <w:p w14:paraId="663B087C">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承包人提交最终结算申请单的期限：</w:t>
      </w:r>
      <w:r>
        <w:rPr>
          <w:rFonts w:hint="eastAsia" w:ascii="宋体" w:hAnsi="宋体"/>
          <w:color w:val="000000" w:themeColor="text1"/>
          <w:szCs w:val="21"/>
          <w:highlight w:val="none"/>
          <w:u w:val="single"/>
          <w14:textFill>
            <w14:solidFill>
              <w14:schemeClr w14:val="tx1"/>
            </w14:solidFill>
          </w14:textFill>
        </w:rPr>
        <w:t>缺陷责任期终止证书签发后56天</w:t>
      </w:r>
      <w:r>
        <w:rPr>
          <w:rFonts w:ascii="宋体" w:hAnsi="宋体"/>
          <w:color w:val="000000" w:themeColor="text1"/>
          <w:szCs w:val="21"/>
          <w:highlight w:val="none"/>
          <w:u w:val="single"/>
          <w14:textFill>
            <w14:solidFill>
              <w14:schemeClr w14:val="tx1"/>
            </w14:solidFill>
          </w14:textFill>
        </w:rPr>
        <w:t>内</w:t>
      </w:r>
      <w:r>
        <w:rPr>
          <w:rFonts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 xml:space="preserve">。 </w:t>
      </w:r>
    </w:p>
    <w:p w14:paraId="251CE8B8">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14.</w:t>
      </w:r>
      <w:r>
        <w:rPr>
          <w:rFonts w:hint="eastAsia" w:ascii="宋体" w:hAnsi="宋体"/>
          <w:color w:val="000000" w:themeColor="text1"/>
          <w:szCs w:val="21"/>
          <w:highlight w:val="none"/>
          <w14:textFill>
            <w14:solidFill>
              <w14:schemeClr w14:val="tx1"/>
            </w14:solidFill>
          </w14:textFill>
        </w:rPr>
        <w:t>3</w:t>
      </w:r>
      <w:r>
        <w:rPr>
          <w:rFonts w:ascii="宋体" w:hAnsi="宋体"/>
          <w:color w:val="000000" w:themeColor="text1"/>
          <w:szCs w:val="21"/>
          <w:highlight w:val="none"/>
          <w14:textFill>
            <w14:solidFill>
              <w14:schemeClr w14:val="tx1"/>
            </w14:solidFill>
          </w14:textFill>
        </w:rPr>
        <w:t>.2 最终结清证书和支付</w:t>
      </w:r>
    </w:p>
    <w:p w14:paraId="3078C2D4">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（1）发包人完成最终结清申请单的</w:t>
      </w:r>
      <w:r>
        <w:rPr>
          <w:rFonts w:hint="eastAsia" w:ascii="宋体" w:hAnsi="宋体"/>
          <w:color w:val="000000" w:themeColor="text1"/>
          <w:szCs w:val="21"/>
          <w:highlight w:val="none"/>
          <w14:textFill>
            <w14:solidFill>
              <w14:schemeClr w14:val="tx1"/>
            </w14:solidFill>
          </w14:textFill>
        </w:rPr>
        <w:t>审批</w:t>
      </w:r>
      <w:r>
        <w:rPr>
          <w:rFonts w:ascii="宋体" w:hAnsi="宋体"/>
          <w:color w:val="000000" w:themeColor="text1"/>
          <w:szCs w:val="21"/>
          <w:highlight w:val="none"/>
          <w14:textFill>
            <w14:solidFill>
              <w14:schemeClr w14:val="tx1"/>
            </w14:solidFill>
          </w14:textFill>
        </w:rPr>
        <w:t>并颁发最终结清证书的期限：</w:t>
      </w:r>
      <w:r>
        <w:rPr>
          <w:color w:val="000000" w:themeColor="text1"/>
          <w:szCs w:val="21"/>
          <w:highlight w:val="none"/>
          <w:u w:val="single"/>
          <w14:textFill>
            <w14:solidFill>
              <w14:schemeClr w14:val="tx1"/>
            </w14:solidFill>
          </w14:textFill>
        </w:rPr>
        <w:t>28</w:t>
      </w:r>
      <w:r>
        <w:rPr>
          <w:rFonts w:hint="eastAsia"/>
          <w:color w:val="000000" w:themeColor="text1"/>
          <w:szCs w:val="21"/>
          <w:highlight w:val="none"/>
          <w:u w:val="single"/>
          <w14:textFill>
            <w14:solidFill>
              <w14:schemeClr w14:val="tx1"/>
            </w14:solidFill>
          </w14:textFill>
        </w:rPr>
        <w:t>天</w:t>
      </w:r>
      <w:r>
        <w:rPr>
          <w:rFonts w:ascii="宋体" w:hAnsi="宋体"/>
          <w:color w:val="000000" w:themeColor="text1"/>
          <w:szCs w:val="21"/>
          <w:highlight w:val="none"/>
          <w14:textFill>
            <w14:solidFill>
              <w14:schemeClr w14:val="tx1"/>
            </w14:solidFill>
          </w14:textFill>
        </w:rPr>
        <w:t xml:space="preserve"> 。</w:t>
      </w:r>
    </w:p>
    <w:p w14:paraId="770F162C">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（2）发包人完成支付的期限：</w:t>
      </w:r>
      <w:r>
        <w:rPr>
          <w:color w:val="000000" w:themeColor="text1"/>
          <w:szCs w:val="21"/>
          <w:highlight w:val="none"/>
          <w:u w:val="single"/>
          <w14:textFill>
            <w14:solidFill>
              <w14:schemeClr w14:val="tx1"/>
            </w14:solidFill>
          </w14:textFill>
        </w:rPr>
        <w:t>28</w:t>
      </w:r>
      <w:r>
        <w:rPr>
          <w:rFonts w:hint="eastAsia"/>
          <w:color w:val="000000" w:themeColor="text1"/>
          <w:szCs w:val="21"/>
          <w:highlight w:val="none"/>
          <w:u w:val="single"/>
          <w14:textFill>
            <w14:solidFill>
              <w14:schemeClr w14:val="tx1"/>
            </w14:solidFill>
          </w14:textFill>
        </w:rPr>
        <w:t>天</w:t>
      </w:r>
      <w:r>
        <w:rPr>
          <w:rFonts w:hint="eastAsia" w:hAnsi="宋体"/>
          <w:color w:val="000000" w:themeColor="text1"/>
          <w:szCs w:val="21"/>
          <w:highlight w:val="none"/>
          <w14:textFill>
            <w14:solidFill>
              <w14:schemeClr w14:val="tx1"/>
            </w14:solidFill>
          </w14:textFill>
        </w:rPr>
        <w:t>。</w:t>
      </w:r>
    </w:p>
    <w:bookmarkEnd w:id="735"/>
    <w:bookmarkEnd w:id="736"/>
    <w:bookmarkEnd w:id="737"/>
    <w:bookmarkEnd w:id="738"/>
    <w:bookmarkEnd w:id="739"/>
    <w:bookmarkEnd w:id="740"/>
    <w:bookmarkEnd w:id="741"/>
    <w:bookmarkEnd w:id="742"/>
    <w:p w14:paraId="2C89E297">
      <w:pPr>
        <w:keepNext/>
        <w:keepLines/>
        <w:widowControl/>
        <w:spacing w:before="120" w:after="120" w:line="440" w:lineRule="exact"/>
        <w:outlineLvl w:val="3"/>
        <w:rPr>
          <w:rFonts w:ascii="宋体" w:hAnsi="宋体" w:eastAsia="黑体"/>
          <w:b/>
          <w:color w:val="000000" w:themeColor="text1"/>
          <w:kern w:val="0"/>
          <w:sz w:val="28"/>
          <w:szCs w:val="21"/>
          <w:highlight w:val="none"/>
          <w14:textFill>
            <w14:solidFill>
              <w14:schemeClr w14:val="tx1"/>
            </w14:solidFill>
          </w14:textFill>
        </w:rPr>
      </w:pPr>
      <w:bookmarkStart w:id="795" w:name="_Toc351203647"/>
      <w:bookmarkStart w:id="796" w:name="_Toc267251483"/>
      <w:bookmarkStart w:id="797" w:name="_Toc267251482"/>
      <w:bookmarkStart w:id="798" w:name="_Toc267251484"/>
      <w:bookmarkStart w:id="799" w:name="_Toc267251485"/>
      <w:bookmarkStart w:id="800" w:name="_Toc267251490"/>
      <w:bookmarkStart w:id="801" w:name="_Toc267251486"/>
      <w:bookmarkStart w:id="802" w:name="_Toc267251489"/>
      <w:bookmarkStart w:id="803" w:name="_Toc267251488"/>
      <w:bookmarkStart w:id="804" w:name="_Toc267251497"/>
      <w:bookmarkStart w:id="805" w:name="_Toc267251492"/>
      <w:bookmarkStart w:id="806" w:name="_Toc267251496"/>
      <w:bookmarkStart w:id="807" w:name="_Toc267251491"/>
      <w:bookmarkStart w:id="808" w:name="_Toc267251501"/>
      <w:bookmarkStart w:id="809" w:name="_Toc267251494"/>
      <w:bookmarkStart w:id="810" w:name="_Toc267251499"/>
      <w:bookmarkStart w:id="811" w:name="_Toc267251493"/>
      <w:bookmarkStart w:id="812" w:name="_Toc267251502"/>
      <w:bookmarkStart w:id="813" w:name="_Toc267251503"/>
      <w:bookmarkStart w:id="814" w:name="_Toc267251495"/>
      <w:bookmarkStart w:id="815" w:name="_Toc267251498"/>
      <w:bookmarkStart w:id="816" w:name="_Toc267251506"/>
      <w:bookmarkStart w:id="817" w:name="_Toc267251504"/>
      <w:bookmarkStart w:id="818" w:name="_Toc267251507"/>
      <w:bookmarkStart w:id="819" w:name="_Toc267251508"/>
      <w:bookmarkStart w:id="820" w:name="_Toc267251513"/>
      <w:bookmarkStart w:id="821" w:name="_Toc267251515"/>
      <w:bookmarkStart w:id="822" w:name="_Toc267251511"/>
      <w:bookmarkStart w:id="823" w:name="_Toc267251514"/>
      <w:bookmarkStart w:id="824" w:name="_Toc267251509"/>
      <w:bookmarkStart w:id="825" w:name="_Toc267251510"/>
      <w:r>
        <w:rPr>
          <w:rFonts w:ascii="宋体" w:hAnsi="宋体" w:eastAsia="黑体"/>
          <w:b/>
          <w:color w:val="000000" w:themeColor="text1"/>
          <w:kern w:val="0"/>
          <w:sz w:val="28"/>
          <w:szCs w:val="21"/>
          <w:highlight w:val="none"/>
          <w14:textFill>
            <w14:solidFill>
              <w14:schemeClr w14:val="tx1"/>
            </w14:solidFill>
          </w14:textFill>
        </w:rPr>
        <w:t>15. 缺陷责任期与保修</w:t>
      </w:r>
      <w:bookmarkEnd w:id="795"/>
    </w:p>
    <w:p w14:paraId="104D5F6E">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15.</w:t>
      </w: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缺陷责任期</w:t>
      </w:r>
      <w:bookmarkEnd w:id="796"/>
    </w:p>
    <w:p w14:paraId="26536D74">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缺陷责任期的具体期限：</w:t>
      </w:r>
      <w:r>
        <w:rPr>
          <w:rFonts w:hint="eastAsia" w:ascii="宋体" w:hAnsi="宋体"/>
          <w:color w:val="000000" w:themeColor="text1"/>
          <w:szCs w:val="21"/>
          <w:highlight w:val="none"/>
          <w:lang w:val="en-US" w:eastAsia="zh-CN"/>
          <w14:textFill>
            <w14:solidFill>
              <w14:schemeClr w14:val="tx1"/>
            </w14:solidFill>
          </w14:textFill>
        </w:rPr>
        <w:t>24</w:t>
      </w:r>
      <w:r>
        <w:rPr>
          <w:rFonts w:hint="eastAsia" w:ascii="宋体" w:hAnsi="宋体"/>
          <w:color w:val="000000" w:themeColor="text1"/>
          <w:szCs w:val="21"/>
          <w:highlight w:val="none"/>
          <w14:textFill>
            <w14:solidFill>
              <w14:schemeClr w14:val="tx1"/>
            </w14:solidFill>
          </w14:textFill>
        </w:rPr>
        <w:t>个月</w:t>
      </w:r>
      <w:r>
        <w:rPr>
          <w:rFonts w:ascii="宋体" w:hAnsi="宋体"/>
          <w:color w:val="000000" w:themeColor="text1"/>
          <w:szCs w:val="21"/>
          <w:highlight w:val="none"/>
          <w14:textFill>
            <w14:solidFill>
              <w14:schemeClr w14:val="tx1"/>
            </w14:solidFill>
          </w14:textFill>
        </w:rPr>
        <w:t>。</w:t>
      </w:r>
    </w:p>
    <w:p w14:paraId="306F712D">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15.</w:t>
      </w: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 xml:space="preserve"> 质量保证金</w:t>
      </w:r>
    </w:p>
    <w:p w14:paraId="05B7EB10">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关于质量保证金的约定</w:t>
      </w:r>
      <w:r>
        <w:rPr>
          <w:rFonts w:hint="eastAsia" w:ascii="宋体" w:hAnsi="宋体"/>
          <w:color w:val="000000" w:themeColor="text1"/>
          <w:szCs w:val="21"/>
          <w:highlight w:val="none"/>
          <w:u w:val="single"/>
          <w14:textFill>
            <w14:solidFill>
              <w14:schemeClr w14:val="tx1"/>
            </w14:solidFill>
          </w14:textFill>
        </w:rPr>
        <w:t xml:space="preserve">：预留结算总价的3%作为质量保证金 </w:t>
      </w:r>
      <w:r>
        <w:rPr>
          <w:rFonts w:ascii="宋体" w:hAnsi="宋体"/>
          <w:color w:val="000000" w:themeColor="text1"/>
          <w:szCs w:val="21"/>
          <w:highlight w:val="none"/>
          <w14:textFill>
            <w14:solidFill>
              <w14:schemeClr w14:val="tx1"/>
            </w14:solidFill>
          </w14:textFill>
        </w:rPr>
        <w:t>。</w:t>
      </w:r>
    </w:p>
    <w:p w14:paraId="0A9A22C5">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15.</w:t>
      </w: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 xml:space="preserve">.1 </w:t>
      </w:r>
      <w:r>
        <w:rPr>
          <w:rFonts w:hint="eastAsia" w:ascii="宋体" w:hAnsi="宋体"/>
          <w:color w:val="000000" w:themeColor="text1"/>
          <w:szCs w:val="21"/>
          <w:highlight w:val="none"/>
          <w14:textFill>
            <w14:solidFill>
              <w14:schemeClr w14:val="tx1"/>
            </w14:solidFill>
          </w14:textFill>
        </w:rPr>
        <w:t>承包人提供</w:t>
      </w:r>
      <w:r>
        <w:rPr>
          <w:rFonts w:ascii="宋体" w:hAnsi="宋体"/>
          <w:color w:val="000000" w:themeColor="text1"/>
          <w:szCs w:val="21"/>
          <w:highlight w:val="none"/>
          <w14:textFill>
            <w14:solidFill>
              <w14:schemeClr w14:val="tx1"/>
            </w14:solidFill>
          </w14:textFill>
        </w:rPr>
        <w:t>质量保证金的</w:t>
      </w:r>
      <w:r>
        <w:rPr>
          <w:rFonts w:hint="eastAsia" w:ascii="宋体" w:hAnsi="宋体"/>
          <w:color w:val="000000" w:themeColor="text1"/>
          <w:szCs w:val="21"/>
          <w:highlight w:val="none"/>
          <w14:textFill>
            <w14:solidFill>
              <w14:schemeClr w14:val="tx1"/>
            </w14:solidFill>
          </w14:textFill>
        </w:rPr>
        <w:t>方</w:t>
      </w:r>
      <w:r>
        <w:rPr>
          <w:rFonts w:ascii="宋体" w:hAnsi="宋体"/>
          <w:color w:val="000000" w:themeColor="text1"/>
          <w:szCs w:val="21"/>
          <w:highlight w:val="none"/>
          <w14:textFill>
            <w14:solidFill>
              <w14:schemeClr w14:val="tx1"/>
            </w14:solidFill>
          </w14:textFill>
        </w:rPr>
        <w:t>式</w:t>
      </w:r>
    </w:p>
    <w:p w14:paraId="1845BD3F">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质量保证金采用以下第</w:t>
      </w:r>
      <w:r>
        <w:rPr>
          <w:rFonts w:hint="eastAsia" w:ascii="宋体" w:hAnsi="宋体"/>
          <w:color w:val="000000" w:themeColor="text1"/>
          <w:szCs w:val="21"/>
          <w:highlight w:val="none"/>
          <w:u w:val="single"/>
          <w14:textFill>
            <w14:solidFill>
              <w14:schemeClr w14:val="tx1"/>
            </w14:solidFill>
          </w14:textFill>
        </w:rPr>
        <w:t>2</w:t>
      </w:r>
      <w:r>
        <w:rPr>
          <w:rFonts w:ascii="宋体" w:hAnsi="宋体"/>
          <w:color w:val="000000" w:themeColor="text1"/>
          <w:szCs w:val="21"/>
          <w:highlight w:val="none"/>
          <w14:textFill>
            <w14:solidFill>
              <w14:schemeClr w14:val="tx1"/>
            </w14:solidFill>
          </w14:textFill>
        </w:rPr>
        <w:t>种方式：</w:t>
      </w:r>
    </w:p>
    <w:p w14:paraId="0CDBE05D">
      <w:pPr>
        <w:autoSpaceDE w:val="0"/>
        <w:autoSpaceDN w:val="0"/>
        <w:adjustRightInd w:val="0"/>
        <w:spacing w:line="440" w:lineRule="exact"/>
        <w:ind w:firstLine="420" w:firstLineChars="200"/>
        <w:jc w:val="lef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 xml:space="preserve">（1）质量保证金保函，保证金额为： </w:t>
      </w:r>
    </w:p>
    <w:p w14:paraId="0F15BA96">
      <w:pPr>
        <w:autoSpaceDE w:val="0"/>
        <w:autoSpaceDN w:val="0"/>
        <w:adjustRightInd w:val="0"/>
        <w:spacing w:line="440" w:lineRule="exact"/>
        <w:ind w:firstLine="420" w:firstLineChars="200"/>
        <w:jc w:val="lef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（2）</w:t>
      </w:r>
      <w:r>
        <w:rPr>
          <w:rFonts w:hint="eastAsia" w:hAnsi="宋体"/>
          <w:bCs/>
          <w:color w:val="000000" w:themeColor="text1"/>
          <w:szCs w:val="21"/>
          <w:highlight w:val="none"/>
          <w14:textFill>
            <w14:solidFill>
              <w14:schemeClr w14:val="tx1"/>
            </w14:solidFill>
          </w14:textFill>
        </w:rPr>
        <w:t>预留</w:t>
      </w:r>
      <w:r>
        <w:rPr>
          <w:rFonts w:hAnsi="宋体"/>
          <w:bCs/>
          <w:color w:val="000000" w:themeColor="text1"/>
          <w:szCs w:val="21"/>
          <w:highlight w:val="none"/>
          <w14:textFill>
            <w14:solidFill>
              <w14:schemeClr w14:val="tx1"/>
            </w14:solidFill>
          </w14:textFill>
        </w:rPr>
        <w:t>结算总价</w:t>
      </w:r>
      <w:r>
        <w:rPr>
          <w:rFonts w:hint="eastAsia" w:hAnsi="宋体"/>
          <w:bCs/>
          <w:color w:val="000000" w:themeColor="text1"/>
          <w:szCs w:val="21"/>
          <w:highlight w:val="none"/>
          <w14:textFill>
            <w14:solidFill>
              <w14:schemeClr w14:val="tx1"/>
            </w14:solidFill>
          </w14:textFill>
        </w:rPr>
        <w:t>的</w:t>
      </w:r>
      <w:r>
        <w:rPr>
          <w:rFonts w:hint="eastAsia"/>
          <w:bCs/>
          <w:color w:val="000000" w:themeColor="text1"/>
          <w:szCs w:val="21"/>
          <w:highlight w:val="none"/>
          <w14:textFill>
            <w14:solidFill>
              <w14:schemeClr w14:val="tx1"/>
            </w14:solidFill>
          </w14:textFill>
        </w:rPr>
        <w:t>3%作为质量</w:t>
      </w:r>
      <w:r>
        <w:rPr>
          <w:rFonts w:hint="eastAsia" w:hAnsi="宋体"/>
          <w:bCs/>
          <w:color w:val="000000" w:themeColor="text1"/>
          <w:szCs w:val="21"/>
          <w:highlight w:val="none"/>
          <w14:textFill>
            <w14:solidFill>
              <w14:schemeClr w14:val="tx1"/>
            </w14:solidFill>
          </w14:textFill>
        </w:rPr>
        <w:t>保证金</w:t>
      </w:r>
      <w:r>
        <w:rPr>
          <w:rFonts w:hint="eastAsia" w:ascii="宋体" w:hAnsi="宋体"/>
          <w:color w:val="000000" w:themeColor="text1"/>
          <w:kern w:val="0"/>
          <w:szCs w:val="21"/>
          <w:highlight w:val="none"/>
          <w:lang w:eastAsia="zh-CN"/>
          <w14:textFill>
            <w14:solidFill>
              <w14:schemeClr w14:val="tx1"/>
            </w14:solidFill>
          </w14:textFill>
        </w:rPr>
        <w:t>；</w:t>
      </w:r>
    </w:p>
    <w:p w14:paraId="0772EABF">
      <w:pPr>
        <w:autoSpaceDE w:val="0"/>
        <w:autoSpaceDN w:val="0"/>
        <w:adjustRightInd w:val="0"/>
        <w:spacing w:line="440" w:lineRule="exact"/>
        <w:ind w:firstLine="420" w:firstLineChars="200"/>
        <w:jc w:val="left"/>
        <w:rPr>
          <w:rFonts w:ascii="宋体" w:hAnsi="宋体"/>
          <w:color w:val="000000" w:themeColor="text1"/>
          <w:kern w:val="0"/>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w:t>
      </w:r>
      <w:r>
        <w:rPr>
          <w:rFonts w:ascii="宋体" w:hAnsi="宋体"/>
          <w:color w:val="000000" w:themeColor="text1"/>
          <w:kern w:val="0"/>
          <w:szCs w:val="21"/>
          <w:highlight w:val="none"/>
          <w14:textFill>
            <w14:solidFill>
              <w14:schemeClr w14:val="tx1"/>
            </w14:solidFill>
          </w14:textFill>
        </w:rPr>
        <w:t>其他</w:t>
      </w:r>
      <w:r>
        <w:rPr>
          <w:rFonts w:hint="eastAsia" w:ascii="宋体" w:hAnsi="宋体"/>
          <w:color w:val="000000" w:themeColor="text1"/>
          <w:kern w:val="0"/>
          <w:szCs w:val="21"/>
          <w:highlight w:val="none"/>
          <w14:textFill>
            <w14:solidFill>
              <w14:schemeClr w14:val="tx1"/>
            </w14:solidFill>
          </w14:textFill>
        </w:rPr>
        <w:t>方</w:t>
      </w:r>
      <w:r>
        <w:rPr>
          <w:rFonts w:ascii="宋体" w:hAnsi="宋体"/>
          <w:color w:val="000000" w:themeColor="text1"/>
          <w:kern w:val="0"/>
          <w:szCs w:val="21"/>
          <w:highlight w:val="none"/>
          <w14:textFill>
            <w14:solidFill>
              <w14:schemeClr w14:val="tx1"/>
            </w14:solidFill>
          </w14:textFill>
        </w:rPr>
        <w:t>式</w:t>
      </w:r>
      <w:r>
        <w:rPr>
          <w:rFonts w:hint="eastAsia" w:ascii="宋体" w:hAnsi="宋体"/>
          <w:color w:val="000000" w:themeColor="text1"/>
          <w:kern w:val="0"/>
          <w:szCs w:val="21"/>
          <w:highlight w:val="none"/>
          <w:lang w:eastAsia="zh-CN"/>
          <w14:textFill>
            <w14:solidFill>
              <w14:schemeClr w14:val="tx1"/>
            </w14:solidFill>
          </w14:textFill>
        </w:rPr>
        <w:t>：</w:t>
      </w:r>
      <w:r>
        <w:rPr>
          <w:rFonts w:hint="eastAsia" w:ascii="宋体" w:hAnsi="宋体"/>
          <w:bCs/>
          <w:color w:val="000000" w:themeColor="text1"/>
          <w:kern w:val="0"/>
          <w:szCs w:val="21"/>
          <w:highlight w:val="none"/>
          <w:u w:val="single"/>
          <w14:textFill>
            <w14:solidFill>
              <w14:schemeClr w14:val="tx1"/>
            </w14:solidFill>
          </w14:textFill>
        </w:rPr>
        <w:t>待工程质量</w:t>
      </w:r>
      <w:r>
        <w:rPr>
          <w:rFonts w:ascii="宋体" w:hAnsi="宋体"/>
          <w:color w:val="000000" w:themeColor="text1"/>
          <w:szCs w:val="21"/>
          <w:highlight w:val="none"/>
          <w:u w:val="single"/>
          <w14:textFill>
            <w14:solidFill>
              <w14:schemeClr w14:val="tx1"/>
            </w14:solidFill>
          </w14:textFill>
        </w:rPr>
        <w:t>缺陷责任期</w:t>
      </w:r>
      <w:r>
        <w:rPr>
          <w:rFonts w:hint="eastAsia" w:ascii="宋体" w:hAnsi="宋体"/>
          <w:bCs/>
          <w:color w:val="000000" w:themeColor="text1"/>
          <w:kern w:val="0"/>
          <w:szCs w:val="21"/>
          <w:highlight w:val="none"/>
          <w:u w:val="single"/>
          <w14:textFill>
            <w14:solidFill>
              <w14:schemeClr w14:val="tx1"/>
            </w14:solidFill>
          </w14:textFill>
        </w:rPr>
        <w:t>满后返还。</w:t>
      </w:r>
    </w:p>
    <w:p w14:paraId="2C12D01D">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15.</w:t>
      </w: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 xml:space="preserve">.2 质量保证金的扣留 </w:t>
      </w:r>
    </w:p>
    <w:p w14:paraId="5597CBCA">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质量保证金的扣留采取以下第</w:t>
      </w:r>
      <w:r>
        <w:rPr>
          <w:rFonts w:hint="eastAsia" w:ascii="宋体" w:hAnsi="宋体"/>
          <w:color w:val="000000" w:themeColor="text1"/>
          <w:szCs w:val="21"/>
          <w:highlight w:val="none"/>
          <w:u w:val="single"/>
          <w14:textFill>
            <w14:solidFill>
              <w14:schemeClr w14:val="tx1"/>
            </w14:solidFill>
          </w14:textFill>
        </w:rPr>
        <w:t xml:space="preserve"> 2</w:t>
      </w:r>
      <w:r>
        <w:rPr>
          <w:rFonts w:ascii="宋体" w:hAnsi="宋体"/>
          <w:color w:val="000000" w:themeColor="text1"/>
          <w:szCs w:val="21"/>
          <w:highlight w:val="none"/>
          <w14:textFill>
            <w14:solidFill>
              <w14:schemeClr w14:val="tx1"/>
            </w14:solidFill>
          </w14:textFill>
        </w:rPr>
        <w:t>种方式：</w:t>
      </w:r>
    </w:p>
    <w:p w14:paraId="5651ACC5">
      <w:pPr>
        <w:autoSpaceDE w:val="0"/>
        <w:autoSpaceDN w:val="0"/>
        <w:adjustRightInd w:val="0"/>
        <w:spacing w:line="440" w:lineRule="exact"/>
        <w:ind w:firstLine="420" w:firstLineChars="200"/>
        <w:jc w:val="left"/>
        <w:rPr>
          <w:rFonts w:hint="eastAsia" w:ascii="宋体" w:hAnsi="宋体" w:eastAsia="宋体"/>
          <w:color w:val="000000" w:themeColor="text1"/>
          <w:kern w:val="0"/>
          <w:szCs w:val="21"/>
          <w:highlight w:val="none"/>
          <w:lang w:eastAsia="zh-CN"/>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（1）在支付工程进度款时逐次扣留，在此情形下，质量保证金的计算基数不包括预付款的支付、扣回以及价格调整的金额</w:t>
      </w:r>
      <w:r>
        <w:rPr>
          <w:rFonts w:hint="eastAsia" w:ascii="宋体" w:hAnsi="宋体"/>
          <w:color w:val="000000" w:themeColor="text1"/>
          <w:kern w:val="0"/>
          <w:szCs w:val="21"/>
          <w:highlight w:val="none"/>
          <w:lang w:eastAsia="zh-CN"/>
          <w14:textFill>
            <w14:solidFill>
              <w14:schemeClr w14:val="tx1"/>
            </w14:solidFill>
          </w14:textFill>
        </w:rPr>
        <w:t>；</w:t>
      </w:r>
    </w:p>
    <w:p w14:paraId="0749F74F">
      <w:pPr>
        <w:autoSpaceDE w:val="0"/>
        <w:autoSpaceDN w:val="0"/>
        <w:adjustRightInd w:val="0"/>
        <w:spacing w:line="440" w:lineRule="exact"/>
        <w:ind w:firstLine="420" w:firstLineChars="200"/>
        <w:jc w:val="lef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（2）</w:t>
      </w:r>
      <w:r>
        <w:rPr>
          <w:rFonts w:hint="eastAsia" w:hAnsi="宋体"/>
          <w:bCs/>
          <w:color w:val="000000" w:themeColor="text1"/>
          <w:szCs w:val="21"/>
          <w:highlight w:val="none"/>
          <w14:textFill>
            <w14:solidFill>
              <w14:schemeClr w14:val="tx1"/>
            </w14:solidFill>
          </w14:textFill>
        </w:rPr>
        <w:t>预留</w:t>
      </w:r>
      <w:r>
        <w:rPr>
          <w:rFonts w:hAnsi="宋体"/>
          <w:bCs/>
          <w:color w:val="000000" w:themeColor="text1"/>
          <w:szCs w:val="21"/>
          <w:highlight w:val="none"/>
          <w14:textFill>
            <w14:solidFill>
              <w14:schemeClr w14:val="tx1"/>
            </w14:solidFill>
          </w14:textFill>
        </w:rPr>
        <w:t>结算总价</w:t>
      </w:r>
      <w:r>
        <w:rPr>
          <w:rFonts w:hint="eastAsia" w:hAnsi="宋体"/>
          <w:bCs/>
          <w:color w:val="000000" w:themeColor="text1"/>
          <w:szCs w:val="21"/>
          <w:highlight w:val="none"/>
          <w14:textFill>
            <w14:solidFill>
              <w14:schemeClr w14:val="tx1"/>
            </w14:solidFill>
          </w14:textFill>
        </w:rPr>
        <w:t>的</w:t>
      </w:r>
      <w:r>
        <w:rPr>
          <w:rFonts w:hint="eastAsia"/>
          <w:bCs/>
          <w:color w:val="000000" w:themeColor="text1"/>
          <w:szCs w:val="21"/>
          <w:highlight w:val="none"/>
          <w14:textFill>
            <w14:solidFill>
              <w14:schemeClr w14:val="tx1"/>
            </w14:solidFill>
          </w14:textFill>
        </w:rPr>
        <w:t>3%作为质量</w:t>
      </w:r>
      <w:r>
        <w:rPr>
          <w:rFonts w:hint="eastAsia" w:hAnsi="宋体"/>
          <w:bCs/>
          <w:color w:val="000000" w:themeColor="text1"/>
          <w:szCs w:val="21"/>
          <w:highlight w:val="none"/>
          <w14:textFill>
            <w14:solidFill>
              <w14:schemeClr w14:val="tx1"/>
            </w14:solidFill>
          </w14:textFill>
        </w:rPr>
        <w:t>保证金</w:t>
      </w:r>
      <w:r>
        <w:rPr>
          <w:rFonts w:hint="eastAsia" w:ascii="宋体" w:hAnsi="宋体"/>
          <w:color w:val="000000" w:themeColor="text1"/>
          <w:kern w:val="0"/>
          <w:szCs w:val="21"/>
          <w:highlight w:val="none"/>
          <w14:textFill>
            <w14:solidFill>
              <w14:schemeClr w14:val="tx1"/>
            </w14:solidFill>
          </w14:textFill>
        </w:rPr>
        <w:t>。</w:t>
      </w:r>
    </w:p>
    <w:p w14:paraId="22D6B605">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关于质量保证金的补充约定：</w:t>
      </w:r>
      <w:r>
        <w:rPr>
          <w:rFonts w:ascii="宋体" w:hAnsi="宋体"/>
          <w:color w:val="000000" w:themeColor="text1"/>
          <w:kern w:val="0"/>
          <w:szCs w:val="21"/>
          <w:highlight w:val="none"/>
          <w14:textFill>
            <w14:solidFill>
              <w14:schemeClr w14:val="tx1"/>
            </w14:solidFill>
          </w14:textFill>
        </w:rPr>
        <w:t>。</w:t>
      </w:r>
    </w:p>
    <w:bookmarkEnd w:id="797"/>
    <w:bookmarkEnd w:id="798"/>
    <w:p w14:paraId="4C1E7B69">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15.</w:t>
      </w:r>
      <w:r>
        <w:rPr>
          <w:rFonts w:hint="eastAsia" w:ascii="宋体" w:hAnsi="宋体"/>
          <w:color w:val="000000" w:themeColor="text1"/>
          <w:szCs w:val="21"/>
          <w:highlight w:val="none"/>
          <w14:textFill>
            <w14:solidFill>
              <w14:schemeClr w14:val="tx1"/>
            </w14:solidFill>
          </w14:textFill>
        </w:rPr>
        <w:t>3</w:t>
      </w:r>
      <w:r>
        <w:rPr>
          <w:rFonts w:ascii="宋体" w:hAnsi="宋体"/>
          <w:color w:val="000000" w:themeColor="text1"/>
          <w:szCs w:val="21"/>
          <w:highlight w:val="none"/>
          <w14:textFill>
            <w14:solidFill>
              <w14:schemeClr w14:val="tx1"/>
            </w14:solidFill>
          </w14:textFill>
        </w:rPr>
        <w:t>保修</w:t>
      </w:r>
    </w:p>
    <w:bookmarkEnd w:id="799"/>
    <w:p w14:paraId="77A08AB0">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质量保修期从工程实际竣工之日算起。分单项竣工验收的工程，按单项工程分别计算质量保修期。</w:t>
      </w:r>
    </w:p>
    <w:p w14:paraId="284CF3E4">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双方根据国家有关规定，结合具体工程约定质量保修期如下：</w:t>
      </w:r>
    </w:p>
    <w:p w14:paraId="10B5CE55">
      <w:pPr>
        <w:spacing w:line="440" w:lineRule="exact"/>
        <w:ind w:firstLine="420" w:firstLineChars="20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(1)地基基础工程、主体结构工程为设计文件规定的合理使用年限</w:t>
      </w:r>
      <w:r>
        <w:rPr>
          <w:rFonts w:hint="eastAsia" w:ascii="宋体" w:hAnsi="宋体"/>
          <w:color w:val="000000" w:themeColor="text1"/>
          <w:szCs w:val="21"/>
          <w:highlight w:val="none"/>
          <w:lang w:eastAsia="zh-CN"/>
          <w14:textFill>
            <w14:solidFill>
              <w14:schemeClr w14:val="tx1"/>
            </w14:solidFill>
          </w14:textFill>
        </w:rPr>
        <w:t>；</w:t>
      </w:r>
    </w:p>
    <w:p w14:paraId="58BD025C">
      <w:pPr>
        <w:spacing w:line="440" w:lineRule="exact"/>
        <w:ind w:firstLine="420" w:firstLineChars="20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(2)屋面防水工程、有防水要求的卫生间、房间和外墙面的防渗漏：</w:t>
      </w:r>
      <w:r>
        <w:rPr>
          <w:rFonts w:hint="eastAsia" w:ascii="宋体" w:hAnsi="宋体"/>
          <w:color w:val="000000" w:themeColor="text1"/>
          <w:szCs w:val="21"/>
          <w:highlight w:val="none"/>
          <w:u w:val="single"/>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lang w:eastAsia="zh-CN"/>
          <w14:textFill>
            <w14:solidFill>
              <w14:schemeClr w14:val="tx1"/>
            </w14:solidFill>
          </w14:textFill>
        </w:rPr>
        <w:t>；</w:t>
      </w:r>
    </w:p>
    <w:p w14:paraId="7859EFDA">
      <w:pPr>
        <w:spacing w:line="440" w:lineRule="exact"/>
        <w:ind w:firstLine="420" w:firstLineChars="20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(3)供热及供冷系统为 </w:t>
      </w:r>
      <w:r>
        <w:rPr>
          <w:rFonts w:hint="eastAsia" w:ascii="宋体" w:hAnsi="宋体"/>
          <w:color w:val="000000" w:themeColor="text1"/>
          <w:szCs w:val="21"/>
          <w:highlight w:val="none"/>
          <w:u w:val="singl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个采暖期及供冷期</w:t>
      </w:r>
      <w:r>
        <w:rPr>
          <w:rFonts w:hint="eastAsia" w:ascii="宋体" w:hAnsi="宋体"/>
          <w:color w:val="000000" w:themeColor="text1"/>
          <w:szCs w:val="21"/>
          <w:highlight w:val="none"/>
          <w:lang w:eastAsia="zh-CN"/>
          <w14:textFill>
            <w14:solidFill>
              <w14:schemeClr w14:val="tx1"/>
            </w14:solidFill>
          </w14:textFill>
        </w:rPr>
        <w:t>；</w:t>
      </w:r>
    </w:p>
    <w:p w14:paraId="73ADAE44">
      <w:pPr>
        <w:spacing w:line="440" w:lineRule="exact"/>
        <w:ind w:firstLine="420" w:firstLineChars="20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(4)电气管线、给排水管道、设备安装为</w:t>
      </w:r>
      <w:r>
        <w:rPr>
          <w:rFonts w:hint="eastAsia" w:ascii="宋体" w:hAnsi="宋体"/>
          <w:color w:val="000000" w:themeColor="text1"/>
          <w:szCs w:val="21"/>
          <w:highlight w:val="none"/>
          <w:u w:val="single"/>
          <w14:textFill>
            <w14:solidFill>
              <w14:schemeClr w14:val="tx1"/>
            </w14:solidFill>
          </w14:textFill>
        </w:rPr>
        <w:t xml:space="preserve"> 2</w:t>
      </w:r>
      <w:r>
        <w:rPr>
          <w:rFonts w:hint="eastAsia" w:ascii="宋体" w:hAnsi="宋体"/>
          <w:color w:val="000000" w:themeColor="text1"/>
          <w:szCs w:val="21"/>
          <w:highlight w:val="none"/>
          <w14:textFill>
            <w14:solidFill>
              <w14:schemeClr w14:val="tx1"/>
            </w14:solidFill>
          </w14:textFill>
        </w:rPr>
        <w:t xml:space="preserve"> 年</w:t>
      </w:r>
      <w:r>
        <w:rPr>
          <w:rFonts w:hint="eastAsia" w:ascii="宋体" w:hAnsi="宋体"/>
          <w:color w:val="000000" w:themeColor="text1"/>
          <w:szCs w:val="21"/>
          <w:highlight w:val="none"/>
          <w:lang w:eastAsia="zh-CN"/>
          <w14:textFill>
            <w14:solidFill>
              <w14:schemeClr w14:val="tx1"/>
            </w14:solidFill>
          </w14:textFill>
        </w:rPr>
        <w:t>；</w:t>
      </w:r>
    </w:p>
    <w:p w14:paraId="2781DF27">
      <w:pPr>
        <w:spacing w:line="440" w:lineRule="exact"/>
        <w:ind w:firstLine="420" w:firstLineChars="20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(5)装修工程为 </w:t>
      </w:r>
      <w:r>
        <w:rPr>
          <w:rFonts w:hint="eastAsia" w:ascii="宋体" w:hAnsi="宋体"/>
          <w:color w:val="000000" w:themeColor="text1"/>
          <w:szCs w:val="21"/>
          <w:highlight w:val="none"/>
          <w:u w:val="singl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lang w:eastAsia="zh-CN"/>
          <w14:textFill>
            <w14:solidFill>
              <w14:schemeClr w14:val="tx1"/>
            </w14:solidFill>
          </w14:textFill>
        </w:rPr>
        <w:t>；</w:t>
      </w:r>
    </w:p>
    <w:p w14:paraId="0BD99C16">
      <w:pPr>
        <w:spacing w:line="440" w:lineRule="exact"/>
        <w:ind w:firstLine="420" w:firstLineChars="20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(6)室外的上下水和小区道路等市政公用工程为 </w:t>
      </w:r>
      <w:r>
        <w:rPr>
          <w:rFonts w:hint="eastAsia" w:ascii="宋体" w:hAnsi="宋体"/>
          <w:color w:val="000000" w:themeColor="text1"/>
          <w:szCs w:val="21"/>
          <w:highlight w:val="none"/>
          <w:u w:val="single"/>
          <w14:textFill>
            <w14:solidFill>
              <w14:schemeClr w14:val="tx1"/>
            </w14:solidFill>
          </w14:textFill>
        </w:rPr>
        <w:t xml:space="preserve"> 2 </w:t>
      </w:r>
      <w:r>
        <w:rPr>
          <w:rFonts w:hint="eastAsia" w:ascii="宋体" w:hAnsi="宋体"/>
          <w:color w:val="000000" w:themeColor="text1"/>
          <w:szCs w:val="21"/>
          <w:highlight w:val="none"/>
          <w14:textFill>
            <w14:solidFill>
              <w14:schemeClr w14:val="tx1"/>
            </w14:solidFill>
          </w14:textFill>
        </w:rPr>
        <w:t xml:space="preserve"> 年</w:t>
      </w:r>
      <w:r>
        <w:rPr>
          <w:rFonts w:hint="eastAsia" w:ascii="宋体" w:hAnsi="宋体"/>
          <w:color w:val="000000" w:themeColor="text1"/>
          <w:szCs w:val="21"/>
          <w:highlight w:val="none"/>
          <w:lang w:eastAsia="zh-CN"/>
          <w14:textFill>
            <w14:solidFill>
              <w14:schemeClr w14:val="tx1"/>
            </w14:solidFill>
          </w14:textFill>
        </w:rPr>
        <w:t>；</w:t>
      </w:r>
    </w:p>
    <w:p w14:paraId="63789B4B">
      <w:pPr>
        <w:spacing w:line="440" w:lineRule="exact"/>
        <w:ind w:firstLine="420" w:firstLineChars="20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(7)在没有明文规定下，参照建设工程质量保修条例，双方协商为设计文件规定的该工程的合理使用年限内保修</w:t>
      </w:r>
      <w:r>
        <w:rPr>
          <w:rFonts w:hint="eastAsia" w:ascii="宋体" w:hAnsi="宋体"/>
          <w:color w:val="000000" w:themeColor="text1"/>
          <w:szCs w:val="21"/>
          <w:highlight w:val="none"/>
          <w:lang w:eastAsia="zh-CN"/>
          <w14:textFill>
            <w14:solidFill>
              <w14:schemeClr w14:val="tx1"/>
            </w14:solidFill>
          </w14:textFill>
        </w:rPr>
        <w:t>；</w:t>
      </w:r>
    </w:p>
    <w:p w14:paraId="2EEF38FE">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(8)其他约定：</w:t>
      </w:r>
    </w:p>
    <w:bookmarkEnd w:id="800"/>
    <w:bookmarkEnd w:id="801"/>
    <w:bookmarkEnd w:id="802"/>
    <w:bookmarkEnd w:id="803"/>
    <w:p w14:paraId="1CCC8208">
      <w:pPr>
        <w:keepNext/>
        <w:keepLines/>
        <w:widowControl/>
        <w:spacing w:before="120" w:after="120" w:line="440" w:lineRule="exact"/>
        <w:outlineLvl w:val="3"/>
        <w:rPr>
          <w:rFonts w:ascii="宋体" w:hAnsi="宋体" w:eastAsia="黑体"/>
          <w:b/>
          <w:color w:val="000000" w:themeColor="text1"/>
          <w:kern w:val="0"/>
          <w:sz w:val="28"/>
          <w:szCs w:val="21"/>
          <w:highlight w:val="none"/>
          <w14:textFill>
            <w14:solidFill>
              <w14:schemeClr w14:val="tx1"/>
            </w14:solidFill>
          </w14:textFill>
        </w:rPr>
      </w:pPr>
      <w:bookmarkStart w:id="826" w:name="_Toc351203648"/>
      <w:bookmarkStart w:id="827" w:name="_Toc280868717"/>
      <w:bookmarkStart w:id="828" w:name="_Toc280868718"/>
      <w:r>
        <w:rPr>
          <w:rFonts w:ascii="宋体" w:hAnsi="宋体" w:eastAsia="黑体"/>
          <w:b/>
          <w:color w:val="000000" w:themeColor="text1"/>
          <w:kern w:val="0"/>
          <w:sz w:val="28"/>
          <w:szCs w:val="21"/>
          <w:highlight w:val="none"/>
          <w14:textFill>
            <w14:solidFill>
              <w14:schemeClr w14:val="tx1"/>
            </w14:solidFill>
          </w14:textFill>
        </w:rPr>
        <w:t>16. 违约</w:t>
      </w:r>
      <w:bookmarkEnd w:id="826"/>
    </w:p>
    <w:p w14:paraId="25539E59">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16.1 发包人违约</w:t>
      </w:r>
    </w:p>
    <w:p w14:paraId="546D1A5C">
      <w:pPr>
        <w:keepNext/>
        <w:keepLines/>
        <w:spacing w:before="260" w:after="260" w:line="24" w:lineRule="auto"/>
        <w:outlineLvl w:val="2"/>
        <w:rPr>
          <w:rFonts w:ascii="宋体" w:hAnsi="宋体"/>
          <w:b/>
          <w:bCs/>
          <w:color w:val="000000" w:themeColor="text1"/>
          <w:kern w:val="0"/>
          <w:sz w:val="24"/>
          <w:szCs w:val="32"/>
          <w:highlight w:val="none"/>
          <w14:textFill>
            <w14:solidFill>
              <w14:schemeClr w14:val="tx1"/>
            </w14:solidFill>
          </w14:textFill>
        </w:rPr>
      </w:pPr>
      <w:bookmarkStart w:id="829" w:name="_Toc389065332"/>
      <w:bookmarkStart w:id="830" w:name="_Toc373227767"/>
      <w:bookmarkStart w:id="831" w:name="_Toc373478414"/>
      <w:bookmarkStart w:id="832" w:name="_Toc465114927"/>
      <w:bookmarkStart w:id="833" w:name="_Toc351203649"/>
      <w:r>
        <w:rPr>
          <w:rFonts w:ascii="宋体" w:hAnsi="宋体"/>
          <w:b/>
          <w:bCs/>
          <w:color w:val="000000" w:themeColor="text1"/>
          <w:kern w:val="0"/>
          <w:sz w:val="24"/>
          <w:szCs w:val="32"/>
          <w:highlight w:val="none"/>
          <w14:textFill>
            <w14:solidFill>
              <w14:schemeClr w14:val="tx1"/>
            </w14:solidFill>
          </w14:textFill>
        </w:rPr>
        <w:t>16.1 发包人违约</w:t>
      </w:r>
      <w:bookmarkEnd w:id="829"/>
      <w:bookmarkEnd w:id="830"/>
      <w:bookmarkEnd w:id="831"/>
      <w:bookmarkEnd w:id="832"/>
    </w:p>
    <w:p w14:paraId="6C9E3A98">
      <w:pPr>
        <w:spacing w:line="360" w:lineRule="auto"/>
        <w:ind w:firstLine="420"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16.1.1</w:t>
      </w:r>
      <w:r>
        <w:rPr>
          <w:rFonts w:hAnsi="宋体"/>
          <w:color w:val="000000" w:themeColor="text1"/>
          <w:szCs w:val="21"/>
          <w:highlight w:val="none"/>
          <w14:textFill>
            <w14:solidFill>
              <w14:schemeClr w14:val="tx1"/>
            </w14:solidFill>
          </w14:textFill>
        </w:rPr>
        <w:t>发包人违约的情形</w:t>
      </w:r>
    </w:p>
    <w:p w14:paraId="43EB5B3A">
      <w:pPr>
        <w:spacing w:line="360" w:lineRule="auto"/>
        <w:ind w:firstLine="420" w:firstLineChars="200"/>
        <w:jc w:val="left"/>
        <w:rPr>
          <w:rFonts w:hAnsi="宋体"/>
          <w:color w:val="000000" w:themeColor="text1"/>
          <w:kern w:val="0"/>
          <w:szCs w:val="21"/>
          <w:highlight w:val="none"/>
          <w14:textFill>
            <w14:solidFill>
              <w14:schemeClr w14:val="tx1"/>
            </w14:solidFill>
          </w14:textFill>
        </w:rPr>
      </w:pPr>
      <w:r>
        <w:rPr>
          <w:rFonts w:hAnsi="宋体"/>
          <w:color w:val="000000" w:themeColor="text1"/>
          <w:kern w:val="0"/>
          <w:szCs w:val="21"/>
          <w:highlight w:val="none"/>
          <w14:textFill>
            <w14:solidFill>
              <w14:schemeClr w14:val="tx1"/>
            </w14:solidFill>
          </w14:textFill>
        </w:rPr>
        <w:t>发包人违约的其他情形：</w:t>
      </w:r>
      <w:r>
        <w:rPr>
          <w:rFonts w:hint="eastAsia"/>
          <w:color w:val="000000" w:themeColor="text1"/>
          <w:kern w:val="0"/>
          <w:szCs w:val="21"/>
          <w:highlight w:val="none"/>
          <w:u w:val="single"/>
          <w14:textFill>
            <w14:solidFill>
              <w14:schemeClr w14:val="tx1"/>
            </w14:solidFill>
          </w14:textFill>
        </w:rPr>
        <w:t>无</w:t>
      </w:r>
      <w:r>
        <w:rPr>
          <w:rFonts w:hAnsi="宋体"/>
          <w:color w:val="000000" w:themeColor="text1"/>
          <w:kern w:val="0"/>
          <w:szCs w:val="21"/>
          <w:highlight w:val="none"/>
          <w14:textFill>
            <w14:solidFill>
              <w14:schemeClr w14:val="tx1"/>
            </w14:solidFill>
          </w14:textFill>
        </w:rPr>
        <w:t>。</w:t>
      </w:r>
    </w:p>
    <w:p w14:paraId="20877FE8">
      <w:pPr>
        <w:spacing w:line="360" w:lineRule="auto"/>
        <w:ind w:firstLine="420" w:firstLineChars="200"/>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xml:space="preserve">16.1.2 </w:t>
      </w:r>
      <w:r>
        <w:rPr>
          <w:rFonts w:hAnsi="宋体"/>
          <w:color w:val="000000" w:themeColor="text1"/>
          <w:kern w:val="0"/>
          <w:szCs w:val="21"/>
          <w:highlight w:val="none"/>
          <w14:textFill>
            <w14:solidFill>
              <w14:schemeClr w14:val="tx1"/>
            </w14:solidFill>
          </w14:textFill>
        </w:rPr>
        <w:t>发包人违约的责任</w:t>
      </w:r>
    </w:p>
    <w:p w14:paraId="4B2AB31C">
      <w:pPr>
        <w:spacing w:line="360" w:lineRule="auto"/>
        <w:ind w:firstLine="420" w:firstLineChars="200"/>
        <w:jc w:val="left"/>
        <w:rPr>
          <w:color w:val="000000" w:themeColor="text1"/>
          <w:kern w:val="0"/>
          <w:szCs w:val="21"/>
          <w:highlight w:val="none"/>
          <w14:textFill>
            <w14:solidFill>
              <w14:schemeClr w14:val="tx1"/>
            </w14:solidFill>
          </w14:textFill>
        </w:rPr>
      </w:pPr>
      <w:r>
        <w:rPr>
          <w:rFonts w:hAnsi="宋体"/>
          <w:color w:val="000000" w:themeColor="text1"/>
          <w:kern w:val="0"/>
          <w:szCs w:val="21"/>
          <w:highlight w:val="none"/>
          <w14:textFill>
            <w14:solidFill>
              <w14:schemeClr w14:val="tx1"/>
            </w14:solidFill>
          </w14:textFill>
        </w:rPr>
        <w:t>发包人违约责任的承担方式和计算方法：</w:t>
      </w:r>
    </w:p>
    <w:p w14:paraId="06C0DCF2">
      <w:pPr>
        <w:spacing w:line="400" w:lineRule="exact"/>
        <w:ind w:firstLine="420" w:firstLineChars="200"/>
        <w:jc w:val="left"/>
        <w:rPr>
          <w:rFonts w:ascii="宋体" w:hAnsi="宋体"/>
          <w:color w:val="000000" w:themeColor="text1"/>
          <w:kern w:val="0"/>
          <w:szCs w:val="21"/>
          <w:highlight w:val="none"/>
          <w14:textFill>
            <w14:solidFill>
              <w14:schemeClr w14:val="tx1"/>
            </w14:solidFill>
          </w14:textFill>
        </w:rPr>
      </w:pPr>
      <w:r>
        <w:rPr>
          <w:rFonts w:hAnsi="宋体"/>
          <w:color w:val="000000" w:themeColor="text1"/>
          <w:kern w:val="0"/>
          <w:szCs w:val="21"/>
          <w:highlight w:val="none"/>
          <w14:textFill>
            <w14:solidFill>
              <w14:schemeClr w14:val="tx1"/>
            </w14:solidFill>
          </w14:textFill>
        </w:rPr>
        <w:t>（</w:t>
      </w:r>
      <w:r>
        <w:rPr>
          <w:color w:val="000000" w:themeColor="text1"/>
          <w:kern w:val="0"/>
          <w:szCs w:val="21"/>
          <w:highlight w:val="none"/>
          <w14:textFill>
            <w14:solidFill>
              <w14:schemeClr w14:val="tx1"/>
            </w14:solidFill>
          </w14:textFill>
        </w:rPr>
        <w:t>1</w:t>
      </w:r>
      <w:r>
        <w:rPr>
          <w:rFonts w:hAnsi="宋体"/>
          <w:color w:val="000000" w:themeColor="text1"/>
          <w:kern w:val="0"/>
          <w:szCs w:val="21"/>
          <w:highlight w:val="none"/>
          <w14:textFill>
            <w14:solidFill>
              <w14:schemeClr w14:val="tx1"/>
            </w14:solidFill>
          </w14:textFill>
        </w:rPr>
        <w:t>）因发包人原因未能在计划开工日期前</w:t>
      </w:r>
      <w:r>
        <w:rPr>
          <w:color w:val="000000" w:themeColor="text1"/>
          <w:kern w:val="0"/>
          <w:szCs w:val="21"/>
          <w:highlight w:val="none"/>
          <w14:textFill>
            <w14:solidFill>
              <w14:schemeClr w14:val="tx1"/>
            </w14:solidFill>
          </w14:textFill>
        </w:rPr>
        <w:t>7</w:t>
      </w:r>
      <w:r>
        <w:rPr>
          <w:rFonts w:hAnsi="宋体"/>
          <w:color w:val="000000" w:themeColor="text1"/>
          <w:kern w:val="0"/>
          <w:szCs w:val="21"/>
          <w:highlight w:val="none"/>
          <w14:textFill>
            <w14:solidFill>
              <w14:schemeClr w14:val="tx1"/>
            </w14:solidFill>
          </w14:textFill>
        </w:rPr>
        <w:t>天内下达开工通知的违约责任：</w:t>
      </w:r>
      <w:r>
        <w:rPr>
          <w:rFonts w:hint="eastAsia" w:ascii="宋体" w:hAnsi="宋体"/>
          <w:color w:val="000000" w:themeColor="text1"/>
          <w:kern w:val="0"/>
          <w:szCs w:val="21"/>
          <w:highlight w:val="none"/>
          <w14:textFill>
            <w14:solidFill>
              <w14:schemeClr w14:val="tx1"/>
            </w14:solidFill>
          </w14:textFill>
        </w:rPr>
        <w:t>开工时间相应顺延 。</w:t>
      </w:r>
    </w:p>
    <w:p w14:paraId="6E3C0F2E">
      <w:pPr>
        <w:spacing w:line="360" w:lineRule="auto"/>
        <w:ind w:firstLine="420" w:firstLineChars="200"/>
        <w:jc w:val="left"/>
        <w:rPr>
          <w:color w:val="000000" w:themeColor="text1"/>
          <w:kern w:val="0"/>
          <w:szCs w:val="21"/>
          <w:highlight w:val="none"/>
          <w14:textFill>
            <w14:solidFill>
              <w14:schemeClr w14:val="tx1"/>
            </w14:solidFill>
          </w14:textFill>
        </w:rPr>
      </w:pPr>
      <w:r>
        <w:rPr>
          <w:rFonts w:hAnsi="宋体"/>
          <w:color w:val="000000" w:themeColor="text1"/>
          <w:kern w:val="0"/>
          <w:szCs w:val="21"/>
          <w:highlight w:val="none"/>
          <w14:textFill>
            <w14:solidFill>
              <w14:schemeClr w14:val="tx1"/>
            </w14:solidFill>
          </w14:textFill>
        </w:rPr>
        <w:t>（</w:t>
      </w:r>
      <w:r>
        <w:rPr>
          <w:color w:val="000000" w:themeColor="text1"/>
          <w:kern w:val="0"/>
          <w:szCs w:val="21"/>
          <w:highlight w:val="none"/>
          <w14:textFill>
            <w14:solidFill>
              <w14:schemeClr w14:val="tx1"/>
            </w14:solidFill>
          </w14:textFill>
        </w:rPr>
        <w:t>2</w:t>
      </w:r>
      <w:r>
        <w:rPr>
          <w:rFonts w:hAnsi="宋体"/>
          <w:color w:val="000000" w:themeColor="text1"/>
          <w:kern w:val="0"/>
          <w:szCs w:val="21"/>
          <w:highlight w:val="none"/>
          <w14:textFill>
            <w14:solidFill>
              <w14:schemeClr w14:val="tx1"/>
            </w14:solidFill>
          </w14:textFill>
        </w:rPr>
        <w:t>）因发包人原因未能按合同约定支付合同价款的违约责任：</w:t>
      </w:r>
      <w:r>
        <w:rPr>
          <w:rFonts w:hint="eastAsia" w:ascii="宋体" w:hAnsi="宋体"/>
          <w:color w:val="000000" w:themeColor="text1"/>
          <w:kern w:val="0"/>
          <w:szCs w:val="21"/>
          <w:highlight w:val="none"/>
          <w14:textFill>
            <w14:solidFill>
              <w14:schemeClr w14:val="tx1"/>
            </w14:solidFill>
          </w14:textFill>
        </w:rPr>
        <w:t>每逾期一天，发包人应以逾期付款额为基数，按中国人民银行发布的同期同类贷款基准利率支付违约金</w:t>
      </w:r>
      <w:r>
        <w:rPr>
          <w:rFonts w:hAnsi="宋体"/>
          <w:color w:val="000000" w:themeColor="text1"/>
          <w:kern w:val="0"/>
          <w:szCs w:val="21"/>
          <w:highlight w:val="none"/>
          <w14:textFill>
            <w14:solidFill>
              <w14:schemeClr w14:val="tx1"/>
            </w14:solidFill>
          </w14:textFill>
        </w:rPr>
        <w:t>。</w:t>
      </w:r>
    </w:p>
    <w:p w14:paraId="0FE72E13">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Ansi="宋体"/>
          <w:color w:val="000000" w:themeColor="text1"/>
          <w:kern w:val="0"/>
          <w:szCs w:val="21"/>
          <w:highlight w:val="none"/>
          <w14:textFill>
            <w14:solidFill>
              <w14:schemeClr w14:val="tx1"/>
            </w14:solidFill>
          </w14:textFill>
        </w:rPr>
        <w:t>（</w:t>
      </w:r>
      <w:r>
        <w:rPr>
          <w:color w:val="000000" w:themeColor="text1"/>
          <w:kern w:val="0"/>
          <w:szCs w:val="21"/>
          <w:highlight w:val="none"/>
          <w14:textFill>
            <w14:solidFill>
              <w14:schemeClr w14:val="tx1"/>
            </w14:solidFill>
          </w14:textFill>
        </w:rPr>
        <w:t>3</w:t>
      </w:r>
      <w:r>
        <w:rPr>
          <w:rFonts w:hAnsi="宋体"/>
          <w:color w:val="000000" w:themeColor="text1"/>
          <w:kern w:val="0"/>
          <w:szCs w:val="21"/>
          <w:highlight w:val="none"/>
          <w14:textFill>
            <w14:solidFill>
              <w14:schemeClr w14:val="tx1"/>
            </w14:solidFill>
          </w14:textFill>
        </w:rPr>
        <w:t>）发包人违反第</w:t>
      </w:r>
      <w:r>
        <w:rPr>
          <w:color w:val="000000" w:themeColor="text1"/>
          <w:kern w:val="0"/>
          <w:szCs w:val="21"/>
          <w:highlight w:val="none"/>
          <w14:textFill>
            <w14:solidFill>
              <w14:schemeClr w14:val="tx1"/>
            </w14:solidFill>
          </w14:textFill>
        </w:rPr>
        <w:t>10.1</w:t>
      </w:r>
      <w:r>
        <w:rPr>
          <w:rFonts w:hAnsi="宋体"/>
          <w:color w:val="000000" w:themeColor="text1"/>
          <w:kern w:val="0"/>
          <w:szCs w:val="21"/>
          <w:highlight w:val="none"/>
          <w14:textFill>
            <w14:solidFill>
              <w14:schemeClr w14:val="tx1"/>
            </w14:solidFill>
          </w14:textFill>
        </w:rPr>
        <w:t>款〔变更的范围〕第（</w:t>
      </w:r>
      <w:r>
        <w:rPr>
          <w:color w:val="000000" w:themeColor="text1"/>
          <w:kern w:val="0"/>
          <w:szCs w:val="21"/>
          <w:highlight w:val="none"/>
          <w14:textFill>
            <w14:solidFill>
              <w14:schemeClr w14:val="tx1"/>
            </w14:solidFill>
          </w14:textFill>
        </w:rPr>
        <w:t>2</w:t>
      </w:r>
      <w:r>
        <w:rPr>
          <w:rFonts w:hAnsi="宋体"/>
          <w:color w:val="000000" w:themeColor="text1"/>
          <w:kern w:val="0"/>
          <w:szCs w:val="21"/>
          <w:highlight w:val="none"/>
          <w14:textFill>
            <w14:solidFill>
              <w14:schemeClr w14:val="tx1"/>
            </w14:solidFill>
          </w14:textFill>
        </w:rPr>
        <w:t>）项约定，自行实施被取消的工作或转由他人实施的违约责任：</w:t>
      </w:r>
      <w:r>
        <w:rPr>
          <w:rFonts w:hint="eastAsia"/>
          <w:color w:val="000000" w:themeColor="text1"/>
          <w:kern w:val="0"/>
          <w:szCs w:val="21"/>
          <w:highlight w:val="none"/>
          <w14:textFill>
            <w14:solidFill>
              <w14:schemeClr w14:val="tx1"/>
            </w14:solidFill>
          </w14:textFill>
        </w:rPr>
        <w:t>双</w:t>
      </w:r>
      <w:r>
        <w:rPr>
          <w:rFonts w:hint="eastAsia" w:ascii="宋体" w:hAnsi="宋体"/>
          <w:color w:val="000000" w:themeColor="text1"/>
          <w:kern w:val="0"/>
          <w:szCs w:val="21"/>
          <w:highlight w:val="none"/>
          <w14:textFill>
            <w14:solidFill>
              <w14:schemeClr w14:val="tx1"/>
            </w14:solidFill>
          </w14:textFill>
        </w:rPr>
        <w:t>方另行商定，如承包人不同意实施的除外。</w:t>
      </w:r>
    </w:p>
    <w:p w14:paraId="08A0E278">
      <w:pPr>
        <w:spacing w:line="400" w:lineRule="exact"/>
        <w:ind w:firstLine="420" w:firstLineChars="200"/>
        <w:jc w:val="left"/>
        <w:rPr>
          <w:rFonts w:ascii="宋体" w:hAnsi="宋体"/>
          <w:color w:val="000000" w:themeColor="text1"/>
          <w:kern w:val="0"/>
          <w:szCs w:val="21"/>
          <w:highlight w:val="none"/>
          <w14:textFill>
            <w14:solidFill>
              <w14:schemeClr w14:val="tx1"/>
            </w14:solidFill>
          </w14:textFill>
        </w:rPr>
      </w:pPr>
      <w:r>
        <w:rPr>
          <w:rFonts w:hAnsi="宋体"/>
          <w:color w:val="000000" w:themeColor="text1"/>
          <w:kern w:val="0"/>
          <w:szCs w:val="21"/>
          <w:highlight w:val="none"/>
          <w14:textFill>
            <w14:solidFill>
              <w14:schemeClr w14:val="tx1"/>
            </w14:solidFill>
          </w14:textFill>
        </w:rPr>
        <w:t>（</w:t>
      </w:r>
      <w:r>
        <w:rPr>
          <w:color w:val="000000" w:themeColor="text1"/>
          <w:kern w:val="0"/>
          <w:szCs w:val="21"/>
          <w:highlight w:val="none"/>
          <w14:textFill>
            <w14:solidFill>
              <w14:schemeClr w14:val="tx1"/>
            </w14:solidFill>
          </w14:textFill>
        </w:rPr>
        <w:t>4</w:t>
      </w:r>
      <w:r>
        <w:rPr>
          <w:rFonts w:hAnsi="宋体"/>
          <w:color w:val="000000" w:themeColor="text1"/>
          <w:kern w:val="0"/>
          <w:szCs w:val="21"/>
          <w:highlight w:val="none"/>
          <w14:textFill>
            <w14:solidFill>
              <w14:schemeClr w14:val="tx1"/>
            </w14:solidFill>
          </w14:textFill>
        </w:rPr>
        <w:t>）发包人提供的材料、工程设备的规格、数量或质量不符合合同约定，或因发包人原因导致交货日期延误或交货地点变更等情况的违约责任：</w:t>
      </w:r>
      <w:r>
        <w:rPr>
          <w:rFonts w:hint="eastAsia" w:ascii="宋体" w:hAnsi="宋体"/>
          <w:color w:val="000000" w:themeColor="text1"/>
          <w:kern w:val="0"/>
          <w:szCs w:val="21"/>
          <w:highlight w:val="none"/>
          <w14:textFill>
            <w14:solidFill>
              <w14:schemeClr w14:val="tx1"/>
            </w14:solidFill>
          </w14:textFill>
        </w:rPr>
        <w:t>发包人提供的材料、工程设备的规格、数量或质量不符合合同约定，如影响工期的，工期相应顺延由发包人负责</w:t>
      </w:r>
      <w:r>
        <w:rPr>
          <w:rFonts w:hint="eastAsia" w:ascii="宋体" w:hAnsi="宋体"/>
          <w:color w:val="000000" w:themeColor="text1"/>
          <w:kern w:val="0"/>
          <w:szCs w:val="21"/>
          <w:highlight w:val="none"/>
          <w:lang w:eastAsia="zh-CN"/>
          <w14:textFill>
            <w14:solidFill>
              <w14:schemeClr w14:val="tx1"/>
            </w14:solidFill>
          </w14:textFill>
        </w:rPr>
        <w:t>；</w:t>
      </w:r>
      <w:r>
        <w:rPr>
          <w:rFonts w:hint="eastAsia" w:ascii="宋体" w:hAnsi="宋体"/>
          <w:color w:val="000000" w:themeColor="text1"/>
          <w:kern w:val="0"/>
          <w:szCs w:val="21"/>
          <w:highlight w:val="none"/>
          <w14:textFill>
            <w14:solidFill>
              <w14:schemeClr w14:val="tx1"/>
            </w14:solidFill>
          </w14:textFill>
        </w:rPr>
        <w:t>如造成承包人返工的，发包人应负责承担返工费用。</w:t>
      </w:r>
    </w:p>
    <w:p w14:paraId="2A02D984">
      <w:pPr>
        <w:spacing w:line="360" w:lineRule="auto"/>
        <w:ind w:firstLine="420" w:firstLineChars="200"/>
        <w:jc w:val="left"/>
        <w:rPr>
          <w:color w:val="000000" w:themeColor="text1"/>
          <w:kern w:val="0"/>
          <w:szCs w:val="21"/>
          <w:highlight w:val="none"/>
          <w:u w:val="single"/>
          <w14:textFill>
            <w14:solidFill>
              <w14:schemeClr w14:val="tx1"/>
            </w14:solidFill>
          </w14:textFill>
        </w:rPr>
      </w:pPr>
      <w:r>
        <w:rPr>
          <w:rFonts w:hAnsi="宋体"/>
          <w:color w:val="000000" w:themeColor="text1"/>
          <w:kern w:val="0"/>
          <w:szCs w:val="21"/>
          <w:highlight w:val="none"/>
          <w14:textFill>
            <w14:solidFill>
              <w14:schemeClr w14:val="tx1"/>
            </w14:solidFill>
          </w14:textFill>
        </w:rPr>
        <w:t>（</w:t>
      </w:r>
      <w:r>
        <w:rPr>
          <w:color w:val="000000" w:themeColor="text1"/>
          <w:kern w:val="0"/>
          <w:szCs w:val="21"/>
          <w:highlight w:val="none"/>
          <w14:textFill>
            <w14:solidFill>
              <w14:schemeClr w14:val="tx1"/>
            </w14:solidFill>
          </w14:textFill>
        </w:rPr>
        <w:t>5</w:t>
      </w:r>
      <w:r>
        <w:rPr>
          <w:rFonts w:hAnsi="宋体"/>
          <w:color w:val="000000" w:themeColor="text1"/>
          <w:kern w:val="0"/>
          <w:szCs w:val="21"/>
          <w:highlight w:val="none"/>
          <w14:textFill>
            <w14:solidFill>
              <w14:schemeClr w14:val="tx1"/>
            </w14:solidFill>
          </w14:textFill>
        </w:rPr>
        <w:t>）因发包人违反合同约定造成暂停施工的违约责任：</w:t>
      </w:r>
      <w:r>
        <w:rPr>
          <w:rFonts w:hint="eastAsia"/>
          <w:color w:val="000000" w:themeColor="text1"/>
          <w:kern w:val="0"/>
          <w:szCs w:val="21"/>
          <w:highlight w:val="none"/>
          <w14:textFill>
            <w14:solidFill>
              <w14:schemeClr w14:val="tx1"/>
            </w14:solidFill>
          </w14:textFill>
        </w:rPr>
        <w:t>工期顺延</w:t>
      </w:r>
      <w:r>
        <w:rPr>
          <w:rFonts w:hAnsi="宋体"/>
          <w:color w:val="000000" w:themeColor="text1"/>
          <w:kern w:val="0"/>
          <w:szCs w:val="21"/>
          <w:highlight w:val="none"/>
          <w14:textFill>
            <w14:solidFill>
              <w14:schemeClr w14:val="tx1"/>
            </w14:solidFill>
          </w14:textFill>
        </w:rPr>
        <w:t>。</w:t>
      </w:r>
    </w:p>
    <w:p w14:paraId="07AC95AA">
      <w:pPr>
        <w:spacing w:line="360" w:lineRule="auto"/>
        <w:ind w:firstLine="420" w:firstLineChars="200"/>
        <w:jc w:val="left"/>
        <w:rPr>
          <w:color w:val="000000" w:themeColor="text1"/>
          <w:kern w:val="0"/>
          <w:szCs w:val="21"/>
          <w:highlight w:val="none"/>
          <w14:textFill>
            <w14:solidFill>
              <w14:schemeClr w14:val="tx1"/>
            </w14:solidFill>
          </w14:textFill>
        </w:rPr>
      </w:pPr>
      <w:r>
        <w:rPr>
          <w:rFonts w:hAnsi="宋体"/>
          <w:color w:val="000000" w:themeColor="text1"/>
          <w:kern w:val="0"/>
          <w:szCs w:val="21"/>
          <w:highlight w:val="none"/>
          <w14:textFill>
            <w14:solidFill>
              <w14:schemeClr w14:val="tx1"/>
            </w14:solidFill>
          </w14:textFill>
        </w:rPr>
        <w:t>（</w:t>
      </w:r>
      <w:r>
        <w:rPr>
          <w:color w:val="000000" w:themeColor="text1"/>
          <w:kern w:val="0"/>
          <w:szCs w:val="21"/>
          <w:highlight w:val="none"/>
          <w14:textFill>
            <w14:solidFill>
              <w14:schemeClr w14:val="tx1"/>
            </w14:solidFill>
          </w14:textFill>
        </w:rPr>
        <w:t>6</w:t>
      </w:r>
      <w:r>
        <w:rPr>
          <w:rFonts w:hAnsi="宋体"/>
          <w:color w:val="000000" w:themeColor="text1"/>
          <w:kern w:val="0"/>
          <w:szCs w:val="21"/>
          <w:highlight w:val="none"/>
          <w14:textFill>
            <w14:solidFill>
              <w14:schemeClr w14:val="tx1"/>
            </w14:solidFill>
          </w14:textFill>
        </w:rPr>
        <w:t>）发包人无正当理由没有在约定期限内发出复工指示，导致承包人无法复工的违约责任：</w:t>
      </w:r>
      <w:r>
        <w:rPr>
          <w:rFonts w:hint="eastAsia"/>
          <w:color w:val="000000" w:themeColor="text1"/>
          <w:kern w:val="0"/>
          <w:szCs w:val="21"/>
          <w:highlight w:val="none"/>
          <w:u w:val="single"/>
          <w14:textFill>
            <w14:solidFill>
              <w14:schemeClr w14:val="tx1"/>
            </w14:solidFill>
          </w14:textFill>
        </w:rPr>
        <w:t>工期顺延</w:t>
      </w:r>
      <w:r>
        <w:rPr>
          <w:rFonts w:hAnsi="宋体"/>
          <w:color w:val="000000" w:themeColor="text1"/>
          <w:kern w:val="0"/>
          <w:szCs w:val="21"/>
          <w:highlight w:val="none"/>
          <w14:textFill>
            <w14:solidFill>
              <w14:schemeClr w14:val="tx1"/>
            </w14:solidFill>
          </w14:textFill>
        </w:rPr>
        <w:t>。</w:t>
      </w:r>
    </w:p>
    <w:p w14:paraId="40F5368D">
      <w:pPr>
        <w:spacing w:line="360" w:lineRule="auto"/>
        <w:ind w:firstLine="420" w:firstLineChars="200"/>
        <w:jc w:val="left"/>
        <w:rPr>
          <w:color w:val="000000" w:themeColor="text1"/>
          <w:kern w:val="0"/>
          <w:szCs w:val="21"/>
          <w:highlight w:val="none"/>
          <w14:textFill>
            <w14:solidFill>
              <w14:schemeClr w14:val="tx1"/>
            </w14:solidFill>
          </w14:textFill>
        </w:rPr>
      </w:pPr>
      <w:r>
        <w:rPr>
          <w:rFonts w:hAnsi="宋体"/>
          <w:color w:val="000000" w:themeColor="text1"/>
          <w:kern w:val="0"/>
          <w:szCs w:val="21"/>
          <w:highlight w:val="none"/>
          <w14:textFill>
            <w14:solidFill>
              <w14:schemeClr w14:val="tx1"/>
            </w14:solidFill>
          </w14:textFill>
        </w:rPr>
        <w:t>（</w:t>
      </w:r>
      <w:r>
        <w:rPr>
          <w:color w:val="000000" w:themeColor="text1"/>
          <w:kern w:val="0"/>
          <w:szCs w:val="21"/>
          <w:highlight w:val="none"/>
          <w14:textFill>
            <w14:solidFill>
              <w14:schemeClr w14:val="tx1"/>
            </w14:solidFill>
          </w14:textFill>
        </w:rPr>
        <w:t>7</w:t>
      </w:r>
      <w:r>
        <w:rPr>
          <w:rFonts w:hAnsi="宋体"/>
          <w:color w:val="000000" w:themeColor="text1"/>
          <w:kern w:val="0"/>
          <w:szCs w:val="21"/>
          <w:highlight w:val="none"/>
          <w14:textFill>
            <w14:solidFill>
              <w14:schemeClr w14:val="tx1"/>
            </w14:solidFill>
          </w14:textFill>
        </w:rPr>
        <w:t>）其他：</w:t>
      </w:r>
      <w:r>
        <w:rPr>
          <w:rFonts w:hint="eastAsia"/>
          <w:color w:val="000000" w:themeColor="text1"/>
          <w:kern w:val="0"/>
          <w:szCs w:val="21"/>
          <w:highlight w:val="none"/>
          <w:u w:val="single"/>
          <w14:textFill>
            <w14:solidFill>
              <w14:schemeClr w14:val="tx1"/>
            </w14:solidFill>
          </w14:textFill>
        </w:rPr>
        <w:t>无</w:t>
      </w:r>
      <w:r>
        <w:rPr>
          <w:rFonts w:hAnsi="宋体"/>
          <w:color w:val="000000" w:themeColor="text1"/>
          <w:kern w:val="0"/>
          <w:szCs w:val="21"/>
          <w:highlight w:val="none"/>
          <w14:textFill>
            <w14:solidFill>
              <w14:schemeClr w14:val="tx1"/>
            </w14:solidFill>
          </w14:textFill>
        </w:rPr>
        <w:t>。</w:t>
      </w:r>
    </w:p>
    <w:p w14:paraId="43D954C7">
      <w:pPr>
        <w:spacing w:line="360" w:lineRule="auto"/>
        <w:ind w:firstLine="420"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16.1.3 </w:t>
      </w:r>
      <w:r>
        <w:rPr>
          <w:rFonts w:hAnsi="宋体"/>
          <w:color w:val="000000" w:themeColor="text1"/>
          <w:szCs w:val="21"/>
          <w:highlight w:val="none"/>
          <w14:textFill>
            <w14:solidFill>
              <w14:schemeClr w14:val="tx1"/>
            </w14:solidFill>
          </w14:textFill>
        </w:rPr>
        <w:t>因发包人违约解除合同</w:t>
      </w:r>
    </w:p>
    <w:p w14:paraId="046CF84A">
      <w:pPr>
        <w:autoSpaceDE w:val="0"/>
        <w:autoSpaceDN w:val="0"/>
        <w:adjustRightInd w:val="0"/>
        <w:spacing w:line="360" w:lineRule="auto"/>
        <w:ind w:firstLine="420" w:firstLineChars="200"/>
        <w:jc w:val="left"/>
        <w:rPr>
          <w:color w:val="000000" w:themeColor="text1"/>
          <w:kern w:val="0"/>
          <w:szCs w:val="21"/>
          <w:highlight w:val="none"/>
          <w14:textFill>
            <w14:solidFill>
              <w14:schemeClr w14:val="tx1"/>
            </w14:solidFill>
          </w14:textFill>
        </w:rPr>
      </w:pPr>
      <w:r>
        <w:rPr>
          <w:rFonts w:hAnsi="宋体"/>
          <w:color w:val="000000" w:themeColor="text1"/>
          <w:kern w:val="0"/>
          <w:szCs w:val="21"/>
          <w:highlight w:val="none"/>
          <w14:textFill>
            <w14:solidFill>
              <w14:schemeClr w14:val="tx1"/>
            </w14:solidFill>
          </w14:textFill>
        </w:rPr>
        <w:t>承包人按</w:t>
      </w:r>
      <w:r>
        <w:rPr>
          <w:color w:val="000000" w:themeColor="text1"/>
          <w:kern w:val="0"/>
          <w:szCs w:val="21"/>
          <w:highlight w:val="none"/>
          <w14:textFill>
            <w14:solidFill>
              <w14:schemeClr w14:val="tx1"/>
            </w14:solidFill>
          </w14:textFill>
        </w:rPr>
        <w:t>16.1.1</w:t>
      </w:r>
      <w:r>
        <w:rPr>
          <w:rFonts w:hAnsi="宋体"/>
          <w:color w:val="000000" w:themeColor="text1"/>
          <w:kern w:val="0"/>
          <w:szCs w:val="21"/>
          <w:highlight w:val="none"/>
          <w14:textFill>
            <w14:solidFill>
              <w14:schemeClr w14:val="tx1"/>
            </w14:solidFill>
          </w14:textFill>
        </w:rPr>
        <w:t>项〔发包人违约的情形〕约定暂停施工满</w:t>
      </w:r>
      <w:r>
        <w:rPr>
          <w:color w:val="000000" w:themeColor="text1"/>
          <w:kern w:val="0"/>
          <w:szCs w:val="21"/>
          <w:highlight w:val="none"/>
          <w:u w:val="single"/>
          <w14:textFill>
            <w14:solidFill>
              <w14:schemeClr w14:val="tx1"/>
            </w14:solidFill>
          </w14:textFill>
        </w:rPr>
        <w:t xml:space="preserve"> 90 </w:t>
      </w:r>
      <w:r>
        <w:rPr>
          <w:rFonts w:hAnsi="宋体"/>
          <w:color w:val="000000" w:themeColor="text1"/>
          <w:kern w:val="0"/>
          <w:szCs w:val="21"/>
          <w:highlight w:val="none"/>
          <w14:textFill>
            <w14:solidFill>
              <w14:schemeClr w14:val="tx1"/>
            </w14:solidFill>
          </w14:textFill>
        </w:rPr>
        <w:t>天后发包人仍不纠正其违约行为并致使合同目的不能实现的，承包人有权解除合同。</w:t>
      </w:r>
    </w:p>
    <w:p w14:paraId="2B2A0DC0">
      <w:pPr>
        <w:keepNext/>
        <w:keepLines/>
        <w:spacing w:before="260" w:after="260" w:line="24" w:lineRule="auto"/>
        <w:outlineLvl w:val="2"/>
        <w:rPr>
          <w:rFonts w:ascii="宋体" w:hAnsi="宋体"/>
          <w:b/>
          <w:bCs/>
          <w:color w:val="000000" w:themeColor="text1"/>
          <w:kern w:val="0"/>
          <w:sz w:val="24"/>
          <w:szCs w:val="32"/>
          <w:highlight w:val="none"/>
          <w14:textFill>
            <w14:solidFill>
              <w14:schemeClr w14:val="tx1"/>
            </w14:solidFill>
          </w14:textFill>
        </w:rPr>
      </w:pPr>
      <w:bookmarkStart w:id="834" w:name="_Toc373478415"/>
      <w:bookmarkStart w:id="835" w:name="_Toc373227768"/>
      <w:bookmarkStart w:id="836" w:name="_Toc389065333"/>
      <w:bookmarkStart w:id="837" w:name="_Toc465114928"/>
      <w:r>
        <w:rPr>
          <w:rFonts w:ascii="宋体" w:hAnsi="宋体"/>
          <w:b/>
          <w:bCs/>
          <w:color w:val="000000" w:themeColor="text1"/>
          <w:kern w:val="0"/>
          <w:sz w:val="24"/>
          <w:szCs w:val="32"/>
          <w:highlight w:val="none"/>
          <w14:textFill>
            <w14:solidFill>
              <w14:schemeClr w14:val="tx1"/>
            </w14:solidFill>
          </w14:textFill>
        </w:rPr>
        <w:t>16.2 承包人违约</w:t>
      </w:r>
      <w:bookmarkEnd w:id="834"/>
      <w:bookmarkEnd w:id="835"/>
      <w:bookmarkEnd w:id="836"/>
      <w:bookmarkEnd w:id="837"/>
    </w:p>
    <w:p w14:paraId="7E7EDB01">
      <w:pPr>
        <w:spacing w:line="360" w:lineRule="auto"/>
        <w:ind w:firstLine="420" w:firstLineChars="200"/>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xml:space="preserve">16.2.1 </w:t>
      </w:r>
      <w:r>
        <w:rPr>
          <w:rFonts w:hAnsi="宋体"/>
          <w:color w:val="000000" w:themeColor="text1"/>
          <w:kern w:val="0"/>
          <w:szCs w:val="21"/>
          <w:highlight w:val="none"/>
          <w14:textFill>
            <w14:solidFill>
              <w14:schemeClr w14:val="tx1"/>
            </w14:solidFill>
          </w14:textFill>
        </w:rPr>
        <w:t>承包人违约的情形</w:t>
      </w:r>
    </w:p>
    <w:p w14:paraId="3EF4B18D">
      <w:pPr>
        <w:spacing w:line="360" w:lineRule="auto"/>
        <w:ind w:firstLine="420" w:firstLineChars="200"/>
        <w:jc w:val="left"/>
        <w:rPr>
          <w:color w:val="000000" w:themeColor="text1"/>
          <w:kern w:val="0"/>
          <w:szCs w:val="21"/>
          <w:highlight w:val="none"/>
          <w:u w:val="single"/>
          <w14:textFill>
            <w14:solidFill>
              <w14:schemeClr w14:val="tx1"/>
            </w14:solidFill>
          </w14:textFill>
        </w:rPr>
      </w:pPr>
      <w:r>
        <w:rPr>
          <w:rFonts w:hAnsi="宋体"/>
          <w:color w:val="000000" w:themeColor="text1"/>
          <w:kern w:val="0"/>
          <w:szCs w:val="21"/>
          <w:highlight w:val="none"/>
          <w14:textFill>
            <w14:solidFill>
              <w14:schemeClr w14:val="tx1"/>
            </w14:solidFill>
          </w14:textFill>
        </w:rPr>
        <w:t>承包人违约的其他情形：</w:t>
      </w:r>
      <w:r>
        <w:rPr>
          <w:rFonts w:hint="eastAsia"/>
          <w:color w:val="000000" w:themeColor="text1"/>
          <w:kern w:val="0"/>
          <w:szCs w:val="21"/>
          <w:highlight w:val="none"/>
          <w:u w:val="single"/>
          <w14:textFill>
            <w14:solidFill>
              <w14:schemeClr w14:val="tx1"/>
            </w14:solidFill>
          </w14:textFill>
        </w:rPr>
        <w:t>承包人未在约定的时间内提供完整的工程竣工结算资料，经发包人书面催促后28天内仍未提交。</w:t>
      </w:r>
    </w:p>
    <w:p w14:paraId="023B02CF">
      <w:pPr>
        <w:spacing w:line="360" w:lineRule="auto"/>
        <w:ind w:firstLine="420" w:firstLineChars="200"/>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16.2.2</w:t>
      </w:r>
      <w:r>
        <w:rPr>
          <w:rFonts w:hAnsi="宋体"/>
          <w:color w:val="000000" w:themeColor="text1"/>
          <w:kern w:val="0"/>
          <w:szCs w:val="21"/>
          <w:highlight w:val="none"/>
          <w14:textFill>
            <w14:solidFill>
              <w14:schemeClr w14:val="tx1"/>
            </w14:solidFill>
          </w14:textFill>
        </w:rPr>
        <w:t>承包人违约的责任</w:t>
      </w:r>
    </w:p>
    <w:p w14:paraId="3612580D">
      <w:pPr>
        <w:spacing w:line="360" w:lineRule="auto"/>
        <w:ind w:firstLine="420" w:firstLineChars="200"/>
        <w:jc w:val="left"/>
        <w:rPr>
          <w:color w:val="000000" w:themeColor="text1"/>
          <w:kern w:val="0"/>
          <w:szCs w:val="21"/>
          <w:highlight w:val="none"/>
          <w14:textFill>
            <w14:solidFill>
              <w14:schemeClr w14:val="tx1"/>
            </w14:solidFill>
          </w14:textFill>
        </w:rPr>
      </w:pPr>
      <w:r>
        <w:rPr>
          <w:rFonts w:hAnsi="宋体"/>
          <w:color w:val="000000" w:themeColor="text1"/>
          <w:kern w:val="0"/>
          <w:szCs w:val="21"/>
          <w:highlight w:val="none"/>
          <w14:textFill>
            <w14:solidFill>
              <w14:schemeClr w14:val="tx1"/>
            </w14:solidFill>
          </w14:textFill>
        </w:rPr>
        <w:t>承包人违约责任的承担方式和计算方法：</w:t>
      </w:r>
    </w:p>
    <w:p w14:paraId="12970CC0">
      <w:pPr>
        <w:spacing w:line="360" w:lineRule="auto"/>
        <w:ind w:firstLine="420" w:firstLineChars="200"/>
        <w:jc w:val="left"/>
        <w:rPr>
          <w:rFonts w:hAnsi="宋体"/>
          <w:color w:val="000000" w:themeColor="text1"/>
          <w:kern w:val="0"/>
          <w:szCs w:val="21"/>
          <w:highlight w:val="none"/>
          <w14:textFill>
            <w14:solidFill>
              <w14:schemeClr w14:val="tx1"/>
            </w14:solidFill>
          </w14:textFill>
        </w:rPr>
      </w:pPr>
      <w:r>
        <w:rPr>
          <w:rFonts w:hAnsi="宋体"/>
          <w:color w:val="000000" w:themeColor="text1"/>
          <w:kern w:val="0"/>
          <w:szCs w:val="21"/>
          <w:highlight w:val="none"/>
          <w14:textFill>
            <w14:solidFill>
              <w14:schemeClr w14:val="tx1"/>
            </w14:solidFill>
          </w14:textFill>
        </w:rPr>
        <w:t>（</w:t>
      </w:r>
      <w:r>
        <w:rPr>
          <w:color w:val="000000" w:themeColor="text1"/>
          <w:kern w:val="0"/>
          <w:szCs w:val="21"/>
          <w:highlight w:val="none"/>
          <w14:textFill>
            <w14:solidFill>
              <w14:schemeClr w14:val="tx1"/>
            </w14:solidFill>
          </w14:textFill>
        </w:rPr>
        <w:t>1</w:t>
      </w:r>
      <w:r>
        <w:rPr>
          <w:rFonts w:hAnsi="宋体"/>
          <w:color w:val="000000" w:themeColor="text1"/>
          <w:kern w:val="0"/>
          <w:szCs w:val="21"/>
          <w:highlight w:val="none"/>
          <w14:textFill>
            <w14:solidFill>
              <w14:schemeClr w14:val="tx1"/>
            </w14:solidFill>
          </w14:textFill>
        </w:rPr>
        <w:t>）承包人未按本合同通用条款第</w:t>
      </w:r>
      <w:r>
        <w:rPr>
          <w:color w:val="000000" w:themeColor="text1"/>
          <w:kern w:val="0"/>
          <w:szCs w:val="21"/>
          <w:highlight w:val="none"/>
          <w14:textFill>
            <w14:solidFill>
              <w14:schemeClr w14:val="tx1"/>
            </w14:solidFill>
          </w14:textFill>
        </w:rPr>
        <w:t>16.2.1</w:t>
      </w:r>
      <w:r>
        <w:rPr>
          <w:rFonts w:hAnsi="宋体"/>
          <w:color w:val="000000" w:themeColor="text1"/>
          <w:kern w:val="0"/>
          <w:szCs w:val="21"/>
          <w:highlight w:val="none"/>
          <w14:textFill>
            <w14:solidFill>
              <w14:schemeClr w14:val="tx1"/>
            </w14:solidFill>
          </w14:textFill>
        </w:rPr>
        <w:t>（</w:t>
      </w:r>
      <w:r>
        <w:rPr>
          <w:color w:val="000000" w:themeColor="text1"/>
          <w:kern w:val="0"/>
          <w:szCs w:val="21"/>
          <w:highlight w:val="none"/>
          <w14:textFill>
            <w14:solidFill>
              <w14:schemeClr w14:val="tx1"/>
            </w14:solidFill>
          </w14:textFill>
        </w:rPr>
        <w:t>2</w:t>
      </w:r>
      <w:r>
        <w:rPr>
          <w:rFonts w:hAnsi="宋体"/>
          <w:color w:val="000000" w:themeColor="text1"/>
          <w:kern w:val="0"/>
          <w:szCs w:val="21"/>
          <w:highlight w:val="none"/>
          <w14:textFill>
            <w14:solidFill>
              <w14:schemeClr w14:val="tx1"/>
            </w14:solidFill>
          </w14:textFill>
        </w:rPr>
        <w:t>）</w:t>
      </w:r>
      <w:r>
        <w:rPr>
          <w:rFonts w:hint="eastAsia" w:hAnsi="宋体"/>
          <w:color w:val="000000" w:themeColor="text1"/>
          <w:kern w:val="0"/>
          <w:szCs w:val="21"/>
          <w:highlight w:val="none"/>
          <w14:textFill>
            <w14:solidFill>
              <w14:schemeClr w14:val="tx1"/>
            </w14:solidFill>
          </w14:textFill>
        </w:rPr>
        <w:t>、</w:t>
      </w:r>
      <w:r>
        <w:rPr>
          <w:rFonts w:hAnsi="宋体"/>
          <w:color w:val="000000" w:themeColor="text1"/>
          <w:kern w:val="0"/>
          <w:szCs w:val="21"/>
          <w:highlight w:val="none"/>
          <w14:textFill>
            <w14:solidFill>
              <w14:schemeClr w14:val="tx1"/>
            </w14:solidFill>
          </w14:textFill>
        </w:rPr>
        <w:t>（</w:t>
      </w:r>
      <w:r>
        <w:rPr>
          <w:color w:val="000000" w:themeColor="text1"/>
          <w:kern w:val="0"/>
          <w:szCs w:val="21"/>
          <w:highlight w:val="none"/>
          <w14:textFill>
            <w14:solidFill>
              <w14:schemeClr w14:val="tx1"/>
            </w14:solidFill>
          </w14:textFill>
        </w:rPr>
        <w:t>3</w:t>
      </w:r>
      <w:r>
        <w:rPr>
          <w:rFonts w:hAnsi="宋体"/>
          <w:color w:val="000000" w:themeColor="text1"/>
          <w:kern w:val="0"/>
          <w:szCs w:val="21"/>
          <w:highlight w:val="none"/>
          <w14:textFill>
            <w14:solidFill>
              <w14:schemeClr w14:val="tx1"/>
            </w14:solidFill>
          </w14:textFill>
        </w:rPr>
        <w:t>）条内容完成的，承包人无条件返工处理，修复至工程质量要求并承担相关费用，并在发包人规定的时间内完成返工，否则发包人有权扣罚该分项工程</w:t>
      </w:r>
      <w:r>
        <w:rPr>
          <w:color w:val="000000" w:themeColor="text1"/>
          <w:kern w:val="0"/>
          <w:szCs w:val="21"/>
          <w:highlight w:val="none"/>
          <w14:textFill>
            <w14:solidFill>
              <w14:schemeClr w14:val="tx1"/>
            </w14:solidFill>
          </w14:textFill>
        </w:rPr>
        <w:t>%</w:t>
      </w:r>
      <w:r>
        <w:rPr>
          <w:rFonts w:hAnsi="宋体"/>
          <w:color w:val="000000" w:themeColor="text1"/>
          <w:kern w:val="0"/>
          <w:szCs w:val="21"/>
          <w:highlight w:val="none"/>
          <w14:textFill>
            <w14:solidFill>
              <w14:schemeClr w14:val="tx1"/>
            </w14:solidFill>
          </w14:textFill>
        </w:rPr>
        <w:t>的工程款作为处罚。</w:t>
      </w:r>
    </w:p>
    <w:p w14:paraId="1221546C">
      <w:pPr>
        <w:spacing w:line="360" w:lineRule="auto"/>
        <w:ind w:firstLine="420" w:firstLineChars="200"/>
        <w:jc w:val="left"/>
        <w:rPr>
          <w:rFonts w:hAnsi="宋体"/>
          <w:color w:val="000000" w:themeColor="text1"/>
          <w:kern w:val="0"/>
          <w:szCs w:val="21"/>
          <w:highlight w:val="none"/>
          <w14:textFill>
            <w14:solidFill>
              <w14:schemeClr w14:val="tx1"/>
            </w14:solidFill>
          </w14:textFill>
        </w:rPr>
      </w:pPr>
      <w:r>
        <w:rPr>
          <w:rFonts w:hAnsi="宋体"/>
          <w:color w:val="000000" w:themeColor="text1"/>
          <w:kern w:val="0"/>
          <w:szCs w:val="21"/>
          <w:highlight w:val="none"/>
          <w14:textFill>
            <w14:solidFill>
              <w14:schemeClr w14:val="tx1"/>
            </w14:solidFill>
          </w14:textFill>
        </w:rPr>
        <w:t>（</w:t>
      </w:r>
      <w:r>
        <w:rPr>
          <w:color w:val="000000" w:themeColor="text1"/>
          <w:kern w:val="0"/>
          <w:szCs w:val="21"/>
          <w:highlight w:val="none"/>
          <w14:textFill>
            <w14:solidFill>
              <w14:schemeClr w14:val="tx1"/>
            </w14:solidFill>
          </w14:textFill>
        </w:rPr>
        <w:t>2</w:t>
      </w:r>
      <w:r>
        <w:rPr>
          <w:rFonts w:hAnsi="宋体"/>
          <w:color w:val="000000" w:themeColor="text1"/>
          <w:kern w:val="0"/>
          <w:szCs w:val="21"/>
          <w:highlight w:val="none"/>
          <w14:textFill>
            <w14:solidFill>
              <w14:schemeClr w14:val="tx1"/>
            </w14:solidFill>
          </w14:textFill>
        </w:rPr>
        <w:t>）承包人有本合同通用条款第</w:t>
      </w:r>
      <w:r>
        <w:rPr>
          <w:color w:val="000000" w:themeColor="text1"/>
          <w:kern w:val="0"/>
          <w:szCs w:val="21"/>
          <w:highlight w:val="none"/>
          <w14:textFill>
            <w14:solidFill>
              <w14:schemeClr w14:val="tx1"/>
            </w14:solidFill>
          </w14:textFill>
        </w:rPr>
        <w:t>16.2.1</w:t>
      </w:r>
      <w:r>
        <w:rPr>
          <w:rFonts w:hAnsi="宋体"/>
          <w:color w:val="000000" w:themeColor="text1"/>
          <w:kern w:val="0"/>
          <w:szCs w:val="21"/>
          <w:highlight w:val="none"/>
          <w14:textFill>
            <w14:solidFill>
              <w14:schemeClr w14:val="tx1"/>
            </w14:solidFill>
          </w14:textFill>
        </w:rPr>
        <w:t>（</w:t>
      </w:r>
      <w:r>
        <w:rPr>
          <w:color w:val="000000" w:themeColor="text1"/>
          <w:kern w:val="0"/>
          <w:szCs w:val="21"/>
          <w:highlight w:val="none"/>
          <w14:textFill>
            <w14:solidFill>
              <w14:schemeClr w14:val="tx1"/>
            </w14:solidFill>
          </w14:textFill>
        </w:rPr>
        <w:t>6</w:t>
      </w:r>
      <w:r>
        <w:rPr>
          <w:rFonts w:hAnsi="宋体"/>
          <w:color w:val="000000" w:themeColor="text1"/>
          <w:kern w:val="0"/>
          <w:szCs w:val="21"/>
          <w:highlight w:val="none"/>
          <w14:textFill>
            <w14:solidFill>
              <w14:schemeClr w14:val="tx1"/>
            </w14:solidFill>
          </w14:textFill>
        </w:rPr>
        <w:t>）条情形的，或经监理人检验认为修复质量不合格而承包人拒绝再进行修补的，发包人将扣除承包人全部质量保修金。</w:t>
      </w:r>
    </w:p>
    <w:p w14:paraId="5BA6A7CD">
      <w:pPr>
        <w:spacing w:line="360" w:lineRule="auto"/>
        <w:ind w:firstLine="420" w:firstLineChars="200"/>
        <w:jc w:val="left"/>
        <w:rPr>
          <w:rFonts w:hAnsi="宋体"/>
          <w:color w:val="000000" w:themeColor="text1"/>
          <w:kern w:val="0"/>
          <w:szCs w:val="21"/>
          <w:highlight w:val="none"/>
          <w14:textFill>
            <w14:solidFill>
              <w14:schemeClr w14:val="tx1"/>
            </w14:solidFill>
          </w14:textFill>
        </w:rPr>
      </w:pPr>
      <w:r>
        <w:rPr>
          <w:rFonts w:hAnsi="宋体"/>
          <w:color w:val="000000" w:themeColor="text1"/>
          <w:kern w:val="0"/>
          <w:szCs w:val="21"/>
          <w:highlight w:val="none"/>
          <w14:textFill>
            <w14:solidFill>
              <w14:schemeClr w14:val="tx1"/>
            </w14:solidFill>
          </w14:textFill>
        </w:rPr>
        <w:t>（</w:t>
      </w:r>
      <w:r>
        <w:rPr>
          <w:color w:val="000000" w:themeColor="text1"/>
          <w:kern w:val="0"/>
          <w:szCs w:val="21"/>
          <w:highlight w:val="none"/>
          <w14:textFill>
            <w14:solidFill>
              <w14:schemeClr w14:val="tx1"/>
            </w14:solidFill>
          </w14:textFill>
        </w:rPr>
        <w:t>3</w:t>
      </w:r>
      <w:r>
        <w:rPr>
          <w:rFonts w:hAnsi="宋体"/>
          <w:color w:val="000000" w:themeColor="text1"/>
          <w:kern w:val="0"/>
          <w:szCs w:val="21"/>
          <w:highlight w:val="none"/>
          <w14:textFill>
            <w14:solidFill>
              <w14:schemeClr w14:val="tx1"/>
            </w14:solidFill>
          </w14:textFill>
        </w:rPr>
        <w:t>）承包人有本专用合同条款</w:t>
      </w:r>
      <w:r>
        <w:rPr>
          <w:color w:val="000000" w:themeColor="text1"/>
          <w:kern w:val="0"/>
          <w:szCs w:val="21"/>
          <w:highlight w:val="none"/>
          <w14:textFill>
            <w14:solidFill>
              <w14:schemeClr w14:val="tx1"/>
            </w14:solidFill>
          </w14:textFill>
        </w:rPr>
        <w:t>3.2</w:t>
      </w:r>
      <w:r>
        <w:rPr>
          <w:rFonts w:hAnsi="宋体"/>
          <w:color w:val="000000" w:themeColor="text1"/>
          <w:kern w:val="0"/>
          <w:szCs w:val="21"/>
          <w:highlight w:val="none"/>
          <w14:textFill>
            <w14:solidFill>
              <w14:schemeClr w14:val="tx1"/>
            </w14:solidFill>
          </w14:textFill>
        </w:rPr>
        <w:t>、</w:t>
      </w:r>
      <w:r>
        <w:rPr>
          <w:color w:val="000000" w:themeColor="text1"/>
          <w:kern w:val="0"/>
          <w:szCs w:val="21"/>
          <w:highlight w:val="none"/>
          <w14:textFill>
            <w14:solidFill>
              <w14:schemeClr w14:val="tx1"/>
            </w14:solidFill>
          </w14:textFill>
        </w:rPr>
        <w:t>3.3</w:t>
      </w:r>
      <w:r>
        <w:rPr>
          <w:rFonts w:hAnsi="宋体"/>
          <w:color w:val="000000" w:themeColor="text1"/>
          <w:kern w:val="0"/>
          <w:szCs w:val="21"/>
          <w:highlight w:val="none"/>
          <w14:textFill>
            <w14:solidFill>
              <w14:schemeClr w14:val="tx1"/>
            </w14:solidFill>
          </w14:textFill>
        </w:rPr>
        <w:t>条违约责任的，发包人有权扣除承包人的违约金。违约金金额均在承包人的计量支付款内扣除。监理人预先下发含有罚款意向的指令，如承包人不及时采取措施纠正，则在指令下达后十五天下发罚款通知书（不再陈述罚款理由）。承包人在合同期内，完成合同规定的全部工程，且质量合格，在本工程施工竣工验收后十五天内可申请返还全部或部分罚款，返还金额由监理人审核，发包人批准。罚款金额返还时不包括银行利息。</w:t>
      </w:r>
    </w:p>
    <w:p w14:paraId="72B16A39">
      <w:pPr>
        <w:spacing w:line="360" w:lineRule="auto"/>
        <w:ind w:firstLine="420" w:firstLineChars="200"/>
        <w:jc w:val="left"/>
        <w:rPr>
          <w:rFonts w:hAnsi="宋体"/>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16.2.3 </w:t>
      </w:r>
      <w:r>
        <w:rPr>
          <w:rFonts w:hAnsi="宋体"/>
          <w:color w:val="000000" w:themeColor="text1"/>
          <w:szCs w:val="21"/>
          <w:highlight w:val="none"/>
          <w14:textFill>
            <w14:solidFill>
              <w14:schemeClr w14:val="tx1"/>
            </w14:solidFill>
          </w14:textFill>
        </w:rPr>
        <w:t>因承包人违约解除合同</w:t>
      </w:r>
    </w:p>
    <w:p w14:paraId="398FB611">
      <w:pPr>
        <w:spacing w:line="360" w:lineRule="auto"/>
        <w:ind w:firstLine="420" w:firstLineChars="200"/>
        <w:jc w:val="left"/>
        <w:rPr>
          <w:rFonts w:hAnsi="宋体"/>
          <w:color w:val="000000" w:themeColor="text1"/>
          <w:kern w:val="0"/>
          <w:szCs w:val="21"/>
          <w:highlight w:val="none"/>
          <w14:textFill>
            <w14:solidFill>
              <w14:schemeClr w14:val="tx1"/>
            </w14:solidFill>
          </w14:textFill>
        </w:rPr>
      </w:pPr>
      <w:r>
        <w:rPr>
          <w:rFonts w:hAnsi="宋体"/>
          <w:color w:val="000000" w:themeColor="text1"/>
          <w:kern w:val="0"/>
          <w:szCs w:val="21"/>
          <w:highlight w:val="none"/>
          <w14:textFill>
            <w14:solidFill>
              <w14:schemeClr w14:val="tx1"/>
            </w14:solidFill>
          </w14:textFill>
        </w:rPr>
        <w:t>关于承包人违约解除合同的特别约定：</w:t>
      </w:r>
      <w:r>
        <w:rPr>
          <w:rFonts w:hAnsi="宋体"/>
          <w:color w:val="000000" w:themeColor="text1"/>
          <w:kern w:val="0"/>
          <w:szCs w:val="21"/>
          <w:highlight w:val="none"/>
          <w:u w:val="single"/>
          <w14:textFill>
            <w14:solidFill>
              <w14:schemeClr w14:val="tx1"/>
            </w14:solidFill>
          </w14:textFill>
        </w:rPr>
        <w:t>承包人有违反以下情况之一的，发包人有权解除合同</w:t>
      </w:r>
      <w:r>
        <w:rPr>
          <w:rFonts w:hAnsi="宋体"/>
          <w:color w:val="000000" w:themeColor="text1"/>
          <w:kern w:val="0"/>
          <w:szCs w:val="21"/>
          <w:highlight w:val="none"/>
          <w14:textFill>
            <w14:solidFill>
              <w14:schemeClr w14:val="tx1"/>
            </w14:solidFill>
          </w14:textFill>
        </w:rPr>
        <w:t>。</w:t>
      </w:r>
    </w:p>
    <w:p w14:paraId="69197C89">
      <w:pPr>
        <w:spacing w:line="360" w:lineRule="auto"/>
        <w:ind w:firstLine="420" w:firstLineChars="200"/>
        <w:jc w:val="left"/>
        <w:rPr>
          <w:rFonts w:hint="eastAsia" w:hAnsi="宋体" w:eastAsia="宋体"/>
          <w:color w:val="000000" w:themeColor="text1"/>
          <w:kern w:val="0"/>
          <w:szCs w:val="21"/>
          <w:highlight w:val="none"/>
          <w:lang w:eastAsia="zh-CN"/>
          <w14:textFill>
            <w14:solidFill>
              <w14:schemeClr w14:val="tx1"/>
            </w14:solidFill>
          </w14:textFill>
        </w:rPr>
      </w:pPr>
      <w:r>
        <w:rPr>
          <w:color w:val="000000" w:themeColor="text1"/>
          <w:kern w:val="0"/>
          <w:szCs w:val="21"/>
          <w:highlight w:val="none"/>
          <w14:textFill>
            <w14:solidFill>
              <w14:schemeClr w14:val="tx1"/>
            </w14:solidFill>
          </w14:textFill>
        </w:rPr>
        <w:t>(1)</w:t>
      </w:r>
      <w:r>
        <w:rPr>
          <w:rFonts w:hAnsi="宋体"/>
          <w:color w:val="000000" w:themeColor="text1"/>
          <w:kern w:val="0"/>
          <w:szCs w:val="21"/>
          <w:highlight w:val="none"/>
          <w14:textFill>
            <w14:solidFill>
              <w14:schemeClr w14:val="tx1"/>
            </w14:solidFill>
          </w14:textFill>
        </w:rPr>
        <w:t>承包人无正当理由不按开工通知的要求及时进场组织施工和不按签订协议书时商</w:t>
      </w:r>
      <w:r>
        <w:rPr>
          <w:rFonts w:hint="eastAsia" w:hAnsi="宋体"/>
          <w:color w:val="000000" w:themeColor="text1"/>
          <w:kern w:val="0"/>
          <w:szCs w:val="21"/>
          <w:highlight w:val="none"/>
          <w14:textFill>
            <w14:solidFill>
              <w14:schemeClr w14:val="tx1"/>
            </w14:solidFill>
          </w14:textFill>
        </w:rPr>
        <w:t>定</w:t>
      </w:r>
      <w:r>
        <w:rPr>
          <w:rFonts w:hAnsi="宋体"/>
          <w:color w:val="000000" w:themeColor="text1"/>
          <w:kern w:val="0"/>
          <w:szCs w:val="21"/>
          <w:highlight w:val="none"/>
          <w14:textFill>
            <w14:solidFill>
              <w14:schemeClr w14:val="tx1"/>
            </w14:solidFill>
          </w14:textFill>
        </w:rPr>
        <w:t>的进度计划有效地开展施工准备，造成工期延误的</w:t>
      </w:r>
      <w:r>
        <w:rPr>
          <w:rFonts w:hint="eastAsia" w:hAnsi="宋体"/>
          <w:color w:val="000000" w:themeColor="text1"/>
          <w:kern w:val="0"/>
          <w:szCs w:val="21"/>
          <w:highlight w:val="none"/>
          <w:lang w:eastAsia="zh-CN"/>
          <w14:textFill>
            <w14:solidFill>
              <w14:schemeClr w14:val="tx1"/>
            </w14:solidFill>
          </w14:textFill>
        </w:rPr>
        <w:t>；</w:t>
      </w:r>
    </w:p>
    <w:p w14:paraId="38F04102">
      <w:pPr>
        <w:spacing w:line="360" w:lineRule="auto"/>
        <w:ind w:firstLine="420" w:firstLineChars="200"/>
        <w:jc w:val="left"/>
        <w:rPr>
          <w:rFonts w:hint="eastAsia" w:hAnsi="宋体" w:eastAsia="宋体"/>
          <w:color w:val="000000" w:themeColor="text1"/>
          <w:kern w:val="0"/>
          <w:szCs w:val="21"/>
          <w:highlight w:val="none"/>
          <w:lang w:eastAsia="zh-CN"/>
          <w14:textFill>
            <w14:solidFill>
              <w14:schemeClr w14:val="tx1"/>
            </w14:solidFill>
          </w14:textFill>
        </w:rPr>
      </w:pPr>
      <w:r>
        <w:rPr>
          <w:color w:val="000000" w:themeColor="text1"/>
          <w:kern w:val="0"/>
          <w:szCs w:val="21"/>
          <w:highlight w:val="none"/>
          <w14:textFill>
            <w14:solidFill>
              <w14:schemeClr w14:val="tx1"/>
            </w14:solidFill>
          </w14:textFill>
        </w:rPr>
        <w:t>(2)</w:t>
      </w:r>
      <w:r>
        <w:rPr>
          <w:rFonts w:hAnsi="宋体"/>
          <w:color w:val="000000" w:themeColor="text1"/>
          <w:kern w:val="0"/>
          <w:szCs w:val="21"/>
          <w:highlight w:val="none"/>
          <w14:textFill>
            <w14:solidFill>
              <w14:schemeClr w14:val="tx1"/>
            </w14:solidFill>
          </w14:textFill>
        </w:rPr>
        <w:t>承包人违反本合同通用条款第</w:t>
      </w:r>
      <w:r>
        <w:rPr>
          <w:color w:val="000000" w:themeColor="text1"/>
          <w:kern w:val="0"/>
          <w:szCs w:val="21"/>
          <w:highlight w:val="none"/>
          <w14:textFill>
            <w14:solidFill>
              <w14:schemeClr w14:val="tx1"/>
            </w14:solidFill>
          </w14:textFill>
        </w:rPr>
        <w:t>3.5</w:t>
      </w:r>
      <w:r>
        <w:rPr>
          <w:rFonts w:hAnsi="宋体"/>
          <w:color w:val="000000" w:themeColor="text1"/>
          <w:kern w:val="0"/>
          <w:szCs w:val="21"/>
          <w:highlight w:val="none"/>
          <w14:textFill>
            <w14:solidFill>
              <w14:schemeClr w14:val="tx1"/>
            </w14:solidFill>
          </w14:textFill>
        </w:rPr>
        <w:t>条规定私自将合同或合同的任何部分或任何权利转让给其他人，或私自将工程或工程的一部分分包出去的</w:t>
      </w:r>
      <w:r>
        <w:rPr>
          <w:rFonts w:hint="eastAsia" w:hAnsi="宋体"/>
          <w:color w:val="000000" w:themeColor="text1"/>
          <w:kern w:val="0"/>
          <w:szCs w:val="21"/>
          <w:highlight w:val="none"/>
          <w:lang w:eastAsia="zh-CN"/>
          <w14:textFill>
            <w14:solidFill>
              <w14:schemeClr w14:val="tx1"/>
            </w14:solidFill>
          </w14:textFill>
        </w:rPr>
        <w:t>；</w:t>
      </w:r>
    </w:p>
    <w:p w14:paraId="13EE9B81">
      <w:pPr>
        <w:spacing w:line="360" w:lineRule="auto"/>
        <w:ind w:firstLine="420" w:firstLineChars="200"/>
        <w:jc w:val="left"/>
        <w:rPr>
          <w:rFonts w:hint="eastAsia" w:hAnsi="宋体" w:eastAsia="宋体"/>
          <w:color w:val="000000" w:themeColor="text1"/>
          <w:kern w:val="0"/>
          <w:szCs w:val="21"/>
          <w:highlight w:val="none"/>
          <w:lang w:eastAsia="zh-CN"/>
          <w14:textFill>
            <w14:solidFill>
              <w14:schemeClr w14:val="tx1"/>
            </w14:solidFill>
          </w14:textFill>
        </w:rPr>
      </w:pPr>
      <w:r>
        <w:rPr>
          <w:color w:val="000000" w:themeColor="text1"/>
          <w:kern w:val="0"/>
          <w:szCs w:val="21"/>
          <w:highlight w:val="none"/>
          <w14:textFill>
            <w14:solidFill>
              <w14:schemeClr w14:val="tx1"/>
            </w14:solidFill>
          </w14:textFill>
        </w:rPr>
        <w:t>(3)</w:t>
      </w:r>
      <w:r>
        <w:rPr>
          <w:rFonts w:hAnsi="宋体"/>
          <w:color w:val="000000" w:themeColor="text1"/>
          <w:kern w:val="0"/>
          <w:szCs w:val="21"/>
          <w:highlight w:val="none"/>
          <w14:textFill>
            <w14:solidFill>
              <w14:schemeClr w14:val="tx1"/>
            </w14:solidFill>
          </w14:textFill>
        </w:rPr>
        <w:t>未经监理人批准，承包人私自将已按</w:t>
      </w:r>
      <w:r>
        <w:rPr>
          <w:rFonts w:hint="eastAsia" w:hAnsi="宋体"/>
          <w:color w:val="000000" w:themeColor="text1"/>
          <w:kern w:val="0"/>
          <w:szCs w:val="21"/>
          <w:highlight w:val="none"/>
          <w14:textFill>
            <w14:solidFill>
              <w14:schemeClr w14:val="tx1"/>
            </w14:solidFill>
          </w14:textFill>
        </w:rPr>
        <w:t>竞标</w:t>
      </w:r>
      <w:r>
        <w:rPr>
          <w:rFonts w:hAnsi="宋体"/>
          <w:color w:val="000000" w:themeColor="text1"/>
          <w:kern w:val="0"/>
          <w:szCs w:val="21"/>
          <w:highlight w:val="none"/>
          <w14:textFill>
            <w14:solidFill>
              <w14:schemeClr w14:val="tx1"/>
            </w14:solidFill>
          </w14:textFill>
        </w:rPr>
        <w:t>文件承诺进入工地的工程设备、施工设备、临时工程或材料撤离工地的</w:t>
      </w:r>
      <w:r>
        <w:rPr>
          <w:rFonts w:hint="eastAsia" w:hAnsi="宋体"/>
          <w:color w:val="000000" w:themeColor="text1"/>
          <w:kern w:val="0"/>
          <w:szCs w:val="21"/>
          <w:highlight w:val="none"/>
          <w:lang w:eastAsia="zh-CN"/>
          <w14:textFill>
            <w14:solidFill>
              <w14:schemeClr w14:val="tx1"/>
            </w14:solidFill>
          </w14:textFill>
        </w:rPr>
        <w:t>；</w:t>
      </w:r>
    </w:p>
    <w:p w14:paraId="1AA8A600">
      <w:pPr>
        <w:spacing w:line="360" w:lineRule="auto"/>
        <w:ind w:firstLine="420" w:firstLineChars="200"/>
        <w:jc w:val="left"/>
        <w:rPr>
          <w:rFonts w:hint="eastAsia" w:eastAsia="宋体"/>
          <w:color w:val="000000" w:themeColor="text1"/>
          <w:kern w:val="0"/>
          <w:szCs w:val="21"/>
          <w:highlight w:val="none"/>
          <w:lang w:eastAsia="zh-CN"/>
          <w14:textFill>
            <w14:solidFill>
              <w14:schemeClr w14:val="tx1"/>
            </w14:solidFill>
          </w14:textFill>
        </w:rPr>
      </w:pPr>
      <w:r>
        <w:rPr>
          <w:color w:val="000000" w:themeColor="text1"/>
          <w:kern w:val="0"/>
          <w:szCs w:val="21"/>
          <w:highlight w:val="none"/>
          <w14:textFill>
            <w14:solidFill>
              <w14:schemeClr w14:val="tx1"/>
            </w14:solidFill>
          </w14:textFill>
        </w:rPr>
        <w:t>(4)</w:t>
      </w:r>
      <w:r>
        <w:rPr>
          <w:rFonts w:hAnsi="宋体"/>
          <w:color w:val="000000" w:themeColor="text1"/>
          <w:kern w:val="0"/>
          <w:szCs w:val="21"/>
          <w:highlight w:val="none"/>
          <w14:textFill>
            <w14:solidFill>
              <w14:schemeClr w14:val="tx1"/>
            </w14:solidFill>
          </w14:textFill>
        </w:rPr>
        <w:t>由于承包人原因拒绝按合同进度计划及时完成合同规定的工程，而又未采取有效措施赶上进度，造成工期</w:t>
      </w:r>
      <w:r>
        <w:rPr>
          <w:rFonts w:hint="eastAsia" w:hAnsi="宋体"/>
          <w:color w:val="000000" w:themeColor="text1"/>
          <w:kern w:val="0"/>
          <w:szCs w:val="21"/>
          <w:highlight w:val="none"/>
          <w14:textFill>
            <w14:solidFill>
              <w14:schemeClr w14:val="tx1"/>
            </w14:solidFill>
          </w14:textFill>
        </w:rPr>
        <w:t>严重</w:t>
      </w:r>
      <w:r>
        <w:rPr>
          <w:rFonts w:hAnsi="宋体"/>
          <w:color w:val="000000" w:themeColor="text1"/>
          <w:kern w:val="0"/>
          <w:szCs w:val="21"/>
          <w:highlight w:val="none"/>
          <w14:textFill>
            <w14:solidFill>
              <w14:schemeClr w14:val="tx1"/>
            </w14:solidFill>
          </w14:textFill>
        </w:rPr>
        <w:t>延误的</w:t>
      </w:r>
      <w:r>
        <w:rPr>
          <w:rFonts w:hint="eastAsia" w:hAnsi="宋体"/>
          <w:color w:val="000000" w:themeColor="text1"/>
          <w:kern w:val="0"/>
          <w:szCs w:val="21"/>
          <w:highlight w:val="none"/>
          <w:lang w:eastAsia="zh-CN"/>
          <w14:textFill>
            <w14:solidFill>
              <w14:schemeClr w14:val="tx1"/>
            </w14:solidFill>
          </w14:textFill>
        </w:rPr>
        <w:t>；</w:t>
      </w:r>
    </w:p>
    <w:p w14:paraId="51623B16">
      <w:pPr>
        <w:spacing w:line="360" w:lineRule="auto"/>
        <w:ind w:firstLine="420" w:firstLineChars="200"/>
        <w:rPr>
          <w:rFonts w:hint="eastAsia" w:eastAsia="宋体"/>
          <w:color w:val="000000" w:themeColor="text1"/>
          <w:kern w:val="0"/>
          <w:szCs w:val="21"/>
          <w:highlight w:val="none"/>
          <w:lang w:eastAsia="zh-CN"/>
          <w14:textFill>
            <w14:solidFill>
              <w14:schemeClr w14:val="tx1"/>
            </w14:solidFill>
          </w14:textFill>
        </w:rPr>
      </w:pPr>
      <w:r>
        <w:rPr>
          <w:color w:val="000000" w:themeColor="text1"/>
          <w:kern w:val="0"/>
          <w:szCs w:val="21"/>
          <w:highlight w:val="none"/>
          <w14:textFill>
            <w14:solidFill>
              <w14:schemeClr w14:val="tx1"/>
            </w14:solidFill>
          </w14:textFill>
        </w:rPr>
        <w:t>(5)</w:t>
      </w:r>
      <w:r>
        <w:rPr>
          <w:rFonts w:hAnsi="宋体"/>
          <w:color w:val="000000" w:themeColor="text1"/>
          <w:kern w:val="0"/>
          <w:szCs w:val="21"/>
          <w:highlight w:val="none"/>
          <w14:textFill>
            <w14:solidFill>
              <w14:schemeClr w14:val="tx1"/>
            </w14:solidFill>
          </w14:textFill>
        </w:rPr>
        <w:t>承包人否认合同有效或拒绝履行合同规定的承包人义务，或由于法律、财务等原因导致承包人无法继续履行或实质上已停止履行合同的义务的</w:t>
      </w:r>
      <w:r>
        <w:rPr>
          <w:rFonts w:hint="eastAsia" w:hAnsi="宋体"/>
          <w:color w:val="000000" w:themeColor="text1"/>
          <w:kern w:val="0"/>
          <w:szCs w:val="21"/>
          <w:highlight w:val="none"/>
          <w:lang w:eastAsia="zh-CN"/>
          <w14:textFill>
            <w14:solidFill>
              <w14:schemeClr w14:val="tx1"/>
            </w14:solidFill>
          </w14:textFill>
        </w:rPr>
        <w:t>；</w:t>
      </w:r>
    </w:p>
    <w:p w14:paraId="152C6552">
      <w:pPr>
        <w:spacing w:line="360" w:lineRule="auto"/>
        <w:ind w:firstLine="420" w:firstLineChars="200"/>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(6)</w:t>
      </w:r>
      <w:r>
        <w:rPr>
          <w:rFonts w:hAnsi="宋体"/>
          <w:color w:val="000000" w:themeColor="text1"/>
          <w:kern w:val="0"/>
          <w:szCs w:val="21"/>
          <w:highlight w:val="none"/>
          <w14:textFill>
            <w14:solidFill>
              <w14:schemeClr w14:val="tx1"/>
            </w14:solidFill>
          </w14:textFill>
        </w:rPr>
        <w:t>合同签订之日起十五日内，承包人无法按合同规定及</w:t>
      </w:r>
      <w:r>
        <w:rPr>
          <w:rFonts w:hint="eastAsia" w:hAnsi="宋体"/>
          <w:color w:val="000000" w:themeColor="text1"/>
          <w:kern w:val="0"/>
          <w:szCs w:val="21"/>
          <w:highlight w:val="none"/>
          <w14:textFill>
            <w14:solidFill>
              <w14:schemeClr w14:val="tx1"/>
            </w14:solidFill>
          </w14:textFill>
        </w:rPr>
        <w:t>竞标</w:t>
      </w:r>
      <w:r>
        <w:rPr>
          <w:rFonts w:hAnsi="宋体"/>
          <w:color w:val="000000" w:themeColor="text1"/>
          <w:kern w:val="0"/>
          <w:szCs w:val="21"/>
          <w:highlight w:val="none"/>
          <w14:textFill>
            <w14:solidFill>
              <w14:schemeClr w14:val="tx1"/>
            </w14:solidFill>
          </w14:textFill>
        </w:rPr>
        <w:t>文件的承诺进场经监理工程师认可的全部人员和机械的。</w:t>
      </w:r>
    </w:p>
    <w:p w14:paraId="6B36DDC8">
      <w:pPr>
        <w:spacing w:line="360" w:lineRule="auto"/>
        <w:ind w:firstLine="420" w:firstLineChars="200"/>
        <w:rPr>
          <w:color w:val="000000" w:themeColor="text1"/>
          <w:kern w:val="0"/>
          <w:szCs w:val="21"/>
          <w:highlight w:val="none"/>
          <w14:textFill>
            <w14:solidFill>
              <w14:schemeClr w14:val="tx1"/>
            </w14:solidFill>
          </w14:textFill>
        </w:rPr>
      </w:pPr>
      <w:r>
        <w:rPr>
          <w:rFonts w:hAnsi="宋体"/>
          <w:color w:val="000000" w:themeColor="text1"/>
          <w:kern w:val="0"/>
          <w:szCs w:val="21"/>
          <w:highlight w:val="none"/>
          <w14:textFill>
            <w14:solidFill>
              <w14:schemeClr w14:val="tx1"/>
            </w14:solidFill>
          </w14:textFill>
        </w:rPr>
        <w:t>发包人继续使用承包人在施工现场的材料、设备、临时工程、承包人文件和由承包人或以其名义编制的其他文件的费用承担方式：</w:t>
      </w:r>
      <w:r>
        <w:rPr>
          <w:rFonts w:hint="eastAsia" w:ascii="宋体" w:hAnsi="宋体"/>
          <w:color w:val="000000" w:themeColor="text1"/>
          <w:kern w:val="0"/>
          <w:szCs w:val="21"/>
          <w:highlight w:val="none"/>
          <w14:textFill>
            <w14:solidFill>
              <w14:schemeClr w14:val="tx1"/>
            </w14:solidFill>
          </w14:textFill>
        </w:rPr>
        <w:t>发包人应支付相应的费用</w:t>
      </w:r>
      <w:r>
        <w:rPr>
          <w:rFonts w:hAnsi="宋体"/>
          <w:color w:val="000000" w:themeColor="text1"/>
          <w:kern w:val="0"/>
          <w:szCs w:val="21"/>
          <w:highlight w:val="none"/>
          <w14:textFill>
            <w14:solidFill>
              <w14:schemeClr w14:val="tx1"/>
            </w14:solidFill>
          </w14:textFill>
        </w:rPr>
        <w:t>。</w:t>
      </w:r>
    </w:p>
    <w:p w14:paraId="7F442207">
      <w:pPr>
        <w:keepNext/>
        <w:keepLines/>
        <w:widowControl/>
        <w:spacing w:before="120" w:after="120" w:line="440" w:lineRule="exact"/>
        <w:outlineLvl w:val="3"/>
        <w:rPr>
          <w:rFonts w:ascii="宋体" w:hAnsi="宋体" w:eastAsia="黑体"/>
          <w:b/>
          <w:color w:val="000000" w:themeColor="text1"/>
          <w:kern w:val="0"/>
          <w:sz w:val="28"/>
          <w:szCs w:val="21"/>
          <w:highlight w:val="none"/>
          <w14:textFill>
            <w14:solidFill>
              <w14:schemeClr w14:val="tx1"/>
            </w14:solidFill>
          </w14:textFill>
        </w:rPr>
      </w:pPr>
      <w:r>
        <w:rPr>
          <w:rFonts w:ascii="宋体" w:hAnsi="宋体" w:eastAsia="黑体"/>
          <w:b/>
          <w:color w:val="000000" w:themeColor="text1"/>
          <w:kern w:val="0"/>
          <w:sz w:val="28"/>
          <w:szCs w:val="21"/>
          <w:highlight w:val="none"/>
          <w14:textFill>
            <w14:solidFill>
              <w14:schemeClr w14:val="tx1"/>
            </w14:solidFill>
          </w14:textFill>
        </w:rPr>
        <w:t>17. 不可抗力</w:t>
      </w:r>
      <w:bookmarkEnd w:id="827"/>
      <w:bookmarkEnd w:id="833"/>
    </w:p>
    <w:p w14:paraId="4FA16A75">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17.1 不可抗力的确认</w:t>
      </w:r>
    </w:p>
    <w:p w14:paraId="7D7608F0">
      <w:pPr>
        <w:spacing w:line="440" w:lineRule="exact"/>
        <w:ind w:firstLine="420" w:firstLineChars="200"/>
        <w:jc w:val="left"/>
        <w:rPr>
          <w:rFonts w:ascii="宋体" w:hAnsi="宋体"/>
          <w:color w:val="000000" w:themeColor="text1"/>
          <w:kern w:val="0"/>
          <w:szCs w:val="21"/>
          <w:highlight w:val="none"/>
          <w:u w:val="singl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除通用合同条款约定的不可抗力事件之外，视为不可抗力的其他情形： </w:t>
      </w:r>
      <w:r>
        <w:rPr>
          <w:rFonts w:ascii="宋体" w:hAnsi="宋体"/>
          <w:color w:val="000000" w:themeColor="text1"/>
          <w:kern w:val="0"/>
          <w:szCs w:val="21"/>
          <w:highlight w:val="none"/>
          <w14:textFill>
            <w14:solidFill>
              <w14:schemeClr w14:val="tx1"/>
            </w14:solidFill>
          </w14:textFill>
        </w:rPr>
        <w:t>。</w:t>
      </w:r>
    </w:p>
    <w:p w14:paraId="5042F1CA">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17.</w:t>
      </w: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 xml:space="preserve"> 因不可抗力解除合同</w:t>
      </w:r>
    </w:p>
    <w:p w14:paraId="492D6030">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合同解除后，发包人应在商定或确定发包人应支付款项后天内完成款项的支付。</w:t>
      </w:r>
    </w:p>
    <w:p w14:paraId="4C9E8622">
      <w:pPr>
        <w:keepNext/>
        <w:keepLines/>
        <w:widowControl/>
        <w:spacing w:before="120" w:after="120" w:line="440" w:lineRule="exact"/>
        <w:outlineLvl w:val="3"/>
        <w:rPr>
          <w:rFonts w:ascii="宋体" w:hAnsi="宋体" w:eastAsia="黑体"/>
          <w:b/>
          <w:color w:val="000000" w:themeColor="text1"/>
          <w:kern w:val="0"/>
          <w:sz w:val="28"/>
          <w:szCs w:val="21"/>
          <w:highlight w:val="none"/>
          <w14:textFill>
            <w14:solidFill>
              <w14:schemeClr w14:val="tx1"/>
            </w14:solidFill>
          </w14:textFill>
        </w:rPr>
      </w:pPr>
      <w:bookmarkStart w:id="838" w:name="_Toc351203650"/>
      <w:r>
        <w:rPr>
          <w:rFonts w:ascii="宋体" w:hAnsi="宋体" w:eastAsia="黑体"/>
          <w:b/>
          <w:color w:val="000000" w:themeColor="text1"/>
          <w:kern w:val="0"/>
          <w:sz w:val="28"/>
          <w:szCs w:val="21"/>
          <w:highlight w:val="none"/>
          <w14:textFill>
            <w14:solidFill>
              <w14:schemeClr w14:val="tx1"/>
            </w14:solidFill>
          </w14:textFill>
        </w:rPr>
        <w:t>18. 保险</w:t>
      </w:r>
      <w:bookmarkEnd w:id="838"/>
    </w:p>
    <w:bookmarkEnd w:id="828"/>
    <w:p w14:paraId="15468E2D">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18.1 工程保险</w:t>
      </w:r>
    </w:p>
    <w:p w14:paraId="29CBCC12">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关于其他保险的约定：</w:t>
      </w:r>
      <w:r>
        <w:rPr>
          <w:rFonts w:ascii="宋体" w:hAnsi="宋体"/>
          <w:b/>
          <w:bCs/>
          <w:color w:val="000000" w:themeColor="text1"/>
          <w:szCs w:val="21"/>
          <w:highlight w:val="none"/>
          <w:u w:val="single"/>
          <w14:textFill>
            <w14:solidFill>
              <w14:schemeClr w14:val="tx1"/>
            </w14:solidFill>
          </w14:textFill>
        </w:rPr>
        <w:t>承包人必须为施工现场从事施工的所有作业人员和管理人员办理意外伤害保险，</w:t>
      </w:r>
      <w:r>
        <w:rPr>
          <w:rFonts w:hint="eastAsia" w:ascii="宋体" w:hAnsi="宋体"/>
          <w:b/>
          <w:bCs/>
          <w:color w:val="000000" w:themeColor="text1"/>
          <w:szCs w:val="21"/>
          <w:highlight w:val="none"/>
          <w:u w:val="single"/>
          <w14:textFill>
            <w14:solidFill>
              <w14:schemeClr w14:val="tx1"/>
            </w14:solidFill>
          </w14:textFill>
        </w:rPr>
        <w:t>并</w:t>
      </w:r>
      <w:r>
        <w:rPr>
          <w:rFonts w:ascii="宋体" w:hAnsi="宋体"/>
          <w:b/>
          <w:bCs/>
          <w:color w:val="000000" w:themeColor="text1"/>
          <w:szCs w:val="21"/>
          <w:highlight w:val="none"/>
          <w:u w:val="single"/>
          <w14:textFill>
            <w14:solidFill>
              <w14:schemeClr w14:val="tx1"/>
            </w14:solidFill>
          </w14:textFill>
        </w:rPr>
        <w:t>支付保险费。</w:t>
      </w:r>
    </w:p>
    <w:p w14:paraId="4F98661A">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18.</w:t>
      </w: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其他保险</w:t>
      </w:r>
    </w:p>
    <w:p w14:paraId="72B31FA1">
      <w:pPr>
        <w:spacing w:line="440" w:lineRule="exact"/>
        <w:ind w:firstLine="420" w:firstLineChars="200"/>
        <w:jc w:val="lef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关于其他保险的约定：</w:t>
      </w:r>
      <w:r>
        <w:rPr>
          <w:rFonts w:ascii="宋体" w:hAnsi="宋体"/>
          <w:color w:val="000000" w:themeColor="text1"/>
          <w:kern w:val="0"/>
          <w:szCs w:val="21"/>
          <w:highlight w:val="none"/>
          <w14:textFill>
            <w14:solidFill>
              <w14:schemeClr w14:val="tx1"/>
            </w14:solidFill>
          </w14:textFill>
        </w:rPr>
        <w:t>。</w:t>
      </w:r>
    </w:p>
    <w:p w14:paraId="67871434">
      <w:pPr>
        <w:spacing w:line="440" w:lineRule="exact"/>
        <w:ind w:firstLine="420" w:firstLineChars="200"/>
        <w:jc w:val="lef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承包人是否应为其施工设备等办理财产保险：。</w:t>
      </w:r>
    </w:p>
    <w:p w14:paraId="180D8B31">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18.</w:t>
      </w:r>
      <w:r>
        <w:rPr>
          <w:rFonts w:hint="eastAsia" w:ascii="宋体" w:hAnsi="宋体"/>
          <w:color w:val="000000" w:themeColor="text1"/>
          <w:szCs w:val="21"/>
          <w:highlight w:val="none"/>
          <w14:textFill>
            <w14:solidFill>
              <w14:schemeClr w14:val="tx1"/>
            </w14:solidFill>
          </w14:textFill>
        </w:rPr>
        <w:t>3</w:t>
      </w:r>
      <w:r>
        <w:rPr>
          <w:rFonts w:ascii="宋体" w:hAnsi="宋体"/>
          <w:color w:val="000000" w:themeColor="text1"/>
          <w:szCs w:val="21"/>
          <w:highlight w:val="none"/>
          <w14:textFill>
            <w14:solidFill>
              <w14:schemeClr w14:val="tx1"/>
            </w14:solidFill>
          </w14:textFill>
        </w:rPr>
        <w:t xml:space="preserve"> 通知义务</w:t>
      </w:r>
    </w:p>
    <w:p w14:paraId="6B97A0F5">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关于变更保险合同时的通知义务的约定：</w:t>
      </w:r>
      <w:r>
        <w:rPr>
          <w:rFonts w:ascii="宋体" w:hAnsi="宋体"/>
          <w:color w:val="000000" w:themeColor="text1"/>
          <w:szCs w:val="21"/>
          <w:highlight w:val="none"/>
          <w14:textFill>
            <w14:solidFill>
              <w14:schemeClr w14:val="tx1"/>
            </w14:solidFill>
          </w14:textFill>
        </w:rPr>
        <w:t>。</w:t>
      </w:r>
    </w:p>
    <w:bookmarkEnd w:id="804"/>
    <w:bookmarkEnd w:id="805"/>
    <w:bookmarkEnd w:id="806"/>
    <w:bookmarkEnd w:id="807"/>
    <w:bookmarkEnd w:id="808"/>
    <w:bookmarkEnd w:id="809"/>
    <w:bookmarkEnd w:id="810"/>
    <w:bookmarkEnd w:id="811"/>
    <w:bookmarkEnd w:id="812"/>
    <w:bookmarkEnd w:id="813"/>
    <w:bookmarkEnd w:id="814"/>
    <w:bookmarkEnd w:id="815"/>
    <w:p w14:paraId="227529A4">
      <w:pPr>
        <w:keepNext/>
        <w:keepLines/>
        <w:widowControl/>
        <w:spacing w:before="120" w:after="120" w:line="440" w:lineRule="exact"/>
        <w:outlineLvl w:val="3"/>
        <w:rPr>
          <w:rFonts w:ascii="宋体" w:hAnsi="宋体" w:eastAsia="黑体"/>
          <w:b/>
          <w:color w:val="000000" w:themeColor="text1"/>
          <w:kern w:val="0"/>
          <w:sz w:val="28"/>
          <w:szCs w:val="21"/>
          <w:highlight w:val="none"/>
          <w14:textFill>
            <w14:solidFill>
              <w14:schemeClr w14:val="tx1"/>
            </w14:solidFill>
          </w14:textFill>
        </w:rPr>
      </w:pPr>
      <w:bookmarkStart w:id="839" w:name="_Toc351203651"/>
      <w:r>
        <w:rPr>
          <w:rFonts w:hint="eastAsia" w:ascii="宋体" w:hAnsi="宋体" w:eastAsia="黑体"/>
          <w:b/>
          <w:color w:val="000000" w:themeColor="text1"/>
          <w:kern w:val="0"/>
          <w:sz w:val="28"/>
          <w:szCs w:val="21"/>
          <w:highlight w:val="none"/>
          <w14:textFill>
            <w14:solidFill>
              <w14:schemeClr w14:val="tx1"/>
            </w14:solidFill>
          </w14:textFill>
        </w:rPr>
        <w:t>19</w:t>
      </w:r>
      <w:r>
        <w:rPr>
          <w:rFonts w:ascii="宋体" w:hAnsi="宋体" w:eastAsia="黑体"/>
          <w:b/>
          <w:color w:val="000000" w:themeColor="text1"/>
          <w:kern w:val="0"/>
          <w:sz w:val="28"/>
          <w:szCs w:val="21"/>
          <w:highlight w:val="none"/>
          <w14:textFill>
            <w14:solidFill>
              <w14:schemeClr w14:val="tx1"/>
            </w14:solidFill>
          </w14:textFill>
        </w:rPr>
        <w:t>. 争议解决</w:t>
      </w:r>
      <w:bookmarkEnd w:id="839"/>
    </w:p>
    <w:bookmarkEnd w:id="816"/>
    <w:bookmarkEnd w:id="817"/>
    <w:p w14:paraId="0F88354C">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19.1</w:t>
      </w:r>
      <w:r>
        <w:rPr>
          <w:rFonts w:ascii="宋体" w:hAnsi="宋体"/>
          <w:color w:val="000000" w:themeColor="text1"/>
          <w:szCs w:val="21"/>
          <w:highlight w:val="none"/>
          <w14:textFill>
            <w14:solidFill>
              <w14:schemeClr w14:val="tx1"/>
            </w14:solidFill>
          </w14:textFill>
        </w:rPr>
        <w:t xml:space="preserve"> 争</w:t>
      </w:r>
      <w:bookmarkEnd w:id="818"/>
      <w:r>
        <w:rPr>
          <w:rFonts w:ascii="宋体" w:hAnsi="宋体"/>
          <w:color w:val="000000" w:themeColor="text1"/>
          <w:szCs w:val="21"/>
          <w:highlight w:val="none"/>
          <w14:textFill>
            <w14:solidFill>
              <w14:schemeClr w14:val="tx1"/>
            </w14:solidFill>
          </w14:textFill>
        </w:rPr>
        <w:t>议评审</w:t>
      </w:r>
    </w:p>
    <w:p w14:paraId="42C3EEC3">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合同当事人是否同意将工程争议提交争议评审小组决</w:t>
      </w:r>
      <w:r>
        <w:rPr>
          <w:rFonts w:hint="eastAsia" w:ascii="宋体" w:hAnsi="宋体"/>
          <w:color w:val="000000" w:themeColor="text1"/>
          <w:szCs w:val="21"/>
          <w:highlight w:val="none"/>
          <w14:textFill>
            <w14:solidFill>
              <w14:schemeClr w14:val="tx1"/>
            </w14:solidFill>
          </w14:textFill>
        </w:rPr>
        <w:t xml:space="preserve">定：。  </w:t>
      </w:r>
    </w:p>
    <w:p w14:paraId="3C3810D7">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19.1.1</w:t>
      </w:r>
      <w:r>
        <w:rPr>
          <w:rFonts w:ascii="宋体" w:hAnsi="宋体"/>
          <w:color w:val="000000" w:themeColor="text1"/>
          <w:szCs w:val="21"/>
          <w:highlight w:val="none"/>
          <w14:textFill>
            <w14:solidFill>
              <w14:schemeClr w14:val="tx1"/>
            </w14:solidFill>
          </w14:textFill>
        </w:rPr>
        <w:t xml:space="preserve"> 争议评审小组的确定</w:t>
      </w:r>
    </w:p>
    <w:p w14:paraId="18B53402">
      <w:pPr>
        <w:spacing w:line="440" w:lineRule="exact"/>
        <w:ind w:firstLine="420" w:firstLineChars="200"/>
        <w:jc w:val="left"/>
        <w:rPr>
          <w:rFonts w:ascii="宋体" w:hAnsi="宋体"/>
          <w:color w:val="000000" w:themeColor="text1"/>
          <w:szCs w:val="21"/>
          <w:highlight w:val="none"/>
          <w:u w:val="single"/>
          <w14:textFill>
            <w14:solidFill>
              <w14:schemeClr w14:val="tx1"/>
            </w14:solidFill>
          </w14:textFill>
        </w:rPr>
      </w:pPr>
      <w:r>
        <w:rPr>
          <w:rFonts w:ascii="宋体" w:hAnsi="宋体"/>
          <w:color w:val="000000" w:themeColor="text1"/>
          <w:szCs w:val="21"/>
          <w:highlight w:val="none"/>
          <w14:textFill>
            <w14:solidFill>
              <w14:schemeClr w14:val="tx1"/>
            </w14:solidFill>
          </w14:textFill>
        </w:rPr>
        <w:t>争议评审小组成员的确定：。</w:t>
      </w:r>
    </w:p>
    <w:p w14:paraId="5F5BD763">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选定争议评审员的期限：。</w:t>
      </w:r>
    </w:p>
    <w:p w14:paraId="6B8A4033">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争议评审小组成员的报酬承担方式：。</w:t>
      </w:r>
    </w:p>
    <w:p w14:paraId="340189DE">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其他事项的约定：。</w:t>
      </w:r>
    </w:p>
    <w:p w14:paraId="62EEC45F">
      <w:pPr>
        <w:autoSpaceDE w:val="0"/>
        <w:autoSpaceDN w:val="0"/>
        <w:adjustRightInd w:val="0"/>
        <w:spacing w:line="440" w:lineRule="exact"/>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19.1.2</w:t>
      </w:r>
      <w:r>
        <w:rPr>
          <w:rFonts w:ascii="宋体" w:hAnsi="宋体"/>
          <w:color w:val="000000" w:themeColor="text1"/>
          <w:kern w:val="0"/>
          <w:szCs w:val="21"/>
          <w:highlight w:val="none"/>
          <w14:textFill>
            <w14:solidFill>
              <w14:schemeClr w14:val="tx1"/>
            </w14:solidFill>
          </w14:textFill>
        </w:rPr>
        <w:t xml:space="preserve"> 争议评审小组的决定</w:t>
      </w:r>
    </w:p>
    <w:p w14:paraId="6DA9D1F5">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合同当事人关于本项的约定：。</w:t>
      </w:r>
    </w:p>
    <w:p w14:paraId="73A03A07">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19</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仲裁或诉讼</w:t>
      </w:r>
      <w:bookmarkEnd w:id="819"/>
    </w:p>
    <w:p w14:paraId="6463319D">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因合同及合同有关事项发生的争议，按下列第</w:t>
      </w:r>
      <w:r>
        <w:rPr>
          <w:rFonts w:hint="eastAsia" w:ascii="宋体" w:hAnsi="宋体"/>
          <w:color w:val="000000" w:themeColor="text1"/>
          <w:szCs w:val="21"/>
          <w:highlight w:val="none"/>
          <w:u w:val="single"/>
          <w14:textFill>
            <w14:solidFill>
              <w14:schemeClr w14:val="tx1"/>
            </w14:solidFill>
          </w14:textFill>
        </w:rPr>
        <w:t>2</w:t>
      </w:r>
      <w:r>
        <w:rPr>
          <w:rFonts w:ascii="宋体" w:hAnsi="宋体"/>
          <w:color w:val="000000" w:themeColor="text1"/>
          <w:szCs w:val="21"/>
          <w:highlight w:val="none"/>
          <w14:textFill>
            <w14:solidFill>
              <w14:schemeClr w14:val="tx1"/>
            </w14:solidFill>
          </w14:textFill>
        </w:rPr>
        <w:t>种方式</w:t>
      </w:r>
      <w:r>
        <w:rPr>
          <w:rFonts w:hint="eastAsia" w:ascii="宋体" w:hAnsi="宋体"/>
          <w:color w:val="000000" w:themeColor="text1"/>
          <w:szCs w:val="21"/>
          <w:highlight w:val="none"/>
          <w14:textFill>
            <w14:solidFill>
              <w14:schemeClr w14:val="tx1"/>
            </w14:solidFill>
          </w14:textFill>
        </w:rPr>
        <w:t>解</w:t>
      </w:r>
      <w:r>
        <w:rPr>
          <w:rFonts w:ascii="宋体" w:hAnsi="宋体"/>
          <w:color w:val="000000" w:themeColor="text1"/>
          <w:szCs w:val="21"/>
          <w:highlight w:val="none"/>
          <w14:textFill>
            <w14:solidFill>
              <w14:schemeClr w14:val="tx1"/>
            </w14:solidFill>
          </w14:textFill>
        </w:rPr>
        <w:t>决：</w:t>
      </w:r>
    </w:p>
    <w:p w14:paraId="2B21638F">
      <w:pPr>
        <w:spacing w:line="440" w:lineRule="exact"/>
        <w:ind w:firstLine="420" w:firstLineChars="200"/>
        <w:jc w:val="left"/>
        <w:rPr>
          <w:rFonts w:hint="eastAsia" w:ascii="宋体" w:hAnsi="宋体" w:eastAsia="宋体"/>
          <w:color w:val="000000" w:themeColor="text1"/>
          <w:szCs w:val="21"/>
          <w:highlight w:val="none"/>
          <w:lang w:eastAsia="zh-CN"/>
          <w14:textFill>
            <w14:solidFill>
              <w14:schemeClr w14:val="tx1"/>
            </w14:solidFill>
          </w14:textFill>
        </w:rPr>
      </w:pPr>
      <w:r>
        <w:rPr>
          <w:rFonts w:ascii="宋体" w:hAnsi="宋体"/>
          <w:color w:val="000000" w:themeColor="text1"/>
          <w:szCs w:val="21"/>
          <w:highlight w:val="none"/>
          <w14:textFill>
            <w14:solidFill>
              <w14:schemeClr w14:val="tx1"/>
            </w14:solidFill>
          </w14:textFill>
        </w:rPr>
        <w:t>（1）向</w:t>
      </w:r>
      <w:r>
        <w:rPr>
          <w:rFonts w:hint="eastAsia" w:ascii="宋体" w:hAnsi="宋体"/>
          <w:color w:val="000000" w:themeColor="text1"/>
          <w:szCs w:val="21"/>
          <w:highlight w:val="none"/>
          <w:u w:val="single"/>
          <w14:textFill>
            <w14:solidFill>
              <w14:schemeClr w14:val="tx1"/>
            </w14:solidFill>
          </w14:textFill>
        </w:rPr>
        <w:t>广西钦州市</w:t>
      </w:r>
      <w:r>
        <w:rPr>
          <w:rFonts w:ascii="宋体" w:hAnsi="宋体"/>
          <w:color w:val="000000" w:themeColor="text1"/>
          <w:szCs w:val="21"/>
          <w:highlight w:val="none"/>
          <w14:textFill>
            <w14:solidFill>
              <w14:schemeClr w14:val="tx1"/>
            </w14:solidFill>
          </w14:textFill>
        </w:rPr>
        <w:t>仲裁委员会申请仲裁</w:t>
      </w:r>
      <w:r>
        <w:rPr>
          <w:rFonts w:hint="eastAsia" w:ascii="宋体" w:hAnsi="宋体"/>
          <w:color w:val="000000" w:themeColor="text1"/>
          <w:szCs w:val="21"/>
          <w:highlight w:val="none"/>
          <w:lang w:eastAsia="zh-CN"/>
          <w14:textFill>
            <w14:solidFill>
              <w14:schemeClr w14:val="tx1"/>
            </w14:solidFill>
          </w14:textFill>
        </w:rPr>
        <w:t>；</w:t>
      </w:r>
    </w:p>
    <w:p w14:paraId="44125E90">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bookmarkEnd w:id="820"/>
      <w:bookmarkEnd w:id="821"/>
      <w:bookmarkEnd w:id="822"/>
      <w:bookmarkEnd w:id="823"/>
      <w:bookmarkEnd w:id="824"/>
      <w:bookmarkEnd w:id="825"/>
      <w:r>
        <w:rPr>
          <w:rFonts w:ascii="宋体" w:hAnsi="宋体"/>
          <w:color w:val="000000" w:themeColor="text1"/>
          <w:szCs w:val="21"/>
          <w:highlight w:val="none"/>
          <w14:textFill>
            <w14:solidFill>
              <w14:schemeClr w14:val="tx1"/>
            </w14:solidFill>
          </w14:textFill>
        </w:rPr>
        <w:t>向</w:t>
      </w:r>
      <w:r>
        <w:rPr>
          <w:rFonts w:hint="eastAsia" w:ascii="宋体" w:hAnsi="宋体"/>
          <w:color w:val="000000" w:themeColor="text1"/>
          <w:szCs w:val="21"/>
          <w:highlight w:val="none"/>
          <w14:textFill>
            <w14:solidFill>
              <w14:schemeClr w14:val="tx1"/>
            </w14:solidFill>
          </w14:textFill>
        </w:rPr>
        <w:t>工程所在地钦州市钦北区</w:t>
      </w:r>
      <w:r>
        <w:rPr>
          <w:rFonts w:ascii="宋体" w:hAnsi="宋体"/>
          <w:color w:val="000000" w:themeColor="text1"/>
          <w:szCs w:val="21"/>
          <w:highlight w:val="none"/>
          <w14:textFill>
            <w14:solidFill>
              <w14:schemeClr w14:val="tx1"/>
            </w14:solidFill>
          </w14:textFill>
        </w:rPr>
        <w:t>人民法院起诉。</w:t>
      </w:r>
    </w:p>
    <w:p w14:paraId="2222934C">
      <w:pPr>
        <w:keepNext/>
        <w:keepLines/>
        <w:widowControl/>
        <w:spacing w:before="120" w:after="120" w:line="440" w:lineRule="exact"/>
        <w:outlineLvl w:val="3"/>
        <w:rPr>
          <w:rFonts w:ascii="宋体" w:hAnsi="宋体" w:eastAsia="黑体"/>
          <w:b/>
          <w:color w:val="000000" w:themeColor="text1"/>
          <w:kern w:val="0"/>
          <w:sz w:val="28"/>
          <w:szCs w:val="21"/>
          <w:highlight w:val="none"/>
          <w14:textFill>
            <w14:solidFill>
              <w14:schemeClr w14:val="tx1"/>
            </w14:solidFill>
          </w14:textFill>
        </w:rPr>
      </w:pPr>
      <w:r>
        <w:rPr>
          <w:rFonts w:hint="eastAsia" w:ascii="宋体" w:hAnsi="宋体" w:eastAsia="黑体"/>
          <w:b/>
          <w:color w:val="000000" w:themeColor="text1"/>
          <w:kern w:val="0"/>
          <w:sz w:val="28"/>
          <w:szCs w:val="21"/>
          <w:highlight w:val="none"/>
          <w14:textFill>
            <w14:solidFill>
              <w14:schemeClr w14:val="tx1"/>
            </w14:solidFill>
          </w14:textFill>
        </w:rPr>
        <w:t>20</w:t>
      </w:r>
      <w:r>
        <w:rPr>
          <w:rFonts w:ascii="宋体" w:hAnsi="宋体" w:eastAsia="黑体"/>
          <w:b/>
          <w:color w:val="000000" w:themeColor="text1"/>
          <w:kern w:val="0"/>
          <w:sz w:val="28"/>
          <w:szCs w:val="21"/>
          <w:highlight w:val="none"/>
          <w14:textFill>
            <w14:solidFill>
              <w14:schemeClr w14:val="tx1"/>
            </w14:solidFill>
          </w14:textFill>
        </w:rPr>
        <w:t>.</w:t>
      </w:r>
      <w:r>
        <w:rPr>
          <w:rFonts w:hint="eastAsia" w:ascii="宋体" w:hAnsi="宋体" w:eastAsia="黑体"/>
          <w:b/>
          <w:color w:val="000000" w:themeColor="text1"/>
          <w:kern w:val="0"/>
          <w:sz w:val="28"/>
          <w:szCs w:val="21"/>
          <w:highlight w:val="none"/>
          <w14:textFill>
            <w14:solidFill>
              <w14:schemeClr w14:val="tx1"/>
            </w14:solidFill>
          </w14:textFill>
        </w:rPr>
        <w:t>补充条款</w:t>
      </w:r>
    </w:p>
    <w:p w14:paraId="640C4C8F">
      <w:pPr>
        <w:keepNext/>
        <w:keepLines/>
        <w:widowControl/>
        <w:spacing w:before="260" w:after="260" w:line="360" w:lineRule="auto"/>
        <w:jc w:val="center"/>
        <w:outlineLvl w:val="1"/>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20.1实行农民工工资保障制度，承包人应按《不拖欠农民工工资保障金承诺书》履行，承包人向发包人保证不拖欠农民工工资。并按有关规定交纳农民工工资保证金，否则发包人有权解除合同。</w:t>
      </w:r>
    </w:p>
    <w:p w14:paraId="71A8375C">
      <w:pPr>
        <w:keepNext/>
        <w:keepLines/>
        <w:widowControl/>
        <w:spacing w:before="260" w:after="260" w:line="360" w:lineRule="auto"/>
        <w:jc w:val="left"/>
        <w:outlineLvl w:val="1"/>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20.2承包人应根据钦州市建管规定【2017】49号文以及《钦州市建设领域农民工工资支付监管暂行办法》等相关规定，设立农民工工资支付专用账户，并遵照规定做好农民工工资支付管理及劳动用工管理工资，并接受监理工程师、发包人及相关职能部门的监督检查。发包人在支付工程进度款时，将工人工资从进度款中单独分开拨付到承包人开设的农民工工资专用账户，其中拨付的工程进度款中工人工资所占的比例为工程进度款应付金额的20%。承包人必须通过农民工工资支付账户，已发按时足额将农民工工资支付明细报发包人和当地劳动保障检查部门备案。</w:t>
      </w:r>
    </w:p>
    <w:p w14:paraId="7C321DB4">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20.3承包人应据实编制工程项目结算资料，承包人报送工程结算价超过发包人送钦州市公共投资审计中心或委托有资质的造价咨询机构最终审定的结果正负11%的，构成承包人违约，承包人应向发包人支付违约金。违约金按本工程结算审核委托造价咨询机构产生的审核费用（包括发包人直接委托或审计部门委托产生的费用）全部由承包人承担，并由发包人在支付承包人的工程款中代扣支付给造价咨询机构。</w:t>
      </w:r>
    </w:p>
    <w:p w14:paraId="5326E143">
      <w:pPr>
        <w:spacing w:line="360" w:lineRule="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w:t>
      </w:r>
      <w:r>
        <w:rPr>
          <w:rFonts w:hint="eastAsia"/>
          <w:color w:val="000000" w:themeColor="text1"/>
          <w:szCs w:val="21"/>
          <w:highlight w:val="none"/>
          <w14:textFill>
            <w14:solidFill>
              <w14:schemeClr w14:val="tx1"/>
            </w14:solidFill>
          </w14:textFill>
        </w:rPr>
        <w:t>0</w:t>
      </w: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4</w:t>
      </w:r>
      <w:r>
        <w:rPr>
          <w:rFonts w:hAnsi="宋体"/>
          <w:color w:val="000000" w:themeColor="text1"/>
          <w:szCs w:val="21"/>
          <w:highlight w:val="none"/>
          <w14:textFill>
            <w14:solidFill>
              <w14:schemeClr w14:val="tx1"/>
            </w14:solidFill>
          </w14:textFill>
        </w:rPr>
        <w:t>凡进入本工程工作的妇女应持有计生证、否则不准安排工作，禁止使用童工。</w:t>
      </w:r>
    </w:p>
    <w:p w14:paraId="4C3D4D5D">
      <w:pPr>
        <w:widowControl/>
        <w:jc w:val="left"/>
        <w:rPr>
          <w:rFonts w:hAnsi="宋体" w:cs="宋体"/>
          <w:color w:val="000000" w:themeColor="text1"/>
          <w:sz w:val="30"/>
          <w:szCs w:val="30"/>
          <w:highlight w:val="none"/>
          <w14:textFill>
            <w14:solidFill>
              <w14:schemeClr w14:val="tx1"/>
            </w14:solidFill>
          </w14:textFill>
        </w:rPr>
      </w:pPr>
      <w:r>
        <w:rPr>
          <w:rFonts w:hAnsi="宋体" w:cs="宋体"/>
          <w:color w:val="000000" w:themeColor="text1"/>
          <w:sz w:val="30"/>
          <w:szCs w:val="30"/>
          <w:highlight w:val="none"/>
          <w14:textFill>
            <w14:solidFill>
              <w14:schemeClr w14:val="tx1"/>
            </w14:solidFill>
          </w14:textFill>
        </w:rPr>
        <w:br w:type="page"/>
      </w:r>
    </w:p>
    <w:p w14:paraId="0A51399C">
      <w:pPr>
        <w:spacing w:line="440" w:lineRule="exact"/>
        <w:rPr>
          <w:color w:val="000000" w:themeColor="text1"/>
          <w:sz w:val="30"/>
          <w:szCs w:val="30"/>
          <w:highlight w:val="none"/>
          <w14:textFill>
            <w14:solidFill>
              <w14:schemeClr w14:val="tx1"/>
            </w14:solidFill>
          </w14:textFill>
        </w:rPr>
      </w:pPr>
      <w:r>
        <w:rPr>
          <w:rFonts w:hint="eastAsia" w:hAnsi="宋体" w:cs="宋体"/>
          <w:color w:val="000000" w:themeColor="text1"/>
          <w:sz w:val="30"/>
          <w:szCs w:val="30"/>
          <w:highlight w:val="none"/>
          <w14:textFill>
            <w14:solidFill>
              <w14:schemeClr w14:val="tx1"/>
            </w14:solidFill>
          </w14:textFill>
        </w:rPr>
        <w:t>附件1：</w:t>
      </w:r>
    </w:p>
    <w:p w14:paraId="0D705164">
      <w:pPr>
        <w:spacing w:before="120" w:beforeLines="50" w:after="120" w:afterLines="50" w:line="440" w:lineRule="exact"/>
        <w:jc w:val="center"/>
        <w:rPr>
          <w:rFonts w:ascii="黑体" w:eastAsia="黑体"/>
          <w:color w:val="auto"/>
          <w:sz w:val="32"/>
          <w:szCs w:val="32"/>
          <w:highlight w:val="none"/>
        </w:rPr>
      </w:pPr>
      <w:r>
        <w:rPr>
          <w:rFonts w:hint="eastAsia" w:ascii="黑体" w:hAnsi="宋体" w:eastAsia="黑体" w:cs="黑体"/>
          <w:color w:val="auto"/>
          <w:sz w:val="32"/>
          <w:szCs w:val="32"/>
          <w:highlight w:val="none"/>
        </w:rPr>
        <w:t>工程质量保修书</w:t>
      </w:r>
    </w:p>
    <w:p w14:paraId="74B11A42">
      <w:pPr>
        <w:spacing w:line="360" w:lineRule="auto"/>
        <w:ind w:firstLine="480"/>
        <w:rPr>
          <w:color w:val="auto"/>
          <w:sz w:val="24"/>
          <w:highlight w:val="none"/>
        </w:rPr>
      </w:pPr>
      <w:r>
        <w:rPr>
          <w:rFonts w:hint="eastAsia"/>
          <w:color w:val="auto"/>
          <w:sz w:val="24"/>
          <w:highlight w:val="none"/>
        </w:rPr>
        <w:t>发包人（全称）：</w:t>
      </w:r>
      <w:r>
        <w:rPr>
          <w:color w:val="auto"/>
          <w:sz w:val="24"/>
          <w:highlight w:val="none"/>
          <w:u w:val="single"/>
        </w:rPr>
        <w:t xml:space="preserve">                                </w:t>
      </w:r>
      <w:r>
        <w:rPr>
          <w:color w:val="auto"/>
          <w:sz w:val="24"/>
          <w:highlight w:val="none"/>
        </w:rPr>
        <w:t xml:space="preserve"> </w:t>
      </w:r>
    </w:p>
    <w:p w14:paraId="17B245C7">
      <w:pPr>
        <w:spacing w:line="360" w:lineRule="auto"/>
        <w:rPr>
          <w:color w:val="auto"/>
          <w:sz w:val="24"/>
          <w:highlight w:val="none"/>
        </w:rPr>
      </w:pPr>
      <w:r>
        <w:rPr>
          <w:rFonts w:hint="eastAsia"/>
          <w:color w:val="auto"/>
          <w:sz w:val="24"/>
          <w:highlight w:val="none"/>
        </w:rPr>
        <w:t>　　承包人（全称）：</w:t>
      </w:r>
      <w:r>
        <w:rPr>
          <w:color w:val="auto"/>
          <w:sz w:val="24"/>
          <w:highlight w:val="none"/>
          <w:u w:val="single"/>
        </w:rPr>
        <w:t xml:space="preserve">                                </w:t>
      </w:r>
      <w:r>
        <w:rPr>
          <w:color w:val="auto"/>
          <w:sz w:val="24"/>
          <w:highlight w:val="none"/>
        </w:rPr>
        <w:t xml:space="preserve"> </w:t>
      </w:r>
    </w:p>
    <w:p w14:paraId="2AAA46EF">
      <w:pPr>
        <w:spacing w:line="360" w:lineRule="auto"/>
        <w:rPr>
          <w:color w:val="auto"/>
          <w:sz w:val="24"/>
          <w:highlight w:val="none"/>
        </w:rPr>
      </w:pPr>
    </w:p>
    <w:p w14:paraId="78DAF8AB">
      <w:pPr>
        <w:spacing w:line="360" w:lineRule="auto"/>
        <w:rPr>
          <w:color w:val="auto"/>
          <w:sz w:val="24"/>
          <w:highlight w:val="none"/>
        </w:rPr>
      </w:pPr>
      <w:r>
        <w:rPr>
          <w:rFonts w:hint="eastAsia"/>
          <w:color w:val="auto"/>
          <w:sz w:val="24"/>
          <w:highlight w:val="none"/>
        </w:rPr>
        <w:t>　　发包人和承包人根据《中华人民共和国建筑法》和《建设工程质量管理条例》，经协商一致就</w:t>
      </w:r>
      <w:r>
        <w:rPr>
          <w:color w:val="auto"/>
          <w:sz w:val="24"/>
          <w:highlight w:val="none"/>
          <w:u w:val="single"/>
        </w:rPr>
        <w:t xml:space="preserve">                </w:t>
      </w:r>
      <w:r>
        <w:rPr>
          <w:rFonts w:hint="eastAsia"/>
          <w:color w:val="auto"/>
          <w:sz w:val="24"/>
          <w:highlight w:val="none"/>
        </w:rPr>
        <w:t>（工程全称）签订工程质量保修书。</w:t>
      </w:r>
    </w:p>
    <w:p w14:paraId="689FA721">
      <w:pPr>
        <w:spacing w:line="360" w:lineRule="auto"/>
        <w:rPr>
          <w:color w:val="auto"/>
          <w:sz w:val="24"/>
          <w:highlight w:val="none"/>
        </w:rPr>
      </w:pPr>
      <w:r>
        <w:rPr>
          <w:rFonts w:hint="eastAsia"/>
          <w:color w:val="auto"/>
          <w:sz w:val="24"/>
          <w:highlight w:val="none"/>
        </w:rPr>
        <w:t>　　一、工程质量保修范围和内容</w:t>
      </w:r>
    </w:p>
    <w:p w14:paraId="7226D8D8">
      <w:pPr>
        <w:spacing w:line="360" w:lineRule="auto"/>
        <w:rPr>
          <w:color w:val="auto"/>
          <w:sz w:val="24"/>
          <w:highlight w:val="none"/>
        </w:rPr>
      </w:pPr>
      <w:r>
        <w:rPr>
          <w:rFonts w:hint="eastAsia"/>
          <w:color w:val="auto"/>
          <w:sz w:val="24"/>
          <w:highlight w:val="none"/>
        </w:rPr>
        <w:t>　　承包人在质量保修期内，按照有关法律规定和合同约定，承担工程质量保修责任。</w:t>
      </w:r>
    </w:p>
    <w:p w14:paraId="5235E36A">
      <w:pPr>
        <w:spacing w:line="360" w:lineRule="auto"/>
        <w:rPr>
          <w:color w:val="auto"/>
          <w:sz w:val="24"/>
          <w:highlight w:val="none"/>
        </w:rPr>
      </w:pPr>
      <w:r>
        <w:rPr>
          <w:rFonts w:hint="eastAsia"/>
          <w:color w:val="auto"/>
          <w:sz w:val="24"/>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3903049C">
      <w:pPr>
        <w:spacing w:line="360" w:lineRule="auto"/>
        <w:rPr>
          <w:color w:val="auto"/>
          <w:sz w:val="24"/>
          <w:highlight w:val="none"/>
        </w:rPr>
      </w:pPr>
      <w:r>
        <w:rPr>
          <w:rFonts w:hint="eastAsia"/>
          <w:color w:val="auto"/>
          <w:sz w:val="24"/>
          <w:highlight w:val="none"/>
        </w:rPr>
        <w:t>　　</w:t>
      </w:r>
      <w:r>
        <w:rPr>
          <w:color w:val="auto"/>
          <w:sz w:val="24"/>
          <w:highlight w:val="none"/>
          <w:u w:val="single"/>
        </w:rPr>
        <w:t xml:space="preserve">                                                                                                                                                                         </w:t>
      </w:r>
      <w:r>
        <w:rPr>
          <w:rFonts w:hint="eastAsia"/>
          <w:color w:val="auto"/>
          <w:sz w:val="24"/>
          <w:highlight w:val="none"/>
        </w:rPr>
        <w:t>。</w:t>
      </w:r>
    </w:p>
    <w:p w14:paraId="43F7C3E5">
      <w:pPr>
        <w:spacing w:line="360" w:lineRule="auto"/>
        <w:rPr>
          <w:color w:val="auto"/>
          <w:sz w:val="24"/>
          <w:highlight w:val="none"/>
        </w:rPr>
      </w:pPr>
      <w:r>
        <w:rPr>
          <w:rFonts w:hint="eastAsia"/>
          <w:b/>
          <w:color w:val="auto"/>
          <w:sz w:val="24"/>
          <w:highlight w:val="none"/>
        </w:rPr>
        <w:t>　　</w:t>
      </w:r>
      <w:r>
        <w:rPr>
          <w:rFonts w:hint="eastAsia"/>
          <w:color w:val="auto"/>
          <w:sz w:val="24"/>
          <w:highlight w:val="none"/>
        </w:rPr>
        <w:t>二、质量保修期</w:t>
      </w:r>
    </w:p>
    <w:p w14:paraId="0A8B5A52">
      <w:pPr>
        <w:spacing w:line="360" w:lineRule="auto"/>
        <w:ind w:firstLine="480"/>
        <w:rPr>
          <w:color w:val="auto"/>
          <w:sz w:val="24"/>
          <w:highlight w:val="none"/>
        </w:rPr>
      </w:pPr>
      <w:r>
        <w:rPr>
          <w:rFonts w:hint="eastAsia"/>
          <w:color w:val="auto"/>
          <w:sz w:val="24"/>
          <w:highlight w:val="none"/>
        </w:rPr>
        <w:t>根据《建设工程质量管理条例》及有关规定，工程的质量保修期如下：</w:t>
      </w:r>
    </w:p>
    <w:p w14:paraId="683E51CF">
      <w:pPr>
        <w:spacing w:line="360" w:lineRule="auto"/>
        <w:ind w:firstLine="480"/>
        <w:rPr>
          <w:color w:val="auto"/>
          <w:sz w:val="24"/>
          <w:highlight w:val="none"/>
        </w:rPr>
      </w:pPr>
      <w:r>
        <w:rPr>
          <w:color w:val="auto"/>
          <w:sz w:val="24"/>
          <w:highlight w:val="none"/>
        </w:rPr>
        <w:t>1</w:t>
      </w:r>
      <w:r>
        <w:rPr>
          <w:rFonts w:hint="eastAsia"/>
          <w:color w:val="auto"/>
          <w:sz w:val="24"/>
          <w:highlight w:val="none"/>
        </w:rPr>
        <w:t>．地基基础工程和主体结构工程为设计文件规定的工程合理使用年限；</w:t>
      </w:r>
    </w:p>
    <w:p w14:paraId="2C2D003B">
      <w:pPr>
        <w:spacing w:line="360" w:lineRule="auto"/>
        <w:ind w:firstLine="480"/>
        <w:rPr>
          <w:color w:val="auto"/>
          <w:sz w:val="24"/>
          <w:highlight w:val="none"/>
        </w:rPr>
      </w:pPr>
      <w:r>
        <w:rPr>
          <w:color w:val="auto"/>
          <w:sz w:val="24"/>
          <w:highlight w:val="none"/>
        </w:rPr>
        <w:t>2</w:t>
      </w:r>
      <w:r>
        <w:rPr>
          <w:rFonts w:hint="eastAsia"/>
          <w:color w:val="auto"/>
          <w:sz w:val="24"/>
          <w:highlight w:val="none"/>
        </w:rPr>
        <w:t>．屋面防水工程、有防水要求的卫生间、房间和外墙面的防渗为</w:t>
      </w:r>
      <w:r>
        <w:rPr>
          <w:color w:val="auto"/>
          <w:sz w:val="24"/>
          <w:highlight w:val="none"/>
          <w:u w:val="single"/>
        </w:rPr>
        <w:t xml:space="preserve"> 5 </w:t>
      </w:r>
      <w:r>
        <w:rPr>
          <w:rFonts w:hint="eastAsia"/>
          <w:color w:val="auto"/>
          <w:sz w:val="24"/>
          <w:highlight w:val="none"/>
        </w:rPr>
        <w:t>年；</w:t>
      </w:r>
    </w:p>
    <w:p w14:paraId="280A87EE">
      <w:pPr>
        <w:spacing w:line="360" w:lineRule="auto"/>
        <w:ind w:left="420" w:firstLine="120"/>
        <w:rPr>
          <w:color w:val="auto"/>
          <w:sz w:val="24"/>
          <w:highlight w:val="none"/>
        </w:rPr>
      </w:pPr>
      <w:r>
        <w:rPr>
          <w:color w:val="auto"/>
          <w:sz w:val="24"/>
          <w:highlight w:val="none"/>
        </w:rPr>
        <w:t>3</w:t>
      </w:r>
      <w:r>
        <w:rPr>
          <w:rFonts w:hint="eastAsia"/>
          <w:color w:val="auto"/>
          <w:sz w:val="24"/>
          <w:highlight w:val="none"/>
        </w:rPr>
        <w:t>．装修工程为</w:t>
      </w:r>
      <w:r>
        <w:rPr>
          <w:color w:val="auto"/>
          <w:sz w:val="24"/>
          <w:highlight w:val="none"/>
          <w:u w:val="single"/>
        </w:rPr>
        <w:t>2</w:t>
      </w:r>
      <w:r>
        <w:rPr>
          <w:rFonts w:hint="eastAsia"/>
          <w:color w:val="auto"/>
          <w:sz w:val="24"/>
          <w:highlight w:val="none"/>
        </w:rPr>
        <w:t>年；</w:t>
      </w:r>
    </w:p>
    <w:p w14:paraId="5442B4DE">
      <w:pPr>
        <w:spacing w:line="360" w:lineRule="auto"/>
        <w:ind w:left="420" w:firstLine="120"/>
        <w:rPr>
          <w:color w:val="auto"/>
          <w:sz w:val="24"/>
          <w:highlight w:val="none"/>
        </w:rPr>
      </w:pPr>
      <w:r>
        <w:rPr>
          <w:color w:val="auto"/>
          <w:sz w:val="24"/>
          <w:highlight w:val="none"/>
        </w:rPr>
        <w:t>4</w:t>
      </w:r>
      <w:r>
        <w:rPr>
          <w:rFonts w:hint="eastAsia"/>
          <w:color w:val="auto"/>
          <w:sz w:val="24"/>
          <w:highlight w:val="none"/>
        </w:rPr>
        <w:t>．电气管线、给排水管道、设备安装工程为</w:t>
      </w:r>
      <w:r>
        <w:rPr>
          <w:color w:val="auto"/>
          <w:sz w:val="24"/>
          <w:highlight w:val="none"/>
          <w:u w:val="single"/>
        </w:rPr>
        <w:t xml:space="preserve"> 2 </w:t>
      </w:r>
      <w:r>
        <w:rPr>
          <w:rFonts w:hint="eastAsia"/>
          <w:color w:val="auto"/>
          <w:sz w:val="24"/>
          <w:highlight w:val="none"/>
        </w:rPr>
        <w:t>年；</w:t>
      </w:r>
    </w:p>
    <w:p w14:paraId="5BDF8D87">
      <w:pPr>
        <w:spacing w:line="360" w:lineRule="auto"/>
        <w:ind w:left="420" w:firstLine="120"/>
        <w:rPr>
          <w:color w:val="auto"/>
          <w:sz w:val="24"/>
          <w:highlight w:val="none"/>
        </w:rPr>
      </w:pPr>
      <w:r>
        <w:rPr>
          <w:color w:val="auto"/>
          <w:sz w:val="24"/>
          <w:highlight w:val="none"/>
        </w:rPr>
        <w:t>5</w:t>
      </w:r>
      <w:r>
        <w:rPr>
          <w:rFonts w:hint="eastAsia"/>
          <w:color w:val="auto"/>
          <w:sz w:val="24"/>
          <w:highlight w:val="none"/>
        </w:rPr>
        <w:t>．供热与供冷系统为</w:t>
      </w:r>
      <w:r>
        <w:rPr>
          <w:color w:val="auto"/>
          <w:sz w:val="24"/>
          <w:highlight w:val="none"/>
          <w:u w:val="single"/>
        </w:rPr>
        <w:t>2</w:t>
      </w:r>
      <w:r>
        <w:rPr>
          <w:rFonts w:hint="eastAsia"/>
          <w:color w:val="auto"/>
          <w:sz w:val="24"/>
          <w:highlight w:val="none"/>
        </w:rPr>
        <w:t>个采暖期、供冷期；</w:t>
      </w:r>
    </w:p>
    <w:p w14:paraId="18DAED81">
      <w:pPr>
        <w:spacing w:line="360" w:lineRule="auto"/>
        <w:ind w:left="420" w:firstLine="120"/>
        <w:rPr>
          <w:color w:val="auto"/>
          <w:sz w:val="24"/>
          <w:highlight w:val="none"/>
        </w:rPr>
      </w:pPr>
      <w:r>
        <w:rPr>
          <w:color w:val="auto"/>
          <w:sz w:val="24"/>
          <w:highlight w:val="none"/>
        </w:rPr>
        <w:t>6</w:t>
      </w:r>
      <w:r>
        <w:rPr>
          <w:rFonts w:hint="eastAsia"/>
          <w:color w:val="auto"/>
          <w:sz w:val="24"/>
          <w:highlight w:val="none"/>
        </w:rPr>
        <w:t>．住宅小区内的给排水设施、道路等配套工程为</w:t>
      </w:r>
      <w:r>
        <w:rPr>
          <w:color w:val="auto"/>
          <w:sz w:val="24"/>
          <w:highlight w:val="none"/>
          <w:u w:val="single"/>
        </w:rPr>
        <w:t xml:space="preserve"> 2</w:t>
      </w:r>
      <w:r>
        <w:rPr>
          <w:rFonts w:hint="eastAsia"/>
          <w:color w:val="auto"/>
          <w:sz w:val="24"/>
          <w:highlight w:val="none"/>
        </w:rPr>
        <w:t>年；</w:t>
      </w:r>
    </w:p>
    <w:p w14:paraId="20550B13">
      <w:pPr>
        <w:spacing w:line="360" w:lineRule="auto"/>
        <w:ind w:left="420" w:firstLine="120"/>
        <w:rPr>
          <w:color w:val="auto"/>
          <w:sz w:val="24"/>
          <w:highlight w:val="none"/>
        </w:rPr>
      </w:pPr>
      <w:r>
        <w:rPr>
          <w:rFonts w:hint="eastAsia"/>
          <w:color w:val="auto"/>
          <w:sz w:val="24"/>
          <w:highlight w:val="none"/>
        </w:rPr>
        <w:t>7．其他项目保修期限约定如下：</w:t>
      </w:r>
      <w:r>
        <w:rPr>
          <w:color w:val="auto"/>
          <w:sz w:val="24"/>
          <w:highlight w:val="none"/>
          <w:u w:val="single"/>
        </w:rPr>
        <w:t xml:space="preserve"> </w:t>
      </w:r>
      <w:r>
        <w:rPr>
          <w:rFonts w:hint="eastAsia"/>
          <w:color w:val="auto"/>
          <w:sz w:val="24"/>
          <w:highlight w:val="none"/>
          <w:u w:val="single"/>
        </w:rPr>
        <w:t xml:space="preserve">                      </w:t>
      </w:r>
      <w:r>
        <w:rPr>
          <w:color w:val="auto"/>
          <w:sz w:val="24"/>
          <w:highlight w:val="none"/>
          <w:u w:val="single"/>
        </w:rPr>
        <w:t xml:space="preserve">  </w:t>
      </w:r>
    </w:p>
    <w:p w14:paraId="709688F4">
      <w:pPr>
        <w:spacing w:line="360" w:lineRule="auto"/>
        <w:rPr>
          <w:color w:val="auto"/>
          <w:sz w:val="24"/>
          <w:highlight w:val="none"/>
        </w:rPr>
      </w:pPr>
      <w:r>
        <w:rPr>
          <w:rFonts w:hint="eastAsia"/>
          <w:color w:val="auto"/>
          <w:sz w:val="24"/>
          <w:highlight w:val="none"/>
        </w:rPr>
        <w:t>质量保修期自工程竣工验收合格之日起计算。</w:t>
      </w:r>
    </w:p>
    <w:p w14:paraId="6DC500FD">
      <w:pPr>
        <w:spacing w:line="360" w:lineRule="auto"/>
        <w:ind w:firstLine="480"/>
        <w:rPr>
          <w:color w:val="auto"/>
          <w:sz w:val="24"/>
          <w:highlight w:val="none"/>
        </w:rPr>
      </w:pPr>
      <w:r>
        <w:rPr>
          <w:rFonts w:hint="eastAsia"/>
          <w:color w:val="auto"/>
          <w:sz w:val="24"/>
          <w:highlight w:val="none"/>
        </w:rPr>
        <w:t>三、缺陷责任期</w:t>
      </w:r>
    </w:p>
    <w:p w14:paraId="20F08BCF">
      <w:pPr>
        <w:spacing w:line="360" w:lineRule="auto"/>
        <w:ind w:firstLine="480"/>
        <w:rPr>
          <w:color w:val="auto"/>
          <w:sz w:val="24"/>
          <w:highlight w:val="none"/>
        </w:rPr>
      </w:pPr>
      <w:r>
        <w:rPr>
          <w:rFonts w:hint="eastAsia"/>
          <w:color w:val="auto"/>
          <w:sz w:val="24"/>
          <w:highlight w:val="none"/>
        </w:rPr>
        <w:t>工程缺陷责任期为</w:t>
      </w:r>
      <w:r>
        <w:rPr>
          <w:rFonts w:hint="eastAsia"/>
          <w:color w:val="auto"/>
          <w:sz w:val="24"/>
          <w:highlight w:val="none"/>
          <w:u w:val="single"/>
        </w:rPr>
        <w:t xml:space="preserve">   </w:t>
      </w:r>
      <w:r>
        <w:rPr>
          <w:rFonts w:hint="eastAsia"/>
          <w:color w:val="auto"/>
          <w:sz w:val="24"/>
          <w:highlight w:val="none"/>
          <w:u w:val="single"/>
          <w:lang w:val="en-US" w:eastAsia="zh-CN"/>
        </w:rPr>
        <w:t>24</w:t>
      </w:r>
      <w:r>
        <w:rPr>
          <w:rFonts w:hint="eastAsia"/>
          <w:color w:val="auto"/>
          <w:sz w:val="24"/>
          <w:highlight w:val="none"/>
          <w:u w:val="single"/>
        </w:rPr>
        <w:t xml:space="preserve">  </w:t>
      </w:r>
      <w:r>
        <w:rPr>
          <w:rFonts w:hint="eastAsia"/>
          <w:color w:val="auto"/>
          <w:sz w:val="24"/>
          <w:highlight w:val="none"/>
        </w:rPr>
        <w:t>个月，缺陷责任期自工程竣工验收合格之日起计算。单位工程先于全部工程进行验收，单位工程缺陷责任期自单位工程验收合格之日起算。</w:t>
      </w:r>
    </w:p>
    <w:p w14:paraId="68D730C9">
      <w:pPr>
        <w:spacing w:line="360" w:lineRule="auto"/>
        <w:rPr>
          <w:color w:val="auto"/>
          <w:sz w:val="24"/>
          <w:highlight w:val="none"/>
        </w:rPr>
      </w:pPr>
      <w:r>
        <w:rPr>
          <w:color w:val="auto"/>
          <w:sz w:val="24"/>
          <w:highlight w:val="none"/>
        </w:rPr>
        <w:t xml:space="preserve">    </w:t>
      </w:r>
      <w:r>
        <w:rPr>
          <w:rFonts w:hint="eastAsia"/>
          <w:color w:val="auto"/>
          <w:sz w:val="24"/>
          <w:highlight w:val="none"/>
        </w:rPr>
        <w:t>四、质量保修责任</w:t>
      </w:r>
    </w:p>
    <w:p w14:paraId="795FEAE5">
      <w:pPr>
        <w:spacing w:line="360" w:lineRule="auto"/>
        <w:ind w:left="105" w:firstLine="492"/>
        <w:rPr>
          <w:color w:val="auto"/>
          <w:sz w:val="24"/>
          <w:highlight w:val="none"/>
        </w:rPr>
      </w:pPr>
      <w:r>
        <w:rPr>
          <w:color w:val="auto"/>
          <w:sz w:val="24"/>
          <w:highlight w:val="none"/>
        </w:rPr>
        <w:t>1</w:t>
      </w:r>
      <w:r>
        <w:rPr>
          <w:rFonts w:hint="eastAsia"/>
          <w:color w:val="auto"/>
          <w:sz w:val="24"/>
          <w:highlight w:val="none"/>
        </w:rPr>
        <w:t>．属于保修范围、内容的项目，承包人应当在接到保修通知之日起</w:t>
      </w:r>
      <w:r>
        <w:rPr>
          <w:color w:val="auto"/>
          <w:sz w:val="24"/>
          <w:highlight w:val="none"/>
        </w:rPr>
        <w:t>7</w:t>
      </w:r>
      <w:r>
        <w:rPr>
          <w:rFonts w:hint="eastAsia"/>
          <w:color w:val="auto"/>
          <w:sz w:val="24"/>
          <w:highlight w:val="none"/>
        </w:rPr>
        <w:t>天内派人保修。承包人不在约定期限内派人保修的，发包人可以委托他人修理。</w:t>
      </w:r>
    </w:p>
    <w:p w14:paraId="0FCA24DB">
      <w:pPr>
        <w:spacing w:line="360" w:lineRule="auto"/>
        <w:ind w:left="105" w:firstLine="492"/>
        <w:rPr>
          <w:color w:val="auto"/>
          <w:sz w:val="24"/>
          <w:highlight w:val="none"/>
        </w:rPr>
      </w:pPr>
      <w:r>
        <w:rPr>
          <w:color w:val="auto"/>
          <w:sz w:val="24"/>
          <w:highlight w:val="none"/>
        </w:rPr>
        <w:t>2</w:t>
      </w:r>
      <w:r>
        <w:rPr>
          <w:rFonts w:hint="eastAsia"/>
          <w:color w:val="auto"/>
          <w:sz w:val="24"/>
          <w:highlight w:val="none"/>
        </w:rPr>
        <w:t>．发生紧急事故需抢修的，承包人在接到事故通知后，应当立即到达事故现场抢修。</w:t>
      </w:r>
    </w:p>
    <w:p w14:paraId="6AE5EE8C">
      <w:pPr>
        <w:spacing w:line="360" w:lineRule="auto"/>
        <w:ind w:left="105" w:firstLine="492"/>
        <w:rPr>
          <w:color w:val="auto"/>
          <w:sz w:val="24"/>
          <w:highlight w:val="none"/>
        </w:rPr>
      </w:pPr>
      <w:r>
        <w:rPr>
          <w:color w:val="auto"/>
          <w:sz w:val="24"/>
          <w:highlight w:val="none"/>
        </w:rPr>
        <w:t>3</w:t>
      </w:r>
      <w:r>
        <w:rPr>
          <w:rFonts w:hint="eastAsia"/>
          <w:color w:val="auto"/>
          <w:sz w:val="24"/>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31BBE395">
      <w:pPr>
        <w:spacing w:line="360" w:lineRule="auto"/>
        <w:ind w:left="420" w:firstLine="120"/>
        <w:rPr>
          <w:color w:val="auto"/>
          <w:sz w:val="24"/>
          <w:highlight w:val="none"/>
        </w:rPr>
      </w:pPr>
      <w:r>
        <w:rPr>
          <w:color w:val="auto"/>
          <w:sz w:val="24"/>
          <w:highlight w:val="none"/>
        </w:rPr>
        <w:t>4</w:t>
      </w:r>
      <w:r>
        <w:rPr>
          <w:rFonts w:hint="eastAsia"/>
          <w:color w:val="auto"/>
          <w:sz w:val="24"/>
          <w:highlight w:val="none"/>
        </w:rPr>
        <w:t>．质量保修完成后，由发包人组织验收。</w:t>
      </w:r>
    </w:p>
    <w:p w14:paraId="2EB7E61E">
      <w:pPr>
        <w:spacing w:line="360" w:lineRule="auto"/>
        <w:rPr>
          <w:color w:val="auto"/>
          <w:sz w:val="24"/>
          <w:highlight w:val="none"/>
        </w:rPr>
      </w:pPr>
      <w:r>
        <w:rPr>
          <w:rFonts w:hint="eastAsia"/>
          <w:color w:val="auto"/>
          <w:sz w:val="24"/>
          <w:highlight w:val="none"/>
        </w:rPr>
        <w:t>　　五、保修费用</w:t>
      </w:r>
    </w:p>
    <w:p w14:paraId="32CFBFBF">
      <w:pPr>
        <w:spacing w:line="360" w:lineRule="auto"/>
        <w:rPr>
          <w:color w:val="auto"/>
          <w:sz w:val="24"/>
          <w:highlight w:val="none"/>
        </w:rPr>
      </w:pPr>
      <w:r>
        <w:rPr>
          <w:rFonts w:hint="eastAsia"/>
          <w:color w:val="auto"/>
          <w:sz w:val="24"/>
          <w:highlight w:val="none"/>
        </w:rPr>
        <w:t>　　保修费用由造成质量缺陷的责任方承担。</w:t>
      </w:r>
    </w:p>
    <w:p w14:paraId="7192A5F9">
      <w:pPr>
        <w:spacing w:line="360" w:lineRule="auto"/>
        <w:ind w:firstLine="600"/>
        <w:jc w:val="left"/>
        <w:rPr>
          <w:color w:val="auto"/>
          <w:sz w:val="24"/>
          <w:highlight w:val="none"/>
          <w:u w:val="single"/>
        </w:rPr>
      </w:pPr>
      <w:r>
        <w:rPr>
          <w:rFonts w:hint="eastAsia"/>
          <w:b/>
          <w:color w:val="auto"/>
          <w:sz w:val="24"/>
          <w:highlight w:val="none"/>
        </w:rPr>
        <w:t>六</w:t>
      </w:r>
      <w:r>
        <w:rPr>
          <w:rFonts w:hint="eastAsia"/>
          <w:color w:val="auto"/>
          <w:sz w:val="24"/>
          <w:highlight w:val="none"/>
        </w:rPr>
        <w:t>、双方约定的其他工程质量保修事项：</w:t>
      </w:r>
      <w:r>
        <w:rPr>
          <w:color w:val="auto"/>
          <w:sz w:val="24"/>
          <w:highlight w:val="none"/>
          <w:u w:val="single"/>
        </w:rPr>
        <w:t xml:space="preserve">                  </w:t>
      </w:r>
    </w:p>
    <w:p w14:paraId="4FB8B43D">
      <w:pPr>
        <w:spacing w:line="360" w:lineRule="auto"/>
        <w:jc w:val="left"/>
        <w:rPr>
          <w:color w:val="auto"/>
          <w:sz w:val="24"/>
          <w:highlight w:val="none"/>
        </w:rPr>
      </w:pPr>
      <w:r>
        <w:rPr>
          <w:color w:val="auto"/>
          <w:sz w:val="24"/>
          <w:highlight w:val="none"/>
          <w:u w:val="single"/>
        </w:rPr>
        <w:t xml:space="preserve">                                                                                                                   </w:t>
      </w:r>
      <w:r>
        <w:rPr>
          <w:rFonts w:hint="eastAsia"/>
          <w:color w:val="auto"/>
          <w:sz w:val="24"/>
          <w:highlight w:val="none"/>
        </w:rPr>
        <w:t>。</w:t>
      </w:r>
    </w:p>
    <w:p w14:paraId="4AECC68C">
      <w:pPr>
        <w:spacing w:line="360" w:lineRule="auto"/>
        <w:ind w:firstLine="456"/>
        <w:rPr>
          <w:color w:val="auto"/>
          <w:sz w:val="24"/>
          <w:highlight w:val="none"/>
        </w:rPr>
      </w:pPr>
      <w:r>
        <w:rPr>
          <w:rFonts w:hint="eastAsia"/>
          <w:color w:val="auto"/>
          <w:sz w:val="24"/>
          <w:highlight w:val="none"/>
        </w:rPr>
        <w:t>工程质量保修书由发包人、承包人在工程竣工验收前共同签署，作为施工合同附件，其有效期限至保修期满。</w:t>
      </w:r>
    </w:p>
    <w:p w14:paraId="0C996A8C">
      <w:pPr>
        <w:spacing w:line="360" w:lineRule="auto"/>
        <w:ind w:firstLine="420"/>
        <w:rPr>
          <w:color w:val="auto"/>
          <w:sz w:val="24"/>
          <w:highlight w:val="none"/>
        </w:rPr>
      </w:pPr>
    </w:p>
    <w:p w14:paraId="5184F13B">
      <w:pPr>
        <w:spacing w:line="360" w:lineRule="auto"/>
        <w:rPr>
          <w:color w:val="auto"/>
          <w:sz w:val="24"/>
          <w:highlight w:val="none"/>
        </w:rPr>
      </w:pPr>
      <w:r>
        <w:rPr>
          <w:rFonts w:hint="eastAsia"/>
          <w:color w:val="auto"/>
          <w:sz w:val="24"/>
          <w:highlight w:val="none"/>
        </w:rPr>
        <w:t>发包人</w:t>
      </w:r>
      <w:r>
        <w:rPr>
          <w:color w:val="auto"/>
          <w:sz w:val="24"/>
          <w:highlight w:val="none"/>
        </w:rPr>
        <w:t>(</w:t>
      </w:r>
      <w:r>
        <w:rPr>
          <w:rFonts w:hint="eastAsia"/>
          <w:color w:val="auto"/>
          <w:sz w:val="24"/>
          <w:highlight w:val="none"/>
        </w:rPr>
        <w:t>公章</w:t>
      </w:r>
      <w:r>
        <w:rPr>
          <w:color w:val="auto"/>
          <w:sz w:val="24"/>
          <w:highlight w:val="none"/>
        </w:rPr>
        <w:t>)</w:t>
      </w:r>
      <w:r>
        <w:rPr>
          <w:rFonts w:hint="eastAsia"/>
          <w:color w:val="auto"/>
          <w:sz w:val="24"/>
          <w:highlight w:val="none"/>
        </w:rPr>
        <w:t>：</w:t>
      </w:r>
      <w:r>
        <w:rPr>
          <w:color w:val="auto"/>
          <w:sz w:val="24"/>
          <w:highlight w:val="none"/>
          <w:u w:val="single"/>
        </w:rPr>
        <w:t xml:space="preserve"> </w:t>
      </w:r>
      <w:r>
        <w:rPr>
          <w:rFonts w:hint="eastAsia"/>
          <w:color w:val="auto"/>
          <w:sz w:val="24"/>
          <w:highlight w:val="none"/>
          <w:u w:val="single"/>
        </w:rPr>
        <w:t></w:t>
      </w:r>
      <w:r>
        <w:rPr>
          <w:color w:val="auto"/>
          <w:sz w:val="24"/>
          <w:highlight w:val="none"/>
          <w:u w:val="single"/>
        </w:rPr>
        <w:t xml:space="preserve"> </w:t>
      </w:r>
      <w:r>
        <w:rPr>
          <w:rFonts w:hint="eastAsia"/>
          <w:color w:val="auto"/>
          <w:sz w:val="24"/>
          <w:highlight w:val="none"/>
          <w:u w:val="single"/>
        </w:rPr>
        <w:t></w:t>
      </w:r>
      <w:r>
        <w:rPr>
          <w:color w:val="auto"/>
          <w:sz w:val="24"/>
          <w:highlight w:val="none"/>
          <w:u w:val="single"/>
        </w:rPr>
        <w:t xml:space="preserve">      </w:t>
      </w:r>
      <w:r>
        <w:rPr>
          <w:color w:val="auto"/>
          <w:sz w:val="24"/>
          <w:highlight w:val="none"/>
        </w:rPr>
        <w:t xml:space="preserve">          </w:t>
      </w:r>
      <w:r>
        <w:rPr>
          <w:rFonts w:hint="eastAsia"/>
          <w:color w:val="auto"/>
          <w:sz w:val="24"/>
          <w:highlight w:val="none"/>
        </w:rPr>
        <w:t>承包人</w:t>
      </w:r>
      <w:r>
        <w:rPr>
          <w:color w:val="auto"/>
          <w:sz w:val="24"/>
          <w:highlight w:val="none"/>
        </w:rPr>
        <w:t>(</w:t>
      </w:r>
      <w:r>
        <w:rPr>
          <w:rFonts w:hint="eastAsia"/>
          <w:color w:val="auto"/>
          <w:sz w:val="24"/>
          <w:highlight w:val="none"/>
        </w:rPr>
        <w:t>公章</w:t>
      </w:r>
      <w:r>
        <w:rPr>
          <w:color w:val="auto"/>
          <w:sz w:val="24"/>
          <w:highlight w:val="none"/>
        </w:rPr>
        <w:t>)</w:t>
      </w:r>
      <w:r>
        <w:rPr>
          <w:rFonts w:hint="eastAsia"/>
          <w:color w:val="auto"/>
          <w:sz w:val="24"/>
          <w:highlight w:val="none"/>
        </w:rPr>
        <w:t>：</w:t>
      </w:r>
      <w:r>
        <w:rPr>
          <w:rFonts w:hint="eastAsia"/>
          <w:color w:val="auto"/>
          <w:sz w:val="24"/>
          <w:highlight w:val="none"/>
          <w:u w:val="single"/>
        </w:rPr>
        <w:t></w:t>
      </w:r>
      <w:r>
        <w:rPr>
          <w:color w:val="auto"/>
          <w:sz w:val="24"/>
          <w:highlight w:val="none"/>
          <w:u w:val="single"/>
        </w:rPr>
        <w:t xml:space="preserve">          </w:t>
      </w:r>
      <w:r>
        <w:rPr>
          <w:rFonts w:hint="eastAsia"/>
          <w:color w:val="auto"/>
          <w:sz w:val="24"/>
          <w:highlight w:val="none"/>
          <w:u w:val="single"/>
        </w:rPr>
        <w:t></w:t>
      </w:r>
      <w:r>
        <w:rPr>
          <w:color w:val="auto"/>
          <w:sz w:val="24"/>
          <w:highlight w:val="none"/>
          <w:u w:val="single"/>
        </w:rPr>
        <w:t xml:space="preserve"> </w:t>
      </w:r>
    </w:p>
    <w:p w14:paraId="12090AC7">
      <w:pPr>
        <w:spacing w:line="360" w:lineRule="auto"/>
        <w:rPr>
          <w:color w:val="auto"/>
          <w:sz w:val="24"/>
          <w:highlight w:val="none"/>
          <w:u w:val="single"/>
        </w:rPr>
      </w:pPr>
      <w:r>
        <w:rPr>
          <w:rFonts w:hint="eastAsia"/>
          <w:color w:val="auto"/>
          <w:sz w:val="24"/>
          <w:highlight w:val="none"/>
        </w:rPr>
        <w:t>地</w:t>
      </w:r>
      <w:r>
        <w:rPr>
          <w:color w:val="auto"/>
          <w:sz w:val="24"/>
          <w:highlight w:val="none"/>
        </w:rPr>
        <w:t xml:space="preserve">  </w:t>
      </w:r>
      <w:r>
        <w:rPr>
          <w:rFonts w:hint="eastAsia"/>
          <w:color w:val="auto"/>
          <w:sz w:val="24"/>
          <w:highlight w:val="none"/>
        </w:rPr>
        <w:t>址：</w:t>
      </w:r>
      <w:r>
        <w:rPr>
          <w:color w:val="auto"/>
          <w:sz w:val="24"/>
          <w:highlight w:val="none"/>
          <w:u w:val="single"/>
        </w:rPr>
        <w:t xml:space="preserve">              </w:t>
      </w:r>
      <w:r>
        <w:rPr>
          <w:color w:val="auto"/>
          <w:sz w:val="24"/>
          <w:highlight w:val="none"/>
        </w:rPr>
        <w:t xml:space="preserve">                 </w:t>
      </w:r>
      <w:r>
        <w:rPr>
          <w:rFonts w:hint="eastAsia"/>
          <w:color w:val="auto"/>
          <w:sz w:val="24"/>
          <w:highlight w:val="none"/>
        </w:rPr>
        <w:t>地</w:t>
      </w:r>
      <w:r>
        <w:rPr>
          <w:color w:val="auto"/>
          <w:sz w:val="24"/>
          <w:highlight w:val="none"/>
        </w:rPr>
        <w:t xml:space="preserve">  </w:t>
      </w:r>
      <w:r>
        <w:rPr>
          <w:rFonts w:hint="eastAsia"/>
          <w:color w:val="auto"/>
          <w:sz w:val="24"/>
          <w:highlight w:val="none"/>
        </w:rPr>
        <w:t>址：</w:t>
      </w:r>
      <w:r>
        <w:rPr>
          <w:rFonts w:hint="eastAsia"/>
          <w:color w:val="auto"/>
          <w:sz w:val="24"/>
          <w:highlight w:val="none"/>
          <w:u w:val="single"/>
        </w:rPr>
        <w:t></w:t>
      </w:r>
      <w:r>
        <w:rPr>
          <w:color w:val="auto"/>
          <w:sz w:val="24"/>
          <w:highlight w:val="none"/>
          <w:u w:val="single"/>
        </w:rPr>
        <w:t xml:space="preserve"> </w:t>
      </w:r>
      <w:r>
        <w:rPr>
          <w:rFonts w:hint="eastAsia"/>
          <w:color w:val="auto"/>
          <w:sz w:val="24"/>
          <w:highlight w:val="none"/>
          <w:u w:val="single"/>
        </w:rPr>
        <w:t></w:t>
      </w:r>
      <w:r>
        <w:rPr>
          <w:color w:val="auto"/>
          <w:sz w:val="24"/>
          <w:highlight w:val="none"/>
          <w:u w:val="single"/>
        </w:rPr>
        <w:t xml:space="preserve">      </w:t>
      </w:r>
    </w:p>
    <w:p w14:paraId="53860C02">
      <w:pPr>
        <w:spacing w:line="360" w:lineRule="auto"/>
        <w:rPr>
          <w:color w:val="auto"/>
          <w:sz w:val="24"/>
          <w:highlight w:val="none"/>
        </w:rPr>
      </w:pPr>
      <w:r>
        <w:rPr>
          <w:rFonts w:hint="eastAsia"/>
          <w:color w:val="auto"/>
          <w:sz w:val="24"/>
          <w:highlight w:val="none"/>
        </w:rPr>
        <w:t>法定代表人</w:t>
      </w:r>
      <w:r>
        <w:rPr>
          <w:color w:val="auto"/>
          <w:sz w:val="24"/>
          <w:highlight w:val="none"/>
        </w:rPr>
        <w:t>(</w:t>
      </w:r>
      <w:r>
        <w:rPr>
          <w:rFonts w:hint="eastAsia"/>
          <w:color w:val="auto"/>
          <w:sz w:val="24"/>
          <w:highlight w:val="none"/>
        </w:rPr>
        <w:t>签字</w:t>
      </w:r>
      <w:r>
        <w:rPr>
          <w:color w:val="auto"/>
          <w:sz w:val="24"/>
          <w:highlight w:val="none"/>
        </w:rPr>
        <w:t>)</w:t>
      </w:r>
      <w:r>
        <w:rPr>
          <w:rFonts w:hint="eastAsia"/>
          <w:color w:val="auto"/>
          <w:sz w:val="24"/>
          <w:highlight w:val="none"/>
        </w:rPr>
        <w:t>：</w:t>
      </w:r>
      <w:r>
        <w:rPr>
          <w:rFonts w:hint="eastAsia"/>
          <w:color w:val="auto"/>
          <w:sz w:val="24"/>
          <w:highlight w:val="none"/>
          <w:u w:val="single"/>
        </w:rPr>
        <w:t></w:t>
      </w:r>
      <w:r>
        <w:rPr>
          <w:color w:val="auto"/>
          <w:sz w:val="24"/>
          <w:highlight w:val="none"/>
          <w:u w:val="single"/>
        </w:rPr>
        <w:t xml:space="preserve">      </w:t>
      </w:r>
      <w:r>
        <w:rPr>
          <w:color w:val="auto"/>
          <w:sz w:val="24"/>
          <w:highlight w:val="none"/>
        </w:rPr>
        <w:t xml:space="preserve">          </w:t>
      </w:r>
      <w:r>
        <w:rPr>
          <w:rFonts w:hint="eastAsia"/>
          <w:color w:val="auto"/>
          <w:sz w:val="24"/>
          <w:highlight w:val="none"/>
        </w:rPr>
        <w:t>法定代表人</w:t>
      </w:r>
      <w:r>
        <w:rPr>
          <w:color w:val="auto"/>
          <w:sz w:val="24"/>
          <w:highlight w:val="none"/>
        </w:rPr>
        <w:t>(</w:t>
      </w:r>
      <w:r>
        <w:rPr>
          <w:rFonts w:hint="eastAsia"/>
          <w:color w:val="auto"/>
          <w:sz w:val="24"/>
          <w:highlight w:val="none"/>
        </w:rPr>
        <w:t>签字</w:t>
      </w:r>
      <w:r>
        <w:rPr>
          <w:color w:val="auto"/>
          <w:sz w:val="24"/>
          <w:highlight w:val="none"/>
        </w:rPr>
        <w:t>)</w:t>
      </w:r>
      <w:r>
        <w:rPr>
          <w:rFonts w:hint="eastAsia"/>
          <w:color w:val="auto"/>
          <w:sz w:val="24"/>
          <w:highlight w:val="none"/>
        </w:rPr>
        <w:t>：</w:t>
      </w:r>
      <w:r>
        <w:rPr>
          <w:rFonts w:hint="eastAsia"/>
          <w:color w:val="auto"/>
          <w:sz w:val="24"/>
          <w:highlight w:val="none"/>
          <w:u w:val="single"/>
        </w:rPr>
        <w:t></w:t>
      </w:r>
      <w:r>
        <w:rPr>
          <w:color w:val="auto"/>
          <w:sz w:val="24"/>
          <w:highlight w:val="none"/>
          <w:u w:val="single"/>
        </w:rPr>
        <w:t xml:space="preserve">       </w:t>
      </w:r>
    </w:p>
    <w:p w14:paraId="22277AAF">
      <w:pPr>
        <w:spacing w:line="360" w:lineRule="auto"/>
        <w:rPr>
          <w:color w:val="auto"/>
          <w:sz w:val="24"/>
          <w:highlight w:val="none"/>
        </w:rPr>
      </w:pPr>
      <w:r>
        <w:rPr>
          <w:rFonts w:hint="eastAsia"/>
          <w:color w:val="auto"/>
          <w:sz w:val="24"/>
          <w:highlight w:val="none"/>
        </w:rPr>
        <w:t>委托代理人</w:t>
      </w:r>
      <w:r>
        <w:rPr>
          <w:color w:val="auto"/>
          <w:sz w:val="24"/>
          <w:highlight w:val="none"/>
        </w:rPr>
        <w:t>(</w:t>
      </w:r>
      <w:r>
        <w:rPr>
          <w:rFonts w:hint="eastAsia"/>
          <w:color w:val="auto"/>
          <w:sz w:val="24"/>
          <w:highlight w:val="none"/>
        </w:rPr>
        <w:t>签字</w:t>
      </w:r>
      <w:r>
        <w:rPr>
          <w:color w:val="auto"/>
          <w:sz w:val="24"/>
          <w:highlight w:val="none"/>
        </w:rPr>
        <w:t>)</w:t>
      </w:r>
      <w:r>
        <w:rPr>
          <w:rFonts w:hint="eastAsia"/>
          <w:color w:val="auto"/>
          <w:sz w:val="24"/>
          <w:highlight w:val="none"/>
        </w:rPr>
        <w:t>：</w:t>
      </w:r>
      <w:r>
        <w:rPr>
          <w:rFonts w:hint="eastAsia"/>
          <w:color w:val="auto"/>
          <w:sz w:val="24"/>
          <w:highlight w:val="none"/>
          <w:u w:val="single"/>
        </w:rPr>
        <w:t></w:t>
      </w:r>
      <w:r>
        <w:rPr>
          <w:color w:val="auto"/>
          <w:sz w:val="24"/>
          <w:highlight w:val="none"/>
          <w:u w:val="single"/>
        </w:rPr>
        <w:t xml:space="preserve">      </w:t>
      </w:r>
      <w:r>
        <w:rPr>
          <w:color w:val="auto"/>
          <w:sz w:val="24"/>
          <w:highlight w:val="none"/>
        </w:rPr>
        <w:t xml:space="preserve">          </w:t>
      </w:r>
      <w:r>
        <w:rPr>
          <w:rFonts w:hint="eastAsia"/>
          <w:color w:val="auto"/>
          <w:sz w:val="24"/>
          <w:highlight w:val="none"/>
        </w:rPr>
        <w:t>委托代理人</w:t>
      </w:r>
      <w:r>
        <w:rPr>
          <w:color w:val="auto"/>
          <w:sz w:val="24"/>
          <w:highlight w:val="none"/>
        </w:rPr>
        <w:t>(</w:t>
      </w:r>
      <w:r>
        <w:rPr>
          <w:rFonts w:hint="eastAsia"/>
          <w:color w:val="auto"/>
          <w:sz w:val="24"/>
          <w:highlight w:val="none"/>
        </w:rPr>
        <w:t>签字</w:t>
      </w:r>
      <w:r>
        <w:rPr>
          <w:color w:val="auto"/>
          <w:sz w:val="24"/>
          <w:highlight w:val="none"/>
        </w:rPr>
        <w:t>)</w:t>
      </w:r>
      <w:r>
        <w:rPr>
          <w:rFonts w:hint="eastAsia"/>
          <w:color w:val="auto"/>
          <w:sz w:val="24"/>
          <w:highlight w:val="none"/>
        </w:rPr>
        <w:t>：</w:t>
      </w:r>
      <w:r>
        <w:rPr>
          <w:rFonts w:hint="eastAsia"/>
          <w:color w:val="auto"/>
          <w:sz w:val="24"/>
          <w:highlight w:val="none"/>
          <w:u w:val="single"/>
        </w:rPr>
        <w:t></w:t>
      </w:r>
      <w:r>
        <w:rPr>
          <w:color w:val="auto"/>
          <w:sz w:val="24"/>
          <w:highlight w:val="none"/>
          <w:u w:val="single"/>
        </w:rPr>
        <w:t xml:space="preserve">       </w:t>
      </w:r>
    </w:p>
    <w:p w14:paraId="5B4BBDD7">
      <w:pPr>
        <w:spacing w:line="360" w:lineRule="auto"/>
        <w:rPr>
          <w:color w:val="auto"/>
          <w:sz w:val="24"/>
          <w:highlight w:val="none"/>
          <w:u w:val="single"/>
        </w:rPr>
      </w:pPr>
      <w:r>
        <w:rPr>
          <w:rFonts w:hint="eastAsia"/>
          <w:color w:val="auto"/>
          <w:sz w:val="24"/>
          <w:highlight w:val="none"/>
        </w:rPr>
        <w:t>电</w:t>
      </w:r>
      <w:r>
        <w:rPr>
          <w:color w:val="auto"/>
          <w:sz w:val="24"/>
          <w:highlight w:val="none"/>
        </w:rPr>
        <w:t xml:space="preserve">  </w:t>
      </w:r>
      <w:r>
        <w:rPr>
          <w:rFonts w:hint="eastAsia"/>
          <w:color w:val="auto"/>
          <w:sz w:val="24"/>
          <w:highlight w:val="none"/>
        </w:rPr>
        <w:t>话：</w:t>
      </w:r>
      <w:r>
        <w:rPr>
          <w:rFonts w:hint="eastAsia"/>
          <w:color w:val="auto"/>
          <w:sz w:val="24"/>
          <w:highlight w:val="none"/>
          <w:u w:val="single"/>
        </w:rPr>
        <w:t></w:t>
      </w:r>
      <w:r>
        <w:rPr>
          <w:color w:val="auto"/>
          <w:sz w:val="24"/>
          <w:highlight w:val="none"/>
          <w:u w:val="single"/>
        </w:rPr>
        <w:t xml:space="preserve">                 </w:t>
      </w:r>
      <w:r>
        <w:rPr>
          <w:color w:val="auto"/>
          <w:sz w:val="24"/>
          <w:highlight w:val="none"/>
        </w:rPr>
        <w:t xml:space="preserve">         </w:t>
      </w:r>
      <w:r>
        <w:rPr>
          <w:rFonts w:hint="eastAsia"/>
          <w:color w:val="auto"/>
          <w:sz w:val="24"/>
          <w:highlight w:val="none"/>
        </w:rPr>
        <w:t>电</w:t>
      </w:r>
      <w:r>
        <w:rPr>
          <w:color w:val="auto"/>
          <w:sz w:val="24"/>
          <w:highlight w:val="none"/>
        </w:rPr>
        <w:t xml:space="preserve">  </w:t>
      </w:r>
      <w:r>
        <w:rPr>
          <w:rFonts w:hint="eastAsia"/>
          <w:color w:val="auto"/>
          <w:sz w:val="24"/>
          <w:highlight w:val="none"/>
        </w:rPr>
        <w:t>话：</w:t>
      </w:r>
      <w:r>
        <w:rPr>
          <w:rFonts w:hint="eastAsia"/>
          <w:color w:val="auto"/>
          <w:sz w:val="24"/>
          <w:highlight w:val="none"/>
          <w:u w:val="single"/>
        </w:rPr>
        <w:t></w:t>
      </w:r>
      <w:r>
        <w:rPr>
          <w:color w:val="auto"/>
          <w:sz w:val="24"/>
          <w:highlight w:val="none"/>
          <w:u w:val="single"/>
        </w:rPr>
        <w:t xml:space="preserve">     </w:t>
      </w:r>
    </w:p>
    <w:p w14:paraId="64ACA8D0">
      <w:pPr>
        <w:spacing w:line="360" w:lineRule="auto"/>
        <w:rPr>
          <w:color w:val="auto"/>
          <w:sz w:val="24"/>
          <w:highlight w:val="none"/>
        </w:rPr>
      </w:pPr>
      <w:r>
        <w:rPr>
          <w:rFonts w:hint="eastAsia"/>
          <w:color w:val="auto"/>
          <w:sz w:val="24"/>
          <w:highlight w:val="none"/>
        </w:rPr>
        <w:t>传</w:t>
      </w:r>
      <w:r>
        <w:rPr>
          <w:color w:val="auto"/>
          <w:sz w:val="24"/>
          <w:highlight w:val="none"/>
        </w:rPr>
        <w:t xml:space="preserve">  </w:t>
      </w:r>
      <w:r>
        <w:rPr>
          <w:rFonts w:hint="eastAsia"/>
          <w:color w:val="auto"/>
          <w:sz w:val="24"/>
          <w:highlight w:val="none"/>
        </w:rPr>
        <w:t>真：</w:t>
      </w:r>
      <w:r>
        <w:rPr>
          <w:rFonts w:hint="eastAsia"/>
          <w:color w:val="auto"/>
          <w:sz w:val="24"/>
          <w:highlight w:val="none"/>
          <w:u w:val="single"/>
        </w:rPr>
        <w:t></w:t>
      </w:r>
      <w:r>
        <w:rPr>
          <w:color w:val="auto"/>
          <w:sz w:val="24"/>
          <w:highlight w:val="none"/>
          <w:u w:val="single"/>
        </w:rPr>
        <w:t xml:space="preserve">   </w:t>
      </w:r>
      <w:r>
        <w:rPr>
          <w:color w:val="auto"/>
          <w:sz w:val="24"/>
          <w:highlight w:val="none"/>
        </w:rPr>
        <w:t xml:space="preserve">           </w:t>
      </w:r>
      <w:r>
        <w:rPr>
          <w:rFonts w:hint="eastAsia"/>
          <w:color w:val="auto"/>
          <w:sz w:val="24"/>
          <w:highlight w:val="none"/>
        </w:rPr>
        <w:t>传</w:t>
      </w:r>
      <w:r>
        <w:rPr>
          <w:color w:val="auto"/>
          <w:sz w:val="24"/>
          <w:highlight w:val="none"/>
        </w:rPr>
        <w:t xml:space="preserve">  </w:t>
      </w:r>
      <w:r>
        <w:rPr>
          <w:rFonts w:hint="eastAsia"/>
          <w:color w:val="auto"/>
          <w:sz w:val="24"/>
          <w:highlight w:val="none"/>
        </w:rPr>
        <w:t>真：</w:t>
      </w:r>
      <w:r>
        <w:rPr>
          <w:rFonts w:hint="eastAsia"/>
          <w:color w:val="auto"/>
          <w:sz w:val="24"/>
          <w:highlight w:val="none"/>
          <w:u w:val="single"/>
        </w:rPr>
        <w:t></w:t>
      </w:r>
      <w:r>
        <w:rPr>
          <w:color w:val="auto"/>
          <w:sz w:val="24"/>
          <w:highlight w:val="none"/>
          <w:u w:val="single"/>
        </w:rPr>
        <w:t xml:space="preserve">  </w:t>
      </w:r>
      <w:r>
        <w:rPr>
          <w:rFonts w:hint="eastAsia"/>
          <w:color w:val="auto"/>
          <w:sz w:val="24"/>
          <w:highlight w:val="none"/>
          <w:u w:val="single"/>
        </w:rPr>
        <w:t></w:t>
      </w:r>
      <w:r>
        <w:rPr>
          <w:color w:val="auto"/>
          <w:sz w:val="24"/>
          <w:highlight w:val="none"/>
          <w:u w:val="single"/>
        </w:rPr>
        <w:t xml:space="preserve">   </w:t>
      </w:r>
    </w:p>
    <w:p w14:paraId="78B27435">
      <w:pPr>
        <w:spacing w:line="360" w:lineRule="auto"/>
        <w:rPr>
          <w:color w:val="auto"/>
          <w:sz w:val="24"/>
          <w:highlight w:val="none"/>
        </w:rPr>
      </w:pPr>
      <w:r>
        <w:rPr>
          <w:rFonts w:hint="eastAsia"/>
          <w:color w:val="auto"/>
          <w:sz w:val="24"/>
          <w:highlight w:val="none"/>
        </w:rPr>
        <w:t>开户银行：</w:t>
      </w:r>
      <w:r>
        <w:rPr>
          <w:color w:val="auto"/>
          <w:sz w:val="24"/>
          <w:highlight w:val="none"/>
          <w:u w:val="single"/>
        </w:rPr>
        <w:t xml:space="preserve">                     </w:t>
      </w:r>
      <w:r>
        <w:rPr>
          <w:color w:val="auto"/>
          <w:sz w:val="24"/>
          <w:highlight w:val="none"/>
        </w:rPr>
        <w:t xml:space="preserve">       </w:t>
      </w:r>
      <w:r>
        <w:rPr>
          <w:rFonts w:hint="eastAsia"/>
          <w:color w:val="auto"/>
          <w:sz w:val="24"/>
          <w:highlight w:val="none"/>
        </w:rPr>
        <w:t>开户银行：</w:t>
      </w:r>
      <w:r>
        <w:rPr>
          <w:rFonts w:hint="eastAsia"/>
          <w:color w:val="auto"/>
          <w:sz w:val="24"/>
          <w:highlight w:val="none"/>
          <w:u w:val="single"/>
        </w:rPr>
        <w:t></w:t>
      </w:r>
      <w:r>
        <w:rPr>
          <w:color w:val="auto"/>
          <w:sz w:val="24"/>
          <w:highlight w:val="none"/>
          <w:u w:val="single"/>
        </w:rPr>
        <w:t xml:space="preserve">   </w:t>
      </w:r>
    </w:p>
    <w:p w14:paraId="619F243B">
      <w:pPr>
        <w:spacing w:line="360" w:lineRule="auto"/>
        <w:rPr>
          <w:color w:val="auto"/>
          <w:sz w:val="24"/>
          <w:highlight w:val="none"/>
        </w:rPr>
      </w:pPr>
      <w:r>
        <w:rPr>
          <w:rFonts w:hint="eastAsia"/>
          <w:color w:val="auto"/>
          <w:sz w:val="24"/>
          <w:highlight w:val="none"/>
        </w:rPr>
        <w:t>账</w:t>
      </w:r>
      <w:r>
        <w:rPr>
          <w:color w:val="auto"/>
          <w:sz w:val="24"/>
          <w:highlight w:val="none"/>
        </w:rPr>
        <w:t xml:space="preserve">  </w:t>
      </w:r>
      <w:r>
        <w:rPr>
          <w:rFonts w:hint="eastAsia"/>
          <w:color w:val="auto"/>
          <w:sz w:val="24"/>
          <w:highlight w:val="none"/>
        </w:rPr>
        <w:t>号：</w:t>
      </w:r>
      <w:r>
        <w:rPr>
          <w:rFonts w:hint="eastAsia"/>
          <w:color w:val="auto"/>
          <w:sz w:val="24"/>
          <w:highlight w:val="none"/>
          <w:u w:val="single"/>
        </w:rPr>
        <w:t></w:t>
      </w:r>
      <w:r>
        <w:rPr>
          <w:color w:val="auto"/>
          <w:sz w:val="24"/>
          <w:highlight w:val="none"/>
          <w:u w:val="single"/>
        </w:rPr>
        <w:t xml:space="preserve">                     </w:t>
      </w:r>
      <w:r>
        <w:rPr>
          <w:color w:val="auto"/>
          <w:sz w:val="24"/>
          <w:highlight w:val="none"/>
        </w:rPr>
        <w:t xml:space="preserve">       </w:t>
      </w:r>
      <w:r>
        <w:rPr>
          <w:rFonts w:hint="eastAsia"/>
          <w:color w:val="auto"/>
          <w:sz w:val="24"/>
          <w:highlight w:val="none"/>
        </w:rPr>
        <w:t>账</w:t>
      </w:r>
      <w:r>
        <w:rPr>
          <w:color w:val="auto"/>
          <w:sz w:val="24"/>
          <w:highlight w:val="none"/>
        </w:rPr>
        <w:t xml:space="preserve">  </w:t>
      </w:r>
      <w:r>
        <w:rPr>
          <w:rFonts w:hint="eastAsia"/>
          <w:color w:val="auto"/>
          <w:sz w:val="24"/>
          <w:highlight w:val="none"/>
        </w:rPr>
        <w:t>号：</w:t>
      </w:r>
      <w:r>
        <w:rPr>
          <w:rFonts w:hint="eastAsia"/>
          <w:color w:val="auto"/>
          <w:sz w:val="24"/>
          <w:highlight w:val="none"/>
          <w:u w:val="single"/>
        </w:rPr>
        <w:t></w:t>
      </w:r>
      <w:r>
        <w:rPr>
          <w:color w:val="auto"/>
          <w:sz w:val="24"/>
          <w:highlight w:val="none"/>
          <w:u w:val="single"/>
        </w:rPr>
        <w:t xml:space="preserve">     </w:t>
      </w:r>
    </w:p>
    <w:p w14:paraId="78569F84">
      <w:pPr>
        <w:tabs>
          <w:tab w:val="left" w:pos="2880"/>
          <w:tab w:val="left" w:pos="3060"/>
          <w:tab w:val="left" w:pos="4500"/>
        </w:tabs>
        <w:spacing w:line="360" w:lineRule="auto"/>
        <w:rPr>
          <w:color w:val="auto"/>
          <w:highlight w:val="none"/>
        </w:rPr>
      </w:pPr>
      <w:r>
        <w:rPr>
          <w:rFonts w:hint="eastAsia"/>
          <w:color w:val="auto"/>
          <w:sz w:val="24"/>
          <w:highlight w:val="none"/>
        </w:rPr>
        <w:t>邮政编码：</w:t>
      </w:r>
      <w:r>
        <w:rPr>
          <w:color w:val="auto"/>
          <w:sz w:val="24"/>
          <w:highlight w:val="none"/>
          <w:u w:val="single"/>
        </w:rPr>
        <w:t xml:space="preserve">              </w:t>
      </w:r>
      <w:r>
        <w:rPr>
          <w:color w:val="auto"/>
          <w:sz w:val="24"/>
          <w:highlight w:val="none"/>
        </w:rPr>
        <w:t xml:space="preserve">             </w:t>
      </w:r>
      <w:r>
        <w:rPr>
          <w:rFonts w:hint="eastAsia"/>
          <w:color w:val="auto"/>
          <w:sz w:val="24"/>
          <w:highlight w:val="none"/>
        </w:rPr>
        <w:t>邮政编码：</w:t>
      </w:r>
      <w:r>
        <w:rPr>
          <w:rFonts w:hint="eastAsia"/>
          <w:color w:val="auto"/>
          <w:sz w:val="24"/>
          <w:highlight w:val="none"/>
          <w:u w:val="single"/>
        </w:rPr>
        <w:t></w:t>
      </w:r>
      <w:r>
        <w:rPr>
          <w:color w:val="auto"/>
          <w:sz w:val="24"/>
          <w:highlight w:val="none"/>
          <w:u w:val="single"/>
        </w:rPr>
        <w:t xml:space="preserve">   </w:t>
      </w:r>
    </w:p>
    <w:p w14:paraId="1961EE4F">
      <w:pPr>
        <w:tabs>
          <w:tab w:val="left" w:pos="7200"/>
          <w:tab w:val="left" w:pos="7380"/>
          <w:tab w:val="left" w:pos="7560"/>
        </w:tabs>
        <w:spacing w:line="360" w:lineRule="auto"/>
        <w:rPr>
          <w:color w:val="000000" w:themeColor="text1"/>
          <w:highlight w:val="none"/>
          <w14:textFill>
            <w14:solidFill>
              <w14:schemeClr w14:val="tx1"/>
            </w14:solidFill>
          </w14:textFill>
        </w:rPr>
      </w:pPr>
    </w:p>
    <w:p w14:paraId="2BE36A33">
      <w:pPr>
        <w:spacing w:beforeLines="50" w:afterLines="50" w:line="440" w:lineRule="exact"/>
        <w:jc w:val="center"/>
        <w:rPr>
          <w:rFonts w:ascii="黑体" w:hAnsi="宋体" w:eastAsia="黑体"/>
          <w:color w:val="000000" w:themeColor="text1"/>
          <w:sz w:val="32"/>
          <w:szCs w:val="32"/>
          <w:highlight w:val="none"/>
          <w14:textFill>
            <w14:solidFill>
              <w14:schemeClr w14:val="tx1"/>
            </w14:solidFill>
          </w14:textFill>
        </w:rPr>
      </w:pPr>
    </w:p>
    <w:p w14:paraId="5F58751D">
      <w:pPr>
        <w:spacing w:beforeLines="50" w:afterLines="50" w:line="440" w:lineRule="exact"/>
        <w:jc w:val="center"/>
        <w:rPr>
          <w:rFonts w:ascii="黑体" w:hAnsi="宋体" w:eastAsia="黑体"/>
          <w:color w:val="000000" w:themeColor="text1"/>
          <w:sz w:val="32"/>
          <w:szCs w:val="32"/>
          <w:highlight w:val="none"/>
          <w14:textFill>
            <w14:solidFill>
              <w14:schemeClr w14:val="tx1"/>
            </w14:solidFill>
          </w14:textFill>
        </w:rPr>
      </w:pPr>
      <w:r>
        <w:rPr>
          <w:rFonts w:ascii="黑体" w:hAnsi="宋体" w:eastAsia="黑体"/>
          <w:color w:val="000000" w:themeColor="text1"/>
          <w:sz w:val="32"/>
          <w:szCs w:val="32"/>
          <w:highlight w:val="none"/>
          <w14:textFill>
            <w14:solidFill>
              <w14:schemeClr w14:val="tx1"/>
            </w14:solidFill>
          </w14:textFill>
        </w:rPr>
        <w:br w:type="page"/>
      </w:r>
    </w:p>
    <w:p w14:paraId="738D641B">
      <w:pPr>
        <w:widowControl/>
        <w:jc w:val="left"/>
        <w:rPr>
          <w:rFonts w:hAnsi="宋体" w:cs="宋体"/>
          <w:color w:val="000000" w:themeColor="text1"/>
          <w:sz w:val="30"/>
          <w:szCs w:val="30"/>
          <w:highlight w:val="none"/>
          <w14:textFill>
            <w14:solidFill>
              <w14:schemeClr w14:val="tx1"/>
            </w14:solidFill>
          </w14:textFill>
        </w:rPr>
      </w:pPr>
      <w:r>
        <w:rPr>
          <w:rFonts w:hint="eastAsia" w:hAnsi="宋体" w:cs="宋体"/>
          <w:color w:val="000000" w:themeColor="text1"/>
          <w:sz w:val="30"/>
          <w:szCs w:val="30"/>
          <w:highlight w:val="none"/>
          <w14:textFill>
            <w14:solidFill>
              <w14:schemeClr w14:val="tx1"/>
            </w14:solidFill>
          </w14:textFill>
        </w:rPr>
        <w:t>附件2：</w:t>
      </w:r>
    </w:p>
    <w:p w14:paraId="3EC7E695">
      <w:pPr>
        <w:spacing w:line="360" w:lineRule="auto"/>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履约保函示范文本</w:t>
      </w:r>
    </w:p>
    <w:p w14:paraId="526420C0">
      <w:pPr>
        <w:spacing w:line="360" w:lineRule="auto"/>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（独立保函）</w:t>
      </w:r>
    </w:p>
    <w:p w14:paraId="1FA1D53A">
      <w:pPr>
        <w:wordWrap w:val="0"/>
        <w:spacing w:line="360" w:lineRule="auto"/>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编号：           </w:t>
      </w:r>
    </w:p>
    <w:p w14:paraId="21D5A2B6">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申请人：</w:t>
      </w:r>
    </w:p>
    <w:p w14:paraId="77119E34">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地址：</w:t>
      </w:r>
    </w:p>
    <w:p w14:paraId="02444081">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受益人：</w:t>
      </w:r>
    </w:p>
    <w:p w14:paraId="39C06C30">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地址：</w:t>
      </w:r>
    </w:p>
    <w:p w14:paraId="442FFFA6">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开立人：</w:t>
      </w:r>
    </w:p>
    <w:p w14:paraId="2DAED6EA">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地址：</w:t>
      </w:r>
    </w:p>
    <w:p w14:paraId="1FFEC457">
      <w:pPr>
        <w:spacing w:line="360" w:lineRule="auto"/>
        <w:rPr>
          <w:rFonts w:ascii="宋体" w:hAnsi="宋体"/>
          <w:color w:val="000000" w:themeColor="text1"/>
          <w:sz w:val="24"/>
          <w:highlight w:val="none"/>
          <w14:textFill>
            <w14:solidFill>
              <w14:schemeClr w14:val="tx1"/>
            </w14:solidFill>
          </w14:textFill>
        </w:rPr>
      </w:pPr>
    </w:p>
    <w:p w14:paraId="5758A73B">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（受益人名称）： </w:t>
      </w:r>
    </w:p>
    <w:p w14:paraId="6F819CA4">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鉴于（以下简称“受益人”）与（以下简称“申请人”）于年月日就工程（以下简称“本工程”）施工和有关事项协商一致共同签订</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 xml:space="preserve">（以下简称“基础合同”），我方（即“开立人”）根据基础合同了解到申请人为基础合同项下之承包人，受益人为基础合同项下之发包人，基于申请人的请求，我方同意就申请人履行与贵方签订的基础合同项下的义务，向贵方提供不可撤销、不可转让的见索即付独立保函（以下简称“本保函”）。 </w:t>
      </w:r>
    </w:p>
    <w:p w14:paraId="5E30A788">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一、本保函担保范围：承包人未按照基础合同的约定履行义务，应当向贵方承担的违约责任和赔偿因此造成的损失、利息、律师费、诉讼费用等实现债权的费用。</w:t>
      </w:r>
    </w:p>
    <w:p w14:paraId="0B667B8D">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二、本保函担保金额最高不超过人民币（大写）元（¥）。 </w:t>
      </w:r>
    </w:p>
    <w:p w14:paraId="35C9C84C">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三、本保函有效期自开立之日起至基础合同约定的缺陷责任期后日止，最迟不超过年月日。 </w:t>
      </w:r>
    </w:p>
    <w:p w14:paraId="5997E9E6">
      <w:pPr>
        <w:spacing w:line="360" w:lineRule="auto"/>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四、我方承诺，在收到受益人发来的书面付款通知后的日内无条件支付，前述书面付款通知即为付款要求之单据，且应满足以下要求：</w:t>
      </w:r>
    </w:p>
    <w:p w14:paraId="7C3073F3">
      <w:pPr>
        <w:spacing w:line="360" w:lineRule="auto"/>
        <w:ind w:firstLine="480" w:firstLineChars="20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（1）付款通知到达的日期在本保函的有效期内</w:t>
      </w:r>
      <w:r>
        <w:rPr>
          <w:rFonts w:hint="eastAsia" w:ascii="宋体" w:hAnsi="宋体"/>
          <w:color w:val="000000" w:themeColor="text1"/>
          <w:sz w:val="24"/>
          <w:highlight w:val="none"/>
          <w:lang w:eastAsia="zh-CN"/>
          <w14:textFill>
            <w14:solidFill>
              <w14:schemeClr w14:val="tx1"/>
            </w14:solidFill>
          </w14:textFill>
        </w:rPr>
        <w:t>；</w:t>
      </w:r>
    </w:p>
    <w:p w14:paraId="65921F86">
      <w:pPr>
        <w:spacing w:line="360" w:lineRule="auto"/>
        <w:ind w:firstLine="480" w:firstLineChars="20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（2）载明要求支付的金额</w:t>
      </w:r>
      <w:r>
        <w:rPr>
          <w:rFonts w:hint="eastAsia" w:ascii="宋体" w:hAnsi="宋体"/>
          <w:color w:val="000000" w:themeColor="text1"/>
          <w:sz w:val="24"/>
          <w:highlight w:val="none"/>
          <w:lang w:eastAsia="zh-CN"/>
          <w14:textFill>
            <w14:solidFill>
              <w14:schemeClr w14:val="tx1"/>
            </w14:solidFill>
          </w14:textFill>
        </w:rPr>
        <w:t>；</w:t>
      </w:r>
    </w:p>
    <w:p w14:paraId="760DB4E8">
      <w:pPr>
        <w:spacing w:line="360" w:lineRule="auto"/>
        <w:ind w:firstLine="480" w:firstLineChars="20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（3）载明申请人违反合同义务的条款和内容</w:t>
      </w:r>
      <w:r>
        <w:rPr>
          <w:rFonts w:hint="eastAsia" w:ascii="宋体" w:hAnsi="宋体"/>
          <w:color w:val="000000" w:themeColor="text1"/>
          <w:sz w:val="24"/>
          <w:highlight w:val="none"/>
          <w:lang w:eastAsia="zh-CN"/>
          <w14:textFill>
            <w14:solidFill>
              <w14:schemeClr w14:val="tx1"/>
            </w14:solidFill>
          </w14:textFill>
        </w:rPr>
        <w:t>；</w:t>
      </w:r>
    </w:p>
    <w:p w14:paraId="20DD50F0">
      <w:pPr>
        <w:spacing w:line="360" w:lineRule="auto"/>
        <w:ind w:firstLine="480" w:firstLineChars="20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（4）声明不存在合同文件约定或我国法律规定免除申请人或开立人支付责任的情形</w:t>
      </w:r>
      <w:r>
        <w:rPr>
          <w:rFonts w:hint="eastAsia" w:ascii="宋体" w:hAnsi="宋体"/>
          <w:color w:val="000000" w:themeColor="text1"/>
          <w:sz w:val="24"/>
          <w:highlight w:val="none"/>
          <w:lang w:eastAsia="zh-CN"/>
          <w14:textFill>
            <w14:solidFill>
              <w14:schemeClr w14:val="tx1"/>
            </w14:solidFill>
          </w14:textFill>
        </w:rPr>
        <w:t>；</w:t>
      </w:r>
    </w:p>
    <w:p w14:paraId="6F21A379">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（5）付款通知应在本保函有效期内到达的地址是：。</w:t>
      </w:r>
    </w:p>
    <w:p w14:paraId="312BA59A">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受益人发出的书面付款通知应由其为鉴明受益人法定代表人（负责人）或授权代理人签字并加盖公章。</w:t>
      </w:r>
    </w:p>
    <w:p w14:paraId="337A9361">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五、本保函项下的权利不得转让，不得设定担保。贵方未经我方书面同意转 让本保函或其项下任何权利，对我方不发生法律效力。 </w:t>
      </w:r>
    </w:p>
    <w:p w14:paraId="54965BBE">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六、与本保函有关的基础合同不成立、不生效、无效、被撤销、被解除，不影响本保函的独立有效。 </w:t>
      </w:r>
    </w:p>
    <w:p w14:paraId="09EB4A2F">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七、贵方应在本保函到期后的七日内将本保函正本退回我方注销，但是不论贵方是否按此要求将本保函正本退回我方，我方在本保函项下的义务和责任均在保函有效期到期后自动消灭。 </w:t>
      </w:r>
    </w:p>
    <w:p w14:paraId="508A82F4">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八、本保函适用的法律为中华人民共和国法律，争议裁判管辖地为中华人民共和国。 </w:t>
      </w:r>
    </w:p>
    <w:p w14:paraId="7CE7A2A1">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九、本保函自我方法定代表人或授权代表签字并加盖公章之日起生效。 </w:t>
      </w:r>
    </w:p>
    <w:p w14:paraId="153BEBB9">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开 立 人：                              （公章） </w:t>
      </w:r>
    </w:p>
    <w:p w14:paraId="4DAB5BD6">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法定代表人（或授权代表）：               （签字） </w:t>
      </w:r>
    </w:p>
    <w:p w14:paraId="7975FC03">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地    址：                                       </w:t>
      </w:r>
    </w:p>
    <w:p w14:paraId="20654E9C">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邮政编码：                 </w:t>
      </w:r>
    </w:p>
    <w:p w14:paraId="20875751">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电    话：                 </w:t>
      </w:r>
    </w:p>
    <w:p w14:paraId="57663FF8">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传    真：                 </w:t>
      </w:r>
    </w:p>
    <w:p w14:paraId="0CB8C462">
      <w:pPr>
        <w:spacing w:line="360" w:lineRule="auto"/>
        <w:ind w:firstLine="480" w:firstLineChars="200"/>
        <w:rPr>
          <w:color w:val="000000" w:themeColor="text1"/>
          <w:szCs w:val="2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开立时间：      年      月    </w:t>
      </w:r>
    </w:p>
    <w:p w14:paraId="412DA924">
      <w:pPr>
        <w:spacing w:line="360" w:lineRule="auto"/>
        <w:jc w:val="left"/>
        <w:rPr>
          <w:rFonts w:eastAsia="仿宋_GB2312"/>
          <w:color w:val="000000" w:themeColor="text1"/>
          <w:sz w:val="30"/>
          <w:szCs w:val="30"/>
          <w:highlight w:val="none"/>
          <w14:textFill>
            <w14:solidFill>
              <w14:schemeClr w14:val="tx1"/>
            </w14:solidFill>
          </w14:textFill>
        </w:rPr>
      </w:pPr>
    </w:p>
    <w:p w14:paraId="2B94535E">
      <w:pPr>
        <w:spacing w:line="360" w:lineRule="auto"/>
        <w:rPr>
          <w:rFonts w:ascii="宋体" w:hAnsi="宋体"/>
          <w:b/>
          <w:bCs/>
          <w:color w:val="000000" w:themeColor="text1"/>
          <w:sz w:val="32"/>
          <w:szCs w:val="32"/>
          <w:highlight w:val="none"/>
          <w14:textFill>
            <w14:solidFill>
              <w14:schemeClr w14:val="tx1"/>
            </w14:solidFill>
          </w14:textFill>
        </w:rPr>
      </w:pPr>
    </w:p>
    <w:p w14:paraId="22C466C8">
      <w:pPr>
        <w:spacing w:line="360" w:lineRule="auto"/>
        <w:jc w:val="center"/>
        <w:rPr>
          <w:rFonts w:ascii="宋体" w:hAnsi="宋体"/>
          <w:b/>
          <w:bCs/>
          <w:color w:val="000000" w:themeColor="text1"/>
          <w:sz w:val="32"/>
          <w:szCs w:val="32"/>
          <w:highlight w:val="none"/>
          <w14:textFill>
            <w14:solidFill>
              <w14:schemeClr w14:val="tx1"/>
            </w14:solidFill>
          </w14:textFill>
        </w:rPr>
      </w:pPr>
      <w:r>
        <w:rPr>
          <w:rFonts w:ascii="宋体" w:hAnsi="宋体"/>
          <w:b/>
          <w:bCs/>
          <w:color w:val="000000" w:themeColor="text1"/>
          <w:sz w:val="32"/>
          <w:szCs w:val="32"/>
          <w:highlight w:val="none"/>
          <w14:textFill>
            <w14:solidFill>
              <w14:schemeClr w14:val="tx1"/>
            </w14:solidFill>
          </w14:textFill>
        </w:rPr>
        <w:br w:type="page"/>
      </w:r>
      <w:r>
        <w:rPr>
          <w:rFonts w:hint="eastAsia" w:ascii="宋体" w:hAnsi="宋体"/>
          <w:b/>
          <w:bCs/>
          <w:color w:val="000000" w:themeColor="text1"/>
          <w:sz w:val="32"/>
          <w:szCs w:val="32"/>
          <w:highlight w:val="none"/>
          <w14:textFill>
            <w14:solidFill>
              <w14:schemeClr w14:val="tx1"/>
            </w14:solidFill>
          </w14:textFill>
        </w:rPr>
        <w:t>履约保函示范文本</w:t>
      </w:r>
    </w:p>
    <w:p w14:paraId="421F64E2">
      <w:pPr>
        <w:spacing w:line="360" w:lineRule="auto"/>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（非独立保函）</w:t>
      </w:r>
    </w:p>
    <w:p w14:paraId="38768A65">
      <w:pPr>
        <w:spacing w:line="360" w:lineRule="auto"/>
        <w:jc w:val="center"/>
        <w:rPr>
          <w:rFonts w:ascii="宋体" w:hAnsi="宋体"/>
          <w:b/>
          <w:bCs/>
          <w:color w:val="000000" w:themeColor="text1"/>
          <w:sz w:val="32"/>
          <w:szCs w:val="32"/>
          <w:highlight w:val="none"/>
          <w14:textFill>
            <w14:solidFill>
              <w14:schemeClr w14:val="tx1"/>
            </w14:solidFill>
          </w14:textFill>
        </w:rPr>
      </w:pPr>
    </w:p>
    <w:p w14:paraId="47AA7BF7">
      <w:pPr>
        <w:wordWrap w:val="0"/>
        <w:spacing w:line="360" w:lineRule="auto"/>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编号：           </w:t>
      </w:r>
    </w:p>
    <w:p w14:paraId="09ABAD12">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承包人：</w:t>
      </w:r>
    </w:p>
    <w:p w14:paraId="00D4038F">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w:t>
      </w:r>
    </w:p>
    <w:p w14:paraId="4FC219F5">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担保权人/发包人： </w:t>
      </w:r>
    </w:p>
    <w:p w14:paraId="48AF7C2A">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w:t>
      </w:r>
    </w:p>
    <w:p w14:paraId="12D71500">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保证人：</w:t>
      </w:r>
    </w:p>
    <w:p w14:paraId="51E54718">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w:t>
      </w:r>
    </w:p>
    <w:p w14:paraId="37652E8A">
      <w:pPr>
        <w:spacing w:line="360" w:lineRule="auto"/>
        <w:rPr>
          <w:rFonts w:ascii="宋体" w:hAnsi="宋体"/>
          <w:color w:val="000000" w:themeColor="text1"/>
          <w:sz w:val="24"/>
          <w:highlight w:val="none"/>
          <w14:textFill>
            <w14:solidFill>
              <w14:schemeClr w14:val="tx1"/>
            </w14:solidFill>
          </w14:textFill>
        </w:rPr>
      </w:pPr>
    </w:p>
    <w:p w14:paraId="3B7EF4E7">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（发包人名称）： </w:t>
      </w:r>
    </w:p>
    <w:p w14:paraId="1D6C8C84">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鉴于（以下简称“发包人”）与（以下简称“承包人”）于年月日就工程（以下简称“本工程”）施工和有关事项协商一致共同签订</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 xml:space="preserve">（以下简称“主合同”），我方即保证人基于承包人的请求，同意就承包人履行与贵方签订的主合同项下的义务，向贵方提供如下保证担保（以下简称“本保证担保”）。 </w:t>
      </w:r>
    </w:p>
    <w:p w14:paraId="59F95BC6">
      <w:pPr>
        <w:spacing w:line="360" w:lineRule="auto"/>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一、保证担保的范围及保证担保金额</w:t>
      </w:r>
    </w:p>
    <w:p w14:paraId="1A4664B9">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1.保证担保范围：承包人未按照主合同的约定履行义务，应当向贵方承担的违约责任和赔偿因此造成的损失、利息、律师费、诉讼费用等实现债权的费用。</w:t>
      </w:r>
    </w:p>
    <w:p w14:paraId="1B15728B">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2.保证担保金额最高不超过人民币（大写）元（¥）。 </w:t>
      </w:r>
    </w:p>
    <w:p w14:paraId="27BE27B7">
      <w:pPr>
        <w:spacing w:line="360" w:lineRule="auto"/>
        <w:ind w:firstLine="482" w:firstLineChars="200"/>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 xml:space="preserve">二、保证担保的方式及保证期间 </w:t>
      </w:r>
    </w:p>
    <w:p w14:paraId="147DD470">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1.保证担保方式：连带责任保证。</w:t>
      </w:r>
    </w:p>
    <w:p w14:paraId="126F1A8D">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2.保证期间：自出具之日起至主合同约定的缺陷责任期后日止，最迟不超过年月日。 </w:t>
      </w:r>
    </w:p>
    <w:p w14:paraId="6197A931">
      <w:pPr>
        <w:spacing w:line="360" w:lineRule="auto"/>
        <w:ind w:firstLine="482" w:firstLineChars="200"/>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三、承担保证担保责任的形式</w:t>
      </w:r>
    </w:p>
    <w:p w14:paraId="57752FB8">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我方按照贵方的要求以下列方式之一承担保证担保责任： </w:t>
      </w:r>
    </w:p>
    <w:p w14:paraId="771643F2">
      <w:pPr>
        <w:spacing w:line="360" w:lineRule="auto"/>
        <w:ind w:firstLine="480" w:firstLineChars="20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1.向承包人资金、设备或者技术援助，使其能继续履行合同义务</w:t>
      </w:r>
      <w:r>
        <w:rPr>
          <w:rFonts w:hint="eastAsia" w:ascii="宋体" w:hAnsi="宋体"/>
          <w:color w:val="000000" w:themeColor="text1"/>
          <w:sz w:val="24"/>
          <w:highlight w:val="none"/>
          <w:lang w:eastAsia="zh-CN"/>
          <w14:textFill>
            <w14:solidFill>
              <w14:schemeClr w14:val="tx1"/>
            </w14:solidFill>
          </w14:textFill>
        </w:rPr>
        <w:t>；</w:t>
      </w:r>
    </w:p>
    <w:p w14:paraId="097A4069">
      <w:pPr>
        <w:spacing w:line="360" w:lineRule="auto"/>
        <w:ind w:firstLine="480" w:firstLineChars="20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2.直接接管该项工程或者委托经贵方同意的其他承包商，继续履行合同义务</w:t>
      </w:r>
      <w:r>
        <w:rPr>
          <w:rFonts w:hint="eastAsia" w:ascii="宋体" w:hAnsi="宋体"/>
          <w:color w:val="000000" w:themeColor="text1"/>
          <w:sz w:val="24"/>
          <w:highlight w:val="none"/>
          <w:lang w:eastAsia="zh-CN"/>
          <w14:textFill>
            <w14:solidFill>
              <w14:schemeClr w14:val="tx1"/>
            </w14:solidFill>
          </w14:textFill>
        </w:rPr>
        <w:t>；</w:t>
      </w:r>
    </w:p>
    <w:p w14:paraId="2D31338C">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3.在保证担保金额最高限额内，按照合同约定，向贵方承担违约责任和赔偿因此造成的损失，以及利息和律师费、诉讼费用等实现债权的费用。</w:t>
      </w:r>
    </w:p>
    <w:p w14:paraId="4B5828E2">
      <w:pPr>
        <w:spacing w:line="360" w:lineRule="auto"/>
        <w:ind w:firstLine="482" w:firstLineChars="200"/>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 xml:space="preserve">四、代偿的安排 </w:t>
      </w:r>
    </w:p>
    <w:p w14:paraId="4CB4DC95">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贵方要求我方承担保证责任的，应向我方发出书面索赔通知及承包人未履行主合同约定义务的证明材料。索赔通知应写明要求索赔的金额，支付款项应到达的账号，并附有说明承包人违反主合同造成贵方损失情况的证明材料。</w:t>
      </w:r>
    </w:p>
    <w:p w14:paraId="3EC28639">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2.贵方以工程质量不符合主合同约定标准为由，向我方提出违约索赔的，还需同时提供符合相应条件要求的工程质量检测部门出具的质量说明材料。</w:t>
      </w:r>
    </w:p>
    <w:p w14:paraId="4F50D977">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3.我方收到贵方的书面索赔通知及相应证明材料后，在工作日内进行核定后按照本保函的承诺承担保证责任。</w:t>
      </w:r>
    </w:p>
    <w:p w14:paraId="6C3365A7">
      <w:pPr>
        <w:spacing w:line="360" w:lineRule="auto"/>
        <w:ind w:firstLine="482" w:firstLineChars="200"/>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 xml:space="preserve">五、保证担保责任的解除 </w:t>
      </w:r>
    </w:p>
    <w:p w14:paraId="141575F6">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1.保证期间届满贵方未向我方书面主张保证责任的，自保证期间届满次日起，我方解除保证责任。 </w:t>
      </w:r>
    </w:p>
    <w:p w14:paraId="41131873">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2.我方按照本保证担保向贵方履行了保证担保责任后，自我方向贵方支付的金额达到最高保证担保金额之日起，保证担保责任解除。 </w:t>
      </w:r>
    </w:p>
    <w:p w14:paraId="2392B403">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3.按照法律法规的规定应解除我方保证担保责任的其它情形的，我方在本保证担保项下的保证担保责任亦解除。 </w:t>
      </w:r>
    </w:p>
    <w:p w14:paraId="108722E1">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我方解除保证责任后，贵方应按上述约定，自我方保证担保责任解除之日起七日内，将本保证担保原件返还我方。但是不论贵方是否按此要求将本保证担保原件退回我方，我方在本保证担保项下的义务和责任均自保证担保责任解除之日自动消灭。</w:t>
      </w:r>
    </w:p>
    <w:p w14:paraId="5022F4EE">
      <w:pPr>
        <w:spacing w:line="360" w:lineRule="auto"/>
        <w:ind w:firstLine="482" w:firstLineChars="200"/>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 xml:space="preserve">六、免责条款 </w:t>
      </w:r>
    </w:p>
    <w:p w14:paraId="14CDC066">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1.因贵方原因致使承包人未按照主合同约定履行义务的，我方不承担保证担保责任。 </w:t>
      </w:r>
    </w:p>
    <w:p w14:paraId="5EEBE414">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2.依照法律规定或贵方与发包人的另行约定，免除承包人部分或全部义务的，我方亦免除其相应的保证担保责任。 </w:t>
      </w:r>
    </w:p>
    <w:p w14:paraId="50F7A240">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3.因不可抗力造成承包人未按照主合同约定履行义务的，我方不承担保证担保责任。</w:t>
      </w:r>
    </w:p>
    <w:p w14:paraId="60424563">
      <w:pPr>
        <w:spacing w:line="360" w:lineRule="auto"/>
        <w:ind w:firstLine="482" w:firstLineChars="200"/>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七、其他</w:t>
      </w:r>
    </w:p>
    <w:p w14:paraId="4D20CBDF">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1.本保证担保项下的权利不得转让，不得设定担保。贵方未经我方书面同意转让本保证担保或其项下任何权利，对我方不发生法律效力。 </w:t>
      </w:r>
    </w:p>
    <w:p w14:paraId="6DCAF5D5">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2.本保证担保适用的法律为中华人民共和国法律，争议裁判管辖地为中华人民共和国。 </w:t>
      </w:r>
    </w:p>
    <w:p w14:paraId="1330DA9B">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3.本保证担保自我方法定代表人或授权代表签字并加盖公章之日起生效。 </w:t>
      </w:r>
    </w:p>
    <w:p w14:paraId="211DA93D">
      <w:pPr>
        <w:spacing w:line="360" w:lineRule="auto"/>
        <w:ind w:firstLine="480" w:firstLineChars="200"/>
        <w:rPr>
          <w:rFonts w:ascii="宋体" w:hAnsi="宋体"/>
          <w:color w:val="000000" w:themeColor="text1"/>
          <w:sz w:val="24"/>
          <w:highlight w:val="none"/>
          <w14:textFill>
            <w14:solidFill>
              <w14:schemeClr w14:val="tx1"/>
            </w14:solidFill>
          </w14:textFill>
        </w:rPr>
      </w:pPr>
    </w:p>
    <w:p w14:paraId="3F987194">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保 证 人：                              （公章） </w:t>
      </w:r>
    </w:p>
    <w:p w14:paraId="716E40B8">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法定代表人（或授权代表）：               （签字） </w:t>
      </w:r>
    </w:p>
    <w:p w14:paraId="18FB78FC">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地    址：                                       </w:t>
      </w:r>
    </w:p>
    <w:p w14:paraId="3FB7C415">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邮政编码：                 </w:t>
      </w:r>
    </w:p>
    <w:p w14:paraId="1CB3BC99">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电    话：                 </w:t>
      </w:r>
    </w:p>
    <w:p w14:paraId="415B2B27">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传    真：                 </w:t>
      </w:r>
    </w:p>
    <w:p w14:paraId="21146AC4">
      <w:pPr>
        <w:widowControl/>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时    间：      年      月        日</w:t>
      </w:r>
    </w:p>
    <w:p w14:paraId="393937B5">
      <w:pPr>
        <w:spacing w:line="360" w:lineRule="auto"/>
        <w:ind w:left="2940" w:leftChars="1400"/>
        <w:rPr>
          <w:rFonts w:ascii="宋体" w:hAnsi="宋体" w:cs="宋体"/>
          <w:color w:val="000000" w:themeColor="text1"/>
          <w:sz w:val="24"/>
          <w:highlight w:val="none"/>
          <w14:textFill>
            <w14:solidFill>
              <w14:schemeClr w14:val="tx1"/>
            </w14:solidFill>
          </w14:textFill>
        </w:rPr>
      </w:pPr>
    </w:p>
    <w:p w14:paraId="4221DCC5">
      <w:pPr>
        <w:rPr>
          <w:color w:val="000000" w:themeColor="text1"/>
          <w:highlight w:val="none"/>
          <w14:textFill>
            <w14:solidFill>
              <w14:schemeClr w14:val="tx1"/>
            </w14:solidFill>
          </w14:textFill>
        </w:rPr>
      </w:pPr>
    </w:p>
    <w:p w14:paraId="1A1AC223">
      <w:pPr>
        <w:rPr>
          <w:color w:val="000000" w:themeColor="text1"/>
          <w:highlight w:val="none"/>
          <w14:textFill>
            <w14:solidFill>
              <w14:schemeClr w14:val="tx1"/>
            </w14:solidFill>
          </w14:textFill>
        </w:rPr>
      </w:pPr>
    </w:p>
    <w:p w14:paraId="12D64825">
      <w:pPr>
        <w:rPr>
          <w:color w:val="000000" w:themeColor="text1"/>
          <w:highlight w:val="none"/>
          <w14:textFill>
            <w14:solidFill>
              <w14:schemeClr w14:val="tx1"/>
            </w14:solidFill>
          </w14:textFill>
        </w:rPr>
      </w:pPr>
    </w:p>
    <w:p w14:paraId="5D857EDF">
      <w:pPr>
        <w:rPr>
          <w:color w:val="000000" w:themeColor="text1"/>
          <w:highlight w:val="none"/>
          <w14:textFill>
            <w14:solidFill>
              <w14:schemeClr w14:val="tx1"/>
            </w14:solidFill>
          </w14:textFill>
        </w:rPr>
      </w:pPr>
    </w:p>
    <w:p w14:paraId="33114ABC">
      <w:pPr>
        <w:rPr>
          <w:color w:val="000000" w:themeColor="text1"/>
          <w:highlight w:val="none"/>
          <w14:textFill>
            <w14:solidFill>
              <w14:schemeClr w14:val="tx1"/>
            </w14:solidFill>
          </w14:textFill>
        </w:rPr>
      </w:pPr>
    </w:p>
    <w:p w14:paraId="5CFEF111">
      <w:pPr>
        <w:rPr>
          <w:color w:val="000000" w:themeColor="text1"/>
          <w:highlight w:val="none"/>
          <w14:textFill>
            <w14:solidFill>
              <w14:schemeClr w14:val="tx1"/>
            </w14:solidFill>
          </w14:textFill>
        </w:rPr>
      </w:pPr>
    </w:p>
    <w:p w14:paraId="74E98436">
      <w:pPr>
        <w:rPr>
          <w:color w:val="000000" w:themeColor="text1"/>
          <w:highlight w:val="none"/>
          <w14:textFill>
            <w14:solidFill>
              <w14:schemeClr w14:val="tx1"/>
            </w14:solidFill>
          </w14:textFill>
        </w:rPr>
      </w:pPr>
    </w:p>
    <w:p w14:paraId="3614E117">
      <w:pPr>
        <w:rPr>
          <w:color w:val="000000" w:themeColor="text1"/>
          <w:highlight w:val="none"/>
          <w14:textFill>
            <w14:solidFill>
              <w14:schemeClr w14:val="tx1"/>
            </w14:solidFill>
          </w14:textFill>
        </w:rPr>
      </w:pPr>
    </w:p>
    <w:p w14:paraId="7EA2697C">
      <w:pPr>
        <w:rPr>
          <w:color w:val="000000" w:themeColor="text1"/>
          <w:highlight w:val="none"/>
          <w14:textFill>
            <w14:solidFill>
              <w14:schemeClr w14:val="tx1"/>
            </w14:solidFill>
          </w14:textFill>
        </w:rPr>
      </w:pPr>
    </w:p>
    <w:p w14:paraId="7E9A2BCC">
      <w:pPr>
        <w:rPr>
          <w:color w:val="000000" w:themeColor="text1"/>
          <w:highlight w:val="none"/>
          <w14:textFill>
            <w14:solidFill>
              <w14:schemeClr w14:val="tx1"/>
            </w14:solidFill>
          </w14:textFill>
        </w:rPr>
      </w:pPr>
    </w:p>
    <w:p w14:paraId="1B8CC914">
      <w:pPr>
        <w:rPr>
          <w:color w:val="000000" w:themeColor="text1"/>
          <w:highlight w:val="none"/>
          <w14:textFill>
            <w14:solidFill>
              <w14:schemeClr w14:val="tx1"/>
            </w14:solidFill>
          </w14:textFill>
        </w:rPr>
      </w:pPr>
    </w:p>
    <w:p w14:paraId="10AD82C1">
      <w:pPr>
        <w:rPr>
          <w:color w:val="000000" w:themeColor="text1"/>
          <w:highlight w:val="none"/>
          <w14:textFill>
            <w14:solidFill>
              <w14:schemeClr w14:val="tx1"/>
            </w14:solidFill>
          </w14:textFill>
        </w:rPr>
      </w:pPr>
    </w:p>
    <w:p w14:paraId="4BCCC233">
      <w:pPr>
        <w:rPr>
          <w:color w:val="000000" w:themeColor="text1"/>
          <w:highlight w:val="none"/>
          <w14:textFill>
            <w14:solidFill>
              <w14:schemeClr w14:val="tx1"/>
            </w14:solidFill>
          </w14:textFill>
        </w:rPr>
      </w:pPr>
    </w:p>
    <w:p w14:paraId="2A02ACEC">
      <w:pPr>
        <w:rPr>
          <w:color w:val="000000" w:themeColor="text1"/>
          <w:highlight w:val="none"/>
          <w14:textFill>
            <w14:solidFill>
              <w14:schemeClr w14:val="tx1"/>
            </w14:solidFill>
          </w14:textFill>
        </w:rPr>
      </w:pPr>
    </w:p>
    <w:p w14:paraId="28E7982D">
      <w:pPr>
        <w:rPr>
          <w:color w:val="000000" w:themeColor="text1"/>
          <w:highlight w:val="none"/>
          <w14:textFill>
            <w14:solidFill>
              <w14:schemeClr w14:val="tx1"/>
            </w14:solidFill>
          </w14:textFill>
        </w:rPr>
      </w:pPr>
    </w:p>
    <w:p w14:paraId="50DFE31A">
      <w:pPr>
        <w:rPr>
          <w:color w:val="000000" w:themeColor="text1"/>
          <w:highlight w:val="none"/>
          <w14:textFill>
            <w14:solidFill>
              <w14:schemeClr w14:val="tx1"/>
            </w14:solidFill>
          </w14:textFill>
        </w:rPr>
      </w:pPr>
    </w:p>
    <w:p w14:paraId="68EFADFA">
      <w:pPr>
        <w:rPr>
          <w:color w:val="000000" w:themeColor="text1"/>
          <w:highlight w:val="none"/>
          <w14:textFill>
            <w14:solidFill>
              <w14:schemeClr w14:val="tx1"/>
            </w14:solidFill>
          </w14:textFill>
        </w:rPr>
      </w:pPr>
    </w:p>
    <w:p w14:paraId="55EB0B51">
      <w:pPr>
        <w:rPr>
          <w:color w:val="000000" w:themeColor="text1"/>
          <w:highlight w:val="none"/>
          <w14:textFill>
            <w14:solidFill>
              <w14:schemeClr w14:val="tx1"/>
            </w14:solidFill>
          </w14:textFill>
        </w:rPr>
      </w:pPr>
    </w:p>
    <w:p w14:paraId="4194344D">
      <w:pPr>
        <w:rPr>
          <w:color w:val="000000" w:themeColor="text1"/>
          <w:highlight w:val="none"/>
          <w14:textFill>
            <w14:solidFill>
              <w14:schemeClr w14:val="tx1"/>
            </w14:solidFill>
          </w14:textFill>
        </w:rPr>
      </w:pPr>
    </w:p>
    <w:p w14:paraId="11BA4EDB">
      <w:pPr>
        <w:rPr>
          <w:color w:val="000000" w:themeColor="text1"/>
          <w:highlight w:val="none"/>
          <w14:textFill>
            <w14:solidFill>
              <w14:schemeClr w14:val="tx1"/>
            </w14:solidFill>
          </w14:textFill>
        </w:rPr>
      </w:pPr>
    </w:p>
    <w:p w14:paraId="4C1A3407">
      <w:pPr>
        <w:rPr>
          <w:color w:val="000000" w:themeColor="text1"/>
          <w:highlight w:val="none"/>
          <w14:textFill>
            <w14:solidFill>
              <w14:schemeClr w14:val="tx1"/>
            </w14:solidFill>
          </w14:textFill>
        </w:rPr>
      </w:pPr>
    </w:p>
    <w:p w14:paraId="410B1683">
      <w:pPr>
        <w:rPr>
          <w:color w:val="000000" w:themeColor="text1"/>
          <w:highlight w:val="none"/>
          <w14:textFill>
            <w14:solidFill>
              <w14:schemeClr w14:val="tx1"/>
            </w14:solidFill>
          </w14:textFill>
        </w:rPr>
      </w:pPr>
    </w:p>
    <w:p w14:paraId="79B742F6">
      <w:pPr>
        <w:rPr>
          <w:color w:val="000000" w:themeColor="text1"/>
          <w:highlight w:val="none"/>
          <w14:textFill>
            <w14:solidFill>
              <w14:schemeClr w14:val="tx1"/>
            </w14:solidFill>
          </w14:textFill>
        </w:rPr>
      </w:pPr>
    </w:p>
    <w:p w14:paraId="0617879E">
      <w:pPr>
        <w:rPr>
          <w:color w:val="000000" w:themeColor="text1"/>
          <w:highlight w:val="none"/>
          <w14:textFill>
            <w14:solidFill>
              <w14:schemeClr w14:val="tx1"/>
            </w14:solidFill>
          </w14:textFill>
        </w:rPr>
      </w:pPr>
    </w:p>
    <w:sectPr>
      <w:footerReference r:id="rId9" w:type="first"/>
      <w:headerReference r:id="rId7" w:type="default"/>
      <w:footerReference r:id="rId8" w:type="default"/>
      <w:pgSz w:w="11906" w:h="16838"/>
      <w:pgMar w:top="1440" w:right="1440" w:bottom="1440" w:left="158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A0204"/>
    <w:charset w:val="00"/>
    <w:family w:val="roman"/>
    <w:pitch w:val="default"/>
    <w:sig w:usb0="E00002FF" w:usb1="4000045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Times New Roman)">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宋体正文">
    <w:altName w:val="宋体"/>
    <w:panose1 w:val="00000000000000000000"/>
    <w:charset w:val="00"/>
    <w:family w:val="auto"/>
    <w:pitch w:val="default"/>
    <w:sig w:usb0="00000000" w:usb1="00000000" w:usb2="00000000" w:usb3="00000000" w:csb0="00040001" w:csb1="00000000"/>
  </w:font>
  <w:font w:name="方正小标宋简体">
    <w:altName w:val="黑体"/>
    <w:panose1 w:val="02000000000000000000"/>
    <w:charset w:val="86"/>
    <w:family w:val="script"/>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2B0D1">
    <w:pPr>
      <w:pStyle w:val="30"/>
      <w:tabs>
        <w:tab w:val="center" w:pos="4439"/>
        <w:tab w:val="clear" w:pos="4153"/>
      </w:tabs>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734CB41">
                          <w:pPr>
                            <w:pStyle w:val="3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512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VPF9qzwEAAKoDAAAOAAAAAAAAAAEAIAAAAB4BAABkcnMv&#10;ZTJvRG9jLnhtbFBLBQYAAAAABgAGAFkBAABfBQAAAAA=&#10;">
              <v:fill on="f" focussize="0,0"/>
              <v:stroke on="f"/>
              <v:imagedata o:title=""/>
              <o:lock v:ext="edit" aspectratio="f"/>
              <v:textbox inset="0mm,0mm,0mm,0mm" style="mso-fit-shape-to-text:t;">
                <w:txbxContent>
                  <w:p w14:paraId="1734CB41">
                    <w:pPr>
                      <w:pStyle w:val="30"/>
                    </w:pPr>
                    <w:r>
                      <w:fldChar w:fldCharType="begin"/>
                    </w:r>
                    <w:r>
                      <w:instrText xml:space="preserve"> PAGE  \* MERGEFORMAT </w:instrText>
                    </w:r>
                    <w:r>
                      <w:fldChar w:fldCharType="separate"/>
                    </w:r>
                    <w:r>
                      <w:t>1</w:t>
                    </w:r>
                    <w:r>
                      <w:fldChar w:fldCharType="end"/>
                    </w:r>
                  </w:p>
                </w:txbxContent>
              </v:textbox>
            </v:shape>
          </w:pict>
        </mc:Fallback>
      </mc:AlternateContent>
    </w:r>
  </w:p>
  <w:p w14:paraId="7E63F595">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25F65">
    <w:pPr>
      <w:pStyle w:val="30"/>
      <w:tabs>
        <w:tab w:val="center" w:pos="4439"/>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CB6AA14"/>
                      </w:txbxContent>
                    </wps:txbx>
                    <wps:bodyPr wrap="none" lIns="0" tIns="0" rIns="0" bIns="0" upright="0">
                      <a:spAutoFit/>
                    </wps:bodyPr>
                  </wps:wsp>
                </a:graphicData>
              </a:graphic>
            </wp:anchor>
          </w:drawing>
        </mc:Choice>
        <mc:Fallback>
          <w:pict>
            <v:shape id="文本框 512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qpqL3zwEAAKoDAAAOAAAAAAAAAAEAIAAAAB4BAABkcnMv&#10;ZTJvRG9jLnhtbFBLBQYAAAAABgAGAFkBAABfBQAAAAA=&#10;">
              <v:fill on="f" focussize="0,0"/>
              <v:stroke on="f"/>
              <v:imagedata o:title=""/>
              <o:lock v:ext="edit" aspectratio="f"/>
              <v:textbox inset="0mm,0mm,0mm,0mm" style="mso-fit-shape-to-text:t;">
                <w:txbxContent>
                  <w:p w14:paraId="2CB6AA14"/>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249A8">
    <w:pPr>
      <w:pStyle w:val="3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1C697B3">
                          <w:pPr>
                            <w:pStyle w:val="30"/>
                            <w:jc w:val="center"/>
                          </w:pPr>
                          <w:r>
                            <w:fldChar w:fldCharType="begin"/>
                          </w:r>
                          <w:r>
                            <w:instrText xml:space="preserve"> PAGE  \* MERGEFORMAT </w:instrText>
                          </w:r>
                          <w:r>
                            <w:fldChar w:fldCharType="separate"/>
                          </w:r>
                          <w:r>
                            <w:t>18</w:t>
                          </w:r>
                          <w:r>
                            <w:fldChar w:fldCharType="end"/>
                          </w:r>
                        </w:p>
                      </w:txbxContent>
                    </wps:txbx>
                    <wps:bodyPr wrap="none" lIns="0" tIns="0" rIns="0" bIns="0" upright="0">
                      <a:spAutoFit/>
                    </wps:bodyPr>
                  </wps:wsp>
                </a:graphicData>
              </a:graphic>
            </wp:anchor>
          </w:drawing>
        </mc:Choice>
        <mc:Fallback>
          <w:pict>
            <v:shape id="文本框 512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FpqSs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evl&#10;apkU6gNWVPgQqDQOd35I1VMcKZiIDy3Y9CVKjPKk7/mqrxoik+nSerVel5SSlJsdwikerwfA+FZ5&#10;y5JRc6AHzLqK03uMY+lckro5f6+NobiojPsrQJhjROUtmG4nJuPEyYrDfpho7H1zJnY9bULNHS0+&#10;Z+adI6HT0swGzMZ+No4B9KHLW5W6Y7g9RhopT5o6jLDEMDn0hJnrtG5pR/70c9XjL7b9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cWmpKzwEAAKoDAAAOAAAAAAAAAAEAIAAAAB4BAABkcnMv&#10;ZTJvRG9jLnhtbFBLBQYAAAAABgAGAFkBAABfBQAAAAA=&#10;">
              <v:fill on="f" focussize="0,0"/>
              <v:stroke on="f"/>
              <v:imagedata o:title=""/>
              <o:lock v:ext="edit" aspectratio="f"/>
              <v:textbox inset="0mm,0mm,0mm,0mm" style="mso-fit-shape-to-text:t;">
                <w:txbxContent>
                  <w:p w14:paraId="41C697B3">
                    <w:pPr>
                      <w:pStyle w:val="30"/>
                      <w:jc w:val="center"/>
                    </w:pPr>
                    <w:r>
                      <w:fldChar w:fldCharType="begin"/>
                    </w:r>
                    <w:r>
                      <w:instrText xml:space="preserve"> PAGE  \* MERGEFORMAT </w:instrText>
                    </w:r>
                    <w:r>
                      <w:fldChar w:fldCharType="separate"/>
                    </w:r>
                    <w:r>
                      <w:t>18</w:t>
                    </w:r>
                    <w:r>
                      <w:fldChar w:fldCharType="end"/>
                    </w:r>
                  </w:p>
                </w:txbxContent>
              </v:textbox>
            </v:shape>
          </w:pict>
        </mc:Fallback>
      </mc:AlternateContent>
    </w:r>
  </w:p>
  <w:p w14:paraId="10324C8D">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F27D3">
    <w:pPr>
      <w:pStyle w:val="3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1582AFD">
                          <w:pPr>
                            <w:pStyle w:val="30"/>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xDP2XzwEAAKoDAAAOAAAAAAAAAAEAIAAAAB4BAABkcnMv&#10;ZTJvRG9jLnhtbFBLBQYAAAAABgAGAFkBAABfBQAAAAA=&#10;">
              <v:fill on="f" focussize="0,0"/>
              <v:stroke on="f"/>
              <v:imagedata o:title=""/>
              <o:lock v:ext="edit" aspectratio="f"/>
              <v:textbox inset="0mm,0mm,0mm,0mm" style="mso-fit-shape-to-text:t;">
                <w:txbxContent>
                  <w:p w14:paraId="31582AFD">
                    <w:pPr>
                      <w:pStyle w:val="30"/>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3B6DB">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838E6">
    <w:pPr>
      <w:pStyle w:val="3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CFAA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FF592E"/>
    <w:multiLevelType w:val="singleLevel"/>
    <w:tmpl w:val="DFFF592E"/>
    <w:lvl w:ilvl="0" w:tentative="0">
      <w:start w:val="1"/>
      <w:numFmt w:val="decimal"/>
      <w:suff w:val="nothing"/>
      <w:lvlText w:val="%1）"/>
      <w:lvlJc w:val="left"/>
    </w:lvl>
  </w:abstractNum>
  <w:abstractNum w:abstractNumId="1">
    <w:nsid w:val="307BBD02"/>
    <w:multiLevelType w:val="singleLevel"/>
    <w:tmpl w:val="307BBD02"/>
    <w:lvl w:ilvl="0" w:tentative="0">
      <w:start w:val="4"/>
      <w:numFmt w:val="decimal"/>
      <w:suff w:val="nothing"/>
      <w:lvlText w:val="（%1）"/>
      <w:lvlJc w:val="left"/>
    </w:lvl>
  </w:abstractNum>
  <w:abstractNum w:abstractNumId="2">
    <w:nsid w:val="3B1B6F0F"/>
    <w:multiLevelType w:val="singleLevel"/>
    <w:tmpl w:val="3B1B6F0F"/>
    <w:lvl w:ilvl="0" w:tentative="0">
      <w:start w:val="1"/>
      <w:numFmt w:val="decimal"/>
      <w:lvlText w:val="%1."/>
      <w:lvlJc w:val="left"/>
      <w:pPr>
        <w:tabs>
          <w:tab w:val="left" w:pos="312"/>
        </w:tabs>
      </w:pPr>
    </w:lvl>
  </w:abstractNum>
  <w:abstractNum w:abstractNumId="3">
    <w:nsid w:val="408860E8"/>
    <w:multiLevelType w:val="singleLevel"/>
    <w:tmpl w:val="408860E8"/>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B14"/>
    <w:rsid w:val="000002E0"/>
    <w:rsid w:val="00000672"/>
    <w:rsid w:val="00000C53"/>
    <w:rsid w:val="00000E69"/>
    <w:rsid w:val="00000FD7"/>
    <w:rsid w:val="00001013"/>
    <w:rsid w:val="00001245"/>
    <w:rsid w:val="00001799"/>
    <w:rsid w:val="00001AF2"/>
    <w:rsid w:val="00001ECA"/>
    <w:rsid w:val="00002480"/>
    <w:rsid w:val="00002D29"/>
    <w:rsid w:val="00003B93"/>
    <w:rsid w:val="0000474D"/>
    <w:rsid w:val="0000529E"/>
    <w:rsid w:val="000057F8"/>
    <w:rsid w:val="00005CC0"/>
    <w:rsid w:val="00005FDF"/>
    <w:rsid w:val="0000644A"/>
    <w:rsid w:val="00006D8A"/>
    <w:rsid w:val="00007081"/>
    <w:rsid w:val="000070B3"/>
    <w:rsid w:val="000076B8"/>
    <w:rsid w:val="000109DC"/>
    <w:rsid w:val="00010D39"/>
    <w:rsid w:val="0001172C"/>
    <w:rsid w:val="00011BC9"/>
    <w:rsid w:val="00012854"/>
    <w:rsid w:val="00012D72"/>
    <w:rsid w:val="00012EA6"/>
    <w:rsid w:val="00013359"/>
    <w:rsid w:val="000139CF"/>
    <w:rsid w:val="00013AA4"/>
    <w:rsid w:val="00013DFE"/>
    <w:rsid w:val="000141EA"/>
    <w:rsid w:val="00015111"/>
    <w:rsid w:val="00015B63"/>
    <w:rsid w:val="0001657F"/>
    <w:rsid w:val="00016ABC"/>
    <w:rsid w:val="000177DB"/>
    <w:rsid w:val="000179C9"/>
    <w:rsid w:val="00017CCC"/>
    <w:rsid w:val="00020227"/>
    <w:rsid w:val="00020263"/>
    <w:rsid w:val="00020455"/>
    <w:rsid w:val="00020813"/>
    <w:rsid w:val="00020E11"/>
    <w:rsid w:val="000215D0"/>
    <w:rsid w:val="00021F52"/>
    <w:rsid w:val="00021FCF"/>
    <w:rsid w:val="000220B2"/>
    <w:rsid w:val="0002264C"/>
    <w:rsid w:val="00022731"/>
    <w:rsid w:val="00022792"/>
    <w:rsid w:val="00023287"/>
    <w:rsid w:val="00024061"/>
    <w:rsid w:val="00024463"/>
    <w:rsid w:val="00025461"/>
    <w:rsid w:val="00025636"/>
    <w:rsid w:val="00025E36"/>
    <w:rsid w:val="000260F7"/>
    <w:rsid w:val="00026855"/>
    <w:rsid w:val="00026886"/>
    <w:rsid w:val="0002754F"/>
    <w:rsid w:val="0002785D"/>
    <w:rsid w:val="000307BE"/>
    <w:rsid w:val="00031DD0"/>
    <w:rsid w:val="00032633"/>
    <w:rsid w:val="000326A2"/>
    <w:rsid w:val="000329E0"/>
    <w:rsid w:val="000336D0"/>
    <w:rsid w:val="000352E9"/>
    <w:rsid w:val="00035494"/>
    <w:rsid w:val="00035ECF"/>
    <w:rsid w:val="00036125"/>
    <w:rsid w:val="00036A07"/>
    <w:rsid w:val="0003780B"/>
    <w:rsid w:val="00037C41"/>
    <w:rsid w:val="00040571"/>
    <w:rsid w:val="00040973"/>
    <w:rsid w:val="0004156E"/>
    <w:rsid w:val="00041713"/>
    <w:rsid w:val="0004212E"/>
    <w:rsid w:val="00042B32"/>
    <w:rsid w:val="00042EE8"/>
    <w:rsid w:val="000439AA"/>
    <w:rsid w:val="0004440C"/>
    <w:rsid w:val="0004657F"/>
    <w:rsid w:val="00046B5E"/>
    <w:rsid w:val="000470CB"/>
    <w:rsid w:val="000506DE"/>
    <w:rsid w:val="000509D9"/>
    <w:rsid w:val="00051006"/>
    <w:rsid w:val="00051165"/>
    <w:rsid w:val="000512AF"/>
    <w:rsid w:val="00051ACB"/>
    <w:rsid w:val="000533E7"/>
    <w:rsid w:val="00053B29"/>
    <w:rsid w:val="00054B4B"/>
    <w:rsid w:val="000550E8"/>
    <w:rsid w:val="00055519"/>
    <w:rsid w:val="00055D41"/>
    <w:rsid w:val="00056EF6"/>
    <w:rsid w:val="000575CF"/>
    <w:rsid w:val="00057CD6"/>
    <w:rsid w:val="00060D7F"/>
    <w:rsid w:val="00060DCE"/>
    <w:rsid w:val="000610E3"/>
    <w:rsid w:val="000614F3"/>
    <w:rsid w:val="00061A1B"/>
    <w:rsid w:val="000623B4"/>
    <w:rsid w:val="00062405"/>
    <w:rsid w:val="00062EC2"/>
    <w:rsid w:val="000634A7"/>
    <w:rsid w:val="00063B0B"/>
    <w:rsid w:val="00063F81"/>
    <w:rsid w:val="00064847"/>
    <w:rsid w:val="00065E08"/>
    <w:rsid w:val="00065E2D"/>
    <w:rsid w:val="00066AD9"/>
    <w:rsid w:val="00066D2E"/>
    <w:rsid w:val="000673E2"/>
    <w:rsid w:val="00067EF1"/>
    <w:rsid w:val="00070378"/>
    <w:rsid w:val="0007037E"/>
    <w:rsid w:val="0007063F"/>
    <w:rsid w:val="000707FD"/>
    <w:rsid w:val="00070949"/>
    <w:rsid w:val="000711E4"/>
    <w:rsid w:val="00071E9B"/>
    <w:rsid w:val="000720A1"/>
    <w:rsid w:val="000724D9"/>
    <w:rsid w:val="00072AED"/>
    <w:rsid w:val="00073F47"/>
    <w:rsid w:val="0007492F"/>
    <w:rsid w:val="00074BC7"/>
    <w:rsid w:val="00074ED8"/>
    <w:rsid w:val="00075B7E"/>
    <w:rsid w:val="00076D70"/>
    <w:rsid w:val="00077ACA"/>
    <w:rsid w:val="00077C70"/>
    <w:rsid w:val="000813B5"/>
    <w:rsid w:val="0008191E"/>
    <w:rsid w:val="00081BA3"/>
    <w:rsid w:val="00081D2E"/>
    <w:rsid w:val="00081F89"/>
    <w:rsid w:val="00082619"/>
    <w:rsid w:val="00082D02"/>
    <w:rsid w:val="0008381A"/>
    <w:rsid w:val="00083871"/>
    <w:rsid w:val="00083B91"/>
    <w:rsid w:val="0008473C"/>
    <w:rsid w:val="0008520B"/>
    <w:rsid w:val="000857DE"/>
    <w:rsid w:val="000860BD"/>
    <w:rsid w:val="000871B8"/>
    <w:rsid w:val="00087B0A"/>
    <w:rsid w:val="000916DA"/>
    <w:rsid w:val="00091AAB"/>
    <w:rsid w:val="00092442"/>
    <w:rsid w:val="0009288D"/>
    <w:rsid w:val="000929EF"/>
    <w:rsid w:val="00092C26"/>
    <w:rsid w:val="000933BE"/>
    <w:rsid w:val="00094428"/>
    <w:rsid w:val="000944FC"/>
    <w:rsid w:val="0009560F"/>
    <w:rsid w:val="0009588E"/>
    <w:rsid w:val="000959EE"/>
    <w:rsid w:val="00096C2E"/>
    <w:rsid w:val="00096DB9"/>
    <w:rsid w:val="00097183"/>
    <w:rsid w:val="000972CB"/>
    <w:rsid w:val="00097608"/>
    <w:rsid w:val="000A0F35"/>
    <w:rsid w:val="000A1175"/>
    <w:rsid w:val="000A13F3"/>
    <w:rsid w:val="000A165B"/>
    <w:rsid w:val="000A1963"/>
    <w:rsid w:val="000A1C18"/>
    <w:rsid w:val="000A23B1"/>
    <w:rsid w:val="000A2818"/>
    <w:rsid w:val="000A2B0E"/>
    <w:rsid w:val="000A3095"/>
    <w:rsid w:val="000A398F"/>
    <w:rsid w:val="000A448C"/>
    <w:rsid w:val="000A4E26"/>
    <w:rsid w:val="000A509C"/>
    <w:rsid w:val="000A54A7"/>
    <w:rsid w:val="000A5A17"/>
    <w:rsid w:val="000A6007"/>
    <w:rsid w:val="000A6564"/>
    <w:rsid w:val="000A65A6"/>
    <w:rsid w:val="000A70E3"/>
    <w:rsid w:val="000A7275"/>
    <w:rsid w:val="000A7408"/>
    <w:rsid w:val="000A7A12"/>
    <w:rsid w:val="000A7A72"/>
    <w:rsid w:val="000B0FE0"/>
    <w:rsid w:val="000B1202"/>
    <w:rsid w:val="000B12FF"/>
    <w:rsid w:val="000B1801"/>
    <w:rsid w:val="000B1D0C"/>
    <w:rsid w:val="000B2273"/>
    <w:rsid w:val="000B2563"/>
    <w:rsid w:val="000B2BC6"/>
    <w:rsid w:val="000B2D03"/>
    <w:rsid w:val="000B37F2"/>
    <w:rsid w:val="000B3815"/>
    <w:rsid w:val="000B3C7B"/>
    <w:rsid w:val="000B3E68"/>
    <w:rsid w:val="000B4321"/>
    <w:rsid w:val="000B544A"/>
    <w:rsid w:val="000B5CCB"/>
    <w:rsid w:val="000B5F6B"/>
    <w:rsid w:val="000B613A"/>
    <w:rsid w:val="000B6A6B"/>
    <w:rsid w:val="000B6C95"/>
    <w:rsid w:val="000B79FC"/>
    <w:rsid w:val="000B7E0A"/>
    <w:rsid w:val="000C09A4"/>
    <w:rsid w:val="000C144E"/>
    <w:rsid w:val="000C1679"/>
    <w:rsid w:val="000C190E"/>
    <w:rsid w:val="000C1953"/>
    <w:rsid w:val="000C1BFE"/>
    <w:rsid w:val="000C1EE3"/>
    <w:rsid w:val="000C3AE7"/>
    <w:rsid w:val="000C3CC9"/>
    <w:rsid w:val="000C3DBC"/>
    <w:rsid w:val="000C5823"/>
    <w:rsid w:val="000C59C6"/>
    <w:rsid w:val="000C6DE4"/>
    <w:rsid w:val="000C7202"/>
    <w:rsid w:val="000C7432"/>
    <w:rsid w:val="000C7926"/>
    <w:rsid w:val="000D0A89"/>
    <w:rsid w:val="000D10F1"/>
    <w:rsid w:val="000D1389"/>
    <w:rsid w:val="000D1798"/>
    <w:rsid w:val="000D2626"/>
    <w:rsid w:val="000D264F"/>
    <w:rsid w:val="000D2BEF"/>
    <w:rsid w:val="000D2CD3"/>
    <w:rsid w:val="000D4016"/>
    <w:rsid w:val="000D411D"/>
    <w:rsid w:val="000D4589"/>
    <w:rsid w:val="000D4809"/>
    <w:rsid w:val="000D4FB6"/>
    <w:rsid w:val="000D5C29"/>
    <w:rsid w:val="000D6F6B"/>
    <w:rsid w:val="000D73DD"/>
    <w:rsid w:val="000E02E8"/>
    <w:rsid w:val="000E1C38"/>
    <w:rsid w:val="000E1C51"/>
    <w:rsid w:val="000E1D3E"/>
    <w:rsid w:val="000E28AB"/>
    <w:rsid w:val="000E2E3E"/>
    <w:rsid w:val="000E3583"/>
    <w:rsid w:val="000E3AF0"/>
    <w:rsid w:val="000E43EC"/>
    <w:rsid w:val="000E4DC7"/>
    <w:rsid w:val="000E4E04"/>
    <w:rsid w:val="000E592E"/>
    <w:rsid w:val="000E693B"/>
    <w:rsid w:val="000E6D5C"/>
    <w:rsid w:val="000E6EC9"/>
    <w:rsid w:val="000E6FB6"/>
    <w:rsid w:val="000E70B4"/>
    <w:rsid w:val="000E7B62"/>
    <w:rsid w:val="000E7EDC"/>
    <w:rsid w:val="000F085D"/>
    <w:rsid w:val="000F0E1E"/>
    <w:rsid w:val="000F1129"/>
    <w:rsid w:val="000F1A1B"/>
    <w:rsid w:val="000F2A95"/>
    <w:rsid w:val="000F2BB7"/>
    <w:rsid w:val="000F3281"/>
    <w:rsid w:val="000F32FD"/>
    <w:rsid w:val="000F3733"/>
    <w:rsid w:val="000F5B2B"/>
    <w:rsid w:val="000F5F8B"/>
    <w:rsid w:val="000F6153"/>
    <w:rsid w:val="000F64AA"/>
    <w:rsid w:val="000F6C7B"/>
    <w:rsid w:val="000F73AD"/>
    <w:rsid w:val="000F7AF4"/>
    <w:rsid w:val="000F7C33"/>
    <w:rsid w:val="000F7F0C"/>
    <w:rsid w:val="001004D6"/>
    <w:rsid w:val="00101D1B"/>
    <w:rsid w:val="00101E8E"/>
    <w:rsid w:val="00102676"/>
    <w:rsid w:val="00103646"/>
    <w:rsid w:val="00103918"/>
    <w:rsid w:val="00104897"/>
    <w:rsid w:val="00104EDE"/>
    <w:rsid w:val="00104F54"/>
    <w:rsid w:val="00105992"/>
    <w:rsid w:val="00105CDA"/>
    <w:rsid w:val="00105F97"/>
    <w:rsid w:val="00106BEE"/>
    <w:rsid w:val="0010711C"/>
    <w:rsid w:val="00107368"/>
    <w:rsid w:val="001078E7"/>
    <w:rsid w:val="00107BDF"/>
    <w:rsid w:val="00107C74"/>
    <w:rsid w:val="0011091C"/>
    <w:rsid w:val="00111266"/>
    <w:rsid w:val="001112EB"/>
    <w:rsid w:val="00111FD1"/>
    <w:rsid w:val="0011247D"/>
    <w:rsid w:val="0011351F"/>
    <w:rsid w:val="00113678"/>
    <w:rsid w:val="00113A7D"/>
    <w:rsid w:val="00113C3E"/>
    <w:rsid w:val="00115375"/>
    <w:rsid w:val="001157F8"/>
    <w:rsid w:val="00115E11"/>
    <w:rsid w:val="00115EEE"/>
    <w:rsid w:val="00115F56"/>
    <w:rsid w:val="001164ED"/>
    <w:rsid w:val="00116CA9"/>
    <w:rsid w:val="00116F38"/>
    <w:rsid w:val="001170A4"/>
    <w:rsid w:val="00117AE7"/>
    <w:rsid w:val="00117B85"/>
    <w:rsid w:val="00117CBD"/>
    <w:rsid w:val="0012006A"/>
    <w:rsid w:val="00121979"/>
    <w:rsid w:val="00122064"/>
    <w:rsid w:val="0012301B"/>
    <w:rsid w:val="00123428"/>
    <w:rsid w:val="00124341"/>
    <w:rsid w:val="00124492"/>
    <w:rsid w:val="00124B12"/>
    <w:rsid w:val="001250A0"/>
    <w:rsid w:val="001263B8"/>
    <w:rsid w:val="00130217"/>
    <w:rsid w:val="00130641"/>
    <w:rsid w:val="00130783"/>
    <w:rsid w:val="00130A47"/>
    <w:rsid w:val="00130FB0"/>
    <w:rsid w:val="001315BE"/>
    <w:rsid w:val="00132B47"/>
    <w:rsid w:val="00132DDA"/>
    <w:rsid w:val="0013346C"/>
    <w:rsid w:val="001337F8"/>
    <w:rsid w:val="001341B2"/>
    <w:rsid w:val="001348B4"/>
    <w:rsid w:val="00134B1F"/>
    <w:rsid w:val="0013506E"/>
    <w:rsid w:val="001351CB"/>
    <w:rsid w:val="00135530"/>
    <w:rsid w:val="00135947"/>
    <w:rsid w:val="001359A2"/>
    <w:rsid w:val="00135F92"/>
    <w:rsid w:val="00136020"/>
    <w:rsid w:val="00136445"/>
    <w:rsid w:val="00136965"/>
    <w:rsid w:val="00136A9C"/>
    <w:rsid w:val="00137389"/>
    <w:rsid w:val="00140132"/>
    <w:rsid w:val="00141455"/>
    <w:rsid w:val="0014190C"/>
    <w:rsid w:val="00141B9B"/>
    <w:rsid w:val="00141C9C"/>
    <w:rsid w:val="0014277F"/>
    <w:rsid w:val="00142AD2"/>
    <w:rsid w:val="001434BE"/>
    <w:rsid w:val="00143AAD"/>
    <w:rsid w:val="00144050"/>
    <w:rsid w:val="00144369"/>
    <w:rsid w:val="00144398"/>
    <w:rsid w:val="0014479F"/>
    <w:rsid w:val="001452B4"/>
    <w:rsid w:val="00145320"/>
    <w:rsid w:val="00145B3E"/>
    <w:rsid w:val="001476D3"/>
    <w:rsid w:val="001509CF"/>
    <w:rsid w:val="00150D1D"/>
    <w:rsid w:val="001525AA"/>
    <w:rsid w:val="00152A87"/>
    <w:rsid w:val="00152AC1"/>
    <w:rsid w:val="00153A84"/>
    <w:rsid w:val="00153BB5"/>
    <w:rsid w:val="00154518"/>
    <w:rsid w:val="00154D26"/>
    <w:rsid w:val="001556B8"/>
    <w:rsid w:val="00156359"/>
    <w:rsid w:val="00156DD6"/>
    <w:rsid w:val="00160238"/>
    <w:rsid w:val="0016086E"/>
    <w:rsid w:val="001609B9"/>
    <w:rsid w:val="00160D0C"/>
    <w:rsid w:val="00160DD1"/>
    <w:rsid w:val="00161172"/>
    <w:rsid w:val="00161998"/>
    <w:rsid w:val="00161E65"/>
    <w:rsid w:val="00161F0E"/>
    <w:rsid w:val="00162597"/>
    <w:rsid w:val="001629AF"/>
    <w:rsid w:val="001629FD"/>
    <w:rsid w:val="0016428A"/>
    <w:rsid w:val="001646D5"/>
    <w:rsid w:val="001647C9"/>
    <w:rsid w:val="00165627"/>
    <w:rsid w:val="001661A3"/>
    <w:rsid w:val="00166E81"/>
    <w:rsid w:val="00167226"/>
    <w:rsid w:val="0016782B"/>
    <w:rsid w:val="0016784D"/>
    <w:rsid w:val="00167853"/>
    <w:rsid w:val="00167887"/>
    <w:rsid w:val="00170613"/>
    <w:rsid w:val="00170F0C"/>
    <w:rsid w:val="00171319"/>
    <w:rsid w:val="0017267A"/>
    <w:rsid w:val="00172CA8"/>
    <w:rsid w:val="00173256"/>
    <w:rsid w:val="00173B0E"/>
    <w:rsid w:val="00173E03"/>
    <w:rsid w:val="0017405A"/>
    <w:rsid w:val="0017461E"/>
    <w:rsid w:val="00174704"/>
    <w:rsid w:val="0017512C"/>
    <w:rsid w:val="001756AF"/>
    <w:rsid w:val="0017586A"/>
    <w:rsid w:val="00175BA6"/>
    <w:rsid w:val="00175C6F"/>
    <w:rsid w:val="00176CA7"/>
    <w:rsid w:val="00176D0C"/>
    <w:rsid w:val="00176F8E"/>
    <w:rsid w:val="0017789A"/>
    <w:rsid w:val="001778C5"/>
    <w:rsid w:val="00177C07"/>
    <w:rsid w:val="00177E56"/>
    <w:rsid w:val="00177F0A"/>
    <w:rsid w:val="0018090D"/>
    <w:rsid w:val="00180DA0"/>
    <w:rsid w:val="001814E2"/>
    <w:rsid w:val="00181813"/>
    <w:rsid w:val="00181EAD"/>
    <w:rsid w:val="00182862"/>
    <w:rsid w:val="00182FBD"/>
    <w:rsid w:val="00184F57"/>
    <w:rsid w:val="00185091"/>
    <w:rsid w:val="00185544"/>
    <w:rsid w:val="00185617"/>
    <w:rsid w:val="00186FE1"/>
    <w:rsid w:val="00187A14"/>
    <w:rsid w:val="00190D50"/>
    <w:rsid w:val="00191177"/>
    <w:rsid w:val="0019171E"/>
    <w:rsid w:val="00192368"/>
    <w:rsid w:val="001923A0"/>
    <w:rsid w:val="0019270F"/>
    <w:rsid w:val="001928B1"/>
    <w:rsid w:val="00192C38"/>
    <w:rsid w:val="00192CA1"/>
    <w:rsid w:val="00193537"/>
    <w:rsid w:val="00193808"/>
    <w:rsid w:val="00193846"/>
    <w:rsid w:val="00195424"/>
    <w:rsid w:val="001955FF"/>
    <w:rsid w:val="001972F8"/>
    <w:rsid w:val="00197EDD"/>
    <w:rsid w:val="001A02B3"/>
    <w:rsid w:val="001A04BB"/>
    <w:rsid w:val="001A06CC"/>
    <w:rsid w:val="001A0889"/>
    <w:rsid w:val="001A08D0"/>
    <w:rsid w:val="001A1B39"/>
    <w:rsid w:val="001A1D4A"/>
    <w:rsid w:val="001A2120"/>
    <w:rsid w:val="001A28C6"/>
    <w:rsid w:val="001A2E69"/>
    <w:rsid w:val="001A3C34"/>
    <w:rsid w:val="001A3EDE"/>
    <w:rsid w:val="001A41CD"/>
    <w:rsid w:val="001A4222"/>
    <w:rsid w:val="001A4235"/>
    <w:rsid w:val="001A43BE"/>
    <w:rsid w:val="001A48B2"/>
    <w:rsid w:val="001A4CFA"/>
    <w:rsid w:val="001A50EA"/>
    <w:rsid w:val="001A55A9"/>
    <w:rsid w:val="001A5BAA"/>
    <w:rsid w:val="001A5E24"/>
    <w:rsid w:val="001A661D"/>
    <w:rsid w:val="001A6795"/>
    <w:rsid w:val="001A6B27"/>
    <w:rsid w:val="001A6D8B"/>
    <w:rsid w:val="001A6DAA"/>
    <w:rsid w:val="001A7717"/>
    <w:rsid w:val="001A793A"/>
    <w:rsid w:val="001B0464"/>
    <w:rsid w:val="001B125A"/>
    <w:rsid w:val="001B1EBA"/>
    <w:rsid w:val="001B2142"/>
    <w:rsid w:val="001B2F2B"/>
    <w:rsid w:val="001B327A"/>
    <w:rsid w:val="001B35DE"/>
    <w:rsid w:val="001B3A13"/>
    <w:rsid w:val="001B3F5C"/>
    <w:rsid w:val="001B57C9"/>
    <w:rsid w:val="001B59FF"/>
    <w:rsid w:val="001B5D13"/>
    <w:rsid w:val="001B6512"/>
    <w:rsid w:val="001B65D7"/>
    <w:rsid w:val="001B6752"/>
    <w:rsid w:val="001B6768"/>
    <w:rsid w:val="001B6F1F"/>
    <w:rsid w:val="001B6F35"/>
    <w:rsid w:val="001B7ECC"/>
    <w:rsid w:val="001C025B"/>
    <w:rsid w:val="001C059D"/>
    <w:rsid w:val="001C115F"/>
    <w:rsid w:val="001C1DED"/>
    <w:rsid w:val="001C1EAB"/>
    <w:rsid w:val="001C25A7"/>
    <w:rsid w:val="001C2775"/>
    <w:rsid w:val="001C2A1D"/>
    <w:rsid w:val="001C318C"/>
    <w:rsid w:val="001C35C4"/>
    <w:rsid w:val="001C4287"/>
    <w:rsid w:val="001C4479"/>
    <w:rsid w:val="001C4F79"/>
    <w:rsid w:val="001C5190"/>
    <w:rsid w:val="001C6081"/>
    <w:rsid w:val="001C7284"/>
    <w:rsid w:val="001C73EB"/>
    <w:rsid w:val="001C7781"/>
    <w:rsid w:val="001C7B48"/>
    <w:rsid w:val="001D0CFB"/>
    <w:rsid w:val="001D108A"/>
    <w:rsid w:val="001D1A0D"/>
    <w:rsid w:val="001D1DD1"/>
    <w:rsid w:val="001D23DA"/>
    <w:rsid w:val="001D267C"/>
    <w:rsid w:val="001D2F77"/>
    <w:rsid w:val="001D343C"/>
    <w:rsid w:val="001D56E2"/>
    <w:rsid w:val="001D58A1"/>
    <w:rsid w:val="001D58C2"/>
    <w:rsid w:val="001D5A8A"/>
    <w:rsid w:val="001D5B64"/>
    <w:rsid w:val="001D61CA"/>
    <w:rsid w:val="001D654A"/>
    <w:rsid w:val="001D6E87"/>
    <w:rsid w:val="001D735E"/>
    <w:rsid w:val="001D73C8"/>
    <w:rsid w:val="001D7BC6"/>
    <w:rsid w:val="001E129E"/>
    <w:rsid w:val="001E175C"/>
    <w:rsid w:val="001E1B0E"/>
    <w:rsid w:val="001E308A"/>
    <w:rsid w:val="001E38EC"/>
    <w:rsid w:val="001E3B63"/>
    <w:rsid w:val="001E57B2"/>
    <w:rsid w:val="001E5A94"/>
    <w:rsid w:val="001E5CBB"/>
    <w:rsid w:val="001E5CDC"/>
    <w:rsid w:val="001E6CE9"/>
    <w:rsid w:val="001E7416"/>
    <w:rsid w:val="001F13FD"/>
    <w:rsid w:val="001F2A2E"/>
    <w:rsid w:val="001F3180"/>
    <w:rsid w:val="001F3356"/>
    <w:rsid w:val="001F3A99"/>
    <w:rsid w:val="001F3C63"/>
    <w:rsid w:val="001F4141"/>
    <w:rsid w:val="001F4460"/>
    <w:rsid w:val="001F4833"/>
    <w:rsid w:val="001F6C96"/>
    <w:rsid w:val="001F711A"/>
    <w:rsid w:val="001F75B0"/>
    <w:rsid w:val="001F7CBE"/>
    <w:rsid w:val="0020057C"/>
    <w:rsid w:val="0020083C"/>
    <w:rsid w:val="00200CE5"/>
    <w:rsid w:val="00200F7C"/>
    <w:rsid w:val="002014DB"/>
    <w:rsid w:val="0020150B"/>
    <w:rsid w:val="00201E12"/>
    <w:rsid w:val="00202295"/>
    <w:rsid w:val="00202977"/>
    <w:rsid w:val="002033B5"/>
    <w:rsid w:val="0020382C"/>
    <w:rsid w:val="002042E9"/>
    <w:rsid w:val="0020437A"/>
    <w:rsid w:val="0020454C"/>
    <w:rsid w:val="00204740"/>
    <w:rsid w:val="00205129"/>
    <w:rsid w:val="0020521F"/>
    <w:rsid w:val="0020532C"/>
    <w:rsid w:val="00206AE8"/>
    <w:rsid w:val="002114C7"/>
    <w:rsid w:val="00211A7B"/>
    <w:rsid w:val="0021302C"/>
    <w:rsid w:val="002139F1"/>
    <w:rsid w:val="00213B1C"/>
    <w:rsid w:val="00213F1E"/>
    <w:rsid w:val="00214202"/>
    <w:rsid w:val="002148E3"/>
    <w:rsid w:val="00214C1A"/>
    <w:rsid w:val="0021552D"/>
    <w:rsid w:val="002156AE"/>
    <w:rsid w:val="0021577B"/>
    <w:rsid w:val="00215DC7"/>
    <w:rsid w:val="00215E99"/>
    <w:rsid w:val="00217B07"/>
    <w:rsid w:val="00217C26"/>
    <w:rsid w:val="00220043"/>
    <w:rsid w:val="0022054D"/>
    <w:rsid w:val="0022107B"/>
    <w:rsid w:val="00221805"/>
    <w:rsid w:val="002223EB"/>
    <w:rsid w:val="00223DDB"/>
    <w:rsid w:val="00223FA4"/>
    <w:rsid w:val="00223FB0"/>
    <w:rsid w:val="0022405A"/>
    <w:rsid w:val="00224067"/>
    <w:rsid w:val="0022421C"/>
    <w:rsid w:val="0022454F"/>
    <w:rsid w:val="00224C4A"/>
    <w:rsid w:val="00224E83"/>
    <w:rsid w:val="00225664"/>
    <w:rsid w:val="00225F84"/>
    <w:rsid w:val="0022663D"/>
    <w:rsid w:val="00226995"/>
    <w:rsid w:val="0022734A"/>
    <w:rsid w:val="0022755B"/>
    <w:rsid w:val="00227C56"/>
    <w:rsid w:val="00227F2D"/>
    <w:rsid w:val="00227F52"/>
    <w:rsid w:val="00231851"/>
    <w:rsid w:val="002319FB"/>
    <w:rsid w:val="00231B89"/>
    <w:rsid w:val="00231F11"/>
    <w:rsid w:val="00231F5E"/>
    <w:rsid w:val="00233395"/>
    <w:rsid w:val="002346B4"/>
    <w:rsid w:val="00234F6E"/>
    <w:rsid w:val="002351FA"/>
    <w:rsid w:val="002355BE"/>
    <w:rsid w:val="002358EA"/>
    <w:rsid w:val="0023609B"/>
    <w:rsid w:val="00236578"/>
    <w:rsid w:val="00236A10"/>
    <w:rsid w:val="00236DE9"/>
    <w:rsid w:val="00237342"/>
    <w:rsid w:val="002373D4"/>
    <w:rsid w:val="00237D5A"/>
    <w:rsid w:val="00237E0F"/>
    <w:rsid w:val="002407BA"/>
    <w:rsid w:val="00240922"/>
    <w:rsid w:val="00240D75"/>
    <w:rsid w:val="00240F92"/>
    <w:rsid w:val="00241288"/>
    <w:rsid w:val="002412E4"/>
    <w:rsid w:val="002415AE"/>
    <w:rsid w:val="00241B38"/>
    <w:rsid w:val="00241BC7"/>
    <w:rsid w:val="00241D3C"/>
    <w:rsid w:val="00242109"/>
    <w:rsid w:val="00242B6B"/>
    <w:rsid w:val="00243189"/>
    <w:rsid w:val="002439AB"/>
    <w:rsid w:val="00243C19"/>
    <w:rsid w:val="00244308"/>
    <w:rsid w:val="002448E7"/>
    <w:rsid w:val="00244AE8"/>
    <w:rsid w:val="00244DC9"/>
    <w:rsid w:val="00244EF3"/>
    <w:rsid w:val="0024531F"/>
    <w:rsid w:val="00245587"/>
    <w:rsid w:val="00245D37"/>
    <w:rsid w:val="00245F2B"/>
    <w:rsid w:val="002460E2"/>
    <w:rsid w:val="002466CD"/>
    <w:rsid w:val="0024729B"/>
    <w:rsid w:val="00247F3A"/>
    <w:rsid w:val="00250122"/>
    <w:rsid w:val="0025024D"/>
    <w:rsid w:val="00250755"/>
    <w:rsid w:val="00251043"/>
    <w:rsid w:val="002518A8"/>
    <w:rsid w:val="00251C4A"/>
    <w:rsid w:val="0025271C"/>
    <w:rsid w:val="0025277A"/>
    <w:rsid w:val="002533CD"/>
    <w:rsid w:val="002535EA"/>
    <w:rsid w:val="00253A8A"/>
    <w:rsid w:val="00254EAB"/>
    <w:rsid w:val="002557AF"/>
    <w:rsid w:val="0025589C"/>
    <w:rsid w:val="00255B62"/>
    <w:rsid w:val="002566B1"/>
    <w:rsid w:val="002575E3"/>
    <w:rsid w:val="00257A74"/>
    <w:rsid w:val="00257C5D"/>
    <w:rsid w:val="002603C1"/>
    <w:rsid w:val="002609A1"/>
    <w:rsid w:val="002612B1"/>
    <w:rsid w:val="00261997"/>
    <w:rsid w:val="00262B14"/>
    <w:rsid w:val="00265A12"/>
    <w:rsid w:val="00266165"/>
    <w:rsid w:val="00266F2C"/>
    <w:rsid w:val="00267DAF"/>
    <w:rsid w:val="00270122"/>
    <w:rsid w:val="00270B87"/>
    <w:rsid w:val="0027125E"/>
    <w:rsid w:val="00271767"/>
    <w:rsid w:val="00272263"/>
    <w:rsid w:val="00272293"/>
    <w:rsid w:val="002723C8"/>
    <w:rsid w:val="00273633"/>
    <w:rsid w:val="00273C2A"/>
    <w:rsid w:val="00273CBE"/>
    <w:rsid w:val="002746B1"/>
    <w:rsid w:val="00274BAD"/>
    <w:rsid w:val="0027614E"/>
    <w:rsid w:val="002763A3"/>
    <w:rsid w:val="00276EB8"/>
    <w:rsid w:val="00277F6B"/>
    <w:rsid w:val="002807B0"/>
    <w:rsid w:val="00281B9B"/>
    <w:rsid w:val="0028282C"/>
    <w:rsid w:val="00282D56"/>
    <w:rsid w:val="002835B0"/>
    <w:rsid w:val="00283C74"/>
    <w:rsid w:val="0028407E"/>
    <w:rsid w:val="0028410F"/>
    <w:rsid w:val="00284572"/>
    <w:rsid w:val="002850AA"/>
    <w:rsid w:val="00285221"/>
    <w:rsid w:val="00286A28"/>
    <w:rsid w:val="00286FB5"/>
    <w:rsid w:val="00287763"/>
    <w:rsid w:val="00290606"/>
    <w:rsid w:val="002908D0"/>
    <w:rsid w:val="002909B2"/>
    <w:rsid w:val="00291D6D"/>
    <w:rsid w:val="00291FF1"/>
    <w:rsid w:val="00292AA2"/>
    <w:rsid w:val="00293361"/>
    <w:rsid w:val="00293B47"/>
    <w:rsid w:val="00294F10"/>
    <w:rsid w:val="002952B1"/>
    <w:rsid w:val="002956E5"/>
    <w:rsid w:val="00295D11"/>
    <w:rsid w:val="00296FB6"/>
    <w:rsid w:val="0029724C"/>
    <w:rsid w:val="002A0001"/>
    <w:rsid w:val="002A0BD9"/>
    <w:rsid w:val="002A0BDB"/>
    <w:rsid w:val="002A0C3A"/>
    <w:rsid w:val="002A0DF8"/>
    <w:rsid w:val="002A0F1C"/>
    <w:rsid w:val="002A1130"/>
    <w:rsid w:val="002A1880"/>
    <w:rsid w:val="002A203E"/>
    <w:rsid w:val="002A23B7"/>
    <w:rsid w:val="002A3950"/>
    <w:rsid w:val="002A3A57"/>
    <w:rsid w:val="002A4320"/>
    <w:rsid w:val="002A4B4F"/>
    <w:rsid w:val="002A57A8"/>
    <w:rsid w:val="002A5D75"/>
    <w:rsid w:val="002A6DEF"/>
    <w:rsid w:val="002A739E"/>
    <w:rsid w:val="002A770B"/>
    <w:rsid w:val="002B013E"/>
    <w:rsid w:val="002B058D"/>
    <w:rsid w:val="002B0C16"/>
    <w:rsid w:val="002B1BA5"/>
    <w:rsid w:val="002B1E01"/>
    <w:rsid w:val="002B2456"/>
    <w:rsid w:val="002B2AC5"/>
    <w:rsid w:val="002B3528"/>
    <w:rsid w:val="002B3539"/>
    <w:rsid w:val="002B427F"/>
    <w:rsid w:val="002B4395"/>
    <w:rsid w:val="002B4532"/>
    <w:rsid w:val="002B4C9E"/>
    <w:rsid w:val="002B4DD9"/>
    <w:rsid w:val="002B5042"/>
    <w:rsid w:val="002B57C3"/>
    <w:rsid w:val="002B5832"/>
    <w:rsid w:val="002B612E"/>
    <w:rsid w:val="002B69CC"/>
    <w:rsid w:val="002B6D71"/>
    <w:rsid w:val="002B7DC4"/>
    <w:rsid w:val="002C03AE"/>
    <w:rsid w:val="002C0C1C"/>
    <w:rsid w:val="002C10A7"/>
    <w:rsid w:val="002C1190"/>
    <w:rsid w:val="002C2CC9"/>
    <w:rsid w:val="002C41BF"/>
    <w:rsid w:val="002C5023"/>
    <w:rsid w:val="002C5424"/>
    <w:rsid w:val="002C54C2"/>
    <w:rsid w:val="002C5D34"/>
    <w:rsid w:val="002C60BB"/>
    <w:rsid w:val="002C661A"/>
    <w:rsid w:val="002D06EE"/>
    <w:rsid w:val="002D073E"/>
    <w:rsid w:val="002D0A40"/>
    <w:rsid w:val="002D0D6F"/>
    <w:rsid w:val="002D1E81"/>
    <w:rsid w:val="002D25FC"/>
    <w:rsid w:val="002D46AB"/>
    <w:rsid w:val="002D4AC6"/>
    <w:rsid w:val="002D59BF"/>
    <w:rsid w:val="002D5BF5"/>
    <w:rsid w:val="002D5EE8"/>
    <w:rsid w:val="002D63F6"/>
    <w:rsid w:val="002D7360"/>
    <w:rsid w:val="002D750C"/>
    <w:rsid w:val="002D7648"/>
    <w:rsid w:val="002D7C80"/>
    <w:rsid w:val="002E109C"/>
    <w:rsid w:val="002E193E"/>
    <w:rsid w:val="002E1A94"/>
    <w:rsid w:val="002E1D55"/>
    <w:rsid w:val="002E26C4"/>
    <w:rsid w:val="002E2734"/>
    <w:rsid w:val="002E2AA6"/>
    <w:rsid w:val="002E30A5"/>
    <w:rsid w:val="002E47E4"/>
    <w:rsid w:val="002E4BF9"/>
    <w:rsid w:val="002E4D61"/>
    <w:rsid w:val="002E68A7"/>
    <w:rsid w:val="002E6E6C"/>
    <w:rsid w:val="002F016E"/>
    <w:rsid w:val="002F020D"/>
    <w:rsid w:val="002F03FD"/>
    <w:rsid w:val="002F0522"/>
    <w:rsid w:val="002F0FD0"/>
    <w:rsid w:val="002F16DD"/>
    <w:rsid w:val="002F199D"/>
    <w:rsid w:val="002F213C"/>
    <w:rsid w:val="002F2453"/>
    <w:rsid w:val="002F2607"/>
    <w:rsid w:val="002F30BD"/>
    <w:rsid w:val="002F352D"/>
    <w:rsid w:val="002F381E"/>
    <w:rsid w:val="002F3C58"/>
    <w:rsid w:val="002F4084"/>
    <w:rsid w:val="002F4A08"/>
    <w:rsid w:val="002F4ADB"/>
    <w:rsid w:val="002F531E"/>
    <w:rsid w:val="002F548D"/>
    <w:rsid w:val="002F54FB"/>
    <w:rsid w:val="002F5ACC"/>
    <w:rsid w:val="002F704B"/>
    <w:rsid w:val="002F72C3"/>
    <w:rsid w:val="002F768C"/>
    <w:rsid w:val="002F7D1E"/>
    <w:rsid w:val="002F7E89"/>
    <w:rsid w:val="00300201"/>
    <w:rsid w:val="0030025A"/>
    <w:rsid w:val="0030052F"/>
    <w:rsid w:val="00302EFC"/>
    <w:rsid w:val="00303243"/>
    <w:rsid w:val="00303BCC"/>
    <w:rsid w:val="00303F2B"/>
    <w:rsid w:val="00303F8D"/>
    <w:rsid w:val="0030572D"/>
    <w:rsid w:val="0030586A"/>
    <w:rsid w:val="00305A5E"/>
    <w:rsid w:val="0030622D"/>
    <w:rsid w:val="00306811"/>
    <w:rsid w:val="00306F32"/>
    <w:rsid w:val="003074C5"/>
    <w:rsid w:val="00307A3C"/>
    <w:rsid w:val="00307FA4"/>
    <w:rsid w:val="00310290"/>
    <w:rsid w:val="003103B1"/>
    <w:rsid w:val="00310CC1"/>
    <w:rsid w:val="003118A8"/>
    <w:rsid w:val="00312504"/>
    <w:rsid w:val="00312B89"/>
    <w:rsid w:val="00313026"/>
    <w:rsid w:val="00313913"/>
    <w:rsid w:val="00313DAA"/>
    <w:rsid w:val="0031421F"/>
    <w:rsid w:val="0031466A"/>
    <w:rsid w:val="00314B31"/>
    <w:rsid w:val="003151F4"/>
    <w:rsid w:val="0031523E"/>
    <w:rsid w:val="00315569"/>
    <w:rsid w:val="00315A65"/>
    <w:rsid w:val="003165D7"/>
    <w:rsid w:val="0031666B"/>
    <w:rsid w:val="00316ABE"/>
    <w:rsid w:val="00317601"/>
    <w:rsid w:val="00317BA7"/>
    <w:rsid w:val="00317EB1"/>
    <w:rsid w:val="00320BE2"/>
    <w:rsid w:val="00321886"/>
    <w:rsid w:val="00321EDC"/>
    <w:rsid w:val="003226AC"/>
    <w:rsid w:val="00323694"/>
    <w:rsid w:val="00323BE7"/>
    <w:rsid w:val="00324B26"/>
    <w:rsid w:val="00324C3A"/>
    <w:rsid w:val="00324D63"/>
    <w:rsid w:val="0032547C"/>
    <w:rsid w:val="003255AF"/>
    <w:rsid w:val="003256EB"/>
    <w:rsid w:val="003259DB"/>
    <w:rsid w:val="0032795B"/>
    <w:rsid w:val="003303CD"/>
    <w:rsid w:val="003307BE"/>
    <w:rsid w:val="003314D9"/>
    <w:rsid w:val="00331653"/>
    <w:rsid w:val="00331A48"/>
    <w:rsid w:val="00331BCC"/>
    <w:rsid w:val="003330C9"/>
    <w:rsid w:val="0033342D"/>
    <w:rsid w:val="0033364C"/>
    <w:rsid w:val="00334415"/>
    <w:rsid w:val="0033469E"/>
    <w:rsid w:val="0033481F"/>
    <w:rsid w:val="00335EA1"/>
    <w:rsid w:val="0033691E"/>
    <w:rsid w:val="00336A6A"/>
    <w:rsid w:val="00336CCB"/>
    <w:rsid w:val="003411D1"/>
    <w:rsid w:val="003416BA"/>
    <w:rsid w:val="00342148"/>
    <w:rsid w:val="00342658"/>
    <w:rsid w:val="003427BE"/>
    <w:rsid w:val="003429F5"/>
    <w:rsid w:val="00342F99"/>
    <w:rsid w:val="00343AEA"/>
    <w:rsid w:val="00344D99"/>
    <w:rsid w:val="0034575A"/>
    <w:rsid w:val="00345F1D"/>
    <w:rsid w:val="00345F57"/>
    <w:rsid w:val="0034698A"/>
    <w:rsid w:val="00350458"/>
    <w:rsid w:val="00350E6C"/>
    <w:rsid w:val="0035153C"/>
    <w:rsid w:val="003518A6"/>
    <w:rsid w:val="00351E7F"/>
    <w:rsid w:val="00352953"/>
    <w:rsid w:val="00353D91"/>
    <w:rsid w:val="00354062"/>
    <w:rsid w:val="0035459E"/>
    <w:rsid w:val="00354AE9"/>
    <w:rsid w:val="00355527"/>
    <w:rsid w:val="00355C0D"/>
    <w:rsid w:val="003560A6"/>
    <w:rsid w:val="0035657D"/>
    <w:rsid w:val="003566A9"/>
    <w:rsid w:val="00356988"/>
    <w:rsid w:val="003569D3"/>
    <w:rsid w:val="00356CE9"/>
    <w:rsid w:val="00356D82"/>
    <w:rsid w:val="003570BB"/>
    <w:rsid w:val="00357128"/>
    <w:rsid w:val="0035755E"/>
    <w:rsid w:val="00357A80"/>
    <w:rsid w:val="00360116"/>
    <w:rsid w:val="00361441"/>
    <w:rsid w:val="00361B8B"/>
    <w:rsid w:val="00363F39"/>
    <w:rsid w:val="003640FC"/>
    <w:rsid w:val="0036445C"/>
    <w:rsid w:val="00364627"/>
    <w:rsid w:val="00364AB0"/>
    <w:rsid w:val="00364D71"/>
    <w:rsid w:val="0036601A"/>
    <w:rsid w:val="003667B0"/>
    <w:rsid w:val="003667DD"/>
    <w:rsid w:val="00366B48"/>
    <w:rsid w:val="00366D71"/>
    <w:rsid w:val="003674FB"/>
    <w:rsid w:val="00367721"/>
    <w:rsid w:val="00367764"/>
    <w:rsid w:val="00370316"/>
    <w:rsid w:val="00370DC7"/>
    <w:rsid w:val="003713D7"/>
    <w:rsid w:val="003714AC"/>
    <w:rsid w:val="00371CBD"/>
    <w:rsid w:val="00371F20"/>
    <w:rsid w:val="003721E3"/>
    <w:rsid w:val="00372B98"/>
    <w:rsid w:val="003737B7"/>
    <w:rsid w:val="003740CC"/>
    <w:rsid w:val="003745F4"/>
    <w:rsid w:val="0037491A"/>
    <w:rsid w:val="00374E79"/>
    <w:rsid w:val="0037529A"/>
    <w:rsid w:val="00375388"/>
    <w:rsid w:val="00375559"/>
    <w:rsid w:val="00375FB9"/>
    <w:rsid w:val="00376170"/>
    <w:rsid w:val="003762F9"/>
    <w:rsid w:val="003766DE"/>
    <w:rsid w:val="00376851"/>
    <w:rsid w:val="00376FA2"/>
    <w:rsid w:val="00377133"/>
    <w:rsid w:val="00377A3B"/>
    <w:rsid w:val="00377B8B"/>
    <w:rsid w:val="00377E3C"/>
    <w:rsid w:val="00377F89"/>
    <w:rsid w:val="00380874"/>
    <w:rsid w:val="00380878"/>
    <w:rsid w:val="00380BBE"/>
    <w:rsid w:val="00380EA3"/>
    <w:rsid w:val="00381243"/>
    <w:rsid w:val="00381B1B"/>
    <w:rsid w:val="00381D70"/>
    <w:rsid w:val="0038235E"/>
    <w:rsid w:val="0038260A"/>
    <w:rsid w:val="003829D0"/>
    <w:rsid w:val="0038326A"/>
    <w:rsid w:val="0038444F"/>
    <w:rsid w:val="00384BB9"/>
    <w:rsid w:val="003861F0"/>
    <w:rsid w:val="00387051"/>
    <w:rsid w:val="003876F0"/>
    <w:rsid w:val="00387ECF"/>
    <w:rsid w:val="003901EA"/>
    <w:rsid w:val="0039021B"/>
    <w:rsid w:val="00390353"/>
    <w:rsid w:val="00390429"/>
    <w:rsid w:val="003906A0"/>
    <w:rsid w:val="00391413"/>
    <w:rsid w:val="003923D5"/>
    <w:rsid w:val="003931AF"/>
    <w:rsid w:val="0039338D"/>
    <w:rsid w:val="0039366C"/>
    <w:rsid w:val="00393EC8"/>
    <w:rsid w:val="00395E42"/>
    <w:rsid w:val="00396409"/>
    <w:rsid w:val="00396A2D"/>
    <w:rsid w:val="00396FC3"/>
    <w:rsid w:val="0039779B"/>
    <w:rsid w:val="003A13E2"/>
    <w:rsid w:val="003A1431"/>
    <w:rsid w:val="003A1936"/>
    <w:rsid w:val="003A1A94"/>
    <w:rsid w:val="003A1FF5"/>
    <w:rsid w:val="003A204E"/>
    <w:rsid w:val="003A2B19"/>
    <w:rsid w:val="003A2D25"/>
    <w:rsid w:val="003A2DB1"/>
    <w:rsid w:val="003A5101"/>
    <w:rsid w:val="003A51BE"/>
    <w:rsid w:val="003A5728"/>
    <w:rsid w:val="003A60E7"/>
    <w:rsid w:val="003A6AE2"/>
    <w:rsid w:val="003A7092"/>
    <w:rsid w:val="003A72A1"/>
    <w:rsid w:val="003A7302"/>
    <w:rsid w:val="003A7611"/>
    <w:rsid w:val="003A7A46"/>
    <w:rsid w:val="003A7D1F"/>
    <w:rsid w:val="003B0B6A"/>
    <w:rsid w:val="003B0C41"/>
    <w:rsid w:val="003B22F7"/>
    <w:rsid w:val="003B2518"/>
    <w:rsid w:val="003B29CF"/>
    <w:rsid w:val="003B2A86"/>
    <w:rsid w:val="003B3A90"/>
    <w:rsid w:val="003B3D01"/>
    <w:rsid w:val="003B534F"/>
    <w:rsid w:val="003B68A3"/>
    <w:rsid w:val="003B7A79"/>
    <w:rsid w:val="003C0FE1"/>
    <w:rsid w:val="003C151A"/>
    <w:rsid w:val="003C1D27"/>
    <w:rsid w:val="003C33A0"/>
    <w:rsid w:val="003C350C"/>
    <w:rsid w:val="003C3733"/>
    <w:rsid w:val="003C3903"/>
    <w:rsid w:val="003C3BA0"/>
    <w:rsid w:val="003C4580"/>
    <w:rsid w:val="003C51C0"/>
    <w:rsid w:val="003C5C5E"/>
    <w:rsid w:val="003C65D3"/>
    <w:rsid w:val="003C6692"/>
    <w:rsid w:val="003C6746"/>
    <w:rsid w:val="003C7555"/>
    <w:rsid w:val="003C7898"/>
    <w:rsid w:val="003D0FF5"/>
    <w:rsid w:val="003D11A3"/>
    <w:rsid w:val="003D1537"/>
    <w:rsid w:val="003D183C"/>
    <w:rsid w:val="003D214B"/>
    <w:rsid w:val="003D2D1B"/>
    <w:rsid w:val="003D3558"/>
    <w:rsid w:val="003D36C0"/>
    <w:rsid w:val="003D40E5"/>
    <w:rsid w:val="003D48C7"/>
    <w:rsid w:val="003D4C27"/>
    <w:rsid w:val="003D7109"/>
    <w:rsid w:val="003D7CE8"/>
    <w:rsid w:val="003E0514"/>
    <w:rsid w:val="003E0BAA"/>
    <w:rsid w:val="003E1032"/>
    <w:rsid w:val="003E1904"/>
    <w:rsid w:val="003E285E"/>
    <w:rsid w:val="003E2BD8"/>
    <w:rsid w:val="003E3124"/>
    <w:rsid w:val="003E3300"/>
    <w:rsid w:val="003E3BC7"/>
    <w:rsid w:val="003E43D3"/>
    <w:rsid w:val="003E4511"/>
    <w:rsid w:val="003E48E1"/>
    <w:rsid w:val="003E50F4"/>
    <w:rsid w:val="003E59BB"/>
    <w:rsid w:val="003E6225"/>
    <w:rsid w:val="003E65AC"/>
    <w:rsid w:val="003E66AE"/>
    <w:rsid w:val="003E6CFE"/>
    <w:rsid w:val="003E72B9"/>
    <w:rsid w:val="003E7612"/>
    <w:rsid w:val="003E7ED4"/>
    <w:rsid w:val="003F0187"/>
    <w:rsid w:val="003F0CAA"/>
    <w:rsid w:val="003F0E52"/>
    <w:rsid w:val="003F0F6B"/>
    <w:rsid w:val="003F1FC6"/>
    <w:rsid w:val="003F1FE3"/>
    <w:rsid w:val="003F2112"/>
    <w:rsid w:val="003F2359"/>
    <w:rsid w:val="003F2457"/>
    <w:rsid w:val="003F3232"/>
    <w:rsid w:val="003F359A"/>
    <w:rsid w:val="003F3865"/>
    <w:rsid w:val="003F38AC"/>
    <w:rsid w:val="003F3D55"/>
    <w:rsid w:val="003F44E2"/>
    <w:rsid w:val="003F4632"/>
    <w:rsid w:val="003F47BA"/>
    <w:rsid w:val="003F49F3"/>
    <w:rsid w:val="003F4FE6"/>
    <w:rsid w:val="003F5638"/>
    <w:rsid w:val="003F6617"/>
    <w:rsid w:val="003F7F36"/>
    <w:rsid w:val="00400A58"/>
    <w:rsid w:val="00402332"/>
    <w:rsid w:val="004025C2"/>
    <w:rsid w:val="00403195"/>
    <w:rsid w:val="004033A9"/>
    <w:rsid w:val="00403E55"/>
    <w:rsid w:val="0040407C"/>
    <w:rsid w:val="0040416C"/>
    <w:rsid w:val="004041CA"/>
    <w:rsid w:val="004044B4"/>
    <w:rsid w:val="00404681"/>
    <w:rsid w:val="004048F9"/>
    <w:rsid w:val="00404A80"/>
    <w:rsid w:val="00405445"/>
    <w:rsid w:val="00405AC1"/>
    <w:rsid w:val="00406923"/>
    <w:rsid w:val="0040763D"/>
    <w:rsid w:val="0041038E"/>
    <w:rsid w:val="00410D17"/>
    <w:rsid w:val="0041183A"/>
    <w:rsid w:val="00412656"/>
    <w:rsid w:val="00412AA9"/>
    <w:rsid w:val="00413442"/>
    <w:rsid w:val="00413821"/>
    <w:rsid w:val="00413BA5"/>
    <w:rsid w:val="004141A3"/>
    <w:rsid w:val="00414909"/>
    <w:rsid w:val="0041582F"/>
    <w:rsid w:val="00415AC9"/>
    <w:rsid w:val="00415CF3"/>
    <w:rsid w:val="00415F5B"/>
    <w:rsid w:val="00416112"/>
    <w:rsid w:val="004167AD"/>
    <w:rsid w:val="0041716A"/>
    <w:rsid w:val="00417A18"/>
    <w:rsid w:val="00417AE0"/>
    <w:rsid w:val="00417BAA"/>
    <w:rsid w:val="0042042B"/>
    <w:rsid w:val="00420B45"/>
    <w:rsid w:val="00420D7A"/>
    <w:rsid w:val="00421257"/>
    <w:rsid w:val="00422193"/>
    <w:rsid w:val="004223DE"/>
    <w:rsid w:val="00422645"/>
    <w:rsid w:val="00422A10"/>
    <w:rsid w:val="00424D17"/>
    <w:rsid w:val="004259FC"/>
    <w:rsid w:val="00425DFD"/>
    <w:rsid w:val="00425EA9"/>
    <w:rsid w:val="004263A3"/>
    <w:rsid w:val="0042711B"/>
    <w:rsid w:val="00427713"/>
    <w:rsid w:val="00427B57"/>
    <w:rsid w:val="00427C77"/>
    <w:rsid w:val="00427CCC"/>
    <w:rsid w:val="0043013A"/>
    <w:rsid w:val="004302BE"/>
    <w:rsid w:val="00430421"/>
    <w:rsid w:val="00430A36"/>
    <w:rsid w:val="00430B4F"/>
    <w:rsid w:val="00431084"/>
    <w:rsid w:val="004310D7"/>
    <w:rsid w:val="0043180D"/>
    <w:rsid w:val="004322D6"/>
    <w:rsid w:val="00432589"/>
    <w:rsid w:val="00432A94"/>
    <w:rsid w:val="00432C95"/>
    <w:rsid w:val="00433827"/>
    <w:rsid w:val="00433A40"/>
    <w:rsid w:val="00434B70"/>
    <w:rsid w:val="004355EF"/>
    <w:rsid w:val="004360C8"/>
    <w:rsid w:val="00436823"/>
    <w:rsid w:val="004368C9"/>
    <w:rsid w:val="004371D5"/>
    <w:rsid w:val="0043773F"/>
    <w:rsid w:val="00437FBF"/>
    <w:rsid w:val="0044006B"/>
    <w:rsid w:val="0044033F"/>
    <w:rsid w:val="00440576"/>
    <w:rsid w:val="00440630"/>
    <w:rsid w:val="00440E07"/>
    <w:rsid w:val="0044142F"/>
    <w:rsid w:val="00441F0F"/>
    <w:rsid w:val="00442965"/>
    <w:rsid w:val="004432B6"/>
    <w:rsid w:val="00444157"/>
    <w:rsid w:val="0044417C"/>
    <w:rsid w:val="00444DB3"/>
    <w:rsid w:val="00445617"/>
    <w:rsid w:val="00445A2F"/>
    <w:rsid w:val="0044680A"/>
    <w:rsid w:val="0044684E"/>
    <w:rsid w:val="00446F22"/>
    <w:rsid w:val="0045019F"/>
    <w:rsid w:val="004503A4"/>
    <w:rsid w:val="00450555"/>
    <w:rsid w:val="004506FA"/>
    <w:rsid w:val="00450DC6"/>
    <w:rsid w:val="004516A5"/>
    <w:rsid w:val="00451E9C"/>
    <w:rsid w:val="00452145"/>
    <w:rsid w:val="004522D0"/>
    <w:rsid w:val="0045280F"/>
    <w:rsid w:val="00452E73"/>
    <w:rsid w:val="004535AE"/>
    <w:rsid w:val="00453C53"/>
    <w:rsid w:val="0045444D"/>
    <w:rsid w:val="0045463A"/>
    <w:rsid w:val="00454AC9"/>
    <w:rsid w:val="00455050"/>
    <w:rsid w:val="004554A3"/>
    <w:rsid w:val="00455626"/>
    <w:rsid w:val="00455A6E"/>
    <w:rsid w:val="00455EAD"/>
    <w:rsid w:val="004578EB"/>
    <w:rsid w:val="00457F74"/>
    <w:rsid w:val="004604D5"/>
    <w:rsid w:val="004605C6"/>
    <w:rsid w:val="00460697"/>
    <w:rsid w:val="0046117B"/>
    <w:rsid w:val="00461735"/>
    <w:rsid w:val="00461FC2"/>
    <w:rsid w:val="004632B9"/>
    <w:rsid w:val="00464AB7"/>
    <w:rsid w:val="00465DE5"/>
    <w:rsid w:val="00466103"/>
    <w:rsid w:val="00467A83"/>
    <w:rsid w:val="00467EF8"/>
    <w:rsid w:val="00470006"/>
    <w:rsid w:val="00470611"/>
    <w:rsid w:val="00470848"/>
    <w:rsid w:val="00471AC3"/>
    <w:rsid w:val="00472429"/>
    <w:rsid w:val="0047253E"/>
    <w:rsid w:val="004725E5"/>
    <w:rsid w:val="00472751"/>
    <w:rsid w:val="00473128"/>
    <w:rsid w:val="004748A5"/>
    <w:rsid w:val="00475078"/>
    <w:rsid w:val="00475767"/>
    <w:rsid w:val="004779A0"/>
    <w:rsid w:val="00477F17"/>
    <w:rsid w:val="00480363"/>
    <w:rsid w:val="004808E3"/>
    <w:rsid w:val="00481016"/>
    <w:rsid w:val="0048204C"/>
    <w:rsid w:val="004821BB"/>
    <w:rsid w:val="0048237A"/>
    <w:rsid w:val="004826FE"/>
    <w:rsid w:val="004827D5"/>
    <w:rsid w:val="00482AF2"/>
    <w:rsid w:val="004830C9"/>
    <w:rsid w:val="00483347"/>
    <w:rsid w:val="00483E2E"/>
    <w:rsid w:val="00484B69"/>
    <w:rsid w:val="00485406"/>
    <w:rsid w:val="0048590F"/>
    <w:rsid w:val="004864D4"/>
    <w:rsid w:val="00486D60"/>
    <w:rsid w:val="00486DBC"/>
    <w:rsid w:val="004915FA"/>
    <w:rsid w:val="00491FA1"/>
    <w:rsid w:val="00492A25"/>
    <w:rsid w:val="004938A3"/>
    <w:rsid w:val="004950A6"/>
    <w:rsid w:val="0049558B"/>
    <w:rsid w:val="00496254"/>
    <w:rsid w:val="00496350"/>
    <w:rsid w:val="004974A4"/>
    <w:rsid w:val="0049765E"/>
    <w:rsid w:val="00497843"/>
    <w:rsid w:val="0049797C"/>
    <w:rsid w:val="004A1405"/>
    <w:rsid w:val="004A15BD"/>
    <w:rsid w:val="004A1E28"/>
    <w:rsid w:val="004A1FC6"/>
    <w:rsid w:val="004A2E5F"/>
    <w:rsid w:val="004A38C2"/>
    <w:rsid w:val="004A3968"/>
    <w:rsid w:val="004A3C03"/>
    <w:rsid w:val="004A3DB7"/>
    <w:rsid w:val="004A463B"/>
    <w:rsid w:val="004A5088"/>
    <w:rsid w:val="004A50E5"/>
    <w:rsid w:val="004A5255"/>
    <w:rsid w:val="004A61CA"/>
    <w:rsid w:val="004A6B28"/>
    <w:rsid w:val="004A6CB0"/>
    <w:rsid w:val="004A70FF"/>
    <w:rsid w:val="004A7EDE"/>
    <w:rsid w:val="004B0D93"/>
    <w:rsid w:val="004B19C8"/>
    <w:rsid w:val="004B1FA4"/>
    <w:rsid w:val="004B29AC"/>
    <w:rsid w:val="004B35DF"/>
    <w:rsid w:val="004B3627"/>
    <w:rsid w:val="004B3837"/>
    <w:rsid w:val="004B4922"/>
    <w:rsid w:val="004B57DF"/>
    <w:rsid w:val="004B5976"/>
    <w:rsid w:val="004B6E54"/>
    <w:rsid w:val="004B722E"/>
    <w:rsid w:val="004B72E8"/>
    <w:rsid w:val="004B771A"/>
    <w:rsid w:val="004C01A5"/>
    <w:rsid w:val="004C0412"/>
    <w:rsid w:val="004C0882"/>
    <w:rsid w:val="004C0D7C"/>
    <w:rsid w:val="004C2138"/>
    <w:rsid w:val="004C2B69"/>
    <w:rsid w:val="004C302E"/>
    <w:rsid w:val="004C3093"/>
    <w:rsid w:val="004C3940"/>
    <w:rsid w:val="004C51FD"/>
    <w:rsid w:val="004C5ED7"/>
    <w:rsid w:val="004C65A8"/>
    <w:rsid w:val="004C6689"/>
    <w:rsid w:val="004C6BF3"/>
    <w:rsid w:val="004C7408"/>
    <w:rsid w:val="004C7850"/>
    <w:rsid w:val="004D107E"/>
    <w:rsid w:val="004D139A"/>
    <w:rsid w:val="004D14DC"/>
    <w:rsid w:val="004D17C6"/>
    <w:rsid w:val="004D2858"/>
    <w:rsid w:val="004D2E49"/>
    <w:rsid w:val="004D35BA"/>
    <w:rsid w:val="004D38E5"/>
    <w:rsid w:val="004D3A48"/>
    <w:rsid w:val="004D3C5A"/>
    <w:rsid w:val="004D449A"/>
    <w:rsid w:val="004D4701"/>
    <w:rsid w:val="004D47C7"/>
    <w:rsid w:val="004D4B2B"/>
    <w:rsid w:val="004D4F35"/>
    <w:rsid w:val="004D51EE"/>
    <w:rsid w:val="004D5B54"/>
    <w:rsid w:val="004D5C03"/>
    <w:rsid w:val="004D5D45"/>
    <w:rsid w:val="004D618D"/>
    <w:rsid w:val="004D62A9"/>
    <w:rsid w:val="004D6FC3"/>
    <w:rsid w:val="004D7476"/>
    <w:rsid w:val="004D7716"/>
    <w:rsid w:val="004E0306"/>
    <w:rsid w:val="004E0572"/>
    <w:rsid w:val="004E1641"/>
    <w:rsid w:val="004E1818"/>
    <w:rsid w:val="004E1990"/>
    <w:rsid w:val="004E2186"/>
    <w:rsid w:val="004E25A8"/>
    <w:rsid w:val="004E2B53"/>
    <w:rsid w:val="004E3930"/>
    <w:rsid w:val="004E3A23"/>
    <w:rsid w:val="004E3ED9"/>
    <w:rsid w:val="004E4961"/>
    <w:rsid w:val="004E5866"/>
    <w:rsid w:val="004E6097"/>
    <w:rsid w:val="004E61EF"/>
    <w:rsid w:val="004E63C6"/>
    <w:rsid w:val="004E66D3"/>
    <w:rsid w:val="004E6805"/>
    <w:rsid w:val="004E76A7"/>
    <w:rsid w:val="004E7B03"/>
    <w:rsid w:val="004E7F95"/>
    <w:rsid w:val="004F0064"/>
    <w:rsid w:val="004F06AC"/>
    <w:rsid w:val="004F0E50"/>
    <w:rsid w:val="004F1D2A"/>
    <w:rsid w:val="004F243F"/>
    <w:rsid w:val="004F252C"/>
    <w:rsid w:val="004F36A3"/>
    <w:rsid w:val="004F3E0C"/>
    <w:rsid w:val="004F4308"/>
    <w:rsid w:val="004F4892"/>
    <w:rsid w:val="004F4D2C"/>
    <w:rsid w:val="004F5C3B"/>
    <w:rsid w:val="004F5DA0"/>
    <w:rsid w:val="004F7160"/>
    <w:rsid w:val="00500258"/>
    <w:rsid w:val="00500B2D"/>
    <w:rsid w:val="0050130B"/>
    <w:rsid w:val="00501A99"/>
    <w:rsid w:val="00502456"/>
    <w:rsid w:val="00503180"/>
    <w:rsid w:val="005038A4"/>
    <w:rsid w:val="00504C56"/>
    <w:rsid w:val="00504CD4"/>
    <w:rsid w:val="0050524B"/>
    <w:rsid w:val="0050538B"/>
    <w:rsid w:val="00505450"/>
    <w:rsid w:val="00505FC6"/>
    <w:rsid w:val="00506DA6"/>
    <w:rsid w:val="00507170"/>
    <w:rsid w:val="005100B7"/>
    <w:rsid w:val="005105DE"/>
    <w:rsid w:val="005113C9"/>
    <w:rsid w:val="00512050"/>
    <w:rsid w:val="00512055"/>
    <w:rsid w:val="0051280C"/>
    <w:rsid w:val="00512842"/>
    <w:rsid w:val="005128BE"/>
    <w:rsid w:val="0051356F"/>
    <w:rsid w:val="00513E7C"/>
    <w:rsid w:val="005140BB"/>
    <w:rsid w:val="00514FBE"/>
    <w:rsid w:val="00514FD9"/>
    <w:rsid w:val="0051550A"/>
    <w:rsid w:val="00515E31"/>
    <w:rsid w:val="0051608F"/>
    <w:rsid w:val="00516480"/>
    <w:rsid w:val="00520EF8"/>
    <w:rsid w:val="005210F7"/>
    <w:rsid w:val="00521753"/>
    <w:rsid w:val="00521C64"/>
    <w:rsid w:val="0052239D"/>
    <w:rsid w:val="005224EE"/>
    <w:rsid w:val="00522879"/>
    <w:rsid w:val="00522FFE"/>
    <w:rsid w:val="0052363A"/>
    <w:rsid w:val="00523BB1"/>
    <w:rsid w:val="005241A0"/>
    <w:rsid w:val="00524B23"/>
    <w:rsid w:val="0052511C"/>
    <w:rsid w:val="00525235"/>
    <w:rsid w:val="0052570E"/>
    <w:rsid w:val="005260CD"/>
    <w:rsid w:val="00526265"/>
    <w:rsid w:val="00526332"/>
    <w:rsid w:val="00526338"/>
    <w:rsid w:val="0052655D"/>
    <w:rsid w:val="005265E0"/>
    <w:rsid w:val="00526BC3"/>
    <w:rsid w:val="00530064"/>
    <w:rsid w:val="00530440"/>
    <w:rsid w:val="00530FF0"/>
    <w:rsid w:val="005313CA"/>
    <w:rsid w:val="00531761"/>
    <w:rsid w:val="0053248F"/>
    <w:rsid w:val="005327AB"/>
    <w:rsid w:val="00532F9C"/>
    <w:rsid w:val="00533055"/>
    <w:rsid w:val="0053332A"/>
    <w:rsid w:val="0053358A"/>
    <w:rsid w:val="005338AB"/>
    <w:rsid w:val="00534668"/>
    <w:rsid w:val="005348CA"/>
    <w:rsid w:val="00534DDD"/>
    <w:rsid w:val="00535291"/>
    <w:rsid w:val="00535A94"/>
    <w:rsid w:val="0053686A"/>
    <w:rsid w:val="00537874"/>
    <w:rsid w:val="0053795F"/>
    <w:rsid w:val="00537D3D"/>
    <w:rsid w:val="00540511"/>
    <w:rsid w:val="00540578"/>
    <w:rsid w:val="00540808"/>
    <w:rsid w:val="0054080E"/>
    <w:rsid w:val="00540D1A"/>
    <w:rsid w:val="00540DE5"/>
    <w:rsid w:val="00540EA1"/>
    <w:rsid w:val="00541E5A"/>
    <w:rsid w:val="00542769"/>
    <w:rsid w:val="00543066"/>
    <w:rsid w:val="0054358E"/>
    <w:rsid w:val="00543AF4"/>
    <w:rsid w:val="00543CD2"/>
    <w:rsid w:val="00543F53"/>
    <w:rsid w:val="00544191"/>
    <w:rsid w:val="0054440C"/>
    <w:rsid w:val="005448EC"/>
    <w:rsid w:val="00544C0A"/>
    <w:rsid w:val="00544F39"/>
    <w:rsid w:val="005452DC"/>
    <w:rsid w:val="005457FB"/>
    <w:rsid w:val="00545C5B"/>
    <w:rsid w:val="00546B96"/>
    <w:rsid w:val="00546F90"/>
    <w:rsid w:val="005477F7"/>
    <w:rsid w:val="00547EFB"/>
    <w:rsid w:val="00550186"/>
    <w:rsid w:val="00550192"/>
    <w:rsid w:val="00550BD9"/>
    <w:rsid w:val="005522F2"/>
    <w:rsid w:val="005531DF"/>
    <w:rsid w:val="00553874"/>
    <w:rsid w:val="00553DCE"/>
    <w:rsid w:val="005541E0"/>
    <w:rsid w:val="005543B3"/>
    <w:rsid w:val="00554577"/>
    <w:rsid w:val="005545A1"/>
    <w:rsid w:val="00554AD8"/>
    <w:rsid w:val="00554C43"/>
    <w:rsid w:val="00554F78"/>
    <w:rsid w:val="00555C46"/>
    <w:rsid w:val="00555DA1"/>
    <w:rsid w:val="005562FB"/>
    <w:rsid w:val="00556731"/>
    <w:rsid w:val="00556BF7"/>
    <w:rsid w:val="00556E53"/>
    <w:rsid w:val="00557F60"/>
    <w:rsid w:val="00560D81"/>
    <w:rsid w:val="00561730"/>
    <w:rsid w:val="00561B97"/>
    <w:rsid w:val="00562149"/>
    <w:rsid w:val="0056248C"/>
    <w:rsid w:val="0056362D"/>
    <w:rsid w:val="005640EB"/>
    <w:rsid w:val="00565559"/>
    <w:rsid w:val="005666A4"/>
    <w:rsid w:val="00567B5D"/>
    <w:rsid w:val="00570593"/>
    <w:rsid w:val="00570757"/>
    <w:rsid w:val="0057257D"/>
    <w:rsid w:val="00573293"/>
    <w:rsid w:val="00573733"/>
    <w:rsid w:val="00573E08"/>
    <w:rsid w:val="00573F8B"/>
    <w:rsid w:val="005743E0"/>
    <w:rsid w:val="00574554"/>
    <w:rsid w:val="00574862"/>
    <w:rsid w:val="00574E06"/>
    <w:rsid w:val="005751BB"/>
    <w:rsid w:val="00575713"/>
    <w:rsid w:val="00576089"/>
    <w:rsid w:val="005764B1"/>
    <w:rsid w:val="00576852"/>
    <w:rsid w:val="00576D06"/>
    <w:rsid w:val="005779E4"/>
    <w:rsid w:val="00580B89"/>
    <w:rsid w:val="00580EC7"/>
    <w:rsid w:val="00581EA9"/>
    <w:rsid w:val="0058289C"/>
    <w:rsid w:val="005836C7"/>
    <w:rsid w:val="0058408E"/>
    <w:rsid w:val="005844C3"/>
    <w:rsid w:val="005847D9"/>
    <w:rsid w:val="00585374"/>
    <w:rsid w:val="005854CA"/>
    <w:rsid w:val="00585FAB"/>
    <w:rsid w:val="0058607D"/>
    <w:rsid w:val="00590B77"/>
    <w:rsid w:val="00590D9A"/>
    <w:rsid w:val="005913A3"/>
    <w:rsid w:val="00591A5A"/>
    <w:rsid w:val="00592C40"/>
    <w:rsid w:val="00593B28"/>
    <w:rsid w:val="005940D4"/>
    <w:rsid w:val="00594A7B"/>
    <w:rsid w:val="0059580E"/>
    <w:rsid w:val="00595D90"/>
    <w:rsid w:val="00596A6F"/>
    <w:rsid w:val="00596D11"/>
    <w:rsid w:val="00596FCE"/>
    <w:rsid w:val="005A0300"/>
    <w:rsid w:val="005A11BC"/>
    <w:rsid w:val="005A1525"/>
    <w:rsid w:val="005A188D"/>
    <w:rsid w:val="005A1E17"/>
    <w:rsid w:val="005A252B"/>
    <w:rsid w:val="005A2A8F"/>
    <w:rsid w:val="005A3008"/>
    <w:rsid w:val="005A3204"/>
    <w:rsid w:val="005A3341"/>
    <w:rsid w:val="005A3C3D"/>
    <w:rsid w:val="005A46EC"/>
    <w:rsid w:val="005A5EAE"/>
    <w:rsid w:val="005A5EB8"/>
    <w:rsid w:val="005A6407"/>
    <w:rsid w:val="005A726C"/>
    <w:rsid w:val="005A7920"/>
    <w:rsid w:val="005A79CF"/>
    <w:rsid w:val="005A7DDF"/>
    <w:rsid w:val="005B05D8"/>
    <w:rsid w:val="005B07EC"/>
    <w:rsid w:val="005B21B0"/>
    <w:rsid w:val="005B2B11"/>
    <w:rsid w:val="005B32A4"/>
    <w:rsid w:val="005B3371"/>
    <w:rsid w:val="005B338D"/>
    <w:rsid w:val="005B33A1"/>
    <w:rsid w:val="005B3852"/>
    <w:rsid w:val="005B3BAF"/>
    <w:rsid w:val="005B43D5"/>
    <w:rsid w:val="005B4470"/>
    <w:rsid w:val="005B4DA3"/>
    <w:rsid w:val="005B5BEE"/>
    <w:rsid w:val="005B6AA9"/>
    <w:rsid w:val="005B77D2"/>
    <w:rsid w:val="005B7BDA"/>
    <w:rsid w:val="005C0195"/>
    <w:rsid w:val="005C019B"/>
    <w:rsid w:val="005C08D0"/>
    <w:rsid w:val="005C15A1"/>
    <w:rsid w:val="005C1A66"/>
    <w:rsid w:val="005C1AED"/>
    <w:rsid w:val="005C1FCB"/>
    <w:rsid w:val="005C2136"/>
    <w:rsid w:val="005C30F5"/>
    <w:rsid w:val="005C3571"/>
    <w:rsid w:val="005C3840"/>
    <w:rsid w:val="005C51A5"/>
    <w:rsid w:val="005C557A"/>
    <w:rsid w:val="005C566F"/>
    <w:rsid w:val="005C5B5C"/>
    <w:rsid w:val="005C5BF5"/>
    <w:rsid w:val="005C5C47"/>
    <w:rsid w:val="005C5D2D"/>
    <w:rsid w:val="005C61DD"/>
    <w:rsid w:val="005C6438"/>
    <w:rsid w:val="005C6B8B"/>
    <w:rsid w:val="005C727F"/>
    <w:rsid w:val="005C77D5"/>
    <w:rsid w:val="005D02E3"/>
    <w:rsid w:val="005D1F34"/>
    <w:rsid w:val="005D2C1F"/>
    <w:rsid w:val="005D34B2"/>
    <w:rsid w:val="005D3587"/>
    <w:rsid w:val="005D3B54"/>
    <w:rsid w:val="005D3E28"/>
    <w:rsid w:val="005D40CD"/>
    <w:rsid w:val="005D4C6F"/>
    <w:rsid w:val="005D6B59"/>
    <w:rsid w:val="005D71C3"/>
    <w:rsid w:val="005D74D2"/>
    <w:rsid w:val="005D784B"/>
    <w:rsid w:val="005D7B90"/>
    <w:rsid w:val="005E00AF"/>
    <w:rsid w:val="005E03E4"/>
    <w:rsid w:val="005E0454"/>
    <w:rsid w:val="005E05F6"/>
    <w:rsid w:val="005E19CF"/>
    <w:rsid w:val="005E1B9D"/>
    <w:rsid w:val="005E1BDA"/>
    <w:rsid w:val="005E1FE5"/>
    <w:rsid w:val="005E2442"/>
    <w:rsid w:val="005E2768"/>
    <w:rsid w:val="005E3111"/>
    <w:rsid w:val="005E3CA0"/>
    <w:rsid w:val="005E3D25"/>
    <w:rsid w:val="005E3F85"/>
    <w:rsid w:val="005E4A5F"/>
    <w:rsid w:val="005E4D86"/>
    <w:rsid w:val="005E516A"/>
    <w:rsid w:val="005E57B0"/>
    <w:rsid w:val="005E5A0F"/>
    <w:rsid w:val="005E5B01"/>
    <w:rsid w:val="005E648D"/>
    <w:rsid w:val="005E6D3B"/>
    <w:rsid w:val="005E7EDD"/>
    <w:rsid w:val="005F009E"/>
    <w:rsid w:val="005F06A3"/>
    <w:rsid w:val="005F0BF9"/>
    <w:rsid w:val="005F0DF1"/>
    <w:rsid w:val="005F1516"/>
    <w:rsid w:val="005F1A6F"/>
    <w:rsid w:val="005F229E"/>
    <w:rsid w:val="005F2564"/>
    <w:rsid w:val="005F3822"/>
    <w:rsid w:val="005F4635"/>
    <w:rsid w:val="005F4900"/>
    <w:rsid w:val="005F4E52"/>
    <w:rsid w:val="005F5466"/>
    <w:rsid w:val="005F6D58"/>
    <w:rsid w:val="005F7060"/>
    <w:rsid w:val="005F7383"/>
    <w:rsid w:val="0060058E"/>
    <w:rsid w:val="00601F58"/>
    <w:rsid w:val="00602A3C"/>
    <w:rsid w:val="00602A60"/>
    <w:rsid w:val="00603EFD"/>
    <w:rsid w:val="0060475B"/>
    <w:rsid w:val="00604BED"/>
    <w:rsid w:val="00604FB6"/>
    <w:rsid w:val="00605387"/>
    <w:rsid w:val="00606302"/>
    <w:rsid w:val="006076FD"/>
    <w:rsid w:val="006107B1"/>
    <w:rsid w:val="00610811"/>
    <w:rsid w:val="0061143F"/>
    <w:rsid w:val="006114D8"/>
    <w:rsid w:val="00611800"/>
    <w:rsid w:val="00613553"/>
    <w:rsid w:val="00613601"/>
    <w:rsid w:val="00613791"/>
    <w:rsid w:val="006143F9"/>
    <w:rsid w:val="00614CD4"/>
    <w:rsid w:val="006150D6"/>
    <w:rsid w:val="00615245"/>
    <w:rsid w:val="0061526D"/>
    <w:rsid w:val="0061590D"/>
    <w:rsid w:val="00615C84"/>
    <w:rsid w:val="00617EEE"/>
    <w:rsid w:val="00620A12"/>
    <w:rsid w:val="00620A1F"/>
    <w:rsid w:val="0062169D"/>
    <w:rsid w:val="00621737"/>
    <w:rsid w:val="0062181E"/>
    <w:rsid w:val="0062197C"/>
    <w:rsid w:val="0062211B"/>
    <w:rsid w:val="0062227E"/>
    <w:rsid w:val="00622BB7"/>
    <w:rsid w:val="00622C1E"/>
    <w:rsid w:val="00623389"/>
    <w:rsid w:val="00623DAA"/>
    <w:rsid w:val="00623FAF"/>
    <w:rsid w:val="00624B3E"/>
    <w:rsid w:val="0062578C"/>
    <w:rsid w:val="00625A24"/>
    <w:rsid w:val="006265C4"/>
    <w:rsid w:val="0062678A"/>
    <w:rsid w:val="00626AF1"/>
    <w:rsid w:val="00626FCA"/>
    <w:rsid w:val="006270AF"/>
    <w:rsid w:val="00632F83"/>
    <w:rsid w:val="00634367"/>
    <w:rsid w:val="00635E8A"/>
    <w:rsid w:val="006364D7"/>
    <w:rsid w:val="00636554"/>
    <w:rsid w:val="006365AE"/>
    <w:rsid w:val="006367E9"/>
    <w:rsid w:val="00636CE3"/>
    <w:rsid w:val="00640082"/>
    <w:rsid w:val="00640291"/>
    <w:rsid w:val="00640EFE"/>
    <w:rsid w:val="00641D6D"/>
    <w:rsid w:val="00641FAC"/>
    <w:rsid w:val="00643664"/>
    <w:rsid w:val="00643CAA"/>
    <w:rsid w:val="00644F16"/>
    <w:rsid w:val="006455EB"/>
    <w:rsid w:val="006456C2"/>
    <w:rsid w:val="00645A65"/>
    <w:rsid w:val="00646959"/>
    <w:rsid w:val="006477F0"/>
    <w:rsid w:val="006478E4"/>
    <w:rsid w:val="00647FD1"/>
    <w:rsid w:val="006509EA"/>
    <w:rsid w:val="0065171A"/>
    <w:rsid w:val="00652680"/>
    <w:rsid w:val="00653CDE"/>
    <w:rsid w:val="00653EDB"/>
    <w:rsid w:val="00654585"/>
    <w:rsid w:val="006548E4"/>
    <w:rsid w:val="00654AC8"/>
    <w:rsid w:val="0065566E"/>
    <w:rsid w:val="00655999"/>
    <w:rsid w:val="00655AB6"/>
    <w:rsid w:val="00655E2B"/>
    <w:rsid w:val="00655EFA"/>
    <w:rsid w:val="00656061"/>
    <w:rsid w:val="00656281"/>
    <w:rsid w:val="0065636A"/>
    <w:rsid w:val="00657003"/>
    <w:rsid w:val="00657CE2"/>
    <w:rsid w:val="00660238"/>
    <w:rsid w:val="006602EF"/>
    <w:rsid w:val="00661277"/>
    <w:rsid w:val="006619E0"/>
    <w:rsid w:val="00663FEA"/>
    <w:rsid w:val="00664803"/>
    <w:rsid w:val="00664934"/>
    <w:rsid w:val="00664D53"/>
    <w:rsid w:val="00664EB7"/>
    <w:rsid w:val="006657C5"/>
    <w:rsid w:val="00665D75"/>
    <w:rsid w:val="00666186"/>
    <w:rsid w:val="006661A4"/>
    <w:rsid w:val="00666AC0"/>
    <w:rsid w:val="006670E0"/>
    <w:rsid w:val="006671B8"/>
    <w:rsid w:val="00667275"/>
    <w:rsid w:val="00667532"/>
    <w:rsid w:val="0066783E"/>
    <w:rsid w:val="00667E53"/>
    <w:rsid w:val="006711C4"/>
    <w:rsid w:val="006713AB"/>
    <w:rsid w:val="00672680"/>
    <w:rsid w:val="006727A8"/>
    <w:rsid w:val="00672CA5"/>
    <w:rsid w:val="006735A2"/>
    <w:rsid w:val="00673711"/>
    <w:rsid w:val="00673CDA"/>
    <w:rsid w:val="00673F82"/>
    <w:rsid w:val="00674F74"/>
    <w:rsid w:val="0067508F"/>
    <w:rsid w:val="00676B25"/>
    <w:rsid w:val="00677576"/>
    <w:rsid w:val="0068051E"/>
    <w:rsid w:val="00680B9D"/>
    <w:rsid w:val="00680DF1"/>
    <w:rsid w:val="00681F13"/>
    <w:rsid w:val="0068231C"/>
    <w:rsid w:val="00682344"/>
    <w:rsid w:val="00682772"/>
    <w:rsid w:val="00682C87"/>
    <w:rsid w:val="00682F28"/>
    <w:rsid w:val="00683515"/>
    <w:rsid w:val="00683CA4"/>
    <w:rsid w:val="00684842"/>
    <w:rsid w:val="006856CA"/>
    <w:rsid w:val="006859AA"/>
    <w:rsid w:val="00685BD6"/>
    <w:rsid w:val="00686A20"/>
    <w:rsid w:val="00687116"/>
    <w:rsid w:val="006872D2"/>
    <w:rsid w:val="006878A6"/>
    <w:rsid w:val="00687D5F"/>
    <w:rsid w:val="00687F2E"/>
    <w:rsid w:val="00690437"/>
    <w:rsid w:val="00690623"/>
    <w:rsid w:val="00690DC3"/>
    <w:rsid w:val="00690E65"/>
    <w:rsid w:val="006911B7"/>
    <w:rsid w:val="00691387"/>
    <w:rsid w:val="006915C2"/>
    <w:rsid w:val="0069188E"/>
    <w:rsid w:val="00691974"/>
    <w:rsid w:val="00692584"/>
    <w:rsid w:val="00692BF6"/>
    <w:rsid w:val="00692CE6"/>
    <w:rsid w:val="00693186"/>
    <w:rsid w:val="00693381"/>
    <w:rsid w:val="00693B6C"/>
    <w:rsid w:val="006942AE"/>
    <w:rsid w:val="0069464B"/>
    <w:rsid w:val="006947A1"/>
    <w:rsid w:val="00695421"/>
    <w:rsid w:val="00696A9C"/>
    <w:rsid w:val="00697BD3"/>
    <w:rsid w:val="00697DFA"/>
    <w:rsid w:val="006A16D5"/>
    <w:rsid w:val="006A1772"/>
    <w:rsid w:val="006A1780"/>
    <w:rsid w:val="006A21DD"/>
    <w:rsid w:val="006A26C6"/>
    <w:rsid w:val="006A3302"/>
    <w:rsid w:val="006A34AF"/>
    <w:rsid w:val="006A38DA"/>
    <w:rsid w:val="006A3B28"/>
    <w:rsid w:val="006A47DC"/>
    <w:rsid w:val="006A4A4B"/>
    <w:rsid w:val="006A4FEE"/>
    <w:rsid w:val="006A5522"/>
    <w:rsid w:val="006A5549"/>
    <w:rsid w:val="006A6574"/>
    <w:rsid w:val="006A703E"/>
    <w:rsid w:val="006A7BE3"/>
    <w:rsid w:val="006A7D32"/>
    <w:rsid w:val="006A7E1A"/>
    <w:rsid w:val="006B01D1"/>
    <w:rsid w:val="006B0DF4"/>
    <w:rsid w:val="006B16EA"/>
    <w:rsid w:val="006B1780"/>
    <w:rsid w:val="006B1B60"/>
    <w:rsid w:val="006B21DC"/>
    <w:rsid w:val="006B224E"/>
    <w:rsid w:val="006B25FA"/>
    <w:rsid w:val="006B376E"/>
    <w:rsid w:val="006B4589"/>
    <w:rsid w:val="006B5157"/>
    <w:rsid w:val="006B610E"/>
    <w:rsid w:val="006B6805"/>
    <w:rsid w:val="006B6C07"/>
    <w:rsid w:val="006B6DE0"/>
    <w:rsid w:val="006B723D"/>
    <w:rsid w:val="006C1337"/>
    <w:rsid w:val="006C16C3"/>
    <w:rsid w:val="006C1FA6"/>
    <w:rsid w:val="006C2187"/>
    <w:rsid w:val="006C27D9"/>
    <w:rsid w:val="006C32F4"/>
    <w:rsid w:val="006C3C54"/>
    <w:rsid w:val="006C3CA5"/>
    <w:rsid w:val="006C3CAA"/>
    <w:rsid w:val="006C4B6B"/>
    <w:rsid w:val="006C4CE1"/>
    <w:rsid w:val="006C4F9F"/>
    <w:rsid w:val="006C54B1"/>
    <w:rsid w:val="006C6AE0"/>
    <w:rsid w:val="006C71A2"/>
    <w:rsid w:val="006C73EC"/>
    <w:rsid w:val="006D0997"/>
    <w:rsid w:val="006D0C1D"/>
    <w:rsid w:val="006D1BB1"/>
    <w:rsid w:val="006D28F3"/>
    <w:rsid w:val="006D2E9D"/>
    <w:rsid w:val="006D3B48"/>
    <w:rsid w:val="006D4305"/>
    <w:rsid w:val="006D4A4E"/>
    <w:rsid w:val="006D4C42"/>
    <w:rsid w:val="006D5067"/>
    <w:rsid w:val="006D5389"/>
    <w:rsid w:val="006D53A2"/>
    <w:rsid w:val="006D5809"/>
    <w:rsid w:val="006D607E"/>
    <w:rsid w:val="006D6E12"/>
    <w:rsid w:val="006D70CB"/>
    <w:rsid w:val="006D715C"/>
    <w:rsid w:val="006D7363"/>
    <w:rsid w:val="006D774E"/>
    <w:rsid w:val="006D7F08"/>
    <w:rsid w:val="006E0754"/>
    <w:rsid w:val="006E1481"/>
    <w:rsid w:val="006E2668"/>
    <w:rsid w:val="006E2B0A"/>
    <w:rsid w:val="006E2C88"/>
    <w:rsid w:val="006E2D39"/>
    <w:rsid w:val="006E2FE9"/>
    <w:rsid w:val="006E32B0"/>
    <w:rsid w:val="006E348E"/>
    <w:rsid w:val="006E396A"/>
    <w:rsid w:val="006E3D63"/>
    <w:rsid w:val="006E58BF"/>
    <w:rsid w:val="006E5CE6"/>
    <w:rsid w:val="006E5DD8"/>
    <w:rsid w:val="006E5EA1"/>
    <w:rsid w:val="006E6BE5"/>
    <w:rsid w:val="006E6DEE"/>
    <w:rsid w:val="006E6F44"/>
    <w:rsid w:val="006E7D4B"/>
    <w:rsid w:val="006F018A"/>
    <w:rsid w:val="006F0760"/>
    <w:rsid w:val="006F0D30"/>
    <w:rsid w:val="006F11E2"/>
    <w:rsid w:val="006F1A50"/>
    <w:rsid w:val="006F1A67"/>
    <w:rsid w:val="006F2574"/>
    <w:rsid w:val="006F3126"/>
    <w:rsid w:val="006F3231"/>
    <w:rsid w:val="006F3BEF"/>
    <w:rsid w:val="006F3DE3"/>
    <w:rsid w:val="006F4787"/>
    <w:rsid w:val="006F57E6"/>
    <w:rsid w:val="006F61D8"/>
    <w:rsid w:val="006F62B7"/>
    <w:rsid w:val="006F63E7"/>
    <w:rsid w:val="006F70BC"/>
    <w:rsid w:val="006F726C"/>
    <w:rsid w:val="006F7A22"/>
    <w:rsid w:val="006F7E7C"/>
    <w:rsid w:val="00700FF4"/>
    <w:rsid w:val="0070174E"/>
    <w:rsid w:val="007018DB"/>
    <w:rsid w:val="00701DE6"/>
    <w:rsid w:val="00702740"/>
    <w:rsid w:val="007028E3"/>
    <w:rsid w:val="00703407"/>
    <w:rsid w:val="0070381B"/>
    <w:rsid w:val="00706759"/>
    <w:rsid w:val="0070796C"/>
    <w:rsid w:val="007109BB"/>
    <w:rsid w:val="00710EBF"/>
    <w:rsid w:val="007110B8"/>
    <w:rsid w:val="0071209F"/>
    <w:rsid w:val="007123F0"/>
    <w:rsid w:val="007125A2"/>
    <w:rsid w:val="00712A68"/>
    <w:rsid w:val="00713DD9"/>
    <w:rsid w:val="00713F79"/>
    <w:rsid w:val="007148A8"/>
    <w:rsid w:val="00714A29"/>
    <w:rsid w:val="00715C70"/>
    <w:rsid w:val="00715E44"/>
    <w:rsid w:val="007164B0"/>
    <w:rsid w:val="00716AC8"/>
    <w:rsid w:val="00716E54"/>
    <w:rsid w:val="00717280"/>
    <w:rsid w:val="0072033C"/>
    <w:rsid w:val="00720B1B"/>
    <w:rsid w:val="00721062"/>
    <w:rsid w:val="00721D3D"/>
    <w:rsid w:val="00721E5D"/>
    <w:rsid w:val="007229D4"/>
    <w:rsid w:val="00722E35"/>
    <w:rsid w:val="007230F8"/>
    <w:rsid w:val="007233F4"/>
    <w:rsid w:val="007235E3"/>
    <w:rsid w:val="0072381D"/>
    <w:rsid w:val="00723A10"/>
    <w:rsid w:val="00724044"/>
    <w:rsid w:val="00724120"/>
    <w:rsid w:val="007243F2"/>
    <w:rsid w:val="007248D3"/>
    <w:rsid w:val="00724DF8"/>
    <w:rsid w:val="00725137"/>
    <w:rsid w:val="00725378"/>
    <w:rsid w:val="00725C31"/>
    <w:rsid w:val="00727408"/>
    <w:rsid w:val="00727795"/>
    <w:rsid w:val="00727A43"/>
    <w:rsid w:val="00727DBF"/>
    <w:rsid w:val="00727FF2"/>
    <w:rsid w:val="00727FFD"/>
    <w:rsid w:val="00730550"/>
    <w:rsid w:val="00730C2A"/>
    <w:rsid w:val="00730DF1"/>
    <w:rsid w:val="00731125"/>
    <w:rsid w:val="00731434"/>
    <w:rsid w:val="00731E59"/>
    <w:rsid w:val="007323E0"/>
    <w:rsid w:val="00732911"/>
    <w:rsid w:val="00733721"/>
    <w:rsid w:val="00733DE2"/>
    <w:rsid w:val="00734142"/>
    <w:rsid w:val="00734358"/>
    <w:rsid w:val="007352EA"/>
    <w:rsid w:val="00735DC1"/>
    <w:rsid w:val="007362CC"/>
    <w:rsid w:val="0073792F"/>
    <w:rsid w:val="00740C81"/>
    <w:rsid w:val="00740DA6"/>
    <w:rsid w:val="0074197B"/>
    <w:rsid w:val="00741B4B"/>
    <w:rsid w:val="00741D1E"/>
    <w:rsid w:val="00741DD6"/>
    <w:rsid w:val="00741EE2"/>
    <w:rsid w:val="0074207F"/>
    <w:rsid w:val="00742118"/>
    <w:rsid w:val="00742367"/>
    <w:rsid w:val="00742EAA"/>
    <w:rsid w:val="00742F80"/>
    <w:rsid w:val="00743360"/>
    <w:rsid w:val="00743818"/>
    <w:rsid w:val="00743857"/>
    <w:rsid w:val="0074411D"/>
    <w:rsid w:val="00744187"/>
    <w:rsid w:val="007441FB"/>
    <w:rsid w:val="007444D7"/>
    <w:rsid w:val="00744517"/>
    <w:rsid w:val="0074522A"/>
    <w:rsid w:val="00745D90"/>
    <w:rsid w:val="007465D3"/>
    <w:rsid w:val="00746AED"/>
    <w:rsid w:val="00747295"/>
    <w:rsid w:val="00747346"/>
    <w:rsid w:val="00747829"/>
    <w:rsid w:val="0074789C"/>
    <w:rsid w:val="00747DE2"/>
    <w:rsid w:val="00747E6D"/>
    <w:rsid w:val="007502D0"/>
    <w:rsid w:val="007504BF"/>
    <w:rsid w:val="007506CD"/>
    <w:rsid w:val="0075267F"/>
    <w:rsid w:val="007526EC"/>
    <w:rsid w:val="00753B8A"/>
    <w:rsid w:val="00753C48"/>
    <w:rsid w:val="00754250"/>
    <w:rsid w:val="00754FE4"/>
    <w:rsid w:val="00755216"/>
    <w:rsid w:val="00756236"/>
    <w:rsid w:val="00756271"/>
    <w:rsid w:val="00756348"/>
    <w:rsid w:val="00756521"/>
    <w:rsid w:val="00756AB7"/>
    <w:rsid w:val="00757975"/>
    <w:rsid w:val="00760B3A"/>
    <w:rsid w:val="0076106D"/>
    <w:rsid w:val="007623FB"/>
    <w:rsid w:val="00762517"/>
    <w:rsid w:val="00763240"/>
    <w:rsid w:val="0076376A"/>
    <w:rsid w:val="007643A1"/>
    <w:rsid w:val="007646FA"/>
    <w:rsid w:val="007648AD"/>
    <w:rsid w:val="0076504E"/>
    <w:rsid w:val="0076721D"/>
    <w:rsid w:val="0076767E"/>
    <w:rsid w:val="00767BFD"/>
    <w:rsid w:val="00767EA0"/>
    <w:rsid w:val="0077068F"/>
    <w:rsid w:val="00771EDF"/>
    <w:rsid w:val="00772530"/>
    <w:rsid w:val="00772A90"/>
    <w:rsid w:val="00772F8D"/>
    <w:rsid w:val="0077301A"/>
    <w:rsid w:val="0077408D"/>
    <w:rsid w:val="00774270"/>
    <w:rsid w:val="007743F6"/>
    <w:rsid w:val="00775679"/>
    <w:rsid w:val="0077574F"/>
    <w:rsid w:val="00775823"/>
    <w:rsid w:val="00776206"/>
    <w:rsid w:val="00777153"/>
    <w:rsid w:val="007777CC"/>
    <w:rsid w:val="00777B32"/>
    <w:rsid w:val="0078051E"/>
    <w:rsid w:val="00780A3E"/>
    <w:rsid w:val="00781089"/>
    <w:rsid w:val="00781CB6"/>
    <w:rsid w:val="00782811"/>
    <w:rsid w:val="007838F3"/>
    <w:rsid w:val="0078419B"/>
    <w:rsid w:val="00785612"/>
    <w:rsid w:val="007856FE"/>
    <w:rsid w:val="00785F46"/>
    <w:rsid w:val="007865F4"/>
    <w:rsid w:val="00786D5C"/>
    <w:rsid w:val="00786E96"/>
    <w:rsid w:val="00787BB6"/>
    <w:rsid w:val="00787DFF"/>
    <w:rsid w:val="00787F93"/>
    <w:rsid w:val="00791E6D"/>
    <w:rsid w:val="00791EB5"/>
    <w:rsid w:val="00792377"/>
    <w:rsid w:val="0079343F"/>
    <w:rsid w:val="00793696"/>
    <w:rsid w:val="00793F13"/>
    <w:rsid w:val="007955DA"/>
    <w:rsid w:val="007957E7"/>
    <w:rsid w:val="00796C05"/>
    <w:rsid w:val="00796F65"/>
    <w:rsid w:val="007A11C2"/>
    <w:rsid w:val="007A1781"/>
    <w:rsid w:val="007A18BB"/>
    <w:rsid w:val="007A2489"/>
    <w:rsid w:val="007A27DD"/>
    <w:rsid w:val="007A41BF"/>
    <w:rsid w:val="007A490A"/>
    <w:rsid w:val="007A5820"/>
    <w:rsid w:val="007A7289"/>
    <w:rsid w:val="007A7B95"/>
    <w:rsid w:val="007B0297"/>
    <w:rsid w:val="007B02FA"/>
    <w:rsid w:val="007B0F53"/>
    <w:rsid w:val="007B110A"/>
    <w:rsid w:val="007B1A4D"/>
    <w:rsid w:val="007B2027"/>
    <w:rsid w:val="007B21AE"/>
    <w:rsid w:val="007B2570"/>
    <w:rsid w:val="007B3113"/>
    <w:rsid w:val="007B3304"/>
    <w:rsid w:val="007B3BF0"/>
    <w:rsid w:val="007B6927"/>
    <w:rsid w:val="007B6B18"/>
    <w:rsid w:val="007B7490"/>
    <w:rsid w:val="007B7C61"/>
    <w:rsid w:val="007C00B9"/>
    <w:rsid w:val="007C0525"/>
    <w:rsid w:val="007C06DB"/>
    <w:rsid w:val="007C13F7"/>
    <w:rsid w:val="007C1D77"/>
    <w:rsid w:val="007C218D"/>
    <w:rsid w:val="007C2590"/>
    <w:rsid w:val="007C2D28"/>
    <w:rsid w:val="007C3E22"/>
    <w:rsid w:val="007C58C1"/>
    <w:rsid w:val="007C5B39"/>
    <w:rsid w:val="007C6218"/>
    <w:rsid w:val="007C6484"/>
    <w:rsid w:val="007C67C6"/>
    <w:rsid w:val="007C78BE"/>
    <w:rsid w:val="007C79A5"/>
    <w:rsid w:val="007C7A5D"/>
    <w:rsid w:val="007C7E59"/>
    <w:rsid w:val="007D0476"/>
    <w:rsid w:val="007D0B91"/>
    <w:rsid w:val="007D0FE7"/>
    <w:rsid w:val="007D1197"/>
    <w:rsid w:val="007D1452"/>
    <w:rsid w:val="007D1563"/>
    <w:rsid w:val="007D26DC"/>
    <w:rsid w:val="007D3DCB"/>
    <w:rsid w:val="007D4601"/>
    <w:rsid w:val="007D460C"/>
    <w:rsid w:val="007D4996"/>
    <w:rsid w:val="007D4AD3"/>
    <w:rsid w:val="007D4E63"/>
    <w:rsid w:val="007D5C58"/>
    <w:rsid w:val="007D5D19"/>
    <w:rsid w:val="007D5FDC"/>
    <w:rsid w:val="007D6176"/>
    <w:rsid w:val="007D641C"/>
    <w:rsid w:val="007D69CD"/>
    <w:rsid w:val="007D6D68"/>
    <w:rsid w:val="007D7A0D"/>
    <w:rsid w:val="007E066C"/>
    <w:rsid w:val="007E14DB"/>
    <w:rsid w:val="007E194F"/>
    <w:rsid w:val="007E201B"/>
    <w:rsid w:val="007E250B"/>
    <w:rsid w:val="007E2EE9"/>
    <w:rsid w:val="007E32A3"/>
    <w:rsid w:val="007E32DA"/>
    <w:rsid w:val="007E4998"/>
    <w:rsid w:val="007E4A9C"/>
    <w:rsid w:val="007E5248"/>
    <w:rsid w:val="007E5C4F"/>
    <w:rsid w:val="007E6914"/>
    <w:rsid w:val="007E7F78"/>
    <w:rsid w:val="007F0179"/>
    <w:rsid w:val="007F0FF8"/>
    <w:rsid w:val="007F148A"/>
    <w:rsid w:val="007F2640"/>
    <w:rsid w:val="007F2C13"/>
    <w:rsid w:val="007F2CEC"/>
    <w:rsid w:val="007F2ED1"/>
    <w:rsid w:val="007F3435"/>
    <w:rsid w:val="007F505D"/>
    <w:rsid w:val="007F531B"/>
    <w:rsid w:val="007F54CF"/>
    <w:rsid w:val="007F55DE"/>
    <w:rsid w:val="007F5BAC"/>
    <w:rsid w:val="007F6153"/>
    <w:rsid w:val="007F718F"/>
    <w:rsid w:val="007F762D"/>
    <w:rsid w:val="007F78F0"/>
    <w:rsid w:val="007F78FF"/>
    <w:rsid w:val="008001C5"/>
    <w:rsid w:val="00800F6C"/>
    <w:rsid w:val="00801065"/>
    <w:rsid w:val="00802C0B"/>
    <w:rsid w:val="00804206"/>
    <w:rsid w:val="00805040"/>
    <w:rsid w:val="008051FC"/>
    <w:rsid w:val="008055A9"/>
    <w:rsid w:val="008056C4"/>
    <w:rsid w:val="008057FD"/>
    <w:rsid w:val="00805D8B"/>
    <w:rsid w:val="00806C33"/>
    <w:rsid w:val="0081010F"/>
    <w:rsid w:val="00810BB6"/>
    <w:rsid w:val="00810E8E"/>
    <w:rsid w:val="00812C44"/>
    <w:rsid w:val="008135E1"/>
    <w:rsid w:val="00813779"/>
    <w:rsid w:val="00813792"/>
    <w:rsid w:val="00813AA2"/>
    <w:rsid w:val="00813E26"/>
    <w:rsid w:val="00814321"/>
    <w:rsid w:val="0081481D"/>
    <w:rsid w:val="00814BE8"/>
    <w:rsid w:val="00814D94"/>
    <w:rsid w:val="00814F6E"/>
    <w:rsid w:val="00815B84"/>
    <w:rsid w:val="00816342"/>
    <w:rsid w:val="008166F6"/>
    <w:rsid w:val="00816BE9"/>
    <w:rsid w:val="00817D10"/>
    <w:rsid w:val="00821191"/>
    <w:rsid w:val="00822518"/>
    <w:rsid w:val="008226F5"/>
    <w:rsid w:val="00823FC6"/>
    <w:rsid w:val="00824306"/>
    <w:rsid w:val="00824B1F"/>
    <w:rsid w:val="00825C74"/>
    <w:rsid w:val="00825CFA"/>
    <w:rsid w:val="00825F10"/>
    <w:rsid w:val="00826AB9"/>
    <w:rsid w:val="00826E0E"/>
    <w:rsid w:val="00827D11"/>
    <w:rsid w:val="00827E0F"/>
    <w:rsid w:val="00827F6E"/>
    <w:rsid w:val="0083077E"/>
    <w:rsid w:val="00830E66"/>
    <w:rsid w:val="00831758"/>
    <w:rsid w:val="008317D9"/>
    <w:rsid w:val="00831AEC"/>
    <w:rsid w:val="0083279F"/>
    <w:rsid w:val="00832CE9"/>
    <w:rsid w:val="008334DB"/>
    <w:rsid w:val="00833B7F"/>
    <w:rsid w:val="00833B82"/>
    <w:rsid w:val="00833E8E"/>
    <w:rsid w:val="00834906"/>
    <w:rsid w:val="00836075"/>
    <w:rsid w:val="00836417"/>
    <w:rsid w:val="0083698A"/>
    <w:rsid w:val="00836BC6"/>
    <w:rsid w:val="00836D47"/>
    <w:rsid w:val="00837526"/>
    <w:rsid w:val="008407A7"/>
    <w:rsid w:val="00842275"/>
    <w:rsid w:val="0084322B"/>
    <w:rsid w:val="008433A0"/>
    <w:rsid w:val="00843F81"/>
    <w:rsid w:val="00844087"/>
    <w:rsid w:val="008448F1"/>
    <w:rsid w:val="0084519E"/>
    <w:rsid w:val="00845CAE"/>
    <w:rsid w:val="008462C5"/>
    <w:rsid w:val="008462FA"/>
    <w:rsid w:val="00846370"/>
    <w:rsid w:val="00846873"/>
    <w:rsid w:val="00846D33"/>
    <w:rsid w:val="00847366"/>
    <w:rsid w:val="00847544"/>
    <w:rsid w:val="008477E7"/>
    <w:rsid w:val="00847C2B"/>
    <w:rsid w:val="00847DBB"/>
    <w:rsid w:val="00850272"/>
    <w:rsid w:val="008506B9"/>
    <w:rsid w:val="0085086F"/>
    <w:rsid w:val="00850B42"/>
    <w:rsid w:val="00851822"/>
    <w:rsid w:val="00851C16"/>
    <w:rsid w:val="008532BF"/>
    <w:rsid w:val="008539B2"/>
    <w:rsid w:val="00853BF4"/>
    <w:rsid w:val="00854294"/>
    <w:rsid w:val="00854295"/>
    <w:rsid w:val="008545CE"/>
    <w:rsid w:val="0085572E"/>
    <w:rsid w:val="00857295"/>
    <w:rsid w:val="0085788B"/>
    <w:rsid w:val="00857A9E"/>
    <w:rsid w:val="00857D1F"/>
    <w:rsid w:val="00857DE2"/>
    <w:rsid w:val="0086003D"/>
    <w:rsid w:val="00860F07"/>
    <w:rsid w:val="00860F11"/>
    <w:rsid w:val="00861D63"/>
    <w:rsid w:val="0086358C"/>
    <w:rsid w:val="0086359A"/>
    <w:rsid w:val="00863A8E"/>
    <w:rsid w:val="0086407F"/>
    <w:rsid w:val="008644DD"/>
    <w:rsid w:val="008645E3"/>
    <w:rsid w:val="0086486A"/>
    <w:rsid w:val="00864E79"/>
    <w:rsid w:val="00864EC0"/>
    <w:rsid w:val="0086572B"/>
    <w:rsid w:val="00866615"/>
    <w:rsid w:val="0086661F"/>
    <w:rsid w:val="00866A0D"/>
    <w:rsid w:val="00866DB5"/>
    <w:rsid w:val="0086701D"/>
    <w:rsid w:val="0086702B"/>
    <w:rsid w:val="008672E2"/>
    <w:rsid w:val="0086784E"/>
    <w:rsid w:val="008678E3"/>
    <w:rsid w:val="0087110C"/>
    <w:rsid w:val="0087121C"/>
    <w:rsid w:val="00871FD2"/>
    <w:rsid w:val="00872084"/>
    <w:rsid w:val="00872827"/>
    <w:rsid w:val="00872A32"/>
    <w:rsid w:val="00873653"/>
    <w:rsid w:val="00874911"/>
    <w:rsid w:val="008754E4"/>
    <w:rsid w:val="00875ECC"/>
    <w:rsid w:val="00876EAE"/>
    <w:rsid w:val="00877305"/>
    <w:rsid w:val="00877983"/>
    <w:rsid w:val="00880106"/>
    <w:rsid w:val="00880F95"/>
    <w:rsid w:val="00881EC0"/>
    <w:rsid w:val="00881EE2"/>
    <w:rsid w:val="00882910"/>
    <w:rsid w:val="00882B44"/>
    <w:rsid w:val="008838AD"/>
    <w:rsid w:val="00885381"/>
    <w:rsid w:val="0088572B"/>
    <w:rsid w:val="00885BC9"/>
    <w:rsid w:val="008864B3"/>
    <w:rsid w:val="008865E5"/>
    <w:rsid w:val="0088682F"/>
    <w:rsid w:val="00886900"/>
    <w:rsid w:val="008871B0"/>
    <w:rsid w:val="008905A6"/>
    <w:rsid w:val="00890B57"/>
    <w:rsid w:val="008916BA"/>
    <w:rsid w:val="0089217C"/>
    <w:rsid w:val="00892476"/>
    <w:rsid w:val="00892790"/>
    <w:rsid w:val="00893671"/>
    <w:rsid w:val="0089445B"/>
    <w:rsid w:val="00894979"/>
    <w:rsid w:val="00895838"/>
    <w:rsid w:val="00895A1E"/>
    <w:rsid w:val="00895A72"/>
    <w:rsid w:val="00895CDF"/>
    <w:rsid w:val="00895EE3"/>
    <w:rsid w:val="00896046"/>
    <w:rsid w:val="00896679"/>
    <w:rsid w:val="00896D8C"/>
    <w:rsid w:val="00897184"/>
    <w:rsid w:val="008A0717"/>
    <w:rsid w:val="008A0FAC"/>
    <w:rsid w:val="008A0FC9"/>
    <w:rsid w:val="008A14C8"/>
    <w:rsid w:val="008A1956"/>
    <w:rsid w:val="008A1A7C"/>
    <w:rsid w:val="008A2CE2"/>
    <w:rsid w:val="008A40D3"/>
    <w:rsid w:val="008A413F"/>
    <w:rsid w:val="008A451F"/>
    <w:rsid w:val="008A469C"/>
    <w:rsid w:val="008A50FB"/>
    <w:rsid w:val="008A51D1"/>
    <w:rsid w:val="008A5C90"/>
    <w:rsid w:val="008A5DCE"/>
    <w:rsid w:val="008A75D3"/>
    <w:rsid w:val="008A7F09"/>
    <w:rsid w:val="008B05DD"/>
    <w:rsid w:val="008B07B8"/>
    <w:rsid w:val="008B17E8"/>
    <w:rsid w:val="008B2C45"/>
    <w:rsid w:val="008B2E7C"/>
    <w:rsid w:val="008B399A"/>
    <w:rsid w:val="008B45F0"/>
    <w:rsid w:val="008B4A70"/>
    <w:rsid w:val="008B4AF0"/>
    <w:rsid w:val="008B502F"/>
    <w:rsid w:val="008B54FD"/>
    <w:rsid w:val="008B5692"/>
    <w:rsid w:val="008B5F31"/>
    <w:rsid w:val="008B6CE5"/>
    <w:rsid w:val="008B6DFC"/>
    <w:rsid w:val="008B7227"/>
    <w:rsid w:val="008C02FB"/>
    <w:rsid w:val="008C04E0"/>
    <w:rsid w:val="008C191C"/>
    <w:rsid w:val="008C1DA4"/>
    <w:rsid w:val="008C2138"/>
    <w:rsid w:val="008C2608"/>
    <w:rsid w:val="008C29B0"/>
    <w:rsid w:val="008C2CD5"/>
    <w:rsid w:val="008C33AE"/>
    <w:rsid w:val="008C3618"/>
    <w:rsid w:val="008C39E7"/>
    <w:rsid w:val="008C43AD"/>
    <w:rsid w:val="008C49A3"/>
    <w:rsid w:val="008C6118"/>
    <w:rsid w:val="008C6341"/>
    <w:rsid w:val="008C653D"/>
    <w:rsid w:val="008C731F"/>
    <w:rsid w:val="008C74D9"/>
    <w:rsid w:val="008D2050"/>
    <w:rsid w:val="008D2D79"/>
    <w:rsid w:val="008D35CA"/>
    <w:rsid w:val="008D3B2D"/>
    <w:rsid w:val="008D58D9"/>
    <w:rsid w:val="008D5AD4"/>
    <w:rsid w:val="008D5E4E"/>
    <w:rsid w:val="008D5E9D"/>
    <w:rsid w:val="008D5F65"/>
    <w:rsid w:val="008D695E"/>
    <w:rsid w:val="008D6DD5"/>
    <w:rsid w:val="008D6E59"/>
    <w:rsid w:val="008D7155"/>
    <w:rsid w:val="008D76E0"/>
    <w:rsid w:val="008E079C"/>
    <w:rsid w:val="008E0B29"/>
    <w:rsid w:val="008E141A"/>
    <w:rsid w:val="008E1A44"/>
    <w:rsid w:val="008E2859"/>
    <w:rsid w:val="008E28E6"/>
    <w:rsid w:val="008E2C57"/>
    <w:rsid w:val="008E3232"/>
    <w:rsid w:val="008E3674"/>
    <w:rsid w:val="008E3B6C"/>
    <w:rsid w:val="008E3DE7"/>
    <w:rsid w:val="008E5227"/>
    <w:rsid w:val="008E562C"/>
    <w:rsid w:val="008E57C8"/>
    <w:rsid w:val="008E5FB9"/>
    <w:rsid w:val="008E6540"/>
    <w:rsid w:val="008E6A1C"/>
    <w:rsid w:val="008E6FBE"/>
    <w:rsid w:val="008E77D4"/>
    <w:rsid w:val="008E7ADD"/>
    <w:rsid w:val="008F091F"/>
    <w:rsid w:val="008F1548"/>
    <w:rsid w:val="008F17B2"/>
    <w:rsid w:val="008F22B3"/>
    <w:rsid w:val="008F357B"/>
    <w:rsid w:val="008F366E"/>
    <w:rsid w:val="008F3B56"/>
    <w:rsid w:val="008F44CA"/>
    <w:rsid w:val="008F49D3"/>
    <w:rsid w:val="008F5B69"/>
    <w:rsid w:val="008F6519"/>
    <w:rsid w:val="008F6F4C"/>
    <w:rsid w:val="008F7012"/>
    <w:rsid w:val="008F7ADA"/>
    <w:rsid w:val="008F7B17"/>
    <w:rsid w:val="00900042"/>
    <w:rsid w:val="0090034B"/>
    <w:rsid w:val="0090087C"/>
    <w:rsid w:val="00900D2F"/>
    <w:rsid w:val="00901121"/>
    <w:rsid w:val="00901B50"/>
    <w:rsid w:val="00902623"/>
    <w:rsid w:val="00902A67"/>
    <w:rsid w:val="00902C5E"/>
    <w:rsid w:val="0090303D"/>
    <w:rsid w:val="00904BE4"/>
    <w:rsid w:val="0090504A"/>
    <w:rsid w:val="009051F5"/>
    <w:rsid w:val="00905221"/>
    <w:rsid w:val="0090530B"/>
    <w:rsid w:val="00905664"/>
    <w:rsid w:val="00905A7C"/>
    <w:rsid w:val="00905D7E"/>
    <w:rsid w:val="00907037"/>
    <w:rsid w:val="00907259"/>
    <w:rsid w:val="00907929"/>
    <w:rsid w:val="00910577"/>
    <w:rsid w:val="00910C5D"/>
    <w:rsid w:val="0091112C"/>
    <w:rsid w:val="009113F2"/>
    <w:rsid w:val="0091160A"/>
    <w:rsid w:val="00911945"/>
    <w:rsid w:val="009128A9"/>
    <w:rsid w:val="00912A06"/>
    <w:rsid w:val="00912E04"/>
    <w:rsid w:val="00913258"/>
    <w:rsid w:val="00913851"/>
    <w:rsid w:val="00913BB0"/>
    <w:rsid w:val="0091456C"/>
    <w:rsid w:val="00914C58"/>
    <w:rsid w:val="00914D78"/>
    <w:rsid w:val="009151FC"/>
    <w:rsid w:val="009153D3"/>
    <w:rsid w:val="0091564D"/>
    <w:rsid w:val="009156DA"/>
    <w:rsid w:val="00915774"/>
    <w:rsid w:val="00916BC5"/>
    <w:rsid w:val="0091726A"/>
    <w:rsid w:val="00917C01"/>
    <w:rsid w:val="00920184"/>
    <w:rsid w:val="00920421"/>
    <w:rsid w:val="00920EA4"/>
    <w:rsid w:val="00921792"/>
    <w:rsid w:val="00921BEA"/>
    <w:rsid w:val="009227BE"/>
    <w:rsid w:val="009238FD"/>
    <w:rsid w:val="00923998"/>
    <w:rsid w:val="00923DB4"/>
    <w:rsid w:val="0092420B"/>
    <w:rsid w:val="0092430E"/>
    <w:rsid w:val="00924451"/>
    <w:rsid w:val="00926112"/>
    <w:rsid w:val="0092625F"/>
    <w:rsid w:val="00926B28"/>
    <w:rsid w:val="00926D9C"/>
    <w:rsid w:val="00927028"/>
    <w:rsid w:val="0092734A"/>
    <w:rsid w:val="00927763"/>
    <w:rsid w:val="00927A2D"/>
    <w:rsid w:val="00927B37"/>
    <w:rsid w:val="009314B1"/>
    <w:rsid w:val="009321B1"/>
    <w:rsid w:val="009327F0"/>
    <w:rsid w:val="00932A42"/>
    <w:rsid w:val="00932ED7"/>
    <w:rsid w:val="0093422D"/>
    <w:rsid w:val="0093483B"/>
    <w:rsid w:val="00934CF9"/>
    <w:rsid w:val="00934DD7"/>
    <w:rsid w:val="00934F9C"/>
    <w:rsid w:val="00934FEB"/>
    <w:rsid w:val="00935CB2"/>
    <w:rsid w:val="009369A9"/>
    <w:rsid w:val="00936CF7"/>
    <w:rsid w:val="00937783"/>
    <w:rsid w:val="00937EAD"/>
    <w:rsid w:val="00937F28"/>
    <w:rsid w:val="00940FE1"/>
    <w:rsid w:val="0094117A"/>
    <w:rsid w:val="00941474"/>
    <w:rsid w:val="00942306"/>
    <w:rsid w:val="009424B8"/>
    <w:rsid w:val="009426BA"/>
    <w:rsid w:val="0094286B"/>
    <w:rsid w:val="009432E2"/>
    <w:rsid w:val="00944668"/>
    <w:rsid w:val="00944DC6"/>
    <w:rsid w:val="00945829"/>
    <w:rsid w:val="009458B0"/>
    <w:rsid w:val="00945B52"/>
    <w:rsid w:val="00945B7A"/>
    <w:rsid w:val="00945F05"/>
    <w:rsid w:val="00945FE0"/>
    <w:rsid w:val="00946348"/>
    <w:rsid w:val="00946B10"/>
    <w:rsid w:val="00947070"/>
    <w:rsid w:val="00947224"/>
    <w:rsid w:val="00947797"/>
    <w:rsid w:val="009478A2"/>
    <w:rsid w:val="00947942"/>
    <w:rsid w:val="00950181"/>
    <w:rsid w:val="00950865"/>
    <w:rsid w:val="009533BD"/>
    <w:rsid w:val="009536FB"/>
    <w:rsid w:val="00953808"/>
    <w:rsid w:val="009539A6"/>
    <w:rsid w:val="00954032"/>
    <w:rsid w:val="00954537"/>
    <w:rsid w:val="0095472D"/>
    <w:rsid w:val="00954F0F"/>
    <w:rsid w:val="00955342"/>
    <w:rsid w:val="00955D57"/>
    <w:rsid w:val="00955FBB"/>
    <w:rsid w:val="0095694B"/>
    <w:rsid w:val="00956BD5"/>
    <w:rsid w:val="00956D84"/>
    <w:rsid w:val="009577B5"/>
    <w:rsid w:val="00957D66"/>
    <w:rsid w:val="009608E6"/>
    <w:rsid w:val="00960F57"/>
    <w:rsid w:val="00961669"/>
    <w:rsid w:val="00961C90"/>
    <w:rsid w:val="00962A26"/>
    <w:rsid w:val="00965443"/>
    <w:rsid w:val="00965954"/>
    <w:rsid w:val="00965A21"/>
    <w:rsid w:val="00965E55"/>
    <w:rsid w:val="0096608E"/>
    <w:rsid w:val="00966522"/>
    <w:rsid w:val="00966926"/>
    <w:rsid w:val="00966C33"/>
    <w:rsid w:val="009678D3"/>
    <w:rsid w:val="00970F18"/>
    <w:rsid w:val="00971CF1"/>
    <w:rsid w:val="00971F5D"/>
    <w:rsid w:val="009721E9"/>
    <w:rsid w:val="009722B5"/>
    <w:rsid w:val="009724C9"/>
    <w:rsid w:val="00973772"/>
    <w:rsid w:val="0097560A"/>
    <w:rsid w:val="009759A3"/>
    <w:rsid w:val="00975E1E"/>
    <w:rsid w:val="00975E70"/>
    <w:rsid w:val="009761DE"/>
    <w:rsid w:val="009766FA"/>
    <w:rsid w:val="00977944"/>
    <w:rsid w:val="00977CD6"/>
    <w:rsid w:val="0098048B"/>
    <w:rsid w:val="00980908"/>
    <w:rsid w:val="00980DF9"/>
    <w:rsid w:val="00981CD8"/>
    <w:rsid w:val="0098243D"/>
    <w:rsid w:val="00982C19"/>
    <w:rsid w:val="00982D26"/>
    <w:rsid w:val="00983B6E"/>
    <w:rsid w:val="00983FE5"/>
    <w:rsid w:val="00984544"/>
    <w:rsid w:val="009849E9"/>
    <w:rsid w:val="00984AFF"/>
    <w:rsid w:val="00985048"/>
    <w:rsid w:val="009855AC"/>
    <w:rsid w:val="009859E4"/>
    <w:rsid w:val="00985D7F"/>
    <w:rsid w:val="00987812"/>
    <w:rsid w:val="00990225"/>
    <w:rsid w:val="00991307"/>
    <w:rsid w:val="00991FAA"/>
    <w:rsid w:val="00992A13"/>
    <w:rsid w:val="00993DB1"/>
    <w:rsid w:val="00994AAD"/>
    <w:rsid w:val="00995150"/>
    <w:rsid w:val="00995D67"/>
    <w:rsid w:val="00997613"/>
    <w:rsid w:val="009A013B"/>
    <w:rsid w:val="009A02F4"/>
    <w:rsid w:val="009A06BF"/>
    <w:rsid w:val="009A0D17"/>
    <w:rsid w:val="009A2494"/>
    <w:rsid w:val="009A32B1"/>
    <w:rsid w:val="009A33A3"/>
    <w:rsid w:val="009A36F2"/>
    <w:rsid w:val="009A3942"/>
    <w:rsid w:val="009A4073"/>
    <w:rsid w:val="009A40C3"/>
    <w:rsid w:val="009A40D5"/>
    <w:rsid w:val="009A5268"/>
    <w:rsid w:val="009A5621"/>
    <w:rsid w:val="009A57D0"/>
    <w:rsid w:val="009A6559"/>
    <w:rsid w:val="009A68FC"/>
    <w:rsid w:val="009A6CE4"/>
    <w:rsid w:val="009A7514"/>
    <w:rsid w:val="009A7665"/>
    <w:rsid w:val="009A7E7A"/>
    <w:rsid w:val="009B0925"/>
    <w:rsid w:val="009B1584"/>
    <w:rsid w:val="009B18F0"/>
    <w:rsid w:val="009B1F4C"/>
    <w:rsid w:val="009B2203"/>
    <w:rsid w:val="009B2471"/>
    <w:rsid w:val="009B314F"/>
    <w:rsid w:val="009B439C"/>
    <w:rsid w:val="009B49A1"/>
    <w:rsid w:val="009B4A6C"/>
    <w:rsid w:val="009B4DA8"/>
    <w:rsid w:val="009B4FA6"/>
    <w:rsid w:val="009B519A"/>
    <w:rsid w:val="009B620C"/>
    <w:rsid w:val="009B6454"/>
    <w:rsid w:val="009B6753"/>
    <w:rsid w:val="009B676C"/>
    <w:rsid w:val="009B6A26"/>
    <w:rsid w:val="009C079D"/>
    <w:rsid w:val="009C0C12"/>
    <w:rsid w:val="009C0D70"/>
    <w:rsid w:val="009C1282"/>
    <w:rsid w:val="009C13D1"/>
    <w:rsid w:val="009C2913"/>
    <w:rsid w:val="009C2BD4"/>
    <w:rsid w:val="009C334C"/>
    <w:rsid w:val="009C3EE6"/>
    <w:rsid w:val="009C5314"/>
    <w:rsid w:val="009C5AFE"/>
    <w:rsid w:val="009C6606"/>
    <w:rsid w:val="009C6CE5"/>
    <w:rsid w:val="009C6D50"/>
    <w:rsid w:val="009C72B2"/>
    <w:rsid w:val="009C7547"/>
    <w:rsid w:val="009D05EC"/>
    <w:rsid w:val="009D18D4"/>
    <w:rsid w:val="009D1FCF"/>
    <w:rsid w:val="009D2F60"/>
    <w:rsid w:val="009D3A2E"/>
    <w:rsid w:val="009D4C2E"/>
    <w:rsid w:val="009D5ADE"/>
    <w:rsid w:val="009D5BAC"/>
    <w:rsid w:val="009D5C56"/>
    <w:rsid w:val="009D6265"/>
    <w:rsid w:val="009D64BD"/>
    <w:rsid w:val="009D6B1E"/>
    <w:rsid w:val="009D6CB1"/>
    <w:rsid w:val="009E0286"/>
    <w:rsid w:val="009E153F"/>
    <w:rsid w:val="009E18C5"/>
    <w:rsid w:val="009E2B98"/>
    <w:rsid w:val="009E322A"/>
    <w:rsid w:val="009E3483"/>
    <w:rsid w:val="009E393E"/>
    <w:rsid w:val="009E444E"/>
    <w:rsid w:val="009E454D"/>
    <w:rsid w:val="009E4968"/>
    <w:rsid w:val="009E663C"/>
    <w:rsid w:val="009E684A"/>
    <w:rsid w:val="009E6BB1"/>
    <w:rsid w:val="009E6E14"/>
    <w:rsid w:val="009E794A"/>
    <w:rsid w:val="009E7C14"/>
    <w:rsid w:val="009F0494"/>
    <w:rsid w:val="009F0CD9"/>
    <w:rsid w:val="009F1A79"/>
    <w:rsid w:val="009F1F57"/>
    <w:rsid w:val="009F2DDD"/>
    <w:rsid w:val="009F3447"/>
    <w:rsid w:val="009F65F4"/>
    <w:rsid w:val="009F6763"/>
    <w:rsid w:val="009F676B"/>
    <w:rsid w:val="009F6D2D"/>
    <w:rsid w:val="009F6D54"/>
    <w:rsid w:val="00A004DF"/>
    <w:rsid w:val="00A00FD5"/>
    <w:rsid w:val="00A012C0"/>
    <w:rsid w:val="00A019A8"/>
    <w:rsid w:val="00A01B03"/>
    <w:rsid w:val="00A01B89"/>
    <w:rsid w:val="00A02C66"/>
    <w:rsid w:val="00A02C84"/>
    <w:rsid w:val="00A03223"/>
    <w:rsid w:val="00A03842"/>
    <w:rsid w:val="00A04394"/>
    <w:rsid w:val="00A0464C"/>
    <w:rsid w:val="00A050BB"/>
    <w:rsid w:val="00A05128"/>
    <w:rsid w:val="00A0521B"/>
    <w:rsid w:val="00A054E0"/>
    <w:rsid w:val="00A05D91"/>
    <w:rsid w:val="00A0740B"/>
    <w:rsid w:val="00A07ED3"/>
    <w:rsid w:val="00A10162"/>
    <w:rsid w:val="00A10A81"/>
    <w:rsid w:val="00A10CA8"/>
    <w:rsid w:val="00A10D5A"/>
    <w:rsid w:val="00A11042"/>
    <w:rsid w:val="00A12579"/>
    <w:rsid w:val="00A12CDC"/>
    <w:rsid w:val="00A12E1D"/>
    <w:rsid w:val="00A133D8"/>
    <w:rsid w:val="00A13553"/>
    <w:rsid w:val="00A13F58"/>
    <w:rsid w:val="00A14382"/>
    <w:rsid w:val="00A15480"/>
    <w:rsid w:val="00A15655"/>
    <w:rsid w:val="00A160B0"/>
    <w:rsid w:val="00A1740C"/>
    <w:rsid w:val="00A17904"/>
    <w:rsid w:val="00A20069"/>
    <w:rsid w:val="00A2244D"/>
    <w:rsid w:val="00A2253D"/>
    <w:rsid w:val="00A2267F"/>
    <w:rsid w:val="00A22CDB"/>
    <w:rsid w:val="00A247B8"/>
    <w:rsid w:val="00A2495A"/>
    <w:rsid w:val="00A24C7A"/>
    <w:rsid w:val="00A24D8F"/>
    <w:rsid w:val="00A25366"/>
    <w:rsid w:val="00A25B8B"/>
    <w:rsid w:val="00A2689F"/>
    <w:rsid w:val="00A26ECA"/>
    <w:rsid w:val="00A272C6"/>
    <w:rsid w:val="00A27461"/>
    <w:rsid w:val="00A27AE5"/>
    <w:rsid w:val="00A27D67"/>
    <w:rsid w:val="00A30ABC"/>
    <w:rsid w:val="00A320F4"/>
    <w:rsid w:val="00A3267D"/>
    <w:rsid w:val="00A33B74"/>
    <w:rsid w:val="00A3467F"/>
    <w:rsid w:val="00A34B4C"/>
    <w:rsid w:val="00A35030"/>
    <w:rsid w:val="00A3551A"/>
    <w:rsid w:val="00A36015"/>
    <w:rsid w:val="00A366A0"/>
    <w:rsid w:val="00A36952"/>
    <w:rsid w:val="00A37209"/>
    <w:rsid w:val="00A37381"/>
    <w:rsid w:val="00A37584"/>
    <w:rsid w:val="00A376E8"/>
    <w:rsid w:val="00A37F8E"/>
    <w:rsid w:val="00A4103C"/>
    <w:rsid w:val="00A411DA"/>
    <w:rsid w:val="00A41537"/>
    <w:rsid w:val="00A41678"/>
    <w:rsid w:val="00A41737"/>
    <w:rsid w:val="00A42B8F"/>
    <w:rsid w:val="00A42D8E"/>
    <w:rsid w:val="00A43254"/>
    <w:rsid w:val="00A43896"/>
    <w:rsid w:val="00A43951"/>
    <w:rsid w:val="00A43A26"/>
    <w:rsid w:val="00A447A0"/>
    <w:rsid w:val="00A4505E"/>
    <w:rsid w:val="00A459F5"/>
    <w:rsid w:val="00A45FC0"/>
    <w:rsid w:val="00A468C7"/>
    <w:rsid w:val="00A46B74"/>
    <w:rsid w:val="00A476D4"/>
    <w:rsid w:val="00A47BF7"/>
    <w:rsid w:val="00A47ECC"/>
    <w:rsid w:val="00A50171"/>
    <w:rsid w:val="00A50418"/>
    <w:rsid w:val="00A504FA"/>
    <w:rsid w:val="00A5102E"/>
    <w:rsid w:val="00A5132E"/>
    <w:rsid w:val="00A51375"/>
    <w:rsid w:val="00A51533"/>
    <w:rsid w:val="00A516D4"/>
    <w:rsid w:val="00A531D4"/>
    <w:rsid w:val="00A53622"/>
    <w:rsid w:val="00A53736"/>
    <w:rsid w:val="00A54572"/>
    <w:rsid w:val="00A559D8"/>
    <w:rsid w:val="00A575B8"/>
    <w:rsid w:val="00A6020A"/>
    <w:rsid w:val="00A60CE7"/>
    <w:rsid w:val="00A60CF8"/>
    <w:rsid w:val="00A619BB"/>
    <w:rsid w:val="00A61C60"/>
    <w:rsid w:val="00A61ECB"/>
    <w:rsid w:val="00A63FE9"/>
    <w:rsid w:val="00A6410C"/>
    <w:rsid w:val="00A647B1"/>
    <w:rsid w:val="00A64DEF"/>
    <w:rsid w:val="00A65311"/>
    <w:rsid w:val="00A654D2"/>
    <w:rsid w:val="00A665DF"/>
    <w:rsid w:val="00A671B4"/>
    <w:rsid w:val="00A673F1"/>
    <w:rsid w:val="00A674DB"/>
    <w:rsid w:val="00A67625"/>
    <w:rsid w:val="00A67FCC"/>
    <w:rsid w:val="00A70AA5"/>
    <w:rsid w:val="00A70C03"/>
    <w:rsid w:val="00A71256"/>
    <w:rsid w:val="00A7147C"/>
    <w:rsid w:val="00A71CB8"/>
    <w:rsid w:val="00A7217B"/>
    <w:rsid w:val="00A722D7"/>
    <w:rsid w:val="00A723A3"/>
    <w:rsid w:val="00A73861"/>
    <w:rsid w:val="00A739A6"/>
    <w:rsid w:val="00A73C97"/>
    <w:rsid w:val="00A740ED"/>
    <w:rsid w:val="00A74C29"/>
    <w:rsid w:val="00A74C62"/>
    <w:rsid w:val="00A75A70"/>
    <w:rsid w:val="00A75CBC"/>
    <w:rsid w:val="00A75EF9"/>
    <w:rsid w:val="00A7642C"/>
    <w:rsid w:val="00A7657C"/>
    <w:rsid w:val="00A76B5E"/>
    <w:rsid w:val="00A76E4E"/>
    <w:rsid w:val="00A80A5D"/>
    <w:rsid w:val="00A81ECA"/>
    <w:rsid w:val="00A82764"/>
    <w:rsid w:val="00A8311C"/>
    <w:rsid w:val="00A835D0"/>
    <w:rsid w:val="00A83821"/>
    <w:rsid w:val="00A84150"/>
    <w:rsid w:val="00A84761"/>
    <w:rsid w:val="00A84C5F"/>
    <w:rsid w:val="00A85240"/>
    <w:rsid w:val="00A85930"/>
    <w:rsid w:val="00A863F7"/>
    <w:rsid w:val="00A86604"/>
    <w:rsid w:val="00A86ACC"/>
    <w:rsid w:val="00A87519"/>
    <w:rsid w:val="00A90213"/>
    <w:rsid w:val="00A905A5"/>
    <w:rsid w:val="00A90870"/>
    <w:rsid w:val="00A9246D"/>
    <w:rsid w:val="00A92CCA"/>
    <w:rsid w:val="00A93BD0"/>
    <w:rsid w:val="00A93CC2"/>
    <w:rsid w:val="00A94D4B"/>
    <w:rsid w:val="00A956AC"/>
    <w:rsid w:val="00A95A90"/>
    <w:rsid w:val="00A974CC"/>
    <w:rsid w:val="00A97EE7"/>
    <w:rsid w:val="00A97FC3"/>
    <w:rsid w:val="00AA0A68"/>
    <w:rsid w:val="00AA1F34"/>
    <w:rsid w:val="00AA2001"/>
    <w:rsid w:val="00AA2B5C"/>
    <w:rsid w:val="00AA32D2"/>
    <w:rsid w:val="00AA33AA"/>
    <w:rsid w:val="00AA3B8B"/>
    <w:rsid w:val="00AA4016"/>
    <w:rsid w:val="00AA4C1F"/>
    <w:rsid w:val="00AA5328"/>
    <w:rsid w:val="00AA5393"/>
    <w:rsid w:val="00AA63D4"/>
    <w:rsid w:val="00AB03FD"/>
    <w:rsid w:val="00AB09B8"/>
    <w:rsid w:val="00AB199F"/>
    <w:rsid w:val="00AB1C40"/>
    <w:rsid w:val="00AB2000"/>
    <w:rsid w:val="00AB21CC"/>
    <w:rsid w:val="00AB2C06"/>
    <w:rsid w:val="00AB3147"/>
    <w:rsid w:val="00AB38CB"/>
    <w:rsid w:val="00AB3BEC"/>
    <w:rsid w:val="00AB4080"/>
    <w:rsid w:val="00AB44E4"/>
    <w:rsid w:val="00AB4AEB"/>
    <w:rsid w:val="00AB4E5F"/>
    <w:rsid w:val="00AB5352"/>
    <w:rsid w:val="00AB56AE"/>
    <w:rsid w:val="00AB62D5"/>
    <w:rsid w:val="00AB65B5"/>
    <w:rsid w:val="00AB6DCD"/>
    <w:rsid w:val="00AB6EE0"/>
    <w:rsid w:val="00AB71D6"/>
    <w:rsid w:val="00AB7D43"/>
    <w:rsid w:val="00AB7F2C"/>
    <w:rsid w:val="00AC022E"/>
    <w:rsid w:val="00AC17A2"/>
    <w:rsid w:val="00AC18C7"/>
    <w:rsid w:val="00AC3096"/>
    <w:rsid w:val="00AC33F3"/>
    <w:rsid w:val="00AC40B7"/>
    <w:rsid w:val="00AC531F"/>
    <w:rsid w:val="00AC5B36"/>
    <w:rsid w:val="00AC6377"/>
    <w:rsid w:val="00AC651A"/>
    <w:rsid w:val="00AC66A4"/>
    <w:rsid w:val="00AC6CB1"/>
    <w:rsid w:val="00AC75E9"/>
    <w:rsid w:val="00AC7D6D"/>
    <w:rsid w:val="00AC7D76"/>
    <w:rsid w:val="00AD0091"/>
    <w:rsid w:val="00AD04C1"/>
    <w:rsid w:val="00AD0D57"/>
    <w:rsid w:val="00AD1119"/>
    <w:rsid w:val="00AD1315"/>
    <w:rsid w:val="00AD23EF"/>
    <w:rsid w:val="00AD2662"/>
    <w:rsid w:val="00AD307B"/>
    <w:rsid w:val="00AD36D2"/>
    <w:rsid w:val="00AD3992"/>
    <w:rsid w:val="00AD4014"/>
    <w:rsid w:val="00AD41B3"/>
    <w:rsid w:val="00AD5721"/>
    <w:rsid w:val="00AD69F0"/>
    <w:rsid w:val="00AD7127"/>
    <w:rsid w:val="00AD730C"/>
    <w:rsid w:val="00AE0F90"/>
    <w:rsid w:val="00AE123A"/>
    <w:rsid w:val="00AE1539"/>
    <w:rsid w:val="00AE28A7"/>
    <w:rsid w:val="00AE2A98"/>
    <w:rsid w:val="00AE2CF2"/>
    <w:rsid w:val="00AE2F19"/>
    <w:rsid w:val="00AE3012"/>
    <w:rsid w:val="00AE3297"/>
    <w:rsid w:val="00AE33A6"/>
    <w:rsid w:val="00AE3513"/>
    <w:rsid w:val="00AE3729"/>
    <w:rsid w:val="00AE3C81"/>
    <w:rsid w:val="00AE49C1"/>
    <w:rsid w:val="00AE4A3E"/>
    <w:rsid w:val="00AE4CCE"/>
    <w:rsid w:val="00AE5C6A"/>
    <w:rsid w:val="00AE7058"/>
    <w:rsid w:val="00AE7280"/>
    <w:rsid w:val="00AE7B5F"/>
    <w:rsid w:val="00AF01FA"/>
    <w:rsid w:val="00AF033A"/>
    <w:rsid w:val="00AF0516"/>
    <w:rsid w:val="00AF118E"/>
    <w:rsid w:val="00AF1658"/>
    <w:rsid w:val="00AF1699"/>
    <w:rsid w:val="00AF18D1"/>
    <w:rsid w:val="00AF1BA4"/>
    <w:rsid w:val="00AF1FD3"/>
    <w:rsid w:val="00AF2775"/>
    <w:rsid w:val="00AF2910"/>
    <w:rsid w:val="00AF34B8"/>
    <w:rsid w:val="00AF3896"/>
    <w:rsid w:val="00AF39C9"/>
    <w:rsid w:val="00AF3F97"/>
    <w:rsid w:val="00AF3FC2"/>
    <w:rsid w:val="00AF4DEC"/>
    <w:rsid w:val="00AF6B57"/>
    <w:rsid w:val="00B003FF"/>
    <w:rsid w:val="00B0098A"/>
    <w:rsid w:val="00B00A5F"/>
    <w:rsid w:val="00B00F37"/>
    <w:rsid w:val="00B029B8"/>
    <w:rsid w:val="00B02F60"/>
    <w:rsid w:val="00B02F94"/>
    <w:rsid w:val="00B032B8"/>
    <w:rsid w:val="00B0396A"/>
    <w:rsid w:val="00B04721"/>
    <w:rsid w:val="00B04B15"/>
    <w:rsid w:val="00B04B46"/>
    <w:rsid w:val="00B0534D"/>
    <w:rsid w:val="00B05685"/>
    <w:rsid w:val="00B05F9F"/>
    <w:rsid w:val="00B06070"/>
    <w:rsid w:val="00B06368"/>
    <w:rsid w:val="00B068DA"/>
    <w:rsid w:val="00B06A00"/>
    <w:rsid w:val="00B06FC6"/>
    <w:rsid w:val="00B0710D"/>
    <w:rsid w:val="00B074C9"/>
    <w:rsid w:val="00B07A70"/>
    <w:rsid w:val="00B07D9D"/>
    <w:rsid w:val="00B102D6"/>
    <w:rsid w:val="00B11AE5"/>
    <w:rsid w:val="00B120F3"/>
    <w:rsid w:val="00B12263"/>
    <w:rsid w:val="00B12FE6"/>
    <w:rsid w:val="00B1303F"/>
    <w:rsid w:val="00B1364A"/>
    <w:rsid w:val="00B13859"/>
    <w:rsid w:val="00B13EC9"/>
    <w:rsid w:val="00B14319"/>
    <w:rsid w:val="00B14A06"/>
    <w:rsid w:val="00B158E1"/>
    <w:rsid w:val="00B16715"/>
    <w:rsid w:val="00B16FFA"/>
    <w:rsid w:val="00B1768E"/>
    <w:rsid w:val="00B17910"/>
    <w:rsid w:val="00B20F18"/>
    <w:rsid w:val="00B21516"/>
    <w:rsid w:val="00B219D9"/>
    <w:rsid w:val="00B21A37"/>
    <w:rsid w:val="00B21D23"/>
    <w:rsid w:val="00B21F62"/>
    <w:rsid w:val="00B223A4"/>
    <w:rsid w:val="00B22CE0"/>
    <w:rsid w:val="00B232BF"/>
    <w:rsid w:val="00B23738"/>
    <w:rsid w:val="00B23BEF"/>
    <w:rsid w:val="00B247BB"/>
    <w:rsid w:val="00B2504A"/>
    <w:rsid w:val="00B25EE6"/>
    <w:rsid w:val="00B3115A"/>
    <w:rsid w:val="00B3178B"/>
    <w:rsid w:val="00B31825"/>
    <w:rsid w:val="00B31A5C"/>
    <w:rsid w:val="00B32265"/>
    <w:rsid w:val="00B3276D"/>
    <w:rsid w:val="00B33331"/>
    <w:rsid w:val="00B333C8"/>
    <w:rsid w:val="00B33B06"/>
    <w:rsid w:val="00B33C19"/>
    <w:rsid w:val="00B3462E"/>
    <w:rsid w:val="00B35A15"/>
    <w:rsid w:val="00B35B45"/>
    <w:rsid w:val="00B36165"/>
    <w:rsid w:val="00B36A99"/>
    <w:rsid w:val="00B37395"/>
    <w:rsid w:val="00B40C29"/>
    <w:rsid w:val="00B41531"/>
    <w:rsid w:val="00B419EA"/>
    <w:rsid w:val="00B42264"/>
    <w:rsid w:val="00B434B2"/>
    <w:rsid w:val="00B43B9E"/>
    <w:rsid w:val="00B43D45"/>
    <w:rsid w:val="00B459AF"/>
    <w:rsid w:val="00B468F2"/>
    <w:rsid w:val="00B469DE"/>
    <w:rsid w:val="00B47286"/>
    <w:rsid w:val="00B47EB4"/>
    <w:rsid w:val="00B50234"/>
    <w:rsid w:val="00B5052F"/>
    <w:rsid w:val="00B51641"/>
    <w:rsid w:val="00B51BF4"/>
    <w:rsid w:val="00B52279"/>
    <w:rsid w:val="00B522D7"/>
    <w:rsid w:val="00B527AD"/>
    <w:rsid w:val="00B52C68"/>
    <w:rsid w:val="00B5372B"/>
    <w:rsid w:val="00B542FE"/>
    <w:rsid w:val="00B54360"/>
    <w:rsid w:val="00B55A1B"/>
    <w:rsid w:val="00B561DB"/>
    <w:rsid w:val="00B5645C"/>
    <w:rsid w:val="00B56DF9"/>
    <w:rsid w:val="00B56E80"/>
    <w:rsid w:val="00B571F1"/>
    <w:rsid w:val="00B600BD"/>
    <w:rsid w:val="00B60E4E"/>
    <w:rsid w:val="00B61274"/>
    <w:rsid w:val="00B61DCE"/>
    <w:rsid w:val="00B62188"/>
    <w:rsid w:val="00B621D6"/>
    <w:rsid w:val="00B622E3"/>
    <w:rsid w:val="00B62F79"/>
    <w:rsid w:val="00B62F82"/>
    <w:rsid w:val="00B63028"/>
    <w:rsid w:val="00B6306A"/>
    <w:rsid w:val="00B635E3"/>
    <w:rsid w:val="00B64B9A"/>
    <w:rsid w:val="00B65646"/>
    <w:rsid w:val="00B662FF"/>
    <w:rsid w:val="00B665B8"/>
    <w:rsid w:val="00B665F6"/>
    <w:rsid w:val="00B66679"/>
    <w:rsid w:val="00B70145"/>
    <w:rsid w:val="00B701C9"/>
    <w:rsid w:val="00B710AD"/>
    <w:rsid w:val="00B71288"/>
    <w:rsid w:val="00B71A92"/>
    <w:rsid w:val="00B721D8"/>
    <w:rsid w:val="00B730CA"/>
    <w:rsid w:val="00B732EA"/>
    <w:rsid w:val="00B73747"/>
    <w:rsid w:val="00B747C5"/>
    <w:rsid w:val="00B74F2F"/>
    <w:rsid w:val="00B753ED"/>
    <w:rsid w:val="00B7665F"/>
    <w:rsid w:val="00B769BC"/>
    <w:rsid w:val="00B770F7"/>
    <w:rsid w:val="00B77349"/>
    <w:rsid w:val="00B7761E"/>
    <w:rsid w:val="00B80A3D"/>
    <w:rsid w:val="00B80B04"/>
    <w:rsid w:val="00B81B9C"/>
    <w:rsid w:val="00B821E4"/>
    <w:rsid w:val="00B823E0"/>
    <w:rsid w:val="00B8260D"/>
    <w:rsid w:val="00B8286F"/>
    <w:rsid w:val="00B82B78"/>
    <w:rsid w:val="00B82FD9"/>
    <w:rsid w:val="00B845B4"/>
    <w:rsid w:val="00B84662"/>
    <w:rsid w:val="00B84C74"/>
    <w:rsid w:val="00B84CE9"/>
    <w:rsid w:val="00B84F6E"/>
    <w:rsid w:val="00B85191"/>
    <w:rsid w:val="00B85412"/>
    <w:rsid w:val="00B858A1"/>
    <w:rsid w:val="00B85FEC"/>
    <w:rsid w:val="00B864A3"/>
    <w:rsid w:val="00B86C2A"/>
    <w:rsid w:val="00B87575"/>
    <w:rsid w:val="00B902A5"/>
    <w:rsid w:val="00B90420"/>
    <w:rsid w:val="00B90848"/>
    <w:rsid w:val="00B90BC1"/>
    <w:rsid w:val="00B91146"/>
    <w:rsid w:val="00B913E4"/>
    <w:rsid w:val="00B91DB9"/>
    <w:rsid w:val="00B91FF3"/>
    <w:rsid w:val="00B925F8"/>
    <w:rsid w:val="00B9330A"/>
    <w:rsid w:val="00B93EFE"/>
    <w:rsid w:val="00B944B9"/>
    <w:rsid w:val="00B94956"/>
    <w:rsid w:val="00B94C7F"/>
    <w:rsid w:val="00B94E93"/>
    <w:rsid w:val="00B956B5"/>
    <w:rsid w:val="00B95956"/>
    <w:rsid w:val="00B95ABC"/>
    <w:rsid w:val="00B96DF2"/>
    <w:rsid w:val="00B96E18"/>
    <w:rsid w:val="00B96F5A"/>
    <w:rsid w:val="00B97AF7"/>
    <w:rsid w:val="00BA02CF"/>
    <w:rsid w:val="00BA0A69"/>
    <w:rsid w:val="00BA0B39"/>
    <w:rsid w:val="00BA0CB2"/>
    <w:rsid w:val="00BA0E26"/>
    <w:rsid w:val="00BA138B"/>
    <w:rsid w:val="00BA2471"/>
    <w:rsid w:val="00BA305B"/>
    <w:rsid w:val="00BA31BF"/>
    <w:rsid w:val="00BA3C0F"/>
    <w:rsid w:val="00BA3FC7"/>
    <w:rsid w:val="00BA478B"/>
    <w:rsid w:val="00BA5224"/>
    <w:rsid w:val="00BA575E"/>
    <w:rsid w:val="00BA67B1"/>
    <w:rsid w:val="00BA756D"/>
    <w:rsid w:val="00BA76B7"/>
    <w:rsid w:val="00BA7E3B"/>
    <w:rsid w:val="00BB078D"/>
    <w:rsid w:val="00BB079C"/>
    <w:rsid w:val="00BB0D7A"/>
    <w:rsid w:val="00BB10E1"/>
    <w:rsid w:val="00BB2471"/>
    <w:rsid w:val="00BB3035"/>
    <w:rsid w:val="00BB39C1"/>
    <w:rsid w:val="00BB3DF5"/>
    <w:rsid w:val="00BB3EA7"/>
    <w:rsid w:val="00BB45BC"/>
    <w:rsid w:val="00BB5D16"/>
    <w:rsid w:val="00BB6180"/>
    <w:rsid w:val="00BB69DC"/>
    <w:rsid w:val="00BB69E6"/>
    <w:rsid w:val="00BB7323"/>
    <w:rsid w:val="00BB73CA"/>
    <w:rsid w:val="00BB7BE5"/>
    <w:rsid w:val="00BB7C6D"/>
    <w:rsid w:val="00BC08BD"/>
    <w:rsid w:val="00BC1002"/>
    <w:rsid w:val="00BC11E8"/>
    <w:rsid w:val="00BC1418"/>
    <w:rsid w:val="00BC1B7A"/>
    <w:rsid w:val="00BC2C17"/>
    <w:rsid w:val="00BC3149"/>
    <w:rsid w:val="00BC3ACD"/>
    <w:rsid w:val="00BC3B20"/>
    <w:rsid w:val="00BC3EE4"/>
    <w:rsid w:val="00BC577D"/>
    <w:rsid w:val="00BC588C"/>
    <w:rsid w:val="00BC6E73"/>
    <w:rsid w:val="00BC74D3"/>
    <w:rsid w:val="00BC7AC5"/>
    <w:rsid w:val="00BD0014"/>
    <w:rsid w:val="00BD01D8"/>
    <w:rsid w:val="00BD255F"/>
    <w:rsid w:val="00BD2895"/>
    <w:rsid w:val="00BD3194"/>
    <w:rsid w:val="00BD4236"/>
    <w:rsid w:val="00BD4400"/>
    <w:rsid w:val="00BD483B"/>
    <w:rsid w:val="00BD4FBA"/>
    <w:rsid w:val="00BD51F9"/>
    <w:rsid w:val="00BD5BD8"/>
    <w:rsid w:val="00BD5CD4"/>
    <w:rsid w:val="00BD65D9"/>
    <w:rsid w:val="00BD6922"/>
    <w:rsid w:val="00BD6DF3"/>
    <w:rsid w:val="00BD6E09"/>
    <w:rsid w:val="00BD6EF9"/>
    <w:rsid w:val="00BE045C"/>
    <w:rsid w:val="00BE0ACB"/>
    <w:rsid w:val="00BE11F3"/>
    <w:rsid w:val="00BE2260"/>
    <w:rsid w:val="00BE2826"/>
    <w:rsid w:val="00BE2F75"/>
    <w:rsid w:val="00BE3917"/>
    <w:rsid w:val="00BE3D7E"/>
    <w:rsid w:val="00BE4A76"/>
    <w:rsid w:val="00BE4E87"/>
    <w:rsid w:val="00BE50FD"/>
    <w:rsid w:val="00BE51CA"/>
    <w:rsid w:val="00BE537F"/>
    <w:rsid w:val="00BE5D77"/>
    <w:rsid w:val="00BE630A"/>
    <w:rsid w:val="00BE638C"/>
    <w:rsid w:val="00BE6914"/>
    <w:rsid w:val="00BE6D47"/>
    <w:rsid w:val="00BE6F9B"/>
    <w:rsid w:val="00BE6FBF"/>
    <w:rsid w:val="00BE7032"/>
    <w:rsid w:val="00BE7330"/>
    <w:rsid w:val="00BE77A7"/>
    <w:rsid w:val="00BF01C5"/>
    <w:rsid w:val="00BF061A"/>
    <w:rsid w:val="00BF066A"/>
    <w:rsid w:val="00BF14CC"/>
    <w:rsid w:val="00BF1821"/>
    <w:rsid w:val="00BF22E9"/>
    <w:rsid w:val="00BF4342"/>
    <w:rsid w:val="00BF4704"/>
    <w:rsid w:val="00BF4FFC"/>
    <w:rsid w:val="00BF5050"/>
    <w:rsid w:val="00BF50D1"/>
    <w:rsid w:val="00BF5422"/>
    <w:rsid w:val="00BF59B1"/>
    <w:rsid w:val="00BF5C4D"/>
    <w:rsid w:val="00BF6625"/>
    <w:rsid w:val="00BF6A78"/>
    <w:rsid w:val="00BF6A9E"/>
    <w:rsid w:val="00BF7695"/>
    <w:rsid w:val="00BF775D"/>
    <w:rsid w:val="00BF79B4"/>
    <w:rsid w:val="00BF7C61"/>
    <w:rsid w:val="00C00366"/>
    <w:rsid w:val="00C01427"/>
    <w:rsid w:val="00C014C7"/>
    <w:rsid w:val="00C031CF"/>
    <w:rsid w:val="00C047AB"/>
    <w:rsid w:val="00C058AF"/>
    <w:rsid w:val="00C075B6"/>
    <w:rsid w:val="00C10027"/>
    <w:rsid w:val="00C124C1"/>
    <w:rsid w:val="00C128AE"/>
    <w:rsid w:val="00C12BA8"/>
    <w:rsid w:val="00C13094"/>
    <w:rsid w:val="00C136D6"/>
    <w:rsid w:val="00C13D5B"/>
    <w:rsid w:val="00C141D7"/>
    <w:rsid w:val="00C1711B"/>
    <w:rsid w:val="00C17AE2"/>
    <w:rsid w:val="00C20140"/>
    <w:rsid w:val="00C20CD6"/>
    <w:rsid w:val="00C20F27"/>
    <w:rsid w:val="00C213E0"/>
    <w:rsid w:val="00C215CF"/>
    <w:rsid w:val="00C219C3"/>
    <w:rsid w:val="00C21A89"/>
    <w:rsid w:val="00C21C6D"/>
    <w:rsid w:val="00C2244B"/>
    <w:rsid w:val="00C22711"/>
    <w:rsid w:val="00C2280A"/>
    <w:rsid w:val="00C22B0D"/>
    <w:rsid w:val="00C22BFF"/>
    <w:rsid w:val="00C23522"/>
    <w:rsid w:val="00C23581"/>
    <w:rsid w:val="00C23E71"/>
    <w:rsid w:val="00C24015"/>
    <w:rsid w:val="00C240C1"/>
    <w:rsid w:val="00C244A1"/>
    <w:rsid w:val="00C24AED"/>
    <w:rsid w:val="00C250D0"/>
    <w:rsid w:val="00C252AC"/>
    <w:rsid w:val="00C25C0F"/>
    <w:rsid w:val="00C26567"/>
    <w:rsid w:val="00C26923"/>
    <w:rsid w:val="00C271C9"/>
    <w:rsid w:val="00C27214"/>
    <w:rsid w:val="00C27597"/>
    <w:rsid w:val="00C27E5E"/>
    <w:rsid w:val="00C30382"/>
    <w:rsid w:val="00C30772"/>
    <w:rsid w:val="00C30D6F"/>
    <w:rsid w:val="00C31063"/>
    <w:rsid w:val="00C31492"/>
    <w:rsid w:val="00C31B7E"/>
    <w:rsid w:val="00C320E8"/>
    <w:rsid w:val="00C322D1"/>
    <w:rsid w:val="00C3242A"/>
    <w:rsid w:val="00C33201"/>
    <w:rsid w:val="00C3328B"/>
    <w:rsid w:val="00C33A39"/>
    <w:rsid w:val="00C33F55"/>
    <w:rsid w:val="00C34619"/>
    <w:rsid w:val="00C348D9"/>
    <w:rsid w:val="00C35D01"/>
    <w:rsid w:val="00C360B3"/>
    <w:rsid w:val="00C36451"/>
    <w:rsid w:val="00C365EA"/>
    <w:rsid w:val="00C367F0"/>
    <w:rsid w:val="00C37027"/>
    <w:rsid w:val="00C373BF"/>
    <w:rsid w:val="00C37B15"/>
    <w:rsid w:val="00C37B19"/>
    <w:rsid w:val="00C41349"/>
    <w:rsid w:val="00C413CB"/>
    <w:rsid w:val="00C41558"/>
    <w:rsid w:val="00C42752"/>
    <w:rsid w:val="00C42973"/>
    <w:rsid w:val="00C43426"/>
    <w:rsid w:val="00C4443A"/>
    <w:rsid w:val="00C4554E"/>
    <w:rsid w:val="00C46A3D"/>
    <w:rsid w:val="00C46B95"/>
    <w:rsid w:val="00C4712A"/>
    <w:rsid w:val="00C5001E"/>
    <w:rsid w:val="00C5034F"/>
    <w:rsid w:val="00C50830"/>
    <w:rsid w:val="00C52479"/>
    <w:rsid w:val="00C5266E"/>
    <w:rsid w:val="00C52C59"/>
    <w:rsid w:val="00C5349E"/>
    <w:rsid w:val="00C539FF"/>
    <w:rsid w:val="00C54215"/>
    <w:rsid w:val="00C544BD"/>
    <w:rsid w:val="00C54D3D"/>
    <w:rsid w:val="00C55A30"/>
    <w:rsid w:val="00C55E1C"/>
    <w:rsid w:val="00C56076"/>
    <w:rsid w:val="00C56384"/>
    <w:rsid w:val="00C567E9"/>
    <w:rsid w:val="00C60F8C"/>
    <w:rsid w:val="00C61424"/>
    <w:rsid w:val="00C61794"/>
    <w:rsid w:val="00C617AE"/>
    <w:rsid w:val="00C623E3"/>
    <w:rsid w:val="00C62A48"/>
    <w:rsid w:val="00C62AC4"/>
    <w:rsid w:val="00C62B59"/>
    <w:rsid w:val="00C62F96"/>
    <w:rsid w:val="00C631E1"/>
    <w:rsid w:val="00C638D8"/>
    <w:rsid w:val="00C63A43"/>
    <w:rsid w:val="00C63AE7"/>
    <w:rsid w:val="00C63D26"/>
    <w:rsid w:val="00C64127"/>
    <w:rsid w:val="00C6540A"/>
    <w:rsid w:val="00C668A1"/>
    <w:rsid w:val="00C67223"/>
    <w:rsid w:val="00C707B8"/>
    <w:rsid w:val="00C712AC"/>
    <w:rsid w:val="00C7158C"/>
    <w:rsid w:val="00C71C15"/>
    <w:rsid w:val="00C71F3D"/>
    <w:rsid w:val="00C72F53"/>
    <w:rsid w:val="00C72FF7"/>
    <w:rsid w:val="00C74035"/>
    <w:rsid w:val="00C748EA"/>
    <w:rsid w:val="00C76FB0"/>
    <w:rsid w:val="00C77818"/>
    <w:rsid w:val="00C8063F"/>
    <w:rsid w:val="00C81282"/>
    <w:rsid w:val="00C8155F"/>
    <w:rsid w:val="00C8198D"/>
    <w:rsid w:val="00C82167"/>
    <w:rsid w:val="00C827B4"/>
    <w:rsid w:val="00C831FE"/>
    <w:rsid w:val="00C83214"/>
    <w:rsid w:val="00C8329F"/>
    <w:rsid w:val="00C84E65"/>
    <w:rsid w:val="00C84F8A"/>
    <w:rsid w:val="00C85BA4"/>
    <w:rsid w:val="00C8618F"/>
    <w:rsid w:val="00C8625D"/>
    <w:rsid w:val="00C865AD"/>
    <w:rsid w:val="00C86612"/>
    <w:rsid w:val="00C87402"/>
    <w:rsid w:val="00C90372"/>
    <w:rsid w:val="00C9041F"/>
    <w:rsid w:val="00C915CA"/>
    <w:rsid w:val="00C9166B"/>
    <w:rsid w:val="00C91945"/>
    <w:rsid w:val="00C91A45"/>
    <w:rsid w:val="00C91BA5"/>
    <w:rsid w:val="00C91FB4"/>
    <w:rsid w:val="00C92150"/>
    <w:rsid w:val="00C92328"/>
    <w:rsid w:val="00C9292F"/>
    <w:rsid w:val="00C92D42"/>
    <w:rsid w:val="00C938C2"/>
    <w:rsid w:val="00C9397B"/>
    <w:rsid w:val="00C93F8A"/>
    <w:rsid w:val="00C94EA1"/>
    <w:rsid w:val="00C95745"/>
    <w:rsid w:val="00C95902"/>
    <w:rsid w:val="00C95999"/>
    <w:rsid w:val="00C962E3"/>
    <w:rsid w:val="00C978E2"/>
    <w:rsid w:val="00C97997"/>
    <w:rsid w:val="00CA10A2"/>
    <w:rsid w:val="00CA1D83"/>
    <w:rsid w:val="00CA1FEB"/>
    <w:rsid w:val="00CA25C0"/>
    <w:rsid w:val="00CA2BFB"/>
    <w:rsid w:val="00CA3451"/>
    <w:rsid w:val="00CA35C6"/>
    <w:rsid w:val="00CA4948"/>
    <w:rsid w:val="00CA52F9"/>
    <w:rsid w:val="00CA5368"/>
    <w:rsid w:val="00CA547B"/>
    <w:rsid w:val="00CA568B"/>
    <w:rsid w:val="00CA573A"/>
    <w:rsid w:val="00CA5C58"/>
    <w:rsid w:val="00CA7656"/>
    <w:rsid w:val="00CA7CA7"/>
    <w:rsid w:val="00CA7FB0"/>
    <w:rsid w:val="00CB0CC1"/>
    <w:rsid w:val="00CB160B"/>
    <w:rsid w:val="00CB19D7"/>
    <w:rsid w:val="00CB19FE"/>
    <w:rsid w:val="00CB1C3F"/>
    <w:rsid w:val="00CB2364"/>
    <w:rsid w:val="00CB2FEE"/>
    <w:rsid w:val="00CB304C"/>
    <w:rsid w:val="00CB3933"/>
    <w:rsid w:val="00CB5010"/>
    <w:rsid w:val="00CB53E8"/>
    <w:rsid w:val="00CB594A"/>
    <w:rsid w:val="00CB5CB2"/>
    <w:rsid w:val="00CB6979"/>
    <w:rsid w:val="00CB7A04"/>
    <w:rsid w:val="00CB7DDE"/>
    <w:rsid w:val="00CC0A3D"/>
    <w:rsid w:val="00CC2FF0"/>
    <w:rsid w:val="00CC313F"/>
    <w:rsid w:val="00CC3C53"/>
    <w:rsid w:val="00CC3D24"/>
    <w:rsid w:val="00CC3F91"/>
    <w:rsid w:val="00CC405D"/>
    <w:rsid w:val="00CC47EE"/>
    <w:rsid w:val="00CC4ACD"/>
    <w:rsid w:val="00CC4B0A"/>
    <w:rsid w:val="00CC5387"/>
    <w:rsid w:val="00CC544A"/>
    <w:rsid w:val="00CC57EA"/>
    <w:rsid w:val="00CC5954"/>
    <w:rsid w:val="00CC5CF8"/>
    <w:rsid w:val="00CC5F4B"/>
    <w:rsid w:val="00CC629B"/>
    <w:rsid w:val="00CC6C4E"/>
    <w:rsid w:val="00CC770A"/>
    <w:rsid w:val="00CC7B1F"/>
    <w:rsid w:val="00CD009D"/>
    <w:rsid w:val="00CD05A2"/>
    <w:rsid w:val="00CD1049"/>
    <w:rsid w:val="00CD29D4"/>
    <w:rsid w:val="00CD2B5C"/>
    <w:rsid w:val="00CD2FF3"/>
    <w:rsid w:val="00CD3323"/>
    <w:rsid w:val="00CD3324"/>
    <w:rsid w:val="00CD356A"/>
    <w:rsid w:val="00CD37AE"/>
    <w:rsid w:val="00CD38F5"/>
    <w:rsid w:val="00CD3BF2"/>
    <w:rsid w:val="00CD437E"/>
    <w:rsid w:val="00CD4AAF"/>
    <w:rsid w:val="00CD5DAD"/>
    <w:rsid w:val="00CD5FFB"/>
    <w:rsid w:val="00CD6666"/>
    <w:rsid w:val="00CD72C5"/>
    <w:rsid w:val="00CD79A7"/>
    <w:rsid w:val="00CD7FAD"/>
    <w:rsid w:val="00CE0789"/>
    <w:rsid w:val="00CE0E8D"/>
    <w:rsid w:val="00CE1A03"/>
    <w:rsid w:val="00CE2346"/>
    <w:rsid w:val="00CE25B2"/>
    <w:rsid w:val="00CE3529"/>
    <w:rsid w:val="00CE35C8"/>
    <w:rsid w:val="00CE3962"/>
    <w:rsid w:val="00CE43FA"/>
    <w:rsid w:val="00CE4D0A"/>
    <w:rsid w:val="00CE4D1A"/>
    <w:rsid w:val="00CE4E8A"/>
    <w:rsid w:val="00CE5105"/>
    <w:rsid w:val="00CE5525"/>
    <w:rsid w:val="00CE56BD"/>
    <w:rsid w:val="00CE5EC0"/>
    <w:rsid w:val="00CE68AD"/>
    <w:rsid w:val="00CE6BA5"/>
    <w:rsid w:val="00CE6F15"/>
    <w:rsid w:val="00CE6F9F"/>
    <w:rsid w:val="00CE781A"/>
    <w:rsid w:val="00CE7B08"/>
    <w:rsid w:val="00CE7B7A"/>
    <w:rsid w:val="00CE7D52"/>
    <w:rsid w:val="00CF0AAA"/>
    <w:rsid w:val="00CF0AB7"/>
    <w:rsid w:val="00CF1D74"/>
    <w:rsid w:val="00CF26A3"/>
    <w:rsid w:val="00CF2BE2"/>
    <w:rsid w:val="00CF371A"/>
    <w:rsid w:val="00CF3791"/>
    <w:rsid w:val="00CF37C2"/>
    <w:rsid w:val="00CF3DE4"/>
    <w:rsid w:val="00CF3DEB"/>
    <w:rsid w:val="00CF55F9"/>
    <w:rsid w:val="00CF578D"/>
    <w:rsid w:val="00CF7074"/>
    <w:rsid w:val="00CF7495"/>
    <w:rsid w:val="00CF76D6"/>
    <w:rsid w:val="00D01CF9"/>
    <w:rsid w:val="00D021E8"/>
    <w:rsid w:val="00D0334D"/>
    <w:rsid w:val="00D0374D"/>
    <w:rsid w:val="00D06312"/>
    <w:rsid w:val="00D06D7B"/>
    <w:rsid w:val="00D06DA5"/>
    <w:rsid w:val="00D07191"/>
    <w:rsid w:val="00D07319"/>
    <w:rsid w:val="00D07F1D"/>
    <w:rsid w:val="00D10558"/>
    <w:rsid w:val="00D10EE8"/>
    <w:rsid w:val="00D11140"/>
    <w:rsid w:val="00D11739"/>
    <w:rsid w:val="00D119A6"/>
    <w:rsid w:val="00D11D4D"/>
    <w:rsid w:val="00D11DB1"/>
    <w:rsid w:val="00D126DC"/>
    <w:rsid w:val="00D12B03"/>
    <w:rsid w:val="00D13E70"/>
    <w:rsid w:val="00D13EE7"/>
    <w:rsid w:val="00D147BE"/>
    <w:rsid w:val="00D148A0"/>
    <w:rsid w:val="00D15ECD"/>
    <w:rsid w:val="00D15FCD"/>
    <w:rsid w:val="00D16C58"/>
    <w:rsid w:val="00D17019"/>
    <w:rsid w:val="00D1705A"/>
    <w:rsid w:val="00D17ABA"/>
    <w:rsid w:val="00D17FC8"/>
    <w:rsid w:val="00D2008F"/>
    <w:rsid w:val="00D2015B"/>
    <w:rsid w:val="00D207E7"/>
    <w:rsid w:val="00D20B44"/>
    <w:rsid w:val="00D21168"/>
    <w:rsid w:val="00D21C3A"/>
    <w:rsid w:val="00D2224A"/>
    <w:rsid w:val="00D2385D"/>
    <w:rsid w:val="00D23FF4"/>
    <w:rsid w:val="00D2438C"/>
    <w:rsid w:val="00D2585A"/>
    <w:rsid w:val="00D25920"/>
    <w:rsid w:val="00D259B0"/>
    <w:rsid w:val="00D259C2"/>
    <w:rsid w:val="00D26C3F"/>
    <w:rsid w:val="00D27185"/>
    <w:rsid w:val="00D3028A"/>
    <w:rsid w:val="00D30E98"/>
    <w:rsid w:val="00D3125C"/>
    <w:rsid w:val="00D31ACD"/>
    <w:rsid w:val="00D32436"/>
    <w:rsid w:val="00D33488"/>
    <w:rsid w:val="00D33AB3"/>
    <w:rsid w:val="00D33F24"/>
    <w:rsid w:val="00D34160"/>
    <w:rsid w:val="00D346B8"/>
    <w:rsid w:val="00D34DCA"/>
    <w:rsid w:val="00D35AC8"/>
    <w:rsid w:val="00D360A7"/>
    <w:rsid w:val="00D36F87"/>
    <w:rsid w:val="00D37DF9"/>
    <w:rsid w:val="00D37E4E"/>
    <w:rsid w:val="00D40275"/>
    <w:rsid w:val="00D417D8"/>
    <w:rsid w:val="00D41F78"/>
    <w:rsid w:val="00D42ABC"/>
    <w:rsid w:val="00D42E6C"/>
    <w:rsid w:val="00D4351C"/>
    <w:rsid w:val="00D43B80"/>
    <w:rsid w:val="00D44988"/>
    <w:rsid w:val="00D45B4C"/>
    <w:rsid w:val="00D45BA4"/>
    <w:rsid w:val="00D471AF"/>
    <w:rsid w:val="00D471E2"/>
    <w:rsid w:val="00D4724F"/>
    <w:rsid w:val="00D50252"/>
    <w:rsid w:val="00D50519"/>
    <w:rsid w:val="00D50702"/>
    <w:rsid w:val="00D50779"/>
    <w:rsid w:val="00D51191"/>
    <w:rsid w:val="00D51601"/>
    <w:rsid w:val="00D51ECB"/>
    <w:rsid w:val="00D520DE"/>
    <w:rsid w:val="00D5264C"/>
    <w:rsid w:val="00D52BBC"/>
    <w:rsid w:val="00D537FE"/>
    <w:rsid w:val="00D53CC9"/>
    <w:rsid w:val="00D54A6A"/>
    <w:rsid w:val="00D54B8F"/>
    <w:rsid w:val="00D55848"/>
    <w:rsid w:val="00D55951"/>
    <w:rsid w:val="00D559F0"/>
    <w:rsid w:val="00D5650F"/>
    <w:rsid w:val="00D56594"/>
    <w:rsid w:val="00D57EB6"/>
    <w:rsid w:val="00D608C0"/>
    <w:rsid w:val="00D60D6D"/>
    <w:rsid w:val="00D6128C"/>
    <w:rsid w:val="00D63B22"/>
    <w:rsid w:val="00D66009"/>
    <w:rsid w:val="00D66D8B"/>
    <w:rsid w:val="00D671B2"/>
    <w:rsid w:val="00D70849"/>
    <w:rsid w:val="00D70DFA"/>
    <w:rsid w:val="00D72297"/>
    <w:rsid w:val="00D72A1C"/>
    <w:rsid w:val="00D7308F"/>
    <w:rsid w:val="00D7313E"/>
    <w:rsid w:val="00D73396"/>
    <w:rsid w:val="00D73580"/>
    <w:rsid w:val="00D73802"/>
    <w:rsid w:val="00D73883"/>
    <w:rsid w:val="00D73C2C"/>
    <w:rsid w:val="00D73D52"/>
    <w:rsid w:val="00D73E70"/>
    <w:rsid w:val="00D745E7"/>
    <w:rsid w:val="00D75FDA"/>
    <w:rsid w:val="00D774ED"/>
    <w:rsid w:val="00D776AD"/>
    <w:rsid w:val="00D777C3"/>
    <w:rsid w:val="00D7797C"/>
    <w:rsid w:val="00D77C44"/>
    <w:rsid w:val="00D77F88"/>
    <w:rsid w:val="00D8151B"/>
    <w:rsid w:val="00D81AFA"/>
    <w:rsid w:val="00D81EAA"/>
    <w:rsid w:val="00D81FE2"/>
    <w:rsid w:val="00D8259F"/>
    <w:rsid w:val="00D825F2"/>
    <w:rsid w:val="00D8285C"/>
    <w:rsid w:val="00D828B1"/>
    <w:rsid w:val="00D82A55"/>
    <w:rsid w:val="00D8305B"/>
    <w:rsid w:val="00D830F8"/>
    <w:rsid w:val="00D83D49"/>
    <w:rsid w:val="00D84181"/>
    <w:rsid w:val="00D846AD"/>
    <w:rsid w:val="00D84754"/>
    <w:rsid w:val="00D84F27"/>
    <w:rsid w:val="00D8534C"/>
    <w:rsid w:val="00D853F0"/>
    <w:rsid w:val="00D85862"/>
    <w:rsid w:val="00D85892"/>
    <w:rsid w:val="00D86D47"/>
    <w:rsid w:val="00D8710C"/>
    <w:rsid w:val="00D873C6"/>
    <w:rsid w:val="00D87819"/>
    <w:rsid w:val="00D878A3"/>
    <w:rsid w:val="00D9074A"/>
    <w:rsid w:val="00D9099E"/>
    <w:rsid w:val="00D9193A"/>
    <w:rsid w:val="00D91D05"/>
    <w:rsid w:val="00D923B2"/>
    <w:rsid w:val="00D92463"/>
    <w:rsid w:val="00D927B5"/>
    <w:rsid w:val="00D92981"/>
    <w:rsid w:val="00D92C81"/>
    <w:rsid w:val="00D93E64"/>
    <w:rsid w:val="00D93F64"/>
    <w:rsid w:val="00D94B0C"/>
    <w:rsid w:val="00D94CA4"/>
    <w:rsid w:val="00D95E99"/>
    <w:rsid w:val="00D965D5"/>
    <w:rsid w:val="00D96F7C"/>
    <w:rsid w:val="00D9714B"/>
    <w:rsid w:val="00D97DA2"/>
    <w:rsid w:val="00DA0485"/>
    <w:rsid w:val="00DA19AA"/>
    <w:rsid w:val="00DA1A3A"/>
    <w:rsid w:val="00DA1FC3"/>
    <w:rsid w:val="00DA2351"/>
    <w:rsid w:val="00DA249E"/>
    <w:rsid w:val="00DA2D3D"/>
    <w:rsid w:val="00DA35D9"/>
    <w:rsid w:val="00DA3855"/>
    <w:rsid w:val="00DA39BA"/>
    <w:rsid w:val="00DA4C30"/>
    <w:rsid w:val="00DA538E"/>
    <w:rsid w:val="00DA5FB3"/>
    <w:rsid w:val="00DA6980"/>
    <w:rsid w:val="00DA6A44"/>
    <w:rsid w:val="00DA7A3C"/>
    <w:rsid w:val="00DB145E"/>
    <w:rsid w:val="00DB1A94"/>
    <w:rsid w:val="00DB1BE8"/>
    <w:rsid w:val="00DB1D52"/>
    <w:rsid w:val="00DB1E2B"/>
    <w:rsid w:val="00DB1F62"/>
    <w:rsid w:val="00DB21E7"/>
    <w:rsid w:val="00DB2E03"/>
    <w:rsid w:val="00DB3742"/>
    <w:rsid w:val="00DB3C5A"/>
    <w:rsid w:val="00DB3E9B"/>
    <w:rsid w:val="00DB3F4B"/>
    <w:rsid w:val="00DB5375"/>
    <w:rsid w:val="00DB6003"/>
    <w:rsid w:val="00DB6769"/>
    <w:rsid w:val="00DB67C1"/>
    <w:rsid w:val="00DB6C0B"/>
    <w:rsid w:val="00DB70F4"/>
    <w:rsid w:val="00DB748A"/>
    <w:rsid w:val="00DB7CB7"/>
    <w:rsid w:val="00DC1056"/>
    <w:rsid w:val="00DC1442"/>
    <w:rsid w:val="00DC1781"/>
    <w:rsid w:val="00DC21D8"/>
    <w:rsid w:val="00DC282A"/>
    <w:rsid w:val="00DC2DE8"/>
    <w:rsid w:val="00DC34DC"/>
    <w:rsid w:val="00DC3780"/>
    <w:rsid w:val="00DC3ADA"/>
    <w:rsid w:val="00DC3CC6"/>
    <w:rsid w:val="00DC3F55"/>
    <w:rsid w:val="00DC4782"/>
    <w:rsid w:val="00DC4B02"/>
    <w:rsid w:val="00DC514A"/>
    <w:rsid w:val="00DC67B1"/>
    <w:rsid w:val="00DC7FBC"/>
    <w:rsid w:val="00DD0019"/>
    <w:rsid w:val="00DD132B"/>
    <w:rsid w:val="00DD1571"/>
    <w:rsid w:val="00DD1725"/>
    <w:rsid w:val="00DD2159"/>
    <w:rsid w:val="00DD218B"/>
    <w:rsid w:val="00DD28BA"/>
    <w:rsid w:val="00DD2A18"/>
    <w:rsid w:val="00DD3044"/>
    <w:rsid w:val="00DD3985"/>
    <w:rsid w:val="00DD61E8"/>
    <w:rsid w:val="00DD62C0"/>
    <w:rsid w:val="00DD63F8"/>
    <w:rsid w:val="00DD64DE"/>
    <w:rsid w:val="00DD66DE"/>
    <w:rsid w:val="00DD7197"/>
    <w:rsid w:val="00DD7859"/>
    <w:rsid w:val="00DD7B41"/>
    <w:rsid w:val="00DD7F43"/>
    <w:rsid w:val="00DE0784"/>
    <w:rsid w:val="00DE0A1D"/>
    <w:rsid w:val="00DE15B2"/>
    <w:rsid w:val="00DE1A9A"/>
    <w:rsid w:val="00DE22F5"/>
    <w:rsid w:val="00DE3D2C"/>
    <w:rsid w:val="00DE57D0"/>
    <w:rsid w:val="00DE5E82"/>
    <w:rsid w:val="00DE5EC5"/>
    <w:rsid w:val="00DE5FA6"/>
    <w:rsid w:val="00DE6792"/>
    <w:rsid w:val="00DE6AA1"/>
    <w:rsid w:val="00DE77A3"/>
    <w:rsid w:val="00DE7EF7"/>
    <w:rsid w:val="00DF015B"/>
    <w:rsid w:val="00DF02EC"/>
    <w:rsid w:val="00DF10FC"/>
    <w:rsid w:val="00DF1185"/>
    <w:rsid w:val="00DF1299"/>
    <w:rsid w:val="00DF1620"/>
    <w:rsid w:val="00DF1A70"/>
    <w:rsid w:val="00DF1E5F"/>
    <w:rsid w:val="00DF23A8"/>
    <w:rsid w:val="00DF2EE1"/>
    <w:rsid w:val="00DF2F27"/>
    <w:rsid w:val="00DF36B6"/>
    <w:rsid w:val="00DF4296"/>
    <w:rsid w:val="00DF4582"/>
    <w:rsid w:val="00DF5267"/>
    <w:rsid w:val="00DF53F0"/>
    <w:rsid w:val="00DF5700"/>
    <w:rsid w:val="00DF5F38"/>
    <w:rsid w:val="00DF604C"/>
    <w:rsid w:val="00DF6608"/>
    <w:rsid w:val="00DF6CCC"/>
    <w:rsid w:val="00DF6D0C"/>
    <w:rsid w:val="00DF6F64"/>
    <w:rsid w:val="00DF721E"/>
    <w:rsid w:val="00DF72F3"/>
    <w:rsid w:val="00DF7549"/>
    <w:rsid w:val="00DF78D0"/>
    <w:rsid w:val="00DF7B8A"/>
    <w:rsid w:val="00DF7C87"/>
    <w:rsid w:val="00E009B0"/>
    <w:rsid w:val="00E00A12"/>
    <w:rsid w:val="00E00B39"/>
    <w:rsid w:val="00E00C49"/>
    <w:rsid w:val="00E01B9A"/>
    <w:rsid w:val="00E01C9C"/>
    <w:rsid w:val="00E01FF4"/>
    <w:rsid w:val="00E0219D"/>
    <w:rsid w:val="00E032D9"/>
    <w:rsid w:val="00E04482"/>
    <w:rsid w:val="00E04C0F"/>
    <w:rsid w:val="00E05510"/>
    <w:rsid w:val="00E0570B"/>
    <w:rsid w:val="00E05B1D"/>
    <w:rsid w:val="00E05B91"/>
    <w:rsid w:val="00E069C5"/>
    <w:rsid w:val="00E1065D"/>
    <w:rsid w:val="00E10913"/>
    <w:rsid w:val="00E10B87"/>
    <w:rsid w:val="00E121CE"/>
    <w:rsid w:val="00E12209"/>
    <w:rsid w:val="00E144C4"/>
    <w:rsid w:val="00E14585"/>
    <w:rsid w:val="00E1478B"/>
    <w:rsid w:val="00E14FAC"/>
    <w:rsid w:val="00E15007"/>
    <w:rsid w:val="00E15DC6"/>
    <w:rsid w:val="00E16277"/>
    <w:rsid w:val="00E16EC7"/>
    <w:rsid w:val="00E17DCC"/>
    <w:rsid w:val="00E219CE"/>
    <w:rsid w:val="00E21D93"/>
    <w:rsid w:val="00E22A86"/>
    <w:rsid w:val="00E22D2A"/>
    <w:rsid w:val="00E22F39"/>
    <w:rsid w:val="00E24071"/>
    <w:rsid w:val="00E24142"/>
    <w:rsid w:val="00E24DCA"/>
    <w:rsid w:val="00E24EBC"/>
    <w:rsid w:val="00E2522C"/>
    <w:rsid w:val="00E2552F"/>
    <w:rsid w:val="00E2599B"/>
    <w:rsid w:val="00E2710C"/>
    <w:rsid w:val="00E272BD"/>
    <w:rsid w:val="00E27428"/>
    <w:rsid w:val="00E27E58"/>
    <w:rsid w:val="00E305B4"/>
    <w:rsid w:val="00E314CB"/>
    <w:rsid w:val="00E31AFA"/>
    <w:rsid w:val="00E31CB7"/>
    <w:rsid w:val="00E324EE"/>
    <w:rsid w:val="00E3367B"/>
    <w:rsid w:val="00E34DB1"/>
    <w:rsid w:val="00E35339"/>
    <w:rsid w:val="00E35931"/>
    <w:rsid w:val="00E359FF"/>
    <w:rsid w:val="00E36337"/>
    <w:rsid w:val="00E3699A"/>
    <w:rsid w:val="00E371E1"/>
    <w:rsid w:val="00E402C5"/>
    <w:rsid w:val="00E402F4"/>
    <w:rsid w:val="00E405F1"/>
    <w:rsid w:val="00E417DB"/>
    <w:rsid w:val="00E43054"/>
    <w:rsid w:val="00E432D1"/>
    <w:rsid w:val="00E43655"/>
    <w:rsid w:val="00E44440"/>
    <w:rsid w:val="00E44A8B"/>
    <w:rsid w:val="00E45958"/>
    <w:rsid w:val="00E46013"/>
    <w:rsid w:val="00E4673F"/>
    <w:rsid w:val="00E47099"/>
    <w:rsid w:val="00E47284"/>
    <w:rsid w:val="00E477C3"/>
    <w:rsid w:val="00E5017E"/>
    <w:rsid w:val="00E50734"/>
    <w:rsid w:val="00E5140B"/>
    <w:rsid w:val="00E51E16"/>
    <w:rsid w:val="00E52990"/>
    <w:rsid w:val="00E52DED"/>
    <w:rsid w:val="00E53730"/>
    <w:rsid w:val="00E5410A"/>
    <w:rsid w:val="00E5438D"/>
    <w:rsid w:val="00E54511"/>
    <w:rsid w:val="00E54E50"/>
    <w:rsid w:val="00E55288"/>
    <w:rsid w:val="00E57577"/>
    <w:rsid w:val="00E57CDA"/>
    <w:rsid w:val="00E62043"/>
    <w:rsid w:val="00E626B9"/>
    <w:rsid w:val="00E627C9"/>
    <w:rsid w:val="00E630F3"/>
    <w:rsid w:val="00E6332F"/>
    <w:rsid w:val="00E637C9"/>
    <w:rsid w:val="00E6402D"/>
    <w:rsid w:val="00E6680A"/>
    <w:rsid w:val="00E669E3"/>
    <w:rsid w:val="00E66F0D"/>
    <w:rsid w:val="00E66F5F"/>
    <w:rsid w:val="00E67BFA"/>
    <w:rsid w:val="00E7004F"/>
    <w:rsid w:val="00E70615"/>
    <w:rsid w:val="00E7159E"/>
    <w:rsid w:val="00E7161E"/>
    <w:rsid w:val="00E71AAB"/>
    <w:rsid w:val="00E71BE3"/>
    <w:rsid w:val="00E72004"/>
    <w:rsid w:val="00E7207B"/>
    <w:rsid w:val="00E722CF"/>
    <w:rsid w:val="00E72880"/>
    <w:rsid w:val="00E7347A"/>
    <w:rsid w:val="00E75A47"/>
    <w:rsid w:val="00E75BB6"/>
    <w:rsid w:val="00E75D8C"/>
    <w:rsid w:val="00E76E93"/>
    <w:rsid w:val="00E7719C"/>
    <w:rsid w:val="00E7757E"/>
    <w:rsid w:val="00E777F2"/>
    <w:rsid w:val="00E802C9"/>
    <w:rsid w:val="00E80BFB"/>
    <w:rsid w:val="00E80EC2"/>
    <w:rsid w:val="00E80F0A"/>
    <w:rsid w:val="00E81291"/>
    <w:rsid w:val="00E815D4"/>
    <w:rsid w:val="00E818FD"/>
    <w:rsid w:val="00E819BA"/>
    <w:rsid w:val="00E8291B"/>
    <w:rsid w:val="00E82E70"/>
    <w:rsid w:val="00E82F92"/>
    <w:rsid w:val="00E8395F"/>
    <w:rsid w:val="00E83ECB"/>
    <w:rsid w:val="00E8410F"/>
    <w:rsid w:val="00E849D7"/>
    <w:rsid w:val="00E85E41"/>
    <w:rsid w:val="00E85EA1"/>
    <w:rsid w:val="00E86703"/>
    <w:rsid w:val="00E86C01"/>
    <w:rsid w:val="00E900DA"/>
    <w:rsid w:val="00E90496"/>
    <w:rsid w:val="00E91044"/>
    <w:rsid w:val="00E910D3"/>
    <w:rsid w:val="00E91CBA"/>
    <w:rsid w:val="00E92097"/>
    <w:rsid w:val="00E92154"/>
    <w:rsid w:val="00E923CF"/>
    <w:rsid w:val="00E93685"/>
    <w:rsid w:val="00E93B65"/>
    <w:rsid w:val="00E93C8C"/>
    <w:rsid w:val="00E95111"/>
    <w:rsid w:val="00E95FDF"/>
    <w:rsid w:val="00E960AD"/>
    <w:rsid w:val="00E9677F"/>
    <w:rsid w:val="00E96898"/>
    <w:rsid w:val="00E97043"/>
    <w:rsid w:val="00EA0185"/>
    <w:rsid w:val="00EA05B6"/>
    <w:rsid w:val="00EA14C8"/>
    <w:rsid w:val="00EA2110"/>
    <w:rsid w:val="00EA24AF"/>
    <w:rsid w:val="00EA283A"/>
    <w:rsid w:val="00EA2C90"/>
    <w:rsid w:val="00EA2E07"/>
    <w:rsid w:val="00EA383B"/>
    <w:rsid w:val="00EA44ED"/>
    <w:rsid w:val="00EA48F3"/>
    <w:rsid w:val="00EA4D46"/>
    <w:rsid w:val="00EA60BF"/>
    <w:rsid w:val="00EA7365"/>
    <w:rsid w:val="00EA763F"/>
    <w:rsid w:val="00EA77E9"/>
    <w:rsid w:val="00EB02AF"/>
    <w:rsid w:val="00EB05D0"/>
    <w:rsid w:val="00EB1151"/>
    <w:rsid w:val="00EB1D49"/>
    <w:rsid w:val="00EB23D9"/>
    <w:rsid w:val="00EB39A0"/>
    <w:rsid w:val="00EB430A"/>
    <w:rsid w:val="00EB559F"/>
    <w:rsid w:val="00EB566C"/>
    <w:rsid w:val="00EB5A18"/>
    <w:rsid w:val="00EB5F3D"/>
    <w:rsid w:val="00EB6C97"/>
    <w:rsid w:val="00EC0317"/>
    <w:rsid w:val="00EC1CEB"/>
    <w:rsid w:val="00EC1DC0"/>
    <w:rsid w:val="00EC1DC2"/>
    <w:rsid w:val="00EC1E09"/>
    <w:rsid w:val="00EC210E"/>
    <w:rsid w:val="00EC21EC"/>
    <w:rsid w:val="00EC24B8"/>
    <w:rsid w:val="00EC268C"/>
    <w:rsid w:val="00EC3753"/>
    <w:rsid w:val="00EC3FB6"/>
    <w:rsid w:val="00EC4E71"/>
    <w:rsid w:val="00EC5F1C"/>
    <w:rsid w:val="00EC7AEB"/>
    <w:rsid w:val="00ED0365"/>
    <w:rsid w:val="00ED0512"/>
    <w:rsid w:val="00ED0865"/>
    <w:rsid w:val="00ED0C1C"/>
    <w:rsid w:val="00ED1C60"/>
    <w:rsid w:val="00ED2EB9"/>
    <w:rsid w:val="00ED3722"/>
    <w:rsid w:val="00ED3A31"/>
    <w:rsid w:val="00ED3AEF"/>
    <w:rsid w:val="00ED4469"/>
    <w:rsid w:val="00ED5424"/>
    <w:rsid w:val="00ED5F23"/>
    <w:rsid w:val="00ED6DC0"/>
    <w:rsid w:val="00ED7272"/>
    <w:rsid w:val="00ED7A7A"/>
    <w:rsid w:val="00EE0327"/>
    <w:rsid w:val="00EE038C"/>
    <w:rsid w:val="00EE064D"/>
    <w:rsid w:val="00EE105A"/>
    <w:rsid w:val="00EE1D00"/>
    <w:rsid w:val="00EE259E"/>
    <w:rsid w:val="00EE25C8"/>
    <w:rsid w:val="00EE28C5"/>
    <w:rsid w:val="00EE2F09"/>
    <w:rsid w:val="00EE47C5"/>
    <w:rsid w:val="00EE490C"/>
    <w:rsid w:val="00EE4E57"/>
    <w:rsid w:val="00EE5738"/>
    <w:rsid w:val="00EE58BD"/>
    <w:rsid w:val="00EE5DDB"/>
    <w:rsid w:val="00EE5E59"/>
    <w:rsid w:val="00EE5FA9"/>
    <w:rsid w:val="00EE73D0"/>
    <w:rsid w:val="00EE7CB0"/>
    <w:rsid w:val="00EE7CD1"/>
    <w:rsid w:val="00EF08A8"/>
    <w:rsid w:val="00EF167B"/>
    <w:rsid w:val="00EF1C90"/>
    <w:rsid w:val="00EF2496"/>
    <w:rsid w:val="00EF3BFF"/>
    <w:rsid w:val="00EF41A8"/>
    <w:rsid w:val="00EF44FB"/>
    <w:rsid w:val="00EF5122"/>
    <w:rsid w:val="00EF5554"/>
    <w:rsid w:val="00EF5AD8"/>
    <w:rsid w:val="00EF6B90"/>
    <w:rsid w:val="00EF70C9"/>
    <w:rsid w:val="00EF741E"/>
    <w:rsid w:val="00EF7807"/>
    <w:rsid w:val="00EF79F7"/>
    <w:rsid w:val="00F006C0"/>
    <w:rsid w:val="00F0125F"/>
    <w:rsid w:val="00F0176A"/>
    <w:rsid w:val="00F019AA"/>
    <w:rsid w:val="00F0267E"/>
    <w:rsid w:val="00F02686"/>
    <w:rsid w:val="00F030C0"/>
    <w:rsid w:val="00F03291"/>
    <w:rsid w:val="00F03A85"/>
    <w:rsid w:val="00F04052"/>
    <w:rsid w:val="00F04314"/>
    <w:rsid w:val="00F0459B"/>
    <w:rsid w:val="00F04E15"/>
    <w:rsid w:val="00F05DF3"/>
    <w:rsid w:val="00F06829"/>
    <w:rsid w:val="00F069EA"/>
    <w:rsid w:val="00F06A4B"/>
    <w:rsid w:val="00F06A69"/>
    <w:rsid w:val="00F070E5"/>
    <w:rsid w:val="00F07D5E"/>
    <w:rsid w:val="00F07DDE"/>
    <w:rsid w:val="00F10396"/>
    <w:rsid w:val="00F11675"/>
    <w:rsid w:val="00F123DA"/>
    <w:rsid w:val="00F12557"/>
    <w:rsid w:val="00F127C8"/>
    <w:rsid w:val="00F12881"/>
    <w:rsid w:val="00F12C62"/>
    <w:rsid w:val="00F134BA"/>
    <w:rsid w:val="00F13599"/>
    <w:rsid w:val="00F13A71"/>
    <w:rsid w:val="00F13B28"/>
    <w:rsid w:val="00F14DCD"/>
    <w:rsid w:val="00F156A0"/>
    <w:rsid w:val="00F15730"/>
    <w:rsid w:val="00F176A6"/>
    <w:rsid w:val="00F17A24"/>
    <w:rsid w:val="00F202C2"/>
    <w:rsid w:val="00F204B3"/>
    <w:rsid w:val="00F212F6"/>
    <w:rsid w:val="00F2190F"/>
    <w:rsid w:val="00F22756"/>
    <w:rsid w:val="00F23248"/>
    <w:rsid w:val="00F23890"/>
    <w:rsid w:val="00F2504D"/>
    <w:rsid w:val="00F2595D"/>
    <w:rsid w:val="00F25B26"/>
    <w:rsid w:val="00F2637F"/>
    <w:rsid w:val="00F268F7"/>
    <w:rsid w:val="00F30B83"/>
    <w:rsid w:val="00F30BDB"/>
    <w:rsid w:val="00F30CF8"/>
    <w:rsid w:val="00F31402"/>
    <w:rsid w:val="00F318EB"/>
    <w:rsid w:val="00F31EDF"/>
    <w:rsid w:val="00F32507"/>
    <w:rsid w:val="00F32CDE"/>
    <w:rsid w:val="00F32D4C"/>
    <w:rsid w:val="00F3327E"/>
    <w:rsid w:val="00F338C3"/>
    <w:rsid w:val="00F34B14"/>
    <w:rsid w:val="00F34CF1"/>
    <w:rsid w:val="00F34E35"/>
    <w:rsid w:val="00F34F58"/>
    <w:rsid w:val="00F3572F"/>
    <w:rsid w:val="00F35DA7"/>
    <w:rsid w:val="00F361BD"/>
    <w:rsid w:val="00F36A6A"/>
    <w:rsid w:val="00F40101"/>
    <w:rsid w:val="00F404F7"/>
    <w:rsid w:val="00F40CCA"/>
    <w:rsid w:val="00F41E02"/>
    <w:rsid w:val="00F42AA4"/>
    <w:rsid w:val="00F42D97"/>
    <w:rsid w:val="00F42F0E"/>
    <w:rsid w:val="00F42FCF"/>
    <w:rsid w:val="00F436B2"/>
    <w:rsid w:val="00F43813"/>
    <w:rsid w:val="00F43FEE"/>
    <w:rsid w:val="00F440B0"/>
    <w:rsid w:val="00F44114"/>
    <w:rsid w:val="00F4492F"/>
    <w:rsid w:val="00F45030"/>
    <w:rsid w:val="00F45A72"/>
    <w:rsid w:val="00F46723"/>
    <w:rsid w:val="00F4706D"/>
    <w:rsid w:val="00F47309"/>
    <w:rsid w:val="00F476E1"/>
    <w:rsid w:val="00F47855"/>
    <w:rsid w:val="00F47D1D"/>
    <w:rsid w:val="00F47F29"/>
    <w:rsid w:val="00F50016"/>
    <w:rsid w:val="00F5118A"/>
    <w:rsid w:val="00F51A21"/>
    <w:rsid w:val="00F51A35"/>
    <w:rsid w:val="00F523B9"/>
    <w:rsid w:val="00F52614"/>
    <w:rsid w:val="00F5276E"/>
    <w:rsid w:val="00F52E9F"/>
    <w:rsid w:val="00F532B2"/>
    <w:rsid w:val="00F53304"/>
    <w:rsid w:val="00F53B81"/>
    <w:rsid w:val="00F53C15"/>
    <w:rsid w:val="00F540FE"/>
    <w:rsid w:val="00F5459A"/>
    <w:rsid w:val="00F556FF"/>
    <w:rsid w:val="00F55D12"/>
    <w:rsid w:val="00F5687F"/>
    <w:rsid w:val="00F56D3F"/>
    <w:rsid w:val="00F575C7"/>
    <w:rsid w:val="00F57CC1"/>
    <w:rsid w:val="00F57DF7"/>
    <w:rsid w:val="00F57FD0"/>
    <w:rsid w:val="00F60305"/>
    <w:rsid w:val="00F61B12"/>
    <w:rsid w:val="00F61C70"/>
    <w:rsid w:val="00F627D8"/>
    <w:rsid w:val="00F62869"/>
    <w:rsid w:val="00F62B43"/>
    <w:rsid w:val="00F62ED4"/>
    <w:rsid w:val="00F63264"/>
    <w:rsid w:val="00F634E4"/>
    <w:rsid w:val="00F6379E"/>
    <w:rsid w:val="00F64047"/>
    <w:rsid w:val="00F65171"/>
    <w:rsid w:val="00F6533A"/>
    <w:rsid w:val="00F6560D"/>
    <w:rsid w:val="00F669BD"/>
    <w:rsid w:val="00F67844"/>
    <w:rsid w:val="00F67B09"/>
    <w:rsid w:val="00F705F6"/>
    <w:rsid w:val="00F70795"/>
    <w:rsid w:val="00F70799"/>
    <w:rsid w:val="00F70A8B"/>
    <w:rsid w:val="00F70B8D"/>
    <w:rsid w:val="00F71936"/>
    <w:rsid w:val="00F71F81"/>
    <w:rsid w:val="00F724FB"/>
    <w:rsid w:val="00F726B8"/>
    <w:rsid w:val="00F72A26"/>
    <w:rsid w:val="00F733C3"/>
    <w:rsid w:val="00F73E15"/>
    <w:rsid w:val="00F746A1"/>
    <w:rsid w:val="00F74820"/>
    <w:rsid w:val="00F7506D"/>
    <w:rsid w:val="00F755DD"/>
    <w:rsid w:val="00F756DD"/>
    <w:rsid w:val="00F77F4E"/>
    <w:rsid w:val="00F80047"/>
    <w:rsid w:val="00F800C7"/>
    <w:rsid w:val="00F80361"/>
    <w:rsid w:val="00F8104D"/>
    <w:rsid w:val="00F8153F"/>
    <w:rsid w:val="00F81587"/>
    <w:rsid w:val="00F819DE"/>
    <w:rsid w:val="00F81B2A"/>
    <w:rsid w:val="00F81C12"/>
    <w:rsid w:val="00F82053"/>
    <w:rsid w:val="00F825C4"/>
    <w:rsid w:val="00F8263C"/>
    <w:rsid w:val="00F8288F"/>
    <w:rsid w:val="00F8376E"/>
    <w:rsid w:val="00F83C52"/>
    <w:rsid w:val="00F840EC"/>
    <w:rsid w:val="00F84802"/>
    <w:rsid w:val="00F84B25"/>
    <w:rsid w:val="00F85B72"/>
    <w:rsid w:val="00F86540"/>
    <w:rsid w:val="00F865CE"/>
    <w:rsid w:val="00F8766F"/>
    <w:rsid w:val="00F901B3"/>
    <w:rsid w:val="00F90282"/>
    <w:rsid w:val="00F90BC8"/>
    <w:rsid w:val="00F91082"/>
    <w:rsid w:val="00F9116D"/>
    <w:rsid w:val="00F91171"/>
    <w:rsid w:val="00F91342"/>
    <w:rsid w:val="00F917F3"/>
    <w:rsid w:val="00F91A9A"/>
    <w:rsid w:val="00F923AF"/>
    <w:rsid w:val="00F92634"/>
    <w:rsid w:val="00F933F3"/>
    <w:rsid w:val="00F93ABB"/>
    <w:rsid w:val="00F94D79"/>
    <w:rsid w:val="00F9658C"/>
    <w:rsid w:val="00F96EEB"/>
    <w:rsid w:val="00F97A7F"/>
    <w:rsid w:val="00F97CD0"/>
    <w:rsid w:val="00F97D7A"/>
    <w:rsid w:val="00FA0889"/>
    <w:rsid w:val="00FA16E7"/>
    <w:rsid w:val="00FA31C7"/>
    <w:rsid w:val="00FA472D"/>
    <w:rsid w:val="00FA4E96"/>
    <w:rsid w:val="00FA5A92"/>
    <w:rsid w:val="00FA681F"/>
    <w:rsid w:val="00FB0261"/>
    <w:rsid w:val="00FB0CBF"/>
    <w:rsid w:val="00FB18F6"/>
    <w:rsid w:val="00FB2A52"/>
    <w:rsid w:val="00FB3961"/>
    <w:rsid w:val="00FB39E0"/>
    <w:rsid w:val="00FB3F92"/>
    <w:rsid w:val="00FB52C7"/>
    <w:rsid w:val="00FB57DC"/>
    <w:rsid w:val="00FB5915"/>
    <w:rsid w:val="00FB6E19"/>
    <w:rsid w:val="00FB71F6"/>
    <w:rsid w:val="00FB74F1"/>
    <w:rsid w:val="00FC056A"/>
    <w:rsid w:val="00FC0670"/>
    <w:rsid w:val="00FC07AF"/>
    <w:rsid w:val="00FC0AF8"/>
    <w:rsid w:val="00FC0B69"/>
    <w:rsid w:val="00FC1055"/>
    <w:rsid w:val="00FC1238"/>
    <w:rsid w:val="00FC1483"/>
    <w:rsid w:val="00FC1BEF"/>
    <w:rsid w:val="00FC1C47"/>
    <w:rsid w:val="00FC2869"/>
    <w:rsid w:val="00FC2F9E"/>
    <w:rsid w:val="00FC3102"/>
    <w:rsid w:val="00FC3848"/>
    <w:rsid w:val="00FC39ED"/>
    <w:rsid w:val="00FC3D40"/>
    <w:rsid w:val="00FC4419"/>
    <w:rsid w:val="00FC47E2"/>
    <w:rsid w:val="00FC4AA5"/>
    <w:rsid w:val="00FC4B88"/>
    <w:rsid w:val="00FC4BB8"/>
    <w:rsid w:val="00FC5148"/>
    <w:rsid w:val="00FC6524"/>
    <w:rsid w:val="00FC6B58"/>
    <w:rsid w:val="00FC711D"/>
    <w:rsid w:val="00FC75AC"/>
    <w:rsid w:val="00FC7984"/>
    <w:rsid w:val="00FD01BF"/>
    <w:rsid w:val="00FD0525"/>
    <w:rsid w:val="00FD0AB7"/>
    <w:rsid w:val="00FD297D"/>
    <w:rsid w:val="00FD2D13"/>
    <w:rsid w:val="00FD33EA"/>
    <w:rsid w:val="00FD374D"/>
    <w:rsid w:val="00FD4D2A"/>
    <w:rsid w:val="00FD6071"/>
    <w:rsid w:val="00FD633B"/>
    <w:rsid w:val="00FD66ED"/>
    <w:rsid w:val="00FD6ABA"/>
    <w:rsid w:val="00FE0794"/>
    <w:rsid w:val="00FE1041"/>
    <w:rsid w:val="00FE1614"/>
    <w:rsid w:val="00FE24CB"/>
    <w:rsid w:val="00FE25B1"/>
    <w:rsid w:val="00FE323F"/>
    <w:rsid w:val="00FE3473"/>
    <w:rsid w:val="00FE4049"/>
    <w:rsid w:val="00FE4794"/>
    <w:rsid w:val="00FE480F"/>
    <w:rsid w:val="00FE4998"/>
    <w:rsid w:val="00FE5382"/>
    <w:rsid w:val="00FE57DE"/>
    <w:rsid w:val="00FE719F"/>
    <w:rsid w:val="00FE7A68"/>
    <w:rsid w:val="00FF0231"/>
    <w:rsid w:val="00FF056D"/>
    <w:rsid w:val="00FF1C9B"/>
    <w:rsid w:val="00FF1D49"/>
    <w:rsid w:val="00FF203B"/>
    <w:rsid w:val="00FF2562"/>
    <w:rsid w:val="00FF3A41"/>
    <w:rsid w:val="00FF3E5B"/>
    <w:rsid w:val="00FF5183"/>
    <w:rsid w:val="00FF57E4"/>
    <w:rsid w:val="00FF5E26"/>
    <w:rsid w:val="00FF5ECD"/>
    <w:rsid w:val="00FF6149"/>
    <w:rsid w:val="00FF78E5"/>
    <w:rsid w:val="012C5FAF"/>
    <w:rsid w:val="01AF3D99"/>
    <w:rsid w:val="02511F9D"/>
    <w:rsid w:val="02BC4D60"/>
    <w:rsid w:val="03A314B8"/>
    <w:rsid w:val="03D82B98"/>
    <w:rsid w:val="03F83E8B"/>
    <w:rsid w:val="04FE20AB"/>
    <w:rsid w:val="05B74B23"/>
    <w:rsid w:val="05C56868"/>
    <w:rsid w:val="07A539BD"/>
    <w:rsid w:val="07B72767"/>
    <w:rsid w:val="08077E72"/>
    <w:rsid w:val="08882DD0"/>
    <w:rsid w:val="091D4D2D"/>
    <w:rsid w:val="096920C0"/>
    <w:rsid w:val="09CC2AAC"/>
    <w:rsid w:val="0A652D3E"/>
    <w:rsid w:val="0B326F2A"/>
    <w:rsid w:val="0BA7CADB"/>
    <w:rsid w:val="0C1E2888"/>
    <w:rsid w:val="0C6A432F"/>
    <w:rsid w:val="0C92213C"/>
    <w:rsid w:val="0CC2027E"/>
    <w:rsid w:val="0D84032B"/>
    <w:rsid w:val="0F2A74C4"/>
    <w:rsid w:val="10A27F31"/>
    <w:rsid w:val="10F96715"/>
    <w:rsid w:val="11927058"/>
    <w:rsid w:val="120E171E"/>
    <w:rsid w:val="13AF4F03"/>
    <w:rsid w:val="14736E66"/>
    <w:rsid w:val="147F458F"/>
    <w:rsid w:val="1534169A"/>
    <w:rsid w:val="15C03E03"/>
    <w:rsid w:val="162A25EB"/>
    <w:rsid w:val="16735895"/>
    <w:rsid w:val="16FD2A55"/>
    <w:rsid w:val="17067C1A"/>
    <w:rsid w:val="17366761"/>
    <w:rsid w:val="177C01F0"/>
    <w:rsid w:val="179E3EFA"/>
    <w:rsid w:val="17CE6630"/>
    <w:rsid w:val="189B1A6C"/>
    <w:rsid w:val="1AE6663D"/>
    <w:rsid w:val="1AFF0AFE"/>
    <w:rsid w:val="1B4F19F8"/>
    <w:rsid w:val="1BAA4D27"/>
    <w:rsid w:val="1CBC32B2"/>
    <w:rsid w:val="1D063C00"/>
    <w:rsid w:val="1ECC44FA"/>
    <w:rsid w:val="1F063325"/>
    <w:rsid w:val="1FBC5DF5"/>
    <w:rsid w:val="1FF90588"/>
    <w:rsid w:val="20547B2C"/>
    <w:rsid w:val="208F07C2"/>
    <w:rsid w:val="20C3623F"/>
    <w:rsid w:val="21781212"/>
    <w:rsid w:val="21B83F86"/>
    <w:rsid w:val="21FC059F"/>
    <w:rsid w:val="221178A8"/>
    <w:rsid w:val="221213CF"/>
    <w:rsid w:val="22327A92"/>
    <w:rsid w:val="230010F2"/>
    <w:rsid w:val="231D53A2"/>
    <w:rsid w:val="236D5383"/>
    <w:rsid w:val="23B7504C"/>
    <w:rsid w:val="24571307"/>
    <w:rsid w:val="25110A2A"/>
    <w:rsid w:val="256C0944"/>
    <w:rsid w:val="26446DE3"/>
    <w:rsid w:val="26877DFE"/>
    <w:rsid w:val="269669E7"/>
    <w:rsid w:val="26A270C1"/>
    <w:rsid w:val="26D7699F"/>
    <w:rsid w:val="28C25934"/>
    <w:rsid w:val="29D75F7F"/>
    <w:rsid w:val="2B724B56"/>
    <w:rsid w:val="2B774624"/>
    <w:rsid w:val="2C571C81"/>
    <w:rsid w:val="2C7A72BE"/>
    <w:rsid w:val="2C9A7D75"/>
    <w:rsid w:val="2CC17412"/>
    <w:rsid w:val="2D1C0096"/>
    <w:rsid w:val="2D7C1E99"/>
    <w:rsid w:val="2D962D7E"/>
    <w:rsid w:val="2DEF4571"/>
    <w:rsid w:val="2E9976CE"/>
    <w:rsid w:val="2EF01DEE"/>
    <w:rsid w:val="2EF901D3"/>
    <w:rsid w:val="2F401D3C"/>
    <w:rsid w:val="2F5B24E1"/>
    <w:rsid w:val="2F5D7E64"/>
    <w:rsid w:val="2FA95C88"/>
    <w:rsid w:val="3041370F"/>
    <w:rsid w:val="30B87FED"/>
    <w:rsid w:val="30D223ED"/>
    <w:rsid w:val="312B50A3"/>
    <w:rsid w:val="31894FD2"/>
    <w:rsid w:val="322C3CB1"/>
    <w:rsid w:val="32453A27"/>
    <w:rsid w:val="3263064A"/>
    <w:rsid w:val="32A43132"/>
    <w:rsid w:val="32AC0C06"/>
    <w:rsid w:val="33344EF5"/>
    <w:rsid w:val="33FFB707"/>
    <w:rsid w:val="352D4341"/>
    <w:rsid w:val="3537750C"/>
    <w:rsid w:val="3537798C"/>
    <w:rsid w:val="35C13FC9"/>
    <w:rsid w:val="36372B05"/>
    <w:rsid w:val="364257B6"/>
    <w:rsid w:val="377FC262"/>
    <w:rsid w:val="378E4D44"/>
    <w:rsid w:val="37EA5922"/>
    <w:rsid w:val="38276B93"/>
    <w:rsid w:val="382E58B8"/>
    <w:rsid w:val="38AC3431"/>
    <w:rsid w:val="392F2E16"/>
    <w:rsid w:val="39D39968"/>
    <w:rsid w:val="39E00529"/>
    <w:rsid w:val="3A0B64A7"/>
    <w:rsid w:val="3A257964"/>
    <w:rsid w:val="3A574DDA"/>
    <w:rsid w:val="3AD3075A"/>
    <w:rsid w:val="3AF74C02"/>
    <w:rsid w:val="3BFAD838"/>
    <w:rsid w:val="3C0059A5"/>
    <w:rsid w:val="3C134E78"/>
    <w:rsid w:val="3C44609B"/>
    <w:rsid w:val="3D332398"/>
    <w:rsid w:val="3D67DC54"/>
    <w:rsid w:val="3DF6345D"/>
    <w:rsid w:val="3E2B5515"/>
    <w:rsid w:val="3E4D4F28"/>
    <w:rsid w:val="3E7A617F"/>
    <w:rsid w:val="3ED92EC4"/>
    <w:rsid w:val="3EE13701"/>
    <w:rsid w:val="3EFFA070"/>
    <w:rsid w:val="3F1A4BB3"/>
    <w:rsid w:val="400D1059"/>
    <w:rsid w:val="40192BA6"/>
    <w:rsid w:val="41766EA9"/>
    <w:rsid w:val="42550A18"/>
    <w:rsid w:val="429D496A"/>
    <w:rsid w:val="42F473A1"/>
    <w:rsid w:val="437217EA"/>
    <w:rsid w:val="43925BE2"/>
    <w:rsid w:val="43AB7156"/>
    <w:rsid w:val="441009D8"/>
    <w:rsid w:val="441E62C0"/>
    <w:rsid w:val="45325D14"/>
    <w:rsid w:val="45811C7C"/>
    <w:rsid w:val="45906116"/>
    <w:rsid w:val="45931B8C"/>
    <w:rsid w:val="45EF2552"/>
    <w:rsid w:val="468B3EFB"/>
    <w:rsid w:val="470A6193"/>
    <w:rsid w:val="47385210"/>
    <w:rsid w:val="475510F8"/>
    <w:rsid w:val="47DC4F5C"/>
    <w:rsid w:val="48107BB4"/>
    <w:rsid w:val="488322E7"/>
    <w:rsid w:val="48B40671"/>
    <w:rsid w:val="48E01E61"/>
    <w:rsid w:val="499B5738"/>
    <w:rsid w:val="499F244D"/>
    <w:rsid w:val="4A684616"/>
    <w:rsid w:val="4A973F3F"/>
    <w:rsid w:val="4AEB2504"/>
    <w:rsid w:val="4AF96BC7"/>
    <w:rsid w:val="4B862A85"/>
    <w:rsid w:val="4BC845F3"/>
    <w:rsid w:val="4CEF36E2"/>
    <w:rsid w:val="4CEF4DC5"/>
    <w:rsid w:val="4DCFB903"/>
    <w:rsid w:val="4E257655"/>
    <w:rsid w:val="4F1E5CCF"/>
    <w:rsid w:val="4F372380"/>
    <w:rsid w:val="4F372FFB"/>
    <w:rsid w:val="4FF6A7A1"/>
    <w:rsid w:val="5025116D"/>
    <w:rsid w:val="52395ECD"/>
    <w:rsid w:val="524B066C"/>
    <w:rsid w:val="52817D5B"/>
    <w:rsid w:val="52C10D75"/>
    <w:rsid w:val="52F26CA4"/>
    <w:rsid w:val="533035D3"/>
    <w:rsid w:val="53C27FF8"/>
    <w:rsid w:val="543F566E"/>
    <w:rsid w:val="546936AC"/>
    <w:rsid w:val="54806794"/>
    <w:rsid w:val="549E1A80"/>
    <w:rsid w:val="54C658F4"/>
    <w:rsid w:val="550C4BD7"/>
    <w:rsid w:val="552E4295"/>
    <w:rsid w:val="554C1D56"/>
    <w:rsid w:val="55572986"/>
    <w:rsid w:val="55703A4D"/>
    <w:rsid w:val="557A2A35"/>
    <w:rsid w:val="565340FA"/>
    <w:rsid w:val="56AD5F59"/>
    <w:rsid w:val="56C60774"/>
    <w:rsid w:val="57341756"/>
    <w:rsid w:val="57AF0AE8"/>
    <w:rsid w:val="57B12A52"/>
    <w:rsid w:val="57EF62EE"/>
    <w:rsid w:val="59E309EE"/>
    <w:rsid w:val="5A2F2CC8"/>
    <w:rsid w:val="5B48305A"/>
    <w:rsid w:val="5B8D079B"/>
    <w:rsid w:val="5C10702D"/>
    <w:rsid w:val="5C152601"/>
    <w:rsid w:val="5C591F03"/>
    <w:rsid w:val="5C8A1B2F"/>
    <w:rsid w:val="5CDE240E"/>
    <w:rsid w:val="5D1A1C92"/>
    <w:rsid w:val="5EB92810"/>
    <w:rsid w:val="5F561B72"/>
    <w:rsid w:val="5F8A72D7"/>
    <w:rsid w:val="5FAA6092"/>
    <w:rsid w:val="5FB524FA"/>
    <w:rsid w:val="606007BB"/>
    <w:rsid w:val="60AC7F66"/>
    <w:rsid w:val="61BF10D9"/>
    <w:rsid w:val="62AC22DC"/>
    <w:rsid w:val="63A22BFD"/>
    <w:rsid w:val="642B10E5"/>
    <w:rsid w:val="64860269"/>
    <w:rsid w:val="64E45EF7"/>
    <w:rsid w:val="6691014E"/>
    <w:rsid w:val="669C3338"/>
    <w:rsid w:val="66C87CCE"/>
    <w:rsid w:val="677435B2"/>
    <w:rsid w:val="67B13EAA"/>
    <w:rsid w:val="67EF75F1"/>
    <w:rsid w:val="680074AC"/>
    <w:rsid w:val="684F4F11"/>
    <w:rsid w:val="69124F16"/>
    <w:rsid w:val="69863E30"/>
    <w:rsid w:val="69CD5C14"/>
    <w:rsid w:val="69CF0D33"/>
    <w:rsid w:val="6B9946B3"/>
    <w:rsid w:val="6BE518DA"/>
    <w:rsid w:val="6BF07522"/>
    <w:rsid w:val="6C276F3A"/>
    <w:rsid w:val="6C2E0077"/>
    <w:rsid w:val="6C7007C7"/>
    <w:rsid w:val="6DE76850"/>
    <w:rsid w:val="6F2F0361"/>
    <w:rsid w:val="6FB20BD4"/>
    <w:rsid w:val="6FBA59BE"/>
    <w:rsid w:val="6FF92664"/>
    <w:rsid w:val="70296B3E"/>
    <w:rsid w:val="70611204"/>
    <w:rsid w:val="7165620F"/>
    <w:rsid w:val="717039F8"/>
    <w:rsid w:val="71730F45"/>
    <w:rsid w:val="721D4AB2"/>
    <w:rsid w:val="72297D6C"/>
    <w:rsid w:val="73FB30D7"/>
    <w:rsid w:val="74D13AD5"/>
    <w:rsid w:val="74FA2C30"/>
    <w:rsid w:val="75026F65"/>
    <w:rsid w:val="754D5C4B"/>
    <w:rsid w:val="76C240A7"/>
    <w:rsid w:val="76DA416A"/>
    <w:rsid w:val="770B4BAE"/>
    <w:rsid w:val="775246B7"/>
    <w:rsid w:val="77EDFF5E"/>
    <w:rsid w:val="77F5559F"/>
    <w:rsid w:val="781E69D1"/>
    <w:rsid w:val="7901747F"/>
    <w:rsid w:val="79D60454"/>
    <w:rsid w:val="79E6392E"/>
    <w:rsid w:val="7A263B6B"/>
    <w:rsid w:val="7A5D0D05"/>
    <w:rsid w:val="7AF46346"/>
    <w:rsid w:val="7B0F5EBF"/>
    <w:rsid w:val="7B130FB9"/>
    <w:rsid w:val="7B892BA7"/>
    <w:rsid w:val="7BAB6FC2"/>
    <w:rsid w:val="7BD71E38"/>
    <w:rsid w:val="7BE7CA11"/>
    <w:rsid w:val="7BF64EDE"/>
    <w:rsid w:val="7C400C1E"/>
    <w:rsid w:val="7CCE5A9F"/>
    <w:rsid w:val="7D9E4DFA"/>
    <w:rsid w:val="7DD11708"/>
    <w:rsid w:val="7DEE4A4F"/>
    <w:rsid w:val="7E27546D"/>
    <w:rsid w:val="7E6CC026"/>
    <w:rsid w:val="7EAE6230"/>
    <w:rsid w:val="7EBD579E"/>
    <w:rsid w:val="7EC167BD"/>
    <w:rsid w:val="7EC50900"/>
    <w:rsid w:val="7F272D9E"/>
    <w:rsid w:val="7F941220"/>
    <w:rsid w:val="7FB323F0"/>
    <w:rsid w:val="7FDD5EA7"/>
    <w:rsid w:val="7FEFA4DC"/>
    <w:rsid w:val="7FFB979B"/>
    <w:rsid w:val="7FFCA31B"/>
    <w:rsid w:val="7FFF0876"/>
    <w:rsid w:val="8EFD79C1"/>
    <w:rsid w:val="9FB7CA06"/>
    <w:rsid w:val="9FBFFE11"/>
    <w:rsid w:val="9FFAD1AB"/>
    <w:rsid w:val="9FFE1324"/>
    <w:rsid w:val="A5DEFF5F"/>
    <w:rsid w:val="B72E4223"/>
    <w:rsid w:val="B7F76A68"/>
    <w:rsid w:val="BE6AD4EE"/>
    <w:rsid w:val="BFCF1353"/>
    <w:rsid w:val="D7FF002A"/>
    <w:rsid w:val="DB9FBBF2"/>
    <w:rsid w:val="DCDEA9D1"/>
    <w:rsid w:val="DECD774A"/>
    <w:rsid w:val="DFE78CE6"/>
    <w:rsid w:val="DFFEA74D"/>
    <w:rsid w:val="E7FF040B"/>
    <w:rsid w:val="EFFFD02D"/>
    <w:rsid w:val="F4E72BD6"/>
    <w:rsid w:val="F7AFF7D6"/>
    <w:rsid w:val="F7EBCFDB"/>
    <w:rsid w:val="F7FFB488"/>
    <w:rsid w:val="F9FD6FD7"/>
    <w:rsid w:val="FBFF6719"/>
    <w:rsid w:val="FC6F6696"/>
    <w:rsid w:val="FCDECDCD"/>
    <w:rsid w:val="FDD77343"/>
    <w:rsid w:val="FDFBCE36"/>
    <w:rsid w:val="FFCBF484"/>
    <w:rsid w:val="FFEA1F7A"/>
    <w:rsid w:val="FFF2AF88"/>
    <w:rsid w:val="FFFA0C59"/>
    <w:rsid w:val="FFFD4BFE"/>
    <w:rsid w:val="FFFFA95B"/>
    <w:rsid w:val="FFFFE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99" w:semiHidden="0" w:name="heading 5"/>
    <w:lsdException w:qFormat="1" w:unhideWhenUsed="0" w:uiPriority="9" w:semiHidden="0" w:name="heading 6"/>
    <w:lsdException w:qFormat="1" w:unhideWhenUsed="0" w:uiPriority="0" w:semiHidden="0" w:name="heading 7"/>
    <w:lsdException w:qFormat="1" w:unhideWhenUsed="0" w:uiPriority="9"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0" w:semiHidden="0" w:name="footnote text"/>
    <w:lsdException w:qFormat="1" w:unhideWhenUsed="0" w:uiPriority="99" w:semiHidden="0" w:name="annotation text"/>
    <w:lsdException w:qFormat="1" w:uiPriority="0" w:semiHidden="0" w:name="header"/>
    <w:lsdException w:qFormat="1"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qFormat="1" w:uiPriority="0" w:semiHidden="0" w:name="footnote reference"/>
    <w:lsdException w:qFormat="1" w:unhideWhenUsed="0" w:uiPriority="0" w:semiHidden="0" w:name="annotation reference"/>
    <w:lsdException w:uiPriority="99" w:name="line number"/>
    <w:lsdException w:qFormat="1" w:unhideWhenUsed="0" w:uiPriority="99" w:semiHidden="0"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qFormat="1" w:unhideWhenUsed="0" w:uiPriority="99" w:semiHidden="0" w:name="FollowedHyperlink"/>
    <w:lsdException w:qFormat="1" w:unhideWhenUsed="0" w:uiPriority="22" w:semiHidden="0" w:name="Strong"/>
    <w:lsdException w:qFormat="1" w:unhideWhenUsed="0" w:uiPriority="99" w:semiHidden="0" w:name="Emphasis"/>
    <w:lsdException w:qFormat="1" w:unhideWhenUsed="0" w:uiPriority="0" w:semiHidden="0"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5"/>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56"/>
    <w:qFormat/>
    <w:uiPriority w:val="0"/>
    <w:pPr>
      <w:keepNext/>
      <w:keepLines/>
      <w:spacing w:before="260" w:after="260" w:line="416" w:lineRule="auto"/>
      <w:outlineLvl w:val="2"/>
    </w:pPr>
    <w:rPr>
      <w:b/>
      <w:bCs/>
      <w:sz w:val="32"/>
      <w:szCs w:val="32"/>
    </w:rPr>
  </w:style>
  <w:style w:type="paragraph" w:styleId="5">
    <w:name w:val="heading 4"/>
    <w:basedOn w:val="1"/>
    <w:next w:val="1"/>
    <w:link w:val="57"/>
    <w:qFormat/>
    <w:uiPriority w:val="9"/>
    <w:pPr>
      <w:keepNext/>
      <w:keepLines/>
      <w:spacing w:line="360" w:lineRule="auto"/>
      <w:outlineLvl w:val="3"/>
    </w:pPr>
    <w:rPr>
      <w:rFonts w:ascii="Arial" w:hAnsi="Arial"/>
      <w:b/>
      <w:bCs/>
      <w:sz w:val="28"/>
      <w:szCs w:val="28"/>
    </w:rPr>
  </w:style>
  <w:style w:type="paragraph" w:styleId="6">
    <w:name w:val="heading 5"/>
    <w:basedOn w:val="1"/>
    <w:next w:val="7"/>
    <w:link w:val="58"/>
    <w:qFormat/>
    <w:uiPriority w:val="99"/>
    <w:pPr>
      <w:keepNext/>
      <w:keepLines/>
      <w:spacing w:before="280" w:after="290" w:line="376" w:lineRule="auto"/>
      <w:outlineLvl w:val="4"/>
    </w:pPr>
    <w:rPr>
      <w:b/>
      <w:bCs/>
      <w:sz w:val="28"/>
      <w:szCs w:val="28"/>
    </w:rPr>
  </w:style>
  <w:style w:type="paragraph" w:styleId="8">
    <w:name w:val="heading 6"/>
    <w:basedOn w:val="1"/>
    <w:next w:val="1"/>
    <w:link w:val="60"/>
    <w:qFormat/>
    <w:uiPriority w:val="9"/>
    <w:pPr>
      <w:keepNext/>
      <w:keepLines/>
      <w:spacing w:before="240" w:after="64" w:line="317" w:lineRule="auto"/>
      <w:outlineLvl w:val="5"/>
    </w:pPr>
    <w:rPr>
      <w:rFonts w:ascii="Cambria" w:hAnsi="Cambria"/>
      <w:b/>
      <w:bCs/>
      <w:kern w:val="0"/>
      <w:sz w:val="24"/>
    </w:rPr>
  </w:style>
  <w:style w:type="paragraph" w:styleId="9">
    <w:name w:val="heading 7"/>
    <w:basedOn w:val="1"/>
    <w:next w:val="1"/>
    <w:link w:val="61"/>
    <w:qFormat/>
    <w:uiPriority w:val="0"/>
    <w:pPr>
      <w:keepNext/>
      <w:keepLines/>
      <w:spacing w:before="240" w:after="64" w:line="317" w:lineRule="auto"/>
      <w:outlineLvl w:val="6"/>
    </w:pPr>
    <w:rPr>
      <w:b/>
      <w:bCs/>
      <w:kern w:val="0"/>
      <w:sz w:val="24"/>
    </w:rPr>
  </w:style>
  <w:style w:type="paragraph" w:styleId="10">
    <w:name w:val="heading 8"/>
    <w:basedOn w:val="1"/>
    <w:next w:val="1"/>
    <w:link w:val="62"/>
    <w:qFormat/>
    <w:uiPriority w:val="9"/>
    <w:pPr>
      <w:keepNext/>
      <w:keepLines/>
      <w:spacing w:before="240" w:after="64" w:line="320" w:lineRule="auto"/>
      <w:outlineLvl w:val="7"/>
    </w:pPr>
    <w:rPr>
      <w:rFonts w:ascii="等线 Light" w:hAnsi="等线 Light" w:eastAsia="等线 Light"/>
      <w:sz w:val="24"/>
    </w:rPr>
  </w:style>
  <w:style w:type="paragraph" w:styleId="11">
    <w:name w:val="heading 9"/>
    <w:basedOn w:val="1"/>
    <w:next w:val="1"/>
    <w:link w:val="63"/>
    <w:qFormat/>
    <w:uiPriority w:val="0"/>
    <w:pPr>
      <w:keepNext/>
      <w:keepLines/>
      <w:spacing w:before="240" w:after="64" w:line="317" w:lineRule="auto"/>
      <w:outlineLvl w:val="8"/>
    </w:pPr>
    <w:rPr>
      <w:rFonts w:ascii="Cambria" w:hAnsi="Cambria"/>
      <w:kern w:val="0"/>
      <w:sz w:val="20"/>
      <w:szCs w:val="21"/>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59"/>
    <w:qFormat/>
    <w:uiPriority w:val="99"/>
    <w:pPr>
      <w:ind w:firstLine="420"/>
    </w:pPr>
    <w:rPr>
      <w:szCs w:val="20"/>
    </w:rPr>
  </w:style>
  <w:style w:type="paragraph" w:styleId="12">
    <w:name w:val="toc 7"/>
    <w:basedOn w:val="1"/>
    <w:next w:val="1"/>
    <w:qFormat/>
    <w:uiPriority w:val="39"/>
    <w:pPr>
      <w:ind w:left="2520" w:leftChars="1200"/>
    </w:pPr>
    <w:rPr>
      <w:rFonts w:ascii="Calibri" w:hAnsi="Calibri" w:cs="Calibri"/>
      <w:szCs w:val="21"/>
    </w:rPr>
  </w:style>
  <w:style w:type="paragraph" w:styleId="13">
    <w:name w:val="index 8"/>
    <w:basedOn w:val="1"/>
    <w:next w:val="1"/>
    <w:qFormat/>
    <w:uiPriority w:val="0"/>
    <w:pPr>
      <w:ind w:left="2940"/>
    </w:pPr>
  </w:style>
  <w:style w:type="paragraph" w:styleId="14">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5">
    <w:name w:val="caption"/>
    <w:basedOn w:val="1"/>
    <w:next w:val="1"/>
    <w:qFormat/>
    <w:uiPriority w:val="99"/>
    <w:rPr>
      <w:rFonts w:ascii="Cambria" w:hAnsi="Cambria" w:eastAsia="黑体" w:cs="Cambria"/>
      <w:sz w:val="20"/>
      <w:szCs w:val="20"/>
    </w:rPr>
  </w:style>
  <w:style w:type="paragraph" w:styleId="16">
    <w:name w:val="Document Map"/>
    <w:basedOn w:val="1"/>
    <w:link w:val="64"/>
    <w:qFormat/>
    <w:uiPriority w:val="0"/>
    <w:pPr>
      <w:shd w:val="clear" w:color="auto" w:fill="000080"/>
    </w:pPr>
    <w:rPr>
      <w:sz w:val="24"/>
      <w:shd w:val="clear" w:color="auto" w:fill="000080"/>
    </w:rPr>
  </w:style>
  <w:style w:type="paragraph" w:styleId="17">
    <w:name w:val="annotation text"/>
    <w:basedOn w:val="1"/>
    <w:link w:val="65"/>
    <w:qFormat/>
    <w:uiPriority w:val="99"/>
    <w:pPr>
      <w:jc w:val="left"/>
    </w:pPr>
  </w:style>
  <w:style w:type="paragraph" w:styleId="18">
    <w:name w:val="Body Text 3"/>
    <w:basedOn w:val="1"/>
    <w:link w:val="66"/>
    <w:unhideWhenUsed/>
    <w:qFormat/>
    <w:uiPriority w:val="99"/>
    <w:pPr>
      <w:spacing w:after="120"/>
    </w:pPr>
    <w:rPr>
      <w:sz w:val="16"/>
      <w:szCs w:val="16"/>
    </w:rPr>
  </w:style>
  <w:style w:type="paragraph" w:styleId="19">
    <w:name w:val="Body Text"/>
    <w:basedOn w:val="1"/>
    <w:link w:val="67"/>
    <w:unhideWhenUsed/>
    <w:qFormat/>
    <w:uiPriority w:val="99"/>
    <w:pPr>
      <w:spacing w:after="120"/>
    </w:pPr>
  </w:style>
  <w:style w:type="paragraph" w:styleId="20">
    <w:name w:val="Body Text Indent"/>
    <w:basedOn w:val="1"/>
    <w:link w:val="68"/>
    <w:qFormat/>
    <w:uiPriority w:val="99"/>
    <w:pPr>
      <w:ind w:firstLine="830" w:firstLineChars="352"/>
    </w:pPr>
    <w:rPr>
      <w:rFonts w:ascii="仿宋_GB2312" w:eastAsia="仿宋_GB2312"/>
      <w:kern w:val="0"/>
      <w:sz w:val="32"/>
      <w:szCs w:val="20"/>
    </w:rPr>
  </w:style>
  <w:style w:type="paragraph" w:styleId="21">
    <w:name w:val="List 2"/>
    <w:basedOn w:val="1"/>
    <w:unhideWhenUsed/>
    <w:qFormat/>
    <w:uiPriority w:val="99"/>
    <w:pPr>
      <w:ind w:left="100" w:leftChars="200" w:hanging="200" w:hangingChars="200"/>
      <w:contextualSpacing/>
    </w:pPr>
  </w:style>
  <w:style w:type="paragraph" w:styleId="22">
    <w:name w:val="index 4"/>
    <w:basedOn w:val="1"/>
    <w:next w:val="1"/>
    <w:semiHidden/>
    <w:qFormat/>
    <w:uiPriority w:val="99"/>
    <w:pPr>
      <w:ind w:left="600" w:leftChars="600"/>
    </w:pPr>
    <w:rPr>
      <w:szCs w:val="21"/>
    </w:rPr>
  </w:style>
  <w:style w:type="paragraph" w:styleId="23">
    <w:name w:val="toc 5"/>
    <w:basedOn w:val="1"/>
    <w:next w:val="1"/>
    <w:qFormat/>
    <w:uiPriority w:val="39"/>
    <w:pPr>
      <w:ind w:left="1680" w:leftChars="800"/>
    </w:pPr>
    <w:rPr>
      <w:rFonts w:ascii="Calibri" w:hAnsi="Calibri" w:cs="Calibri"/>
      <w:szCs w:val="21"/>
    </w:rPr>
  </w:style>
  <w:style w:type="paragraph" w:styleId="24">
    <w:name w:val="toc 3"/>
    <w:basedOn w:val="1"/>
    <w:next w:val="1"/>
    <w:qFormat/>
    <w:uiPriority w:val="39"/>
    <w:pPr>
      <w:ind w:left="840" w:leftChars="400"/>
    </w:pPr>
    <w:rPr>
      <w:szCs w:val="21"/>
    </w:rPr>
  </w:style>
  <w:style w:type="paragraph" w:styleId="25">
    <w:name w:val="Plain Text"/>
    <w:basedOn w:val="1"/>
    <w:next w:val="1"/>
    <w:link w:val="69"/>
    <w:qFormat/>
    <w:uiPriority w:val="99"/>
    <w:rPr>
      <w:rFonts w:ascii="宋体" w:hAnsi="Courier New"/>
      <w:kern w:val="0"/>
      <w:sz w:val="20"/>
      <w:szCs w:val="21"/>
    </w:rPr>
  </w:style>
  <w:style w:type="paragraph" w:styleId="26">
    <w:name w:val="toc 8"/>
    <w:basedOn w:val="1"/>
    <w:next w:val="1"/>
    <w:qFormat/>
    <w:uiPriority w:val="39"/>
    <w:pPr>
      <w:ind w:left="2940" w:leftChars="1400"/>
    </w:pPr>
    <w:rPr>
      <w:rFonts w:ascii="Calibri" w:hAnsi="Calibri" w:cs="Calibri"/>
      <w:szCs w:val="21"/>
    </w:rPr>
  </w:style>
  <w:style w:type="paragraph" w:styleId="27">
    <w:name w:val="Date"/>
    <w:basedOn w:val="1"/>
    <w:next w:val="1"/>
    <w:link w:val="70"/>
    <w:unhideWhenUsed/>
    <w:qFormat/>
    <w:uiPriority w:val="99"/>
    <w:pPr>
      <w:ind w:left="100" w:leftChars="2500"/>
    </w:pPr>
  </w:style>
  <w:style w:type="paragraph" w:styleId="28">
    <w:name w:val="Body Text Indent 2"/>
    <w:basedOn w:val="1"/>
    <w:link w:val="71"/>
    <w:qFormat/>
    <w:uiPriority w:val="99"/>
    <w:pPr>
      <w:spacing w:after="120" w:line="480" w:lineRule="auto"/>
      <w:ind w:left="420" w:leftChars="200"/>
    </w:pPr>
    <w:rPr>
      <w:sz w:val="24"/>
    </w:rPr>
  </w:style>
  <w:style w:type="paragraph" w:styleId="29">
    <w:name w:val="Balloon Text"/>
    <w:basedOn w:val="1"/>
    <w:link w:val="72"/>
    <w:qFormat/>
    <w:uiPriority w:val="0"/>
    <w:rPr>
      <w:sz w:val="18"/>
      <w:szCs w:val="18"/>
    </w:rPr>
  </w:style>
  <w:style w:type="paragraph" w:styleId="30">
    <w:name w:val="footer"/>
    <w:basedOn w:val="1"/>
    <w:link w:val="73"/>
    <w:unhideWhenUsed/>
    <w:qFormat/>
    <w:uiPriority w:val="99"/>
    <w:pPr>
      <w:tabs>
        <w:tab w:val="center" w:pos="4153"/>
        <w:tab w:val="right" w:pos="8306"/>
      </w:tabs>
      <w:snapToGrid w:val="0"/>
      <w:jc w:val="left"/>
    </w:pPr>
    <w:rPr>
      <w:kern w:val="0"/>
      <w:sz w:val="18"/>
      <w:szCs w:val="18"/>
    </w:rPr>
  </w:style>
  <w:style w:type="paragraph" w:styleId="31">
    <w:name w:val="header"/>
    <w:basedOn w:val="1"/>
    <w:link w:val="74"/>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32">
    <w:name w:val="toc 1"/>
    <w:basedOn w:val="1"/>
    <w:next w:val="1"/>
    <w:unhideWhenUsed/>
    <w:qFormat/>
    <w:uiPriority w:val="39"/>
  </w:style>
  <w:style w:type="paragraph" w:styleId="33">
    <w:name w:val="toc 4"/>
    <w:basedOn w:val="1"/>
    <w:next w:val="1"/>
    <w:qFormat/>
    <w:uiPriority w:val="39"/>
    <w:pPr>
      <w:ind w:left="1260" w:leftChars="600"/>
    </w:pPr>
    <w:rPr>
      <w:rFonts w:ascii="Calibri" w:hAnsi="Calibri" w:cs="Calibri"/>
      <w:szCs w:val="21"/>
    </w:rPr>
  </w:style>
  <w:style w:type="paragraph" w:styleId="34">
    <w:name w:val="Subtitle"/>
    <w:basedOn w:val="1"/>
    <w:next w:val="1"/>
    <w:link w:val="75"/>
    <w:qFormat/>
    <w:uiPriority w:val="11"/>
    <w:pPr>
      <w:spacing w:before="240" w:after="60" w:line="312" w:lineRule="auto"/>
      <w:jc w:val="center"/>
      <w:outlineLvl w:val="1"/>
    </w:pPr>
    <w:rPr>
      <w:rFonts w:ascii="Cambria" w:hAnsi="Cambria"/>
      <w:b/>
      <w:bCs/>
      <w:kern w:val="28"/>
      <w:sz w:val="32"/>
      <w:szCs w:val="32"/>
    </w:rPr>
  </w:style>
  <w:style w:type="paragraph" w:styleId="35">
    <w:name w:val="footnote text"/>
    <w:basedOn w:val="1"/>
    <w:link w:val="76"/>
    <w:qFormat/>
    <w:uiPriority w:val="0"/>
    <w:pPr>
      <w:adjustRightInd w:val="0"/>
      <w:spacing w:line="312" w:lineRule="atLeast"/>
      <w:jc w:val="left"/>
      <w:textAlignment w:val="baseline"/>
    </w:pPr>
    <w:rPr>
      <w:kern w:val="0"/>
      <w:sz w:val="18"/>
      <w:szCs w:val="18"/>
    </w:rPr>
  </w:style>
  <w:style w:type="paragraph" w:styleId="36">
    <w:name w:val="toc 6"/>
    <w:basedOn w:val="1"/>
    <w:next w:val="1"/>
    <w:qFormat/>
    <w:uiPriority w:val="39"/>
    <w:pPr>
      <w:ind w:left="2100" w:leftChars="1000"/>
    </w:pPr>
    <w:rPr>
      <w:rFonts w:ascii="Calibri" w:hAnsi="Calibri" w:cs="Calibri"/>
      <w:szCs w:val="21"/>
    </w:rPr>
  </w:style>
  <w:style w:type="paragraph" w:styleId="37">
    <w:name w:val="toc 2"/>
    <w:basedOn w:val="1"/>
    <w:next w:val="1"/>
    <w:unhideWhenUsed/>
    <w:qFormat/>
    <w:uiPriority w:val="39"/>
    <w:pPr>
      <w:tabs>
        <w:tab w:val="right" w:leader="dot" w:pos="8296"/>
      </w:tabs>
      <w:ind w:left="420" w:leftChars="200"/>
    </w:pPr>
  </w:style>
  <w:style w:type="paragraph" w:styleId="38">
    <w:name w:val="toc 9"/>
    <w:basedOn w:val="1"/>
    <w:next w:val="1"/>
    <w:qFormat/>
    <w:uiPriority w:val="39"/>
    <w:pPr>
      <w:ind w:left="3360" w:leftChars="1600"/>
    </w:pPr>
    <w:rPr>
      <w:rFonts w:ascii="Calibri" w:hAnsi="Calibri" w:cs="Calibri"/>
      <w:szCs w:val="21"/>
    </w:rPr>
  </w:style>
  <w:style w:type="paragraph" w:styleId="39">
    <w:name w:val="HTML Preformatted"/>
    <w:basedOn w:val="1"/>
    <w:link w:val="77"/>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0">
    <w:name w:val="Normal (Web)"/>
    <w:basedOn w:val="1"/>
    <w:unhideWhenUsed/>
    <w:qFormat/>
    <w:uiPriority w:val="0"/>
    <w:rPr>
      <w:rFonts w:ascii="Calibri" w:hAnsi="Calibri"/>
      <w:kern w:val="0"/>
      <w:sz w:val="24"/>
    </w:rPr>
  </w:style>
  <w:style w:type="paragraph" w:styleId="41">
    <w:name w:val="Title"/>
    <w:basedOn w:val="1"/>
    <w:next w:val="1"/>
    <w:link w:val="78"/>
    <w:qFormat/>
    <w:uiPriority w:val="0"/>
    <w:pPr>
      <w:spacing w:before="240" w:after="60"/>
      <w:jc w:val="center"/>
      <w:outlineLvl w:val="0"/>
    </w:pPr>
    <w:rPr>
      <w:rFonts w:ascii="Cambria" w:hAnsi="Cambria"/>
      <w:b/>
      <w:bCs/>
      <w:sz w:val="32"/>
      <w:szCs w:val="32"/>
    </w:rPr>
  </w:style>
  <w:style w:type="paragraph" w:styleId="42">
    <w:name w:val="annotation subject"/>
    <w:basedOn w:val="17"/>
    <w:next w:val="17"/>
    <w:link w:val="79"/>
    <w:qFormat/>
    <w:uiPriority w:val="0"/>
    <w:rPr>
      <w:b/>
      <w:bCs/>
    </w:rPr>
  </w:style>
  <w:style w:type="table" w:styleId="44">
    <w:name w:val="Table Grid"/>
    <w:basedOn w:val="4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6">
    <w:name w:val="Strong"/>
    <w:qFormat/>
    <w:uiPriority w:val="22"/>
    <w:rPr>
      <w:b/>
      <w:bCs/>
    </w:rPr>
  </w:style>
  <w:style w:type="character" w:styleId="47">
    <w:name w:val="endnote reference"/>
    <w:unhideWhenUsed/>
    <w:qFormat/>
    <w:uiPriority w:val="99"/>
    <w:rPr>
      <w:vertAlign w:val="superscript"/>
    </w:rPr>
  </w:style>
  <w:style w:type="character" w:styleId="48">
    <w:name w:val="page number"/>
    <w:qFormat/>
    <w:uiPriority w:val="99"/>
  </w:style>
  <w:style w:type="character" w:styleId="49">
    <w:name w:val="FollowedHyperlink"/>
    <w:qFormat/>
    <w:uiPriority w:val="99"/>
    <w:rPr>
      <w:color w:val="800080"/>
      <w:u w:val="single"/>
    </w:rPr>
  </w:style>
  <w:style w:type="character" w:styleId="50">
    <w:name w:val="Emphasis"/>
    <w:qFormat/>
    <w:uiPriority w:val="99"/>
    <w:rPr>
      <w:i/>
      <w:iCs/>
    </w:rPr>
  </w:style>
  <w:style w:type="character" w:styleId="51">
    <w:name w:val="Hyperlink"/>
    <w:unhideWhenUsed/>
    <w:qFormat/>
    <w:uiPriority w:val="99"/>
    <w:rPr>
      <w:color w:val="0000FF"/>
      <w:u w:val="single"/>
    </w:rPr>
  </w:style>
  <w:style w:type="character" w:styleId="52">
    <w:name w:val="annotation reference"/>
    <w:qFormat/>
    <w:uiPriority w:val="0"/>
    <w:rPr>
      <w:sz w:val="21"/>
      <w:szCs w:val="21"/>
    </w:rPr>
  </w:style>
  <w:style w:type="character" w:styleId="53">
    <w:name w:val="footnote reference"/>
    <w:unhideWhenUsed/>
    <w:qFormat/>
    <w:uiPriority w:val="0"/>
    <w:rPr>
      <w:vertAlign w:val="superscript"/>
    </w:rPr>
  </w:style>
  <w:style w:type="character" w:customStyle="1" w:styleId="54">
    <w:name w:val="标题 1 Char"/>
    <w:link w:val="2"/>
    <w:qFormat/>
    <w:uiPriority w:val="0"/>
    <w:rPr>
      <w:b/>
      <w:bCs/>
      <w:kern w:val="44"/>
      <w:sz w:val="44"/>
      <w:szCs w:val="44"/>
    </w:rPr>
  </w:style>
  <w:style w:type="character" w:customStyle="1" w:styleId="55">
    <w:name w:val="标题 2 Char1"/>
    <w:link w:val="3"/>
    <w:qFormat/>
    <w:uiPriority w:val="9"/>
    <w:rPr>
      <w:rFonts w:ascii="Cambria" w:hAnsi="Cambria" w:eastAsia="宋体" w:cs="Times New Roman"/>
      <w:b/>
      <w:bCs/>
      <w:kern w:val="2"/>
      <w:sz w:val="32"/>
      <w:szCs w:val="32"/>
    </w:rPr>
  </w:style>
  <w:style w:type="character" w:customStyle="1" w:styleId="56">
    <w:name w:val="标题 3 Char"/>
    <w:link w:val="4"/>
    <w:qFormat/>
    <w:uiPriority w:val="0"/>
    <w:rPr>
      <w:b/>
      <w:bCs/>
      <w:kern w:val="2"/>
      <w:sz w:val="32"/>
      <w:szCs w:val="32"/>
    </w:rPr>
  </w:style>
  <w:style w:type="character" w:customStyle="1" w:styleId="57">
    <w:name w:val="标题 4 Char"/>
    <w:link w:val="5"/>
    <w:qFormat/>
    <w:uiPriority w:val="9"/>
    <w:rPr>
      <w:rFonts w:ascii="Arial" w:hAnsi="Arial"/>
      <w:b/>
      <w:bCs/>
      <w:kern w:val="2"/>
      <w:sz w:val="28"/>
      <w:szCs w:val="28"/>
    </w:rPr>
  </w:style>
  <w:style w:type="character" w:customStyle="1" w:styleId="58">
    <w:name w:val="标题 5 Char"/>
    <w:link w:val="6"/>
    <w:qFormat/>
    <w:uiPriority w:val="99"/>
    <w:rPr>
      <w:rFonts w:ascii="Times New Roman" w:hAnsi="Times New Roman"/>
      <w:b/>
      <w:bCs/>
      <w:kern w:val="2"/>
      <w:sz w:val="28"/>
      <w:szCs w:val="28"/>
    </w:rPr>
  </w:style>
  <w:style w:type="character" w:customStyle="1" w:styleId="59">
    <w:name w:val="正文缩进 Char"/>
    <w:link w:val="7"/>
    <w:qFormat/>
    <w:uiPriority w:val="99"/>
    <w:rPr>
      <w:kern w:val="2"/>
      <w:sz w:val="21"/>
    </w:rPr>
  </w:style>
  <w:style w:type="character" w:customStyle="1" w:styleId="60">
    <w:name w:val="标题 6 Char"/>
    <w:link w:val="8"/>
    <w:qFormat/>
    <w:uiPriority w:val="9"/>
    <w:rPr>
      <w:rFonts w:ascii="Cambria" w:hAnsi="Cambria"/>
      <w:b/>
      <w:bCs/>
      <w:sz w:val="24"/>
      <w:szCs w:val="24"/>
    </w:rPr>
  </w:style>
  <w:style w:type="character" w:customStyle="1" w:styleId="61">
    <w:name w:val="标题 7 Char"/>
    <w:link w:val="9"/>
    <w:qFormat/>
    <w:uiPriority w:val="0"/>
    <w:rPr>
      <w:b/>
      <w:bCs/>
      <w:sz w:val="24"/>
      <w:szCs w:val="24"/>
    </w:rPr>
  </w:style>
  <w:style w:type="character" w:customStyle="1" w:styleId="62">
    <w:name w:val="标题 8 Char1"/>
    <w:link w:val="10"/>
    <w:semiHidden/>
    <w:qFormat/>
    <w:uiPriority w:val="9"/>
    <w:rPr>
      <w:rFonts w:ascii="等线 Light" w:hAnsi="等线 Light" w:eastAsia="等线 Light" w:cs="Times New Roman"/>
      <w:kern w:val="2"/>
      <w:sz w:val="24"/>
      <w:szCs w:val="24"/>
    </w:rPr>
  </w:style>
  <w:style w:type="character" w:customStyle="1" w:styleId="63">
    <w:name w:val="标题 9 Char"/>
    <w:link w:val="11"/>
    <w:qFormat/>
    <w:uiPriority w:val="0"/>
    <w:rPr>
      <w:rFonts w:ascii="Cambria" w:hAnsi="Cambria"/>
      <w:szCs w:val="21"/>
    </w:rPr>
  </w:style>
  <w:style w:type="character" w:customStyle="1" w:styleId="64">
    <w:name w:val="文档结构图 Char"/>
    <w:link w:val="16"/>
    <w:qFormat/>
    <w:uiPriority w:val="0"/>
    <w:rPr>
      <w:kern w:val="2"/>
      <w:sz w:val="24"/>
      <w:szCs w:val="24"/>
      <w:shd w:val="clear" w:color="auto" w:fill="000080"/>
    </w:rPr>
  </w:style>
  <w:style w:type="character" w:customStyle="1" w:styleId="65">
    <w:name w:val="批注文字 Char1"/>
    <w:link w:val="17"/>
    <w:qFormat/>
    <w:uiPriority w:val="99"/>
    <w:rPr>
      <w:rFonts w:ascii="Times New Roman" w:hAnsi="Times New Roman"/>
      <w:kern w:val="2"/>
      <w:sz w:val="21"/>
      <w:szCs w:val="24"/>
    </w:rPr>
  </w:style>
  <w:style w:type="character" w:customStyle="1" w:styleId="66">
    <w:name w:val="正文文本 3 Char"/>
    <w:link w:val="18"/>
    <w:semiHidden/>
    <w:qFormat/>
    <w:uiPriority w:val="99"/>
    <w:rPr>
      <w:kern w:val="2"/>
      <w:sz w:val="16"/>
      <w:szCs w:val="16"/>
    </w:rPr>
  </w:style>
  <w:style w:type="character" w:customStyle="1" w:styleId="67">
    <w:name w:val="正文文本 Char1"/>
    <w:link w:val="19"/>
    <w:qFormat/>
    <w:uiPriority w:val="99"/>
    <w:rPr>
      <w:rFonts w:ascii="Times New Roman" w:hAnsi="Times New Roman"/>
      <w:kern w:val="2"/>
      <w:sz w:val="21"/>
      <w:szCs w:val="24"/>
    </w:rPr>
  </w:style>
  <w:style w:type="character" w:customStyle="1" w:styleId="68">
    <w:name w:val="正文文本缩进 Char"/>
    <w:link w:val="20"/>
    <w:qFormat/>
    <w:uiPriority w:val="99"/>
    <w:rPr>
      <w:rFonts w:ascii="仿宋_GB2312" w:hAnsi="Times New Roman" w:eastAsia="仿宋_GB2312" w:cs="Times New Roman"/>
      <w:sz w:val="32"/>
      <w:szCs w:val="20"/>
    </w:rPr>
  </w:style>
  <w:style w:type="character" w:customStyle="1" w:styleId="69">
    <w:name w:val="纯文本 Char1"/>
    <w:link w:val="25"/>
    <w:qFormat/>
    <w:uiPriority w:val="99"/>
    <w:rPr>
      <w:rFonts w:ascii="宋体" w:hAnsi="Courier New" w:eastAsia="宋体" w:cs="Courier New"/>
      <w:szCs w:val="21"/>
    </w:rPr>
  </w:style>
  <w:style w:type="character" w:customStyle="1" w:styleId="70">
    <w:name w:val="日期 Char"/>
    <w:link w:val="27"/>
    <w:qFormat/>
    <w:uiPriority w:val="99"/>
    <w:rPr>
      <w:rFonts w:ascii="Times New Roman" w:hAnsi="Times New Roman"/>
      <w:kern w:val="2"/>
      <w:sz w:val="21"/>
      <w:szCs w:val="24"/>
    </w:rPr>
  </w:style>
  <w:style w:type="character" w:customStyle="1" w:styleId="71">
    <w:name w:val="正文文本缩进 2 Char"/>
    <w:link w:val="28"/>
    <w:qFormat/>
    <w:uiPriority w:val="99"/>
    <w:rPr>
      <w:kern w:val="2"/>
      <w:sz w:val="24"/>
      <w:szCs w:val="24"/>
    </w:rPr>
  </w:style>
  <w:style w:type="character" w:customStyle="1" w:styleId="72">
    <w:name w:val="批注框文本 Char"/>
    <w:link w:val="29"/>
    <w:qFormat/>
    <w:locked/>
    <w:uiPriority w:val="0"/>
    <w:rPr>
      <w:kern w:val="2"/>
      <w:sz w:val="18"/>
      <w:szCs w:val="18"/>
    </w:rPr>
  </w:style>
  <w:style w:type="character" w:customStyle="1" w:styleId="73">
    <w:name w:val="页脚 Char"/>
    <w:link w:val="30"/>
    <w:qFormat/>
    <w:uiPriority w:val="99"/>
    <w:rPr>
      <w:sz w:val="18"/>
      <w:szCs w:val="18"/>
    </w:rPr>
  </w:style>
  <w:style w:type="character" w:customStyle="1" w:styleId="74">
    <w:name w:val="页眉 Char"/>
    <w:link w:val="31"/>
    <w:qFormat/>
    <w:uiPriority w:val="0"/>
    <w:rPr>
      <w:sz w:val="18"/>
      <w:szCs w:val="18"/>
    </w:rPr>
  </w:style>
  <w:style w:type="character" w:customStyle="1" w:styleId="75">
    <w:name w:val="副标题 Char"/>
    <w:link w:val="34"/>
    <w:qFormat/>
    <w:uiPriority w:val="11"/>
    <w:rPr>
      <w:rFonts w:ascii="Cambria" w:hAnsi="Cambria"/>
      <w:b/>
      <w:bCs/>
      <w:kern w:val="28"/>
      <w:sz w:val="32"/>
      <w:szCs w:val="32"/>
    </w:rPr>
  </w:style>
  <w:style w:type="character" w:customStyle="1" w:styleId="76">
    <w:name w:val="脚注文本 Char"/>
    <w:link w:val="35"/>
    <w:semiHidden/>
    <w:qFormat/>
    <w:uiPriority w:val="0"/>
    <w:rPr>
      <w:sz w:val="18"/>
      <w:szCs w:val="18"/>
    </w:rPr>
  </w:style>
  <w:style w:type="character" w:customStyle="1" w:styleId="77">
    <w:name w:val="HTML 预设格式 Char"/>
    <w:link w:val="39"/>
    <w:qFormat/>
    <w:uiPriority w:val="99"/>
    <w:rPr>
      <w:rFonts w:ascii="宋体" w:hAnsi="宋体"/>
      <w:sz w:val="24"/>
      <w:szCs w:val="24"/>
    </w:rPr>
  </w:style>
  <w:style w:type="character" w:customStyle="1" w:styleId="78">
    <w:name w:val="标题 Char"/>
    <w:link w:val="41"/>
    <w:qFormat/>
    <w:uiPriority w:val="0"/>
    <w:rPr>
      <w:rFonts w:ascii="Cambria" w:hAnsi="Cambria"/>
      <w:b/>
      <w:bCs/>
      <w:kern w:val="2"/>
      <w:sz w:val="32"/>
      <w:szCs w:val="32"/>
    </w:rPr>
  </w:style>
  <w:style w:type="character" w:customStyle="1" w:styleId="79">
    <w:name w:val="批注主题 Char"/>
    <w:link w:val="42"/>
    <w:qFormat/>
    <w:uiPriority w:val="0"/>
    <w:rPr>
      <w:rFonts w:ascii="Times New Roman" w:hAnsi="Times New Roman"/>
      <w:b/>
      <w:bCs/>
      <w:kern w:val="2"/>
      <w:sz w:val="21"/>
      <w:szCs w:val="24"/>
    </w:rPr>
  </w:style>
  <w:style w:type="character" w:customStyle="1" w:styleId="80">
    <w:name w:val="标题 1 字符1"/>
    <w:qFormat/>
    <w:uiPriority w:val="0"/>
    <w:rPr>
      <w:b/>
      <w:bCs/>
      <w:kern w:val="44"/>
      <w:sz w:val="44"/>
      <w:szCs w:val="44"/>
    </w:rPr>
  </w:style>
  <w:style w:type="character" w:customStyle="1" w:styleId="81">
    <w:name w:val="textcontents"/>
    <w:qFormat/>
    <w:uiPriority w:val="99"/>
  </w:style>
  <w:style w:type="character" w:customStyle="1" w:styleId="82">
    <w:name w:val="批注文字 Char"/>
    <w:qFormat/>
    <w:uiPriority w:val="0"/>
    <w:rPr>
      <w:rFonts w:ascii="Times New Roman" w:hAnsi="Times New Roman"/>
      <w:kern w:val="2"/>
      <w:sz w:val="21"/>
      <w:szCs w:val="24"/>
    </w:rPr>
  </w:style>
  <w:style w:type="character" w:customStyle="1" w:styleId="83">
    <w:name w:val="纯文本 字符"/>
    <w:qFormat/>
    <w:uiPriority w:val="0"/>
    <w:rPr>
      <w:rFonts w:ascii="宋体" w:hAnsi="Courier New" w:eastAsia="宋体" w:cs="Courier New"/>
      <w:szCs w:val="21"/>
    </w:rPr>
  </w:style>
  <w:style w:type="character" w:customStyle="1" w:styleId="84">
    <w:name w:val="纯文本 Char"/>
    <w:qFormat/>
    <w:uiPriority w:val="0"/>
    <w:rPr>
      <w:rFonts w:ascii="宋体" w:hAnsi="Courier New" w:eastAsia="宋体" w:cs="Courier New"/>
      <w:szCs w:val="21"/>
    </w:rPr>
  </w:style>
  <w:style w:type="character" w:customStyle="1" w:styleId="85">
    <w:name w:val="纯文本 字符2"/>
    <w:qFormat/>
    <w:uiPriority w:val="0"/>
    <w:rPr>
      <w:rFonts w:ascii="宋体" w:hAnsi="Courier New" w:eastAsia="宋体" w:cs="Courier New"/>
      <w:szCs w:val="21"/>
    </w:rPr>
  </w:style>
  <w:style w:type="character" w:customStyle="1" w:styleId="86">
    <w:name w:val="批注文字 字符1"/>
    <w:qFormat/>
    <w:uiPriority w:val="0"/>
    <w:rPr>
      <w:rFonts w:ascii="Times New Roman" w:hAnsi="Times New Roman"/>
      <w:kern w:val="2"/>
      <w:sz w:val="21"/>
      <w:szCs w:val="24"/>
    </w:rPr>
  </w:style>
  <w:style w:type="character" w:customStyle="1" w:styleId="87">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88">
    <w:name w:val="纯文本 字符1"/>
    <w:qFormat/>
    <w:uiPriority w:val="0"/>
    <w:rPr>
      <w:rFonts w:ascii="宋体" w:hAnsi="Courier New"/>
    </w:rPr>
  </w:style>
  <w:style w:type="character" w:customStyle="1" w:styleId="89">
    <w:name w:val="正文文本 Char"/>
    <w:qFormat/>
    <w:uiPriority w:val="0"/>
    <w:rPr>
      <w:rFonts w:ascii="Times New Roman" w:hAnsi="Times New Roman"/>
      <w:kern w:val="2"/>
      <w:sz w:val="21"/>
      <w:szCs w:val="24"/>
    </w:rPr>
  </w:style>
  <w:style w:type="character" w:customStyle="1" w:styleId="90">
    <w:name w:val="批注文字 字符"/>
    <w:qFormat/>
    <w:uiPriority w:val="0"/>
    <w:rPr>
      <w:rFonts w:ascii="Times New Roman" w:hAnsi="Times New Roman"/>
      <w:kern w:val="2"/>
      <w:sz w:val="21"/>
      <w:szCs w:val="24"/>
    </w:rPr>
  </w:style>
  <w:style w:type="character" w:customStyle="1" w:styleId="91">
    <w:name w:val="标题 2 Char"/>
    <w:qFormat/>
    <w:uiPriority w:val="0"/>
    <w:rPr>
      <w:rFonts w:ascii="Cambria" w:hAnsi="Cambria" w:eastAsia="宋体" w:cs="Times New Roman"/>
      <w:b/>
      <w:bCs/>
      <w:kern w:val="2"/>
      <w:sz w:val="32"/>
      <w:szCs w:val="32"/>
    </w:rPr>
  </w:style>
  <w:style w:type="character" w:customStyle="1" w:styleId="92">
    <w:name w:val="标题 8 Char"/>
    <w:qFormat/>
    <w:uiPriority w:val="9"/>
    <w:rPr>
      <w:rFonts w:ascii="Arial" w:hAnsi="Arial" w:eastAsia="黑体"/>
      <w:kern w:val="2"/>
      <w:sz w:val="24"/>
      <w:szCs w:val="24"/>
    </w:rPr>
  </w:style>
  <w:style w:type="character" w:customStyle="1" w:styleId="93">
    <w:name w:val="apple-style-span"/>
    <w:qFormat/>
    <w:uiPriority w:val="0"/>
  </w:style>
  <w:style w:type="paragraph" w:customStyle="1" w:styleId="94">
    <w:name w:val="默认段落字体 Para Char Char Char Char Char Char Char Char Char1 Char Char Char Char"/>
    <w:basedOn w:val="1"/>
    <w:qFormat/>
    <w:uiPriority w:val="0"/>
    <w:rPr>
      <w:rFonts w:ascii="Tahoma" w:hAnsi="Tahoma"/>
      <w:sz w:val="24"/>
      <w:szCs w:val="20"/>
    </w:rPr>
  </w:style>
  <w:style w:type="paragraph" w:customStyle="1" w:styleId="95">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styleId="96">
    <w:name w:val="List Paragraph"/>
    <w:basedOn w:val="1"/>
    <w:qFormat/>
    <w:uiPriority w:val="99"/>
    <w:pPr>
      <w:ind w:firstLine="420" w:firstLineChars="200"/>
    </w:pPr>
  </w:style>
  <w:style w:type="paragraph" w:customStyle="1" w:styleId="97">
    <w:name w:val="Table Paragraph"/>
    <w:basedOn w:val="1"/>
    <w:qFormat/>
    <w:uiPriority w:val="1"/>
    <w:pPr>
      <w:jc w:val="left"/>
    </w:pPr>
    <w:rPr>
      <w:rFonts w:ascii="Calibri" w:hAnsi="Calibri"/>
      <w:kern w:val="0"/>
      <w:sz w:val="22"/>
      <w:szCs w:val="22"/>
      <w:lang w:eastAsia="en-US"/>
    </w:rPr>
  </w:style>
  <w:style w:type="character" w:customStyle="1" w:styleId="98">
    <w:name w:val="正文文本 字符"/>
    <w:qFormat/>
    <w:uiPriority w:val="0"/>
    <w:rPr>
      <w:rFonts w:ascii="Times New Roman" w:hAnsi="Times New Roman"/>
      <w:kern w:val="2"/>
      <w:sz w:val="21"/>
      <w:szCs w:val="24"/>
    </w:rPr>
  </w:style>
  <w:style w:type="character" w:customStyle="1" w:styleId="99">
    <w:name w:val="批注文字 Char2"/>
    <w:qFormat/>
    <w:uiPriority w:val="0"/>
    <w:rPr>
      <w:rFonts w:ascii="Times New Roman" w:hAnsi="Times New Roman"/>
      <w:kern w:val="2"/>
      <w:sz w:val="21"/>
      <w:szCs w:val="24"/>
    </w:rPr>
  </w:style>
  <w:style w:type="character" w:customStyle="1" w:styleId="100">
    <w:name w:val="正文2 Char Char"/>
    <w:link w:val="101"/>
    <w:qFormat/>
    <w:uiPriority w:val="0"/>
    <w:rPr>
      <w:kern w:val="2"/>
      <w:sz w:val="24"/>
    </w:rPr>
  </w:style>
  <w:style w:type="paragraph" w:customStyle="1" w:styleId="101">
    <w:name w:val="正文2"/>
    <w:basedOn w:val="1"/>
    <w:link w:val="100"/>
    <w:qFormat/>
    <w:uiPriority w:val="0"/>
    <w:pPr>
      <w:adjustRightInd w:val="0"/>
      <w:spacing w:before="156" w:line="360" w:lineRule="auto"/>
      <w:ind w:firstLine="510" w:firstLineChars="200"/>
    </w:pPr>
    <w:rPr>
      <w:sz w:val="24"/>
      <w:szCs w:val="20"/>
    </w:rPr>
  </w:style>
  <w:style w:type="character" w:customStyle="1" w:styleId="102">
    <w:name w:val="批注文字 Char Char"/>
    <w:qFormat/>
    <w:uiPriority w:val="99"/>
    <w:rPr>
      <w:rFonts w:ascii="宋体" w:hAnsi="Times New Roman" w:eastAsia="宋体" w:cs="宋体"/>
      <w:sz w:val="20"/>
      <w:szCs w:val="20"/>
    </w:rPr>
  </w:style>
  <w:style w:type="character" w:customStyle="1" w:styleId="103">
    <w:name w:val="Heading 3 Char"/>
    <w:qFormat/>
    <w:uiPriority w:val="99"/>
    <w:rPr>
      <w:b/>
      <w:bCs/>
      <w:kern w:val="2"/>
      <w:sz w:val="32"/>
      <w:szCs w:val="32"/>
    </w:rPr>
  </w:style>
  <w:style w:type="character" w:customStyle="1" w:styleId="104">
    <w:name w:val="Heading 2 Char"/>
    <w:qFormat/>
    <w:uiPriority w:val="99"/>
    <w:rPr>
      <w:rFonts w:ascii="Arial" w:hAnsi="Arial" w:eastAsia="黑体" w:cs="Arial"/>
      <w:b/>
      <w:bCs/>
      <w:kern w:val="2"/>
      <w:sz w:val="32"/>
      <w:szCs w:val="32"/>
      <w:lang w:val="en-US" w:eastAsia="zh-CN"/>
    </w:rPr>
  </w:style>
  <w:style w:type="character" w:customStyle="1" w:styleId="105">
    <w:name w:val="Balloon Text Char"/>
    <w:qFormat/>
    <w:uiPriority w:val="99"/>
    <w:rPr>
      <w:sz w:val="18"/>
      <w:szCs w:val="18"/>
    </w:rPr>
  </w:style>
  <w:style w:type="character" w:customStyle="1" w:styleId="106">
    <w:name w:val="文档结构图 Char1"/>
    <w:qFormat/>
    <w:uiPriority w:val="99"/>
    <w:rPr>
      <w:rFonts w:ascii="宋体" w:hAnsi="Times New Roman" w:eastAsia="宋体" w:cs="宋体"/>
      <w:sz w:val="18"/>
      <w:szCs w:val="18"/>
    </w:rPr>
  </w:style>
  <w:style w:type="character" w:customStyle="1" w:styleId="107">
    <w:name w:val="Footnote Text Char"/>
    <w:qFormat/>
    <w:uiPriority w:val="99"/>
    <w:rPr>
      <w:rFonts w:eastAsia="宋体"/>
      <w:sz w:val="18"/>
      <w:szCs w:val="18"/>
      <w:lang w:val="en-US" w:eastAsia="zh-CN"/>
    </w:rPr>
  </w:style>
  <w:style w:type="character" w:customStyle="1" w:styleId="108">
    <w:name w:val="Char Char21"/>
    <w:qFormat/>
    <w:uiPriority w:val="99"/>
    <w:rPr>
      <w:rFonts w:ascii="Arial" w:hAnsi="Arial" w:eastAsia="黑体" w:cs="Arial"/>
      <w:b/>
      <w:bCs/>
      <w:sz w:val="32"/>
      <w:szCs w:val="32"/>
    </w:rPr>
  </w:style>
  <w:style w:type="character" w:customStyle="1" w:styleId="109">
    <w:name w:val="Body Text Indent Char"/>
    <w:qFormat/>
    <w:uiPriority w:val="99"/>
    <w:rPr>
      <w:rFonts w:ascii="宋体" w:hAnsi="宋体" w:eastAsia="宋体" w:cs="宋体"/>
      <w:kern w:val="2"/>
      <w:sz w:val="21"/>
      <w:szCs w:val="21"/>
      <w:lang w:val="en-US" w:eastAsia="zh-CN"/>
    </w:rPr>
  </w:style>
  <w:style w:type="character" w:customStyle="1" w:styleId="110">
    <w:name w:val="不明显参考1"/>
    <w:qFormat/>
    <w:uiPriority w:val="99"/>
    <w:rPr>
      <w:smallCaps/>
      <w:color w:val="auto"/>
      <w:u w:val="single"/>
    </w:rPr>
  </w:style>
  <w:style w:type="character" w:customStyle="1" w:styleId="111">
    <w:name w:val="Heading 4 Char"/>
    <w:qFormat/>
    <w:uiPriority w:val="99"/>
    <w:rPr>
      <w:rFonts w:ascii="Arial" w:hAnsi="Arial" w:eastAsia="宋体" w:cs="Arial"/>
      <w:b/>
      <w:bCs/>
      <w:kern w:val="2"/>
      <w:sz w:val="28"/>
      <w:szCs w:val="28"/>
      <w:lang w:val="en-US" w:eastAsia="zh-CN"/>
    </w:rPr>
  </w:style>
  <w:style w:type="character" w:customStyle="1" w:styleId="112">
    <w:name w:val="Char Char20"/>
    <w:qFormat/>
    <w:uiPriority w:val="99"/>
    <w:rPr>
      <w:rFonts w:ascii="Times New Roman" w:hAnsi="Times New Roman" w:eastAsia="宋体" w:cs="Times New Roman"/>
      <w:b/>
      <w:bCs/>
      <w:sz w:val="32"/>
      <w:szCs w:val="32"/>
    </w:rPr>
  </w:style>
  <w:style w:type="character" w:customStyle="1" w:styleId="113">
    <w:name w:val="Comment Subject Char"/>
    <w:qFormat/>
    <w:uiPriority w:val="99"/>
    <w:rPr>
      <w:b/>
      <w:bCs/>
      <w:sz w:val="24"/>
      <w:szCs w:val="24"/>
    </w:rPr>
  </w:style>
  <w:style w:type="character" w:customStyle="1" w:styleId="114">
    <w:name w:val="Heading 1 Char"/>
    <w:qFormat/>
    <w:uiPriority w:val="99"/>
    <w:rPr>
      <w:rFonts w:eastAsia="宋体"/>
      <w:b/>
      <w:bCs/>
      <w:kern w:val="44"/>
      <w:sz w:val="44"/>
      <w:szCs w:val="44"/>
      <w:lang w:val="en-US" w:eastAsia="zh-CN"/>
    </w:rPr>
  </w:style>
  <w:style w:type="character" w:customStyle="1" w:styleId="115">
    <w:name w:val="批注框文本 Char1"/>
    <w:qFormat/>
    <w:uiPriority w:val="99"/>
    <w:rPr>
      <w:rFonts w:ascii="Times New Roman" w:hAnsi="Times New Roman" w:eastAsia="宋体" w:cs="Times New Roman"/>
      <w:sz w:val="18"/>
      <w:szCs w:val="18"/>
    </w:rPr>
  </w:style>
  <w:style w:type="character" w:customStyle="1" w:styleId="116">
    <w:name w:val="Char Char6"/>
    <w:qFormat/>
    <w:uiPriority w:val="99"/>
    <w:rPr>
      <w:rFonts w:eastAsia="宋体"/>
      <w:b/>
      <w:bCs/>
      <w:kern w:val="44"/>
      <w:sz w:val="44"/>
      <w:szCs w:val="44"/>
      <w:lang w:val="en-US" w:eastAsia="zh-CN"/>
    </w:rPr>
  </w:style>
  <w:style w:type="character" w:customStyle="1" w:styleId="117">
    <w:name w:val="Char Char18"/>
    <w:qFormat/>
    <w:uiPriority w:val="99"/>
    <w:rPr>
      <w:rFonts w:ascii="Times New Roman" w:hAnsi="Times New Roman" w:eastAsia="宋体" w:cs="Times New Roman"/>
      <w:b/>
      <w:bCs/>
      <w:sz w:val="28"/>
      <w:szCs w:val="28"/>
    </w:rPr>
  </w:style>
  <w:style w:type="character" w:customStyle="1" w:styleId="118">
    <w:name w:val="Body Text Indent 2 Char"/>
    <w:qFormat/>
    <w:uiPriority w:val="99"/>
    <w:rPr>
      <w:rFonts w:eastAsia="宋体"/>
      <w:kern w:val="2"/>
      <w:sz w:val="24"/>
      <w:szCs w:val="24"/>
      <w:lang w:val="en-US" w:eastAsia="zh-CN"/>
    </w:rPr>
  </w:style>
  <w:style w:type="character" w:customStyle="1" w:styleId="119">
    <w:name w:val="Comment Text Char1"/>
    <w:qFormat/>
    <w:uiPriority w:val="99"/>
    <w:rPr>
      <w:sz w:val="24"/>
      <w:szCs w:val="24"/>
    </w:rPr>
  </w:style>
  <w:style w:type="character" w:customStyle="1" w:styleId="120">
    <w:name w:val="标题5 Char Char"/>
    <w:link w:val="121"/>
    <w:qFormat/>
    <w:locked/>
    <w:uiPriority w:val="99"/>
    <w:rPr>
      <w:rFonts w:ascii="Arial" w:hAnsi="Arial" w:cs="Arial"/>
      <w:b/>
      <w:bCs/>
      <w:sz w:val="32"/>
      <w:szCs w:val="32"/>
    </w:rPr>
  </w:style>
  <w:style w:type="paragraph" w:customStyle="1" w:styleId="121">
    <w:name w:val="标题5"/>
    <w:basedOn w:val="4"/>
    <w:link w:val="120"/>
    <w:qFormat/>
    <w:uiPriority w:val="99"/>
    <w:pPr>
      <w:spacing w:line="413" w:lineRule="auto"/>
    </w:pPr>
    <w:rPr>
      <w:rFonts w:ascii="Arial" w:hAnsi="Arial"/>
      <w:kern w:val="0"/>
    </w:rPr>
  </w:style>
  <w:style w:type="character" w:customStyle="1" w:styleId="122">
    <w:name w:val="批注主题 Char1"/>
    <w:qFormat/>
    <w:uiPriority w:val="99"/>
    <w:rPr>
      <w:rFonts w:ascii="Times New Roman" w:hAnsi="Times New Roman" w:eastAsia="宋体" w:cs="Times New Roman"/>
      <w:b/>
      <w:bCs/>
      <w:sz w:val="24"/>
      <w:szCs w:val="24"/>
    </w:rPr>
  </w:style>
  <w:style w:type="character" w:customStyle="1" w:styleId="123">
    <w:name w:val="Char Char24"/>
    <w:qFormat/>
    <w:uiPriority w:val="99"/>
    <w:rPr>
      <w:rFonts w:eastAsia="宋体"/>
      <w:b/>
      <w:bCs/>
      <w:kern w:val="44"/>
      <w:sz w:val="44"/>
      <w:szCs w:val="44"/>
      <w:lang w:val="en-US" w:eastAsia="zh-CN"/>
    </w:rPr>
  </w:style>
  <w:style w:type="character" w:customStyle="1" w:styleId="124">
    <w:name w:val="Footer Char"/>
    <w:qFormat/>
    <w:uiPriority w:val="99"/>
    <w:rPr>
      <w:rFonts w:eastAsia="宋体"/>
      <w:kern w:val="2"/>
      <w:sz w:val="18"/>
      <w:szCs w:val="18"/>
      <w:lang w:val="en-US" w:eastAsia="zh-CN"/>
    </w:rPr>
  </w:style>
  <w:style w:type="character" w:customStyle="1" w:styleId="125">
    <w:name w:val="Char Char9"/>
    <w:qFormat/>
    <w:uiPriority w:val="99"/>
    <w:rPr>
      <w:rFonts w:eastAsia="宋体"/>
      <w:b/>
      <w:bCs/>
      <w:kern w:val="44"/>
      <w:sz w:val="44"/>
      <w:szCs w:val="44"/>
      <w:lang w:val="en-US" w:eastAsia="zh-CN"/>
    </w:rPr>
  </w:style>
  <w:style w:type="character" w:customStyle="1" w:styleId="126">
    <w:name w:val="Heading 3 Char1"/>
    <w:qFormat/>
    <w:uiPriority w:val="99"/>
    <w:rPr>
      <w:rFonts w:eastAsia="宋体"/>
      <w:b/>
      <w:bCs/>
      <w:kern w:val="2"/>
      <w:sz w:val="32"/>
      <w:szCs w:val="32"/>
      <w:lang w:val="en-US" w:eastAsia="zh-CN"/>
    </w:rPr>
  </w:style>
  <w:style w:type="character" w:customStyle="1" w:styleId="127">
    <w:name w:val="Document Map Char"/>
    <w:qFormat/>
    <w:uiPriority w:val="99"/>
    <w:rPr>
      <w:rFonts w:eastAsia="宋体"/>
      <w:kern w:val="2"/>
      <w:sz w:val="24"/>
      <w:szCs w:val="24"/>
      <w:lang w:val="en-US" w:eastAsia="zh-CN"/>
    </w:rPr>
  </w:style>
  <w:style w:type="character" w:customStyle="1" w:styleId="128">
    <w:name w:val="标题 Char1"/>
    <w:qFormat/>
    <w:uiPriority w:val="99"/>
    <w:rPr>
      <w:rFonts w:ascii="Cambria" w:hAnsi="Cambria" w:eastAsia="宋体" w:cs="Cambria"/>
      <w:b/>
      <w:bCs/>
      <w:sz w:val="32"/>
      <w:szCs w:val="32"/>
    </w:rPr>
  </w:style>
  <w:style w:type="character" w:customStyle="1" w:styleId="129">
    <w:name w:val="Char Char22"/>
    <w:qFormat/>
    <w:uiPriority w:val="99"/>
    <w:rPr>
      <w:rFonts w:ascii="Times New Roman" w:hAnsi="Times New Roman" w:eastAsia="宋体" w:cs="Times New Roman"/>
      <w:b/>
      <w:bCs/>
      <w:kern w:val="44"/>
      <w:sz w:val="44"/>
      <w:szCs w:val="44"/>
    </w:rPr>
  </w:style>
  <w:style w:type="character" w:customStyle="1" w:styleId="130">
    <w:name w:val="明显引用 Char"/>
    <w:link w:val="131"/>
    <w:qFormat/>
    <w:locked/>
    <w:uiPriority w:val="99"/>
    <w:rPr>
      <w:b/>
      <w:bCs/>
      <w:i/>
      <w:iCs/>
      <w:color w:val="4F81BD"/>
    </w:rPr>
  </w:style>
  <w:style w:type="paragraph" w:customStyle="1" w:styleId="131">
    <w:name w:val="明显引用1"/>
    <w:basedOn w:val="1"/>
    <w:next w:val="1"/>
    <w:link w:val="130"/>
    <w:qFormat/>
    <w:uiPriority w:val="99"/>
    <w:pPr>
      <w:pBdr>
        <w:bottom w:val="single" w:color="4F81BD" w:sz="4" w:space="4"/>
      </w:pBdr>
      <w:spacing w:before="200" w:after="280"/>
      <w:ind w:left="936" w:right="936"/>
    </w:pPr>
    <w:rPr>
      <w:b/>
      <w:bCs/>
      <w:i/>
      <w:iCs/>
      <w:color w:val="4F81BD"/>
      <w:kern w:val="0"/>
      <w:sz w:val="20"/>
      <w:szCs w:val="20"/>
    </w:rPr>
  </w:style>
  <w:style w:type="character" w:customStyle="1" w:styleId="132">
    <w:name w:val="标题4 Char Char"/>
    <w:link w:val="133"/>
    <w:qFormat/>
    <w:locked/>
    <w:uiPriority w:val="99"/>
    <w:rPr>
      <w:rFonts w:ascii="Arial" w:hAnsi="Arial" w:cs="Arial"/>
      <w:b/>
      <w:bCs/>
      <w:sz w:val="32"/>
      <w:szCs w:val="32"/>
    </w:rPr>
  </w:style>
  <w:style w:type="paragraph" w:customStyle="1" w:styleId="133">
    <w:name w:val="标题4"/>
    <w:basedOn w:val="3"/>
    <w:next w:val="22"/>
    <w:link w:val="132"/>
    <w:qFormat/>
    <w:uiPriority w:val="99"/>
    <w:pPr>
      <w:spacing w:before="60" w:after="60" w:line="413" w:lineRule="auto"/>
    </w:pPr>
    <w:rPr>
      <w:rFonts w:ascii="Arial" w:hAnsi="Arial"/>
      <w:kern w:val="0"/>
    </w:rPr>
  </w:style>
  <w:style w:type="character" w:customStyle="1" w:styleId="134">
    <w:name w:val="Header Char"/>
    <w:qFormat/>
    <w:uiPriority w:val="99"/>
    <w:rPr>
      <w:rFonts w:eastAsia="宋体"/>
      <w:kern w:val="2"/>
      <w:sz w:val="18"/>
      <w:szCs w:val="18"/>
      <w:lang w:val="en-US" w:eastAsia="zh-CN"/>
    </w:rPr>
  </w:style>
  <w:style w:type="character" w:customStyle="1" w:styleId="135">
    <w:name w:val="明显引用 Char1"/>
    <w:qFormat/>
    <w:uiPriority w:val="99"/>
    <w:rPr>
      <w:rFonts w:ascii="Times New Roman" w:hAnsi="Times New Roman" w:eastAsia="宋体" w:cs="Times New Roman"/>
      <w:b/>
      <w:bCs/>
      <w:i/>
      <w:iCs/>
      <w:color w:val="4F81BD"/>
      <w:sz w:val="24"/>
      <w:szCs w:val="24"/>
    </w:rPr>
  </w:style>
  <w:style w:type="character" w:customStyle="1" w:styleId="136">
    <w:name w:val="Comment Text Char"/>
    <w:qFormat/>
    <w:uiPriority w:val="99"/>
    <w:rPr>
      <w:sz w:val="24"/>
      <w:szCs w:val="24"/>
    </w:rPr>
  </w:style>
  <w:style w:type="character" w:customStyle="1" w:styleId="137">
    <w:name w:val="明显参考1"/>
    <w:qFormat/>
    <w:uiPriority w:val="99"/>
    <w:rPr>
      <w:b/>
      <w:bCs/>
      <w:smallCaps/>
      <w:color w:val="auto"/>
      <w:spacing w:val="5"/>
      <w:u w:val="single"/>
    </w:rPr>
  </w:style>
  <w:style w:type="character" w:customStyle="1" w:styleId="138">
    <w:name w:val="明显强调1"/>
    <w:qFormat/>
    <w:uiPriority w:val="99"/>
    <w:rPr>
      <w:b/>
      <w:bCs/>
      <w:i/>
      <w:iCs/>
      <w:color w:val="4F81BD"/>
    </w:rPr>
  </w:style>
  <w:style w:type="character" w:customStyle="1" w:styleId="139">
    <w:name w:val="引用 Char1"/>
    <w:qFormat/>
    <w:uiPriority w:val="99"/>
    <w:rPr>
      <w:rFonts w:ascii="Times New Roman" w:hAnsi="Times New Roman" w:eastAsia="宋体" w:cs="Times New Roman"/>
      <w:i/>
      <w:iCs/>
      <w:color w:val="000000"/>
      <w:sz w:val="24"/>
      <w:szCs w:val="24"/>
    </w:rPr>
  </w:style>
  <w:style w:type="character" w:customStyle="1" w:styleId="140">
    <w:name w:val="引用 Char"/>
    <w:link w:val="141"/>
    <w:qFormat/>
    <w:locked/>
    <w:uiPriority w:val="99"/>
    <w:rPr>
      <w:i/>
      <w:iCs/>
      <w:color w:val="000000"/>
    </w:rPr>
  </w:style>
  <w:style w:type="paragraph" w:customStyle="1" w:styleId="141">
    <w:name w:val="引用1"/>
    <w:basedOn w:val="1"/>
    <w:next w:val="1"/>
    <w:link w:val="140"/>
    <w:qFormat/>
    <w:uiPriority w:val="99"/>
    <w:rPr>
      <w:i/>
      <w:iCs/>
      <w:color w:val="000000"/>
      <w:kern w:val="0"/>
      <w:sz w:val="20"/>
      <w:szCs w:val="20"/>
    </w:rPr>
  </w:style>
  <w:style w:type="character" w:customStyle="1" w:styleId="142">
    <w:name w:val="标题 Char2"/>
    <w:qFormat/>
    <w:uiPriority w:val="99"/>
    <w:rPr>
      <w:rFonts w:ascii="Cambria" w:hAnsi="Cambria" w:eastAsia="宋体" w:cs="Cambria"/>
      <w:b/>
      <w:bCs/>
      <w:sz w:val="32"/>
      <w:szCs w:val="32"/>
    </w:rPr>
  </w:style>
  <w:style w:type="character" w:customStyle="1" w:styleId="143">
    <w:name w:val="Char Char23"/>
    <w:qFormat/>
    <w:uiPriority w:val="99"/>
    <w:rPr>
      <w:rFonts w:eastAsia="宋体"/>
      <w:b/>
      <w:bCs/>
      <w:kern w:val="44"/>
      <w:sz w:val="44"/>
      <w:szCs w:val="44"/>
      <w:lang w:val="en-US" w:eastAsia="zh-CN"/>
    </w:rPr>
  </w:style>
  <w:style w:type="character" w:customStyle="1" w:styleId="144">
    <w:name w:val="Plain Text Char"/>
    <w:qFormat/>
    <w:uiPriority w:val="99"/>
    <w:rPr>
      <w:rFonts w:ascii="宋体" w:hAnsi="Courier New" w:eastAsia="宋体" w:cs="宋体"/>
      <w:sz w:val="24"/>
      <w:szCs w:val="24"/>
    </w:rPr>
  </w:style>
  <w:style w:type="character" w:customStyle="1" w:styleId="145">
    <w:name w:val="Char Char91"/>
    <w:qFormat/>
    <w:uiPriority w:val="99"/>
    <w:rPr>
      <w:rFonts w:eastAsia="宋体"/>
      <w:b/>
      <w:bCs/>
      <w:kern w:val="44"/>
      <w:sz w:val="44"/>
      <w:szCs w:val="44"/>
      <w:lang w:val="en-US" w:eastAsia="zh-CN"/>
    </w:rPr>
  </w:style>
  <w:style w:type="character" w:customStyle="1" w:styleId="146">
    <w:name w:val="Char Char181"/>
    <w:qFormat/>
    <w:uiPriority w:val="99"/>
    <w:rPr>
      <w:b/>
      <w:bCs/>
      <w:kern w:val="44"/>
      <w:sz w:val="44"/>
      <w:szCs w:val="44"/>
    </w:rPr>
  </w:style>
  <w:style w:type="character" w:customStyle="1" w:styleId="147">
    <w:name w:val="Heading 5 Char"/>
    <w:qFormat/>
    <w:uiPriority w:val="99"/>
    <w:rPr>
      <w:rFonts w:eastAsia="宋体"/>
      <w:b/>
      <w:bCs/>
      <w:kern w:val="2"/>
      <w:sz w:val="28"/>
      <w:szCs w:val="28"/>
      <w:lang w:val="en-US" w:eastAsia="zh-CN"/>
    </w:rPr>
  </w:style>
  <w:style w:type="character" w:customStyle="1" w:styleId="148">
    <w:name w:val="Char Char19"/>
    <w:qFormat/>
    <w:uiPriority w:val="99"/>
    <w:rPr>
      <w:rFonts w:ascii="Arial" w:hAnsi="Arial" w:eastAsia="宋体" w:cs="Arial"/>
      <w:b/>
      <w:bCs/>
      <w:sz w:val="28"/>
      <w:szCs w:val="28"/>
    </w:rPr>
  </w:style>
  <w:style w:type="character" w:customStyle="1" w:styleId="149">
    <w:name w:val="日期 Char1"/>
    <w:qFormat/>
    <w:uiPriority w:val="99"/>
    <w:rPr>
      <w:rFonts w:ascii="Times New Roman" w:hAnsi="Times New Roman" w:eastAsia="宋体" w:cs="Times New Roman"/>
      <w:sz w:val="24"/>
      <w:szCs w:val="24"/>
    </w:rPr>
  </w:style>
  <w:style w:type="character" w:customStyle="1" w:styleId="150">
    <w:name w:val="Date Char"/>
    <w:qFormat/>
    <w:uiPriority w:val="99"/>
    <w:rPr>
      <w:rFonts w:eastAsia="宋体"/>
      <w:kern w:val="2"/>
      <w:sz w:val="24"/>
      <w:szCs w:val="24"/>
      <w:lang w:val="en-US" w:eastAsia="zh-CN"/>
    </w:rPr>
  </w:style>
  <w:style w:type="character" w:customStyle="1" w:styleId="151">
    <w:name w:val="Title Char"/>
    <w:qFormat/>
    <w:uiPriority w:val="99"/>
    <w:rPr>
      <w:rFonts w:ascii="Cambria" w:hAnsi="Cambria" w:cs="Cambria"/>
      <w:b/>
      <w:bCs/>
      <w:sz w:val="32"/>
      <w:szCs w:val="32"/>
    </w:rPr>
  </w:style>
  <w:style w:type="character" w:customStyle="1" w:styleId="152">
    <w:name w:val="书籍标题1"/>
    <w:qFormat/>
    <w:uiPriority w:val="99"/>
    <w:rPr>
      <w:b/>
      <w:bCs/>
      <w:smallCaps/>
      <w:spacing w:val="5"/>
    </w:rPr>
  </w:style>
  <w:style w:type="character" w:customStyle="1" w:styleId="153">
    <w:name w:val="不明显强调1"/>
    <w:qFormat/>
    <w:uiPriority w:val="99"/>
    <w:rPr>
      <w:i/>
      <w:iCs/>
      <w:color w:val="808080"/>
    </w:rPr>
  </w:style>
  <w:style w:type="paragraph" w:customStyle="1" w:styleId="154">
    <w:name w:val="样式1"/>
    <w:basedOn w:val="1"/>
    <w:next w:val="5"/>
    <w:qFormat/>
    <w:uiPriority w:val="99"/>
    <w:pPr>
      <w:spacing w:line="360" w:lineRule="auto"/>
      <w:ind w:firstLine="420" w:firstLineChars="200"/>
    </w:pPr>
    <w:rPr>
      <w:rFonts w:ascii="宋体" w:hAnsi="宋体" w:cs="宋体"/>
      <w:szCs w:val="21"/>
    </w:rPr>
  </w:style>
  <w:style w:type="paragraph" w:customStyle="1" w:styleId="155">
    <w:name w:val="Default"/>
    <w:qFormat/>
    <w:uiPriority w:val="99"/>
    <w:pPr>
      <w:widowControl w:val="0"/>
      <w:autoSpaceDE w:val="0"/>
      <w:autoSpaceDN w:val="0"/>
      <w:adjustRightInd w:val="0"/>
    </w:pPr>
    <w:rPr>
      <w:rFonts w:ascii="Times New Roman" w:hAnsi="Times New Roman" w:eastAsia="宋体" w:cs="Times New Roman"/>
      <w:color w:val="000000"/>
      <w:kern w:val="2"/>
      <w:sz w:val="24"/>
      <w:szCs w:val="24"/>
      <w:lang w:val="en-US" w:eastAsia="zh-CN" w:bidi="ar-SA"/>
    </w:rPr>
  </w:style>
  <w:style w:type="paragraph" w:customStyle="1" w:styleId="156">
    <w:name w:val="Char Char Char Char Char Char Char"/>
    <w:basedOn w:val="1"/>
    <w:qFormat/>
    <w:uiPriority w:val="99"/>
    <w:pPr>
      <w:widowControl/>
      <w:spacing w:after="160" w:line="240" w:lineRule="exact"/>
      <w:jc w:val="left"/>
    </w:pPr>
    <w:rPr>
      <w:szCs w:val="21"/>
    </w:rPr>
  </w:style>
  <w:style w:type="paragraph" w:customStyle="1" w:styleId="157">
    <w:name w:val="无间隔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58">
    <w:name w:val="正文_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59">
    <w:name w:val="TOC 标题1"/>
    <w:basedOn w:val="2"/>
    <w:next w:val="1"/>
    <w:qFormat/>
    <w:uiPriority w:val="99"/>
    <w:pPr>
      <w:spacing w:line="576" w:lineRule="auto"/>
      <w:outlineLvl w:val="9"/>
    </w:pPr>
    <w:rPr>
      <w:rFonts w:ascii="Calibri" w:hAnsi="Calibri" w:eastAsia="黑体" w:cs="Calibri"/>
      <w:lang w:val="zh-CN"/>
    </w:rPr>
  </w:style>
  <w:style w:type="paragraph" w:customStyle="1" w:styleId="160">
    <w:name w:val="空半行"/>
    <w:basedOn w:val="1"/>
    <w:qFormat/>
    <w:uiPriority w:val="99"/>
    <w:pPr>
      <w:adjustRightInd w:val="0"/>
      <w:spacing w:line="120" w:lineRule="exact"/>
      <w:textAlignment w:val="baseline"/>
    </w:pPr>
    <w:rPr>
      <w:rFonts w:eastAsia="仿宋_GB2312"/>
      <w:color w:val="FFFFFF"/>
      <w:kern w:val="0"/>
      <w:sz w:val="30"/>
      <w:szCs w:val="30"/>
    </w:rPr>
  </w:style>
  <w:style w:type="paragraph" w:customStyle="1" w:styleId="161">
    <w:name w:val="p0"/>
    <w:basedOn w:val="1"/>
    <w:qFormat/>
    <w:uiPriority w:val="0"/>
    <w:pPr>
      <w:widowControl/>
    </w:pPr>
    <w:rPr>
      <w:rFonts w:ascii="Calibri" w:hAnsi="Calibri" w:cs="Calibri"/>
      <w:kern w:val="0"/>
      <w:szCs w:val="21"/>
    </w:rPr>
  </w:style>
  <w:style w:type="paragraph" w:customStyle="1" w:styleId="162">
    <w:name w:val="Char"/>
    <w:basedOn w:val="1"/>
    <w:qFormat/>
    <w:uiPriority w:val="99"/>
    <w:pPr>
      <w:widowControl/>
      <w:spacing w:after="160" w:line="240" w:lineRule="exact"/>
      <w:jc w:val="left"/>
    </w:pPr>
    <w:rPr>
      <w:szCs w:val="21"/>
    </w:rPr>
  </w:style>
  <w:style w:type="paragraph" w:customStyle="1" w:styleId="163">
    <w:name w:val="1"/>
    <w:basedOn w:val="1"/>
    <w:next w:val="1"/>
    <w:qFormat/>
    <w:uiPriority w:val="99"/>
    <w:rPr>
      <w:szCs w:val="21"/>
    </w:rPr>
  </w:style>
  <w:style w:type="paragraph" w:customStyle="1" w:styleId="164">
    <w:name w:val="列出段落2"/>
    <w:basedOn w:val="1"/>
    <w:qFormat/>
    <w:uiPriority w:val="99"/>
    <w:pPr>
      <w:ind w:firstLine="420" w:firstLineChars="200"/>
    </w:pPr>
    <w:rPr>
      <w:rFonts w:ascii="Calibri" w:hAnsi="Calibri" w:cs="Calibri"/>
      <w:szCs w:val="21"/>
    </w:rPr>
  </w:style>
  <w:style w:type="paragraph" w:customStyle="1" w:styleId="165">
    <w:name w:val="_Style 163"/>
    <w:qFormat/>
    <w:uiPriority w:val="99"/>
    <w:rPr>
      <w:rFonts w:ascii="Times New Roman" w:hAnsi="Times New Roman" w:eastAsia="宋体" w:cs="Times New Roman"/>
      <w:kern w:val="2"/>
      <w:sz w:val="21"/>
      <w:szCs w:val="21"/>
      <w:lang w:val="en-US" w:eastAsia="zh-CN" w:bidi="ar-SA"/>
    </w:rPr>
  </w:style>
  <w:style w:type="paragraph" w:customStyle="1" w:styleId="166">
    <w:name w:val="无间隔1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67">
    <w:name w:val="修订1"/>
    <w:qFormat/>
    <w:uiPriority w:val="99"/>
    <w:rPr>
      <w:rFonts w:ascii="Times New Roman" w:hAnsi="Times New Roman" w:eastAsia="宋体" w:cs="Times New Roman"/>
      <w:kern w:val="2"/>
      <w:sz w:val="21"/>
      <w:szCs w:val="21"/>
      <w:lang w:val="en-US" w:eastAsia="zh-CN" w:bidi="ar-SA"/>
    </w:rPr>
  </w:style>
  <w:style w:type="paragraph" w:customStyle="1" w:styleId="168">
    <w:name w:val="样式 标题 2 + Times New Roman 四号 非加粗 段前: 5 磅 段后: 0 磅 行距: 固定值 20..."/>
    <w:basedOn w:val="3"/>
    <w:qFormat/>
    <w:uiPriority w:val="99"/>
    <w:pPr>
      <w:spacing w:before="100" w:after="0" w:line="400" w:lineRule="exact"/>
    </w:pPr>
    <w:rPr>
      <w:rFonts w:ascii="Times New Roman" w:hAnsi="Times New Roman" w:eastAsia="黑体"/>
      <w:b w:val="0"/>
      <w:bCs w:val="0"/>
      <w:kern w:val="0"/>
      <w:sz w:val="28"/>
      <w:szCs w:val="28"/>
      <w:lang w:val="zh-CN"/>
    </w:rPr>
  </w:style>
  <w:style w:type="paragraph" w:customStyle="1" w:styleId="169">
    <w:name w:val="2-2ji"/>
    <w:basedOn w:val="3"/>
    <w:qFormat/>
    <w:uiPriority w:val="99"/>
    <w:pPr>
      <w:spacing w:before="0" w:after="0" w:line="360" w:lineRule="auto"/>
      <w:jc w:val="center"/>
    </w:pPr>
    <w:rPr>
      <w:rFonts w:ascii="宋体" w:hAnsi="宋体" w:cs="宋体"/>
      <w:sz w:val="36"/>
      <w:szCs w:val="36"/>
      <w:lang w:val="zh-CN"/>
    </w:rPr>
  </w:style>
  <w:style w:type="paragraph" w:customStyle="1" w:styleId="170">
    <w:name w:val="reader-word-layer"/>
    <w:basedOn w:val="1"/>
    <w:qFormat/>
    <w:uiPriority w:val="99"/>
    <w:pPr>
      <w:widowControl/>
      <w:spacing w:before="100" w:beforeAutospacing="1" w:after="100" w:afterAutospacing="1"/>
      <w:jc w:val="left"/>
    </w:pPr>
    <w:rPr>
      <w:rFonts w:ascii="宋体" w:hAnsi="宋体" w:cs="宋体"/>
      <w:kern w:val="0"/>
      <w:sz w:val="24"/>
    </w:rPr>
  </w:style>
  <w:style w:type="paragraph" w:customStyle="1" w:styleId="171">
    <w:name w:val="flNote"/>
    <w:basedOn w:val="1"/>
    <w:qFormat/>
    <w:uiPriority w:val="99"/>
    <w:pPr>
      <w:adjustRightInd w:val="0"/>
      <w:spacing w:before="320" w:after="160" w:line="360" w:lineRule="atLeast"/>
      <w:jc w:val="center"/>
      <w:textAlignment w:val="baseline"/>
    </w:pPr>
    <w:rPr>
      <w:rFonts w:ascii="Arial" w:eastAsia="黑体" w:cs="Arial"/>
      <w:kern w:val="0"/>
      <w:sz w:val="30"/>
      <w:szCs w:val="30"/>
    </w:rPr>
  </w:style>
  <w:style w:type="paragraph" w:customStyle="1" w:styleId="172">
    <w:name w:val="列出段落1"/>
    <w:basedOn w:val="1"/>
    <w:qFormat/>
    <w:uiPriority w:val="99"/>
    <w:pPr>
      <w:ind w:firstLine="420" w:firstLineChars="200"/>
    </w:pPr>
    <w:rPr>
      <w:rFonts w:ascii="Calibri" w:hAnsi="Calibri" w:cs="Calibri"/>
      <w:szCs w:val="21"/>
    </w:rPr>
  </w:style>
  <w:style w:type="paragraph" w:customStyle="1" w:styleId="173">
    <w:name w:val="Char Char Char Char"/>
    <w:basedOn w:val="1"/>
    <w:qFormat/>
    <w:uiPriority w:val="99"/>
    <w:pPr>
      <w:widowControl/>
      <w:spacing w:line="500" w:lineRule="exact"/>
      <w:outlineLvl w:val="2"/>
    </w:pPr>
    <w:rPr>
      <w:rFonts w:ascii="黑体" w:hAnsi="Verdana" w:eastAsia="黑体" w:cs="黑体"/>
      <w:kern w:val="0"/>
      <w:sz w:val="28"/>
      <w:szCs w:val="28"/>
      <w:lang w:eastAsia="en-US"/>
    </w:rPr>
  </w:style>
  <w:style w:type="paragraph" w:customStyle="1" w:styleId="174">
    <w:name w:val="Char1"/>
    <w:basedOn w:val="1"/>
    <w:qFormat/>
    <w:uiPriority w:val="99"/>
    <w:pPr>
      <w:widowControl/>
      <w:spacing w:after="160" w:line="240" w:lineRule="exact"/>
      <w:jc w:val="left"/>
    </w:pPr>
    <w:rPr>
      <w:szCs w:val="21"/>
    </w:rPr>
  </w:style>
  <w:style w:type="paragraph" w:customStyle="1" w:styleId="175">
    <w:name w:val="_Style 37"/>
    <w:basedOn w:val="1"/>
    <w:next w:val="1"/>
    <w:qFormat/>
    <w:uiPriority w:val="99"/>
    <w:rPr>
      <w:szCs w:val="21"/>
    </w:rPr>
  </w:style>
  <w:style w:type="paragraph" w:customStyle="1" w:styleId="176">
    <w:name w:val="样式 标题 3 + (中文) 黑体 小四 非加粗 段前: 7.8 磅 段后: 0 磅 行距: 固定值 20 磅"/>
    <w:basedOn w:val="4"/>
    <w:qFormat/>
    <w:uiPriority w:val="99"/>
    <w:pPr>
      <w:spacing w:before="0" w:after="0" w:line="400" w:lineRule="exact"/>
    </w:pPr>
    <w:rPr>
      <w:rFonts w:eastAsia="黑体"/>
      <w:b w:val="0"/>
      <w:bCs w:val="0"/>
      <w:lang w:val="zh-CN"/>
    </w:rPr>
  </w:style>
  <w:style w:type="paragraph" w:styleId="177">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8">
    <w:name w:val="Body text|1"/>
    <w:basedOn w:val="1"/>
    <w:link w:val="179"/>
    <w:qFormat/>
    <w:uiPriority w:val="0"/>
    <w:pPr>
      <w:spacing w:line="360" w:lineRule="auto"/>
      <w:ind w:firstLine="400"/>
    </w:pPr>
    <w:rPr>
      <w:rFonts w:ascii="宋体" w:hAnsi="宋体" w:cs="宋体"/>
      <w:szCs w:val="20"/>
      <w:lang w:val="zh-CN" w:bidi="zh-CN"/>
    </w:rPr>
  </w:style>
  <w:style w:type="character" w:customStyle="1" w:styleId="179">
    <w:name w:val="Body text|1_"/>
    <w:link w:val="178"/>
    <w:qFormat/>
    <w:uiPriority w:val="0"/>
    <w:rPr>
      <w:rFonts w:ascii="宋体" w:hAnsi="宋体" w:cs="宋体"/>
      <w:kern w:val="2"/>
      <w:sz w:val="21"/>
      <w:lang w:val="zh-CN" w:bidi="zh-CN"/>
    </w:rPr>
  </w:style>
  <w:style w:type="character" w:customStyle="1" w:styleId="180">
    <w:name w:val="Body text|3_"/>
    <w:link w:val="181"/>
    <w:qFormat/>
    <w:uiPriority w:val="0"/>
    <w:rPr>
      <w:rFonts w:ascii="宋体" w:hAnsi="宋体" w:cs="宋体"/>
      <w:lang w:val="zh-CN" w:bidi="zh-CN"/>
    </w:rPr>
  </w:style>
  <w:style w:type="paragraph" w:customStyle="1" w:styleId="181">
    <w:name w:val="Body text|3"/>
    <w:basedOn w:val="1"/>
    <w:link w:val="180"/>
    <w:qFormat/>
    <w:uiPriority w:val="0"/>
    <w:pPr>
      <w:spacing w:after="340"/>
      <w:jc w:val="left"/>
    </w:pPr>
    <w:rPr>
      <w:rFonts w:ascii="宋体" w:hAnsi="宋体" w:cs="宋体"/>
      <w:kern w:val="0"/>
      <w:sz w:val="20"/>
      <w:szCs w:val="20"/>
      <w:lang w:val="zh-CN" w:bidi="zh-CN"/>
    </w:rPr>
  </w:style>
  <w:style w:type="character" w:customStyle="1" w:styleId="182">
    <w:name w:val="Other|1_"/>
    <w:link w:val="183"/>
    <w:qFormat/>
    <w:uiPriority w:val="0"/>
    <w:rPr>
      <w:rFonts w:ascii="宋体" w:hAnsi="宋体" w:cs="宋体"/>
      <w:lang w:val="zh-CN" w:bidi="zh-CN"/>
    </w:rPr>
  </w:style>
  <w:style w:type="paragraph" w:customStyle="1" w:styleId="183">
    <w:name w:val="Other|1"/>
    <w:basedOn w:val="1"/>
    <w:link w:val="182"/>
    <w:qFormat/>
    <w:uiPriority w:val="0"/>
    <w:pPr>
      <w:spacing w:line="360" w:lineRule="auto"/>
      <w:ind w:firstLine="400"/>
      <w:jc w:val="left"/>
    </w:pPr>
    <w:rPr>
      <w:rFonts w:ascii="宋体" w:hAnsi="宋体" w:cs="宋体"/>
      <w:kern w:val="0"/>
      <w:sz w:val="20"/>
      <w:szCs w:val="20"/>
      <w:lang w:val="zh-CN" w:bidi="zh-CN"/>
    </w:rPr>
  </w:style>
  <w:style w:type="character" w:customStyle="1" w:styleId="184">
    <w:name w:val="Table of contents|1_"/>
    <w:link w:val="185"/>
    <w:qFormat/>
    <w:uiPriority w:val="0"/>
    <w:rPr>
      <w:rFonts w:ascii="宋体" w:hAnsi="宋体" w:cs="宋体"/>
      <w:lang w:val="zh-CN" w:bidi="zh-CN"/>
    </w:rPr>
  </w:style>
  <w:style w:type="paragraph" w:customStyle="1" w:styleId="185">
    <w:name w:val="Table of contents|1"/>
    <w:basedOn w:val="1"/>
    <w:link w:val="184"/>
    <w:qFormat/>
    <w:uiPriority w:val="0"/>
    <w:pPr>
      <w:spacing w:after="100"/>
      <w:ind w:firstLine="600"/>
      <w:jc w:val="left"/>
    </w:pPr>
    <w:rPr>
      <w:rFonts w:ascii="宋体" w:hAnsi="宋体" w:cs="宋体"/>
      <w:kern w:val="0"/>
      <w:sz w:val="20"/>
      <w:szCs w:val="20"/>
      <w:lang w:val="zh-CN" w:bidi="zh-CN"/>
    </w:rPr>
  </w:style>
  <w:style w:type="character" w:customStyle="1" w:styleId="186">
    <w:name w:val="Header or footer|1_"/>
    <w:link w:val="187"/>
    <w:qFormat/>
    <w:uiPriority w:val="0"/>
    <w:rPr>
      <w:sz w:val="17"/>
      <w:szCs w:val="17"/>
      <w:lang w:val="zh-CN" w:bidi="zh-CN"/>
    </w:rPr>
  </w:style>
  <w:style w:type="paragraph" w:customStyle="1" w:styleId="187">
    <w:name w:val="Header or footer|1"/>
    <w:basedOn w:val="1"/>
    <w:link w:val="186"/>
    <w:qFormat/>
    <w:uiPriority w:val="0"/>
    <w:pPr>
      <w:jc w:val="center"/>
    </w:pPr>
    <w:rPr>
      <w:kern w:val="0"/>
      <w:sz w:val="17"/>
      <w:szCs w:val="17"/>
      <w:lang w:val="zh-CN" w:bidi="zh-CN"/>
    </w:rPr>
  </w:style>
  <w:style w:type="character" w:customStyle="1" w:styleId="188">
    <w:name w:val="Heading #3|1_"/>
    <w:link w:val="189"/>
    <w:qFormat/>
    <w:uiPriority w:val="0"/>
    <w:rPr>
      <w:rFonts w:ascii="宋体" w:hAnsi="宋体" w:cs="宋体"/>
      <w:sz w:val="28"/>
      <w:szCs w:val="28"/>
      <w:lang w:val="zh-CN" w:bidi="zh-CN"/>
    </w:rPr>
  </w:style>
  <w:style w:type="paragraph" w:customStyle="1" w:styleId="189">
    <w:name w:val="Heading #3|1"/>
    <w:basedOn w:val="1"/>
    <w:link w:val="188"/>
    <w:qFormat/>
    <w:uiPriority w:val="0"/>
    <w:pPr>
      <w:spacing w:after="570"/>
      <w:jc w:val="center"/>
      <w:outlineLvl w:val="2"/>
    </w:pPr>
    <w:rPr>
      <w:rFonts w:ascii="宋体" w:hAnsi="宋体" w:cs="宋体"/>
      <w:kern w:val="0"/>
      <w:sz w:val="28"/>
      <w:szCs w:val="28"/>
      <w:lang w:val="zh-CN" w:bidi="zh-CN"/>
    </w:rPr>
  </w:style>
  <w:style w:type="character" w:customStyle="1" w:styleId="190">
    <w:name w:val="Body text|7_"/>
    <w:link w:val="191"/>
    <w:qFormat/>
    <w:uiPriority w:val="0"/>
    <w:rPr>
      <w:rFonts w:ascii="Courier New" w:hAnsi="Courier New" w:eastAsia="Courier New" w:cs="Courier New"/>
      <w:b/>
      <w:bCs/>
      <w:sz w:val="8"/>
      <w:szCs w:val="8"/>
      <w:lang w:val="zh-CN"/>
    </w:rPr>
  </w:style>
  <w:style w:type="paragraph" w:customStyle="1" w:styleId="191">
    <w:name w:val="Body text|7"/>
    <w:basedOn w:val="1"/>
    <w:link w:val="190"/>
    <w:qFormat/>
    <w:uiPriority w:val="0"/>
    <w:pPr>
      <w:ind w:hanging="1760"/>
      <w:jc w:val="left"/>
    </w:pPr>
    <w:rPr>
      <w:rFonts w:ascii="Courier New" w:hAnsi="Courier New" w:eastAsia="Courier New"/>
      <w:b/>
      <w:bCs/>
      <w:kern w:val="0"/>
      <w:sz w:val="8"/>
      <w:szCs w:val="8"/>
      <w:lang w:val="zh-CN"/>
    </w:rPr>
  </w:style>
  <w:style w:type="character" w:customStyle="1" w:styleId="192">
    <w:name w:val="Body text|4_"/>
    <w:link w:val="193"/>
    <w:qFormat/>
    <w:uiPriority w:val="0"/>
    <w:rPr>
      <w:rFonts w:ascii="宋体" w:hAnsi="宋体" w:cs="宋体"/>
      <w:b/>
      <w:bCs/>
      <w:sz w:val="17"/>
      <w:szCs w:val="17"/>
      <w:lang w:val="zh-CN" w:bidi="zh-CN"/>
    </w:rPr>
  </w:style>
  <w:style w:type="paragraph" w:customStyle="1" w:styleId="193">
    <w:name w:val="Body text|4"/>
    <w:basedOn w:val="1"/>
    <w:link w:val="192"/>
    <w:qFormat/>
    <w:uiPriority w:val="0"/>
    <w:pPr>
      <w:spacing w:line="281" w:lineRule="exact"/>
      <w:jc w:val="center"/>
    </w:pPr>
    <w:rPr>
      <w:rFonts w:ascii="宋体" w:hAnsi="宋体" w:cs="宋体"/>
      <w:b/>
      <w:bCs/>
      <w:kern w:val="0"/>
      <w:sz w:val="17"/>
      <w:szCs w:val="17"/>
      <w:lang w:val="zh-CN" w:bidi="zh-CN"/>
    </w:rPr>
  </w:style>
  <w:style w:type="character" w:customStyle="1" w:styleId="194">
    <w:name w:val="Heading #4|1_"/>
    <w:link w:val="195"/>
    <w:qFormat/>
    <w:uiPriority w:val="0"/>
    <w:rPr>
      <w:rFonts w:ascii="宋体" w:hAnsi="宋体" w:cs="宋体"/>
      <w:lang w:val="zh-CN" w:bidi="zh-CN"/>
    </w:rPr>
  </w:style>
  <w:style w:type="paragraph" w:customStyle="1" w:styleId="195">
    <w:name w:val="Heading #4|1"/>
    <w:basedOn w:val="1"/>
    <w:link w:val="194"/>
    <w:qFormat/>
    <w:uiPriority w:val="0"/>
    <w:pPr>
      <w:spacing w:after="120"/>
      <w:jc w:val="left"/>
      <w:outlineLvl w:val="3"/>
    </w:pPr>
    <w:rPr>
      <w:rFonts w:ascii="宋体" w:hAnsi="宋体" w:cs="宋体"/>
      <w:kern w:val="0"/>
      <w:sz w:val="20"/>
      <w:szCs w:val="20"/>
      <w:lang w:val="zh-CN" w:bidi="zh-CN"/>
    </w:rPr>
  </w:style>
  <w:style w:type="character" w:customStyle="1" w:styleId="196">
    <w:name w:val="Body text|5_"/>
    <w:link w:val="197"/>
    <w:qFormat/>
    <w:uiPriority w:val="0"/>
    <w:rPr>
      <w:rFonts w:ascii="宋体" w:hAnsi="宋体" w:cs="宋体"/>
      <w:sz w:val="52"/>
      <w:szCs w:val="52"/>
      <w:lang w:val="zh-CN" w:bidi="zh-CN"/>
    </w:rPr>
  </w:style>
  <w:style w:type="paragraph" w:customStyle="1" w:styleId="197">
    <w:name w:val="Body text|5"/>
    <w:basedOn w:val="1"/>
    <w:link w:val="196"/>
    <w:qFormat/>
    <w:uiPriority w:val="0"/>
    <w:pPr>
      <w:jc w:val="center"/>
    </w:pPr>
    <w:rPr>
      <w:rFonts w:ascii="宋体" w:hAnsi="宋体" w:cs="宋体"/>
      <w:kern w:val="0"/>
      <w:sz w:val="52"/>
      <w:szCs w:val="52"/>
      <w:lang w:val="zh-CN" w:bidi="zh-CN"/>
    </w:rPr>
  </w:style>
  <w:style w:type="character" w:customStyle="1" w:styleId="198">
    <w:name w:val="Header or footer|2_"/>
    <w:link w:val="199"/>
    <w:qFormat/>
    <w:uiPriority w:val="0"/>
    <w:rPr>
      <w:lang w:val="zh-CN" w:bidi="zh-CN"/>
    </w:rPr>
  </w:style>
  <w:style w:type="paragraph" w:customStyle="1" w:styleId="199">
    <w:name w:val="Header or footer|2"/>
    <w:basedOn w:val="1"/>
    <w:link w:val="198"/>
    <w:qFormat/>
    <w:uiPriority w:val="0"/>
    <w:pPr>
      <w:jc w:val="left"/>
    </w:pPr>
    <w:rPr>
      <w:kern w:val="0"/>
      <w:sz w:val="20"/>
      <w:szCs w:val="20"/>
      <w:lang w:val="zh-CN" w:bidi="zh-CN"/>
    </w:rPr>
  </w:style>
  <w:style w:type="character" w:customStyle="1" w:styleId="200">
    <w:name w:val="Heading #2|1_"/>
    <w:link w:val="201"/>
    <w:qFormat/>
    <w:uiPriority w:val="0"/>
    <w:rPr>
      <w:rFonts w:ascii="宋体" w:hAnsi="宋体" w:cs="宋体"/>
      <w:sz w:val="34"/>
      <w:szCs w:val="34"/>
      <w:lang w:val="zh-CN" w:bidi="zh-CN"/>
    </w:rPr>
  </w:style>
  <w:style w:type="paragraph" w:customStyle="1" w:styleId="201">
    <w:name w:val="Heading #2|1"/>
    <w:basedOn w:val="1"/>
    <w:link w:val="200"/>
    <w:qFormat/>
    <w:uiPriority w:val="0"/>
    <w:pPr>
      <w:spacing w:after="900"/>
      <w:jc w:val="center"/>
      <w:outlineLvl w:val="1"/>
    </w:pPr>
    <w:rPr>
      <w:rFonts w:ascii="宋体" w:hAnsi="宋体" w:cs="宋体"/>
      <w:kern w:val="0"/>
      <w:sz w:val="34"/>
      <w:szCs w:val="34"/>
      <w:lang w:val="zh-CN" w:bidi="zh-CN"/>
    </w:rPr>
  </w:style>
  <w:style w:type="character" w:customStyle="1" w:styleId="202">
    <w:name w:val="Table caption|1_"/>
    <w:link w:val="203"/>
    <w:qFormat/>
    <w:uiPriority w:val="0"/>
    <w:rPr>
      <w:rFonts w:ascii="宋体" w:hAnsi="宋体" w:cs="宋体"/>
      <w:lang w:val="zh-CN" w:bidi="zh-CN"/>
    </w:rPr>
  </w:style>
  <w:style w:type="paragraph" w:customStyle="1" w:styleId="203">
    <w:name w:val="Table caption|1"/>
    <w:basedOn w:val="1"/>
    <w:link w:val="202"/>
    <w:qFormat/>
    <w:uiPriority w:val="0"/>
    <w:pPr>
      <w:jc w:val="left"/>
    </w:pPr>
    <w:rPr>
      <w:rFonts w:ascii="宋体" w:hAnsi="宋体" w:cs="宋体"/>
      <w:kern w:val="0"/>
      <w:sz w:val="20"/>
      <w:szCs w:val="20"/>
      <w:lang w:val="zh-CN" w:bidi="zh-CN"/>
    </w:rPr>
  </w:style>
  <w:style w:type="character" w:customStyle="1" w:styleId="204">
    <w:name w:val="Body text|6_"/>
    <w:link w:val="205"/>
    <w:qFormat/>
    <w:uiPriority w:val="0"/>
    <w:rPr>
      <w:rFonts w:ascii="Arial" w:hAnsi="Arial" w:eastAsia="Arial" w:cs="Arial"/>
      <w:lang w:val="zh-CN"/>
    </w:rPr>
  </w:style>
  <w:style w:type="paragraph" w:customStyle="1" w:styleId="205">
    <w:name w:val="Body text|6"/>
    <w:basedOn w:val="1"/>
    <w:link w:val="204"/>
    <w:qFormat/>
    <w:uiPriority w:val="0"/>
    <w:pPr>
      <w:ind w:hanging="2220"/>
      <w:jc w:val="left"/>
    </w:pPr>
    <w:rPr>
      <w:rFonts w:ascii="Arial" w:hAnsi="Arial" w:eastAsia="Arial"/>
      <w:kern w:val="0"/>
      <w:sz w:val="20"/>
      <w:szCs w:val="20"/>
      <w:lang w:val="zh-CN"/>
    </w:rPr>
  </w:style>
  <w:style w:type="character" w:customStyle="1" w:styleId="206">
    <w:name w:val="Heading #1|1_"/>
    <w:link w:val="207"/>
    <w:qFormat/>
    <w:uiPriority w:val="0"/>
    <w:rPr>
      <w:rFonts w:ascii="宋体" w:hAnsi="宋体" w:cs="宋体"/>
      <w:sz w:val="38"/>
      <w:szCs w:val="38"/>
      <w:lang w:val="zh-CN" w:bidi="zh-CN"/>
    </w:rPr>
  </w:style>
  <w:style w:type="paragraph" w:customStyle="1" w:styleId="207">
    <w:name w:val="Heading #1|1"/>
    <w:basedOn w:val="1"/>
    <w:link w:val="206"/>
    <w:qFormat/>
    <w:uiPriority w:val="0"/>
    <w:pPr>
      <w:spacing w:after="440" w:line="564" w:lineRule="exact"/>
      <w:jc w:val="center"/>
      <w:outlineLvl w:val="0"/>
    </w:pPr>
    <w:rPr>
      <w:rFonts w:ascii="宋体" w:hAnsi="宋体" w:cs="宋体"/>
      <w:kern w:val="0"/>
      <w:sz w:val="38"/>
      <w:szCs w:val="38"/>
      <w:lang w:val="zh-CN" w:bidi="zh-CN"/>
    </w:rPr>
  </w:style>
  <w:style w:type="character" w:customStyle="1" w:styleId="208">
    <w:name w:val="Body text|2_"/>
    <w:link w:val="209"/>
    <w:qFormat/>
    <w:uiPriority w:val="0"/>
    <w:rPr>
      <w:sz w:val="21"/>
    </w:rPr>
  </w:style>
  <w:style w:type="paragraph" w:customStyle="1" w:styleId="209">
    <w:name w:val="Body text|2"/>
    <w:basedOn w:val="1"/>
    <w:link w:val="208"/>
    <w:qFormat/>
    <w:uiPriority w:val="0"/>
    <w:pPr>
      <w:spacing w:after="30"/>
      <w:ind w:firstLine="420"/>
      <w:jc w:val="left"/>
    </w:pPr>
    <w:rPr>
      <w:kern w:val="0"/>
      <w:szCs w:val="20"/>
    </w:rPr>
  </w:style>
  <w:style w:type="character" w:styleId="210">
    <w:name w:val="Placeholder Text"/>
    <w:unhideWhenUsed/>
    <w:qFormat/>
    <w:uiPriority w:val="99"/>
    <w:rPr>
      <w:color w:val="808080"/>
    </w:rPr>
  </w:style>
  <w:style w:type="paragraph" w:customStyle="1" w:styleId="211">
    <w:name w:val="正正正正"/>
    <w:basedOn w:val="19"/>
    <w:qFormat/>
    <w:uiPriority w:val="1"/>
    <w:pPr>
      <w:tabs>
        <w:tab w:val="left" w:pos="2812"/>
        <w:tab w:val="left" w:pos="3986"/>
      </w:tabs>
      <w:spacing w:after="0" w:line="360" w:lineRule="exact"/>
      <w:ind w:firstLine="200" w:firstLineChars="200"/>
    </w:pPr>
    <w:rPr>
      <w:rFonts w:ascii="Calibri" w:hAnsi="Calibri"/>
      <w:sz w:val="20"/>
      <w:szCs w:val="21"/>
      <w:lang w:eastAsia="en-US"/>
    </w:rPr>
  </w:style>
  <w:style w:type="paragraph" w:customStyle="1" w:styleId="212">
    <w:name w:val="_Style 1"/>
    <w:basedOn w:val="1"/>
    <w:qFormat/>
    <w:uiPriority w:val="99"/>
    <w:pPr>
      <w:ind w:firstLine="420" w:firstLineChars="200"/>
      <w:jc w:val="left"/>
    </w:pPr>
    <w:rPr>
      <w:rFonts w:ascii="Times New Roman)" w:hAnsi="Times New Roman)" w:eastAsia="宋体正文"/>
      <w:color w:val="000000"/>
      <w:kern w:val="0"/>
      <w:lang w:eastAsia="en-US" w:bidi="en-US"/>
    </w:rPr>
  </w:style>
  <w:style w:type="paragraph" w:customStyle="1" w:styleId="213">
    <w:name w:val="正文1"/>
    <w:basedOn w:val="1"/>
    <w:qFormat/>
    <w:uiPriority w:val="0"/>
    <w:pPr>
      <w:spacing w:line="360" w:lineRule="auto"/>
      <w:ind w:firstLine="200" w:firstLineChars="200"/>
      <w:jc w:val="left"/>
    </w:pPr>
    <w:rPr>
      <w:rFonts w:ascii="Times New Roman)" w:hAnsi="Times New Roman)" w:eastAsia="宋体正文"/>
      <w:color w:val="000000"/>
      <w:kern w:val="0"/>
      <w:sz w:val="24"/>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110</Pages>
  <Words>372</Words>
  <Characters>456</Characters>
  <Lines>509</Lines>
  <Paragraphs>143</Paragraphs>
  <TotalTime>350</TotalTime>
  <ScaleCrop>false</ScaleCrop>
  <LinksUpToDate>false</LinksUpToDate>
  <CharactersWithSpaces>487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2025-07-10T08:06:00Z</dcterms:created>
  <dc:creator>唐冰</dc:creator>
  <cp:lastModifiedBy>凸凸没有凹</cp:lastModifiedBy>
  <cp:lastPrinted>2025-09-05T03:47:00Z</cp:lastPrinted>
  <dcterms:modified xsi:type="dcterms:W3CDTF">2025-09-19T08:42:51Z</dcterms:modified>
  <dc:title>竞争性谈判文件规范</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F821352A755F42858BEE51EB6723F4AD_13</vt:lpwstr>
  </property>
  <property fmtid="{D5CDD505-2E9C-101B-9397-08002B2CF9AE}" pid="4" name="KSOTemplateDocerSaveRecord">
    <vt:lpwstr>eyJoZGlkIjoiYWVhMWY1ZWI3OWZhOGJlODg5ZGJiM2FhOTMyMzE1NWMiLCJ1c2VySWQiOiIyNTA3NTkwNjMifQ==</vt:lpwstr>
  </property>
</Properties>
</file>