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28D32">
      <w:pPr>
        <w:spacing w:before="312" w:beforeLines="100" w:after="156" w:afterLines="50" w:line="600" w:lineRule="exact"/>
        <w:jc w:val="left"/>
        <w:rPr>
          <w:rFonts w:hint="eastAsia" w:ascii="方正小标宋简体" w:hAnsi="方正小标宋简体" w:eastAsia="方正小标宋简体" w:cs="方正小标宋简体"/>
          <w:color w:val="auto"/>
          <w:sz w:val="44"/>
          <w:szCs w:val="44"/>
          <w:highlight w:val="none"/>
        </w:rPr>
      </w:pPr>
      <w:r>
        <w:rPr>
          <w:color w:val="auto"/>
          <w:sz w:val="44"/>
          <w:highlight w:val="none"/>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676910</wp:posOffset>
                </wp:positionV>
                <wp:extent cx="562991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29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53.3pt;height:0.05pt;width:443.3pt;z-index:251660288;mso-width-relative:page;mso-height-relative:page;" filled="f" stroked="t" coordsize="21600,21600" o:gfxdata="UEsDBAoAAAAAAIdO4kAAAAAAAAAAAAAAAAAEAAAAZHJzL1BLAwQUAAAACACHTuJAHSuwXdcAAAAK&#10;AQAADwAAAGRycy9kb3ducmV2LnhtbE2PPU/DQAyGdyT+w8lILFV71yIlbZpLByAbCwXE6iYmiZrz&#10;pbnrB/x6DAuMfv3o9eN8c3G9OtEYOs8W5jMDirjydceNhdeXcroEFSJyjb1nsvBJATbF9VWOWe3P&#10;/EynbWyUlHDI0EIb45BpHaqWHIaZH4hl9+FHh1HGsdH1iGcpd71eGJNohx3LhRYHum+p2m+PzkIo&#10;3+hQfk2qiXm/azwtDg9Pj2jt7c3crEFFusQ/GH70RR0Kcdr5I9dB9RamSSqk5CZJQAmwTFcrULvf&#10;JAVd5Pr/C8U3UEsDBBQAAAAIAIdO4kA1VYHZ9QEAAOYDAAAOAAAAZHJzL2Uyb0RvYy54bWytU0uO&#10;EzEQ3SNxB8t70klQItJKZxYThg2CSMABKm53tyX/5HLSySW4ABI7WLFkz22YOQZld8gwM5ss6IW7&#10;7Hp+rvfKXl4djGZ7GVA5W/HJaMyZtMLVyrYV//Tx5sUrzjCCrUE7Kyt+lMivVs+fLXtfyqnrnK5l&#10;YERisex9xbsYfVkUKDppAEfOS0vJxgUDkaahLeoAPbEbXUzH43nRu1D74IREpNX1kOQnxnAJoWsa&#10;JeTaiZ2RNg6sQWqIJAk75ZGvcrVNI0V83zQoI9MVJ6Uxj3QIxds0FqsllG0A3ylxKgEuKeGRJgPK&#10;0qFnqjVEYLugnlAZJYJD18SRcKYYhGRHSMVk/MibDx14mbWQ1ejPpuP/oxXv9pvAVF3xBWcWDDX8&#10;9svP35+/3f36SuPtj+9skUzqPZaEvbabcJqh34Sk+NAEk/6khR2yscezsfIQmaDF2Xy6WEzIc0G5&#10;+ctZYizut/qA8Y10hqWg4lrZpBpK2L/FOED/QtKytqynemfTGRECXcGGWk+h8SQDbZv3otOqvlFa&#10;px0Y2u21DmwP6Rrk71TCA1g6ZA3YDbicSjAoOwn1a1uzePRkkKV3wVMJRtacaUnPKEUZGUHpS5Ck&#10;XlsyIfk6OJmirauP1I6dD6rtyIlJrjJlqP3ZstNVTffr33lmun+e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K7Bd1wAAAAoBAAAPAAAAAAAAAAEAIAAAACIAAABkcnMvZG93bnJldi54bWxQSwEC&#10;FAAUAAAACACHTuJANVWB2fUBAADmAwAADgAAAAAAAAABACAAAAAmAQAAZHJzL2Uyb0RvYy54bWxQ&#10;SwUGAAAAAAYABgBZAQAAjQUAAAAA&#10;">
                <v:fill on="f" focussize="0,0"/>
                <v:stroke color="#000000" joinstyle="round"/>
                <v:imagedata o:title=""/>
                <o:lock v:ext="edit" aspectratio="f"/>
              </v:line>
            </w:pict>
          </mc:Fallback>
        </mc:AlternateContent>
      </w:r>
      <w:r>
        <w:rPr>
          <w:color w:val="auto"/>
          <w:highlight w:val="none"/>
        </w:rPr>
        <w:drawing>
          <wp:inline distT="0" distB="0" distL="114300" distR="114300">
            <wp:extent cx="1836420" cy="556260"/>
            <wp:effectExtent l="0" t="0" r="1143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836420" cy="556260"/>
                    </a:xfrm>
                    <a:prstGeom prst="rect">
                      <a:avLst/>
                    </a:prstGeom>
                    <a:noFill/>
                    <a:ln>
                      <a:noFill/>
                    </a:ln>
                  </pic:spPr>
                </pic:pic>
              </a:graphicData>
            </a:graphic>
          </wp:inline>
        </w:drawing>
      </w:r>
    </w:p>
    <w:p w14:paraId="749B6E16">
      <w:pPr>
        <w:spacing w:line="360" w:lineRule="auto"/>
        <w:jc w:val="center"/>
        <w:rPr>
          <w:rFonts w:hint="eastAsia" w:ascii="方正小标宋简体" w:hAnsi="方正小标宋简体" w:eastAsia="方正小标宋简体" w:cs="方正小标宋简体"/>
          <w:b/>
          <w:color w:val="auto"/>
          <w:sz w:val="44"/>
          <w:szCs w:val="44"/>
          <w:highlight w:val="none"/>
        </w:rPr>
      </w:pPr>
      <w:r>
        <w:rPr>
          <w:rFonts w:hint="eastAsia" w:hAnsi="宋体" w:cs="宋体"/>
          <w:b/>
          <w:bCs/>
          <w:color w:val="auto"/>
          <w:w w:val="95"/>
          <w:sz w:val="52"/>
          <w:szCs w:val="52"/>
          <w:highlight w:val="none"/>
        </w:rPr>
        <w:t>广西建通工程咨询有限责任公司</w:t>
      </w:r>
    </w:p>
    <w:p w14:paraId="22727D44">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6A7C2B44">
      <w:pPr>
        <w:snapToGrid w:val="0"/>
        <w:spacing w:before="156" w:beforeLines="50" w:line="360" w:lineRule="auto"/>
        <w:jc w:val="center"/>
        <w:rPr>
          <w:rFonts w:hint="eastAsia" w:ascii="华文新魏" w:hAnsi="宋体" w:eastAsia="华文新魏"/>
          <w:color w:val="auto"/>
          <w:sz w:val="96"/>
          <w:szCs w:val="96"/>
          <w:highlight w:val="none"/>
        </w:rPr>
      </w:pPr>
      <w:r>
        <w:rPr>
          <w:rFonts w:hint="eastAsia" w:ascii="华文新魏" w:hAnsi="宋体" w:eastAsia="华文新魏"/>
          <w:color w:val="auto"/>
          <w:sz w:val="96"/>
          <w:szCs w:val="96"/>
          <w:highlight w:val="none"/>
        </w:rPr>
        <w:t>竞争性</w:t>
      </w:r>
      <w:r>
        <w:rPr>
          <w:rFonts w:hint="eastAsia" w:ascii="华文新魏" w:hAnsi="宋体" w:eastAsia="华文新魏"/>
          <w:color w:val="auto"/>
          <w:sz w:val="96"/>
          <w:szCs w:val="96"/>
          <w:highlight w:val="none"/>
          <w:lang w:eastAsia="zh-CN"/>
        </w:rPr>
        <w:t>磋商</w:t>
      </w:r>
      <w:r>
        <w:rPr>
          <w:rFonts w:hint="eastAsia" w:ascii="华文新魏" w:hAnsi="宋体" w:eastAsia="华文新魏"/>
          <w:color w:val="auto"/>
          <w:sz w:val="96"/>
          <w:szCs w:val="96"/>
          <w:highlight w:val="none"/>
        </w:rPr>
        <w:t>文件</w:t>
      </w:r>
    </w:p>
    <w:p w14:paraId="7C60672F">
      <w:pPr>
        <w:snapToGrid w:val="0"/>
        <w:spacing w:before="156" w:beforeLines="50" w:line="360" w:lineRule="auto"/>
        <w:jc w:val="center"/>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（全流程电子化采购）</w:t>
      </w:r>
    </w:p>
    <w:p w14:paraId="4810D3C0">
      <w:pPr>
        <w:snapToGrid w:val="0"/>
        <w:spacing w:line="360" w:lineRule="auto"/>
        <w:rPr>
          <w:rFonts w:hint="eastAsia" w:ascii="仿宋_GB2312" w:hAnsi="宋体" w:eastAsia="仿宋_GB2312"/>
          <w:b/>
          <w:color w:val="auto"/>
          <w:sz w:val="48"/>
          <w:szCs w:val="48"/>
          <w:highlight w:val="none"/>
        </w:rPr>
      </w:pPr>
    </w:p>
    <w:p w14:paraId="18D3D5C8">
      <w:pPr>
        <w:snapToGrid w:val="0"/>
        <w:spacing w:line="360" w:lineRule="auto"/>
        <w:rPr>
          <w:rFonts w:hint="eastAsia" w:ascii="仿宋_GB2312" w:hAnsi="宋体" w:eastAsia="仿宋_GB2312"/>
          <w:color w:val="auto"/>
          <w:sz w:val="30"/>
          <w:szCs w:val="72"/>
          <w:highlight w:val="none"/>
        </w:rPr>
      </w:pPr>
    </w:p>
    <w:p w14:paraId="41F30E3F">
      <w:pPr>
        <w:pStyle w:val="25"/>
        <w:snapToGrid w:val="0"/>
        <w:spacing w:line="480" w:lineRule="auto"/>
        <w:ind w:firstLine="643" w:firstLineChars="200"/>
        <w:jc w:val="lef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w:t>
      </w:r>
      <w:r>
        <w:rPr>
          <w:rFonts w:hint="eastAsia" w:hAnsi="宋体" w:cs="宋体"/>
          <w:b/>
          <w:bCs/>
          <w:color w:val="auto"/>
          <w:w w:val="95"/>
          <w:sz w:val="32"/>
          <w:szCs w:val="32"/>
          <w:highlight w:val="none"/>
        </w:rPr>
        <w:t>名称</w:t>
      </w:r>
      <w:r>
        <w:rPr>
          <w:rFonts w:hint="eastAsia" w:hAnsi="宋体" w:cs="宋体"/>
          <w:b/>
          <w:bCs/>
          <w:color w:val="auto"/>
          <w:sz w:val="32"/>
          <w:szCs w:val="32"/>
          <w:highlight w:val="none"/>
        </w:rPr>
        <w:t>：钦州市第十六中学运动场</w:t>
      </w:r>
    </w:p>
    <w:p w14:paraId="4356CA9B">
      <w:pPr>
        <w:pStyle w:val="25"/>
        <w:snapToGrid w:val="0"/>
        <w:spacing w:line="480" w:lineRule="auto"/>
        <w:ind w:firstLine="643" w:firstLineChars="200"/>
        <w:jc w:val="lef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项目编号：QZZC2025-C2-030081-GXJT</w:t>
      </w:r>
    </w:p>
    <w:p w14:paraId="44F3F239">
      <w:pPr>
        <w:pStyle w:val="25"/>
        <w:snapToGrid w:val="0"/>
        <w:spacing w:line="480" w:lineRule="auto"/>
        <w:ind w:firstLine="643" w:firstLineChars="200"/>
        <w:jc w:val="left"/>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人：钦州市第十六中学</w:t>
      </w:r>
    </w:p>
    <w:p w14:paraId="46B8FB0D">
      <w:pPr>
        <w:pStyle w:val="25"/>
        <w:snapToGrid w:val="0"/>
        <w:spacing w:line="360" w:lineRule="auto"/>
        <w:rPr>
          <w:rFonts w:hint="eastAsia" w:hAnsi="宋体" w:cs="宋体"/>
          <w:b/>
          <w:bCs/>
          <w:color w:val="auto"/>
          <w:w w:val="95"/>
          <w:sz w:val="30"/>
          <w:szCs w:val="30"/>
          <w:highlight w:val="none"/>
        </w:rPr>
      </w:pPr>
    </w:p>
    <w:p w14:paraId="4F5C6A3C">
      <w:pPr>
        <w:pStyle w:val="25"/>
        <w:snapToGrid w:val="0"/>
        <w:spacing w:line="360" w:lineRule="auto"/>
        <w:jc w:val="center"/>
        <w:rPr>
          <w:rFonts w:hint="eastAsia" w:hAnsi="宋体" w:cs="宋体"/>
          <w:b/>
          <w:bCs/>
          <w:color w:val="auto"/>
          <w:w w:val="95"/>
          <w:sz w:val="30"/>
          <w:szCs w:val="30"/>
          <w:highlight w:val="none"/>
        </w:rPr>
      </w:pP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203835</wp:posOffset>
                </wp:positionV>
                <wp:extent cx="5784850" cy="635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78485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2pt;margin-top:16.05pt;height:0.5pt;width:455.5pt;z-index:251659264;mso-width-relative:page;mso-height-relative:page;" filled="f" stroked="t" coordsize="21600,21600" o:gfxdata="UEsDBAoAAAAAAIdO4kAAAAAAAAAAAAAAAAAEAAAAZHJzL1BLAwQUAAAACACHTuJA1MaRQtcAAAAJ&#10;AQAADwAAAGRycy9kb3ducmV2LnhtbE2PwU7DMAyG70i8Q2QkblvSFk1baTohBFyQkBiFc9qYtiJx&#10;qibrxttjTnC0/en391f7s3diwTmOgTRkawUCqQt2pF5D8/a42oKIyZA1LhBq+MYI+/ryojKlDSd6&#10;xeWQesEhFEujYUhpKqWM3YDexHWYkPj2GWZvEo9zL+1sThzuncyV2khvRuIPg5nwfsDu63D0Gu4+&#10;nh+Kl6X1wdld37xb36inXOvrq0zdgkh4Tn8w/OqzOtTs1IYj2SichlWubhjVUOQZCAa2O7UB0fKi&#10;yEDWlfzfoP4BUEsDBBQAAAAIAIdO4kBcwtD7/gEAAPMDAAAOAAAAZHJzL2Uyb0RvYy54bWytU0uO&#10;EzEQ3SNxB8t70kkgQ2ilM4sJwwZBJD57x59uS/7J5aSTS3ABJHawYjl7bsPMMabsDgGGTRb0wiq7&#10;nl/Ve11eXO6tITsZQXvX0MloTIl03Avt2oZ+eH/9ZE4JJOYEM97Jhh4k0Mvl40eLPtRy6jtvhIwE&#10;SRzUfWhol1Koqwp4Jy2DkQ/SYVL5aFnCbWwrEVmP7NZU0/H4oup9FCF6LgHwdDUk6ZExnkPoldJc&#10;rjzfWunSwBqlYQklQacD0GXpVinJ01ulQCZiGopKU1mxCMabvFbLBavbyEKn+bEFdk4LDzRZph0W&#10;PVGtWGJkG/U/VFbz6MGrNOLeVoOQ4giqmIwfePOuY0EWLWg1hJPp8P9o+ZvdOhItcBLQEscs/vHb&#10;zzc/P329+/EF19vv3whm0KY+QI3oK7eOxx2Edcya9ypaoowOH5GluIC6yL6YfDiZLPeJcDycPZ8/&#10;m8+wGMfcxVOMkK4aWDJbiJBeSW9JDhpqtMsWsJrtXkMaoL8g+dg40jf0xWw6Q0aG86hwDjC0ATWB&#10;a8td8EaLa21MvgGx3VyZSHYsz0T5ji38BctFVgy6AVdSGcbqTjLx0gmSDgHNcvhIaG7BSkGJkfim&#10;clSQiWlzDhLVG4cmZIsHU3O08eKA/2Ybom47dGJSuswZnIVi2XFu87D9uS9Mv9/q8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xpFC1wAAAAkBAAAPAAAAAAAAAAEAIAAAACIAAABkcnMvZG93bnJl&#10;di54bWxQSwECFAAUAAAACACHTuJAXMLQ+/4BAADzAwAADgAAAAAAAAABACAAAAAmAQAAZHJzL2Uy&#10;b0RvYy54bWxQSwUGAAAAAAYABgBZAQAAlgUAAAAA&#10;">
                <v:fill on="f" focussize="0,0"/>
                <v:stroke color="#000000" joinstyle="round"/>
                <v:imagedata o:title=""/>
                <o:lock v:ext="edit" aspectratio="f"/>
              </v:line>
            </w:pict>
          </mc:Fallback>
        </mc:AlternateContent>
      </w:r>
    </w:p>
    <w:p w14:paraId="169D26E1">
      <w:pPr>
        <w:pStyle w:val="25"/>
        <w:snapToGrid w:val="0"/>
        <w:spacing w:line="480" w:lineRule="auto"/>
        <w:jc w:val="center"/>
        <w:rPr>
          <w:rFonts w:hint="eastAsia" w:ascii="仿宋_GB2312" w:hAnsi="宋体" w:eastAsia="仿宋_GB2312"/>
          <w:b/>
          <w:bCs/>
          <w:color w:val="auto"/>
          <w:w w:val="95"/>
          <w:sz w:val="30"/>
          <w:szCs w:val="30"/>
          <w:highlight w:val="none"/>
        </w:rPr>
      </w:pPr>
      <w:r>
        <w:rPr>
          <w:rFonts w:hint="eastAsia" w:hAnsi="宋体" w:cs="宋体"/>
          <w:b/>
          <w:bCs/>
          <w:color w:val="auto"/>
          <w:w w:val="95"/>
          <w:sz w:val="30"/>
          <w:szCs w:val="30"/>
          <w:highlight w:val="none"/>
        </w:rPr>
        <w:t>采购代理机构：广西建通工程咨询有限责任公司</w:t>
      </w:r>
    </w:p>
    <w:p w14:paraId="4B308B5E">
      <w:pPr>
        <w:jc w:val="center"/>
        <w:rPr>
          <w:rFonts w:hint="default" w:eastAsia="宋体"/>
          <w:color w:val="auto"/>
          <w:highlight w:val="none"/>
          <w:lang w:val="en-US" w:eastAsia="zh-CN"/>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20日</w:t>
      </w:r>
    </w:p>
    <w:p w14:paraId="54271392">
      <w:pPr>
        <w:pStyle w:val="25"/>
        <w:snapToGrid w:val="0"/>
        <w:spacing w:line="360" w:lineRule="auto"/>
        <w:ind w:left="420" w:firstLine="588" w:firstLineChars="294"/>
        <w:rPr>
          <w:rFonts w:ascii="仿宋_GB2312" w:eastAsia="仿宋_GB2312"/>
          <w:bCs/>
          <w:color w:val="auto"/>
          <w:szCs w:val="20"/>
          <w:highlight w:val="none"/>
        </w:rPr>
      </w:pPr>
    </w:p>
    <w:p w14:paraId="0A1840E6">
      <w:pPr>
        <w:spacing w:line="360" w:lineRule="auto"/>
        <w:jc w:val="center"/>
        <w:rPr>
          <w:rFonts w:ascii="宋体" w:hAnsi="宋体" w:cs="宋体"/>
          <w:b/>
          <w:bCs/>
          <w:color w:val="auto"/>
          <w:kern w:val="0"/>
          <w:sz w:val="32"/>
          <w:szCs w:val="32"/>
          <w:highlight w:val="none"/>
        </w:rPr>
      </w:pPr>
    </w:p>
    <w:p w14:paraId="5192B6E6">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560BCC4B">
      <w:pPr>
        <w:spacing w:line="400" w:lineRule="exact"/>
        <w:jc w:val="center"/>
        <w:rPr>
          <w:rFonts w:ascii="宋体" w:hAnsi="宋体"/>
          <w:b/>
          <w:color w:val="auto"/>
          <w:sz w:val="44"/>
          <w:szCs w:val="44"/>
          <w:highlight w:val="none"/>
        </w:rPr>
      </w:pPr>
    </w:p>
    <w:p w14:paraId="508BF3F6">
      <w:pPr>
        <w:pStyle w:val="32"/>
        <w:tabs>
          <w:tab w:val="right" w:leader="dot" w:pos="8869"/>
        </w:tabs>
        <w:spacing w:line="360" w:lineRule="auto"/>
        <w:rPr>
          <w:rFonts w:ascii="Calibri" w:hAnsi="Calibri"/>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"_Toc122424244" </w:instrText>
      </w:r>
      <w:r>
        <w:rPr>
          <w:color w:val="auto"/>
          <w:highlight w:val="none"/>
        </w:rPr>
        <w:fldChar w:fldCharType="separate"/>
      </w:r>
      <w:r>
        <w:rPr>
          <w:rStyle w:val="51"/>
          <w:rFonts w:hint="eastAsia"/>
          <w:b/>
          <w:color w:val="auto"/>
          <w:sz w:val="24"/>
          <w:highlight w:val="none"/>
        </w:rPr>
        <w:t>第一章</w:t>
      </w:r>
      <w:r>
        <w:rPr>
          <w:rStyle w:val="51"/>
          <w:b/>
          <w:color w:val="auto"/>
          <w:sz w:val="24"/>
          <w:highlight w:val="none"/>
        </w:rPr>
        <w:t xml:space="preserve"> </w:t>
      </w:r>
      <w:r>
        <w:rPr>
          <w:rStyle w:val="51"/>
          <w:rFonts w:hint="eastAsia"/>
          <w:b/>
          <w:color w:val="auto"/>
          <w:sz w:val="24"/>
          <w:highlight w:val="none"/>
        </w:rPr>
        <w:t>竞争性磋商公告</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_Toc122424244 \h </w:instrText>
      </w:r>
      <w:r>
        <w:rPr>
          <w:b/>
          <w:color w:val="auto"/>
          <w:sz w:val="24"/>
          <w:highlight w:val="none"/>
        </w:rPr>
        <w:fldChar w:fldCharType="separate"/>
      </w:r>
      <w:r>
        <w:rPr>
          <w:b/>
          <w:color w:val="auto"/>
          <w:sz w:val="24"/>
          <w:highlight w:val="none"/>
        </w:rPr>
        <w:t>2</w:t>
      </w:r>
      <w:r>
        <w:rPr>
          <w:b/>
          <w:color w:val="auto"/>
          <w:sz w:val="24"/>
          <w:highlight w:val="none"/>
        </w:rPr>
        <w:fldChar w:fldCharType="end"/>
      </w:r>
      <w:r>
        <w:rPr>
          <w:b/>
          <w:color w:val="auto"/>
          <w:sz w:val="24"/>
          <w:highlight w:val="none"/>
        </w:rPr>
        <w:fldChar w:fldCharType="end"/>
      </w:r>
    </w:p>
    <w:p w14:paraId="03E7766E">
      <w:pPr>
        <w:pStyle w:val="32"/>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"_Toc122424245" </w:instrText>
      </w:r>
      <w:r>
        <w:rPr>
          <w:color w:val="auto"/>
          <w:highlight w:val="none"/>
        </w:rPr>
        <w:fldChar w:fldCharType="separate"/>
      </w:r>
      <w:r>
        <w:rPr>
          <w:rStyle w:val="51"/>
          <w:rFonts w:hint="eastAsia"/>
          <w:b/>
          <w:color w:val="auto"/>
          <w:sz w:val="24"/>
          <w:highlight w:val="none"/>
        </w:rPr>
        <w:t>第二章</w:t>
      </w:r>
      <w:r>
        <w:rPr>
          <w:rStyle w:val="51"/>
          <w:b/>
          <w:color w:val="auto"/>
          <w:sz w:val="24"/>
          <w:highlight w:val="none"/>
        </w:rPr>
        <w:t xml:space="preserve"> </w:t>
      </w:r>
      <w:r>
        <w:rPr>
          <w:rStyle w:val="51"/>
          <w:rFonts w:hint="eastAsia"/>
          <w:b/>
          <w:color w:val="auto"/>
          <w:sz w:val="24"/>
          <w:highlight w:val="none"/>
        </w:rPr>
        <w:t>供应商须知</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_Toc122424245 \h </w:instrText>
      </w:r>
      <w:r>
        <w:rPr>
          <w:b/>
          <w:color w:val="auto"/>
          <w:sz w:val="24"/>
          <w:highlight w:val="none"/>
        </w:rPr>
        <w:fldChar w:fldCharType="separate"/>
      </w:r>
      <w:r>
        <w:rPr>
          <w:b/>
          <w:color w:val="auto"/>
          <w:sz w:val="24"/>
          <w:highlight w:val="none"/>
        </w:rPr>
        <w:t>6</w:t>
      </w:r>
      <w:r>
        <w:rPr>
          <w:b/>
          <w:color w:val="auto"/>
          <w:sz w:val="24"/>
          <w:highlight w:val="none"/>
        </w:rPr>
        <w:fldChar w:fldCharType="end"/>
      </w:r>
      <w:r>
        <w:rPr>
          <w:b/>
          <w:color w:val="auto"/>
          <w:sz w:val="24"/>
          <w:highlight w:val="none"/>
        </w:rPr>
        <w:fldChar w:fldCharType="end"/>
      </w:r>
    </w:p>
    <w:p w14:paraId="19E5F464">
      <w:pPr>
        <w:pStyle w:val="32"/>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"_Toc122424246" </w:instrText>
      </w:r>
      <w:r>
        <w:rPr>
          <w:color w:val="auto"/>
          <w:highlight w:val="none"/>
        </w:rPr>
        <w:fldChar w:fldCharType="separate"/>
      </w:r>
      <w:r>
        <w:rPr>
          <w:rStyle w:val="51"/>
          <w:rFonts w:hint="eastAsia"/>
          <w:b/>
          <w:color w:val="auto"/>
          <w:sz w:val="24"/>
          <w:highlight w:val="none"/>
        </w:rPr>
        <w:t>第三章</w:t>
      </w:r>
      <w:r>
        <w:rPr>
          <w:rStyle w:val="51"/>
          <w:b/>
          <w:color w:val="auto"/>
          <w:sz w:val="24"/>
          <w:highlight w:val="none"/>
        </w:rPr>
        <w:t xml:space="preserve"> </w:t>
      </w:r>
      <w:r>
        <w:rPr>
          <w:rStyle w:val="51"/>
          <w:rFonts w:hint="eastAsia"/>
          <w:b/>
          <w:color w:val="auto"/>
          <w:sz w:val="24"/>
          <w:highlight w:val="none"/>
        </w:rPr>
        <w:t>采购需求</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_Toc122424246 \h </w:instrText>
      </w:r>
      <w:r>
        <w:rPr>
          <w:b/>
          <w:color w:val="auto"/>
          <w:sz w:val="24"/>
          <w:highlight w:val="none"/>
        </w:rPr>
        <w:fldChar w:fldCharType="separate"/>
      </w:r>
      <w:r>
        <w:rPr>
          <w:b/>
          <w:color w:val="auto"/>
          <w:sz w:val="24"/>
          <w:highlight w:val="none"/>
        </w:rPr>
        <w:t>24</w:t>
      </w:r>
      <w:r>
        <w:rPr>
          <w:b/>
          <w:color w:val="auto"/>
          <w:sz w:val="24"/>
          <w:highlight w:val="none"/>
        </w:rPr>
        <w:fldChar w:fldCharType="end"/>
      </w:r>
      <w:r>
        <w:rPr>
          <w:b/>
          <w:color w:val="auto"/>
          <w:sz w:val="24"/>
          <w:highlight w:val="none"/>
        </w:rPr>
        <w:fldChar w:fldCharType="end"/>
      </w:r>
    </w:p>
    <w:p w14:paraId="07908D79">
      <w:pPr>
        <w:pStyle w:val="32"/>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"_Toc122424247" </w:instrText>
      </w:r>
      <w:r>
        <w:rPr>
          <w:color w:val="auto"/>
          <w:highlight w:val="none"/>
        </w:rPr>
        <w:fldChar w:fldCharType="separate"/>
      </w:r>
      <w:r>
        <w:rPr>
          <w:rStyle w:val="51"/>
          <w:rFonts w:hint="eastAsia"/>
          <w:b/>
          <w:color w:val="auto"/>
          <w:sz w:val="24"/>
          <w:highlight w:val="none"/>
        </w:rPr>
        <w:t>第四章</w:t>
      </w:r>
      <w:r>
        <w:rPr>
          <w:rStyle w:val="51"/>
          <w:b/>
          <w:color w:val="auto"/>
          <w:sz w:val="24"/>
          <w:highlight w:val="none"/>
        </w:rPr>
        <w:t xml:space="preserve">  </w:t>
      </w:r>
      <w:r>
        <w:rPr>
          <w:rStyle w:val="51"/>
          <w:rFonts w:hint="eastAsia"/>
          <w:b/>
          <w:color w:val="auto"/>
          <w:sz w:val="24"/>
          <w:highlight w:val="none"/>
        </w:rPr>
        <w:t>评审程序、评审方法和评审标准</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_Toc122424247 \h </w:instrText>
      </w:r>
      <w:r>
        <w:rPr>
          <w:b/>
          <w:color w:val="auto"/>
          <w:sz w:val="24"/>
          <w:highlight w:val="none"/>
        </w:rPr>
        <w:fldChar w:fldCharType="separate"/>
      </w:r>
      <w:r>
        <w:rPr>
          <w:b/>
          <w:color w:val="auto"/>
          <w:sz w:val="24"/>
          <w:highlight w:val="none"/>
        </w:rPr>
        <w:t>26</w:t>
      </w:r>
      <w:r>
        <w:rPr>
          <w:b/>
          <w:color w:val="auto"/>
          <w:sz w:val="24"/>
          <w:highlight w:val="none"/>
        </w:rPr>
        <w:fldChar w:fldCharType="end"/>
      </w:r>
      <w:r>
        <w:rPr>
          <w:b/>
          <w:color w:val="auto"/>
          <w:sz w:val="24"/>
          <w:highlight w:val="none"/>
        </w:rPr>
        <w:fldChar w:fldCharType="end"/>
      </w:r>
    </w:p>
    <w:p w14:paraId="5AC48CDD">
      <w:pPr>
        <w:pStyle w:val="32"/>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"_Toc122424248" </w:instrText>
      </w:r>
      <w:r>
        <w:rPr>
          <w:color w:val="auto"/>
          <w:highlight w:val="none"/>
        </w:rPr>
        <w:fldChar w:fldCharType="separate"/>
      </w:r>
      <w:r>
        <w:rPr>
          <w:rStyle w:val="51"/>
          <w:rFonts w:hint="eastAsia"/>
          <w:b/>
          <w:color w:val="auto"/>
          <w:sz w:val="24"/>
          <w:highlight w:val="none"/>
        </w:rPr>
        <w:t>第五章</w:t>
      </w:r>
      <w:r>
        <w:rPr>
          <w:rStyle w:val="51"/>
          <w:b/>
          <w:color w:val="auto"/>
          <w:sz w:val="24"/>
          <w:highlight w:val="none"/>
        </w:rPr>
        <w:t xml:space="preserve"> </w:t>
      </w:r>
      <w:r>
        <w:rPr>
          <w:rStyle w:val="51"/>
          <w:rFonts w:hint="eastAsia"/>
          <w:b/>
          <w:color w:val="auto"/>
          <w:sz w:val="24"/>
          <w:highlight w:val="none"/>
        </w:rPr>
        <w:t>工程量清单及图纸</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_Toc122424248 \h </w:instrText>
      </w:r>
      <w:r>
        <w:rPr>
          <w:b/>
          <w:color w:val="auto"/>
          <w:sz w:val="24"/>
          <w:highlight w:val="none"/>
        </w:rPr>
        <w:fldChar w:fldCharType="separate"/>
      </w:r>
      <w:r>
        <w:rPr>
          <w:b/>
          <w:color w:val="auto"/>
          <w:sz w:val="24"/>
          <w:highlight w:val="none"/>
        </w:rPr>
        <w:t>36</w:t>
      </w:r>
      <w:r>
        <w:rPr>
          <w:b/>
          <w:color w:val="auto"/>
          <w:sz w:val="24"/>
          <w:highlight w:val="none"/>
        </w:rPr>
        <w:fldChar w:fldCharType="end"/>
      </w:r>
      <w:r>
        <w:rPr>
          <w:b/>
          <w:color w:val="auto"/>
          <w:sz w:val="24"/>
          <w:highlight w:val="none"/>
        </w:rPr>
        <w:fldChar w:fldCharType="end"/>
      </w:r>
    </w:p>
    <w:p w14:paraId="2EA1DEED">
      <w:pPr>
        <w:pStyle w:val="32"/>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"_Toc122424265" </w:instrText>
      </w:r>
      <w:r>
        <w:rPr>
          <w:color w:val="auto"/>
          <w:highlight w:val="none"/>
        </w:rPr>
        <w:fldChar w:fldCharType="separate"/>
      </w:r>
      <w:r>
        <w:rPr>
          <w:rStyle w:val="51"/>
          <w:rFonts w:hint="eastAsia"/>
          <w:b/>
          <w:color w:val="auto"/>
          <w:sz w:val="24"/>
          <w:highlight w:val="none"/>
        </w:rPr>
        <w:t>第六章</w:t>
      </w:r>
      <w:r>
        <w:rPr>
          <w:rStyle w:val="51"/>
          <w:b/>
          <w:color w:val="auto"/>
          <w:sz w:val="24"/>
          <w:highlight w:val="none"/>
        </w:rPr>
        <w:t xml:space="preserve"> </w:t>
      </w:r>
      <w:r>
        <w:rPr>
          <w:rStyle w:val="51"/>
          <w:rFonts w:hint="eastAsia"/>
          <w:b/>
          <w:color w:val="auto"/>
          <w:sz w:val="24"/>
          <w:highlight w:val="none"/>
        </w:rPr>
        <w:t>响应文件格式</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_Toc122424265 \h </w:instrText>
      </w:r>
      <w:r>
        <w:rPr>
          <w:b/>
          <w:color w:val="auto"/>
          <w:sz w:val="24"/>
          <w:highlight w:val="none"/>
        </w:rPr>
        <w:fldChar w:fldCharType="separate"/>
      </w:r>
      <w:r>
        <w:rPr>
          <w:b/>
          <w:color w:val="auto"/>
          <w:sz w:val="24"/>
          <w:highlight w:val="none"/>
        </w:rPr>
        <w:t>42</w:t>
      </w:r>
      <w:r>
        <w:rPr>
          <w:b/>
          <w:color w:val="auto"/>
          <w:sz w:val="24"/>
          <w:highlight w:val="none"/>
        </w:rPr>
        <w:fldChar w:fldCharType="end"/>
      </w:r>
      <w:r>
        <w:rPr>
          <w:b/>
          <w:color w:val="auto"/>
          <w:sz w:val="24"/>
          <w:highlight w:val="none"/>
        </w:rPr>
        <w:fldChar w:fldCharType="end"/>
      </w:r>
    </w:p>
    <w:p w14:paraId="30F10FD0">
      <w:pPr>
        <w:pStyle w:val="32"/>
        <w:tabs>
          <w:tab w:val="right" w:leader="dot" w:pos="8869"/>
        </w:tabs>
        <w:spacing w:line="360" w:lineRule="auto"/>
        <w:rPr>
          <w:rFonts w:ascii="Calibri" w:hAnsi="Calibri"/>
          <w:b/>
          <w:color w:val="auto"/>
          <w:sz w:val="24"/>
          <w:highlight w:val="none"/>
        </w:rPr>
      </w:pPr>
      <w:r>
        <w:rPr>
          <w:color w:val="auto"/>
          <w:highlight w:val="none"/>
        </w:rPr>
        <w:fldChar w:fldCharType="begin"/>
      </w:r>
      <w:r>
        <w:rPr>
          <w:color w:val="auto"/>
          <w:highlight w:val="none"/>
        </w:rPr>
        <w:instrText xml:space="preserve"> HYPERLINK \l "_Toc122424267" </w:instrText>
      </w:r>
      <w:r>
        <w:rPr>
          <w:color w:val="auto"/>
          <w:highlight w:val="none"/>
        </w:rPr>
        <w:fldChar w:fldCharType="separate"/>
      </w:r>
      <w:r>
        <w:rPr>
          <w:rStyle w:val="51"/>
          <w:rFonts w:hint="eastAsia"/>
          <w:b/>
          <w:color w:val="auto"/>
          <w:sz w:val="24"/>
          <w:highlight w:val="none"/>
        </w:rPr>
        <w:t>第七章</w:t>
      </w:r>
      <w:r>
        <w:rPr>
          <w:rStyle w:val="51"/>
          <w:b/>
          <w:color w:val="auto"/>
          <w:sz w:val="24"/>
          <w:highlight w:val="none"/>
        </w:rPr>
        <w:t xml:space="preserve"> </w:t>
      </w:r>
      <w:r>
        <w:rPr>
          <w:rStyle w:val="51"/>
          <w:rFonts w:hint="eastAsia"/>
          <w:b/>
          <w:color w:val="auto"/>
          <w:sz w:val="24"/>
          <w:highlight w:val="none"/>
        </w:rPr>
        <w:t>合同文本</w:t>
      </w:r>
      <w:r>
        <w:rPr>
          <w:b/>
          <w:color w:val="auto"/>
          <w:sz w:val="24"/>
          <w:highlight w:val="none"/>
        </w:rPr>
        <w:tab/>
      </w:r>
      <w:r>
        <w:rPr>
          <w:b/>
          <w:color w:val="auto"/>
          <w:sz w:val="24"/>
          <w:highlight w:val="none"/>
        </w:rPr>
        <w:fldChar w:fldCharType="begin"/>
      </w:r>
      <w:r>
        <w:rPr>
          <w:b/>
          <w:color w:val="auto"/>
          <w:sz w:val="24"/>
          <w:highlight w:val="none"/>
        </w:rPr>
        <w:instrText xml:space="preserve"> PAGEREF _Toc122424267 \h </w:instrText>
      </w:r>
      <w:r>
        <w:rPr>
          <w:b/>
          <w:color w:val="auto"/>
          <w:sz w:val="24"/>
          <w:highlight w:val="none"/>
        </w:rPr>
        <w:fldChar w:fldCharType="separate"/>
      </w:r>
      <w:r>
        <w:rPr>
          <w:b/>
          <w:color w:val="auto"/>
          <w:sz w:val="24"/>
          <w:highlight w:val="none"/>
        </w:rPr>
        <w:t>76</w:t>
      </w:r>
      <w:r>
        <w:rPr>
          <w:b/>
          <w:color w:val="auto"/>
          <w:sz w:val="24"/>
          <w:highlight w:val="none"/>
        </w:rPr>
        <w:fldChar w:fldCharType="end"/>
      </w:r>
      <w:r>
        <w:rPr>
          <w:b/>
          <w:color w:val="auto"/>
          <w:sz w:val="24"/>
          <w:highlight w:val="none"/>
        </w:rPr>
        <w:fldChar w:fldCharType="end"/>
      </w:r>
    </w:p>
    <w:p w14:paraId="7A0A9A61">
      <w:pPr>
        <w:pStyle w:val="32"/>
        <w:tabs>
          <w:tab w:val="right" w:leader="dot" w:pos="8869"/>
        </w:tabs>
        <w:spacing w:line="360" w:lineRule="auto"/>
        <w:rPr>
          <w:rFonts w:ascii="宋体" w:hAnsi="宋体"/>
          <w:b/>
          <w:color w:val="auto"/>
          <w:sz w:val="24"/>
          <w:highlight w:val="none"/>
        </w:rPr>
      </w:pPr>
      <w:r>
        <w:rPr>
          <w:rFonts w:ascii="宋体" w:hAnsi="宋体"/>
          <w:b/>
          <w:color w:val="auto"/>
          <w:sz w:val="24"/>
          <w:highlight w:val="none"/>
        </w:rPr>
        <w:fldChar w:fldCharType="end"/>
      </w:r>
    </w:p>
    <w:p w14:paraId="6FA63F75">
      <w:pPr>
        <w:spacing w:line="360" w:lineRule="auto"/>
        <w:jc w:val="left"/>
        <w:rPr>
          <w:rFonts w:ascii="宋体" w:hAnsi="宋体"/>
          <w:b/>
          <w:color w:val="auto"/>
          <w:sz w:val="32"/>
          <w:szCs w:val="32"/>
          <w:highlight w:val="none"/>
        </w:rPr>
      </w:pPr>
    </w:p>
    <w:p w14:paraId="115D198C">
      <w:pPr>
        <w:spacing w:line="400" w:lineRule="exact"/>
        <w:jc w:val="center"/>
        <w:rPr>
          <w:rFonts w:ascii="宋体" w:hAnsi="宋体"/>
          <w:b/>
          <w:color w:val="auto"/>
          <w:sz w:val="32"/>
          <w:szCs w:val="32"/>
          <w:highlight w:val="none"/>
        </w:rPr>
      </w:pPr>
    </w:p>
    <w:p w14:paraId="3C895CBC">
      <w:pPr>
        <w:spacing w:line="400" w:lineRule="exact"/>
        <w:jc w:val="center"/>
        <w:rPr>
          <w:rFonts w:ascii="宋体" w:hAnsi="宋体"/>
          <w:b/>
          <w:color w:val="auto"/>
          <w:sz w:val="32"/>
          <w:szCs w:val="32"/>
          <w:highlight w:val="none"/>
        </w:rPr>
      </w:pPr>
    </w:p>
    <w:p w14:paraId="160536A4">
      <w:pPr>
        <w:spacing w:line="400" w:lineRule="exact"/>
        <w:jc w:val="center"/>
        <w:rPr>
          <w:rFonts w:ascii="宋体" w:hAnsi="宋体"/>
          <w:b/>
          <w:color w:val="auto"/>
          <w:sz w:val="32"/>
          <w:szCs w:val="32"/>
          <w:highlight w:val="none"/>
        </w:rPr>
      </w:pPr>
    </w:p>
    <w:p w14:paraId="20ADBEE8">
      <w:pPr>
        <w:spacing w:line="400" w:lineRule="exact"/>
        <w:jc w:val="center"/>
        <w:rPr>
          <w:rFonts w:ascii="宋体" w:hAnsi="宋体"/>
          <w:b/>
          <w:color w:val="auto"/>
          <w:sz w:val="32"/>
          <w:szCs w:val="32"/>
          <w:highlight w:val="none"/>
        </w:rPr>
      </w:pPr>
    </w:p>
    <w:p w14:paraId="5A4347CF">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bookmarkStart w:id="840" w:name="_GoBack"/>
      <w:bookmarkEnd w:id="840"/>
    </w:p>
    <w:p w14:paraId="317DF852">
      <w:pPr>
        <w:pStyle w:val="2"/>
        <w:spacing w:after="340" w:line="360" w:lineRule="auto"/>
        <w:jc w:val="center"/>
        <w:rPr>
          <w:color w:val="auto"/>
          <w:highlight w:val="none"/>
        </w:rPr>
      </w:pPr>
      <w:bookmarkStart w:id="0" w:name="_Toc122424244"/>
      <w:r>
        <w:rPr>
          <w:rFonts w:hint="eastAsia"/>
          <w:color w:val="auto"/>
          <w:highlight w:val="none"/>
        </w:rPr>
        <w:t xml:space="preserve">第一章 </w:t>
      </w:r>
      <w:bookmarkEnd w:id="0"/>
      <w:r>
        <w:rPr>
          <w:rFonts w:hint="eastAsia"/>
          <w:color w:val="auto"/>
          <w:highlight w:val="none"/>
        </w:rPr>
        <w:t>竞争性磋商公告</w:t>
      </w:r>
    </w:p>
    <w:p w14:paraId="402D79D9">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广西建通工程咨询有限责任公司关于钦州市第十六中学运动场</w:t>
      </w:r>
      <w:r>
        <w:rPr>
          <w:rFonts w:hint="eastAsia" w:ascii="宋体" w:hAnsi="宋体"/>
          <w:b/>
          <w:bCs/>
          <w:color w:val="auto"/>
          <w:sz w:val="32"/>
          <w:szCs w:val="32"/>
          <w:highlight w:val="none"/>
          <w:lang w:eastAsia="zh-CN"/>
        </w:rPr>
        <w:t>（QZZC2025-C2-030081-GXJT）</w:t>
      </w:r>
      <w:r>
        <w:rPr>
          <w:rFonts w:hint="eastAsia" w:ascii="宋体" w:hAnsi="宋体"/>
          <w:b/>
          <w:bCs/>
          <w:color w:val="auto"/>
          <w:sz w:val="32"/>
          <w:szCs w:val="32"/>
          <w:highlight w:val="none"/>
        </w:rPr>
        <w:t>竞争性磋商公告</w:t>
      </w:r>
    </w:p>
    <w:p w14:paraId="31B7F411">
      <w:pPr>
        <w:spacing w:line="360" w:lineRule="auto"/>
        <w:rPr>
          <w:rFonts w:ascii="宋体" w:hAnsi="宋体"/>
          <w:color w:val="auto"/>
          <w:szCs w:val="21"/>
          <w:highlight w:val="none"/>
        </w:rPr>
      </w:pPr>
    </w:p>
    <w:p w14:paraId="7504CB02">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b/>
          <w:bCs/>
          <w:color w:val="auto"/>
          <w:szCs w:val="21"/>
          <w:highlight w:val="none"/>
        </w:rPr>
      </w:pPr>
      <w:bookmarkStart w:id="1" w:name="_Hlk37430271"/>
      <w:r>
        <w:rPr>
          <w:rFonts w:hint="eastAsia" w:ascii="宋体" w:hAnsi="宋体"/>
          <w:b/>
          <w:bCs/>
          <w:color w:val="auto"/>
          <w:szCs w:val="21"/>
          <w:highlight w:val="none"/>
        </w:rPr>
        <w:t>项目概况</w:t>
      </w:r>
    </w:p>
    <w:p w14:paraId="0C35E8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钦州市第十六中学运动场</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采购项目的潜在供应商应在广西政府采购云平台（https://www.zcygov.cn）获取（下载）竞争性磋商文件，并于</w:t>
      </w:r>
      <w:r>
        <w:rPr>
          <w:rFonts w:hint="eastAsia" w:ascii="宋体" w:hAnsi="宋体"/>
          <w:bCs/>
          <w:color w:val="auto"/>
          <w:szCs w:val="21"/>
          <w:highlight w:val="none"/>
          <w:u w:val="single"/>
        </w:rPr>
        <w:t>2025 年</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01</w:t>
      </w:r>
      <w:r>
        <w:rPr>
          <w:rFonts w:hint="eastAsia" w:ascii="宋体" w:hAnsi="宋体"/>
          <w:bCs/>
          <w:color w:val="auto"/>
          <w:szCs w:val="21"/>
          <w:highlight w:val="none"/>
          <w:u w:val="single"/>
        </w:rPr>
        <w:t>日</w:t>
      </w:r>
      <w:r>
        <w:rPr>
          <w:rFonts w:hint="eastAsia" w:ascii="宋体" w:hAnsi="宋体"/>
          <w:bCs/>
          <w:color w:val="auto"/>
          <w:szCs w:val="21"/>
          <w:highlight w:val="none"/>
          <w:u w:val="single"/>
          <w:lang w:eastAsia="zh-CN"/>
        </w:rPr>
        <w:t>上午</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76D9F46">
      <w:pPr>
        <w:spacing w:line="360" w:lineRule="auto"/>
        <w:rPr>
          <w:rFonts w:ascii="宋体" w:hAnsi="宋体"/>
          <w:color w:val="auto"/>
          <w:szCs w:val="21"/>
          <w:highlight w:val="none"/>
        </w:rPr>
      </w:pPr>
    </w:p>
    <w:p w14:paraId="1D4CD0EE">
      <w:pPr>
        <w:spacing w:line="360" w:lineRule="auto"/>
        <w:ind w:firstLine="354" w:firstLineChars="147"/>
        <w:rPr>
          <w:rFonts w:ascii="黑体" w:hAnsi="黑体" w:eastAsia="黑体"/>
          <w:b/>
          <w:color w:val="auto"/>
          <w:sz w:val="24"/>
          <w:highlight w:val="none"/>
        </w:rPr>
      </w:pPr>
      <w:bookmarkStart w:id="2" w:name="_Toc35393629"/>
      <w:bookmarkStart w:id="3" w:name="_Toc28359089"/>
      <w:bookmarkStart w:id="4" w:name="_Toc71365905"/>
      <w:bookmarkStart w:id="5" w:name="_Toc35393798"/>
      <w:bookmarkStart w:id="6" w:name="_Toc28359012"/>
      <w:bookmarkStart w:id="7" w:name="_Toc44229878"/>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1B3587D5">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项目编号：</w:t>
      </w:r>
      <w:r>
        <w:rPr>
          <w:rFonts w:hint="eastAsia" w:ascii="宋体" w:hAnsi="宋体"/>
          <w:color w:val="auto"/>
          <w:szCs w:val="21"/>
          <w:highlight w:val="none"/>
          <w:lang w:eastAsia="zh-CN"/>
        </w:rPr>
        <w:t>QZZC2025-C2-030081-GXJT</w:t>
      </w:r>
    </w:p>
    <w:p w14:paraId="24ADB033">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项目名称：</w:t>
      </w:r>
      <w:r>
        <w:rPr>
          <w:rFonts w:hint="eastAsia" w:ascii="宋体" w:hAnsi="宋体"/>
          <w:color w:val="auto"/>
          <w:szCs w:val="21"/>
          <w:highlight w:val="none"/>
          <w:lang w:eastAsia="zh-CN"/>
        </w:rPr>
        <w:t>钦州市第十六中学运动场</w:t>
      </w:r>
    </w:p>
    <w:p w14:paraId="4C5415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采购方式：竞争性磋商</w:t>
      </w:r>
    </w:p>
    <w:p w14:paraId="6D894157">
      <w:pPr>
        <w:spacing w:line="360" w:lineRule="auto"/>
        <w:ind w:firstLine="420" w:firstLineChars="200"/>
        <w:rPr>
          <w:rFonts w:hint="default" w:ascii="宋体" w:hAnsi="宋体" w:eastAsia="宋体"/>
          <w:color w:val="auto"/>
          <w:szCs w:val="21"/>
          <w:highlight w:val="none"/>
          <w:u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预算金额：</w:t>
      </w:r>
      <w:r>
        <w:rPr>
          <w:rFonts w:hint="eastAsia" w:ascii="宋体" w:hAnsi="宋体"/>
          <w:b/>
          <w:bCs/>
          <w:color w:val="auto"/>
          <w:szCs w:val="21"/>
          <w:highlight w:val="none"/>
          <w:u w:val="none"/>
        </w:rPr>
        <w:t>人民币</w:t>
      </w:r>
      <w:r>
        <w:rPr>
          <w:rFonts w:hint="eastAsia" w:ascii="宋体" w:hAnsi="宋体"/>
          <w:b/>
          <w:bCs/>
          <w:color w:val="auto"/>
          <w:szCs w:val="21"/>
          <w:highlight w:val="none"/>
          <w:u w:val="none"/>
          <w:lang w:val="en-US" w:eastAsia="zh-CN"/>
        </w:rPr>
        <w:t>壹佰捌拾万零伍仟贰佰肆拾捌元伍角肆分</w:t>
      </w:r>
      <w:r>
        <w:rPr>
          <w:rFonts w:hint="eastAsia" w:ascii="宋体" w:hAnsi="宋体"/>
          <w:b/>
          <w:bCs/>
          <w:iCs/>
          <w:color w:val="auto"/>
          <w:szCs w:val="21"/>
          <w:highlight w:val="none"/>
          <w:u w:val="none"/>
        </w:rPr>
        <w:t>（</w:t>
      </w:r>
      <w:r>
        <w:rPr>
          <w:rFonts w:hint="eastAsia" w:ascii="宋体" w:hAnsi="宋体"/>
          <w:b/>
          <w:bCs/>
          <w:color w:val="auto"/>
          <w:szCs w:val="21"/>
          <w:highlight w:val="none"/>
          <w:u w:val="none"/>
        </w:rPr>
        <w:t>¥</w:t>
      </w:r>
      <w:r>
        <w:rPr>
          <w:rFonts w:hint="eastAsia" w:ascii="宋体" w:hAnsi="宋体"/>
          <w:b/>
          <w:bCs/>
          <w:color w:val="auto"/>
          <w:szCs w:val="21"/>
          <w:highlight w:val="none"/>
          <w:u w:val="none"/>
          <w:lang w:val="en-US" w:eastAsia="zh-CN"/>
        </w:rPr>
        <w:t>1805248.54元</w:t>
      </w:r>
      <w:r>
        <w:rPr>
          <w:rFonts w:hint="eastAsia" w:ascii="宋体" w:hAnsi="宋体"/>
          <w:b/>
          <w:bCs/>
          <w:iCs/>
          <w:color w:val="auto"/>
          <w:szCs w:val="21"/>
          <w:highlight w:val="none"/>
          <w:u w:val="none"/>
        </w:rPr>
        <w:t>）</w:t>
      </w:r>
    </w:p>
    <w:p w14:paraId="34E0D7AF">
      <w:pPr>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最高限价：人民币</w:t>
      </w:r>
      <w:r>
        <w:rPr>
          <w:rFonts w:hint="eastAsia" w:ascii="宋体" w:hAnsi="宋体"/>
          <w:color w:val="auto"/>
          <w:szCs w:val="21"/>
          <w:highlight w:val="none"/>
          <w:u w:val="none"/>
          <w:lang w:val="en-US" w:eastAsia="zh-CN"/>
        </w:rPr>
        <w:t>壹佰捌拾万零伍仟贰佰肆拾捌元伍角肆分</w:t>
      </w:r>
      <w:r>
        <w:rPr>
          <w:rFonts w:hint="eastAsia" w:ascii="宋体" w:hAnsi="宋体"/>
          <w:iCs/>
          <w:color w:val="auto"/>
          <w:szCs w:val="21"/>
          <w:highlight w:val="none"/>
          <w:u w:val="none"/>
        </w:rPr>
        <w:t>（</w:t>
      </w:r>
      <w:r>
        <w:rPr>
          <w:rFonts w:hint="eastAsia" w:ascii="宋体" w:hAnsi="宋体"/>
          <w:bCs/>
          <w:color w:val="auto"/>
          <w:szCs w:val="21"/>
          <w:highlight w:val="none"/>
          <w:u w:val="none"/>
        </w:rPr>
        <w:t>¥</w:t>
      </w:r>
      <w:r>
        <w:rPr>
          <w:rFonts w:hint="eastAsia" w:ascii="宋体" w:hAnsi="宋体"/>
          <w:bCs/>
          <w:color w:val="auto"/>
          <w:szCs w:val="21"/>
          <w:highlight w:val="none"/>
          <w:u w:val="none"/>
          <w:lang w:val="en-US" w:eastAsia="zh-CN"/>
        </w:rPr>
        <w:t>1805248.54元</w:t>
      </w:r>
      <w:r>
        <w:rPr>
          <w:rFonts w:hint="eastAsia" w:ascii="宋体" w:hAnsi="宋体"/>
          <w:iCs/>
          <w:color w:val="auto"/>
          <w:szCs w:val="21"/>
          <w:highlight w:val="none"/>
          <w:u w:val="none"/>
        </w:rPr>
        <w:t>）</w:t>
      </w:r>
    </w:p>
    <w:p w14:paraId="061FCF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采购需求：</w:t>
      </w:r>
    </w:p>
    <w:tbl>
      <w:tblPr>
        <w:tblStyle w:val="4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60"/>
        <w:gridCol w:w="1360"/>
        <w:gridCol w:w="5251"/>
      </w:tblGrid>
      <w:tr w14:paraId="4CC69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09" w:type="dxa"/>
            <w:tcBorders>
              <w:top w:val="single" w:color="auto" w:sz="4" w:space="0"/>
              <w:left w:val="single" w:color="auto" w:sz="4" w:space="0"/>
              <w:bottom w:val="single" w:color="auto" w:sz="4" w:space="0"/>
              <w:right w:val="single" w:color="auto" w:sz="4" w:space="0"/>
            </w:tcBorders>
            <w:vAlign w:val="center"/>
          </w:tcPr>
          <w:p w14:paraId="61A731C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860" w:type="dxa"/>
            <w:tcBorders>
              <w:top w:val="single" w:color="auto" w:sz="4" w:space="0"/>
              <w:left w:val="single" w:color="auto" w:sz="4" w:space="0"/>
              <w:bottom w:val="single" w:color="auto" w:sz="4" w:space="0"/>
              <w:right w:val="single" w:color="auto" w:sz="4" w:space="0"/>
            </w:tcBorders>
            <w:vAlign w:val="center"/>
          </w:tcPr>
          <w:p w14:paraId="70A10A9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360" w:type="dxa"/>
            <w:tcBorders>
              <w:top w:val="single" w:color="auto" w:sz="4" w:space="0"/>
              <w:left w:val="single" w:color="auto" w:sz="4" w:space="0"/>
              <w:bottom w:val="single" w:color="auto" w:sz="4" w:space="0"/>
              <w:right w:val="single" w:color="auto" w:sz="4" w:space="0"/>
            </w:tcBorders>
            <w:vAlign w:val="center"/>
          </w:tcPr>
          <w:p w14:paraId="2701DAD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5251" w:type="dxa"/>
            <w:tcBorders>
              <w:top w:val="single" w:color="auto" w:sz="4" w:space="0"/>
              <w:left w:val="single" w:color="auto" w:sz="4" w:space="0"/>
              <w:bottom w:val="single" w:color="auto" w:sz="4" w:space="0"/>
              <w:right w:val="single" w:color="auto" w:sz="4" w:space="0"/>
            </w:tcBorders>
            <w:vAlign w:val="center"/>
          </w:tcPr>
          <w:p w14:paraId="6D31C93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22DE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393707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1860" w:type="dxa"/>
            <w:tcBorders>
              <w:top w:val="single" w:color="auto" w:sz="4" w:space="0"/>
              <w:left w:val="single" w:color="auto" w:sz="4" w:space="0"/>
              <w:bottom w:val="single" w:color="auto" w:sz="4" w:space="0"/>
              <w:right w:val="single" w:color="auto" w:sz="4" w:space="0"/>
            </w:tcBorders>
            <w:vAlign w:val="center"/>
          </w:tcPr>
          <w:p w14:paraId="3F8F69B0">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钦州市第十六中学运动场</w:t>
            </w:r>
          </w:p>
        </w:tc>
        <w:tc>
          <w:tcPr>
            <w:tcW w:w="1360" w:type="dxa"/>
            <w:tcBorders>
              <w:top w:val="single" w:color="auto" w:sz="4" w:space="0"/>
              <w:left w:val="single" w:color="auto" w:sz="4" w:space="0"/>
              <w:bottom w:val="single" w:color="auto" w:sz="4" w:space="0"/>
              <w:right w:val="single" w:color="auto" w:sz="4" w:space="0"/>
            </w:tcBorders>
            <w:vAlign w:val="center"/>
          </w:tcPr>
          <w:p w14:paraId="6B27A85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5251" w:type="dxa"/>
            <w:tcBorders>
              <w:top w:val="single" w:color="auto" w:sz="4" w:space="0"/>
              <w:left w:val="single" w:color="auto" w:sz="4" w:space="0"/>
              <w:bottom w:val="single" w:color="auto" w:sz="4" w:space="0"/>
              <w:right w:val="single" w:color="auto" w:sz="4" w:space="0"/>
            </w:tcBorders>
            <w:vAlign w:val="center"/>
          </w:tcPr>
          <w:p w14:paraId="72BA6877">
            <w:pPr>
              <w:spacing w:line="360" w:lineRule="auto"/>
              <w:rPr>
                <w:rFonts w:ascii="宋体" w:hAnsi="宋体"/>
                <w:color w:val="auto"/>
                <w:szCs w:val="21"/>
                <w:highlight w:val="none"/>
              </w:rPr>
            </w:pPr>
            <w:r>
              <w:rPr>
                <w:rFonts w:hint="eastAsia" w:ascii="宋体" w:hAnsi="宋体"/>
                <w:color w:val="auto"/>
                <w:szCs w:val="21"/>
                <w:highlight w:val="none"/>
              </w:rPr>
              <w:t>本工程为钦州市第十六中学运动场，主要建设内容为足球场铺50mm厚人造草坪、13mm厚聚氨酯橡胶复合塑胶跑道。</w:t>
            </w:r>
          </w:p>
        </w:tc>
      </w:tr>
    </w:tbl>
    <w:p w14:paraId="03DC5FB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b/>
          <w:bCs/>
          <w:color w:val="auto"/>
          <w:szCs w:val="21"/>
          <w:highlight w:val="none"/>
          <w:lang w:eastAsia="zh-CN"/>
        </w:rPr>
        <w:t>工期：</w:t>
      </w:r>
      <w:r>
        <w:rPr>
          <w:rFonts w:hint="eastAsia" w:ascii="宋体" w:hAnsi="宋体"/>
          <w:b/>
          <w:bCs/>
          <w:color w:val="auto"/>
          <w:highlight w:val="none"/>
          <w:lang w:val="en-US" w:eastAsia="zh-CN"/>
        </w:rPr>
        <w:t>90</w:t>
      </w:r>
      <w:r>
        <w:rPr>
          <w:rFonts w:hint="eastAsia" w:ascii="宋体" w:hAnsi="宋体"/>
          <w:b/>
          <w:bCs/>
          <w:color w:val="auto"/>
          <w:highlight w:val="none"/>
          <w:lang w:val="zh-CN"/>
        </w:rPr>
        <w:t>日历天。</w:t>
      </w:r>
    </w:p>
    <w:p w14:paraId="5DC46E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D5342D3">
      <w:pPr>
        <w:spacing w:line="360" w:lineRule="auto"/>
        <w:ind w:firstLine="354" w:firstLineChars="147"/>
        <w:rPr>
          <w:rFonts w:ascii="黑体" w:hAnsi="黑体" w:eastAsia="黑体"/>
          <w:b/>
          <w:color w:val="auto"/>
          <w:sz w:val="24"/>
          <w:highlight w:val="none"/>
        </w:rPr>
      </w:pPr>
      <w:bookmarkStart w:id="8" w:name="_Toc35393799"/>
      <w:bookmarkStart w:id="9" w:name="_Toc28359090"/>
      <w:bookmarkStart w:id="10" w:name="_Toc44229879"/>
      <w:bookmarkStart w:id="11" w:name="_Toc28359013"/>
      <w:bookmarkStart w:id="12" w:name="_Toc35393630"/>
      <w:bookmarkStart w:id="13" w:name="_Toc71365906"/>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6196D0E6">
      <w:pPr>
        <w:spacing w:line="360" w:lineRule="auto"/>
        <w:ind w:firstLine="420" w:firstLineChars="200"/>
        <w:rPr>
          <w:rFonts w:hint="eastAsia" w:ascii="宋体" w:hAnsi="宋体" w:eastAsia="宋体"/>
          <w:color w:val="auto"/>
          <w:szCs w:val="21"/>
          <w:highlight w:val="none"/>
          <w:lang w:eastAsia="zh-CN"/>
        </w:rPr>
      </w:pPr>
      <w:bookmarkStart w:id="14" w:name="_Toc35393800"/>
      <w:bookmarkStart w:id="15" w:name="_Toc35393631"/>
      <w:bookmarkStart w:id="16" w:name="_Toc28359091"/>
      <w:bookmarkStart w:id="17" w:name="_Toc44229880"/>
      <w:bookmarkStart w:id="18" w:name="_Toc28359014"/>
      <w:r>
        <w:rPr>
          <w:rFonts w:hint="eastAsia" w:ascii="宋体" w:hAnsi="宋体"/>
          <w:color w:val="auto"/>
          <w:szCs w:val="21"/>
          <w:highlight w:val="none"/>
        </w:rPr>
        <w:t>1.满足《中华人民共和国政府采购法》第二十二条规定</w:t>
      </w:r>
      <w:r>
        <w:rPr>
          <w:rFonts w:hint="eastAsia" w:ascii="宋体" w:hAnsi="宋体"/>
          <w:color w:val="auto"/>
          <w:szCs w:val="21"/>
          <w:highlight w:val="none"/>
          <w:lang w:eastAsia="zh-CN"/>
        </w:rPr>
        <w:t>。</w:t>
      </w:r>
    </w:p>
    <w:p w14:paraId="78FD4FD0">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b/>
          <w:bCs/>
          <w:color w:val="auto"/>
          <w:szCs w:val="21"/>
          <w:highlight w:val="none"/>
        </w:rPr>
        <w:t>本项目属于专门面向中小企业采购的项目，承接本项目施工的供应商应为中小微企业或监狱企业或残疾人福利性单位</w:t>
      </w:r>
      <w:r>
        <w:rPr>
          <w:rFonts w:hint="eastAsia" w:ascii="宋体" w:hAnsi="宋体"/>
          <w:color w:val="auto"/>
          <w:szCs w:val="21"/>
          <w:highlight w:val="none"/>
        </w:rPr>
        <w:t>。</w:t>
      </w:r>
    </w:p>
    <w:p w14:paraId="5923EA2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w:t>
      </w:r>
    </w:p>
    <w:p w14:paraId="4BEB3822">
      <w:pPr>
        <w:spacing w:line="360" w:lineRule="auto"/>
        <w:ind w:firstLine="422" w:firstLineChars="200"/>
        <w:rPr>
          <w:rFonts w:hint="eastAsia" w:ascii="宋体" w:hAnsi="宋体" w:eastAsia="宋体"/>
          <w:b/>
          <w:color w:val="auto"/>
          <w:szCs w:val="21"/>
          <w:highlight w:val="none"/>
          <w:lang w:eastAsia="zh-CN"/>
        </w:rPr>
      </w:pPr>
      <w:bookmarkStart w:id="19" w:name="_Toc71365907"/>
      <w:r>
        <w:rPr>
          <w:rFonts w:hint="eastAsia" w:ascii="宋体" w:hAnsi="宋体"/>
          <w:b/>
          <w:color w:val="auto"/>
          <w:szCs w:val="21"/>
          <w:highlight w:val="none"/>
        </w:rPr>
        <w:t>（1）供应商具备</w:t>
      </w:r>
      <w:r>
        <w:rPr>
          <w:rFonts w:hint="eastAsia" w:ascii="宋体" w:hAnsi="宋体"/>
          <w:b/>
          <w:color w:val="auto"/>
          <w:szCs w:val="21"/>
          <w:highlight w:val="none"/>
          <w:lang w:eastAsia="zh-CN"/>
        </w:rPr>
        <w:t>建筑工程施工总承包</w:t>
      </w:r>
      <w:r>
        <w:rPr>
          <w:rFonts w:hint="eastAsia" w:ascii="宋体" w:hAnsi="宋体"/>
          <w:b/>
          <w:color w:val="auto"/>
          <w:szCs w:val="21"/>
          <w:highlight w:val="none"/>
        </w:rPr>
        <w:t>三级及以上资质及具有有效的安全生产许可证，并在人员、设备、资金等方面具有相应能力的施工企业</w:t>
      </w:r>
      <w:r>
        <w:rPr>
          <w:rFonts w:hint="eastAsia" w:ascii="宋体" w:hAnsi="宋体"/>
          <w:b/>
          <w:color w:val="auto"/>
          <w:szCs w:val="21"/>
          <w:highlight w:val="none"/>
          <w:lang w:eastAsia="zh-CN"/>
        </w:rPr>
        <w:t>。</w:t>
      </w:r>
    </w:p>
    <w:p w14:paraId="2A26CD0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（2）拟投入本工程的项目经理具有建筑工程专业贰级以上（含贰级）注册建造师资格并获得有效的安全生产考核合格证（B证），且未担任其他在施建设工程项目的项目经理。 </w:t>
      </w:r>
    </w:p>
    <w:p w14:paraId="15741948">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（3）拟投入本工程的技术负责人具有建筑工程专业中级及以上工程师职称证书</w:t>
      </w:r>
      <w:r>
        <w:rPr>
          <w:rFonts w:hint="eastAsia" w:ascii="宋体" w:hAnsi="宋体"/>
          <w:b/>
          <w:color w:val="auto"/>
          <w:szCs w:val="21"/>
          <w:highlight w:val="none"/>
          <w:lang w:eastAsia="zh-CN"/>
        </w:rPr>
        <w:t>。</w:t>
      </w:r>
    </w:p>
    <w:p w14:paraId="3CF8885B">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（4）拟投入本工程四大员（施工员、质量员、安全员、材料员）中，安全员具有有效的安全生产考核合格证（C类），施工员、质量员、材料员具有有效的培训合格证。</w:t>
      </w:r>
    </w:p>
    <w:p w14:paraId="1B95EAF9">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35F6FA54">
      <w:pPr>
        <w:spacing w:line="360" w:lineRule="auto"/>
        <w:ind w:firstLine="420" w:firstLineChars="200"/>
        <w:rPr>
          <w:rFonts w:ascii="宋体" w:hAnsi="宋体" w:cs="宋体"/>
          <w:bCs/>
          <w:color w:val="auto"/>
          <w:kern w:val="0"/>
          <w:szCs w:val="21"/>
          <w:highlight w:val="none"/>
        </w:rPr>
      </w:pPr>
      <w:bookmarkStart w:id="20" w:name="_Toc35393801"/>
      <w:bookmarkStart w:id="21" w:name="_Toc28359092"/>
      <w:bookmarkStart w:id="22" w:name="_Toc44229881"/>
      <w:bookmarkStart w:id="23" w:name="_Toc28359015"/>
      <w:bookmarkStart w:id="24" w:name="_Toc35393632"/>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cs="宋体"/>
          <w:bCs/>
          <w:color w:val="auto"/>
          <w:kern w:val="0"/>
          <w:szCs w:val="21"/>
          <w:highlight w:val="none"/>
          <w:u w:val="single"/>
        </w:rPr>
        <w:t>至</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27</w:t>
      </w:r>
      <w:r>
        <w:rPr>
          <w:rFonts w:hint="eastAsia" w:ascii="宋体" w:hAnsi="宋体"/>
          <w:bCs/>
          <w:color w:val="auto"/>
          <w:szCs w:val="21"/>
          <w:highlight w:val="none"/>
          <w:u w:val="single"/>
        </w:rPr>
        <w:t>日</w:t>
      </w:r>
      <w:r>
        <w:rPr>
          <w:rFonts w:hint="eastAsia" w:ascii="宋体" w:hAnsi="宋体" w:cs="宋体"/>
          <w:bCs/>
          <w:color w:val="auto"/>
          <w:kern w:val="0"/>
          <w:szCs w:val="21"/>
          <w:highlight w:val="none"/>
          <w:u w:val="none"/>
        </w:rPr>
        <w:t>，每天上午8</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rPr>
        <w:t>00至12</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rPr>
        <w:t>00，下午3</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rPr>
        <w:t>00至6</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rPr>
        <w:t>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22A4D8F4">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地点：广西政府采购云平台（https://www.zcygov.cn）</w:t>
      </w:r>
    </w:p>
    <w:p w14:paraId="50A92B2B">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方式：网上下载。本项目不提供纸质文件，潜在供应商需使用账号登录或者使用CA登录广西政府采购云平台（https：//www.zcygov.cn）-进入“项目采购”应用，在获取采购文件菜单中选择项目，获取竞争性磋商文件。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323D0291">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bCs/>
          <w:i w:val="0"/>
          <w:iCs w:val="0"/>
          <w:color w:val="auto"/>
          <w:kern w:val="0"/>
          <w:szCs w:val="21"/>
          <w:highlight w:val="none"/>
          <w:u w:val="none"/>
        </w:rPr>
        <w:t>：</w:t>
      </w:r>
      <w:r>
        <w:rPr>
          <w:rFonts w:hint="eastAsia" w:ascii="宋体" w:hAnsi="宋体" w:cs="宋体"/>
          <w:i w:val="0"/>
          <w:iCs w:val="0"/>
          <w:color w:val="auto"/>
          <w:szCs w:val="21"/>
          <w:highlight w:val="none"/>
          <w:u w:val="none"/>
        </w:rPr>
        <w:t>0</w:t>
      </w:r>
      <w:r>
        <w:rPr>
          <w:rFonts w:hint="eastAsia" w:ascii="宋体" w:hAnsi="宋体" w:cs="宋体"/>
          <w:color w:val="auto"/>
          <w:szCs w:val="21"/>
          <w:highlight w:val="none"/>
        </w:rPr>
        <w:t>元</w:t>
      </w:r>
    </w:p>
    <w:p w14:paraId="72DE37A2">
      <w:pPr>
        <w:spacing w:line="360" w:lineRule="auto"/>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63016ECC">
      <w:pPr>
        <w:spacing w:line="360" w:lineRule="auto"/>
        <w:ind w:firstLine="420" w:firstLineChars="200"/>
        <w:rPr>
          <w:rFonts w:ascii="宋体" w:hAnsi="宋体"/>
          <w:bCs/>
          <w:color w:val="auto"/>
          <w:szCs w:val="21"/>
          <w:highlight w:val="none"/>
        </w:rPr>
      </w:pPr>
      <w:bookmarkStart w:id="26" w:name="_Toc28359016"/>
      <w:bookmarkStart w:id="27" w:name="_Toc35393802"/>
      <w:bookmarkStart w:id="28" w:name="_Toc44229882"/>
      <w:bookmarkStart w:id="29" w:name="_Toc28359093"/>
      <w:bookmarkStart w:id="30" w:name="_Toc35393633"/>
      <w:r>
        <w:rPr>
          <w:rFonts w:hint="eastAsia" w:ascii="宋体" w:hAnsi="宋体"/>
          <w:color w:val="auto"/>
          <w:szCs w:val="21"/>
          <w:highlight w:val="none"/>
        </w:rPr>
        <w:t>截止时间：</w:t>
      </w:r>
      <w:r>
        <w:rPr>
          <w:rFonts w:hint="eastAsia" w:ascii="宋体" w:hAnsi="宋体"/>
          <w:bCs/>
          <w:color w:val="auto"/>
          <w:szCs w:val="21"/>
          <w:highlight w:val="none"/>
          <w:u w:val="single"/>
        </w:rPr>
        <w:t>2025 年09月01日上午10时00分</w:t>
      </w:r>
      <w:r>
        <w:rPr>
          <w:rFonts w:hint="eastAsia" w:ascii="宋体" w:hAnsi="宋体"/>
          <w:bCs/>
          <w:color w:val="auto"/>
          <w:szCs w:val="21"/>
          <w:highlight w:val="none"/>
        </w:rPr>
        <w:t>（北京时间）</w:t>
      </w:r>
    </w:p>
    <w:p w14:paraId="26AA15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（https://www.zcygov.cn）</w:t>
      </w:r>
    </w:p>
    <w:p w14:paraId="00B5F48B">
      <w:pPr>
        <w:spacing w:line="360" w:lineRule="auto"/>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31A7BFC5">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u w:val="single"/>
        </w:rPr>
        <w:t>2025 年09月01日上午10时00分</w:t>
      </w:r>
      <w:r>
        <w:rPr>
          <w:rFonts w:hint="eastAsia" w:ascii="宋体" w:hAnsi="宋体"/>
          <w:bCs/>
          <w:color w:val="auto"/>
          <w:szCs w:val="21"/>
          <w:highlight w:val="none"/>
        </w:rPr>
        <w:t>（北京时间）</w:t>
      </w:r>
    </w:p>
    <w:p w14:paraId="400D0DAA">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（https://www.zcygov.cn）</w:t>
      </w:r>
    </w:p>
    <w:p w14:paraId="5EDDC7FB">
      <w:pPr>
        <w:spacing w:line="360" w:lineRule="auto"/>
        <w:ind w:firstLine="354" w:firstLineChars="147"/>
        <w:rPr>
          <w:rFonts w:ascii="黑体" w:hAnsi="黑体" w:eastAsia="黑体"/>
          <w:b/>
          <w:color w:val="auto"/>
          <w:sz w:val="24"/>
          <w:highlight w:val="none"/>
        </w:rPr>
      </w:pPr>
      <w:bookmarkStart w:id="32" w:name="_Toc28359017"/>
      <w:bookmarkStart w:id="33" w:name="_Toc71365910"/>
      <w:bookmarkStart w:id="34" w:name="_Toc44229883"/>
      <w:bookmarkStart w:id="35" w:name="_Toc35393634"/>
      <w:bookmarkStart w:id="36" w:name="_Toc35393803"/>
      <w:bookmarkStart w:id="37" w:name="_Toc28359094"/>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500A398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39C84C0">
      <w:pPr>
        <w:spacing w:line="360" w:lineRule="auto"/>
        <w:ind w:firstLine="354" w:firstLineChars="147"/>
        <w:rPr>
          <w:rFonts w:ascii="黑体" w:hAnsi="黑体" w:eastAsia="黑体"/>
          <w:b/>
          <w:color w:val="auto"/>
          <w:sz w:val="24"/>
          <w:highlight w:val="none"/>
        </w:rPr>
      </w:pPr>
      <w:bookmarkStart w:id="38" w:name="_Toc44229884"/>
      <w:bookmarkStart w:id="39" w:name="_Toc35393635"/>
      <w:bookmarkStart w:id="40" w:name="_Toc71365911"/>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688CBF5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E6D602B">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https：//</w:t>
      </w:r>
      <w:r>
        <w:rPr>
          <w:rFonts w:hint="eastAsia" w:ascii="宋体" w:hAnsi="宋体" w:cs="宋体"/>
          <w:color w:val="auto"/>
          <w:kern w:val="0"/>
          <w:szCs w:val="21"/>
          <w:highlight w:val="none"/>
        </w:rPr>
        <w:t>www.ccgp.gov.cn（中国政府采购网）、</w:t>
      </w:r>
      <w:r>
        <w:rPr>
          <w:rFonts w:hint="eastAsia" w:ascii="宋体" w:hAnsi="宋体"/>
          <w:color w:val="auto"/>
          <w:szCs w:val="21"/>
          <w:highlight w:val="none"/>
        </w:rPr>
        <w:t>https：//</w:t>
      </w:r>
      <w:r>
        <w:rPr>
          <w:rFonts w:hint="eastAsia" w:ascii="宋体" w:hAnsi="宋体" w:cs="宋体"/>
          <w:color w:val="auto"/>
          <w:kern w:val="0"/>
          <w:szCs w:val="21"/>
          <w:highlight w:val="none"/>
        </w:rPr>
        <w:t>zfcg.gxzf.gov.cn（广西壮族自治区政府采购网</w:t>
      </w:r>
      <w:bookmarkStart w:id="42" w:name="_Hlk37429674"/>
      <w:bookmarkStart w:id="43" w:name="_Toc35393805"/>
      <w:bookmarkStart w:id="44" w:name="_Toc28359095"/>
      <w:bookmarkStart w:id="45" w:name="_Toc35393636"/>
      <w:bookmarkStart w:id="46" w:name="_Toc28359018"/>
      <w:bookmarkStart w:id="47" w:name="_Toc44229885"/>
      <w:r>
        <w:rPr>
          <w:rFonts w:hint="eastAsia" w:ascii="宋体" w:hAnsi="宋体" w:cs="宋体"/>
          <w:color w:val="auto"/>
          <w:kern w:val="0"/>
          <w:szCs w:val="21"/>
          <w:highlight w:val="none"/>
        </w:rPr>
        <w:t>）</w:t>
      </w:r>
    </w:p>
    <w:p w14:paraId="39DC2AF5">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本项目执行采购政策</w:t>
      </w:r>
    </w:p>
    <w:bookmarkEnd w:id="42"/>
    <w:p w14:paraId="3A218AD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81A97A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6224B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优先采购节能产品、环境标志产品。</w:t>
      </w:r>
    </w:p>
    <w:p w14:paraId="28A8773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E7F3D3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9368156">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0C1E1C9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（1）本项目为全流程电子化采购项目，通过广西政府采购云平台（https：//www.zcygov.cn）实行在线电子竞标，供应商应先安装“</w:t>
      </w:r>
      <w:r>
        <w:rPr>
          <w:rFonts w:hint="eastAsia" w:ascii="宋体" w:hAnsi="宋体"/>
          <w:color w:val="auto"/>
          <w:szCs w:val="21"/>
          <w:highlight w:val="none"/>
          <w:lang w:eastAsia="zh-CN"/>
        </w:rPr>
        <w:t>广西政府采购云电子交易客户端</w:t>
      </w:r>
      <w:r>
        <w:rPr>
          <w:rFonts w:hint="eastAsia" w:ascii="宋体" w:hAnsi="宋体"/>
          <w:color w:val="auto"/>
          <w:szCs w:val="21"/>
          <w:highlight w:val="none"/>
        </w:rPr>
        <w:t>”（请自行前往广西政府采购云平台进行下载），并按照本项目竞争性磋商文件和广西政府采购云平台的要求编制、加密后在提交响应文件截止时间前通过网络上传至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），供应商在广西政府采购云平台提交电子响应文件时，请填写参加远程采购活动经办人联系方式。供应商登录广西政府采购云平台，依次进入“服务中心-项目采购-操作流程-电子招竞标-</w:t>
      </w:r>
      <w:r>
        <w:rPr>
          <w:rFonts w:hint="eastAsia"/>
          <w:color w:val="auto"/>
          <w:highlight w:val="none"/>
        </w:rPr>
        <w:t>政府采购项目电子交易管理操作指南</w:t>
      </w:r>
      <w:r>
        <w:rPr>
          <w:rFonts w:hint="eastAsia"/>
          <w:color w:val="auto"/>
          <w:highlight w:val="none"/>
          <w:lang w:val="en-US" w:eastAsia="zh-CN"/>
        </w:rPr>
        <w:t>-</w:t>
      </w:r>
      <w:r>
        <w:rPr>
          <w:rFonts w:hint="eastAsia"/>
          <w:color w:val="auto"/>
          <w:highlight w:val="none"/>
        </w:rPr>
        <w:t>供应商</w:t>
      </w:r>
      <w:r>
        <w:rPr>
          <w:rFonts w:hint="eastAsia" w:ascii="宋体" w:hAnsi="宋体"/>
          <w:color w:val="auto"/>
          <w:szCs w:val="21"/>
          <w:highlight w:val="none"/>
        </w:rPr>
        <w:t>”查看电子竞标具体操作流程。</w:t>
      </w:r>
    </w:p>
    <w:p w14:paraId="37A4D8F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依次进入“服务中心-入驻与配置”中查看CA数字证书办理操作流程。如在操作过程中遇到问题或者需要技术支持，请致电</w:t>
      </w:r>
      <w:r>
        <w:rPr>
          <w:rFonts w:hint="eastAsia" w:ascii="宋体" w:hAnsi="宋体"/>
          <w:color w:val="auto"/>
          <w:szCs w:val="21"/>
          <w:highlight w:val="none"/>
          <w:lang w:eastAsia="zh-CN"/>
        </w:rPr>
        <w:t>广西政府采购云</w:t>
      </w:r>
      <w:r>
        <w:rPr>
          <w:rFonts w:hint="eastAsia" w:ascii="宋体" w:hAnsi="宋体"/>
          <w:color w:val="auto"/>
          <w:szCs w:val="21"/>
          <w:highlight w:val="none"/>
        </w:rPr>
        <w:t>客服热线：</w:t>
      </w:r>
      <w:r>
        <w:rPr>
          <w:rFonts w:hint="eastAsia" w:ascii="宋体" w:hAnsi="宋体" w:cs="宋体"/>
          <w:bCs/>
          <w:color w:val="auto"/>
          <w:kern w:val="0"/>
          <w:szCs w:val="21"/>
          <w:highlight w:val="none"/>
        </w:rPr>
        <w:t>95763或者0771-3381253</w:t>
      </w:r>
      <w:r>
        <w:rPr>
          <w:rFonts w:hint="eastAsia" w:ascii="宋体" w:hAnsi="宋体"/>
          <w:color w:val="auto"/>
          <w:szCs w:val="21"/>
          <w:highlight w:val="none"/>
        </w:rPr>
        <w:t>）。</w:t>
      </w:r>
    </w:p>
    <w:p w14:paraId="02F7E1B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w:t>
      </w:r>
      <w:r>
        <w:rPr>
          <w:rFonts w:hint="eastAsia" w:ascii="宋体" w:hAnsi="宋体" w:cs="宋体"/>
          <w:color w:val="auto"/>
          <w:kern w:val="0"/>
          <w:szCs w:val="21"/>
          <w:highlight w:val="none"/>
        </w:rPr>
        <w:t>平台电子开标大厅现场按规定时间对加密的响应文件进行解密，否则后果自负。</w:t>
      </w:r>
    </w:p>
    <w:p w14:paraId="29E11C0B">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B90A48B">
      <w:pPr>
        <w:numPr>
          <w:ilvl w:val="0"/>
          <w:numId w:val="1"/>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供应商需要在具备有摄像头及语音功能且互联网网络状况良好的电脑登录广西政府采购云平台远程开标大厅参与本次磋商，否则后果自负。</w:t>
      </w:r>
    </w:p>
    <w:p w14:paraId="2C21890D">
      <w:pPr>
        <w:widowControl/>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1A543E">
      <w:pPr>
        <w:widowControl/>
        <w:spacing w:line="360" w:lineRule="auto"/>
        <w:ind w:firstLine="420" w:firstLineChars="200"/>
        <w:jc w:val="left"/>
        <w:rPr>
          <w:rFonts w:ascii="黑体" w:hAnsi="黑体" w:eastAsia="黑体"/>
          <w:b/>
          <w:color w:val="auto"/>
          <w:sz w:val="24"/>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bookmarkEnd w:id="1"/>
    <w:p w14:paraId="3DC7AE9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5F90BA6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名称：钦州市第十六中学　</w:t>
      </w:r>
    </w:p>
    <w:p w14:paraId="337C7117">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地址：钦北区新城区（皇马二十二路南面）</w:t>
      </w:r>
      <w:r>
        <w:rPr>
          <w:rFonts w:hint="eastAsia"/>
          <w:color w:val="auto"/>
          <w:highlight w:val="none"/>
          <w:lang w:val="en-US" w:eastAsia="zh-CN"/>
        </w:rPr>
        <w:t xml:space="preserve"> </w:t>
      </w:r>
    </w:p>
    <w:p w14:paraId="4EC75B7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eastAsia="zh-CN"/>
        </w:rPr>
        <w:t>陆洋，</w:t>
      </w:r>
      <w:r>
        <w:rPr>
          <w:rFonts w:hint="eastAsia" w:ascii="宋体" w:hAnsi="宋体" w:cs="宋体"/>
          <w:color w:val="auto"/>
          <w:kern w:val="0"/>
          <w:szCs w:val="21"/>
          <w:highlight w:val="none"/>
          <w:lang w:val="en-US" w:eastAsia="zh-CN"/>
        </w:rPr>
        <w:t>0777-3882699</w:t>
      </w:r>
      <w:r>
        <w:rPr>
          <w:rFonts w:hint="eastAsia" w:ascii="宋体" w:hAnsi="宋体" w:cs="宋体"/>
          <w:color w:val="auto"/>
          <w:kern w:val="0"/>
          <w:szCs w:val="21"/>
          <w:highlight w:val="none"/>
        </w:rPr>
        <w:t xml:space="preserve"> </w:t>
      </w:r>
      <w:bookmarkStart w:id="48" w:name="_Toc28359009"/>
      <w:bookmarkStart w:id="49" w:name="_Toc28359086"/>
    </w:p>
    <w:bookmarkEnd w:id="48"/>
    <w:bookmarkEnd w:id="49"/>
    <w:p w14:paraId="69D1A9D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7384565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名称：广西建通工程咨询有限责任公司　</w:t>
      </w:r>
    </w:p>
    <w:p w14:paraId="4CD2BF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地址：广西钦州市永福东大街中地滨江国际10幢4楼左</w:t>
      </w:r>
    </w:p>
    <w:p w14:paraId="0BFAB7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项目联系人姓名：符莹</w:t>
      </w:r>
    </w:p>
    <w:p w14:paraId="12E0624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联系电话：0777-3258836/3258858（财务）</w:t>
      </w:r>
    </w:p>
    <w:p w14:paraId="4F7AD4D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3.项目联系方式</w:t>
      </w:r>
    </w:p>
    <w:p w14:paraId="589A25D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项目联系人：符莹</w:t>
      </w:r>
    </w:p>
    <w:p w14:paraId="13C843B8">
      <w:pPr>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电话：0777-3258836/3258858（财务）</w:t>
      </w:r>
      <w:r>
        <w:rPr>
          <w:rFonts w:hint="eastAsia" w:ascii="宋体" w:hAnsi="宋体" w:cs="宋体"/>
          <w:color w:val="auto"/>
          <w:kern w:val="0"/>
          <w:szCs w:val="21"/>
          <w:highlight w:val="none"/>
        </w:rPr>
        <w:t>　</w:t>
      </w:r>
    </w:p>
    <w:p w14:paraId="14C82DC2">
      <w:pPr>
        <w:wordWrap w:val="0"/>
        <w:spacing w:line="360" w:lineRule="auto"/>
        <w:ind w:firstLine="420" w:firstLineChars="200"/>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2025年8月20日</w:t>
      </w:r>
    </w:p>
    <w:p w14:paraId="22EFDCA7">
      <w:pPr>
        <w:spacing w:line="320" w:lineRule="exact"/>
        <w:ind w:firstLine="420" w:firstLineChars="200"/>
        <w:rPr>
          <w:rFonts w:ascii="宋体" w:hAnsi="宋体"/>
          <w:color w:val="auto"/>
          <w:kern w:val="0"/>
          <w:szCs w:val="21"/>
          <w:highlight w:val="none"/>
        </w:rPr>
      </w:pPr>
    </w:p>
    <w:p w14:paraId="13D5B5C8">
      <w:pPr>
        <w:spacing w:line="320" w:lineRule="exact"/>
        <w:ind w:firstLine="420" w:firstLineChars="200"/>
        <w:rPr>
          <w:rFonts w:ascii="宋体" w:hAnsi="宋体"/>
          <w:color w:val="auto"/>
          <w:kern w:val="0"/>
          <w:szCs w:val="21"/>
          <w:highlight w:val="none"/>
        </w:rPr>
      </w:pPr>
    </w:p>
    <w:p w14:paraId="7ADE8DAA">
      <w:pPr>
        <w:spacing w:line="320" w:lineRule="exact"/>
        <w:ind w:firstLine="420" w:firstLineChars="200"/>
        <w:rPr>
          <w:rFonts w:ascii="宋体" w:hAnsi="宋体"/>
          <w:color w:val="auto"/>
          <w:kern w:val="0"/>
          <w:szCs w:val="21"/>
          <w:highlight w:val="none"/>
        </w:rPr>
      </w:pPr>
    </w:p>
    <w:p w14:paraId="5CAB090F">
      <w:pPr>
        <w:spacing w:line="320" w:lineRule="exact"/>
        <w:ind w:firstLine="420" w:firstLineChars="200"/>
        <w:rPr>
          <w:rFonts w:ascii="宋体" w:hAnsi="宋体"/>
          <w:color w:val="auto"/>
          <w:kern w:val="0"/>
          <w:szCs w:val="21"/>
          <w:highlight w:val="none"/>
        </w:rPr>
      </w:pPr>
    </w:p>
    <w:p w14:paraId="18F4EB94">
      <w:pPr>
        <w:spacing w:line="320" w:lineRule="exact"/>
        <w:ind w:firstLine="420" w:firstLineChars="200"/>
        <w:rPr>
          <w:rFonts w:ascii="宋体" w:hAnsi="宋体"/>
          <w:color w:val="auto"/>
          <w:kern w:val="0"/>
          <w:szCs w:val="21"/>
          <w:highlight w:val="none"/>
        </w:rPr>
      </w:pPr>
    </w:p>
    <w:p w14:paraId="0CDF7B37">
      <w:pPr>
        <w:spacing w:line="320" w:lineRule="exact"/>
        <w:ind w:firstLine="420" w:firstLineChars="200"/>
        <w:rPr>
          <w:rFonts w:ascii="宋体" w:hAnsi="宋体"/>
          <w:color w:val="auto"/>
          <w:kern w:val="0"/>
          <w:szCs w:val="21"/>
          <w:highlight w:val="none"/>
        </w:rPr>
      </w:pPr>
    </w:p>
    <w:p w14:paraId="7186B705">
      <w:pPr>
        <w:spacing w:line="320" w:lineRule="exact"/>
        <w:ind w:firstLine="420" w:firstLineChars="200"/>
        <w:rPr>
          <w:rFonts w:ascii="宋体" w:hAnsi="宋体"/>
          <w:color w:val="auto"/>
          <w:kern w:val="0"/>
          <w:szCs w:val="21"/>
          <w:highlight w:val="none"/>
        </w:rPr>
      </w:pPr>
    </w:p>
    <w:p w14:paraId="75ACC5E4">
      <w:pPr>
        <w:spacing w:line="320" w:lineRule="exact"/>
        <w:ind w:firstLine="420" w:firstLineChars="200"/>
        <w:rPr>
          <w:rFonts w:ascii="宋体" w:hAnsi="宋体"/>
          <w:color w:val="auto"/>
          <w:kern w:val="0"/>
          <w:szCs w:val="21"/>
          <w:highlight w:val="none"/>
        </w:rPr>
      </w:pPr>
    </w:p>
    <w:p w14:paraId="2393B54B">
      <w:pPr>
        <w:spacing w:line="320" w:lineRule="exact"/>
        <w:ind w:firstLine="420" w:firstLineChars="200"/>
        <w:rPr>
          <w:rFonts w:ascii="宋体" w:hAnsi="宋体"/>
          <w:color w:val="auto"/>
          <w:kern w:val="0"/>
          <w:szCs w:val="21"/>
          <w:highlight w:val="none"/>
        </w:rPr>
      </w:pPr>
    </w:p>
    <w:p w14:paraId="38CB891F">
      <w:pPr>
        <w:spacing w:line="320" w:lineRule="exact"/>
        <w:ind w:firstLine="420" w:firstLineChars="200"/>
        <w:rPr>
          <w:rFonts w:ascii="宋体" w:hAnsi="宋体"/>
          <w:color w:val="auto"/>
          <w:kern w:val="0"/>
          <w:szCs w:val="21"/>
          <w:highlight w:val="none"/>
        </w:rPr>
      </w:pPr>
    </w:p>
    <w:p w14:paraId="2C9C6B34">
      <w:pPr>
        <w:spacing w:line="320" w:lineRule="exact"/>
        <w:ind w:firstLine="420" w:firstLineChars="200"/>
        <w:rPr>
          <w:rFonts w:ascii="宋体" w:hAnsi="宋体"/>
          <w:color w:val="auto"/>
          <w:kern w:val="0"/>
          <w:szCs w:val="21"/>
          <w:highlight w:val="none"/>
        </w:rPr>
      </w:pPr>
    </w:p>
    <w:p w14:paraId="57E7C8A1">
      <w:pPr>
        <w:spacing w:line="320" w:lineRule="exact"/>
        <w:ind w:firstLine="420" w:firstLineChars="200"/>
        <w:rPr>
          <w:rFonts w:ascii="宋体" w:hAnsi="宋体"/>
          <w:color w:val="auto"/>
          <w:kern w:val="0"/>
          <w:szCs w:val="21"/>
          <w:highlight w:val="none"/>
        </w:rPr>
      </w:pPr>
    </w:p>
    <w:p w14:paraId="1F812FE3">
      <w:pPr>
        <w:spacing w:line="320" w:lineRule="exact"/>
        <w:ind w:firstLine="420" w:firstLineChars="200"/>
        <w:rPr>
          <w:rFonts w:ascii="宋体" w:hAnsi="宋体"/>
          <w:color w:val="auto"/>
          <w:kern w:val="0"/>
          <w:szCs w:val="21"/>
          <w:highlight w:val="none"/>
        </w:rPr>
      </w:pPr>
    </w:p>
    <w:p w14:paraId="075AC667">
      <w:pPr>
        <w:spacing w:line="320" w:lineRule="exact"/>
        <w:ind w:firstLine="420" w:firstLineChars="200"/>
        <w:rPr>
          <w:rFonts w:ascii="宋体" w:hAnsi="宋体"/>
          <w:color w:val="auto"/>
          <w:kern w:val="0"/>
          <w:szCs w:val="21"/>
          <w:highlight w:val="none"/>
        </w:rPr>
      </w:pPr>
    </w:p>
    <w:p w14:paraId="3012AB44">
      <w:pPr>
        <w:pStyle w:val="2"/>
        <w:spacing w:before="300" w:after="300" w:line="360" w:lineRule="auto"/>
        <w:ind w:firstLine="883" w:firstLineChars="200"/>
        <w:jc w:val="center"/>
        <w:rPr>
          <w:color w:val="auto"/>
          <w:highlight w:val="none"/>
        </w:rPr>
      </w:pPr>
      <w:bookmarkStart w:id="50" w:name="_Toc122424245"/>
      <w:r>
        <w:rPr>
          <w:rFonts w:hint="eastAsia"/>
          <w:color w:val="auto"/>
          <w:highlight w:val="none"/>
        </w:rPr>
        <w:t>第二章 供应商须知</w:t>
      </w:r>
      <w:bookmarkEnd w:id="50"/>
    </w:p>
    <w:p w14:paraId="4EA6214D">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76F3F706">
      <w:pPr>
        <w:spacing w:line="400" w:lineRule="exact"/>
        <w:jc w:val="center"/>
        <w:rPr>
          <w:rFonts w:ascii="宋体" w:hAnsi="宋体"/>
          <w:b/>
          <w:color w:val="auto"/>
          <w:sz w:val="32"/>
          <w:szCs w:val="32"/>
          <w:highlight w:val="none"/>
        </w:rPr>
      </w:pPr>
    </w:p>
    <w:tbl>
      <w:tblPr>
        <w:tblStyle w:val="4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DDD4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742E54">
            <w:pPr>
              <w:keepNext w:val="0"/>
              <w:keepLines w:val="0"/>
              <w:pageBreakBefore w:val="0"/>
              <w:widowControl w:val="0"/>
              <w:kinsoku/>
              <w:overflowPunct/>
              <w:topLinePunct w:val="0"/>
              <w:bidi w:val="0"/>
              <w:adjustRightInd/>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BCD6E28">
            <w:pPr>
              <w:keepNext w:val="0"/>
              <w:keepLines w:val="0"/>
              <w:pageBreakBefore w:val="0"/>
              <w:widowControl w:val="0"/>
              <w:kinsoku/>
              <w:overflowPunct/>
              <w:topLinePunct w:val="0"/>
              <w:bidi w:val="0"/>
              <w:adjustRightInd/>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1EFC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EBE973">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7912" w:type="dxa"/>
            <w:vAlign w:val="center"/>
          </w:tcPr>
          <w:p w14:paraId="4E16BF08">
            <w:pPr>
              <w:keepNext w:val="0"/>
              <w:keepLines w:val="0"/>
              <w:pageBreakBefore w:val="0"/>
              <w:widowControl w:val="0"/>
              <w:kinsoku/>
              <w:overflowPunct/>
              <w:topLinePunct w:val="0"/>
              <w:bidi w:val="0"/>
              <w:adjustRightInd/>
              <w:spacing w:line="400" w:lineRule="exact"/>
              <w:rPr>
                <w:rFonts w:ascii="宋体" w:hAnsi="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w:t>
            </w:r>
            <w:r>
              <w:rPr>
                <w:rFonts w:hint="eastAsia" w:ascii="宋体" w:hAnsi="宋体" w:cs="宋体"/>
                <w:iCs/>
                <w:color w:val="auto"/>
                <w:szCs w:val="21"/>
                <w:highlight w:val="none"/>
                <w:u w:val="none"/>
              </w:rPr>
              <w:t>详见竞争性磋商公告</w:t>
            </w:r>
          </w:p>
        </w:tc>
      </w:tr>
      <w:tr w14:paraId="0DBE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08539E">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11A0D5D3">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是否接受联合体竞标</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w:t>
            </w:r>
          </w:p>
        </w:tc>
      </w:tr>
      <w:tr w14:paraId="3FC7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F8EBBC">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7A332CE">
            <w:pPr>
              <w:pStyle w:val="17"/>
              <w:keepNext w:val="0"/>
              <w:keepLines w:val="0"/>
              <w:pageBreakBefore w:val="0"/>
              <w:widowControl w:val="0"/>
              <w:kinsoku/>
              <w:overflowPunct/>
              <w:topLinePunct w:val="0"/>
              <w:bidi w:val="0"/>
              <w:adjustRightInd/>
              <w:spacing w:line="400" w:lineRule="exact"/>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☑不允许分包</w:t>
            </w:r>
          </w:p>
        </w:tc>
      </w:tr>
      <w:tr w14:paraId="5C54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943F94">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22CCA99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资格证明文件</w:t>
            </w:r>
          </w:p>
          <w:p w14:paraId="3B2D44FB">
            <w:pPr>
              <w:pStyle w:val="17"/>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1.供应商为法人或者其他组织的提供其营业执照等证明文件复印件（如营业执照或者事业单位法人证书或者执业许可证或者登记证书等）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20267AA">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eastAsia="zh-CN"/>
              </w:rPr>
              <w:t>以来任意</w:t>
            </w:r>
            <w:r>
              <w:rPr>
                <w:rFonts w:hint="eastAsia" w:ascii="宋体" w:hAnsi="宋体" w:cs="宋体"/>
                <w:color w:val="auto"/>
                <w:szCs w:val="21"/>
                <w:highlight w:val="none"/>
                <w:u w:val="single"/>
              </w:rPr>
              <w:t>连续3个月</w:t>
            </w:r>
            <w:r>
              <w:rPr>
                <w:rFonts w:hint="eastAsia" w:ascii="宋体" w:hAnsi="宋体" w:cs="宋体"/>
                <w:color w:val="auto"/>
                <w:szCs w:val="21"/>
                <w:highlight w:val="none"/>
              </w:rPr>
              <w:t>的依法缴纳税收的凭据复印件</w:t>
            </w:r>
            <w:r>
              <w:rPr>
                <w:rFonts w:hint="eastAsia" w:ascii="宋体" w:hAnsi="宋体" w:cs="宋体"/>
                <w:color w:val="auto"/>
                <w:szCs w:val="21"/>
                <w:highlight w:val="none"/>
                <w:lang w:eastAsia="zh-CN"/>
              </w:rPr>
              <w:t>；</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D112D03">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2025年2月以来任意连续3个月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s="宋体"/>
                <w:color w:val="auto"/>
                <w:szCs w:val="21"/>
                <w:highlight w:val="none"/>
                <w:lang w:eastAsia="zh-CN"/>
              </w:rPr>
              <w:t>；</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0918093">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color w:val="auto"/>
                <w:szCs w:val="21"/>
                <w:highlight w:val="none"/>
                <w:u w:val="single"/>
                <w:lang w:val="en-US" w:eastAsia="zh-CN"/>
              </w:rPr>
              <w:t>2023</w:t>
            </w:r>
            <w:r>
              <w:rPr>
                <w:rFonts w:hint="eastAsia"/>
                <w:color w:val="auto"/>
                <w:szCs w:val="21"/>
                <w:highlight w:val="none"/>
                <w:lang w:val="en-US" w:eastAsia="zh-CN"/>
              </w:rPr>
              <w:t>或者</w:t>
            </w:r>
            <w:r>
              <w:rPr>
                <w:rFonts w:hint="eastAsia"/>
                <w:color w:val="auto"/>
                <w:szCs w:val="21"/>
                <w:highlight w:val="none"/>
                <w:u w:val="single"/>
              </w:rPr>
              <w:t>2024</w:t>
            </w:r>
            <w:r>
              <w:rPr>
                <w:rFonts w:hint="eastAsia"/>
                <w:color w:val="auto"/>
                <w:szCs w:val="21"/>
                <w:highlight w:val="none"/>
              </w:rPr>
              <w:t>年度财务报表复印件，或者银行出具的资信证明，或者中国人民银行征信中心出具的信用报告</w:t>
            </w:r>
            <w:r>
              <w:rPr>
                <w:rFonts w:hint="eastAsia"/>
                <w:color w:val="auto"/>
                <w:szCs w:val="21"/>
                <w:highlight w:val="none"/>
                <w:lang w:eastAsia="zh-CN"/>
              </w:rPr>
              <w:t>；</w:t>
            </w:r>
            <w:r>
              <w:rPr>
                <w:rFonts w:hint="eastAsia"/>
                <w:color w:val="auto"/>
                <w:szCs w:val="21"/>
                <w:highlight w:val="none"/>
              </w:rPr>
              <w:t>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w:t>
            </w:r>
            <w:r>
              <w:rPr>
                <w:rFonts w:hint="eastAsia"/>
                <w:color w:val="auto"/>
                <w:szCs w:val="21"/>
                <w:highlight w:val="none"/>
                <w:lang w:eastAsia="zh-CN"/>
              </w:rPr>
              <w:t>；</w:t>
            </w:r>
            <w:r>
              <w:rPr>
                <w:rFonts w:hint="eastAsia"/>
                <w:color w:val="auto"/>
                <w:szCs w:val="21"/>
                <w:highlight w:val="none"/>
              </w:rPr>
              <w:t>资信证明应在有效期内，未注明有效期的，银行出具时间至响应文件提交截止时间不得超过一年）</w:t>
            </w:r>
            <w:r>
              <w:rPr>
                <w:rFonts w:hint="eastAsia" w:ascii="宋体" w:hAnsi="宋体" w:cs="宋体"/>
                <w:color w:val="auto"/>
                <w:szCs w:val="21"/>
                <w:highlight w:val="none"/>
                <w:lang w:eastAsia="zh-CN"/>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，否则响应文件按无效处理</w:t>
            </w:r>
            <w:r>
              <w:rPr>
                <w:rFonts w:hint="eastAsia" w:ascii="宋体" w:hAnsi="宋体" w:cs="宋体"/>
                <w:bCs/>
                <w:color w:val="auto"/>
                <w:szCs w:val="21"/>
                <w:highlight w:val="none"/>
              </w:rPr>
              <w:t>）</w:t>
            </w:r>
          </w:p>
          <w:p w14:paraId="5DCE9C4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1ECCA3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0DA4150">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Cs w:val="21"/>
                <w:highlight w:val="none"/>
                <w:lang w:eastAsia="zh-CN"/>
              </w:rPr>
            </w:pPr>
            <w:r>
              <w:rPr>
                <w:rFonts w:hint="eastAsia" w:ascii="宋体" w:hAnsi="宋体"/>
                <w:color w:val="auto"/>
                <w:szCs w:val="21"/>
                <w:highlight w:val="none"/>
              </w:rPr>
              <w:t>7.</w:t>
            </w:r>
            <w:r>
              <w:rPr>
                <w:rFonts w:hint="eastAsia"/>
                <w:color w:val="auto"/>
                <w:highlight w:val="none"/>
              </w:rPr>
              <w:t>供应商</w:t>
            </w:r>
            <w:r>
              <w:rPr>
                <w:rFonts w:hint="eastAsia" w:ascii="宋体" w:hAnsi="宋体" w:cs="宋体"/>
                <w:color w:val="auto"/>
                <w:szCs w:val="21"/>
                <w:highlight w:val="none"/>
              </w:rPr>
              <w:t>有效的</w:t>
            </w:r>
            <w:r>
              <w:rPr>
                <w:rFonts w:hint="eastAsia" w:ascii="宋体" w:hAnsi="宋体" w:cs="宋体"/>
                <w:color w:val="auto"/>
                <w:szCs w:val="21"/>
                <w:highlight w:val="none"/>
                <w:lang w:eastAsia="zh-CN"/>
              </w:rPr>
              <w:t>建筑工程施工总承包</w:t>
            </w:r>
            <w:r>
              <w:rPr>
                <w:rFonts w:hint="eastAsia" w:ascii="宋体" w:hAnsi="宋体" w:cs="宋体"/>
                <w:color w:val="auto"/>
                <w:szCs w:val="21"/>
                <w:highlight w:val="none"/>
              </w:rPr>
              <w:t>三级及以上资质</w:t>
            </w:r>
            <w:r>
              <w:rPr>
                <w:color w:val="auto"/>
                <w:highlight w:val="none"/>
              </w:rPr>
              <w:t>证书复印件及有效的</w:t>
            </w:r>
            <w:r>
              <w:rPr>
                <w:rFonts w:hint="eastAsia" w:ascii="宋体" w:hAnsi="宋体" w:cs="宋体"/>
                <w:color w:val="auto"/>
                <w:szCs w:val="21"/>
                <w:highlight w:val="none"/>
              </w:rPr>
              <w:t>安全生产许可证</w:t>
            </w:r>
            <w:r>
              <w:rPr>
                <w:color w:val="auto"/>
                <w:highlight w:val="none"/>
              </w:rPr>
              <w:t>复印件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w:t>
            </w:r>
            <w:r>
              <w:rPr>
                <w:rFonts w:hint="eastAsia" w:ascii="宋体" w:hAnsi="宋体" w:cs="宋体"/>
                <w:b/>
                <w:bCs/>
                <w:color w:val="auto"/>
                <w:szCs w:val="21"/>
                <w:highlight w:val="none"/>
              </w:rPr>
              <w:t>必须提供，否则按无效响应处理</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w:t>
            </w:r>
          </w:p>
          <w:p w14:paraId="5C20D0E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color w:val="auto"/>
                <w:szCs w:val="21"/>
                <w:highlight w:val="none"/>
              </w:rPr>
            </w:pPr>
            <w:r>
              <w:rPr>
                <w:rFonts w:hint="eastAsia" w:ascii="宋体" w:hAnsi="宋体" w:cs="宋体"/>
                <w:color w:val="auto"/>
                <w:szCs w:val="21"/>
                <w:highlight w:val="none"/>
              </w:rPr>
              <w:t>8.拟投入本工程的项目经理有效的建造师资格证复印件或打印件、安全生产考核合格证（B类）复印件或打印件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有效的身份证正反面复印件及项目经理不在其他项目服务的承诺书</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（必须提供，否则按无效响应处理）</w:t>
            </w:r>
          </w:p>
          <w:p w14:paraId="2D8974F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bCs/>
                <w:color w:val="auto"/>
                <w:szCs w:val="21"/>
                <w:highlight w:val="none"/>
              </w:rPr>
            </w:pPr>
            <w:r>
              <w:rPr>
                <w:rFonts w:hint="eastAsia" w:ascii="宋体" w:hAnsi="宋体" w:cs="宋体"/>
                <w:bCs/>
                <w:color w:val="auto"/>
                <w:szCs w:val="21"/>
                <w:highlight w:val="none"/>
              </w:rPr>
              <w:t>9.</w:t>
            </w:r>
            <w:r>
              <w:rPr>
                <w:rFonts w:hint="eastAsia"/>
                <w:color w:val="auto"/>
                <w:highlight w:val="none"/>
              </w:rPr>
              <w:t>供应商</w:t>
            </w:r>
            <w:r>
              <w:rPr>
                <w:rFonts w:hint="eastAsia" w:ascii="宋体" w:hAnsi="宋体" w:cs="宋体"/>
                <w:bCs/>
                <w:color w:val="auto"/>
                <w:szCs w:val="21"/>
                <w:highlight w:val="none"/>
              </w:rPr>
              <w:t>拟投入本工程的技术负责人建筑工程专业中级及以上工程师职称证书复印件或打印件</w:t>
            </w:r>
            <w:r>
              <w:rPr>
                <w:rFonts w:hint="eastAsia" w:ascii="宋体" w:hAnsi="宋体" w:cs="宋体"/>
                <w:bCs/>
                <w:color w:val="auto"/>
                <w:szCs w:val="21"/>
                <w:highlight w:val="none"/>
                <w:lang w:eastAsia="zh-CN"/>
              </w:rPr>
              <w:t>；</w:t>
            </w:r>
            <w:r>
              <w:rPr>
                <w:rFonts w:hint="eastAsia" w:ascii="宋体" w:hAnsi="宋体" w:cs="宋体"/>
                <w:b/>
                <w:bCs/>
                <w:color w:val="auto"/>
                <w:szCs w:val="21"/>
                <w:highlight w:val="none"/>
              </w:rPr>
              <w:t>（必须提供，否则按无效响应处理）</w:t>
            </w:r>
          </w:p>
          <w:p w14:paraId="36F3446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Cs w:val="21"/>
                <w:highlight w:val="none"/>
              </w:rPr>
            </w:pPr>
            <w:r>
              <w:rPr>
                <w:rFonts w:hint="eastAsia"/>
                <w:color w:val="auto"/>
                <w:highlight w:val="none"/>
              </w:rPr>
              <w:t>10.供应商</w:t>
            </w:r>
            <w:r>
              <w:rPr>
                <w:rFonts w:hint="eastAsia" w:ascii="宋体" w:hAnsi="宋体" w:cs="宋体"/>
                <w:color w:val="auto"/>
                <w:szCs w:val="21"/>
                <w:highlight w:val="none"/>
              </w:rPr>
              <w:t>拟投入本工程四大员（施工员、质量员、安全员、材料员）中，安全员有效的安全生产考核合格证（C类）复印件或打印件及身份证正反面复印件，施工员、质量员、材料员有效的</w:t>
            </w:r>
            <w:r>
              <w:rPr>
                <w:rFonts w:hint="eastAsia"/>
                <w:color w:val="auto"/>
                <w:highlight w:val="none"/>
              </w:rPr>
              <w:t>职业培训合格证</w:t>
            </w:r>
            <w:r>
              <w:rPr>
                <w:rFonts w:hint="eastAsia" w:ascii="宋体" w:hAnsi="宋体" w:cs="宋体"/>
                <w:color w:val="auto"/>
                <w:szCs w:val="21"/>
                <w:highlight w:val="none"/>
              </w:rPr>
              <w:t>复印件或打印件及身份证正反面复印件</w:t>
            </w:r>
            <w:r>
              <w:rPr>
                <w:rFonts w:hint="eastAsia" w:ascii="宋体" w:hAnsi="宋体" w:cs="宋体"/>
                <w:color w:val="auto"/>
                <w:szCs w:val="21"/>
                <w:highlight w:val="none"/>
                <w:lang w:eastAsia="zh-CN"/>
              </w:rPr>
              <w:t>；</w:t>
            </w:r>
            <w:r>
              <w:rPr>
                <w:rFonts w:hint="eastAsia" w:ascii="宋体" w:hAnsi="宋体" w:cs="宋体"/>
                <w:b/>
                <w:color w:val="auto"/>
                <w:szCs w:val="21"/>
                <w:highlight w:val="none"/>
              </w:rPr>
              <w:t>（</w:t>
            </w:r>
            <w:r>
              <w:rPr>
                <w:rFonts w:hint="eastAsia" w:ascii="宋体" w:hAnsi="宋体" w:cs="宋体"/>
                <w:b/>
                <w:bCs/>
                <w:color w:val="auto"/>
                <w:szCs w:val="21"/>
                <w:highlight w:val="none"/>
              </w:rPr>
              <w:t>必须提供，否则按无效响应处理</w:t>
            </w:r>
            <w:r>
              <w:rPr>
                <w:rFonts w:hint="eastAsia" w:ascii="宋体" w:hAnsi="宋体" w:cs="宋体"/>
                <w:b/>
                <w:color w:val="auto"/>
                <w:szCs w:val="21"/>
                <w:highlight w:val="none"/>
              </w:rPr>
              <w:t>）</w:t>
            </w:r>
          </w:p>
          <w:p w14:paraId="3B4C959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bCs/>
                <w:color w:val="auto"/>
                <w:szCs w:val="21"/>
                <w:highlight w:val="none"/>
              </w:rPr>
              <w:t>本项目</w:t>
            </w:r>
            <w:r>
              <w:rPr>
                <w:rFonts w:hint="eastAsia" w:ascii="宋体" w:hAnsi="宋体"/>
                <w:color w:val="auto"/>
                <w:szCs w:val="21"/>
                <w:highlight w:val="none"/>
              </w:rPr>
              <w:t>专门面向中小企业采购的项目（供应商应为中小微企业、监狱企业、残疾人福利性单位)，供应商必须在响应文件中提供《</w:t>
            </w:r>
            <w:r>
              <w:rPr>
                <w:rFonts w:hint="eastAsia" w:ascii="宋体" w:hAnsi="宋体"/>
                <w:bCs/>
                <w:color w:val="auto"/>
                <w:szCs w:val="21"/>
                <w:highlight w:val="none"/>
              </w:rPr>
              <w:t>中小企业声明函（工程）</w:t>
            </w:r>
            <w:r>
              <w:rPr>
                <w:rFonts w:hint="eastAsia" w:ascii="宋体" w:hAnsi="宋体"/>
                <w:color w:val="auto"/>
                <w:szCs w:val="21"/>
                <w:highlight w:val="none"/>
              </w:rPr>
              <w:t>》</w:t>
            </w:r>
            <w:r>
              <w:rPr>
                <w:rFonts w:hint="eastAsia"/>
                <w:color w:val="auto"/>
                <w:szCs w:val="22"/>
                <w:highlight w:val="none"/>
              </w:rPr>
              <w:t>或残疾人福利性单位声明函或监狱企业证明材料</w:t>
            </w:r>
            <w:r>
              <w:rPr>
                <w:rFonts w:hint="eastAsia"/>
                <w:color w:val="auto"/>
                <w:szCs w:val="22"/>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F4F0E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12.除磋商文件规定必须提供以外，供应商认为需要提供的其他证明材料</w:t>
            </w:r>
            <w:r>
              <w:rPr>
                <w:rFonts w:hint="eastAsia" w:ascii="宋体" w:hAnsi="宋体" w:cs="宋体"/>
                <w:color w:val="auto"/>
                <w:szCs w:val="21"/>
                <w:highlight w:val="none"/>
                <w:lang w:eastAsia="zh-CN"/>
              </w:rPr>
              <w:t>。</w:t>
            </w:r>
          </w:p>
          <w:p w14:paraId="6DCD3F7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注：</w:t>
            </w:r>
          </w:p>
          <w:p w14:paraId="3E8D5AE8">
            <w:pPr>
              <w:pStyle w:val="17"/>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b/>
                <w:color w:val="auto"/>
                <w:szCs w:val="21"/>
                <w:highlight w:val="none"/>
              </w:rPr>
            </w:pPr>
            <w:r>
              <w:rPr>
                <w:rFonts w:hint="eastAsia" w:ascii="宋体" w:hAnsi="宋体" w:cs="宋体"/>
                <w:b/>
                <w:color w:val="auto"/>
                <w:szCs w:val="21"/>
                <w:highlight w:val="none"/>
              </w:rPr>
              <w:t>以上</w:t>
            </w:r>
            <w:r>
              <w:rPr>
                <w:rFonts w:hint="eastAsia"/>
                <w:b/>
                <w:bCs/>
                <w:color w:val="auto"/>
                <w:highlight w:val="none"/>
              </w:rPr>
              <w:t>标明“必须提供”的材料 ，必须加盖供应商</w:t>
            </w:r>
            <w:r>
              <w:rPr>
                <w:rFonts w:hint="eastAsia"/>
                <w:b/>
                <w:color w:val="auto"/>
                <w:highlight w:val="none"/>
              </w:rPr>
              <w:t>电子签章</w:t>
            </w:r>
            <w:r>
              <w:rPr>
                <w:rFonts w:hint="eastAsia"/>
                <w:b/>
                <w:bCs/>
                <w:color w:val="auto"/>
                <w:highlight w:val="none"/>
                <w:lang w:eastAsia="zh-CN"/>
              </w:rPr>
              <w:t>；</w:t>
            </w:r>
            <w:r>
              <w:rPr>
                <w:rFonts w:hint="eastAsia"/>
                <w:b/>
                <w:bCs/>
                <w:color w:val="auto"/>
                <w:highlight w:val="none"/>
              </w:rPr>
              <w:t>必须提供的材料在第五章“响应文件格式”中有要求法定代表人或委托代理人签字的，必须由法定代表人或委托代理人签字，否则响应文件按无效响应处理。其中，竞标声明必须由法定代表人在规定签章处签字（或盖章）并加盖供应商</w:t>
            </w:r>
            <w:r>
              <w:rPr>
                <w:rFonts w:hint="eastAsia"/>
                <w:b/>
                <w:color w:val="auto"/>
                <w:highlight w:val="none"/>
              </w:rPr>
              <w:t>电子签章</w:t>
            </w:r>
            <w:r>
              <w:rPr>
                <w:rFonts w:hint="eastAsia"/>
                <w:b/>
                <w:bCs/>
                <w:color w:val="auto"/>
                <w:highlight w:val="none"/>
              </w:rPr>
              <w:t>，否则响应文件按无效响应处理。</w:t>
            </w:r>
          </w:p>
        </w:tc>
      </w:tr>
      <w:tr w14:paraId="53E5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956456">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4523FC65">
            <w:pPr>
              <w:keepNext w:val="0"/>
              <w:keepLines w:val="0"/>
              <w:pageBreakBefore w:val="0"/>
              <w:widowControl w:val="0"/>
              <w:kinsoku/>
              <w:overflowPunct/>
              <w:topLinePunct w:val="0"/>
              <w:bidi w:val="0"/>
              <w:adjustRightInd/>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1555DB43">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863CAF4">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2F2832D">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A4FBE00">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07C9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3B8467">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640C8B13">
            <w:pPr>
              <w:keepNext w:val="0"/>
              <w:keepLines w:val="0"/>
              <w:pageBreakBefore w:val="0"/>
              <w:widowControl w:val="0"/>
              <w:kinsoku/>
              <w:overflowPunct/>
              <w:topLinePunct w:val="0"/>
              <w:bidi w:val="0"/>
              <w:adjustRightInd/>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57CD65DA">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BEB554B">
            <w:pPr>
              <w:keepNext w:val="0"/>
              <w:keepLines w:val="0"/>
              <w:pageBreakBefore w:val="0"/>
              <w:widowControl w:val="0"/>
              <w:kinsoku/>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E8A02C4">
            <w:pPr>
              <w:keepNext w:val="0"/>
              <w:keepLines w:val="0"/>
              <w:pageBreakBefore w:val="0"/>
              <w:widowControl w:val="0"/>
              <w:kinsoku/>
              <w:overflowPunct/>
              <w:topLinePunct w:val="0"/>
              <w:bidi w:val="0"/>
              <w:adjustRightInd/>
              <w:spacing w:line="400" w:lineRule="exact"/>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7AB6F7DB">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rPr>
              <w:t>4.建筑材料和设备节能环保要求承诺书（格式后附）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A7978B1">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.施工组织设计方案（格式自拟）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C5E1AD4">
            <w:pPr>
              <w:keepNext w:val="0"/>
              <w:keepLines w:val="0"/>
              <w:pageBreakBefore w:val="0"/>
              <w:widowControl w:val="0"/>
              <w:kinsoku/>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.项目管理机构配备情况表及主要人员简历表（格式后附）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2ABAB64F">
            <w:pPr>
              <w:keepNext w:val="0"/>
              <w:keepLines w:val="0"/>
              <w:pageBreakBefore w:val="0"/>
              <w:widowControl w:val="0"/>
              <w:kinsoku/>
              <w:wordWrap w:val="0"/>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技术商务要求响应表；（</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A7EE096">
            <w:pPr>
              <w:keepNext w:val="0"/>
              <w:keepLines w:val="0"/>
              <w:pageBreakBefore w:val="0"/>
              <w:widowControl w:val="0"/>
              <w:kinsoku/>
              <w:wordWrap w:val="0"/>
              <w:overflowPunct/>
              <w:topLinePunct w:val="0"/>
              <w:bidi w:val="0"/>
              <w:adjustRightInd/>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bCs/>
                <w:color w:val="auto"/>
                <w:kern w:val="0"/>
                <w:szCs w:val="21"/>
                <w:highlight w:val="none"/>
              </w:rPr>
              <w:t>建设工程项目管理承诺书（格式后附）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2990349">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w:t>
            </w:r>
          </w:p>
          <w:p w14:paraId="298E7B68">
            <w:pPr>
              <w:pStyle w:val="17"/>
              <w:keepNext w:val="0"/>
              <w:keepLines w:val="0"/>
              <w:pageBreakBefore w:val="0"/>
              <w:widowControl w:val="0"/>
              <w:kinsoku/>
              <w:overflowPunct/>
              <w:topLinePunct w:val="0"/>
              <w:bidi w:val="0"/>
              <w:adjustRightInd/>
              <w:spacing w:line="400" w:lineRule="exact"/>
              <w:rPr>
                <w:rFonts w:ascii="宋体" w:hAnsi="宋体" w:cs="宋体"/>
                <w:b/>
                <w:color w:val="auto"/>
                <w:szCs w:val="21"/>
                <w:highlight w:val="none"/>
              </w:rPr>
            </w:pPr>
            <w:r>
              <w:rPr>
                <w:rFonts w:hint="eastAsia" w:ascii="宋体" w:hAnsi="宋体" w:cs="宋体"/>
                <w:b/>
                <w:color w:val="auto"/>
                <w:szCs w:val="21"/>
                <w:highlight w:val="none"/>
              </w:rPr>
              <w:t>以上标明“必须提供”的材料，必须加盖供应商电子签章</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必须提供的材料在第五章“响应文件格式”中有要求法定代表人或委托代理人签字的，必须由法定代表人或委托代理人签字，否则响应文件按无效响应处理。</w:t>
            </w:r>
          </w:p>
        </w:tc>
      </w:tr>
      <w:tr w14:paraId="203A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F4817B">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0B5AC416">
            <w:pPr>
              <w:keepNext w:val="0"/>
              <w:keepLines w:val="0"/>
              <w:pageBreakBefore w:val="0"/>
              <w:widowControl w:val="0"/>
              <w:kinsoku/>
              <w:overflowPunct/>
              <w:topLinePunct w:val="0"/>
              <w:bidi w:val="0"/>
              <w:adjustRightInd/>
              <w:spacing w:line="400" w:lineRule="exact"/>
              <w:contextualSpacing/>
              <w:jc w:val="left"/>
              <w:rPr>
                <w:rFonts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14:paraId="2F58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8B75FA">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461A9812">
            <w:pPr>
              <w:keepNext w:val="0"/>
              <w:keepLines w:val="0"/>
              <w:pageBreakBefore w:val="0"/>
              <w:widowControl w:val="0"/>
              <w:kinsoku/>
              <w:overflowPunct/>
              <w:topLinePunct w:val="0"/>
              <w:bidi w:val="0"/>
              <w:adjustRightInd/>
              <w:spacing w:line="400" w:lineRule="exact"/>
              <w:contextualSpacing/>
              <w:jc w:val="left"/>
              <w:rPr>
                <w:rFonts w:ascii="宋体" w:hAnsi="宋体"/>
                <w:color w:val="auto"/>
                <w:szCs w:val="21"/>
                <w:highlight w:val="none"/>
              </w:rPr>
            </w:pPr>
            <w:r>
              <w:rPr>
                <w:rFonts w:hint="eastAsia" w:cs="宋体"/>
                <w:color w:val="auto"/>
                <w:highlight w:val="none"/>
              </w:rPr>
              <w:t>本工程增值税计税方法：☑一般计税法</w:t>
            </w:r>
            <w:r>
              <w:rPr>
                <w:rFonts w:hint="eastAsia" w:cs="宋体"/>
                <w:color w:val="auto"/>
                <w:highlight w:val="none"/>
                <w:lang w:eastAsia="zh-CN"/>
              </w:rPr>
              <w:t>；</w:t>
            </w:r>
            <w:r>
              <w:rPr>
                <w:rFonts w:hint="eastAsia" w:cs="宋体"/>
                <w:color w:val="auto"/>
                <w:highlight w:val="none"/>
              </w:rPr>
              <w:t xml:space="preserve"> □简易计税法</w:t>
            </w:r>
          </w:p>
        </w:tc>
      </w:tr>
      <w:tr w14:paraId="6C57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4FE18B">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48C45769">
            <w:pPr>
              <w:pStyle w:val="14"/>
              <w:keepNext w:val="0"/>
              <w:keepLines w:val="0"/>
              <w:pageBreakBefore w:val="0"/>
              <w:widowControl w:val="0"/>
              <w:tabs>
                <w:tab w:val="clear" w:pos="454"/>
              </w:tabs>
              <w:kinsoku/>
              <w:overflowPunct/>
              <w:topLinePunct w:val="0"/>
              <w:bidi w:val="0"/>
              <w:adjustRightInd/>
              <w:snapToGrid w:val="0"/>
              <w:spacing w:afterLines="0" w:line="400" w:lineRule="exact"/>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1880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99276F">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231C0B0E">
            <w:pPr>
              <w:keepNext w:val="0"/>
              <w:keepLines w:val="0"/>
              <w:pageBreakBefore w:val="0"/>
              <w:widowControl w:val="0"/>
              <w:kinsoku/>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收取磋商保证金</w:t>
            </w:r>
            <w:r>
              <w:rPr>
                <w:rFonts w:hint="eastAsia" w:ascii="宋体" w:hAnsi="宋体"/>
                <w:color w:val="auto"/>
                <w:szCs w:val="21"/>
                <w:highlight w:val="none"/>
                <w:lang w:eastAsia="zh-CN"/>
              </w:rPr>
              <w:t>。</w:t>
            </w:r>
          </w:p>
        </w:tc>
      </w:tr>
      <w:tr w14:paraId="12BE6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AEFFE9">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76A8035E">
            <w:pPr>
              <w:keepNext w:val="0"/>
              <w:keepLines w:val="0"/>
              <w:pageBreakBefore w:val="0"/>
              <w:widowControl w:val="0"/>
              <w:kinsoku/>
              <w:overflowPunct/>
              <w:topLinePunct w:val="0"/>
              <w:bidi w:val="0"/>
              <w:adjustRightInd/>
              <w:spacing w:line="400" w:lineRule="exact"/>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6CA3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F8AAC8">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26259C6E">
            <w:pPr>
              <w:keepNext w:val="0"/>
              <w:keepLines w:val="0"/>
              <w:pageBreakBefore w:val="0"/>
              <w:widowControl w:val="0"/>
              <w:kinsoku/>
              <w:overflowPunct/>
              <w:topLinePunct w:val="0"/>
              <w:bidi w:val="0"/>
              <w:adjustRightInd/>
              <w:spacing w:line="400" w:lineRule="exact"/>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21855D71">
            <w:pPr>
              <w:keepNext w:val="0"/>
              <w:keepLines w:val="0"/>
              <w:pageBreakBefore w:val="0"/>
              <w:widowControl w:val="0"/>
              <w:kinsoku/>
              <w:overflowPunct/>
              <w:topLinePunct w:val="0"/>
              <w:bidi w:val="0"/>
              <w:adjustRightInd/>
              <w:spacing w:line="400" w:lineRule="exact"/>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1E8F3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783DD1">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C7015C4">
            <w:pPr>
              <w:keepNext w:val="0"/>
              <w:keepLines w:val="0"/>
              <w:pageBreakBefore w:val="0"/>
              <w:widowControl w:val="0"/>
              <w:kinsoku/>
              <w:overflowPunct/>
              <w:topLinePunct w:val="0"/>
              <w:bidi w:val="0"/>
              <w:adjustRightInd/>
              <w:snapToGrid w:val="0"/>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14:paraId="7377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835F35">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03F1F4E0">
            <w:pPr>
              <w:keepNext w:val="0"/>
              <w:keepLines w:val="0"/>
              <w:pageBreakBefore w:val="0"/>
              <w:widowControl w:val="0"/>
              <w:kinsoku/>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2AB1469F">
            <w:pPr>
              <w:keepNext w:val="0"/>
              <w:keepLines w:val="0"/>
              <w:pageBreakBefore w:val="0"/>
              <w:widowControl w:val="0"/>
              <w:kinsoku/>
              <w:overflowPunct/>
              <w:topLinePunct w:val="0"/>
              <w:bidi w:val="0"/>
              <w:adjustRightInd/>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rPr>
              <w:t>分钟</w:t>
            </w:r>
          </w:p>
        </w:tc>
      </w:tr>
      <w:tr w14:paraId="69D73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63C8F">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3B5B8028">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5EA0FF02">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本项目收取履约保证金，具体规定如下：</w:t>
            </w:r>
          </w:p>
          <w:p w14:paraId="6665CC53">
            <w:pPr>
              <w:keepNext w:val="0"/>
              <w:keepLines w:val="0"/>
              <w:pageBreakBefore w:val="0"/>
              <w:widowControl w:val="0"/>
              <w:kinsoku/>
              <w:overflowPunct/>
              <w:topLinePunct w:val="0"/>
              <w:bidi w:val="0"/>
              <w:adjustRightInd/>
              <w:spacing w:line="400" w:lineRule="exact"/>
              <w:contextualSpacing/>
              <w:rPr>
                <w:rFonts w:ascii="宋体" w:hAnsi="宋体" w:cs="宋体"/>
                <w:i w:val="0"/>
                <w:iCs/>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
                <w:i w:val="0"/>
                <w:iCs/>
                <w:color w:val="auto"/>
                <w:szCs w:val="21"/>
                <w:highlight w:val="none"/>
              </w:rPr>
              <w:t>（注：履约保证金不超过</w:t>
            </w:r>
            <w:r>
              <w:rPr>
                <w:rFonts w:hint="eastAsia"/>
                <w:b/>
                <w:i w:val="0"/>
                <w:iCs/>
                <w:color w:val="auto"/>
                <w:highlight w:val="none"/>
              </w:rPr>
              <w:t>政府采购合同金额的</w:t>
            </w:r>
            <w:r>
              <w:rPr>
                <w:rFonts w:ascii="宋体" w:hAnsi="宋体" w:cs="宋体"/>
                <w:b/>
                <w:i w:val="0"/>
                <w:iCs/>
                <w:color w:val="auto"/>
                <w:szCs w:val="21"/>
                <w:highlight w:val="none"/>
              </w:rPr>
              <w:t>5</w:t>
            </w:r>
            <w:r>
              <w:rPr>
                <w:rFonts w:hint="eastAsia" w:ascii="宋体" w:hAnsi="宋体" w:cs="宋体"/>
                <w:b/>
                <w:i w:val="0"/>
                <w:iCs/>
                <w:color w:val="auto"/>
                <w:szCs w:val="21"/>
                <w:highlight w:val="none"/>
              </w:rPr>
              <w:t>%，对中小企业收取的履约保证金数额不得超过政府采购合同金额的2%。采购人可根据供应商的资信等情况减免履约保证金。）</w:t>
            </w:r>
          </w:p>
          <w:p w14:paraId="502F9148">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履约保证金提交方式：银行转账、支票、汇票、本票或者银行、保险机构出具的保函（包含电子保函）等非现金方式。</w:t>
            </w:r>
          </w:p>
          <w:p w14:paraId="53F62EBD">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iCs/>
                <w:color w:val="auto"/>
                <w:szCs w:val="21"/>
                <w:highlight w:val="none"/>
                <w:u w:val="single"/>
              </w:rPr>
              <w:t>自成交通知书发出之日起 25 日内，但必须在签订合同前缴纳。</w:t>
            </w:r>
          </w:p>
          <w:p w14:paraId="1B0C5319">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在工程竣工验收合格并对验收发现的问题完成整改后，由成交供应商提交书面申请，采购人在收到成交供应商全部合格材料后5个工作日内办理退还手续（不计利息）</w:t>
            </w:r>
            <w:r>
              <w:rPr>
                <w:rFonts w:hint="eastAsia" w:ascii="宋体" w:hAnsi="宋体" w:cs="宋体"/>
                <w:color w:val="auto"/>
                <w:szCs w:val="21"/>
                <w:highlight w:val="none"/>
              </w:rPr>
              <w:t xml:space="preserve"> 。</w:t>
            </w:r>
          </w:p>
          <w:p w14:paraId="39170D29">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如：由成交供应商向履约保证金收取单位提供《广西壮族自治区政府采购项目合同验收书》（详见桂财采〔2015〕22号），保证金收取单位在收到合格材料后5个工作日内办理退还手续（不计利息）。</w:t>
            </w:r>
          </w:p>
          <w:p w14:paraId="4808E873">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3F885A4B">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    </w:t>
            </w:r>
          </w:p>
          <w:p w14:paraId="0249508B">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        </w:t>
            </w:r>
          </w:p>
          <w:p w14:paraId="00C3461E">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     </w:t>
            </w:r>
          </w:p>
          <w:p w14:paraId="342B38EB">
            <w:pPr>
              <w:keepNext w:val="0"/>
              <w:keepLines w:val="0"/>
              <w:pageBreakBefore w:val="0"/>
              <w:widowControl w:val="0"/>
              <w:kinsoku/>
              <w:overflowPunct/>
              <w:topLinePunct w:val="0"/>
              <w:bidi w:val="0"/>
              <w:adjustRightInd/>
              <w:spacing w:line="400" w:lineRule="exact"/>
              <w:contextualSpacing/>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w:t>
            </w:r>
            <w:r>
              <w:rPr>
                <w:rFonts w:ascii="宋体" w:hAnsi="宋体" w:cs="宋体"/>
                <w:b/>
                <w:color w:val="auto"/>
                <w:szCs w:val="21"/>
                <w:highlight w:val="none"/>
              </w:rPr>
              <w:t>.</w:t>
            </w:r>
            <w:bookmarkStart w:id="51" w:name="_Hlk54170335"/>
            <w:r>
              <w:rPr>
                <w:rFonts w:hint="eastAsia" w:ascii="宋体" w:hAnsi="宋体"/>
                <w:b/>
                <w:color w:val="auto"/>
                <w:szCs w:val="21"/>
                <w:highlight w:val="none"/>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1"/>
          </w:p>
          <w:p w14:paraId="056FA6EC">
            <w:pPr>
              <w:keepNext w:val="0"/>
              <w:keepLines w:val="0"/>
              <w:pageBreakBefore w:val="0"/>
              <w:widowControl w:val="0"/>
              <w:kinsoku/>
              <w:overflowPunct/>
              <w:topLinePunct w:val="0"/>
              <w:bidi w:val="0"/>
              <w:adjustRightInd/>
              <w:spacing w:line="400" w:lineRule="exact"/>
              <w:contextualSpacing/>
              <w:rPr>
                <w:rFonts w:ascii="宋体" w:hAnsi="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highlight w:val="none"/>
              </w:rPr>
              <w:t>止）的，不予签订合同。</w:t>
            </w:r>
            <w:r>
              <w:rPr>
                <w:rFonts w:hint="eastAsia" w:ascii="宋体" w:hAnsi="宋体"/>
                <w:b/>
                <w:color w:val="auto"/>
                <w:szCs w:val="21"/>
                <w:highlight w:val="none"/>
              </w:rPr>
              <w:br w:type="textWrapping"/>
            </w:r>
            <w:r>
              <w:rPr>
                <w:rFonts w:ascii="宋体" w:hAnsi="宋体"/>
                <w:b/>
                <w:color w:val="auto"/>
                <w:szCs w:val="21"/>
                <w:highlight w:val="none"/>
              </w:rPr>
              <w:t>3.</w:t>
            </w:r>
            <w:r>
              <w:rPr>
                <w:rFonts w:hint="eastAsia" w:ascii="宋体" w:hAnsi="宋体"/>
                <w:b/>
                <w:color w:val="auto"/>
                <w:szCs w:val="21"/>
                <w:highlight w:val="none"/>
              </w:rPr>
              <w:t>采用银行、保险机构出具的保函的，必须为无条件保函，否则不予签订合同。</w:t>
            </w:r>
          </w:p>
          <w:p w14:paraId="1DB9227C">
            <w:pPr>
              <w:keepNext w:val="0"/>
              <w:keepLines w:val="0"/>
              <w:pageBreakBefore w:val="0"/>
              <w:widowControl w:val="0"/>
              <w:kinsoku/>
              <w:overflowPunct/>
              <w:topLinePunct w:val="0"/>
              <w:bidi w:val="0"/>
              <w:adjustRightInd/>
              <w:spacing w:line="400" w:lineRule="exact"/>
              <w:contextualSpacing/>
              <w:rPr>
                <w:rFonts w:ascii="宋体" w:hAnsi="宋体" w:cs="宋体"/>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供应商为联合体的，由联合体任意一方按规定提交的履约保证金，视为有效履约保证金。</w:t>
            </w:r>
          </w:p>
        </w:tc>
      </w:tr>
      <w:tr w14:paraId="5245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2409D">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266F2C96">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B7270FE">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15F679F">
            <w:pPr>
              <w:keepNext w:val="0"/>
              <w:keepLines w:val="0"/>
              <w:pageBreakBefore w:val="0"/>
              <w:widowControl w:val="0"/>
              <w:kinsoku/>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571A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A39A42">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045085CD">
            <w:pPr>
              <w:keepNext w:val="0"/>
              <w:keepLines w:val="0"/>
              <w:pageBreakBefore w:val="0"/>
              <w:widowControl w:val="0"/>
              <w:kinsoku/>
              <w:overflowPunct/>
              <w:topLinePunct w:val="0"/>
              <w:bidi w:val="0"/>
              <w:adjustRightInd/>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接收质疑函方式：书面形式或者广西政府采购云系统在线形式</w:t>
            </w:r>
          </w:p>
          <w:p w14:paraId="7B4C154B">
            <w:pPr>
              <w:keepNext w:val="0"/>
              <w:keepLines w:val="0"/>
              <w:pageBreakBefore w:val="0"/>
              <w:widowControl w:val="0"/>
              <w:kinsoku/>
              <w:overflowPunct/>
              <w:topLinePunct w:val="0"/>
              <w:bidi w:val="0"/>
              <w:adjustRightInd/>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质疑联系部门及联系方式：广西建通工程咨询有限责任公司钦华分公司招标部</w:t>
            </w:r>
          </w:p>
          <w:p w14:paraId="6779201F">
            <w:pPr>
              <w:keepNext w:val="0"/>
              <w:keepLines w:val="0"/>
              <w:pageBreakBefore w:val="0"/>
              <w:widowControl w:val="0"/>
              <w:kinsoku/>
              <w:overflowPunct/>
              <w:topLinePunct w:val="0"/>
              <w:bidi w:val="0"/>
              <w:adjustRightInd/>
              <w:snapToGrid w:val="0"/>
              <w:spacing w:line="40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联系电话：0777-</w:t>
            </w:r>
            <w:r>
              <w:rPr>
                <w:rFonts w:hint="eastAsia" w:ascii="宋体" w:hAnsi="宋体" w:cs="宋体"/>
                <w:color w:val="auto"/>
                <w:kern w:val="0"/>
                <w:szCs w:val="21"/>
                <w:highlight w:val="none"/>
                <w:lang w:val="en-US" w:eastAsia="zh-CN"/>
              </w:rPr>
              <w:t>3258836</w:t>
            </w:r>
          </w:p>
          <w:p w14:paraId="1C4004AB">
            <w:pPr>
              <w:keepNext w:val="0"/>
              <w:keepLines w:val="0"/>
              <w:pageBreakBefore w:val="0"/>
              <w:widowControl w:val="0"/>
              <w:kinsoku/>
              <w:overflowPunct/>
              <w:topLinePunct w:val="0"/>
              <w:bidi w:val="0"/>
              <w:adjustRightInd/>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通讯地址：广西建通工程咨询有限责任公司钦华分公司（广西钦州市永福东大街中地滨江国际10幢4楼左</w:t>
            </w:r>
            <w:r>
              <w:rPr>
                <w:rFonts w:hint="eastAsia" w:ascii="宋体" w:hAnsi="宋体" w:cs="宋体"/>
                <w:color w:val="auto"/>
                <w:kern w:val="0"/>
                <w:szCs w:val="21"/>
                <w:highlight w:val="none"/>
                <w:lang w:eastAsia="zh-CN"/>
              </w:rPr>
              <w:t>尽头</w:t>
            </w:r>
            <w:r>
              <w:rPr>
                <w:rFonts w:hint="eastAsia" w:ascii="宋体" w:hAnsi="宋体" w:cs="宋体"/>
                <w:color w:val="auto"/>
                <w:kern w:val="0"/>
                <w:szCs w:val="21"/>
                <w:highlight w:val="none"/>
              </w:rPr>
              <w:t xml:space="preserve">招标部） </w:t>
            </w:r>
          </w:p>
          <w:p w14:paraId="150B61B0">
            <w:pPr>
              <w:keepNext w:val="0"/>
              <w:keepLines w:val="0"/>
              <w:pageBreakBefore w:val="0"/>
              <w:widowControl w:val="0"/>
              <w:kinsoku/>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s="宋体"/>
                <w:color w:val="auto"/>
                <w:kern w:val="0"/>
                <w:szCs w:val="21"/>
                <w:highlight w:val="none"/>
              </w:rPr>
              <w:t>业务时间：工作日上午8时00分到12时00分，下午3时00分到6时00分，业务时间以外、双休日和法定节假日不办理业务。</w:t>
            </w:r>
          </w:p>
        </w:tc>
      </w:tr>
      <w:tr w14:paraId="06FB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4C7170">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2F536EBC">
            <w:pPr>
              <w:pStyle w:val="25"/>
              <w:keepNext w:val="0"/>
              <w:keepLines w:val="0"/>
              <w:pageBreakBefore w:val="0"/>
              <w:widowControl w:val="0"/>
              <w:numPr>
                <w:ilvl w:val="0"/>
                <w:numId w:val="2"/>
              </w:numPr>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采购代理费支付方式：</w:t>
            </w:r>
          </w:p>
          <w:p w14:paraId="7E020C28">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一次性向采购代理机构支付。</w:t>
            </w:r>
          </w:p>
          <w:p w14:paraId="0701C0DC">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217FCA99">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以成交金额为计费额，按本须知正文第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条规定的工程类收费标准采用差额定率累进法计算出收费基准价格，采购代理收费以收费基准价格收取。</w:t>
            </w:r>
          </w:p>
          <w:p w14:paraId="5227E4C1">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3. 采购代理费收取银行账户</w:t>
            </w:r>
          </w:p>
          <w:p w14:paraId="20FACCE9">
            <w:pPr>
              <w:pStyle w:val="25"/>
              <w:keepNext w:val="0"/>
              <w:keepLines w:val="0"/>
              <w:pageBreakBefore w:val="0"/>
              <w:widowControl w:val="0"/>
              <w:kinsoku/>
              <w:overflowPunct/>
              <w:topLinePunct w:val="0"/>
              <w:bidi w:val="0"/>
              <w:adjustRightInd/>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开户名称：广西建通工程咨询有限责任公司钦华分公司；</w:t>
            </w:r>
          </w:p>
          <w:p w14:paraId="6F31F648">
            <w:pPr>
              <w:pStyle w:val="25"/>
              <w:keepNext w:val="0"/>
              <w:keepLines w:val="0"/>
              <w:pageBreakBefore w:val="0"/>
              <w:widowControl w:val="0"/>
              <w:kinsoku/>
              <w:overflowPunct/>
              <w:topLinePunct w:val="0"/>
              <w:bidi w:val="0"/>
              <w:adjustRightInd/>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开户银行：中国工商银行股份有限公司钦州市永福东支行；</w:t>
            </w:r>
          </w:p>
          <w:p w14:paraId="62A6741A">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ascii="宋体" w:hAnsi="宋体" w:cs="宋体"/>
                <w:color w:val="auto"/>
                <w:kern w:val="0"/>
                <w:szCs w:val="21"/>
                <w:highlight w:val="none"/>
              </w:rPr>
              <w:t xml:space="preserve">银行账号：211 5591 2091 0003 6456。 </w:t>
            </w:r>
          </w:p>
        </w:tc>
      </w:tr>
      <w:tr w14:paraId="0A0C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79B2FE">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1CCCC145">
            <w:pPr>
              <w:pStyle w:val="25"/>
              <w:keepNext w:val="0"/>
              <w:keepLines w:val="0"/>
              <w:pageBreakBefore w:val="0"/>
              <w:widowControl w:val="0"/>
              <w:kinsoku/>
              <w:overflowPunct/>
              <w:topLinePunct w:val="0"/>
              <w:bidi w:val="0"/>
              <w:adjustRightInd/>
              <w:snapToGrid w:val="0"/>
              <w:spacing w:line="400" w:lineRule="exact"/>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w:t>
            </w:r>
            <w:r>
              <w:rPr>
                <w:rFonts w:hint="eastAsia" w:hAnsi="宋体"/>
                <w:color w:val="auto"/>
                <w:sz w:val="21"/>
                <w:highlight w:val="none"/>
                <w:lang w:eastAsia="zh-CN"/>
              </w:rPr>
              <w:t>；</w:t>
            </w:r>
            <w:r>
              <w:rPr>
                <w:rFonts w:hAnsi="宋体"/>
                <w:color w:val="auto"/>
                <w:sz w:val="21"/>
                <w:highlight w:val="none"/>
              </w:rPr>
              <w:t>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w:t>
            </w:r>
            <w:r>
              <w:rPr>
                <w:rFonts w:hint="eastAsia" w:hAnsi="宋体"/>
                <w:color w:val="auto"/>
                <w:sz w:val="21"/>
                <w:highlight w:val="none"/>
                <w:lang w:eastAsia="zh-CN"/>
              </w:rPr>
              <w:t>；</w:t>
            </w:r>
            <w:r>
              <w:rPr>
                <w:rFonts w:hAnsi="宋体"/>
                <w:color w:val="auto"/>
                <w:sz w:val="21"/>
                <w:highlight w:val="none"/>
              </w:rPr>
              <w:t>同一组成文件中就同一事项的规定或者约定不一致的，以编排顺序在后者为准</w:t>
            </w:r>
            <w:r>
              <w:rPr>
                <w:rFonts w:hint="eastAsia" w:hAnsi="宋体"/>
                <w:color w:val="auto"/>
                <w:sz w:val="21"/>
                <w:highlight w:val="none"/>
                <w:lang w:eastAsia="zh-CN"/>
              </w:rPr>
              <w:t>；</w:t>
            </w:r>
            <w:r>
              <w:rPr>
                <w:rFonts w:hAnsi="宋体"/>
                <w:color w:val="auto"/>
                <w:sz w:val="21"/>
                <w:highlight w:val="none"/>
              </w:rPr>
              <w:t>同一组成文件不同版本之间有不一致的，以形成时间在后者为准</w:t>
            </w:r>
            <w:r>
              <w:rPr>
                <w:rFonts w:hint="eastAsia" w:hAnsi="宋体"/>
                <w:color w:val="auto"/>
                <w:sz w:val="21"/>
                <w:highlight w:val="none"/>
                <w:lang w:eastAsia="zh-CN"/>
              </w:rPr>
              <w:t>；</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67C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D6DEFC">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7723E6F8">
            <w:pPr>
              <w:pStyle w:val="25"/>
              <w:keepNext w:val="0"/>
              <w:keepLines w:val="0"/>
              <w:pageBreakBefore w:val="0"/>
              <w:widowControl w:val="0"/>
              <w:kinsoku/>
              <w:overflowPunct/>
              <w:topLinePunct w:val="0"/>
              <w:bidi w:val="0"/>
              <w:adjustRightInd/>
              <w:snapToGrid w:val="0"/>
              <w:spacing w:line="400" w:lineRule="exact"/>
              <w:rPr>
                <w:rFonts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2482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D852CE">
            <w:pPr>
              <w:keepNext w:val="0"/>
              <w:keepLines w:val="0"/>
              <w:pageBreakBefore w:val="0"/>
              <w:widowControl w:val="0"/>
              <w:kinsoku/>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687C1E18">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BEC3AB6">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14C5729E">
            <w:pPr>
              <w:pStyle w:val="25"/>
              <w:keepNext w:val="0"/>
              <w:keepLines w:val="0"/>
              <w:pageBreakBefore w:val="0"/>
              <w:widowControl w:val="0"/>
              <w:kinsoku/>
              <w:overflowPunct/>
              <w:topLinePunct w:val="0"/>
              <w:bidi w:val="0"/>
              <w:adjustRightInd/>
              <w:snapToGrid w:val="0"/>
              <w:spacing w:line="400" w:lineRule="exact"/>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14:paraId="32F3B112">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2C6FA80A">
            <w:pPr>
              <w:pStyle w:val="25"/>
              <w:keepNext w:val="0"/>
              <w:keepLines w:val="0"/>
              <w:pageBreakBefore w:val="0"/>
              <w:widowControl w:val="0"/>
              <w:kinsoku/>
              <w:overflowPunct/>
              <w:topLinePunct w:val="0"/>
              <w:bidi w:val="0"/>
              <w:adjustRightInd/>
              <w:snapToGrid w:val="0"/>
              <w:spacing w:line="400" w:lineRule="exact"/>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w:t>
            </w:r>
            <w:r>
              <w:rPr>
                <w:rFonts w:hint="eastAsia" w:hAnsi="宋体" w:cs="宋体"/>
                <w:color w:val="auto"/>
                <w:sz w:val="21"/>
                <w:highlight w:val="none"/>
                <w:lang w:eastAsia="zh-CN"/>
              </w:rPr>
              <w:t>；</w:t>
            </w:r>
            <w:r>
              <w:rPr>
                <w:rFonts w:hint="eastAsia" w:hAnsi="宋体" w:cs="宋体"/>
                <w:color w:val="auto"/>
                <w:sz w:val="21"/>
                <w:highlight w:val="none"/>
              </w:rPr>
              <w:t>所称的“不满”“超过”“以外”，不包括本数。</w:t>
            </w:r>
          </w:p>
        </w:tc>
      </w:tr>
    </w:tbl>
    <w:p w14:paraId="20D5CDD7">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5DACD8F1">
      <w:pPr>
        <w:spacing w:line="400" w:lineRule="exact"/>
        <w:jc w:val="center"/>
        <w:rPr>
          <w:rFonts w:ascii="宋体" w:hAnsi="宋体"/>
          <w:b/>
          <w:color w:val="auto"/>
          <w:sz w:val="32"/>
          <w:szCs w:val="32"/>
          <w:highlight w:val="none"/>
        </w:rPr>
      </w:pPr>
    </w:p>
    <w:p w14:paraId="3DD40483">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23DA6481">
      <w:pPr>
        <w:spacing w:line="400" w:lineRule="exact"/>
        <w:rPr>
          <w:rFonts w:ascii="宋体" w:hAnsi="宋体"/>
          <w:color w:val="auto"/>
          <w:szCs w:val="21"/>
          <w:highlight w:val="none"/>
        </w:rPr>
      </w:pPr>
    </w:p>
    <w:p w14:paraId="76802D4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F879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76BA9F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4EC8113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793D7D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EE6D28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A122D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B94A6BD">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56E6CD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2B08FC3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10007E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5DC9393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14:paraId="29443B1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4B32ABE0">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5A82ABC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53B5782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3E90C76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138E8C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3.1供应商的资格条件详见“供应商须知前附表”。</w:t>
      </w:r>
    </w:p>
    <w:p w14:paraId="7EA25B85">
      <w:pPr>
        <w:spacing w:line="360" w:lineRule="auto"/>
        <w:ind w:firstLine="420" w:firstLineChars="200"/>
        <w:rPr>
          <w:rFonts w:cs="宋体"/>
          <w:color w:val="auto"/>
          <w:highlight w:val="none"/>
        </w:rPr>
      </w:pPr>
      <w:r>
        <w:rPr>
          <w:rFonts w:hint="eastAsia" w:ascii="宋体" w:hAnsi="宋体" w:cs="宋体"/>
          <w:color w:val="auto"/>
          <w:szCs w:val="21"/>
          <w:highlight w:val="none"/>
        </w:rPr>
        <w:t>3.2供应商</w:t>
      </w:r>
      <w:r>
        <w:rPr>
          <w:rFonts w:hint="eastAsia" w:cs="宋体"/>
          <w:color w:val="auto"/>
          <w:highlight w:val="none"/>
        </w:rPr>
        <w:t>不得存在下列情形之一：</w:t>
      </w:r>
    </w:p>
    <w:p w14:paraId="116BF3BD">
      <w:pPr>
        <w:spacing w:line="360" w:lineRule="auto"/>
        <w:ind w:firstLine="420" w:firstLineChars="200"/>
        <w:rPr>
          <w:rFonts w:hint="eastAsia" w:ascii="宋体" w:hAnsi="宋体" w:eastAsia="宋体" w:cs="宋体"/>
          <w:color w:val="auto"/>
          <w:szCs w:val="21"/>
          <w:highlight w:val="none"/>
          <w:lang w:eastAsia="zh-CN"/>
        </w:rPr>
      </w:pPr>
      <w:r>
        <w:rPr>
          <w:rFonts w:hint="eastAsia" w:cs="宋体"/>
          <w:color w:val="auto"/>
          <w:highlight w:val="none"/>
        </w:rPr>
        <w:t>（1）</w:t>
      </w:r>
      <w:r>
        <w:rPr>
          <w:rFonts w:hint="eastAsia" w:ascii="宋体" w:hAnsi="宋体" w:cs="宋体"/>
          <w:color w:val="auto"/>
          <w:szCs w:val="21"/>
          <w:highlight w:val="none"/>
        </w:rPr>
        <w:t>单位负责人为同一人或者存在直接控股、管理关系的不同供应商，不得参加同一合同项下的政府采购活动</w:t>
      </w:r>
      <w:r>
        <w:rPr>
          <w:rFonts w:hint="eastAsia" w:ascii="宋体" w:hAnsi="宋体" w:cs="宋体"/>
          <w:color w:val="auto"/>
          <w:szCs w:val="21"/>
          <w:highlight w:val="none"/>
          <w:lang w:eastAsia="zh-CN"/>
        </w:rPr>
        <w:t>；</w:t>
      </w:r>
    </w:p>
    <w:p w14:paraId="410F7AF7">
      <w:pPr>
        <w:spacing w:line="360" w:lineRule="auto"/>
        <w:ind w:firstLine="420" w:firstLineChars="200"/>
        <w:rPr>
          <w:rFonts w:hint="eastAsia" w:eastAsia="宋体" w:cs="宋体"/>
          <w:color w:val="auto"/>
          <w:highlight w:val="none"/>
          <w:lang w:eastAsia="zh-CN"/>
        </w:rPr>
      </w:pPr>
      <w:r>
        <w:rPr>
          <w:rFonts w:hint="eastAsia" w:ascii="宋体" w:hAnsi="宋体" w:cs="宋体"/>
          <w:color w:val="auto"/>
          <w:szCs w:val="21"/>
          <w:highlight w:val="none"/>
        </w:rPr>
        <w:t>（2）为本项目提供过整体设计、规范编制或者项目管理、监理、检测等服务的供应商，不得再参加本项目上述服务以外的其他采购活动</w:t>
      </w:r>
      <w:r>
        <w:rPr>
          <w:rFonts w:hint="eastAsia" w:ascii="宋体" w:hAnsi="宋体" w:cs="宋体"/>
          <w:color w:val="auto"/>
          <w:szCs w:val="21"/>
          <w:highlight w:val="none"/>
          <w:lang w:eastAsia="zh-CN"/>
        </w:rPr>
        <w:t>；</w:t>
      </w:r>
    </w:p>
    <w:p w14:paraId="328F2C71">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rFonts w:hint="eastAsia"/>
          <w:color w:val="auto"/>
          <w:highlight w:val="none"/>
        </w:rPr>
        <w:t>3</w:t>
      </w:r>
      <w:r>
        <w:rPr>
          <w:rFonts w:hint="eastAsia" w:cs="宋体"/>
          <w:color w:val="auto"/>
          <w:highlight w:val="none"/>
        </w:rPr>
        <w:t>）为本分标的代建人</w:t>
      </w:r>
      <w:r>
        <w:rPr>
          <w:rFonts w:hint="eastAsia" w:cs="宋体"/>
          <w:color w:val="auto"/>
          <w:highlight w:val="none"/>
          <w:lang w:eastAsia="zh-CN"/>
        </w:rPr>
        <w:t>；</w:t>
      </w:r>
    </w:p>
    <w:p w14:paraId="2DFFDB56">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rFonts w:hint="eastAsia"/>
          <w:color w:val="auto"/>
          <w:highlight w:val="none"/>
        </w:rPr>
        <w:t>4</w:t>
      </w:r>
      <w:r>
        <w:rPr>
          <w:rFonts w:hint="eastAsia" w:cs="宋体"/>
          <w:color w:val="auto"/>
          <w:highlight w:val="none"/>
        </w:rPr>
        <w:t>）为本分标提供采购代理服务的</w:t>
      </w:r>
      <w:r>
        <w:rPr>
          <w:rFonts w:hint="eastAsia" w:cs="宋体"/>
          <w:color w:val="auto"/>
          <w:highlight w:val="none"/>
          <w:lang w:eastAsia="zh-CN"/>
        </w:rPr>
        <w:t>；</w:t>
      </w:r>
    </w:p>
    <w:p w14:paraId="1BEA9536">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rFonts w:hint="eastAsia"/>
          <w:color w:val="auto"/>
          <w:highlight w:val="none"/>
        </w:rPr>
        <w:t>5</w:t>
      </w:r>
      <w:r>
        <w:rPr>
          <w:rFonts w:hint="eastAsia" w:cs="宋体"/>
          <w:color w:val="auto"/>
          <w:highlight w:val="none"/>
        </w:rPr>
        <w:t>）与本分标的监理人或代建人或采购代理机构同为一个法定代表人的</w:t>
      </w:r>
      <w:r>
        <w:rPr>
          <w:rFonts w:hint="eastAsia" w:cs="宋体"/>
          <w:color w:val="auto"/>
          <w:highlight w:val="none"/>
          <w:lang w:eastAsia="zh-CN"/>
        </w:rPr>
        <w:t>；</w:t>
      </w:r>
    </w:p>
    <w:p w14:paraId="62D5BE9A">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rFonts w:hint="eastAsia"/>
          <w:color w:val="auto"/>
          <w:highlight w:val="none"/>
        </w:rPr>
        <w:t>6</w:t>
      </w:r>
      <w:r>
        <w:rPr>
          <w:rFonts w:hint="eastAsia" w:cs="宋体"/>
          <w:color w:val="auto"/>
          <w:highlight w:val="none"/>
        </w:rPr>
        <w:t>）与本分标的监理人或代建人或采购代理机构相互控股或参股的</w:t>
      </w:r>
      <w:r>
        <w:rPr>
          <w:rFonts w:hint="eastAsia" w:cs="宋体"/>
          <w:color w:val="auto"/>
          <w:highlight w:val="none"/>
          <w:lang w:eastAsia="zh-CN"/>
        </w:rPr>
        <w:t>；</w:t>
      </w:r>
    </w:p>
    <w:p w14:paraId="7B3CC3EB">
      <w:pPr>
        <w:spacing w:line="360" w:lineRule="auto"/>
        <w:ind w:firstLine="420" w:firstLineChars="200"/>
        <w:rPr>
          <w:rFonts w:hint="eastAsia" w:eastAsia="宋体" w:cs="宋体"/>
          <w:color w:val="auto"/>
          <w:highlight w:val="none"/>
          <w:lang w:eastAsia="zh-CN"/>
        </w:rPr>
      </w:pPr>
      <w:r>
        <w:rPr>
          <w:rFonts w:hint="eastAsia" w:cs="宋体"/>
          <w:color w:val="auto"/>
          <w:highlight w:val="none"/>
        </w:rPr>
        <w:t>（</w:t>
      </w:r>
      <w:r>
        <w:rPr>
          <w:rFonts w:hint="eastAsia"/>
          <w:color w:val="auto"/>
          <w:highlight w:val="none"/>
        </w:rPr>
        <w:t>7</w:t>
      </w:r>
      <w:r>
        <w:rPr>
          <w:rFonts w:hint="eastAsia" w:cs="宋体"/>
          <w:color w:val="auto"/>
          <w:highlight w:val="none"/>
        </w:rPr>
        <w:t>）与本分标的监理人或代建人或采购代理机构相互任职或工作的</w:t>
      </w:r>
      <w:r>
        <w:rPr>
          <w:rFonts w:hint="eastAsia" w:cs="宋体"/>
          <w:color w:val="auto"/>
          <w:highlight w:val="none"/>
          <w:lang w:eastAsia="zh-CN"/>
        </w:rPr>
        <w:t>；</w:t>
      </w:r>
    </w:p>
    <w:p w14:paraId="0CB9C6A6">
      <w:pPr>
        <w:spacing w:line="360" w:lineRule="auto"/>
        <w:ind w:firstLine="420" w:firstLineChars="200"/>
        <w:rPr>
          <w:color w:val="auto"/>
          <w:highlight w:val="none"/>
        </w:rPr>
      </w:pPr>
      <w:r>
        <w:rPr>
          <w:rFonts w:hint="eastAsia" w:cs="宋体"/>
          <w:color w:val="auto"/>
          <w:highlight w:val="none"/>
        </w:rPr>
        <w:t>（8）在“信用中国”网站（https：//www.creditchina.gov.cn） 、中国政府采购网（https：//www.ccgp.gov.cn）被列入失信被执行人、重大税收违法失信主体、政府采购严重违法失信行为记录名单及其他不符合《中华人民共和国政府采购法》第二十二条规定条件的。</w:t>
      </w:r>
    </w:p>
    <w:p w14:paraId="0A284EF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2FD503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2FB1F3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86C23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85964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93F44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2"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2"/>
    </w:p>
    <w:p w14:paraId="71F560E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27AB913">
      <w:pPr>
        <w:pStyle w:val="6"/>
        <w:keepNext w:val="0"/>
        <w:keepLines w:val="0"/>
        <w:spacing w:before="0" w:after="0" w:line="360" w:lineRule="auto"/>
        <w:ind w:left="420" w:leftChars="200"/>
        <w:rPr>
          <w:rFonts w:ascii="宋体" w:hAnsi="宋体"/>
          <w:b w:val="0"/>
          <w:color w:val="auto"/>
          <w:sz w:val="21"/>
          <w:szCs w:val="21"/>
          <w:highlight w:val="none"/>
        </w:rPr>
      </w:pPr>
      <w:bookmarkStart w:id="53" w:name="_Toc254970673"/>
      <w:bookmarkStart w:id="54" w:name="_Toc254970532"/>
      <w:r>
        <w:rPr>
          <w:rFonts w:hint="eastAsia" w:ascii="宋体" w:hAnsi="宋体"/>
          <w:b w:val="0"/>
          <w:color w:val="auto"/>
          <w:sz w:val="21"/>
          <w:szCs w:val="21"/>
          <w:highlight w:val="none"/>
        </w:rPr>
        <w:t>6.1本项目不允许转包。</w:t>
      </w:r>
    </w:p>
    <w:p w14:paraId="08DE1535">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4580D203">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A4A7CB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3"/>
      <w:bookmarkEnd w:id="54"/>
    </w:p>
    <w:p w14:paraId="43308793">
      <w:pPr>
        <w:spacing w:line="360" w:lineRule="auto"/>
        <w:ind w:firstLine="420" w:firstLineChars="200"/>
        <w:rPr>
          <w:rFonts w:ascii="宋体" w:hAnsi="宋体" w:cs="宋体"/>
          <w:color w:val="auto"/>
          <w:szCs w:val="21"/>
          <w:highlight w:val="none"/>
        </w:rPr>
      </w:pPr>
      <w:bookmarkStart w:id="55" w:name="_8.1提供相同品牌产品且通过资格审查、符合性审查的不同投标人参加同一合"/>
      <w:bookmarkEnd w:id="55"/>
      <w:r>
        <w:rPr>
          <w:rFonts w:hint="eastAsia" w:ascii="宋体" w:hAnsi="宋体" w:cs="宋体"/>
          <w:color w:val="auto"/>
          <w:szCs w:val="21"/>
          <w:highlight w:val="none"/>
        </w:rPr>
        <w:t>7.</w:t>
      </w:r>
      <w:r>
        <w:rPr>
          <w:rFonts w:ascii="宋体" w:hAnsi="宋体" w:cs="宋体"/>
          <w:color w:val="auto"/>
          <w:szCs w:val="21"/>
          <w:highlight w:val="none"/>
        </w:rPr>
        <w:t>1</w:t>
      </w:r>
      <w:bookmarkStart w:id="56"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56"/>
    <w:p w14:paraId="117AF6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135F28B3">
      <w:pPr>
        <w:spacing w:line="360" w:lineRule="auto"/>
        <w:ind w:firstLine="420" w:firstLineChars="200"/>
        <w:rPr>
          <w:rFonts w:ascii="宋体" w:hAnsi="宋体" w:cs="宋体"/>
          <w:color w:val="auto"/>
          <w:szCs w:val="21"/>
          <w:highlight w:val="none"/>
        </w:rPr>
      </w:pPr>
      <w:bookmarkStart w:id="57" w:name="_Hlk170492024"/>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签订合同后发现的，成交供应商须依照</w:t>
      </w:r>
      <w:bookmarkStart w:id="58" w:name="_Hlk170492034"/>
      <w:r>
        <w:rPr>
          <w:rFonts w:hint="eastAsia" w:ascii="宋体" w:hAnsi="宋体" w:cs="宋体"/>
          <w:color w:val="auto"/>
          <w:szCs w:val="21"/>
          <w:highlight w:val="none"/>
        </w:rPr>
        <w:t>有关法律法规</w:t>
      </w:r>
      <w:bookmarkEnd w:id="58"/>
      <w:r>
        <w:rPr>
          <w:rFonts w:hint="eastAsia" w:ascii="宋体" w:hAnsi="宋体" w:cs="宋体"/>
          <w:color w:val="auto"/>
          <w:szCs w:val="21"/>
          <w:highlight w:val="none"/>
        </w:rPr>
        <w:t>规定赔偿采购人，且民事赔偿并不免除违法供应商的行政与刑事责任。</w:t>
      </w:r>
    </w:p>
    <w:bookmarkEnd w:id="57"/>
    <w:p w14:paraId="6F082F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F7EE33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（1）参加采购活动前3年内与供应商存在劳动关系</w:t>
      </w:r>
      <w:r>
        <w:rPr>
          <w:rFonts w:hint="eastAsia" w:ascii="宋体" w:hAnsi="宋体" w:cs="宋体"/>
          <w:color w:val="auto"/>
          <w:szCs w:val="21"/>
          <w:highlight w:val="none"/>
          <w:lang w:eastAsia="zh-CN"/>
        </w:rPr>
        <w:t>；</w:t>
      </w:r>
    </w:p>
    <w:p w14:paraId="4A0B87A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（2）参加采购活动前3年内担任供应商的董事、监事</w:t>
      </w:r>
      <w:r>
        <w:rPr>
          <w:rFonts w:hint="eastAsia" w:ascii="宋体" w:hAnsi="宋体" w:cs="宋体"/>
          <w:color w:val="auto"/>
          <w:szCs w:val="21"/>
          <w:highlight w:val="none"/>
          <w:lang w:eastAsia="zh-CN"/>
        </w:rPr>
        <w:t>；</w:t>
      </w:r>
    </w:p>
    <w:p w14:paraId="3FC2D61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（3）参加采购活动前3年内是供应商的控股股东或者实际控制人</w:t>
      </w:r>
      <w:r>
        <w:rPr>
          <w:rFonts w:hint="eastAsia" w:ascii="宋体" w:hAnsi="宋体" w:cs="宋体"/>
          <w:color w:val="auto"/>
          <w:szCs w:val="21"/>
          <w:highlight w:val="none"/>
          <w:lang w:eastAsia="zh-CN"/>
        </w:rPr>
        <w:t>；</w:t>
      </w:r>
    </w:p>
    <w:p w14:paraId="3C3B07A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（4）与供应商的法定代表人或者负责人有夫妻、直系血亲、三代以内旁系血亲或者近姻亲关系</w:t>
      </w:r>
      <w:r>
        <w:rPr>
          <w:rFonts w:hint="eastAsia" w:ascii="宋体" w:hAnsi="宋体" w:cs="宋体"/>
          <w:color w:val="auto"/>
          <w:szCs w:val="21"/>
          <w:highlight w:val="none"/>
          <w:lang w:eastAsia="zh-CN"/>
        </w:rPr>
        <w:t>；</w:t>
      </w:r>
    </w:p>
    <w:p w14:paraId="3CA75E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702C8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A293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7EA5AF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6EA9BAA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（2）不同供应商委托同一单位或者个人办理竞标事宜</w:t>
      </w:r>
      <w:r>
        <w:rPr>
          <w:rFonts w:hint="eastAsia" w:ascii="宋体" w:hAnsi="宋体" w:cs="宋体"/>
          <w:color w:val="auto"/>
          <w:szCs w:val="21"/>
          <w:highlight w:val="none"/>
          <w:lang w:eastAsia="zh-CN"/>
        </w:rPr>
        <w:t>；</w:t>
      </w:r>
    </w:p>
    <w:p w14:paraId="54EEAAC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（3）不同的供应商的响应文件载明的项目管理员为同一个人</w:t>
      </w:r>
      <w:r>
        <w:rPr>
          <w:rFonts w:hint="eastAsia" w:ascii="宋体" w:hAnsi="宋体" w:cs="宋体"/>
          <w:color w:val="auto"/>
          <w:szCs w:val="21"/>
          <w:highlight w:val="none"/>
          <w:lang w:eastAsia="zh-CN"/>
        </w:rPr>
        <w:t>；</w:t>
      </w:r>
    </w:p>
    <w:p w14:paraId="25E8913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（4）不同供应商的响应文件异常一致或者报价呈规律性差异</w:t>
      </w:r>
      <w:r>
        <w:rPr>
          <w:rFonts w:hint="eastAsia" w:ascii="宋体" w:hAnsi="宋体" w:cs="宋体"/>
          <w:color w:val="auto"/>
          <w:szCs w:val="21"/>
          <w:highlight w:val="none"/>
          <w:lang w:eastAsia="zh-CN"/>
        </w:rPr>
        <w:t>；</w:t>
      </w:r>
    </w:p>
    <w:p w14:paraId="70E0E98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（5）不同供应商的响应文件相互混装</w:t>
      </w:r>
      <w:r>
        <w:rPr>
          <w:rFonts w:hint="eastAsia" w:ascii="宋体" w:hAnsi="宋体" w:cs="宋体"/>
          <w:color w:val="auto"/>
          <w:szCs w:val="21"/>
          <w:highlight w:val="none"/>
          <w:lang w:eastAsia="zh-CN"/>
        </w:rPr>
        <w:t>；</w:t>
      </w:r>
    </w:p>
    <w:p w14:paraId="088EDF1A">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3390B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CFC629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（1）供应商直接或者间接从采购人或者采购代理机构处获得其他供应商的相关信息并修改其响应文件</w:t>
      </w:r>
      <w:r>
        <w:rPr>
          <w:rFonts w:hint="eastAsia" w:ascii="宋体" w:hAnsi="宋体" w:cs="宋体"/>
          <w:color w:val="auto"/>
          <w:szCs w:val="21"/>
          <w:highlight w:val="none"/>
          <w:lang w:eastAsia="zh-CN"/>
        </w:rPr>
        <w:t>；</w:t>
      </w:r>
    </w:p>
    <w:p w14:paraId="76D930E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（2）供应商按照采购人或者采购代理机构的授意撤换、修改响应文件</w:t>
      </w:r>
      <w:r>
        <w:rPr>
          <w:rFonts w:hint="eastAsia" w:ascii="宋体" w:hAnsi="宋体" w:cs="宋体"/>
          <w:color w:val="auto"/>
          <w:szCs w:val="21"/>
          <w:highlight w:val="none"/>
          <w:lang w:eastAsia="zh-CN"/>
        </w:rPr>
        <w:t>；</w:t>
      </w:r>
    </w:p>
    <w:p w14:paraId="4F1334F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（3）供应商之间协商报价、技术方案等响应文件或者响应文件的实质性内容</w:t>
      </w:r>
      <w:r>
        <w:rPr>
          <w:rFonts w:hint="eastAsia" w:ascii="宋体" w:hAnsi="宋体" w:cs="宋体"/>
          <w:color w:val="auto"/>
          <w:szCs w:val="21"/>
          <w:highlight w:val="none"/>
          <w:lang w:eastAsia="zh-CN"/>
        </w:rPr>
        <w:t>；</w:t>
      </w:r>
    </w:p>
    <w:p w14:paraId="4C3110E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（4）属于同一集团、协会、商会等组织成员的供应商按照该组织要求协同参加政府采购活动</w:t>
      </w:r>
      <w:r>
        <w:rPr>
          <w:rFonts w:hint="eastAsia" w:ascii="宋体" w:hAnsi="宋体" w:cs="宋体"/>
          <w:color w:val="auto"/>
          <w:szCs w:val="21"/>
          <w:highlight w:val="none"/>
          <w:lang w:eastAsia="zh-CN"/>
        </w:rPr>
        <w:t>；</w:t>
      </w:r>
    </w:p>
    <w:p w14:paraId="13B6D54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r>
        <w:rPr>
          <w:rFonts w:hint="eastAsia" w:ascii="宋体" w:hAnsi="宋体" w:cs="宋体"/>
          <w:color w:val="auto"/>
          <w:szCs w:val="21"/>
          <w:highlight w:val="none"/>
          <w:lang w:eastAsia="zh-CN"/>
        </w:rPr>
        <w:t>；</w:t>
      </w:r>
    </w:p>
    <w:p w14:paraId="591656D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（6）供应商之间商定部分供应商放弃参加政府采购活动或者放弃成交</w:t>
      </w:r>
      <w:r>
        <w:rPr>
          <w:rFonts w:hint="eastAsia" w:ascii="宋体" w:hAnsi="宋体" w:cs="宋体"/>
          <w:color w:val="auto"/>
          <w:szCs w:val="21"/>
          <w:highlight w:val="none"/>
          <w:lang w:eastAsia="zh-CN"/>
        </w:rPr>
        <w:t>；</w:t>
      </w:r>
    </w:p>
    <w:p w14:paraId="23CE31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BE62D02">
      <w:pPr>
        <w:spacing w:line="360" w:lineRule="auto"/>
        <w:ind w:firstLine="420" w:firstLineChars="200"/>
        <w:rPr>
          <w:rFonts w:ascii="宋体" w:hAnsi="宋体" w:cs="宋体"/>
          <w:color w:val="auto"/>
          <w:szCs w:val="21"/>
          <w:highlight w:val="none"/>
        </w:rPr>
      </w:pPr>
    </w:p>
    <w:p w14:paraId="1EA155E1">
      <w:pPr>
        <w:spacing w:line="360" w:lineRule="auto"/>
        <w:ind w:left="1" w:firstLine="417" w:firstLineChars="199"/>
        <w:jc w:val="center"/>
        <w:rPr>
          <w:rFonts w:ascii="宋体" w:hAnsi="宋体"/>
          <w:color w:val="auto"/>
          <w:highlight w:val="none"/>
        </w:rPr>
      </w:pPr>
      <w:bookmarkStart w:id="59" w:name="_Toc254970534"/>
      <w:bookmarkStart w:id="60" w:name="_Toc254970675"/>
    </w:p>
    <w:p w14:paraId="3018E89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59"/>
      <w:bookmarkEnd w:id="60"/>
    </w:p>
    <w:p w14:paraId="62FE7B8B">
      <w:pPr>
        <w:spacing w:line="360" w:lineRule="auto"/>
        <w:rPr>
          <w:rFonts w:ascii="宋体" w:hAnsi="宋体"/>
          <w:color w:val="auto"/>
          <w:szCs w:val="21"/>
          <w:highlight w:val="none"/>
        </w:rPr>
      </w:pPr>
    </w:p>
    <w:p w14:paraId="412B2A7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1F83B83">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第一章  竞争性磋商公告</w:t>
      </w:r>
      <w:r>
        <w:rPr>
          <w:rFonts w:hint="eastAsia" w:ascii="宋体" w:hAnsi="宋体"/>
          <w:color w:val="auto"/>
          <w:szCs w:val="21"/>
          <w:highlight w:val="none"/>
          <w:lang w:eastAsia="zh-CN"/>
        </w:rPr>
        <w:t>；</w:t>
      </w:r>
    </w:p>
    <w:p w14:paraId="443330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第二章  供应商须知</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p>
    <w:p w14:paraId="4A19F4DE">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第三章  采购需求</w:t>
      </w:r>
      <w:r>
        <w:rPr>
          <w:rFonts w:hint="eastAsia" w:ascii="宋体" w:hAnsi="宋体"/>
          <w:color w:val="auto"/>
          <w:szCs w:val="21"/>
          <w:highlight w:val="none"/>
          <w:lang w:eastAsia="zh-CN"/>
        </w:rPr>
        <w:t>；</w:t>
      </w:r>
    </w:p>
    <w:p w14:paraId="65E87967">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第四章  评审程序、评审方法和评审标准</w:t>
      </w:r>
      <w:r>
        <w:rPr>
          <w:rFonts w:hint="eastAsia" w:ascii="宋体" w:hAnsi="宋体"/>
          <w:color w:val="auto"/>
          <w:szCs w:val="21"/>
          <w:highlight w:val="none"/>
          <w:lang w:eastAsia="zh-CN"/>
        </w:rPr>
        <w:t>；</w:t>
      </w:r>
    </w:p>
    <w:p w14:paraId="196ED16A">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第五章  工程量清单及图纸</w:t>
      </w:r>
      <w:r>
        <w:rPr>
          <w:rFonts w:hint="eastAsia" w:ascii="宋体" w:hAnsi="宋体"/>
          <w:color w:val="auto"/>
          <w:szCs w:val="21"/>
          <w:highlight w:val="none"/>
          <w:lang w:eastAsia="zh-CN"/>
        </w:rPr>
        <w:t>；</w:t>
      </w:r>
    </w:p>
    <w:p w14:paraId="6ABC0ACE">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第六章  响应文件格式</w:t>
      </w:r>
      <w:r>
        <w:rPr>
          <w:rFonts w:hint="eastAsia" w:ascii="宋体" w:hAnsi="宋体"/>
          <w:color w:val="auto"/>
          <w:szCs w:val="21"/>
          <w:highlight w:val="none"/>
          <w:lang w:eastAsia="zh-CN"/>
        </w:rPr>
        <w:t>；</w:t>
      </w:r>
    </w:p>
    <w:p w14:paraId="67BC38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第七章  合同文本。</w:t>
      </w:r>
    </w:p>
    <w:p w14:paraId="133154F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29638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2CD579D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14F5C9A">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316B78BB">
      <w:pPr>
        <w:spacing w:line="360" w:lineRule="auto"/>
        <w:rPr>
          <w:rFonts w:ascii="宋体" w:hAnsi="宋体"/>
          <w:color w:val="auto"/>
          <w:szCs w:val="21"/>
          <w:highlight w:val="none"/>
        </w:rPr>
      </w:pPr>
    </w:p>
    <w:p w14:paraId="6F58E781">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16B38A18">
      <w:pPr>
        <w:spacing w:line="360" w:lineRule="auto"/>
        <w:rPr>
          <w:rFonts w:ascii="宋体" w:hAnsi="宋体"/>
          <w:color w:val="auto"/>
          <w:szCs w:val="21"/>
          <w:highlight w:val="none"/>
        </w:rPr>
      </w:pPr>
    </w:p>
    <w:p w14:paraId="7C909C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97DF0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948225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688DF6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6F1CCE3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539054F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0F0A9452">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CE4BC2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14061A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磋商文件没有规定的，应采用中华人民共和国法定计量单位，货币种类为人民币，否则视同未响应。</w:t>
      </w:r>
    </w:p>
    <w:p w14:paraId="34272E4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195BAB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1C0823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1CC8CE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3199C72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7612CBA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4B6A2824">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15.4竞标报价要求</w:t>
      </w:r>
    </w:p>
    <w:p w14:paraId="7751E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7C2C295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（1）供应商必须就“采购需求”中所竞标的每个分标的全部内容分别作完整唯一总价报价，不得存在漏项报价</w:t>
      </w:r>
      <w:r>
        <w:rPr>
          <w:rFonts w:hint="eastAsia" w:ascii="宋体" w:hAnsi="宋体" w:cs="宋体"/>
          <w:color w:val="auto"/>
          <w:szCs w:val="21"/>
          <w:highlight w:val="none"/>
          <w:lang w:eastAsia="zh-CN"/>
        </w:rPr>
        <w:t>；</w:t>
      </w:r>
    </w:p>
    <w:p w14:paraId="45C8F8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9105B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769BAE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1" w:name="_Hlk42592874"/>
      <w:r>
        <w:rPr>
          <w:rFonts w:hint="eastAsia" w:ascii="宋体" w:hAnsi="宋体" w:cs="宋体"/>
          <w:color w:val="auto"/>
          <w:szCs w:val="21"/>
          <w:highlight w:val="none"/>
        </w:rPr>
        <w:t>竞标报价（包含首次报价、最后报价）超过分项采购预算金额或者单价最高限价的（如有要求），其响应文件将按无效处理。</w:t>
      </w:r>
    </w:p>
    <w:p w14:paraId="35C09D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1"/>
    <w:p w14:paraId="4CB6FC7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AA247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C5F6B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5733D7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85B7FA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866A93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6DB7D7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6A37972C">
      <w:pPr>
        <w:spacing w:line="360" w:lineRule="auto"/>
        <w:ind w:firstLine="420" w:firstLineChars="200"/>
        <w:rPr>
          <w:rFonts w:ascii="宋体" w:hAnsi="宋体" w:cs="宋体"/>
          <w:color w:val="auto"/>
          <w:szCs w:val="21"/>
          <w:highlight w:val="none"/>
        </w:rPr>
      </w:pPr>
      <w:bookmarkStart w:id="62" w:name="_Hlk66782243"/>
      <w:r>
        <w:rPr>
          <w:rFonts w:hint="eastAsia" w:ascii="宋体" w:hAnsi="宋体" w:cs="宋体"/>
          <w:color w:val="auto"/>
          <w:szCs w:val="21"/>
          <w:highlight w:val="none"/>
        </w:rPr>
        <w:t>未成交供应商的磋商保证金自成交通知书发出之日起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w:t>
      </w:r>
      <w:bookmarkEnd w:id="62"/>
      <w:r>
        <w:rPr>
          <w:rFonts w:hint="eastAsia" w:ascii="宋体" w:hAnsi="宋体" w:cs="宋体"/>
          <w:color w:val="auto"/>
          <w:szCs w:val="21"/>
          <w:highlight w:val="none"/>
        </w:rPr>
        <w:t xml:space="preserve"> </w:t>
      </w:r>
    </w:p>
    <w:p w14:paraId="515460F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65CDF9C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412A8961">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（1）供应商在提交响应文件截止时间后撤回响应文件的</w:t>
      </w:r>
      <w:r>
        <w:rPr>
          <w:rFonts w:hint="eastAsia" w:ascii="宋体" w:hAnsi="宋体" w:cs="宋体"/>
          <w:color w:val="auto"/>
          <w:szCs w:val="21"/>
          <w:highlight w:val="none"/>
          <w:lang w:eastAsia="zh-CN"/>
        </w:rPr>
        <w:t>；</w:t>
      </w:r>
    </w:p>
    <w:p w14:paraId="1D18D813">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r>
        <w:rPr>
          <w:rFonts w:hint="eastAsia" w:ascii="宋体" w:hAnsi="宋体"/>
          <w:color w:val="auto"/>
          <w:szCs w:val="21"/>
          <w:highlight w:val="none"/>
          <w:lang w:eastAsia="zh-CN"/>
        </w:rPr>
        <w:t>；</w:t>
      </w:r>
    </w:p>
    <w:p w14:paraId="630F3E8C">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（3）供应商在响应文件中提供虚假材料的</w:t>
      </w:r>
      <w:r>
        <w:rPr>
          <w:rFonts w:hint="eastAsia" w:ascii="宋体" w:hAnsi="宋体" w:cs="宋体"/>
          <w:color w:val="auto"/>
          <w:szCs w:val="21"/>
          <w:highlight w:val="none"/>
          <w:lang w:eastAsia="zh-CN"/>
        </w:rPr>
        <w:t>；</w:t>
      </w:r>
    </w:p>
    <w:p w14:paraId="7C915FB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（4）除因不可抗力或者磋商文件认可的情形以外，成交供应商不与采购人签订合同的</w:t>
      </w:r>
      <w:r>
        <w:rPr>
          <w:rFonts w:hint="eastAsia" w:ascii="宋体" w:hAnsi="宋体" w:cs="宋体"/>
          <w:color w:val="auto"/>
          <w:szCs w:val="21"/>
          <w:highlight w:val="none"/>
          <w:lang w:eastAsia="zh-CN"/>
        </w:rPr>
        <w:t>；</w:t>
      </w:r>
    </w:p>
    <w:p w14:paraId="746A0A69">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（5）供应商与采购人、其他供应商或者采购代理机构恶意串通的</w:t>
      </w:r>
      <w:r>
        <w:rPr>
          <w:rFonts w:hint="eastAsia" w:ascii="宋体" w:hAnsi="宋体" w:cs="宋体"/>
          <w:color w:val="auto"/>
          <w:szCs w:val="21"/>
          <w:highlight w:val="none"/>
          <w:lang w:eastAsia="zh-CN"/>
        </w:rPr>
        <w:t>；</w:t>
      </w:r>
    </w:p>
    <w:p w14:paraId="272AD25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6F7E1C9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1D58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cs="宋体"/>
          <w:color w:val="auto"/>
          <w:szCs w:val="21"/>
          <w:highlight w:val="none"/>
          <w:lang w:eastAsia="zh-CN"/>
        </w:rPr>
        <w:t>广西政府采购云电子交易客户端</w:t>
      </w:r>
      <w:r>
        <w:rPr>
          <w:rFonts w:hint="eastAsia" w:ascii="宋体" w:hAnsi="宋体" w:cs="宋体"/>
          <w:color w:val="auto"/>
          <w:szCs w:val="21"/>
          <w:highlight w:val="none"/>
        </w:rPr>
        <w:t>”（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C056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9D4DF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19DE2E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bookmarkStart w:id="63" w:name="_Hlk170492647"/>
      <w:r>
        <w:rPr>
          <w:rFonts w:hint="eastAsia" w:ascii="宋体" w:hAnsi="宋体" w:cs="宋体"/>
          <w:color w:val="auto"/>
          <w:szCs w:val="21"/>
          <w:highlight w:val="none"/>
        </w:rPr>
        <w:t>，</w:t>
      </w:r>
      <w:r>
        <w:rPr>
          <w:rFonts w:hint="eastAsia" w:ascii="宋体" w:hAnsi="宋体"/>
          <w:color w:val="auto"/>
          <w:szCs w:val="21"/>
          <w:highlight w:val="none"/>
        </w:rPr>
        <w:t>并与广西政府采购云平台中获取磋商文件的供应商名称一致，</w:t>
      </w:r>
      <w:bookmarkEnd w:id="63"/>
      <w:r>
        <w:rPr>
          <w:rFonts w:hint="eastAsia" w:ascii="宋体" w:hAnsi="宋体" w:cs="宋体"/>
          <w:color w:val="auto"/>
          <w:szCs w:val="21"/>
          <w:highlight w:val="none"/>
        </w:rPr>
        <w:t>否则其响应文件按无效处理。</w:t>
      </w:r>
    </w:p>
    <w:p w14:paraId="44DE70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B5C4365">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93ABB04">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color w:val="auto"/>
          <w:highlight w:val="none"/>
          <w:lang w:eastAsia="zh-CN"/>
        </w:rPr>
        <w:t>广西政府采购云</w:t>
      </w:r>
      <w:r>
        <w:rPr>
          <w:rFonts w:hint="eastAsia"/>
          <w:color w:val="auto"/>
          <w:highlight w:val="none"/>
        </w:rPr>
        <w:t>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6A1C2B5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C4E78E3">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1A295C20">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未在规定时间内提交或者未按照磋商文件要求加密的电子响应文件，广西政府采购云平台将拒收。</w:t>
      </w:r>
    </w:p>
    <w:p w14:paraId="3BAA62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ECDDD80">
      <w:pPr>
        <w:spacing w:line="360" w:lineRule="auto"/>
        <w:ind w:firstLine="420" w:firstLineChars="200"/>
        <w:rPr>
          <w:rFonts w:hAnsi="宋体"/>
          <w:bCs/>
          <w:color w:val="auto"/>
          <w:szCs w:val="21"/>
          <w:highlight w:val="none"/>
        </w:rPr>
      </w:pPr>
      <w:bookmarkStart w:id="64" w:name="_Toc254970684"/>
      <w:bookmarkStart w:id="65" w:name="_Toc254970543"/>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以后提交（上传）的响应文件，广西政府采购云平台将予以拒收。（注：补充、修改或者撤回方式可登录广西政府采购云平台，进入“服务中心”中查看 “电子投标文件制作与投送教程”）</w:t>
      </w:r>
    </w:p>
    <w:bookmarkEnd w:id="64"/>
    <w:bookmarkEnd w:id="65"/>
    <w:p w14:paraId="7D86F1E1">
      <w:pPr>
        <w:pStyle w:val="101"/>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33A32EAB">
      <w:pPr>
        <w:spacing w:line="360" w:lineRule="auto"/>
        <w:ind w:firstLine="482" w:firstLineChars="200"/>
        <w:rPr>
          <w:rFonts w:ascii="黑体" w:hAnsi="黑体" w:eastAsia="黑体" w:cs="宋体"/>
          <w:b/>
          <w:bCs/>
          <w:color w:val="auto"/>
          <w:sz w:val="24"/>
          <w:highlight w:val="none"/>
        </w:rPr>
      </w:pPr>
      <w:bookmarkStart w:id="66" w:name="_Hlk45702405"/>
      <w:r>
        <w:rPr>
          <w:rFonts w:hint="eastAsia" w:ascii="黑体" w:hAnsi="黑体" w:eastAsia="黑体" w:cs="宋体"/>
          <w:b/>
          <w:bCs/>
          <w:color w:val="auto"/>
          <w:sz w:val="24"/>
          <w:highlight w:val="none"/>
        </w:rPr>
        <w:t>22.响应文件的退回</w:t>
      </w:r>
    </w:p>
    <w:p w14:paraId="6611F1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A1AB68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3B9137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66"/>
    <w:p w14:paraId="79F8813E">
      <w:pPr>
        <w:spacing w:line="360" w:lineRule="auto"/>
        <w:rPr>
          <w:rFonts w:ascii="宋体" w:hAnsi="宋体"/>
          <w:color w:val="auto"/>
          <w:szCs w:val="21"/>
          <w:highlight w:val="none"/>
        </w:rPr>
      </w:pPr>
    </w:p>
    <w:p w14:paraId="4A4FE365">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2E52FE52">
      <w:pPr>
        <w:spacing w:line="360" w:lineRule="auto"/>
        <w:ind w:left="420" w:firstLine="420"/>
        <w:rPr>
          <w:rFonts w:ascii="宋体" w:hAnsi="宋体"/>
          <w:color w:val="auto"/>
          <w:szCs w:val="21"/>
          <w:highlight w:val="none"/>
        </w:rPr>
      </w:pPr>
    </w:p>
    <w:p w14:paraId="13EE69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114B54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56E65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D77E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7ABD127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1186B7EC">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3E157C8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435028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884770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5354FE33">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B9C0F00">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2AEF132">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r>
        <w:rPr>
          <w:rFonts w:hint="eastAsia" w:hAnsi="宋体"/>
          <w:color w:val="auto"/>
          <w:highlight w:val="none"/>
          <w:lang w:eastAsia="zh-CN"/>
        </w:rPr>
        <w:t>；</w:t>
      </w:r>
      <w:r>
        <w:rPr>
          <w:rFonts w:hint="eastAsia" w:hAnsi="宋体"/>
          <w:color w:val="auto"/>
          <w:highlight w:val="none"/>
        </w:rPr>
        <w:t xml:space="preserve"> </w:t>
      </w:r>
    </w:p>
    <w:p w14:paraId="6141CF47">
      <w:pPr>
        <w:spacing w:line="360" w:lineRule="auto"/>
        <w:ind w:firstLine="420" w:firstLineChars="200"/>
        <w:rPr>
          <w:rFonts w:hint="eastAsia" w:hAnsi="宋体" w:eastAsia="宋体"/>
          <w:color w:val="auto"/>
          <w:highlight w:val="none"/>
          <w:lang w:eastAsia="zh-CN"/>
        </w:rPr>
      </w:pPr>
      <w:r>
        <w:rPr>
          <w:rFonts w:hint="eastAsia" w:hAnsi="宋体"/>
          <w:color w:val="auto"/>
          <w:highlight w:val="none"/>
        </w:rPr>
        <w:t>（2）电子交易平台应用或数据库出现错误，不能进行正常操作的</w:t>
      </w:r>
      <w:r>
        <w:rPr>
          <w:rFonts w:hint="eastAsia" w:hAnsi="宋体"/>
          <w:color w:val="auto"/>
          <w:highlight w:val="none"/>
          <w:lang w:eastAsia="zh-CN"/>
        </w:rPr>
        <w:t>；</w:t>
      </w:r>
    </w:p>
    <w:p w14:paraId="6387D91F">
      <w:pPr>
        <w:spacing w:line="360" w:lineRule="auto"/>
        <w:ind w:firstLine="420" w:firstLineChars="200"/>
        <w:rPr>
          <w:rFonts w:hint="eastAsia" w:hAnsi="宋体" w:eastAsia="宋体"/>
          <w:color w:val="auto"/>
          <w:highlight w:val="none"/>
          <w:lang w:eastAsia="zh-CN"/>
        </w:rPr>
      </w:pPr>
      <w:r>
        <w:rPr>
          <w:rFonts w:hint="eastAsia" w:hAnsi="宋体"/>
          <w:color w:val="auto"/>
          <w:highlight w:val="none"/>
        </w:rPr>
        <w:t>（3）电子交易平台发现严重安全漏洞，有潜在泄密危险的</w:t>
      </w:r>
      <w:r>
        <w:rPr>
          <w:rFonts w:hint="eastAsia" w:hAnsi="宋体"/>
          <w:color w:val="auto"/>
          <w:highlight w:val="none"/>
          <w:lang w:eastAsia="zh-CN"/>
        </w:rPr>
        <w:t>；</w:t>
      </w:r>
    </w:p>
    <w:p w14:paraId="2459858B">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r>
        <w:rPr>
          <w:rFonts w:hint="eastAsia" w:hAnsi="宋体"/>
          <w:color w:val="auto"/>
          <w:highlight w:val="none"/>
          <w:lang w:eastAsia="zh-CN"/>
        </w:rPr>
        <w:t>；</w:t>
      </w:r>
      <w:r>
        <w:rPr>
          <w:rFonts w:hint="eastAsia" w:hAnsi="宋体"/>
          <w:color w:val="auto"/>
          <w:highlight w:val="none"/>
        </w:rPr>
        <w:t xml:space="preserve"> </w:t>
      </w:r>
    </w:p>
    <w:p w14:paraId="78149364">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69F7DA6B">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26.5</w:t>
      </w:r>
      <w:r>
        <w:rPr>
          <w:rFonts w:hint="eastAsia" w:hAnsi="宋体"/>
          <w:color w:val="auto"/>
          <w:highlight w:val="none"/>
        </w:rPr>
        <w:t>出现以上情形，不影响采购公平、公正性的，采购组织机构可以待上述情形消除后继续组织电子交易活动</w:t>
      </w:r>
      <w:r>
        <w:rPr>
          <w:rFonts w:hint="eastAsia" w:hAnsi="宋体"/>
          <w:color w:val="auto"/>
          <w:highlight w:val="none"/>
          <w:lang w:eastAsia="zh-CN"/>
        </w:rPr>
        <w:t>；</w:t>
      </w:r>
      <w:r>
        <w:rPr>
          <w:rFonts w:hint="eastAsia" w:hAnsi="宋体"/>
          <w:color w:val="auto"/>
          <w:highlight w:val="none"/>
        </w:rPr>
        <w:t>影响或可能影响采购公平、公正性的，经采购代理机构确认，报采购人同意后，应当重新采购。采购代理机构必须对原有的资料及信息作出妥善保密处理，并报财政部门备案。</w:t>
      </w:r>
    </w:p>
    <w:p w14:paraId="409DF2A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64E9D90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5FC079">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7"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7"/>
    </w:p>
    <w:p w14:paraId="2972F51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4554DDB9">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（1）因情况变化，不再符合规定的竞争性磋商采购方式适用情形的</w:t>
      </w:r>
      <w:r>
        <w:rPr>
          <w:rFonts w:hint="eastAsia" w:ascii="宋体" w:hAnsi="宋体" w:cs="Courier New"/>
          <w:color w:val="auto"/>
          <w:szCs w:val="21"/>
          <w:highlight w:val="none"/>
          <w:lang w:eastAsia="zh-CN"/>
        </w:rPr>
        <w:t>；</w:t>
      </w:r>
    </w:p>
    <w:p w14:paraId="16B4CF61">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（2）出现影响采购公正的违法、违规行为的</w:t>
      </w:r>
      <w:r>
        <w:rPr>
          <w:rFonts w:hint="eastAsia" w:ascii="宋体" w:hAnsi="宋体" w:cs="Courier New"/>
          <w:color w:val="auto"/>
          <w:szCs w:val="21"/>
          <w:highlight w:val="none"/>
          <w:lang w:eastAsia="zh-CN"/>
        </w:rPr>
        <w:t>；</w:t>
      </w:r>
    </w:p>
    <w:p w14:paraId="05E12F5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46AEDC8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FC0715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E81A2C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039F3C0">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5998538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77EE0E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F3E815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3BD73D9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B5C25E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072D9D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FF93E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也不得协商另行订立背离磋商文件和合同实质性内容的协议。</w:t>
      </w:r>
    </w:p>
    <w:p w14:paraId="1CBE5D4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32EBBB6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2FE3DE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52B9F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4EC79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2E408AF9">
      <w:pPr>
        <w:pStyle w:val="7"/>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DE5C05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0C6717F">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lang w:eastAsia="zh-CN"/>
        </w:rPr>
        <w:t>；</w:t>
      </w:r>
    </w:p>
    <w:p w14:paraId="066B4A5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（2）对采购过程提出质疑的，为各采购程序环节结束之日</w:t>
      </w:r>
      <w:r>
        <w:rPr>
          <w:rFonts w:hint="eastAsia" w:ascii="宋体" w:hAnsi="宋体" w:cs="宋体"/>
          <w:color w:val="auto"/>
          <w:highlight w:val="none"/>
          <w:lang w:eastAsia="zh-CN"/>
        </w:rPr>
        <w:t>；</w:t>
      </w:r>
    </w:p>
    <w:p w14:paraId="193B34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0B811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8FA14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D10F472">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（1）供应商的姓名或者名称、地址、邮编、联系人及联系电话</w:t>
      </w:r>
      <w:r>
        <w:rPr>
          <w:rFonts w:hint="eastAsia" w:ascii="宋体" w:hAnsi="宋体" w:cs="宋体"/>
          <w:color w:val="auto"/>
          <w:highlight w:val="none"/>
          <w:lang w:eastAsia="zh-CN"/>
        </w:rPr>
        <w:t>；</w:t>
      </w:r>
    </w:p>
    <w:p w14:paraId="7A7E5B05">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（2）质疑项目的名称、编号</w:t>
      </w:r>
      <w:r>
        <w:rPr>
          <w:rFonts w:hint="eastAsia" w:ascii="宋体" w:hAnsi="宋体" w:cs="宋体"/>
          <w:color w:val="auto"/>
          <w:highlight w:val="none"/>
          <w:lang w:eastAsia="zh-CN"/>
        </w:rPr>
        <w:t>；</w:t>
      </w:r>
    </w:p>
    <w:p w14:paraId="63E322A0">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（3）具体、明确的质疑事项和与质疑事项相关的请求</w:t>
      </w:r>
      <w:r>
        <w:rPr>
          <w:rFonts w:hint="eastAsia" w:ascii="宋体" w:hAnsi="宋体" w:cs="宋体"/>
          <w:color w:val="auto"/>
          <w:highlight w:val="none"/>
          <w:lang w:eastAsia="zh-CN"/>
        </w:rPr>
        <w:t>；</w:t>
      </w:r>
    </w:p>
    <w:p w14:paraId="5E63A7D7">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（4）事实依据</w:t>
      </w:r>
      <w:r>
        <w:rPr>
          <w:rFonts w:hint="eastAsia" w:ascii="宋体" w:hAnsi="宋体" w:cs="宋体"/>
          <w:color w:val="auto"/>
          <w:highlight w:val="none"/>
          <w:lang w:eastAsia="zh-CN"/>
        </w:rPr>
        <w:t>；</w:t>
      </w:r>
    </w:p>
    <w:p w14:paraId="3426A614">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（5）必要的法律依据</w:t>
      </w:r>
      <w:r>
        <w:rPr>
          <w:rFonts w:hint="eastAsia" w:ascii="宋体" w:hAnsi="宋体" w:cs="宋体"/>
          <w:color w:val="auto"/>
          <w:highlight w:val="none"/>
          <w:lang w:eastAsia="zh-CN"/>
        </w:rPr>
        <w:t>；</w:t>
      </w:r>
    </w:p>
    <w:p w14:paraId="0A6B02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12A099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w:t>
      </w:r>
      <w:r>
        <w:rPr>
          <w:rFonts w:hint="eastAsia" w:ascii="宋体" w:hAnsi="宋体" w:cs="宋体"/>
          <w:color w:val="auto"/>
          <w:highlight w:val="none"/>
          <w:lang w:eastAsia="zh-CN"/>
        </w:rPr>
        <w:t>；</w:t>
      </w:r>
      <w:r>
        <w:rPr>
          <w:rFonts w:hint="eastAsia" w:ascii="宋体" w:hAnsi="宋体" w:cs="宋体"/>
          <w:color w:val="auto"/>
          <w:highlight w:val="none"/>
        </w:rPr>
        <w:t>供应商为法人或者其他组织的，应当由法定代表人、主要负责人，或者其委托代理人签字或者盖章，并加盖公章。</w:t>
      </w:r>
    </w:p>
    <w:p w14:paraId="79300E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w:t>
      </w:r>
      <w:r>
        <w:rPr>
          <w:rFonts w:hint="eastAsia" w:ascii="宋体" w:hAnsi="宋体" w:cs="宋体"/>
          <w:color w:val="auto"/>
          <w:highlight w:val="none"/>
          <w:lang w:eastAsia="zh-CN"/>
        </w:rPr>
        <w:t>；</w:t>
      </w:r>
      <w:r>
        <w:rPr>
          <w:rFonts w:hint="eastAsia" w:ascii="宋体" w:hAnsi="宋体" w:cs="宋体"/>
          <w:color w:val="auto"/>
          <w:highlight w:val="none"/>
        </w:rPr>
        <w:t>认为供应商质疑成立且影响或者可能影响成交结果的，按照下列情况处理：</w:t>
      </w:r>
    </w:p>
    <w:p w14:paraId="255589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w:t>
      </w:r>
      <w:r>
        <w:rPr>
          <w:rFonts w:hint="eastAsia" w:ascii="宋体" w:hAnsi="宋体" w:cs="宋体"/>
          <w:color w:val="auto"/>
          <w:highlight w:val="none"/>
          <w:lang w:eastAsia="zh-CN"/>
        </w:rPr>
        <w:t>；</w:t>
      </w:r>
      <w:r>
        <w:rPr>
          <w:rFonts w:hint="eastAsia" w:ascii="宋体" w:hAnsi="宋体" w:cs="宋体"/>
          <w:color w:val="auto"/>
          <w:highlight w:val="none"/>
        </w:rPr>
        <w:t>否则应当修改采购文件后重新开展采购活动。</w:t>
      </w:r>
    </w:p>
    <w:p w14:paraId="5BC1EC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w:t>
      </w:r>
      <w:r>
        <w:rPr>
          <w:rFonts w:hint="eastAsia" w:ascii="宋体" w:hAnsi="宋体" w:cs="宋体"/>
          <w:color w:val="auto"/>
          <w:highlight w:val="none"/>
          <w:lang w:eastAsia="zh-CN"/>
        </w:rPr>
        <w:t>；</w:t>
      </w:r>
      <w:r>
        <w:rPr>
          <w:rFonts w:hint="eastAsia" w:ascii="宋体" w:hAnsi="宋体" w:cs="宋体"/>
          <w:color w:val="auto"/>
          <w:highlight w:val="none"/>
        </w:rPr>
        <w:t>否则应当重新开展采购活动。</w:t>
      </w:r>
    </w:p>
    <w:p w14:paraId="4F14C8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A01F98">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05804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C53A10E">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352E2EC6">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3D2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14C629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9505270">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03252F99">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02FF97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6134A1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EAE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AE7C0F">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5D3F1B3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19E5E8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6102E8D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205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A575CE">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7F920F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65B5228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11AB5A7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A5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970A3F">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6DEDE1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B2E8B6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846ED8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F6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1C42C5">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7B347BE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289648A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50D2517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36F6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4EB278">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6C9CA44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64F1F9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3564D6E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CF6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DD0054">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9D6C47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76B53BC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770C87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66F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F7C988">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76ED81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4A1D769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E36FDB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2F9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1AA613">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7B30CBA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6D40A3A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1DFEBF1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C7A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03C9D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3B8235D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5114246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258CE8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45C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FF016A">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7EA7DD9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3506EE9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09026CB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CFC63BB">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26EF671E">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lang w:eastAsia="zh-CN"/>
        </w:rPr>
        <w:t>；</w:t>
      </w:r>
    </w:p>
    <w:p w14:paraId="67E5AC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751B1BF">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19311C65">
      <w:pPr>
        <w:spacing w:line="360" w:lineRule="auto"/>
        <w:ind w:firstLine="420" w:firstLineChars="200"/>
        <w:rPr>
          <w:rFonts w:ascii="宋体" w:hAnsi="宋体" w:cs="宋体"/>
          <w:color w:val="auto"/>
          <w:highlight w:val="none"/>
        </w:rPr>
      </w:pPr>
      <w:r>
        <w:rPr>
          <w:rFonts w:ascii="宋体" w:hAnsi="宋体" w:cs="宋体"/>
          <w:color w:val="auto"/>
          <w:highlight w:val="none"/>
        </w:rPr>
        <w:t>100 万元 ×l.</w:t>
      </w:r>
      <w:r>
        <w:rPr>
          <w:rFonts w:hint="eastAsia" w:ascii="宋体" w:hAnsi="宋体" w:cs="宋体"/>
          <w:color w:val="auto"/>
          <w:highlight w:val="none"/>
        </w:rPr>
        <w:t>0</w:t>
      </w:r>
      <w:r>
        <w:rPr>
          <w:rFonts w:ascii="宋体" w:hAnsi="宋体" w:cs="宋体"/>
          <w:color w:val="auto"/>
          <w:highlight w:val="none"/>
        </w:rPr>
        <w:t xml:space="preserve"> %＝ 1.</w:t>
      </w:r>
      <w:r>
        <w:rPr>
          <w:rFonts w:hint="eastAsia" w:ascii="宋体" w:hAnsi="宋体" w:cs="宋体"/>
          <w:color w:val="auto"/>
          <w:highlight w:val="none"/>
        </w:rPr>
        <w:t>0</w:t>
      </w:r>
      <w:r>
        <w:rPr>
          <w:rFonts w:ascii="宋体" w:hAnsi="宋体" w:cs="宋体"/>
          <w:color w:val="auto"/>
          <w:highlight w:val="none"/>
        </w:rPr>
        <w:t>万元</w:t>
      </w:r>
    </w:p>
    <w:p w14:paraId="2710C3B5">
      <w:pPr>
        <w:spacing w:line="360" w:lineRule="auto"/>
        <w:ind w:firstLine="420" w:firstLineChars="200"/>
        <w:rPr>
          <w:rFonts w:ascii="宋体" w:hAnsi="宋体" w:cs="宋体"/>
          <w:color w:val="auto"/>
          <w:highlight w:val="none"/>
        </w:rPr>
      </w:pPr>
      <w:r>
        <w:rPr>
          <w:rFonts w:ascii="宋体" w:hAnsi="宋体" w:cs="宋体"/>
          <w:color w:val="auto"/>
          <w:highlight w:val="none"/>
        </w:rPr>
        <w:t>（ 150</w:t>
      </w:r>
      <w:r>
        <w:rPr>
          <w:rFonts w:hint="eastAsia" w:ascii="宋体" w:hAnsi="宋体" w:cs="宋体"/>
          <w:color w:val="auto"/>
          <w:highlight w:val="none"/>
        </w:rPr>
        <w:t>-</w:t>
      </w:r>
      <w:r>
        <w:rPr>
          <w:rFonts w:ascii="宋体" w:hAnsi="宋体" w:cs="宋体"/>
          <w:color w:val="auto"/>
          <w:highlight w:val="none"/>
        </w:rPr>
        <w:t>100 ）万元 ×0.</w:t>
      </w:r>
      <w:r>
        <w:rPr>
          <w:rFonts w:hint="eastAsia" w:ascii="宋体" w:hAnsi="宋体" w:cs="宋体"/>
          <w:color w:val="auto"/>
          <w:highlight w:val="none"/>
        </w:rPr>
        <w:t>7</w:t>
      </w:r>
      <w:r>
        <w:rPr>
          <w:rFonts w:ascii="宋体" w:hAnsi="宋体" w:cs="宋体"/>
          <w:color w:val="auto"/>
          <w:highlight w:val="none"/>
        </w:rPr>
        <w:t>%</w:t>
      </w:r>
      <w:r>
        <w:rPr>
          <w:rFonts w:hint="eastAsia" w:ascii="宋体" w:hAnsi="宋体" w:cs="宋体"/>
          <w:color w:val="auto"/>
          <w:highlight w:val="none"/>
        </w:rPr>
        <w:t xml:space="preserve"> </w:t>
      </w:r>
      <w:r>
        <w:rPr>
          <w:rFonts w:ascii="宋体" w:hAnsi="宋体" w:cs="宋体"/>
          <w:color w:val="auto"/>
          <w:highlight w:val="none"/>
        </w:rPr>
        <w:t>＝ 0.</w:t>
      </w:r>
      <w:r>
        <w:rPr>
          <w:rFonts w:hint="eastAsia" w:ascii="宋体" w:hAnsi="宋体" w:cs="宋体"/>
          <w:color w:val="auto"/>
          <w:highlight w:val="none"/>
        </w:rPr>
        <w:t>35</w:t>
      </w:r>
      <w:r>
        <w:rPr>
          <w:rFonts w:ascii="宋体" w:hAnsi="宋体" w:cs="宋体"/>
          <w:color w:val="auto"/>
          <w:highlight w:val="none"/>
        </w:rPr>
        <w:t>万元</w:t>
      </w:r>
    </w:p>
    <w:p w14:paraId="7632E87C">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w:t>
      </w:r>
      <w:r>
        <w:rPr>
          <w:rFonts w:hint="eastAsia" w:ascii="宋体" w:hAnsi="宋体" w:cs="宋体"/>
          <w:color w:val="auto"/>
          <w:highlight w:val="none"/>
        </w:rPr>
        <w:t xml:space="preserve">0 + </w:t>
      </w:r>
      <w:r>
        <w:rPr>
          <w:rFonts w:ascii="宋体" w:hAnsi="宋体" w:cs="宋体"/>
          <w:color w:val="auto"/>
          <w:highlight w:val="none"/>
        </w:rPr>
        <w:t>0.</w:t>
      </w:r>
      <w:r>
        <w:rPr>
          <w:rFonts w:hint="eastAsia" w:ascii="宋体" w:hAnsi="宋体" w:cs="宋体"/>
          <w:color w:val="auto"/>
          <w:highlight w:val="none"/>
        </w:rPr>
        <w:t xml:space="preserve">35 </w:t>
      </w:r>
      <w:r>
        <w:rPr>
          <w:rFonts w:ascii="宋体" w:hAnsi="宋体" w:cs="宋体"/>
          <w:color w:val="auto"/>
          <w:highlight w:val="none"/>
        </w:rPr>
        <w:t>＝ 1.</w:t>
      </w:r>
      <w:r>
        <w:rPr>
          <w:rFonts w:hint="eastAsia" w:ascii="宋体" w:hAnsi="宋体" w:cs="宋体"/>
          <w:color w:val="auto"/>
          <w:highlight w:val="none"/>
        </w:rPr>
        <w:t>35</w:t>
      </w:r>
      <w:r>
        <w:rPr>
          <w:rFonts w:ascii="宋体" w:hAnsi="宋体" w:cs="宋体"/>
          <w:color w:val="auto"/>
          <w:highlight w:val="none"/>
        </w:rPr>
        <w:t xml:space="preserve"> 万元</w:t>
      </w:r>
    </w:p>
    <w:p w14:paraId="5AA14FA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31B1622E">
      <w:pPr>
        <w:pStyle w:val="2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22C76EF">
      <w:pPr>
        <w:pStyle w:val="2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2A10B395">
      <w:pPr>
        <w:pStyle w:val="25"/>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25F998C8">
      <w:pPr>
        <w:pStyle w:val="2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E62C0B8">
      <w:pPr>
        <w:pStyle w:val="25"/>
        <w:spacing w:line="360" w:lineRule="auto"/>
        <w:ind w:firstLine="420" w:firstLineChars="200"/>
        <w:contextualSpacing/>
        <w:rPr>
          <w:rFonts w:hint="eastAsia" w:hAnsi="宋体" w:eastAsia="宋体"/>
          <w:color w:val="auto"/>
          <w:sz w:val="21"/>
          <w:highlight w:val="none"/>
          <w:lang w:eastAsia="zh-CN"/>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r>
        <w:rPr>
          <w:rFonts w:hint="eastAsia" w:hAnsi="宋体"/>
          <w:color w:val="auto"/>
          <w:sz w:val="21"/>
          <w:highlight w:val="none"/>
          <w:lang w:eastAsia="zh-CN"/>
        </w:rPr>
        <w:t>；</w:t>
      </w:r>
    </w:p>
    <w:p w14:paraId="2C143F66">
      <w:pPr>
        <w:pStyle w:val="25"/>
        <w:spacing w:line="360" w:lineRule="auto"/>
        <w:ind w:firstLine="420" w:firstLineChars="200"/>
        <w:contextualSpacing/>
        <w:rPr>
          <w:rFonts w:hint="eastAsia" w:hAnsi="宋体" w:eastAsia="宋体"/>
          <w:color w:val="auto"/>
          <w:sz w:val="21"/>
          <w:highlight w:val="none"/>
          <w:lang w:eastAsia="zh-CN"/>
        </w:rPr>
      </w:pPr>
      <w:r>
        <w:rPr>
          <w:rFonts w:hint="eastAsia" w:hAnsi="宋体"/>
          <w:color w:val="auto"/>
          <w:sz w:val="21"/>
          <w:highlight w:val="none"/>
        </w:rPr>
        <w:t>（2）在工程采购项目中，工程由中小企业承建，即工程施工单位为中小企业，不对其中涉及的货物的制造商和服务的承接商作出要求</w:t>
      </w:r>
      <w:r>
        <w:rPr>
          <w:rFonts w:hint="eastAsia" w:hAnsi="宋体"/>
          <w:color w:val="auto"/>
          <w:sz w:val="21"/>
          <w:highlight w:val="none"/>
          <w:lang w:eastAsia="zh-CN"/>
        </w:rPr>
        <w:t>；</w:t>
      </w:r>
    </w:p>
    <w:p w14:paraId="02083FA2">
      <w:pPr>
        <w:pStyle w:val="25"/>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4393022">
      <w:pPr>
        <w:pStyle w:val="25"/>
        <w:spacing w:line="360" w:lineRule="auto"/>
        <w:ind w:firstLine="420" w:firstLineChars="200"/>
        <w:contextualSpacing/>
        <w:rPr>
          <w:rFonts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14:paraId="4D1F0372">
      <w:pPr>
        <w:pStyle w:val="25"/>
        <w:spacing w:line="360" w:lineRule="auto"/>
        <w:ind w:firstLine="420" w:firstLineChars="200"/>
        <w:contextualSpacing/>
        <w:rPr>
          <w:rFonts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2A8DFD02">
      <w:pPr>
        <w:pStyle w:val="2"/>
        <w:spacing w:before="0" w:after="0" w:line="360" w:lineRule="auto"/>
        <w:jc w:val="center"/>
        <w:rPr>
          <w:color w:val="auto"/>
          <w:highlight w:val="none"/>
        </w:rPr>
      </w:pPr>
      <w:r>
        <w:rPr>
          <w:rFonts w:hAnsi="宋体"/>
          <w:b w:val="0"/>
          <w:color w:val="auto"/>
          <w:highlight w:val="none"/>
        </w:rPr>
        <w:br w:type="page"/>
      </w:r>
      <w:bookmarkStart w:id="68" w:name="_Toc122424246"/>
      <w:r>
        <w:rPr>
          <w:rFonts w:hint="eastAsia"/>
          <w:color w:val="auto"/>
          <w:highlight w:val="none"/>
        </w:rPr>
        <w:t>第三章 采购需求</w:t>
      </w:r>
      <w:bookmarkEnd w:id="68"/>
    </w:p>
    <w:p w14:paraId="4C60BBC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35A4AB5B">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72E99A5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1212B3F7">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p w14:paraId="41F09852">
      <w:pPr>
        <w:spacing w:line="360" w:lineRule="auto"/>
        <w:jc w:val="left"/>
        <w:rPr>
          <w:rFonts w:ascii="宋体" w:hAnsi="宋体" w:cs="Arial"/>
          <w:bCs/>
          <w:color w:val="auto"/>
          <w:szCs w:val="21"/>
          <w:highlight w:val="none"/>
          <w:u w:val="single"/>
        </w:rPr>
      </w:pPr>
    </w:p>
    <w:p w14:paraId="104983C7">
      <w:pPr>
        <w:spacing w:line="360" w:lineRule="auto"/>
        <w:jc w:val="left"/>
        <w:rPr>
          <w:rFonts w:ascii="宋体" w:hAnsi="宋体"/>
          <w:b/>
          <w:color w:val="auto"/>
          <w:szCs w:val="21"/>
          <w:highlight w:val="none"/>
        </w:rPr>
      </w:pPr>
      <w:r>
        <w:rPr>
          <w:rFonts w:hint="eastAsia" w:ascii="宋体" w:hAnsi="宋体"/>
          <w:b/>
          <w:color w:val="auto"/>
          <w:szCs w:val="21"/>
          <w:highlight w:val="none"/>
        </w:rPr>
        <w:t>所属行业：</w:t>
      </w:r>
      <w:r>
        <w:rPr>
          <w:rFonts w:hint="eastAsia" w:ascii="宋体" w:hAnsi="宋体"/>
          <w:b/>
          <w:color w:val="auto"/>
          <w:szCs w:val="21"/>
          <w:highlight w:val="none"/>
          <w:u w:val="single"/>
        </w:rPr>
        <w:t>建筑业</w:t>
      </w:r>
    </w:p>
    <w:tbl>
      <w:tblPr>
        <w:tblStyle w:val="43"/>
        <w:tblW w:w="9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610"/>
        <w:gridCol w:w="183"/>
        <w:gridCol w:w="568"/>
        <w:gridCol w:w="328"/>
        <w:gridCol w:w="6377"/>
        <w:gridCol w:w="46"/>
      </w:tblGrid>
      <w:tr w14:paraId="4FEBF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6" w:type="dxa"/>
          <w:trHeight w:val="824" w:hRule="atLeast"/>
          <w:jc w:val="center"/>
        </w:trPr>
        <w:tc>
          <w:tcPr>
            <w:tcW w:w="682" w:type="dxa"/>
            <w:vAlign w:val="center"/>
          </w:tcPr>
          <w:p w14:paraId="144A7AF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93" w:type="dxa"/>
            <w:gridSpan w:val="2"/>
            <w:vAlign w:val="center"/>
          </w:tcPr>
          <w:p w14:paraId="62DF3E1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96" w:type="dxa"/>
            <w:gridSpan w:val="2"/>
            <w:vAlign w:val="center"/>
          </w:tcPr>
          <w:p w14:paraId="7325C3E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377" w:type="dxa"/>
            <w:vAlign w:val="center"/>
          </w:tcPr>
          <w:p w14:paraId="747FF9A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562B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6" w:type="dxa"/>
          <w:trHeight w:val="1266" w:hRule="atLeast"/>
          <w:jc w:val="center"/>
        </w:trPr>
        <w:tc>
          <w:tcPr>
            <w:tcW w:w="682" w:type="dxa"/>
            <w:vAlign w:val="center"/>
          </w:tcPr>
          <w:p w14:paraId="3509B0B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93" w:type="dxa"/>
            <w:gridSpan w:val="2"/>
            <w:vAlign w:val="center"/>
          </w:tcPr>
          <w:p w14:paraId="5B50E92F">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钦州市第十六中学运动场</w:t>
            </w:r>
          </w:p>
        </w:tc>
        <w:tc>
          <w:tcPr>
            <w:tcW w:w="896" w:type="dxa"/>
            <w:gridSpan w:val="2"/>
            <w:vAlign w:val="center"/>
          </w:tcPr>
          <w:p w14:paraId="100D1BF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377" w:type="dxa"/>
            <w:vAlign w:val="center"/>
          </w:tcPr>
          <w:p w14:paraId="54051221">
            <w:pPr>
              <w:spacing w:line="360" w:lineRule="auto"/>
              <w:rPr>
                <w:rFonts w:ascii="宋体" w:hAnsi="宋体"/>
                <w:color w:val="auto"/>
                <w:szCs w:val="21"/>
                <w:highlight w:val="none"/>
              </w:rPr>
            </w:pPr>
            <w:r>
              <w:rPr>
                <w:rFonts w:hint="eastAsia" w:ascii="宋体" w:hAnsi="宋体"/>
                <w:b/>
                <w:bCs/>
                <w:color w:val="auto"/>
                <w:szCs w:val="21"/>
                <w:highlight w:val="none"/>
              </w:rPr>
              <w:t>一、建设地点：</w:t>
            </w:r>
            <w:r>
              <w:rPr>
                <w:rFonts w:hint="eastAsia"/>
                <w:color w:val="auto"/>
                <w:highlight w:val="none"/>
              </w:rPr>
              <w:t>钦州市第十六中学</w:t>
            </w:r>
            <w:r>
              <w:rPr>
                <w:rFonts w:hint="eastAsia"/>
                <w:color w:val="auto"/>
                <w:highlight w:val="none"/>
                <w:lang w:eastAsia="zh-CN"/>
              </w:rPr>
              <w:t>校园内</w:t>
            </w:r>
            <w:r>
              <w:rPr>
                <w:rFonts w:hint="eastAsia" w:ascii="宋体" w:hAnsi="宋体"/>
                <w:color w:val="auto"/>
                <w:szCs w:val="21"/>
                <w:highlight w:val="none"/>
              </w:rPr>
              <w:t>。</w:t>
            </w:r>
          </w:p>
          <w:p w14:paraId="7E4D3808">
            <w:pPr>
              <w:spacing w:line="360" w:lineRule="auto"/>
              <w:rPr>
                <w:rFonts w:ascii="宋体" w:hAnsi="宋体"/>
                <w:b/>
                <w:bCs/>
                <w:color w:val="auto"/>
                <w:szCs w:val="21"/>
                <w:highlight w:val="none"/>
              </w:rPr>
            </w:pPr>
            <w:r>
              <w:rPr>
                <w:rFonts w:hint="eastAsia" w:ascii="宋体" w:hAnsi="宋体"/>
                <w:b/>
                <w:bCs/>
                <w:color w:val="auto"/>
                <w:szCs w:val="21"/>
                <w:highlight w:val="none"/>
              </w:rPr>
              <w:t>二、工程概况：</w:t>
            </w:r>
          </w:p>
          <w:p w14:paraId="2FEC7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本项目建设内容为：运动场上铺环形塑胶跑道、足球场铺人工草坪。</w:t>
            </w:r>
          </w:p>
          <w:p w14:paraId="08E0E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建设规模为：运动场现状是400米标准足球场，在原有混凝土上铺环形塑胶跑道面积为4693.52平方米，足球场铺人工草坪面积为10536.38平方米。</w:t>
            </w:r>
          </w:p>
          <w:p w14:paraId="2C89A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highlight w:val="none"/>
              </w:rPr>
              <w:t>具体内容详见图纸及工程量清单</w:t>
            </w:r>
            <w:r>
              <w:rPr>
                <w:rFonts w:hint="eastAsia" w:ascii="宋体" w:hAnsi="宋体"/>
                <w:color w:val="auto"/>
                <w:szCs w:val="21"/>
                <w:highlight w:val="none"/>
              </w:rPr>
              <w:t>。</w:t>
            </w:r>
          </w:p>
          <w:p w14:paraId="5DC6930B">
            <w:pPr>
              <w:spacing w:line="360" w:lineRule="auto"/>
              <w:rPr>
                <w:rFonts w:hint="eastAsia" w:ascii="宋体" w:hAnsi="宋体" w:eastAsia="宋体"/>
                <w:color w:val="auto"/>
                <w:highlight w:val="none"/>
                <w:lang w:eastAsia="zh-CN"/>
              </w:rPr>
            </w:pPr>
            <w:r>
              <w:rPr>
                <w:rFonts w:hint="eastAsia" w:ascii="宋体" w:hAnsi="宋体"/>
                <w:b/>
                <w:bCs/>
                <w:color w:val="auto"/>
                <w:szCs w:val="21"/>
                <w:highlight w:val="none"/>
              </w:rPr>
              <w:t>三、工程质量要求：</w:t>
            </w:r>
            <w:r>
              <w:rPr>
                <w:rFonts w:hint="eastAsia" w:ascii="宋体" w:hAnsi="宋体" w:cs="宋体"/>
                <w:color w:val="auto"/>
                <w:szCs w:val="21"/>
                <w:highlight w:val="none"/>
              </w:rPr>
              <w:t>达到国家施工验收规范合格标准要求</w:t>
            </w:r>
            <w:r>
              <w:rPr>
                <w:rFonts w:hint="eastAsia" w:ascii="宋体" w:hAnsi="宋体" w:cs="宋体"/>
                <w:color w:val="auto"/>
                <w:szCs w:val="21"/>
                <w:highlight w:val="none"/>
                <w:lang w:eastAsia="zh-CN"/>
              </w:rPr>
              <w:t>。</w:t>
            </w:r>
          </w:p>
          <w:p w14:paraId="03A6B202">
            <w:pPr>
              <w:spacing w:line="360" w:lineRule="auto"/>
              <w:rPr>
                <w:rFonts w:ascii="宋体" w:hAnsi="宋体" w:cs="宋体"/>
                <w:b/>
                <w:color w:val="auto"/>
                <w:sz w:val="24"/>
                <w:highlight w:val="none"/>
              </w:rPr>
            </w:pPr>
            <w:r>
              <w:rPr>
                <w:rFonts w:hint="eastAsia" w:ascii="宋体" w:hAnsi="宋体" w:cs="宋体"/>
                <w:b/>
                <w:color w:val="auto"/>
                <w:sz w:val="24"/>
                <w:highlight w:val="none"/>
              </w:rPr>
              <w:t>四、具体需求内容详见工程量清单（另册发放）</w:t>
            </w:r>
            <w:bookmarkStart w:id="69" w:name="_Toc333607989"/>
          </w:p>
          <w:p w14:paraId="7B3D25A0">
            <w:pPr>
              <w:spacing w:line="360" w:lineRule="auto"/>
              <w:rPr>
                <w:rFonts w:ascii="宋体" w:hAnsi="宋体" w:cs="宋体"/>
                <w:b/>
                <w:color w:val="auto"/>
                <w:sz w:val="24"/>
                <w:highlight w:val="none"/>
              </w:rPr>
            </w:pPr>
            <w:r>
              <w:rPr>
                <w:rFonts w:hint="eastAsia" w:ascii="宋体" w:hAnsi="宋体" w:cs="宋体"/>
                <w:b/>
                <w:color w:val="auto"/>
                <w:sz w:val="24"/>
                <w:highlight w:val="none"/>
              </w:rPr>
              <w:t>五、单价说明：</w:t>
            </w:r>
          </w:p>
          <w:bookmarkEnd w:id="69"/>
          <w:p w14:paraId="4C861C6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ascii="宋体" w:hAnsi="宋体"/>
                <w:color w:val="auto"/>
                <w:szCs w:val="21"/>
                <w:highlight w:val="none"/>
              </w:rPr>
              <w:t>材料价格按《钦州市建设工程造价信息》2025年6月份(有上、下半月的取下半月)钦州市的材料价格计取，钦州市信息价没有的参考《南宁建设工程造价信息》2025年第6期下半月刊材料价或按市场调查价格。</w:t>
            </w:r>
          </w:p>
        </w:tc>
      </w:tr>
      <w:tr w14:paraId="29A5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9748" w:type="dxa"/>
            <w:gridSpan w:val="6"/>
            <w:tcBorders>
              <w:top w:val="single" w:color="auto" w:sz="4" w:space="0"/>
              <w:left w:val="single" w:color="auto" w:sz="4" w:space="0"/>
              <w:bottom w:val="single" w:color="auto" w:sz="4" w:space="0"/>
              <w:right w:val="single" w:color="auto" w:sz="4" w:space="0"/>
            </w:tcBorders>
          </w:tcPr>
          <w:p w14:paraId="11AE3E61">
            <w:pPr>
              <w:spacing w:line="360" w:lineRule="auto"/>
              <w:rPr>
                <w:rFonts w:ascii="宋体" w:hAnsi="宋体"/>
                <w:color w:val="auto"/>
                <w:szCs w:val="21"/>
                <w:highlight w:val="none"/>
              </w:rPr>
            </w:pPr>
            <w:r>
              <w:rPr>
                <w:rFonts w:hint="eastAsia" w:ascii="宋体" w:hAnsi="宋体"/>
                <w:b/>
                <w:color w:val="auto"/>
                <w:szCs w:val="21"/>
                <w:highlight w:val="none"/>
              </w:rPr>
              <w:t>一、商务要求</w:t>
            </w:r>
          </w:p>
        </w:tc>
      </w:tr>
      <w:tr w14:paraId="02214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43" w:type="dxa"/>
            <w:gridSpan w:val="4"/>
            <w:tcBorders>
              <w:top w:val="single" w:color="auto" w:sz="4" w:space="0"/>
              <w:left w:val="single" w:color="auto" w:sz="4" w:space="0"/>
              <w:bottom w:val="single" w:color="auto" w:sz="4" w:space="0"/>
              <w:right w:val="single" w:color="auto" w:sz="4" w:space="0"/>
            </w:tcBorders>
            <w:vAlign w:val="center"/>
          </w:tcPr>
          <w:p w14:paraId="0A3C5BB3">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计划工期</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0AD6F9E2">
            <w:pPr>
              <w:rPr>
                <w:rFonts w:ascii="宋体" w:hAnsi="宋体"/>
                <w:b/>
                <w:color w:val="auto"/>
                <w:szCs w:val="21"/>
                <w:highlight w:val="none"/>
              </w:rPr>
            </w:pPr>
            <w:r>
              <w:rPr>
                <w:rFonts w:hint="eastAsia" w:ascii="宋体" w:hAnsi="宋体"/>
                <w:color w:val="auto"/>
                <w:highlight w:val="none"/>
                <w:lang w:val="en-US" w:eastAsia="zh-CN"/>
              </w:rPr>
              <w:t>90</w:t>
            </w:r>
            <w:r>
              <w:rPr>
                <w:rFonts w:hint="eastAsia" w:ascii="宋体" w:hAnsi="宋体"/>
                <w:color w:val="auto"/>
                <w:highlight w:val="none"/>
                <w:lang w:val="zh-CN"/>
              </w:rPr>
              <w:t>日历天</w:t>
            </w:r>
            <w:r>
              <w:rPr>
                <w:rFonts w:ascii="宋体" w:hAnsi="宋体"/>
                <w:color w:val="auto"/>
                <w:highlight w:val="none"/>
                <w:lang w:val="zh-CN"/>
              </w:rPr>
              <w:t>。</w:t>
            </w:r>
          </w:p>
        </w:tc>
      </w:tr>
      <w:tr w14:paraId="59090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43" w:type="dxa"/>
            <w:gridSpan w:val="4"/>
            <w:tcBorders>
              <w:top w:val="single" w:color="auto" w:sz="4" w:space="0"/>
              <w:left w:val="single" w:color="auto" w:sz="4" w:space="0"/>
              <w:bottom w:val="single" w:color="auto" w:sz="4" w:space="0"/>
              <w:right w:val="single" w:color="auto" w:sz="4" w:space="0"/>
            </w:tcBorders>
            <w:vAlign w:val="center"/>
          </w:tcPr>
          <w:p w14:paraId="7BA5C305">
            <w:pPr>
              <w:spacing w:line="360" w:lineRule="auto"/>
              <w:rPr>
                <w:rFonts w:ascii="宋体" w:hAnsi="宋体"/>
                <w:color w:val="auto"/>
                <w:szCs w:val="21"/>
                <w:highlight w:val="none"/>
              </w:rPr>
            </w:pPr>
            <w:r>
              <w:rPr>
                <w:rFonts w:hint="eastAsia" w:ascii="宋体" w:hAnsi="宋体"/>
                <w:color w:val="auto"/>
                <w:szCs w:val="21"/>
                <w:highlight w:val="none"/>
              </w:rPr>
              <w:t>▲建设地点</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19F60AAC">
            <w:pPr>
              <w:spacing w:line="360" w:lineRule="auto"/>
              <w:rPr>
                <w:rFonts w:ascii="宋体" w:hAnsi="宋体"/>
                <w:color w:val="auto"/>
                <w:szCs w:val="21"/>
                <w:highlight w:val="none"/>
              </w:rPr>
            </w:pPr>
            <w:r>
              <w:rPr>
                <w:rFonts w:hint="eastAsia"/>
                <w:color w:val="auto"/>
                <w:highlight w:val="none"/>
              </w:rPr>
              <w:t>钦州市第十六中学校园内</w:t>
            </w:r>
            <w:r>
              <w:rPr>
                <w:rFonts w:hint="eastAsia" w:ascii="宋体" w:hAnsi="宋体"/>
                <w:color w:val="auto"/>
                <w:szCs w:val="21"/>
                <w:highlight w:val="none"/>
              </w:rPr>
              <w:t>。</w:t>
            </w:r>
          </w:p>
        </w:tc>
      </w:tr>
      <w:tr w14:paraId="2BB7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43" w:type="dxa"/>
            <w:gridSpan w:val="4"/>
            <w:tcBorders>
              <w:top w:val="single" w:color="auto" w:sz="4" w:space="0"/>
              <w:left w:val="single" w:color="auto" w:sz="4" w:space="0"/>
              <w:bottom w:val="single" w:color="auto" w:sz="4" w:space="0"/>
              <w:right w:val="single" w:color="auto" w:sz="4" w:space="0"/>
            </w:tcBorders>
            <w:vAlign w:val="center"/>
          </w:tcPr>
          <w:p w14:paraId="2BDA339E">
            <w:pPr>
              <w:spacing w:line="360" w:lineRule="auto"/>
              <w:rPr>
                <w:rFonts w:ascii="宋体" w:hAnsi="宋体"/>
                <w:b/>
                <w:color w:val="auto"/>
                <w:szCs w:val="21"/>
                <w:highlight w:val="none"/>
              </w:rPr>
            </w:pPr>
            <w:r>
              <w:rPr>
                <w:rFonts w:hint="eastAsia" w:ascii="宋体" w:hAnsi="宋体"/>
                <w:color w:val="auto"/>
                <w:szCs w:val="21"/>
                <w:highlight w:val="none"/>
              </w:rPr>
              <w:t>▲合同签订时间</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4AA19F9F">
            <w:pPr>
              <w:spacing w:line="360" w:lineRule="auto"/>
              <w:rPr>
                <w:rFonts w:ascii="宋体" w:hAnsi="宋体"/>
                <w:b/>
                <w:color w:val="auto"/>
                <w:szCs w:val="21"/>
                <w:highlight w:val="none"/>
              </w:rPr>
            </w:pPr>
            <w:r>
              <w:rPr>
                <w:rFonts w:hint="eastAsia" w:ascii="宋体" w:hAnsi="宋体"/>
                <w:color w:val="auto"/>
                <w:szCs w:val="21"/>
                <w:highlight w:val="none"/>
              </w:rPr>
              <w:t>自成交通知书发出之日起</w:t>
            </w:r>
            <w:r>
              <w:rPr>
                <w:rFonts w:hint="eastAsia" w:ascii="宋体" w:hAnsi="宋体"/>
                <w:color w:val="auto"/>
                <w:szCs w:val="21"/>
                <w:highlight w:val="none"/>
                <w:u w:val="single"/>
              </w:rPr>
              <w:t xml:space="preserve"> 25 </w:t>
            </w:r>
            <w:r>
              <w:rPr>
                <w:rFonts w:hint="eastAsia" w:ascii="宋体" w:hAnsi="宋体"/>
                <w:color w:val="auto"/>
                <w:szCs w:val="21"/>
                <w:highlight w:val="none"/>
              </w:rPr>
              <w:t>日内。</w:t>
            </w:r>
          </w:p>
        </w:tc>
      </w:tr>
      <w:tr w14:paraId="08B6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43" w:type="dxa"/>
            <w:gridSpan w:val="4"/>
            <w:tcBorders>
              <w:top w:val="single" w:color="auto" w:sz="4" w:space="0"/>
              <w:left w:val="single" w:color="auto" w:sz="4" w:space="0"/>
              <w:bottom w:val="single" w:color="auto" w:sz="4" w:space="0"/>
              <w:right w:val="single" w:color="auto" w:sz="4" w:space="0"/>
            </w:tcBorders>
            <w:vAlign w:val="center"/>
          </w:tcPr>
          <w:p w14:paraId="48F59A5E">
            <w:pPr>
              <w:spacing w:line="360" w:lineRule="auto"/>
              <w:rPr>
                <w:rFonts w:ascii="宋体" w:hAnsi="宋体"/>
                <w:b/>
                <w:color w:val="auto"/>
                <w:szCs w:val="21"/>
                <w:highlight w:val="none"/>
              </w:rPr>
            </w:pPr>
            <w:r>
              <w:rPr>
                <w:rFonts w:hint="eastAsia" w:ascii="宋体" w:hAnsi="宋体"/>
                <w:color w:val="auto"/>
                <w:szCs w:val="21"/>
                <w:highlight w:val="none"/>
              </w:rPr>
              <w:t>▲付款条件（进度和方式）</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486EE212">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工程进度款支付预付款</w:t>
            </w:r>
            <w:r>
              <w:rPr>
                <w:rFonts w:hint="eastAsia" w:ascii="宋体" w:hAnsi="宋体"/>
                <w:color w:val="auto"/>
                <w:szCs w:val="21"/>
                <w:highlight w:val="none"/>
                <w:lang w:eastAsia="zh-CN"/>
              </w:rPr>
              <w:t>：</w:t>
            </w:r>
            <w:r>
              <w:rPr>
                <w:rFonts w:hint="eastAsia" w:ascii="宋体" w:hAnsi="宋体"/>
                <w:color w:val="auto"/>
                <w:szCs w:val="21"/>
                <w:highlight w:val="none"/>
              </w:rPr>
              <w:t>无。</w:t>
            </w:r>
          </w:p>
          <w:p w14:paraId="6048C635">
            <w:pPr>
              <w:spacing w:line="360" w:lineRule="auto"/>
              <w:ind w:firstLine="420"/>
              <w:rPr>
                <w:rFonts w:ascii="宋体" w:hAnsi="宋体"/>
                <w:color w:val="auto"/>
                <w:szCs w:val="21"/>
                <w:highlight w:val="none"/>
              </w:rPr>
            </w:pPr>
            <w:r>
              <w:rPr>
                <w:rFonts w:hint="eastAsia" w:ascii="宋体" w:hAnsi="宋体"/>
                <w:color w:val="auto"/>
                <w:szCs w:val="21"/>
                <w:highlight w:val="none"/>
              </w:rPr>
              <w:t>付款周期：工程进度完成工程量的</w:t>
            </w:r>
            <w:r>
              <w:rPr>
                <w:rFonts w:hint="eastAsia" w:ascii="宋体" w:hAnsi="宋体"/>
                <w:color w:val="auto"/>
                <w:szCs w:val="21"/>
                <w:highlight w:val="none"/>
                <w:lang w:val="en-US" w:eastAsia="zh-CN"/>
              </w:rPr>
              <w:t>3</w:t>
            </w:r>
            <w:r>
              <w:rPr>
                <w:rFonts w:hint="eastAsia" w:ascii="宋体" w:hAnsi="宋体"/>
                <w:color w:val="auto"/>
                <w:szCs w:val="21"/>
                <w:highlight w:val="none"/>
              </w:rPr>
              <w:t>0%支付至合同总价款的</w:t>
            </w:r>
            <w:r>
              <w:rPr>
                <w:rFonts w:hint="eastAsia" w:ascii="宋体" w:hAnsi="宋体"/>
                <w:color w:val="auto"/>
                <w:szCs w:val="21"/>
                <w:highlight w:val="none"/>
                <w:lang w:val="en-US" w:eastAsia="zh-CN"/>
              </w:rPr>
              <w:t>3</w:t>
            </w:r>
            <w:r>
              <w:rPr>
                <w:rFonts w:hint="eastAsia" w:ascii="宋体" w:hAnsi="宋体"/>
                <w:color w:val="auto"/>
                <w:szCs w:val="21"/>
                <w:highlight w:val="none"/>
              </w:rPr>
              <w:t>0%；工程竣工验收合格后20个工作日内，工程进度款支付至完成合同总价款的</w:t>
            </w:r>
            <w:r>
              <w:rPr>
                <w:rFonts w:hint="eastAsia" w:ascii="宋体" w:hAnsi="宋体"/>
                <w:color w:val="auto"/>
                <w:szCs w:val="21"/>
                <w:highlight w:val="none"/>
                <w:lang w:val="en-US" w:eastAsia="zh-CN"/>
              </w:rPr>
              <w:t>8</w:t>
            </w:r>
            <w:r>
              <w:rPr>
                <w:rFonts w:hint="eastAsia" w:ascii="宋体" w:hAnsi="宋体"/>
                <w:color w:val="auto"/>
                <w:szCs w:val="21"/>
                <w:highlight w:val="none"/>
              </w:rPr>
              <w:t>0%；竣工结算经审计部门审计后，工程款支付至项目审定结算价款的</w:t>
            </w:r>
            <w:r>
              <w:rPr>
                <w:rFonts w:hint="eastAsia" w:ascii="宋体" w:hAnsi="宋体"/>
                <w:color w:val="auto"/>
                <w:szCs w:val="21"/>
                <w:highlight w:val="none"/>
                <w:lang w:val="en-US" w:eastAsia="zh-CN"/>
              </w:rPr>
              <w:t>97</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hAnsi="宋体"/>
                <w:bCs/>
                <w:color w:val="auto"/>
                <w:szCs w:val="21"/>
                <w:highlight w:val="none"/>
              </w:rPr>
              <w:t>预留</w:t>
            </w:r>
            <w:r>
              <w:rPr>
                <w:rFonts w:hAnsi="宋体"/>
                <w:bCs/>
                <w:color w:val="auto"/>
                <w:szCs w:val="21"/>
                <w:highlight w:val="none"/>
              </w:rPr>
              <w:t>结算总价</w:t>
            </w:r>
            <w:r>
              <w:rPr>
                <w:rFonts w:hint="eastAsia" w:hAnsi="宋体"/>
                <w:bCs/>
                <w:color w:val="auto"/>
                <w:szCs w:val="21"/>
                <w:highlight w:val="none"/>
              </w:rPr>
              <w:t>的</w:t>
            </w:r>
            <w:r>
              <w:rPr>
                <w:rFonts w:hint="eastAsia"/>
                <w:bCs/>
                <w:color w:val="auto"/>
                <w:szCs w:val="21"/>
                <w:highlight w:val="none"/>
              </w:rPr>
              <w:t>3%作为质量</w:t>
            </w:r>
            <w:r>
              <w:rPr>
                <w:rFonts w:hint="eastAsia" w:hAnsi="宋体"/>
                <w:bCs/>
                <w:color w:val="auto"/>
                <w:szCs w:val="21"/>
                <w:highlight w:val="none"/>
              </w:rPr>
              <w:t>保证金</w:t>
            </w:r>
            <w:r>
              <w:rPr>
                <w:rFonts w:ascii="宋体" w:hAnsi="宋体"/>
                <w:color w:val="auto"/>
                <w:szCs w:val="21"/>
                <w:highlight w:val="none"/>
              </w:rPr>
              <w:t>，待工程</w:t>
            </w:r>
            <w:r>
              <w:rPr>
                <w:rFonts w:hint="eastAsia" w:ascii="宋体" w:hAnsi="宋体"/>
                <w:color w:val="auto"/>
                <w:szCs w:val="21"/>
                <w:highlight w:val="none"/>
              </w:rPr>
              <w:t>缺陷责任</w:t>
            </w:r>
            <w:r>
              <w:rPr>
                <w:rFonts w:ascii="宋体" w:hAnsi="宋体"/>
                <w:color w:val="auto"/>
                <w:szCs w:val="21"/>
                <w:highlight w:val="none"/>
              </w:rPr>
              <w:t>期满后</w:t>
            </w:r>
            <w:r>
              <w:rPr>
                <w:rFonts w:hint="eastAsia" w:ascii="宋体" w:hAnsi="宋体"/>
                <w:color w:val="auto"/>
                <w:szCs w:val="21"/>
                <w:highlight w:val="none"/>
              </w:rPr>
              <w:t>由</w:t>
            </w:r>
            <w:r>
              <w:rPr>
                <w:rFonts w:ascii="宋体" w:hAnsi="宋体"/>
                <w:color w:val="auto"/>
                <w:szCs w:val="21"/>
                <w:highlight w:val="none"/>
              </w:rPr>
              <w:t>成交供应商申请退还，</w:t>
            </w:r>
            <w:r>
              <w:rPr>
                <w:rFonts w:hint="eastAsia" w:ascii="宋体" w:hAnsi="宋体"/>
                <w:color w:val="auto"/>
                <w:szCs w:val="21"/>
                <w:highlight w:val="none"/>
              </w:rPr>
              <w:t>采购人</w:t>
            </w:r>
            <w:r>
              <w:rPr>
                <w:rFonts w:ascii="宋体" w:hAnsi="宋体"/>
                <w:color w:val="auto"/>
                <w:szCs w:val="21"/>
                <w:highlight w:val="none"/>
              </w:rPr>
              <w:t>一次性无息返还。</w:t>
            </w:r>
            <w:r>
              <w:rPr>
                <w:rFonts w:hint="eastAsia" w:ascii="宋体" w:hAnsi="宋体"/>
                <w:color w:val="auto"/>
                <w:szCs w:val="21"/>
                <w:highlight w:val="none"/>
                <w:lang w:val="en-US" w:eastAsia="zh-CN"/>
              </w:rPr>
              <w:t>采购人</w:t>
            </w:r>
            <w:r>
              <w:rPr>
                <w:rFonts w:hint="eastAsia" w:ascii="宋体" w:hAnsi="宋体"/>
                <w:color w:val="auto"/>
                <w:szCs w:val="21"/>
                <w:highlight w:val="none"/>
              </w:rPr>
              <w:t>每次付款前，</w:t>
            </w:r>
            <w:r>
              <w:rPr>
                <w:rFonts w:hint="eastAsia" w:ascii="宋体" w:hAnsi="宋体"/>
                <w:color w:val="auto"/>
                <w:szCs w:val="21"/>
                <w:highlight w:val="none"/>
                <w:lang w:val="en-US" w:eastAsia="zh-CN"/>
              </w:rPr>
              <w:t>成交供应商</w:t>
            </w:r>
            <w:r>
              <w:rPr>
                <w:rFonts w:hint="eastAsia" w:ascii="宋体" w:hAnsi="宋体"/>
                <w:color w:val="auto"/>
                <w:szCs w:val="21"/>
                <w:highlight w:val="none"/>
              </w:rPr>
              <w:t>应向</w:t>
            </w:r>
            <w:r>
              <w:rPr>
                <w:rFonts w:hint="eastAsia" w:ascii="宋体" w:hAnsi="宋体"/>
                <w:color w:val="auto"/>
                <w:szCs w:val="21"/>
                <w:highlight w:val="none"/>
                <w:lang w:val="en-US" w:eastAsia="zh-CN"/>
              </w:rPr>
              <w:t>采购人</w:t>
            </w:r>
            <w:r>
              <w:rPr>
                <w:rFonts w:hint="eastAsia" w:ascii="宋体" w:hAnsi="宋体"/>
                <w:color w:val="auto"/>
                <w:szCs w:val="21"/>
                <w:highlight w:val="none"/>
              </w:rPr>
              <w:t>开具同等金额的增值税专用发票，否则，</w:t>
            </w:r>
            <w:r>
              <w:rPr>
                <w:rFonts w:hint="eastAsia" w:ascii="宋体" w:hAnsi="宋体"/>
                <w:color w:val="auto"/>
                <w:szCs w:val="21"/>
                <w:highlight w:val="none"/>
                <w:lang w:val="en-US" w:eastAsia="zh-CN"/>
              </w:rPr>
              <w:t>采购人</w:t>
            </w:r>
            <w:r>
              <w:rPr>
                <w:rFonts w:hint="eastAsia" w:ascii="宋体" w:hAnsi="宋体"/>
                <w:color w:val="auto"/>
                <w:szCs w:val="21"/>
                <w:highlight w:val="none"/>
              </w:rPr>
              <w:t>有权顺延付款。</w:t>
            </w:r>
            <w:r>
              <w:rPr>
                <w:rFonts w:hint="eastAsia" w:ascii="宋体" w:hAnsi="宋体"/>
                <w:color w:val="auto"/>
                <w:szCs w:val="21"/>
                <w:highlight w:val="none"/>
                <w:lang w:val="en-US" w:eastAsia="zh-CN"/>
              </w:rPr>
              <w:t>成交供应商</w:t>
            </w:r>
            <w:r>
              <w:rPr>
                <w:rFonts w:hint="eastAsia" w:ascii="宋体" w:hAnsi="宋体"/>
                <w:color w:val="auto"/>
                <w:szCs w:val="21"/>
                <w:highlight w:val="none"/>
              </w:rPr>
              <w:t>知晓</w:t>
            </w:r>
            <w:r>
              <w:rPr>
                <w:rFonts w:hint="eastAsia" w:ascii="宋体" w:hAnsi="宋体"/>
                <w:color w:val="auto"/>
                <w:szCs w:val="21"/>
                <w:highlight w:val="none"/>
                <w:lang w:val="en-US" w:eastAsia="zh-CN"/>
              </w:rPr>
              <w:t>采购人</w:t>
            </w:r>
            <w:r>
              <w:rPr>
                <w:rFonts w:hint="eastAsia" w:ascii="宋体" w:hAnsi="宋体"/>
                <w:color w:val="auto"/>
                <w:szCs w:val="21"/>
                <w:highlight w:val="none"/>
              </w:rPr>
              <w:t>的费用来源于财政拨付及支付项目款项流程，如因财政拨付的原因导致延迟支付，</w:t>
            </w:r>
            <w:r>
              <w:rPr>
                <w:rFonts w:hint="eastAsia" w:ascii="宋体" w:hAnsi="宋体"/>
                <w:color w:val="auto"/>
                <w:szCs w:val="21"/>
                <w:highlight w:val="none"/>
                <w:lang w:val="en-US" w:eastAsia="zh-CN"/>
              </w:rPr>
              <w:t>成交供应商</w:t>
            </w:r>
            <w:r>
              <w:rPr>
                <w:rFonts w:hint="eastAsia" w:ascii="宋体" w:hAnsi="宋体"/>
                <w:color w:val="auto"/>
                <w:szCs w:val="21"/>
                <w:highlight w:val="none"/>
              </w:rPr>
              <w:t>承诺不因进度款延迟支付而停工，承诺放弃向</w:t>
            </w:r>
            <w:r>
              <w:rPr>
                <w:rFonts w:hint="eastAsia" w:ascii="宋体" w:hAnsi="宋体"/>
                <w:color w:val="auto"/>
                <w:szCs w:val="21"/>
                <w:highlight w:val="none"/>
                <w:lang w:val="en-US" w:eastAsia="zh-CN"/>
              </w:rPr>
              <w:t>采购人</w:t>
            </w:r>
            <w:r>
              <w:rPr>
                <w:rFonts w:hint="eastAsia" w:ascii="宋体" w:hAnsi="宋体"/>
                <w:color w:val="auto"/>
                <w:szCs w:val="21"/>
                <w:highlight w:val="none"/>
              </w:rPr>
              <w:t>主张违约金或赔偿款之请求。</w:t>
            </w:r>
          </w:p>
        </w:tc>
      </w:tr>
      <w:tr w14:paraId="5685C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3043" w:type="dxa"/>
            <w:gridSpan w:val="4"/>
            <w:tcBorders>
              <w:top w:val="single" w:color="auto" w:sz="4" w:space="0"/>
              <w:left w:val="single" w:color="auto" w:sz="4" w:space="0"/>
              <w:bottom w:val="single" w:color="auto" w:sz="4" w:space="0"/>
              <w:right w:val="single" w:color="auto" w:sz="4" w:space="0"/>
            </w:tcBorders>
            <w:vAlign w:val="center"/>
          </w:tcPr>
          <w:p w14:paraId="389CBEEF">
            <w:pPr>
              <w:spacing w:line="360" w:lineRule="auto"/>
              <w:rPr>
                <w:rFonts w:ascii="宋体" w:hAnsi="宋体"/>
                <w:color w:val="auto"/>
                <w:szCs w:val="21"/>
                <w:highlight w:val="none"/>
              </w:rPr>
            </w:pPr>
            <w:r>
              <w:rPr>
                <w:rFonts w:hint="eastAsia" w:ascii="宋体" w:hAnsi="宋体"/>
                <w:color w:val="auto"/>
                <w:szCs w:val="21"/>
                <w:highlight w:val="none"/>
              </w:rPr>
              <w:t>▲验收标准</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5EEF7989">
            <w:pPr>
              <w:spacing w:line="360" w:lineRule="auto"/>
              <w:rPr>
                <w:rFonts w:ascii="宋体" w:hAnsi="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25714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6" w:type="dxa"/>
          <w:jc w:val="center"/>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D0E23B1">
            <w:pPr>
              <w:spacing w:line="360" w:lineRule="auto"/>
              <w:rPr>
                <w:rFonts w:ascii="宋体" w:hAnsi="宋体"/>
                <w:color w:val="auto"/>
                <w:szCs w:val="21"/>
                <w:highlight w:val="none"/>
              </w:rPr>
            </w:pPr>
            <w:r>
              <w:rPr>
                <w:rFonts w:hint="eastAsia" w:ascii="宋体" w:hAnsi="宋体"/>
                <w:b/>
                <w:bCs/>
                <w:color w:val="auto"/>
                <w:szCs w:val="21"/>
                <w:highlight w:val="none"/>
              </w:rPr>
              <w:t>二、与实现项目目标相关的其他要求</w:t>
            </w:r>
          </w:p>
        </w:tc>
      </w:tr>
      <w:tr w14:paraId="59E33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92" w:type="dxa"/>
            <w:gridSpan w:val="2"/>
            <w:tcBorders>
              <w:top w:val="single" w:color="auto" w:sz="4" w:space="0"/>
              <w:left w:val="single" w:color="auto" w:sz="4" w:space="0"/>
              <w:bottom w:val="single" w:color="auto" w:sz="4" w:space="0"/>
              <w:right w:val="single" w:color="auto" w:sz="4" w:space="0"/>
            </w:tcBorders>
            <w:vAlign w:val="center"/>
          </w:tcPr>
          <w:p w14:paraId="2413F8AA">
            <w:pPr>
              <w:snapToGrid w:val="0"/>
              <w:spacing w:line="360" w:lineRule="auto"/>
              <w:jc w:val="center"/>
              <w:rPr>
                <w:rFonts w:ascii="宋体" w:hAnsi="宋体" w:cs="宋体"/>
                <w:bCs/>
                <w:color w:val="auto"/>
                <w:szCs w:val="21"/>
                <w:highlight w:val="none"/>
              </w:rPr>
            </w:pPr>
            <w:r>
              <w:rPr>
                <w:rFonts w:hint="eastAsia" w:ascii="宋体" w:hAnsi="宋体" w:cs="宋体"/>
                <w:bCs/>
                <w:color w:val="auto"/>
                <w:kern w:val="0"/>
                <w:szCs w:val="21"/>
                <w:highlight w:val="none"/>
              </w:rPr>
              <w:t>业绩要求</w:t>
            </w:r>
          </w:p>
        </w:tc>
        <w:tc>
          <w:tcPr>
            <w:tcW w:w="7502" w:type="dxa"/>
            <w:gridSpan w:val="5"/>
            <w:tcBorders>
              <w:top w:val="single" w:color="auto" w:sz="4" w:space="0"/>
              <w:left w:val="single" w:color="auto" w:sz="4" w:space="0"/>
              <w:bottom w:val="single" w:color="auto" w:sz="4" w:space="0"/>
              <w:right w:val="single" w:color="auto" w:sz="4" w:space="0"/>
            </w:tcBorders>
            <w:vAlign w:val="center"/>
          </w:tcPr>
          <w:p w14:paraId="203FCF9E">
            <w:pPr>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2022年1月1日以来至响应文件递交截止日期止供应商提供同类工程施工项目业绩，符合第四章“评审标准”的可予以加分。</w:t>
            </w:r>
          </w:p>
        </w:tc>
      </w:tr>
      <w:tr w14:paraId="40759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92" w:type="dxa"/>
            <w:gridSpan w:val="2"/>
            <w:tcBorders>
              <w:top w:val="single" w:color="auto" w:sz="4" w:space="0"/>
              <w:left w:val="single" w:color="auto" w:sz="4" w:space="0"/>
              <w:bottom w:val="single" w:color="auto" w:sz="4" w:space="0"/>
              <w:right w:val="single" w:color="auto" w:sz="4" w:space="0"/>
            </w:tcBorders>
            <w:vAlign w:val="center"/>
          </w:tcPr>
          <w:p w14:paraId="08D2C64B">
            <w:pPr>
              <w:snapToGrid w:val="0"/>
              <w:spacing w:line="360" w:lineRule="auto"/>
              <w:jc w:val="center"/>
              <w:rPr>
                <w:rFonts w:ascii="宋体" w:hAnsi="宋体" w:cs="宋体"/>
                <w:bCs/>
                <w:color w:val="auto"/>
                <w:szCs w:val="21"/>
                <w:highlight w:val="none"/>
              </w:rPr>
            </w:pPr>
            <w:r>
              <w:rPr>
                <w:rFonts w:hint="eastAsia" w:ascii="宋体" w:hAnsi="宋体" w:cs="宋体"/>
                <w:bCs/>
                <w:color w:val="auto"/>
                <w:kern w:val="0"/>
                <w:szCs w:val="21"/>
                <w:highlight w:val="none"/>
              </w:rPr>
              <w:t>人员要求</w:t>
            </w:r>
          </w:p>
        </w:tc>
        <w:tc>
          <w:tcPr>
            <w:tcW w:w="7502" w:type="dxa"/>
            <w:gridSpan w:val="5"/>
            <w:tcBorders>
              <w:top w:val="single" w:color="auto" w:sz="4" w:space="0"/>
              <w:left w:val="single" w:color="auto" w:sz="4" w:space="0"/>
              <w:bottom w:val="single" w:color="auto" w:sz="4" w:space="0"/>
              <w:right w:val="single" w:color="auto" w:sz="4" w:space="0"/>
            </w:tcBorders>
            <w:vAlign w:val="center"/>
          </w:tcPr>
          <w:p w14:paraId="7FBB137C">
            <w:pPr>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拟投入本项目的人员应配置合理。</w:t>
            </w:r>
          </w:p>
        </w:tc>
      </w:tr>
      <w:tr w14:paraId="6C87C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92" w:type="dxa"/>
            <w:gridSpan w:val="2"/>
            <w:tcBorders>
              <w:top w:val="single" w:color="auto" w:sz="4" w:space="0"/>
              <w:left w:val="single" w:color="auto" w:sz="4" w:space="0"/>
              <w:bottom w:val="single" w:color="auto" w:sz="4" w:space="0"/>
              <w:right w:val="single" w:color="auto" w:sz="4" w:space="0"/>
            </w:tcBorders>
            <w:vAlign w:val="center"/>
          </w:tcPr>
          <w:p w14:paraId="0130A255">
            <w:pPr>
              <w:wordWrap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其它</w:t>
            </w:r>
          </w:p>
        </w:tc>
        <w:tc>
          <w:tcPr>
            <w:tcW w:w="7502" w:type="dxa"/>
            <w:gridSpan w:val="5"/>
            <w:tcBorders>
              <w:top w:val="single" w:color="auto" w:sz="4" w:space="0"/>
              <w:left w:val="single" w:color="auto" w:sz="4" w:space="0"/>
              <w:bottom w:val="single" w:color="auto" w:sz="4" w:space="0"/>
              <w:right w:val="single" w:color="auto" w:sz="4" w:space="0"/>
            </w:tcBorders>
            <w:vAlign w:val="center"/>
          </w:tcPr>
          <w:p w14:paraId="7396C5D6">
            <w:pPr>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1.采购需求中，</w:t>
            </w:r>
            <w:r>
              <w:rPr>
                <w:rFonts w:hint="eastAsia" w:ascii="宋体" w:hAnsi="宋体" w:cs="宋体"/>
                <w:b/>
                <w:bCs/>
                <w:color w:val="auto"/>
                <w:szCs w:val="21"/>
                <w:highlight w:val="none"/>
              </w:rPr>
              <w:t>技术要求允许负偏离的条款数为</w:t>
            </w:r>
            <w:r>
              <w:rPr>
                <w:rFonts w:hint="eastAsia" w:ascii="宋体" w:hAnsi="宋体" w:cs="宋体"/>
                <w:b/>
                <w:bCs/>
                <w:color w:val="auto"/>
                <w:szCs w:val="21"/>
                <w:highlight w:val="none"/>
                <w:u w:val="single"/>
              </w:rPr>
              <w:t>0</w:t>
            </w:r>
            <w:r>
              <w:rPr>
                <w:rFonts w:hint="eastAsia" w:ascii="宋体" w:hAnsi="宋体" w:cs="宋体"/>
                <w:b/>
                <w:bCs/>
                <w:color w:val="auto"/>
                <w:szCs w:val="21"/>
                <w:highlight w:val="none"/>
              </w:rPr>
              <w:t>项，商务要求允许负偏离的条款数为</w:t>
            </w:r>
            <w:r>
              <w:rPr>
                <w:rFonts w:hint="eastAsia" w:ascii="宋体" w:hAnsi="宋体" w:cs="宋体"/>
                <w:b/>
                <w:bCs/>
                <w:color w:val="auto"/>
                <w:szCs w:val="21"/>
                <w:highlight w:val="none"/>
                <w:u w:val="single"/>
              </w:rPr>
              <w:t>0</w:t>
            </w:r>
            <w:r>
              <w:rPr>
                <w:rFonts w:hint="eastAsia" w:ascii="宋体" w:hAnsi="宋体" w:cs="宋体"/>
                <w:b/>
                <w:bCs/>
                <w:color w:val="auto"/>
                <w:szCs w:val="21"/>
                <w:highlight w:val="none"/>
              </w:rPr>
              <w:t>项，必须满足或优于，否则响应文件按无效处理。</w:t>
            </w:r>
          </w:p>
          <w:p w14:paraId="610F27B4">
            <w:pPr>
              <w:spacing w:line="360" w:lineRule="auto"/>
              <w:jc w:val="left"/>
              <w:rPr>
                <w:rFonts w:ascii="宋体" w:hAnsi="宋体" w:cs="宋体"/>
                <w:color w:val="auto"/>
                <w:szCs w:val="21"/>
                <w:highlight w:val="none"/>
              </w:rPr>
            </w:pPr>
            <w:r>
              <w:rPr>
                <w:rFonts w:hint="eastAsia" w:ascii="宋体" w:hAnsi="宋体" w:cs="宋体"/>
                <w:bCs/>
                <w:color w:val="auto"/>
                <w:szCs w:val="21"/>
                <w:highlight w:val="none"/>
              </w:rPr>
              <w:t>2.供应商</w:t>
            </w:r>
            <w:r>
              <w:rPr>
                <w:rFonts w:hint="eastAsia" w:ascii="宋体" w:hAnsi="宋体" w:cs="宋体"/>
                <w:color w:val="auto"/>
                <w:szCs w:val="21"/>
                <w:highlight w:val="none"/>
              </w:rPr>
              <w:t>在竞标活动中如提供任何虚假材料，</w:t>
            </w:r>
            <w:r>
              <w:rPr>
                <w:rFonts w:hint="eastAsia" w:ascii="宋体" w:hAnsi="宋体" w:cs="宋体"/>
                <w:b/>
                <w:color w:val="auto"/>
                <w:szCs w:val="21"/>
                <w:highlight w:val="none"/>
              </w:rPr>
              <w:t>其响应文件按无效处理，</w:t>
            </w:r>
            <w:r>
              <w:rPr>
                <w:rFonts w:hint="eastAsia" w:ascii="宋体" w:hAnsi="宋体" w:cs="宋体"/>
                <w:color w:val="auto"/>
                <w:szCs w:val="21"/>
                <w:highlight w:val="none"/>
              </w:rPr>
              <w:t>并报监管部门查处。</w:t>
            </w:r>
          </w:p>
          <w:p w14:paraId="5628055A">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3.供应商应在响应文件中提供施工组织设计方案</w:t>
            </w:r>
            <w:r>
              <w:rPr>
                <w:rFonts w:hint="eastAsia" w:ascii="宋体" w:hAnsi="宋体"/>
                <w:bCs/>
                <w:color w:val="auto"/>
                <w:szCs w:val="21"/>
                <w:highlight w:val="none"/>
              </w:rPr>
              <w:t>，</w:t>
            </w:r>
            <w:r>
              <w:rPr>
                <w:rFonts w:hint="eastAsia" w:ascii="宋体" w:hAnsi="宋体" w:cs="宋体"/>
                <w:color w:val="auto"/>
                <w:szCs w:val="21"/>
                <w:highlight w:val="none"/>
              </w:rPr>
              <w:t>并就本项目投入具有相关能力的人员。</w:t>
            </w:r>
          </w:p>
        </w:tc>
      </w:tr>
    </w:tbl>
    <w:p w14:paraId="08A235F0">
      <w:pPr>
        <w:spacing w:line="360" w:lineRule="auto"/>
        <w:jc w:val="left"/>
        <w:rPr>
          <w:rFonts w:ascii="宋体" w:hAnsi="宋体" w:cs="Arial"/>
          <w:bCs/>
          <w:color w:val="auto"/>
          <w:szCs w:val="21"/>
          <w:highlight w:val="none"/>
          <w:u w:val="single"/>
        </w:rPr>
      </w:pPr>
    </w:p>
    <w:p w14:paraId="7D556F21">
      <w:pPr>
        <w:spacing w:line="360" w:lineRule="auto"/>
        <w:jc w:val="left"/>
        <w:rPr>
          <w:rFonts w:ascii="宋体" w:hAnsi="宋体" w:cs="Arial"/>
          <w:bCs/>
          <w:color w:val="auto"/>
          <w:szCs w:val="21"/>
          <w:highlight w:val="none"/>
          <w:u w:val="single"/>
        </w:rPr>
      </w:pPr>
    </w:p>
    <w:p w14:paraId="4F85FF57">
      <w:pPr>
        <w:spacing w:line="360" w:lineRule="auto"/>
        <w:jc w:val="left"/>
        <w:rPr>
          <w:rFonts w:ascii="宋体" w:hAnsi="宋体" w:cs="Arial"/>
          <w:bCs/>
          <w:color w:val="auto"/>
          <w:szCs w:val="21"/>
          <w:highlight w:val="none"/>
          <w:u w:val="single"/>
        </w:rPr>
      </w:pPr>
    </w:p>
    <w:p w14:paraId="7575573F">
      <w:pPr>
        <w:tabs>
          <w:tab w:val="left" w:pos="180"/>
          <w:tab w:val="left" w:pos="1620"/>
        </w:tabs>
        <w:spacing w:line="360" w:lineRule="auto"/>
        <w:ind w:firstLine="422" w:firstLineChars="200"/>
        <w:rPr>
          <w:rFonts w:ascii="宋体" w:hAnsi="宋体" w:cs="宋体"/>
          <w:b/>
          <w:bCs/>
          <w:color w:val="auto"/>
          <w:szCs w:val="21"/>
          <w:highlight w:val="none"/>
        </w:rPr>
      </w:pPr>
    </w:p>
    <w:p w14:paraId="482FFF1B">
      <w:pPr>
        <w:tabs>
          <w:tab w:val="left" w:pos="180"/>
          <w:tab w:val="left" w:pos="1620"/>
        </w:tabs>
        <w:spacing w:line="360" w:lineRule="auto"/>
        <w:ind w:firstLine="422" w:firstLineChars="200"/>
        <w:rPr>
          <w:rFonts w:ascii="宋体" w:hAnsi="宋体" w:cs="宋体"/>
          <w:b/>
          <w:bCs/>
          <w:color w:val="auto"/>
          <w:szCs w:val="21"/>
          <w:highlight w:val="none"/>
        </w:rPr>
      </w:pPr>
    </w:p>
    <w:p w14:paraId="2F856D8E">
      <w:pPr>
        <w:tabs>
          <w:tab w:val="left" w:pos="180"/>
          <w:tab w:val="left" w:pos="1620"/>
        </w:tabs>
        <w:spacing w:line="360" w:lineRule="auto"/>
        <w:ind w:firstLine="422" w:firstLineChars="200"/>
        <w:rPr>
          <w:rFonts w:ascii="宋体" w:hAnsi="宋体" w:cs="宋体"/>
          <w:b/>
          <w:bCs/>
          <w:color w:val="auto"/>
          <w:szCs w:val="21"/>
          <w:highlight w:val="none"/>
        </w:rPr>
      </w:pPr>
    </w:p>
    <w:p w14:paraId="0DB0279D">
      <w:pPr>
        <w:pStyle w:val="2"/>
        <w:spacing w:before="0" w:after="0" w:line="360" w:lineRule="auto"/>
        <w:jc w:val="center"/>
        <w:rPr>
          <w:color w:val="auto"/>
          <w:highlight w:val="none"/>
        </w:rPr>
      </w:pPr>
      <w:r>
        <w:rPr>
          <w:rFonts w:ascii="宋体" w:hAnsi="宋体" w:cs="宋体"/>
          <w:color w:val="auto"/>
          <w:sz w:val="20"/>
          <w:szCs w:val="20"/>
          <w:highlight w:val="none"/>
        </w:rPr>
        <w:br w:type="page"/>
      </w:r>
      <w:bookmarkStart w:id="70" w:name="_Toc122424247"/>
      <w:r>
        <w:rPr>
          <w:rFonts w:hint="eastAsia"/>
          <w:color w:val="auto"/>
          <w:highlight w:val="none"/>
        </w:rPr>
        <w:t>第四章  评审程序、评审方法和评审标准</w:t>
      </w:r>
      <w:bookmarkEnd w:id="70"/>
    </w:p>
    <w:p w14:paraId="417BB82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1611D68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203FE76A">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AB79C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589FC4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7DCF50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35B97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CDD53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5F9011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7A5481C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49C4207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r>
        <w:rPr>
          <w:rFonts w:hint="eastAsia" w:ascii="宋体" w:hAnsi="宋体" w:cs="宋体"/>
          <w:color w:val="auto"/>
          <w:szCs w:val="21"/>
          <w:highlight w:val="none"/>
          <w:lang w:eastAsia="zh-CN"/>
        </w:rPr>
        <w:t>；</w:t>
      </w:r>
    </w:p>
    <w:p w14:paraId="1128ABA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（2）未按磋商文件规定的方式获取本磋商文件的供应商</w:t>
      </w:r>
      <w:r>
        <w:rPr>
          <w:rFonts w:hint="eastAsia" w:ascii="宋体" w:hAnsi="宋体" w:cs="宋体"/>
          <w:color w:val="auto"/>
          <w:szCs w:val="21"/>
          <w:highlight w:val="none"/>
          <w:lang w:eastAsia="zh-CN"/>
        </w:rPr>
        <w:t>；</w:t>
      </w:r>
    </w:p>
    <w:p w14:paraId="7F51260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r>
        <w:rPr>
          <w:rFonts w:hint="eastAsia" w:ascii="宋体" w:hAnsi="宋体" w:cs="宋体"/>
          <w:color w:val="auto"/>
          <w:szCs w:val="21"/>
          <w:highlight w:val="none"/>
          <w:lang w:eastAsia="zh-CN"/>
        </w:rPr>
        <w:t>；</w:t>
      </w:r>
    </w:p>
    <w:p w14:paraId="0408A8D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r>
        <w:rPr>
          <w:rFonts w:hint="eastAsia" w:ascii="宋体" w:hAnsi="宋体" w:cs="宋体"/>
          <w:color w:val="auto"/>
          <w:szCs w:val="21"/>
          <w:highlight w:val="none"/>
          <w:lang w:eastAsia="zh-CN"/>
        </w:rPr>
        <w:t>；</w:t>
      </w:r>
    </w:p>
    <w:p w14:paraId="65A7F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）有第二章“供应商须知”第3.2项规定的任何一种情形的。</w:t>
      </w:r>
    </w:p>
    <w:p w14:paraId="6421AAB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0705EDF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87156C5">
      <w:pPr>
        <w:spacing w:line="360" w:lineRule="auto"/>
        <w:ind w:firstLine="420" w:firstLineChars="200"/>
        <w:rPr>
          <w:rFonts w:ascii="宋体" w:hAnsi="宋体" w:cs="宋体"/>
          <w:color w:val="auto"/>
          <w:szCs w:val="21"/>
          <w:highlight w:val="none"/>
        </w:rPr>
      </w:pPr>
      <w:bookmarkStart w:id="71"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1"/>
    <w:p w14:paraId="3527A8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7A24FE">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D5838C2">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43F9879">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3EEE957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（1）响应文件中报价表内容与响应文件中相应内容不一致的，以报价表为准</w:t>
      </w:r>
      <w:r>
        <w:rPr>
          <w:rFonts w:hint="eastAsia" w:ascii="宋体" w:hAnsi="宋体" w:cs="宋体"/>
          <w:color w:val="auto"/>
          <w:szCs w:val="21"/>
          <w:highlight w:val="none"/>
          <w:lang w:eastAsia="zh-CN"/>
        </w:rPr>
        <w:t>；</w:t>
      </w:r>
    </w:p>
    <w:p w14:paraId="1A6AFA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（2）大写金额和小写金额不一致的，以大写金额为准</w:t>
      </w:r>
      <w:r>
        <w:rPr>
          <w:rFonts w:hint="eastAsia" w:ascii="宋体" w:hAnsi="宋体" w:cs="宋体"/>
          <w:color w:val="auto"/>
          <w:szCs w:val="21"/>
          <w:highlight w:val="none"/>
          <w:lang w:eastAsia="zh-CN"/>
        </w:rPr>
        <w:t>；</w:t>
      </w:r>
    </w:p>
    <w:p w14:paraId="2666E29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（3）单价金额小数点或者百分比有明显错位的，以报价表的总价为准，并修改单价</w:t>
      </w:r>
      <w:r>
        <w:rPr>
          <w:rFonts w:hint="eastAsia" w:ascii="宋体" w:hAnsi="宋体" w:cs="宋体"/>
          <w:color w:val="auto"/>
          <w:szCs w:val="21"/>
          <w:highlight w:val="none"/>
          <w:lang w:eastAsia="zh-CN"/>
        </w:rPr>
        <w:t>；</w:t>
      </w:r>
    </w:p>
    <w:p w14:paraId="788A78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FA3F0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4564368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CA2F5F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49DADFD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（1）商务技术评审</w:t>
      </w:r>
    </w:p>
    <w:p w14:paraId="390E3D17">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1）响应文件未按磋商文件要求签署、盖章的</w:t>
      </w:r>
      <w:r>
        <w:rPr>
          <w:rFonts w:hint="eastAsia" w:ascii="宋体" w:hAnsi="宋体" w:cs="宋体"/>
          <w:b/>
          <w:color w:val="auto"/>
          <w:szCs w:val="21"/>
          <w:highlight w:val="none"/>
          <w:lang w:eastAsia="zh-CN"/>
        </w:rPr>
        <w:t>；</w:t>
      </w:r>
    </w:p>
    <w:p w14:paraId="714BE66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2）委托代理人未能出具有效身份证或者出具的身份证与授权委托书中的信息不符的</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324DDB2F">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3）提交的磋商保证金无效的或者未按照磋商文件的规定提交磋商保证金的</w:t>
      </w:r>
      <w:r>
        <w:rPr>
          <w:rFonts w:hint="eastAsia" w:ascii="宋体" w:hAnsi="宋体" w:cs="宋体"/>
          <w:b/>
          <w:color w:val="auto"/>
          <w:szCs w:val="21"/>
          <w:highlight w:val="none"/>
          <w:lang w:eastAsia="zh-CN"/>
        </w:rPr>
        <w:t>；</w:t>
      </w:r>
    </w:p>
    <w:p w14:paraId="53D1C20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响应文件提供的商务技术文件出现任一项不符合“供应商须知前附表”商务技术文件中 “必须提供”或者“委托时必须提供”文件资料要求的规定或者提供的商务技术文件无效的。</w:t>
      </w:r>
    </w:p>
    <w:p w14:paraId="334B0F70">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5）响应文件的实质性内容未使用中文表述、使用计量单位不符合磋商文件要求的</w:t>
      </w:r>
      <w:r>
        <w:rPr>
          <w:rFonts w:hint="eastAsia" w:ascii="宋体" w:hAnsi="宋体" w:cs="宋体"/>
          <w:b/>
          <w:color w:val="auto"/>
          <w:szCs w:val="21"/>
          <w:highlight w:val="none"/>
          <w:lang w:eastAsia="zh-CN"/>
        </w:rPr>
        <w:t>；</w:t>
      </w:r>
    </w:p>
    <w:p w14:paraId="091FA7BF">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6）响应文件中的文件资料因填写不齐全或者内容虚假或者出现其他情形而导致被磋商小组认定无效的</w:t>
      </w:r>
      <w:r>
        <w:rPr>
          <w:rFonts w:hint="eastAsia" w:ascii="宋体" w:hAnsi="宋体" w:cs="宋体"/>
          <w:b/>
          <w:color w:val="auto"/>
          <w:szCs w:val="21"/>
          <w:highlight w:val="none"/>
          <w:lang w:eastAsia="zh-CN"/>
        </w:rPr>
        <w:t>；</w:t>
      </w:r>
    </w:p>
    <w:p w14:paraId="0C7EFAE4">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7）响应文件含有采购人不能接受的附加条件的</w:t>
      </w:r>
      <w:r>
        <w:rPr>
          <w:rFonts w:hint="eastAsia" w:ascii="宋体" w:hAnsi="宋体" w:cs="宋体"/>
          <w:b/>
          <w:color w:val="auto"/>
          <w:szCs w:val="21"/>
          <w:highlight w:val="none"/>
          <w:lang w:eastAsia="zh-CN"/>
        </w:rPr>
        <w:t>；</w:t>
      </w:r>
    </w:p>
    <w:p w14:paraId="3706E47A">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8）属于“供应商须知正文”第7.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r>
        <w:rPr>
          <w:rFonts w:hint="eastAsia" w:ascii="宋体" w:hAnsi="宋体" w:cs="宋体"/>
          <w:b/>
          <w:color w:val="auto"/>
          <w:szCs w:val="21"/>
          <w:highlight w:val="none"/>
          <w:lang w:eastAsia="zh-CN"/>
        </w:rPr>
        <w:t>；</w:t>
      </w:r>
    </w:p>
    <w:p w14:paraId="185881F8">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9）虚假竞标，或者出现其他情形而导致被磋商小组认定无效的</w:t>
      </w:r>
      <w:r>
        <w:rPr>
          <w:rFonts w:hint="eastAsia" w:ascii="宋体" w:hAnsi="宋体" w:cs="宋体"/>
          <w:b/>
          <w:color w:val="auto"/>
          <w:szCs w:val="21"/>
          <w:highlight w:val="none"/>
          <w:lang w:eastAsia="zh-CN"/>
        </w:rPr>
        <w:t>；</w:t>
      </w:r>
    </w:p>
    <w:p w14:paraId="2FBD6C1D">
      <w:pPr>
        <w:spacing w:line="360" w:lineRule="auto"/>
        <w:ind w:firstLine="422" w:firstLineChars="200"/>
        <w:rPr>
          <w:rFonts w:hint="eastAsia" w:ascii="宋体" w:hAnsi="宋体" w:eastAsia="宋体" w:cs="宋体"/>
          <w:b/>
          <w:color w:val="auto"/>
          <w:szCs w:val="21"/>
          <w:highlight w:val="none"/>
          <w:lang w:eastAsia="zh-CN"/>
        </w:rPr>
      </w:pPr>
      <w:r>
        <w:rPr>
          <w:rFonts w:ascii="宋体" w:hAnsi="宋体" w:cs="宋体"/>
          <w:b/>
          <w:color w:val="auto"/>
          <w:szCs w:val="21"/>
          <w:highlight w:val="none"/>
        </w:rPr>
        <w:t>1</w:t>
      </w:r>
      <w:r>
        <w:rPr>
          <w:rFonts w:hint="eastAsia" w:ascii="宋体" w:hAnsi="宋体" w:cs="宋体"/>
          <w:b/>
          <w:color w:val="auto"/>
          <w:szCs w:val="21"/>
          <w:highlight w:val="none"/>
        </w:rPr>
        <w:t>0）</w:t>
      </w:r>
      <w:bookmarkStart w:id="72"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2"/>
      <w:r>
        <w:rPr>
          <w:rFonts w:hint="eastAsia" w:ascii="宋体" w:hAnsi="宋体" w:cs="宋体"/>
          <w:b/>
          <w:color w:val="auto"/>
          <w:szCs w:val="21"/>
          <w:highlight w:val="none"/>
          <w:lang w:eastAsia="zh-CN"/>
        </w:rPr>
        <w:t>；</w:t>
      </w:r>
    </w:p>
    <w:p w14:paraId="29B69735">
      <w:pPr>
        <w:spacing w:line="360" w:lineRule="auto"/>
        <w:ind w:firstLine="422" w:firstLineChars="200"/>
        <w:rPr>
          <w:rFonts w:hint="eastAsia" w:ascii="宋体" w:hAnsi="宋体" w:eastAsia="宋体" w:cs="宋体"/>
          <w:b/>
          <w:color w:val="auto"/>
          <w:szCs w:val="21"/>
          <w:highlight w:val="none"/>
          <w:lang w:eastAsia="zh-CN"/>
        </w:rPr>
      </w:pPr>
      <w:r>
        <w:rPr>
          <w:rFonts w:ascii="宋体" w:hAnsi="宋体" w:cs="宋体"/>
          <w:b/>
          <w:color w:val="auto"/>
          <w:szCs w:val="21"/>
          <w:highlight w:val="none"/>
        </w:rPr>
        <w:t>1</w:t>
      </w:r>
      <w:r>
        <w:rPr>
          <w:rFonts w:hint="eastAsia" w:ascii="宋体" w:hAnsi="宋体" w:cs="宋体"/>
          <w:b/>
          <w:color w:val="auto"/>
          <w:szCs w:val="21"/>
          <w:highlight w:val="none"/>
        </w:rPr>
        <w:t>1）响应文件标注的项目名称或者项目编号与磋商文件标注的项目名称或者项目编号不一致的</w:t>
      </w:r>
      <w:r>
        <w:rPr>
          <w:rFonts w:hint="eastAsia" w:ascii="宋体" w:hAnsi="宋体" w:cs="宋体"/>
          <w:b/>
          <w:color w:val="auto"/>
          <w:szCs w:val="21"/>
          <w:highlight w:val="none"/>
          <w:lang w:eastAsia="zh-CN"/>
        </w:rPr>
        <w:t>；</w:t>
      </w:r>
    </w:p>
    <w:p w14:paraId="7EC97C40">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12）</w:t>
      </w:r>
      <w:r>
        <w:rPr>
          <w:rFonts w:hint="eastAsia" w:ascii="宋体" w:hAnsi="宋体"/>
          <w:b/>
          <w:color w:val="auto"/>
          <w:szCs w:val="21"/>
          <w:highlight w:val="none"/>
        </w:rPr>
        <w:t>竞争性磋商文件明确不允许分包，响应文件拟分包的</w:t>
      </w:r>
      <w:r>
        <w:rPr>
          <w:rFonts w:hint="eastAsia" w:ascii="宋体" w:hAnsi="宋体"/>
          <w:b/>
          <w:color w:val="auto"/>
          <w:szCs w:val="21"/>
          <w:highlight w:val="none"/>
          <w:lang w:eastAsia="zh-CN"/>
        </w:rPr>
        <w:t>；</w:t>
      </w:r>
    </w:p>
    <w:p w14:paraId="28AD3841">
      <w:pPr>
        <w:spacing w:line="360" w:lineRule="auto"/>
        <w:ind w:firstLine="422" w:firstLineChars="200"/>
        <w:rPr>
          <w:rFonts w:hint="eastAsia" w:ascii="宋体" w:hAnsi="宋体" w:eastAsia="宋体" w:cs="宋体"/>
          <w:b/>
          <w:color w:val="auto"/>
          <w:szCs w:val="21"/>
          <w:highlight w:val="none"/>
          <w:lang w:eastAsia="zh-CN"/>
        </w:rPr>
      </w:pPr>
      <w:r>
        <w:rPr>
          <w:rFonts w:ascii="宋体" w:hAnsi="宋体" w:cs="宋体"/>
          <w:b/>
          <w:color w:val="auto"/>
          <w:szCs w:val="21"/>
          <w:highlight w:val="none"/>
        </w:rPr>
        <w:t>1</w:t>
      </w:r>
      <w:r>
        <w:rPr>
          <w:rFonts w:hint="eastAsia" w:ascii="宋体" w:hAnsi="宋体" w:cs="宋体"/>
          <w:b/>
          <w:color w:val="auto"/>
          <w:szCs w:val="21"/>
          <w:highlight w:val="none"/>
        </w:rPr>
        <w:t>3）未响应磋商文件实质性要求的</w:t>
      </w:r>
      <w:r>
        <w:rPr>
          <w:rFonts w:hint="eastAsia" w:ascii="宋体" w:hAnsi="宋体" w:cs="宋体"/>
          <w:b/>
          <w:color w:val="auto"/>
          <w:szCs w:val="21"/>
          <w:highlight w:val="none"/>
          <w:lang w:eastAsia="zh-CN"/>
        </w:rPr>
        <w:t>；</w:t>
      </w:r>
    </w:p>
    <w:p w14:paraId="5B89F62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14）法律、法规和磋商文件规定的其他无效情形。</w:t>
      </w:r>
    </w:p>
    <w:p w14:paraId="1D2EA14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334CF538">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w:t>
      </w:r>
      <w:r>
        <w:rPr>
          <w:rFonts w:ascii="宋体" w:hAnsi="宋体" w:cs="宋体"/>
          <w:b/>
          <w:color w:val="auto"/>
          <w:szCs w:val="21"/>
          <w:highlight w:val="none"/>
        </w:rPr>
        <w:t xml:space="preserve"> </w:t>
      </w:r>
      <w:r>
        <w:rPr>
          <w:rFonts w:hint="eastAsia" w:ascii="宋体" w:hAnsi="宋体" w:cs="宋体"/>
          <w:b/>
          <w:color w:val="auto"/>
          <w:szCs w:val="21"/>
          <w:highlight w:val="none"/>
        </w:rPr>
        <w:t>响应文件未提供“供应商须知前附表” 报价文件中规定的“竞标报价表”的</w:t>
      </w:r>
      <w:r>
        <w:rPr>
          <w:rFonts w:hint="eastAsia" w:ascii="宋体" w:hAnsi="宋体" w:cs="宋体"/>
          <w:b/>
          <w:color w:val="auto"/>
          <w:szCs w:val="21"/>
          <w:highlight w:val="none"/>
          <w:lang w:eastAsia="zh-CN"/>
        </w:rPr>
        <w:t>；</w:t>
      </w:r>
    </w:p>
    <w:p w14:paraId="7C602D97">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2）未采用人民币报价或者未按照磋商文件标明的币种报价的</w:t>
      </w:r>
      <w:r>
        <w:rPr>
          <w:rFonts w:hint="eastAsia" w:ascii="宋体" w:hAnsi="宋体" w:cs="宋体"/>
          <w:b/>
          <w:color w:val="auto"/>
          <w:szCs w:val="21"/>
          <w:highlight w:val="none"/>
          <w:lang w:eastAsia="zh-CN"/>
        </w:rPr>
        <w:t>；</w:t>
      </w:r>
    </w:p>
    <w:p w14:paraId="5BD9F3A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3）供应商未就所竞标分标进行报价或者存在漏项报价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供应商未就所竞标分标的单项内容作唯一报价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供应商未就所竞标分标的全部内容作完整唯一总价报价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供应商响应文件中存在有选择、有条件报价的（磋商文件允许有备选方案或者其他约定的除外）</w:t>
      </w:r>
      <w:r>
        <w:rPr>
          <w:rFonts w:hint="eastAsia" w:ascii="宋体" w:hAnsi="宋体" w:cs="宋体"/>
          <w:b/>
          <w:color w:val="auto"/>
          <w:szCs w:val="21"/>
          <w:highlight w:val="none"/>
          <w:lang w:eastAsia="zh-CN"/>
        </w:rPr>
        <w:t>；</w:t>
      </w:r>
    </w:p>
    <w:p w14:paraId="24D8004B">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73" w:name="_Hlk42596405"/>
      <w:r>
        <w:rPr>
          <w:rFonts w:hint="eastAsia" w:ascii="宋体" w:hAnsi="宋体" w:cs="宋体"/>
          <w:b/>
          <w:color w:val="auto"/>
          <w:szCs w:val="21"/>
          <w:highlight w:val="none"/>
          <w:lang w:eastAsia="zh-CN"/>
        </w:rPr>
        <w:t>；</w:t>
      </w:r>
      <w:r>
        <w:rPr>
          <w:rFonts w:hint="eastAsia" w:ascii="宋体" w:hAnsi="宋体" w:cs="宋体"/>
          <w:b/>
          <w:color w:val="auto"/>
          <w:szCs w:val="21"/>
          <w:highlight w:val="none"/>
        </w:rPr>
        <w:t>竞标报价（包含首次报价、最后报价）</w:t>
      </w:r>
      <w:bookmarkEnd w:id="73"/>
      <w:bookmarkStart w:id="74" w:name="_Hlk42596276"/>
      <w:r>
        <w:rPr>
          <w:rFonts w:hint="eastAsia" w:ascii="宋体" w:hAnsi="宋体" w:cs="宋体"/>
          <w:b/>
          <w:color w:val="auto"/>
          <w:szCs w:val="21"/>
          <w:highlight w:val="none"/>
        </w:rPr>
        <w:t>超过磋商文件分项采购预算金额或者单价最高限价的</w:t>
      </w:r>
      <w:bookmarkEnd w:id="74"/>
      <w:r>
        <w:rPr>
          <w:rFonts w:hint="eastAsia" w:ascii="宋体" w:hAnsi="宋体" w:cs="宋体"/>
          <w:b/>
          <w:color w:val="auto"/>
          <w:szCs w:val="21"/>
          <w:highlight w:val="none"/>
        </w:rPr>
        <w:t>（如项目有要求并公布了分项采购预算金额或者单价最高限价）</w:t>
      </w:r>
      <w:r>
        <w:rPr>
          <w:rFonts w:hint="eastAsia" w:ascii="宋体" w:hAnsi="宋体" w:cs="宋体"/>
          <w:b/>
          <w:color w:val="auto"/>
          <w:szCs w:val="21"/>
          <w:highlight w:val="none"/>
          <w:lang w:eastAsia="zh-CN"/>
        </w:rPr>
        <w:t>；</w:t>
      </w:r>
    </w:p>
    <w:p w14:paraId="392B1C11">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5）修正后的报价，供应商不确认的</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或者经供应商确认修正后的竞标报价（包含首次报价、最后报价）超过所竞标分标规定的采购预算金额或者最高限价（如本项目公布了最高限价）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或者经供应商确认修正后竞标报价（包含首次报价、最后报价）超过磋商文件分项采购预算金额或者最高限价的（如本项目有要求并公布了分项采购预算金额或者最高限价）</w:t>
      </w:r>
      <w:r>
        <w:rPr>
          <w:rFonts w:hint="eastAsia" w:ascii="宋体" w:hAnsi="宋体" w:cs="宋体"/>
          <w:b/>
          <w:color w:val="auto"/>
          <w:szCs w:val="21"/>
          <w:highlight w:val="none"/>
          <w:lang w:eastAsia="zh-CN"/>
        </w:rPr>
        <w:t>；</w:t>
      </w:r>
    </w:p>
    <w:p w14:paraId="3C9CC8C2">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6）在单价合同工程中供应商采用总价优惠或以总价百分比优惠的方式进行竞标报价的</w:t>
      </w:r>
      <w:r>
        <w:rPr>
          <w:rFonts w:hint="eastAsia" w:ascii="宋体" w:hAnsi="宋体" w:cs="宋体"/>
          <w:b/>
          <w:color w:val="auto"/>
          <w:szCs w:val="21"/>
          <w:highlight w:val="none"/>
          <w:lang w:eastAsia="zh-CN"/>
        </w:rPr>
        <w:t>；</w:t>
      </w:r>
    </w:p>
    <w:p w14:paraId="41183116">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7）竞标总报价与已标价工程量清单汇总表不一致的</w:t>
      </w:r>
      <w:r>
        <w:rPr>
          <w:rFonts w:hint="eastAsia" w:ascii="宋体" w:hAnsi="宋体" w:cs="宋体"/>
          <w:b/>
          <w:color w:val="auto"/>
          <w:szCs w:val="21"/>
          <w:highlight w:val="none"/>
          <w:lang w:eastAsia="zh-CN"/>
        </w:rPr>
        <w:t>；</w:t>
      </w:r>
    </w:p>
    <w:p w14:paraId="19AA5EE3">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8）安全文明施工费和规费、增值税不按广西区费用定额及造价管理相关文件规定报价的（园林绿化及仿古建筑工程除外）</w:t>
      </w:r>
      <w:r>
        <w:rPr>
          <w:rFonts w:hint="eastAsia" w:ascii="宋体" w:hAnsi="宋体" w:cs="宋体"/>
          <w:b/>
          <w:color w:val="auto"/>
          <w:szCs w:val="21"/>
          <w:highlight w:val="none"/>
          <w:lang w:eastAsia="zh-CN"/>
        </w:rPr>
        <w:t>；</w:t>
      </w:r>
    </w:p>
    <w:p w14:paraId="51A3CE82">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9）供应商已标价工程量清单的项目编码（12位）、计量单位、工程量任何一处与工程量清单不一致的</w:t>
      </w:r>
      <w:r>
        <w:rPr>
          <w:rFonts w:hint="eastAsia" w:ascii="宋体" w:hAnsi="宋体" w:cs="宋体"/>
          <w:b/>
          <w:color w:val="auto"/>
          <w:szCs w:val="21"/>
          <w:highlight w:val="none"/>
          <w:lang w:eastAsia="zh-CN"/>
        </w:rPr>
        <w:t>；</w:t>
      </w:r>
    </w:p>
    <w:p w14:paraId="754D4F9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10）供应商已标价工程量清单的项目名称或项目特征与工程量清单不一致，磋商小组要求澄清、说明或补正，但供应商拒绝澄清、说明或补正的</w:t>
      </w:r>
      <w:r>
        <w:rPr>
          <w:rFonts w:hint="eastAsia" w:ascii="宋体" w:hAnsi="宋体" w:cs="宋体"/>
          <w:b/>
          <w:color w:val="auto"/>
          <w:szCs w:val="21"/>
          <w:highlight w:val="none"/>
          <w:lang w:eastAsia="zh-CN"/>
        </w:rPr>
        <w:t>；</w:t>
      </w:r>
    </w:p>
    <w:p w14:paraId="0EB8D578">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11）设有暂估价、暂列金额的，竞标时未按工程量清单给出的暂估价总价、暂列金额总价计入竞标总报价中的</w:t>
      </w:r>
      <w:r>
        <w:rPr>
          <w:rFonts w:hint="eastAsia" w:ascii="宋体" w:hAnsi="宋体" w:cs="宋体"/>
          <w:b/>
          <w:color w:val="auto"/>
          <w:szCs w:val="21"/>
          <w:highlight w:val="none"/>
          <w:lang w:eastAsia="zh-CN"/>
        </w:rPr>
        <w:t>；</w:t>
      </w:r>
    </w:p>
    <w:p w14:paraId="5EA577E2">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12）供应商对工程量清单内容进行增减或对竞标范围进行调整的</w:t>
      </w:r>
      <w:r>
        <w:rPr>
          <w:rFonts w:hint="eastAsia" w:ascii="宋体" w:hAnsi="宋体" w:cs="宋体"/>
          <w:b/>
          <w:color w:val="auto"/>
          <w:szCs w:val="21"/>
          <w:highlight w:val="none"/>
          <w:lang w:eastAsia="zh-CN"/>
        </w:rPr>
        <w:t>；</w:t>
      </w:r>
    </w:p>
    <w:p w14:paraId="6FE6A22C">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cs="宋体"/>
          <w:b/>
          <w:color w:val="auto"/>
          <w:szCs w:val="21"/>
          <w:highlight w:val="none"/>
        </w:rPr>
        <w:t>13）</w:t>
      </w:r>
      <w:r>
        <w:rPr>
          <w:rFonts w:hint="eastAsia" w:ascii="宋体" w:hAnsi="宋体"/>
          <w:b/>
          <w:color w:val="auto"/>
          <w:szCs w:val="21"/>
          <w:highlight w:val="none"/>
        </w:rPr>
        <w:t>响应文件响应的标的数量及单位与竞争性磋商采购文件要求实质性不一致的</w:t>
      </w:r>
      <w:r>
        <w:rPr>
          <w:rFonts w:hint="eastAsia" w:ascii="宋体" w:hAnsi="宋体"/>
          <w:b/>
          <w:color w:val="auto"/>
          <w:szCs w:val="21"/>
          <w:highlight w:val="none"/>
          <w:lang w:eastAsia="zh-CN"/>
        </w:rPr>
        <w:t>；</w:t>
      </w:r>
    </w:p>
    <w:p w14:paraId="3AB03DA0">
      <w:pPr>
        <w:spacing w:line="360" w:lineRule="auto"/>
        <w:ind w:firstLine="422" w:firstLineChars="200"/>
        <w:rPr>
          <w:rFonts w:hint="eastAsia" w:ascii="宋体" w:hAnsi="宋体" w:eastAsia="宋体"/>
          <w:b/>
          <w:color w:val="auto"/>
          <w:szCs w:val="21"/>
          <w:highlight w:val="none"/>
          <w:lang w:eastAsia="zh-CN"/>
        </w:rPr>
      </w:pPr>
      <w:bookmarkStart w:id="75" w:name="_Hlk188371373"/>
      <w:r>
        <w:rPr>
          <w:rFonts w:hint="eastAsia" w:ascii="宋体" w:hAnsi="宋体"/>
          <w:b/>
          <w:color w:val="auto"/>
          <w:szCs w:val="21"/>
          <w:highlight w:val="none"/>
        </w:rPr>
        <w:t>14）竞标函附录的承诺</w:t>
      </w:r>
      <w:bookmarkStart w:id="76" w:name="_Hlk188372203"/>
      <w:r>
        <w:rPr>
          <w:rFonts w:hint="eastAsia" w:ascii="宋体" w:hAnsi="宋体"/>
          <w:b/>
          <w:color w:val="auto"/>
          <w:szCs w:val="21"/>
          <w:highlight w:val="none"/>
        </w:rPr>
        <w:t>不</w:t>
      </w:r>
      <w:bookmarkEnd w:id="76"/>
      <w:r>
        <w:rPr>
          <w:rFonts w:hint="eastAsia" w:ascii="宋体" w:hAnsi="宋体"/>
          <w:b/>
          <w:color w:val="auto"/>
          <w:szCs w:val="21"/>
          <w:highlight w:val="none"/>
        </w:rPr>
        <w:t>符合磋商文件的规定</w:t>
      </w:r>
      <w:bookmarkEnd w:id="75"/>
      <w:r>
        <w:rPr>
          <w:rFonts w:hint="eastAsia" w:ascii="宋体" w:hAnsi="宋体"/>
          <w:b/>
          <w:color w:val="auto"/>
          <w:szCs w:val="21"/>
          <w:highlight w:val="none"/>
          <w:lang w:eastAsia="zh-CN"/>
        </w:rPr>
        <w:t>；</w:t>
      </w:r>
    </w:p>
    <w:p w14:paraId="470FFEBE">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5）未响应磋商文件实质性要求的。</w:t>
      </w:r>
    </w:p>
    <w:p w14:paraId="0ADD2D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56FAA60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15FAE3E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7F83693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7B5CE4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A1B0C6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52B7268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362CBA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0F66F09D">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2CF031EC">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F36EB3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6B53DF73">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F1A17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39C45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14:paraId="46B737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08983D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553F8E3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74124A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5BD7F57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5C6C02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4D2786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14E01C9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（1）供应商不确认的（全流程电子化评标采取在线确认）</w:t>
      </w:r>
      <w:r>
        <w:rPr>
          <w:rFonts w:hint="eastAsia" w:ascii="宋体" w:hAnsi="宋体" w:cs="宋体"/>
          <w:color w:val="auto"/>
          <w:szCs w:val="21"/>
          <w:highlight w:val="none"/>
          <w:lang w:eastAsia="zh-CN"/>
        </w:rPr>
        <w:t>；</w:t>
      </w:r>
    </w:p>
    <w:p w14:paraId="1B81DEB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r>
        <w:rPr>
          <w:rFonts w:hint="eastAsia" w:ascii="宋体" w:hAnsi="宋体" w:cs="宋体"/>
          <w:color w:val="auto"/>
          <w:szCs w:val="21"/>
          <w:highlight w:val="none"/>
          <w:lang w:eastAsia="zh-CN"/>
        </w:rPr>
        <w:t>；</w:t>
      </w:r>
    </w:p>
    <w:p w14:paraId="787CC2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（3）经供应商确认修正后的竞标报价（包含首次报价、最后报价）超过分项采购预算金额或者单价最高限价的（如项目有要求并公布了分项采购预算金额或者单价最高限价）。</w:t>
      </w:r>
    </w:p>
    <w:p w14:paraId="0409076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A5624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A4407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5713476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3C177D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0149A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2FBF6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366EB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69EE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0B2C5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3E488FB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 成交供应商荐原则</w:t>
      </w:r>
    </w:p>
    <w:p w14:paraId="5BCE59BA">
      <w:pPr>
        <w:spacing w:line="360" w:lineRule="auto"/>
        <w:ind w:firstLine="420" w:firstLineChars="200"/>
        <w:rPr>
          <w:rFonts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均相同的，由磋商小组随机抽取推荐</w:t>
      </w:r>
      <w:r>
        <w:rPr>
          <w:rFonts w:hint="eastAsia" w:ascii="宋体" w:hAnsi="宋体"/>
          <w:color w:val="auto"/>
          <w:kern w:val="0"/>
          <w:szCs w:val="21"/>
          <w:highlight w:val="none"/>
        </w:rPr>
        <w:t>。</w:t>
      </w:r>
    </w:p>
    <w:p w14:paraId="42307707">
      <w:pPr>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3F731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37465F3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p w14:paraId="3882F917">
      <w:pPr>
        <w:rPr>
          <w:rFonts w:hint="eastAsia" w:ascii="宋体" w:hAnsi="宋体"/>
          <w:bCs/>
          <w:color w:val="auto"/>
          <w:szCs w:val="21"/>
          <w:highlight w:val="none"/>
        </w:rPr>
      </w:pPr>
      <w:r>
        <w:rPr>
          <w:rFonts w:hint="eastAsia" w:ascii="宋体" w:hAnsi="宋体"/>
          <w:bCs/>
          <w:color w:val="auto"/>
          <w:szCs w:val="21"/>
          <w:highlight w:val="none"/>
        </w:rPr>
        <w:br w:type="page"/>
      </w:r>
    </w:p>
    <w:tbl>
      <w:tblPr>
        <w:tblStyle w:val="4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94"/>
        <w:gridCol w:w="1595"/>
        <w:gridCol w:w="5843"/>
        <w:gridCol w:w="878"/>
      </w:tblGrid>
      <w:tr w14:paraId="486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00684037">
            <w:pPr>
              <w:keepNext w:val="0"/>
              <w:keepLines w:val="0"/>
              <w:pageBreakBefore w:val="0"/>
              <w:widowControl/>
              <w:kinsoku/>
              <w:wordWrap w:val="0"/>
              <w:overflowPunct/>
              <w:topLinePunct w:val="0"/>
              <w:bidi w:val="0"/>
              <w:spacing w:line="39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089" w:type="dxa"/>
            <w:gridSpan w:val="2"/>
            <w:noWrap w:val="0"/>
            <w:vAlign w:val="center"/>
          </w:tcPr>
          <w:p w14:paraId="31ADB9CE">
            <w:pPr>
              <w:keepNext w:val="0"/>
              <w:keepLines w:val="0"/>
              <w:pageBreakBefore w:val="0"/>
              <w:widowControl/>
              <w:kinsoku/>
              <w:wordWrap w:val="0"/>
              <w:overflowPunct/>
              <w:topLinePunct w:val="0"/>
              <w:bidi w:val="0"/>
              <w:spacing w:line="39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5843" w:type="dxa"/>
            <w:noWrap w:val="0"/>
            <w:vAlign w:val="center"/>
          </w:tcPr>
          <w:p w14:paraId="4F0A353A">
            <w:pPr>
              <w:keepNext w:val="0"/>
              <w:keepLines w:val="0"/>
              <w:pageBreakBefore w:val="0"/>
              <w:widowControl/>
              <w:kinsoku/>
              <w:wordWrap w:val="0"/>
              <w:overflowPunct/>
              <w:topLinePunct w:val="0"/>
              <w:bidi w:val="0"/>
              <w:spacing w:line="39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878" w:type="dxa"/>
            <w:noWrap w:val="0"/>
            <w:vAlign w:val="center"/>
          </w:tcPr>
          <w:p w14:paraId="0F175B11">
            <w:pPr>
              <w:keepNext w:val="0"/>
              <w:keepLines w:val="0"/>
              <w:pageBreakBefore w:val="0"/>
              <w:widowControl/>
              <w:kinsoku/>
              <w:wordWrap w:val="0"/>
              <w:overflowPunct/>
              <w:topLinePunct w:val="0"/>
              <w:bidi w:val="0"/>
              <w:spacing w:line="39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27AB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577BF4EA">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089" w:type="dxa"/>
            <w:gridSpan w:val="2"/>
            <w:noWrap w:val="0"/>
            <w:vAlign w:val="center"/>
          </w:tcPr>
          <w:p w14:paraId="103BCAE2">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5843" w:type="dxa"/>
            <w:noWrap w:val="0"/>
            <w:vAlign w:val="top"/>
          </w:tcPr>
          <w:p w14:paraId="41E3814C">
            <w:pPr>
              <w:pStyle w:val="17"/>
              <w:keepNext w:val="0"/>
              <w:keepLines w:val="0"/>
              <w:pageBreakBefore w:val="0"/>
              <w:kinsoku/>
              <w:overflowPunct/>
              <w:topLinePunct w:val="0"/>
              <w:bidi w:val="0"/>
              <w:spacing w:line="390" w:lineRule="exact"/>
              <w:rPr>
                <w:rFonts w:hAnsi="宋体" w:cs="Courier New"/>
                <w:bCs/>
                <w:color w:val="auto"/>
                <w:kern w:val="2"/>
                <w:sz w:val="21"/>
                <w:highlight w:val="none"/>
              </w:rPr>
            </w:pPr>
            <w:r>
              <w:rPr>
                <w:rFonts w:hint="eastAsia" w:hAnsi="宋体" w:cs="Courier New"/>
                <w:bCs/>
                <w:color w:val="auto"/>
                <w:kern w:val="2"/>
                <w:sz w:val="21"/>
                <w:highlight w:val="none"/>
              </w:rPr>
              <w:t>（1）</w:t>
            </w:r>
            <w:r>
              <w:rPr>
                <w:color w:val="auto"/>
                <w:highlight w:val="none"/>
              </w:rPr>
              <w:t>本</w:t>
            </w:r>
            <w:r>
              <w:rPr>
                <w:rFonts w:hint="eastAsia"/>
                <w:color w:val="auto"/>
                <w:highlight w:val="none"/>
              </w:rPr>
              <w:t>项目</w:t>
            </w:r>
            <w:r>
              <w:rPr>
                <w:color w:val="auto"/>
                <w:highlight w:val="none"/>
              </w:rPr>
              <w:t>专门面向中小企业采购，根据《</w:t>
            </w:r>
            <w:r>
              <w:rPr>
                <w:rFonts w:hint="eastAsia"/>
                <w:color w:val="auto"/>
                <w:highlight w:val="none"/>
              </w:rPr>
              <w:t>政府采购促进中小企业发展管理办法</w:t>
            </w:r>
            <w:r>
              <w:rPr>
                <w:color w:val="auto"/>
                <w:highlight w:val="none"/>
              </w:rPr>
              <w:t>》</w:t>
            </w:r>
            <w:r>
              <w:rPr>
                <w:rFonts w:hint="eastAsia"/>
                <w:color w:val="auto"/>
                <w:highlight w:val="none"/>
              </w:rPr>
              <w:t>规定，不再针对小微企业执行</w:t>
            </w:r>
            <w:r>
              <w:rPr>
                <w:rFonts w:hint="eastAsia" w:hAnsi="宋体" w:cs="Courier New"/>
                <w:bCs/>
                <w:color w:val="auto"/>
                <w:kern w:val="2"/>
                <w:sz w:val="21"/>
                <w:highlight w:val="none"/>
              </w:rPr>
              <w:t>价格扣除政策。</w:t>
            </w:r>
          </w:p>
          <w:p w14:paraId="10921AAB">
            <w:pPr>
              <w:pStyle w:val="25"/>
              <w:keepNext w:val="0"/>
              <w:keepLines w:val="0"/>
              <w:pageBreakBefore w:val="0"/>
              <w:kinsoku/>
              <w:overflowPunct/>
              <w:topLinePunct w:val="0"/>
              <w:bidi w:val="0"/>
              <w:spacing w:line="390" w:lineRule="exact"/>
              <w:rPr>
                <w:rFonts w:hAnsi="宋体" w:cs="Courier New"/>
                <w:bCs/>
                <w:color w:val="auto"/>
                <w:kern w:val="2"/>
                <w:sz w:val="21"/>
                <w:highlight w:val="none"/>
              </w:rPr>
            </w:pPr>
            <w:r>
              <w:rPr>
                <w:rFonts w:hint="eastAsia" w:hAnsi="宋体" w:cs="Courier New"/>
                <w:bCs/>
                <w:color w:val="auto"/>
                <w:kern w:val="2"/>
                <w:sz w:val="21"/>
                <w:highlight w:val="none"/>
              </w:rPr>
              <w:t>（2）以进入比较与评价环节的最低的</w:t>
            </w:r>
            <w:r>
              <w:rPr>
                <w:rFonts w:hint="eastAsia" w:hAnsi="宋体" w:cs="Courier New"/>
                <w:bCs/>
                <w:color w:val="auto"/>
                <w:kern w:val="2"/>
                <w:sz w:val="21"/>
                <w:highlight w:val="none"/>
                <w:lang w:val="en-US" w:eastAsia="zh-CN"/>
              </w:rPr>
              <w:t>最后报</w:t>
            </w:r>
            <w:r>
              <w:rPr>
                <w:rFonts w:hint="eastAsia" w:hAnsi="宋体" w:cs="Courier New"/>
                <w:bCs/>
                <w:color w:val="auto"/>
                <w:kern w:val="2"/>
                <w:sz w:val="21"/>
                <w:highlight w:val="none"/>
              </w:rPr>
              <w:t>价为基准价，基准价得分为</w:t>
            </w:r>
            <w:r>
              <w:rPr>
                <w:rFonts w:hAnsi="宋体" w:cs="Courier New"/>
                <w:bCs/>
                <w:color w:val="auto"/>
                <w:kern w:val="2"/>
                <w:sz w:val="21"/>
                <w:highlight w:val="none"/>
              </w:rPr>
              <w:t xml:space="preserve"> </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0分 。</w:t>
            </w:r>
          </w:p>
          <w:p w14:paraId="590A162F">
            <w:pPr>
              <w:pStyle w:val="25"/>
              <w:keepNext w:val="0"/>
              <w:keepLines w:val="0"/>
              <w:pageBreakBefore w:val="0"/>
              <w:kinsoku/>
              <w:wordWrap w:val="0"/>
              <w:overflowPunct/>
              <w:topLinePunct w:val="0"/>
              <w:bidi w:val="0"/>
              <w:spacing w:line="390" w:lineRule="exact"/>
              <w:ind w:firstLine="420" w:firstLineChars="200"/>
              <w:rPr>
                <w:rFonts w:hint="eastAsia" w:hAnsi="宋体" w:cs="宋体"/>
                <w:bCs/>
                <w:color w:val="auto"/>
                <w:kern w:val="2"/>
                <w:sz w:val="21"/>
                <w:highlight w:val="none"/>
                <w:lang w:val="en-US" w:eastAsia="zh-CN"/>
              </w:rPr>
            </w:pPr>
            <w:r>
              <w:rPr>
                <w:rFonts w:hint="eastAsia" w:hAnsi="宋体" w:cs="Courier New"/>
                <w:bCs/>
                <w:color w:val="auto"/>
                <w:kern w:val="2"/>
                <w:sz w:val="21"/>
                <w:highlight w:val="none"/>
              </w:rPr>
              <w:t>（3）价格分计算公式：报价得分=（基准价/最后报价）×</w:t>
            </w:r>
            <w:r>
              <w:rPr>
                <w:rFonts w:hAnsi="宋体" w:cs="Courier New"/>
                <w:bCs/>
                <w:color w:val="auto"/>
                <w:kern w:val="2"/>
                <w:sz w:val="21"/>
                <w:highlight w:val="none"/>
              </w:rPr>
              <w:t xml:space="preserve"> </w:t>
            </w:r>
            <w:r>
              <w:rPr>
                <w:rFonts w:hint="eastAsia" w:hAnsi="宋体" w:cs="Courier New"/>
                <w:bCs/>
                <w:color w:val="auto"/>
                <w:kern w:val="2"/>
                <w:sz w:val="21"/>
                <w:highlight w:val="none"/>
                <w:lang w:val="en-US" w:eastAsia="zh-CN"/>
              </w:rPr>
              <w:t>2</w:t>
            </w:r>
            <w:r>
              <w:rPr>
                <w:rFonts w:hint="eastAsia" w:hAnsi="宋体" w:cs="Courier New"/>
                <w:bCs/>
                <w:color w:val="auto"/>
                <w:kern w:val="2"/>
                <w:sz w:val="21"/>
                <w:highlight w:val="none"/>
              </w:rPr>
              <w:t>0分</w:t>
            </w:r>
          </w:p>
        </w:tc>
        <w:tc>
          <w:tcPr>
            <w:tcW w:w="878" w:type="dxa"/>
            <w:noWrap w:val="0"/>
            <w:vAlign w:val="center"/>
          </w:tcPr>
          <w:p w14:paraId="3CF0A123">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20分</w:t>
            </w:r>
          </w:p>
        </w:tc>
      </w:tr>
      <w:tr w14:paraId="7E4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6CF63F62">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2</w:t>
            </w:r>
          </w:p>
        </w:tc>
        <w:tc>
          <w:tcPr>
            <w:tcW w:w="2089" w:type="dxa"/>
            <w:gridSpan w:val="2"/>
            <w:noWrap w:val="0"/>
            <w:vAlign w:val="center"/>
          </w:tcPr>
          <w:p w14:paraId="0CB2C1D1">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5843" w:type="dxa"/>
            <w:noWrap w:val="0"/>
            <w:vAlign w:val="center"/>
          </w:tcPr>
          <w:p w14:paraId="6C04C652">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bCs/>
                <w:color w:val="auto"/>
                <w:szCs w:val="21"/>
                <w:highlight w:val="none"/>
              </w:rPr>
              <w:t>评审标准</w:t>
            </w:r>
          </w:p>
        </w:tc>
        <w:tc>
          <w:tcPr>
            <w:tcW w:w="878" w:type="dxa"/>
            <w:noWrap w:val="0"/>
            <w:vAlign w:val="center"/>
          </w:tcPr>
          <w:p w14:paraId="104CE39F">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70分</w:t>
            </w:r>
          </w:p>
        </w:tc>
      </w:tr>
      <w:tr w14:paraId="7FA1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48" w:type="dxa"/>
            <w:vMerge w:val="restart"/>
            <w:noWrap w:val="0"/>
            <w:vAlign w:val="center"/>
          </w:tcPr>
          <w:p w14:paraId="1CB99E01">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494" w:type="dxa"/>
            <w:vMerge w:val="restart"/>
            <w:noWrap w:val="0"/>
            <w:vAlign w:val="center"/>
          </w:tcPr>
          <w:p w14:paraId="5A084E06">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1595" w:type="dxa"/>
            <w:noWrap w:val="0"/>
            <w:vAlign w:val="center"/>
          </w:tcPr>
          <w:p w14:paraId="7E3CF1BC">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项目经理任职资格</w:t>
            </w:r>
          </w:p>
        </w:tc>
        <w:tc>
          <w:tcPr>
            <w:tcW w:w="5843" w:type="dxa"/>
            <w:noWrap w:val="0"/>
            <w:vAlign w:val="center"/>
          </w:tcPr>
          <w:p w14:paraId="0D8770C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拟派任项目经理（或注册建造师）必须与资格审查合格通过的项目经理（或注册建造师）在名称、专业、资格等级等方面一致，得3分，满分3分。</w:t>
            </w:r>
          </w:p>
          <w:p w14:paraId="0A7A163D">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注：响应文件中提供项目经理相应有效的职称证书复印件，复印件需加盖单位公章，否则不得分。</w:t>
            </w:r>
          </w:p>
        </w:tc>
        <w:tc>
          <w:tcPr>
            <w:tcW w:w="878" w:type="dxa"/>
            <w:noWrap w:val="0"/>
            <w:vAlign w:val="center"/>
          </w:tcPr>
          <w:p w14:paraId="076F901E">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3分</w:t>
            </w:r>
          </w:p>
        </w:tc>
      </w:tr>
      <w:tr w14:paraId="070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07A527E0">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3C32EBF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p>
        </w:tc>
        <w:tc>
          <w:tcPr>
            <w:tcW w:w="1595" w:type="dxa"/>
            <w:noWrap w:val="0"/>
            <w:vAlign w:val="center"/>
          </w:tcPr>
          <w:p w14:paraId="0905D868">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其他主要人员</w:t>
            </w:r>
          </w:p>
        </w:tc>
        <w:tc>
          <w:tcPr>
            <w:tcW w:w="5843" w:type="dxa"/>
            <w:noWrap w:val="0"/>
            <w:vAlign w:val="top"/>
          </w:tcPr>
          <w:p w14:paraId="2B2C6881">
            <w:pPr>
              <w:pStyle w:val="40"/>
              <w:keepNext w:val="0"/>
              <w:keepLines w:val="0"/>
              <w:pageBreakBefore w:val="0"/>
              <w:kinsoku/>
              <w:wordWrap w:val="0"/>
              <w:overflowPunct/>
              <w:topLinePunct w:val="0"/>
              <w:bidi w:val="0"/>
              <w:snapToGrid w:val="0"/>
              <w:spacing w:line="39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拟投入本工程的技术人员中有施工员、质量员、材料员，且持证上岗的，每提供一种证书得1分，满分3分。</w:t>
            </w:r>
          </w:p>
          <w:p w14:paraId="5188414E">
            <w:pPr>
              <w:pStyle w:val="40"/>
              <w:keepNext w:val="0"/>
              <w:keepLines w:val="0"/>
              <w:pageBreakBefore w:val="0"/>
              <w:kinsoku/>
              <w:wordWrap w:val="0"/>
              <w:overflowPunct/>
              <w:topLinePunct w:val="0"/>
              <w:bidi w:val="0"/>
              <w:snapToGrid w:val="0"/>
              <w:spacing w:line="39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注：响应文件中提供上述人员相应有效的证书复印件，复印件需加盖单位公章，否则不得分。</w:t>
            </w:r>
          </w:p>
        </w:tc>
        <w:tc>
          <w:tcPr>
            <w:tcW w:w="878" w:type="dxa"/>
            <w:noWrap w:val="0"/>
            <w:vAlign w:val="center"/>
          </w:tcPr>
          <w:p w14:paraId="13E2AD74">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3分</w:t>
            </w:r>
          </w:p>
        </w:tc>
      </w:tr>
      <w:tr w14:paraId="4D9F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restart"/>
            <w:noWrap w:val="0"/>
            <w:vAlign w:val="center"/>
          </w:tcPr>
          <w:p w14:paraId="5B40F8AC">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494" w:type="dxa"/>
            <w:vMerge w:val="restart"/>
            <w:noWrap w:val="0"/>
            <w:vAlign w:val="center"/>
          </w:tcPr>
          <w:p w14:paraId="595A0C64">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施工组织设计</w:t>
            </w:r>
          </w:p>
        </w:tc>
        <w:tc>
          <w:tcPr>
            <w:tcW w:w="1595" w:type="dxa"/>
            <w:noWrap w:val="0"/>
            <w:vAlign w:val="center"/>
          </w:tcPr>
          <w:p w14:paraId="76F4CB74">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主要施工方法</w:t>
            </w:r>
          </w:p>
        </w:tc>
        <w:tc>
          <w:tcPr>
            <w:tcW w:w="5843" w:type="dxa"/>
            <w:noWrap w:val="0"/>
            <w:vAlign w:val="center"/>
          </w:tcPr>
          <w:p w14:paraId="01074983">
            <w:pPr>
              <w:keepNext w:val="0"/>
              <w:keepLines w:val="0"/>
              <w:pageBreakBefore w:val="0"/>
              <w:widowControl/>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一档（2分）：各主要分部施工方法基本符合项目实际，施工技术方案考虑不够详细、不够切合项目。</w:t>
            </w:r>
          </w:p>
          <w:p w14:paraId="6512A07E">
            <w:pPr>
              <w:keepNext w:val="0"/>
              <w:keepLines w:val="0"/>
              <w:pageBreakBefore w:val="0"/>
              <w:widowControl/>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二档（6分）：各主要分部施工方法符合项目实际，有详尽的施工技术方案，工艺基本可行、方法可行，能指导具体施工并确保安全。</w:t>
            </w:r>
          </w:p>
          <w:p w14:paraId="5B4F452E">
            <w:pPr>
              <w:keepNext w:val="0"/>
              <w:keepLines w:val="0"/>
              <w:pageBreakBefore w:val="0"/>
              <w:widowControl/>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三档（10分）：各主要分部施工方法符合项目实际，有详尽的施工技术方案，工艺先进、方法科学合理、可行，能指导具体施工并确保安全。</w:t>
            </w:r>
          </w:p>
          <w:p w14:paraId="03EE4F71">
            <w:pPr>
              <w:keepNext w:val="0"/>
              <w:keepLines w:val="0"/>
              <w:pageBreakBefore w:val="0"/>
              <w:widowControl/>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0AD9FCDA">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10分</w:t>
            </w:r>
          </w:p>
        </w:tc>
      </w:tr>
      <w:tr w14:paraId="6C6C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D5BBD9D">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61A76008">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60FDAB37">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拟投入的主要物资计划</w:t>
            </w:r>
          </w:p>
        </w:tc>
        <w:tc>
          <w:tcPr>
            <w:tcW w:w="5843" w:type="dxa"/>
            <w:noWrap w:val="0"/>
            <w:vAlign w:val="center"/>
          </w:tcPr>
          <w:p w14:paraId="4501B8CA">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w:t>
            </w:r>
            <w:r>
              <w:rPr>
                <w:rFonts w:hint="eastAsia" w:ascii="宋体" w:hAnsi="宋体" w:cs="宋体"/>
                <w:color w:val="auto"/>
                <w:kern w:val="0"/>
                <w:szCs w:val="21"/>
                <w:highlight w:val="none"/>
              </w:rPr>
              <w:t>投入的施工材料有组织计划，数量、选型配置、进场时间基本满足施工需要</w:t>
            </w:r>
            <w:r>
              <w:rPr>
                <w:rFonts w:hint="eastAsia" w:ascii="宋体" w:hAnsi="宋体" w:cs="宋体"/>
                <w:color w:val="auto"/>
                <w:szCs w:val="21"/>
                <w:highlight w:val="none"/>
              </w:rPr>
              <w:t>。</w:t>
            </w:r>
          </w:p>
          <w:p w14:paraId="6C85AEC7">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二档（5分）：</w:t>
            </w:r>
            <w:r>
              <w:rPr>
                <w:rFonts w:hint="eastAsia" w:ascii="宋体" w:hAnsi="宋体" w:cs="宋体"/>
                <w:color w:val="auto"/>
                <w:kern w:val="0"/>
                <w:szCs w:val="21"/>
                <w:highlight w:val="none"/>
              </w:rPr>
              <w:t>投入的施工材料有详细的组织计划且计划</w:t>
            </w:r>
            <w:r>
              <w:rPr>
                <w:rFonts w:hint="eastAsia" w:ascii="宋体" w:hAnsi="宋体" w:cs="宋体"/>
                <w:color w:val="auto"/>
                <w:szCs w:val="21"/>
                <w:highlight w:val="none"/>
              </w:rPr>
              <w:t>考虑不够周全</w:t>
            </w:r>
            <w:r>
              <w:rPr>
                <w:rFonts w:hint="eastAsia" w:ascii="宋体" w:hAnsi="宋体" w:cs="宋体"/>
                <w:color w:val="auto"/>
                <w:kern w:val="0"/>
                <w:szCs w:val="21"/>
                <w:highlight w:val="none"/>
              </w:rPr>
              <w:t>，数量、选型配置、进场时间安排较合理，满足施工需要</w:t>
            </w:r>
            <w:r>
              <w:rPr>
                <w:rFonts w:hint="eastAsia" w:ascii="宋体" w:hAnsi="宋体" w:cs="宋体"/>
                <w:color w:val="auto"/>
                <w:szCs w:val="21"/>
                <w:highlight w:val="none"/>
              </w:rPr>
              <w:t xml:space="preserve">。 </w:t>
            </w:r>
          </w:p>
          <w:p w14:paraId="4F5FCC1A">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三档（8分）：投入的施工材料有详细的组织计划且计划周密，数量、选型配置、进场时间安排合理，有拟配备本项目的试验和检测仪器设备表，完全满足施工需要。</w:t>
            </w:r>
          </w:p>
          <w:p w14:paraId="5DD92AAC">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64CE6AE9">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8分</w:t>
            </w:r>
          </w:p>
        </w:tc>
      </w:tr>
      <w:tr w14:paraId="3C7F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1097E7D">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44138ED3">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1A5CCC7D">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拟投入的主要施工机械、设备计划</w:t>
            </w:r>
          </w:p>
        </w:tc>
        <w:tc>
          <w:tcPr>
            <w:tcW w:w="5843" w:type="dxa"/>
            <w:noWrap w:val="0"/>
            <w:vAlign w:val="center"/>
          </w:tcPr>
          <w:p w14:paraId="44855FB0">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一档（2分）：投入的施工机械、设备、机具无详细的组织计划，设备数量、选型配置、进场时间安排不够合理。</w:t>
            </w:r>
          </w:p>
          <w:p w14:paraId="3D02715E">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二档（5分）：投入的施工机械、设备、机具有组织计划且计划考虑基本切合项目实际，设备数量、选型配置、进场时间安排合理，基本满足施工需要。  </w:t>
            </w:r>
          </w:p>
          <w:p w14:paraId="0486019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三档（8分）：投入的施工机械、设备、机具有详细的组织计划且计划周密，设备数量、选型配置、进场时间安排合理，满足施工需要。 </w:t>
            </w:r>
          </w:p>
          <w:p w14:paraId="260D375D">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34BBD897">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8分</w:t>
            </w:r>
          </w:p>
        </w:tc>
      </w:tr>
      <w:tr w14:paraId="2319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3C5F9F05">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751D7FE9">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57C98B8A">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劳动力安排计划</w:t>
            </w:r>
          </w:p>
        </w:tc>
        <w:tc>
          <w:tcPr>
            <w:tcW w:w="5843" w:type="dxa"/>
            <w:noWrap w:val="0"/>
            <w:vAlign w:val="center"/>
          </w:tcPr>
          <w:p w14:paraId="1244939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w:t>
            </w:r>
            <w:r>
              <w:rPr>
                <w:rFonts w:hint="eastAsia" w:ascii="宋体" w:hAnsi="宋体" w:cs="宋体"/>
                <w:color w:val="auto"/>
                <w:kern w:val="0"/>
                <w:szCs w:val="21"/>
                <w:highlight w:val="none"/>
              </w:rPr>
              <w:t>各主要施工工序有劳动力安排计划，劳动力投入基本满足施工需要</w:t>
            </w:r>
            <w:r>
              <w:rPr>
                <w:rFonts w:hint="eastAsia" w:ascii="宋体" w:hAnsi="宋体" w:cs="宋体"/>
                <w:color w:val="auto"/>
                <w:szCs w:val="21"/>
                <w:highlight w:val="none"/>
              </w:rPr>
              <w:t xml:space="preserve">。 </w:t>
            </w:r>
          </w:p>
          <w:p w14:paraId="0F3B2705">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二档（5分）：</w:t>
            </w:r>
            <w:r>
              <w:rPr>
                <w:rFonts w:hint="eastAsia" w:ascii="宋体" w:hAnsi="宋体" w:cs="宋体"/>
                <w:color w:val="auto"/>
                <w:kern w:val="0"/>
                <w:szCs w:val="21"/>
                <w:highlight w:val="none"/>
              </w:rPr>
              <w:t>各主要施工工序有详细的劳动力安排计划，有各工种劳动力安排计划，劳动力投入较合理，满足施工需要</w:t>
            </w:r>
            <w:r>
              <w:rPr>
                <w:rFonts w:hint="eastAsia" w:ascii="宋体" w:hAnsi="宋体" w:cs="宋体"/>
                <w:color w:val="auto"/>
                <w:szCs w:val="21"/>
                <w:highlight w:val="none"/>
              </w:rPr>
              <w:t>。</w:t>
            </w:r>
          </w:p>
          <w:p w14:paraId="00AA7EFD">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三档（8分）：各主要施工工序有详细周密的劳动力安排计划，有各工种劳动力安排计划，劳动力投入合理，满足施工需要。</w:t>
            </w:r>
          </w:p>
          <w:p w14:paraId="7BB86CF2">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3A6A6D51">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8分</w:t>
            </w:r>
          </w:p>
        </w:tc>
      </w:tr>
      <w:tr w14:paraId="439F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00096CDA">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5F8B0BA5">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4F24ABF0">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确保工程质量的技术组织措施</w:t>
            </w:r>
          </w:p>
        </w:tc>
        <w:tc>
          <w:tcPr>
            <w:tcW w:w="5843" w:type="dxa"/>
            <w:noWrap w:val="0"/>
            <w:vAlign w:val="center"/>
          </w:tcPr>
          <w:p w14:paraId="6EF50698">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一档（2分）：有专门的质量技术管理班子和制度。主要工序有质量技术保证措施和手段，基本能保证技术质量，达到承诺的质量标准。</w:t>
            </w:r>
          </w:p>
          <w:p w14:paraId="2A4101A5">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4分）：有专门的质量技术管理班子和制度，且人员配备较合理，制度较健全。有质量管理责任人和职责明确，正确完整列出针对本工程关键工序的质量验收流程和验收依据标准。主要工序有质量技术保证措施和手段，自控体系较完整，能有效保证技术质量，达到承诺的质量标准。</w:t>
            </w:r>
          </w:p>
          <w:p w14:paraId="7DE77EA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有质量管理责任人和职责明确，正确完整列出针对本工程关键工序的质量验收流程和验收依据标准，有针对施工过程质量控制日常管理制度流程，且满足本工程需要。主要工序有质量技术保证措施和手段，自控体系完整，能有效保证技术质量，达到承诺的质量标准。</w:t>
            </w:r>
          </w:p>
          <w:p w14:paraId="153D95FE">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15BCA2CD">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6分</w:t>
            </w:r>
          </w:p>
        </w:tc>
      </w:tr>
      <w:tr w14:paraId="6F7E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51323804">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5995581E">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7B244302">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确保安全生产的技术组织措施</w:t>
            </w:r>
          </w:p>
        </w:tc>
        <w:tc>
          <w:tcPr>
            <w:tcW w:w="5843" w:type="dxa"/>
            <w:noWrap w:val="0"/>
            <w:vAlign w:val="center"/>
          </w:tcPr>
          <w:p w14:paraId="6E31525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一档（2分）：有专门的安全管理人员和制度，且人员配备基本合理，制度基本健全，各道工序安全技术措施基本符合满足有关安全技术标准要求。现场防火、应急救援、社会治安安全措施基本可行。</w:t>
            </w:r>
          </w:p>
          <w:p w14:paraId="4FE07945">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4分）：有专门的安全管理人员和制度，且人员配备较合理，制度较健全，各道工序安全技术措施针对性较强，符合实际且满足有关安全技术标准要求。现场防火、应急救援、社会治安安全措施较得力。有对本工程的全面风险分析、施工各项风险的专项防护措施、风险事件的应急处置预案，内容基本可行。</w:t>
            </w:r>
          </w:p>
          <w:p w14:paraId="1CFE4405">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6分）：有专门的安全管理人员和制度，且人员配备合理，制度健全，各道工序安全技术措施针对性强，符合实际且满足有关安全技术标准要求。现场防火、应急救援、社会治安安全措施得力。有针对本工程的全面风险分析、施工各项风险的专项防护措施、风险事件的应急处置预案，且内容可行性强。有可行的对他方交叉作业安全管理措施和针对本工程突发异常天气等自然灾害环形的预防保障及应急处置措施。</w:t>
            </w:r>
          </w:p>
          <w:p w14:paraId="051F7367">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13D732E6">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6分</w:t>
            </w:r>
          </w:p>
        </w:tc>
      </w:tr>
      <w:tr w14:paraId="278B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7F0FAB06">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66D62BAC">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6849D133">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确保工期的技术组织措施</w:t>
            </w:r>
          </w:p>
        </w:tc>
        <w:tc>
          <w:tcPr>
            <w:tcW w:w="5843" w:type="dxa"/>
            <w:noWrap w:val="0"/>
            <w:vAlign w:val="center"/>
          </w:tcPr>
          <w:p w14:paraId="38D33A04">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一档（2分）：在施工工艺、施工方法、材料选用、劳动力安排、技术等方面有保证工期的措施。有控制工期的施工进度计划，基本符合本项目施工实际要求。</w:t>
            </w:r>
          </w:p>
          <w:p w14:paraId="2C9010C9">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4分）：在施工工艺、施工方法、材料选用、劳动力安排、技术等方面有保证工期的具体措施且措施较得当。有控制工期的施工进度计划。有施工总进度表或施工网络图，各项计划图表编制较完善，安排较合理，符合本项目施工实际要求。</w:t>
            </w:r>
          </w:p>
          <w:p w14:paraId="7659488B">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6分）：在施工工艺、施工方法、材料选用、劳动力安排、技术等方面有保证工期的具体措施且措施得当。有控制工期的施工进度计划。有施工总进度表或施工网络图，对关键线路节点控制管理措施得当，并对如果发生进度滞后有具体可行的纠偏及补救措施，各项计划图表编制完善，安排科学合理，符合本项目施工实际要求。</w:t>
            </w:r>
          </w:p>
          <w:p w14:paraId="6B80542A">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71BDBA1B">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6分</w:t>
            </w:r>
          </w:p>
        </w:tc>
      </w:tr>
      <w:tr w14:paraId="31FE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6FF6A4E9">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48D7D586">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528D02F5">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确保文明施工的技术组织措施</w:t>
            </w:r>
          </w:p>
        </w:tc>
        <w:tc>
          <w:tcPr>
            <w:tcW w:w="5843" w:type="dxa"/>
            <w:noWrap w:val="0"/>
            <w:vAlign w:val="center"/>
          </w:tcPr>
          <w:p w14:paraId="0358D77F">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应有现场文明施工、环境保护措施，且措施内容应达到《建筑施工安全生产检查标准》（JGJ59-2011）合格标准并符合《广西壮族自治区建筑工程文明施工导则》要求。各项措施不够合理。无具体实现现场文明施工目标的承诺。</w:t>
            </w:r>
          </w:p>
          <w:p w14:paraId="042FFCF6">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二档（4分）：有现场文明施工、环境保护措施，且措施内容达到《建筑施工安全生产检查标准》（JGJ59-2011）合格标准并符合《广西壮族自治区建筑工程文明施工导则》要求。各项措施详细，内容基本合理。有具体实现现场文明施工目标的承诺。</w:t>
            </w:r>
          </w:p>
          <w:p w14:paraId="3CFB6363">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三档（6分）：针对本工程项目特点，有现场文明施工、环境保护措施，且措施内容达到《建筑施工安全生产检查标准》（JGJ59-2011）合格标准并符合《广西壮族自治区建筑工程文明施工导则》要求。各项措施详尽、周全、具体、有效。有具体实现现场文明施工目标的承诺。 </w:t>
            </w:r>
          </w:p>
          <w:p w14:paraId="4CA5DD21">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0AD25D5E">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6分</w:t>
            </w:r>
          </w:p>
        </w:tc>
      </w:tr>
      <w:tr w14:paraId="408B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vMerge w:val="continue"/>
            <w:noWrap w:val="0"/>
            <w:vAlign w:val="center"/>
          </w:tcPr>
          <w:p w14:paraId="702DDA33">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494" w:type="dxa"/>
            <w:vMerge w:val="continue"/>
            <w:noWrap w:val="0"/>
            <w:vAlign w:val="center"/>
          </w:tcPr>
          <w:p w14:paraId="25CD716D">
            <w:pPr>
              <w:keepNext w:val="0"/>
              <w:keepLines w:val="0"/>
              <w:pageBreakBefore w:val="0"/>
              <w:kinsoku/>
              <w:wordWrap w:val="0"/>
              <w:overflowPunct/>
              <w:topLinePunct w:val="0"/>
              <w:bidi w:val="0"/>
              <w:adjustRightInd w:val="0"/>
              <w:spacing w:line="390" w:lineRule="exact"/>
              <w:jc w:val="center"/>
              <w:textAlignment w:val="baseline"/>
              <w:rPr>
                <w:rFonts w:hint="eastAsia" w:ascii="宋体" w:hAnsi="宋体" w:cs="宋体"/>
                <w:bCs/>
                <w:color w:val="auto"/>
                <w:kern w:val="0"/>
                <w:szCs w:val="21"/>
                <w:highlight w:val="none"/>
              </w:rPr>
            </w:pPr>
          </w:p>
        </w:tc>
        <w:tc>
          <w:tcPr>
            <w:tcW w:w="1595" w:type="dxa"/>
            <w:noWrap w:val="0"/>
            <w:vAlign w:val="center"/>
          </w:tcPr>
          <w:p w14:paraId="69B8A408">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工程施工的重点和难点及保证措施</w:t>
            </w:r>
          </w:p>
        </w:tc>
        <w:tc>
          <w:tcPr>
            <w:tcW w:w="5843" w:type="dxa"/>
            <w:noWrap w:val="0"/>
            <w:vAlign w:val="center"/>
          </w:tcPr>
          <w:p w14:paraId="257B41C9">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一档（2分）：针对本工程的特点，阐述本工程的重点和难点，解决重点和难点问题的方法不够合理。</w:t>
            </w:r>
          </w:p>
          <w:p w14:paraId="6BA4AF5A">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二档（4分）：针对本工程的特点，阐述本工程的重点和难点，解决重点和难点问题的方法基本合理。 </w:t>
            </w:r>
          </w:p>
          <w:p w14:paraId="358996F0">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三档（6分）：针对本工程的特点，阐述本工程的重点和难点，解决重点和难点问题的方法科学合理且全面。</w:t>
            </w:r>
          </w:p>
          <w:p w14:paraId="679569FB">
            <w:pPr>
              <w:keepNext w:val="0"/>
              <w:keepLines w:val="0"/>
              <w:pageBreakBefore w:val="0"/>
              <w:kinsoku/>
              <w:wordWrap w:val="0"/>
              <w:overflowPunct/>
              <w:topLinePunct w:val="0"/>
              <w:bidi w:val="0"/>
              <w:spacing w:line="390" w:lineRule="exact"/>
              <w:jc w:val="left"/>
              <w:rPr>
                <w:rFonts w:hint="eastAsia" w:ascii="宋体" w:hAnsi="宋体" w:cs="宋体"/>
                <w:color w:val="auto"/>
                <w:szCs w:val="21"/>
                <w:highlight w:val="none"/>
              </w:rPr>
            </w:pPr>
            <w:r>
              <w:rPr>
                <w:rFonts w:hint="eastAsia" w:ascii="宋体" w:hAnsi="宋体" w:cs="宋体"/>
                <w:color w:val="auto"/>
                <w:szCs w:val="21"/>
                <w:highlight w:val="none"/>
              </w:rPr>
              <w:t>注：供应商未提供该方案或该方案未达到一档标准要求的，得0分。</w:t>
            </w:r>
          </w:p>
        </w:tc>
        <w:tc>
          <w:tcPr>
            <w:tcW w:w="878" w:type="dxa"/>
            <w:noWrap w:val="0"/>
            <w:vAlign w:val="center"/>
          </w:tcPr>
          <w:p w14:paraId="4272ECCB">
            <w:pPr>
              <w:keepNext w:val="0"/>
              <w:keepLines w:val="0"/>
              <w:pageBreakBefore w:val="0"/>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6分</w:t>
            </w:r>
          </w:p>
        </w:tc>
      </w:tr>
      <w:tr w14:paraId="2636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7A43A791">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089" w:type="dxa"/>
            <w:gridSpan w:val="2"/>
            <w:noWrap w:val="0"/>
            <w:vAlign w:val="center"/>
          </w:tcPr>
          <w:p w14:paraId="245CCF4E">
            <w:pPr>
              <w:keepNext w:val="0"/>
              <w:keepLines w:val="0"/>
              <w:pageBreakBefore w:val="0"/>
              <w:widowControl/>
              <w:kinsoku/>
              <w:wordWrap w:val="0"/>
              <w:overflowPunct/>
              <w:topLinePunct w:val="0"/>
              <w:bidi w:val="0"/>
              <w:spacing w:line="39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商务分</w:t>
            </w:r>
          </w:p>
        </w:tc>
        <w:tc>
          <w:tcPr>
            <w:tcW w:w="5843" w:type="dxa"/>
            <w:noWrap w:val="0"/>
            <w:vAlign w:val="center"/>
          </w:tcPr>
          <w:p w14:paraId="4C17593B">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评审标准</w:t>
            </w:r>
          </w:p>
        </w:tc>
        <w:tc>
          <w:tcPr>
            <w:tcW w:w="878" w:type="dxa"/>
            <w:noWrap w:val="0"/>
            <w:vAlign w:val="center"/>
          </w:tcPr>
          <w:p w14:paraId="63204F08">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r>
      <w:tr w14:paraId="18F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8" w:type="dxa"/>
            <w:noWrap w:val="0"/>
            <w:vAlign w:val="center"/>
          </w:tcPr>
          <w:p w14:paraId="74017F6A">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2089" w:type="dxa"/>
            <w:gridSpan w:val="2"/>
            <w:noWrap w:val="0"/>
            <w:vAlign w:val="center"/>
          </w:tcPr>
          <w:p w14:paraId="4300830E">
            <w:pPr>
              <w:keepNext w:val="0"/>
              <w:keepLines w:val="0"/>
              <w:pageBreakBefore w:val="0"/>
              <w:kinsoku/>
              <w:wordWrap w:val="0"/>
              <w:overflowPunct/>
              <w:topLinePunct w:val="0"/>
              <w:bidi w:val="0"/>
              <w:spacing w:line="39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业绩分</w:t>
            </w:r>
          </w:p>
        </w:tc>
        <w:tc>
          <w:tcPr>
            <w:tcW w:w="5843" w:type="dxa"/>
            <w:noWrap w:val="0"/>
            <w:vAlign w:val="center"/>
          </w:tcPr>
          <w:p w14:paraId="610B4F20">
            <w:pPr>
              <w:keepNext w:val="0"/>
              <w:keepLines w:val="0"/>
              <w:pageBreakBefore w:val="0"/>
              <w:kinsoku/>
              <w:wordWrap w:val="0"/>
              <w:overflowPunct/>
              <w:topLinePunct w:val="0"/>
              <w:autoSpaceDE w:val="0"/>
              <w:autoSpaceDN w:val="0"/>
              <w:bidi w:val="0"/>
              <w:adjustRightInd w:val="0"/>
              <w:spacing w:line="390" w:lineRule="exact"/>
              <w:rPr>
                <w:rFonts w:hint="eastAsia" w:ascii="宋体" w:hAnsi="宋体" w:cs="宋体"/>
                <w:color w:val="auto"/>
                <w:szCs w:val="21"/>
                <w:highlight w:val="none"/>
              </w:rPr>
            </w:pPr>
            <w:r>
              <w:rPr>
                <w:rFonts w:hint="eastAsia" w:ascii="宋体" w:hAnsi="宋体" w:cs="宋体"/>
                <w:color w:val="auto"/>
                <w:szCs w:val="21"/>
                <w:highlight w:val="none"/>
              </w:rPr>
              <w:t>供应商自2022年1月1日至投标截止日期承接过同类或类似建筑工程项目的，每提供1个项目(单)得5分；此项满分10分。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注：业绩须提供中标(成交)通知书或合同等证明材料，日期以中标(成交)通知书或合同签订时间为准，复印件加盖供应商公章</w:t>
            </w:r>
            <w:r>
              <w:rPr>
                <w:rFonts w:hint="eastAsia" w:ascii="宋体" w:hAnsi="宋体" w:cs="宋体"/>
                <w:color w:val="auto"/>
                <w:szCs w:val="21"/>
                <w:highlight w:val="none"/>
                <w:lang w:val="en-US" w:eastAsia="zh-CN"/>
              </w:rPr>
              <w:t>）</w:t>
            </w:r>
          </w:p>
        </w:tc>
        <w:tc>
          <w:tcPr>
            <w:tcW w:w="878" w:type="dxa"/>
            <w:noWrap w:val="0"/>
            <w:vAlign w:val="center"/>
          </w:tcPr>
          <w:p w14:paraId="6E717207">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10分</w:t>
            </w:r>
          </w:p>
        </w:tc>
      </w:tr>
      <w:tr w14:paraId="45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0" w:type="dxa"/>
            <w:gridSpan w:val="4"/>
            <w:noWrap w:val="0"/>
            <w:vAlign w:val="top"/>
          </w:tcPr>
          <w:p w14:paraId="60EF188E">
            <w:pPr>
              <w:pStyle w:val="25"/>
              <w:keepNext w:val="0"/>
              <w:keepLines w:val="0"/>
              <w:pageBreakBefore w:val="0"/>
              <w:kinsoku/>
              <w:wordWrap w:val="0"/>
              <w:overflowPunct/>
              <w:topLinePunct w:val="0"/>
              <w:bidi w:val="0"/>
              <w:spacing w:line="39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总得分＝1＋2＋3</w:t>
            </w:r>
          </w:p>
        </w:tc>
        <w:tc>
          <w:tcPr>
            <w:tcW w:w="878" w:type="dxa"/>
            <w:noWrap w:val="0"/>
            <w:vAlign w:val="center"/>
          </w:tcPr>
          <w:p w14:paraId="743FC06F">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100分</w:t>
            </w:r>
          </w:p>
        </w:tc>
      </w:tr>
      <w:tr w14:paraId="5CAE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8" w:type="dxa"/>
            <w:gridSpan w:val="5"/>
            <w:noWrap w:val="0"/>
            <w:vAlign w:val="top"/>
          </w:tcPr>
          <w:p w14:paraId="578C0066">
            <w:pPr>
              <w:keepNext w:val="0"/>
              <w:keepLines w:val="0"/>
              <w:pageBreakBefore w:val="0"/>
              <w:widowControl/>
              <w:kinsoku/>
              <w:wordWrap w:val="0"/>
              <w:overflowPunct/>
              <w:topLinePunct w:val="0"/>
              <w:bidi w:val="0"/>
              <w:spacing w:line="39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本项目为施工项目，不涉及政策功能的节能，环保分加分。</w:t>
            </w:r>
          </w:p>
        </w:tc>
      </w:tr>
    </w:tbl>
    <w:p w14:paraId="5142B4DB">
      <w:pPr>
        <w:spacing w:line="360" w:lineRule="auto"/>
        <w:ind w:firstLine="420" w:firstLineChars="200"/>
        <w:rPr>
          <w:rFonts w:hint="eastAsia" w:ascii="宋体" w:hAnsi="宋体"/>
          <w:bCs/>
          <w:color w:val="auto"/>
          <w:szCs w:val="21"/>
          <w:highlight w:val="none"/>
        </w:rPr>
      </w:pPr>
    </w:p>
    <w:p w14:paraId="6FAECF30">
      <w:pPr>
        <w:pStyle w:val="2"/>
        <w:rPr>
          <w:rFonts w:ascii="宋体" w:hAnsi="宋体" w:cs="宋体"/>
          <w:color w:val="auto"/>
          <w:highlight w:val="none"/>
        </w:rPr>
      </w:pPr>
    </w:p>
    <w:p w14:paraId="2C0B4131">
      <w:pPr>
        <w:pStyle w:val="2"/>
        <w:jc w:val="center"/>
        <w:rPr>
          <w:rFonts w:ascii="宋体" w:hAnsi="宋体" w:cs="宋体"/>
          <w:color w:val="auto"/>
          <w:highlight w:val="none"/>
        </w:rPr>
      </w:pPr>
    </w:p>
    <w:p w14:paraId="3B65B64C">
      <w:pPr>
        <w:pStyle w:val="2"/>
        <w:jc w:val="center"/>
        <w:rPr>
          <w:rFonts w:ascii="宋体" w:hAnsi="宋体" w:cs="宋体"/>
          <w:color w:val="auto"/>
          <w:highlight w:val="none"/>
        </w:rPr>
      </w:pPr>
    </w:p>
    <w:p w14:paraId="184D4D74">
      <w:pPr>
        <w:rPr>
          <w:color w:val="auto"/>
          <w:highlight w:val="none"/>
        </w:rPr>
      </w:pPr>
    </w:p>
    <w:p w14:paraId="790C4849">
      <w:pPr>
        <w:pStyle w:val="2"/>
        <w:jc w:val="center"/>
        <w:rPr>
          <w:color w:val="auto"/>
          <w:highlight w:val="none"/>
        </w:rPr>
      </w:pPr>
      <w:bookmarkStart w:id="77" w:name="_Toc122424248"/>
      <w:r>
        <w:rPr>
          <w:rFonts w:hint="eastAsia"/>
          <w:color w:val="auto"/>
          <w:highlight w:val="none"/>
        </w:rPr>
        <w:t>第五章 工程量清单及图纸</w:t>
      </w:r>
      <w:bookmarkEnd w:id="77"/>
    </w:p>
    <w:p w14:paraId="7282C34D">
      <w:pPr>
        <w:pStyle w:val="2"/>
        <w:jc w:val="center"/>
        <w:rPr>
          <w:color w:val="auto"/>
          <w:highlight w:val="none"/>
        </w:rPr>
      </w:pPr>
    </w:p>
    <w:p w14:paraId="2812DA5A">
      <w:pPr>
        <w:pStyle w:val="2"/>
        <w:spacing w:before="0" w:after="0" w:line="360" w:lineRule="auto"/>
        <w:jc w:val="center"/>
        <w:rPr>
          <w:rFonts w:ascii="宋体" w:hAnsi="宋体" w:cs="宋体"/>
          <w:color w:val="auto"/>
          <w:sz w:val="32"/>
          <w:szCs w:val="32"/>
          <w:highlight w:val="none"/>
        </w:rPr>
      </w:pPr>
      <w:r>
        <w:rPr>
          <w:color w:val="auto"/>
          <w:highlight w:val="none"/>
        </w:rPr>
        <w:br w:type="page"/>
      </w:r>
    </w:p>
    <w:p w14:paraId="7492DC38">
      <w:pPr>
        <w:pStyle w:val="3"/>
        <w:spacing w:before="0" w:after="0" w:line="360" w:lineRule="auto"/>
        <w:rPr>
          <w:color w:val="auto"/>
          <w:kern w:val="44"/>
          <w:highlight w:val="none"/>
        </w:rPr>
      </w:pPr>
      <w:bookmarkStart w:id="78" w:name="_Toc122424250"/>
      <w:bookmarkStart w:id="79" w:name="_Toc1392571603"/>
      <w:bookmarkStart w:id="80" w:name="_Toc78449869"/>
      <w:bookmarkStart w:id="81" w:name="_Toc407135284"/>
      <w:bookmarkStart w:id="82" w:name="_Toc1386396751"/>
      <w:bookmarkStart w:id="83" w:name="_Toc122424001"/>
      <w:r>
        <w:rPr>
          <w:color w:val="auto"/>
          <w:highlight w:val="none"/>
        </w:rPr>
        <w:t>1</w:t>
      </w:r>
      <w:r>
        <w:rPr>
          <w:rFonts w:hint="eastAsia"/>
          <w:color w:val="auto"/>
          <w:highlight w:val="none"/>
        </w:rPr>
        <w:t>.</w:t>
      </w:r>
      <w:r>
        <w:rPr>
          <w:rFonts w:hint="eastAsia" w:cs="黑体"/>
          <w:color w:val="auto"/>
          <w:highlight w:val="none"/>
        </w:rPr>
        <w:t>工程量清单编制说明</w:t>
      </w:r>
      <w:bookmarkEnd w:id="78"/>
      <w:bookmarkEnd w:id="79"/>
      <w:bookmarkEnd w:id="80"/>
      <w:bookmarkEnd w:id="81"/>
      <w:bookmarkEnd w:id="82"/>
      <w:bookmarkEnd w:id="83"/>
    </w:p>
    <w:p w14:paraId="5835DC60">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本工程量清单依据《建设工程工程量清单计价规范》(GB50500-2013)及其广西壮族自治区实施细则、《建设工程工程量计算规范》 (GB50854~50862-2013)及其广西壮族自治区实施细则(修订本)、2022年《广西壮族自治区市政工程消耗量定额》、《关于调整建设工程计价增值税税率的通知》(桂建标(2019) 12号)、《自治区住房城乡建设厅关于印发广西壮族自治区房屋建筑和市政基础设施工程安全生产责任保险计价规定的通知》(桂建发 (2023) 6号)、《自治区住房城乡建设厅关于调整建设工程定额人工费及有关费率的通知》(桂建标(2023) 7号)等有关规定及相关资料</w:t>
      </w:r>
      <w:r>
        <w:rPr>
          <w:rFonts w:hint="eastAsia" w:hAnsi="宋体" w:cs="宋体"/>
          <w:color w:val="auto"/>
          <w:kern w:val="0"/>
          <w:highlight w:val="none"/>
        </w:rPr>
        <w:t>、磋商文件</w:t>
      </w:r>
      <w:r>
        <w:rPr>
          <w:rFonts w:hint="eastAsia" w:hAnsi="宋体" w:cs="宋体"/>
          <w:color w:val="auto"/>
          <w:highlight w:val="none"/>
        </w:rPr>
        <w:t>、施工图等编制。计算规范中没有的清单项目，应在本章第</w:t>
      </w:r>
      <w:r>
        <w:rPr>
          <w:color w:val="auto"/>
          <w:highlight w:val="none"/>
        </w:rPr>
        <w:t>1.4</w:t>
      </w:r>
      <w:r>
        <w:rPr>
          <w:rFonts w:hint="eastAsia" w:hAnsi="宋体" w:cs="宋体"/>
          <w:color w:val="auto"/>
          <w:highlight w:val="none"/>
        </w:rPr>
        <w:t>款约定。</w:t>
      </w:r>
    </w:p>
    <w:p w14:paraId="6D9AB52C">
      <w:pPr>
        <w:spacing w:line="360" w:lineRule="auto"/>
        <w:ind w:firstLine="420" w:firstLineChars="200"/>
        <w:rPr>
          <w:color w:val="auto"/>
          <w:highlight w:val="none"/>
        </w:rPr>
      </w:pPr>
      <w:r>
        <w:rPr>
          <w:color w:val="auto"/>
          <w:highlight w:val="none"/>
        </w:rPr>
        <w:t xml:space="preserve">1.2 </w:t>
      </w:r>
      <w:r>
        <w:rPr>
          <w:rFonts w:hint="eastAsia"/>
          <w:color w:val="auto"/>
          <w:highlight w:val="none"/>
        </w:rPr>
        <w:t>工程量清单应与供应商须知、合同协议条款、合同的通用条款、合同专用条款、技术规范及图纸等文件一起结合使用。</w:t>
      </w:r>
    </w:p>
    <w:p w14:paraId="6E4FC27A">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工程量清单是磋商文件的组成部分，是工程量清单计价的基础，作为编制</w:t>
      </w:r>
      <w:r>
        <w:rPr>
          <w:rFonts w:hint="eastAsia" w:cs="宋体"/>
          <w:color w:val="auto"/>
          <w:highlight w:val="none"/>
          <w:lang w:val="en-US" w:eastAsia="zh-CN"/>
        </w:rPr>
        <w:t>招标</w:t>
      </w:r>
      <w:r>
        <w:rPr>
          <w:rFonts w:hint="eastAsia" w:cs="宋体"/>
          <w:color w:val="auto"/>
          <w:highlight w:val="none"/>
        </w:rPr>
        <w:t>控制价、竞标报价、计算或调整工程量、索赔等的依据之一。</w:t>
      </w:r>
    </w:p>
    <w:p w14:paraId="2DFBE043">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14:paraId="30D02D4E">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14:paraId="58B4756F">
      <w:pPr>
        <w:pStyle w:val="25"/>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1.5 </w:t>
      </w:r>
      <w:r>
        <w:rPr>
          <w:rFonts w:hint="eastAsia" w:ascii="Times New Roman" w:hAnsi="Times New Roman"/>
          <w:color w:val="auto"/>
          <w:sz w:val="21"/>
          <w:highlight w:val="none"/>
        </w:rPr>
        <w:t>《允许调整主要材料和工程设备一览表》（表</w:t>
      </w:r>
      <w:r>
        <w:rPr>
          <w:rFonts w:ascii="Times New Roman" w:hAnsi="Times New Roman"/>
          <w:color w:val="auto"/>
          <w:sz w:val="21"/>
          <w:highlight w:val="none"/>
        </w:rPr>
        <w:t>-22</w:t>
      </w:r>
      <w:r>
        <w:rPr>
          <w:rFonts w:hint="eastAsia" w:ascii="Times New Roman" w:hAnsi="Times New Roman"/>
          <w:color w:val="auto"/>
          <w:sz w:val="21"/>
          <w:highlight w:val="none"/>
        </w:rPr>
        <w:t>，表格编号为计价规范相应表格编号，下同）作为项目实施过程中材料和设备价格风险调整依据。</w:t>
      </w:r>
    </w:p>
    <w:p w14:paraId="7FB0054D">
      <w:pPr>
        <w:pStyle w:val="25"/>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1.6 </w:t>
      </w:r>
      <w:r>
        <w:rPr>
          <w:rFonts w:hint="eastAsia" w:ascii="Times New Roman" w:hAnsi="Times New Roman"/>
          <w:color w:val="auto"/>
          <w:sz w:val="21"/>
          <w:highlight w:val="none"/>
        </w:rPr>
        <w:t>本工程暂列金额（约按合同造价</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u w:val="single"/>
        </w:rPr>
        <w:t>/</w:t>
      </w:r>
      <w:r>
        <w:rPr>
          <w:rFonts w:ascii="Times New Roman" w:hAnsi="Times New Roman"/>
          <w:color w:val="auto"/>
          <w:sz w:val="21"/>
          <w:highlight w:val="none"/>
          <w:u w:val="single"/>
        </w:rPr>
        <w:t xml:space="preserve">    </w:t>
      </w:r>
      <w:r>
        <w:rPr>
          <w:rFonts w:ascii="Times New Roman" w:hAnsi="Times New Roman"/>
          <w:color w:val="auto"/>
          <w:sz w:val="21"/>
          <w:highlight w:val="none"/>
        </w:rPr>
        <w:t>%</w:t>
      </w:r>
      <w:r>
        <w:rPr>
          <w:rFonts w:hint="eastAsia" w:ascii="Times New Roman" w:hAnsi="Times New Roman"/>
          <w:color w:val="auto"/>
          <w:sz w:val="21"/>
          <w:highlight w:val="none"/>
        </w:rPr>
        <w:t>计算），共</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u w:val="single"/>
        </w:rPr>
        <w:t>/</w:t>
      </w:r>
      <w:r>
        <w:rPr>
          <w:rFonts w:ascii="Times New Roman" w:hAnsi="Times New Roman"/>
          <w:color w:val="auto"/>
          <w:sz w:val="21"/>
          <w:highlight w:val="none"/>
          <w:u w:val="single"/>
        </w:rPr>
        <w:t xml:space="preserve">   </w:t>
      </w:r>
      <w:r>
        <w:rPr>
          <w:rFonts w:hint="eastAsia" w:ascii="Times New Roman" w:hAnsi="Times New Roman"/>
          <w:color w:val="auto"/>
          <w:sz w:val="21"/>
          <w:highlight w:val="none"/>
        </w:rPr>
        <w:t>元，作为合同签订时尚未确定或者不可预见但施工中可能发生的费用。</w:t>
      </w:r>
    </w:p>
    <w:p w14:paraId="0D37BA1E">
      <w:pPr>
        <w:pStyle w:val="25"/>
        <w:spacing w:line="360" w:lineRule="auto"/>
        <w:ind w:firstLine="420" w:firstLineChars="200"/>
        <w:rPr>
          <w:rFonts w:ascii="Times New Roman" w:hAnsi="Times New Roman"/>
          <w:color w:val="auto"/>
          <w:sz w:val="21"/>
          <w:highlight w:val="none"/>
        </w:rPr>
      </w:pPr>
      <w:r>
        <w:rPr>
          <w:rFonts w:ascii="Times New Roman" w:hAnsi="Times New Roman"/>
          <w:color w:val="auto"/>
          <w:sz w:val="21"/>
          <w:highlight w:val="none"/>
        </w:rPr>
        <w:t xml:space="preserve">1.7 </w:t>
      </w:r>
      <w:r>
        <w:rPr>
          <w:rFonts w:hint="eastAsia" w:ascii="Times New Roman" w:hAnsi="Times New Roman"/>
          <w:color w:val="auto"/>
          <w:sz w:val="21"/>
          <w:highlight w:val="none"/>
        </w:rPr>
        <w:t>本工程发包人提供的材料和设备详见《发包人提供的主要材料和工程设备一览表》（表</w:t>
      </w:r>
      <w:r>
        <w:rPr>
          <w:rFonts w:ascii="Times New Roman" w:hAnsi="Times New Roman"/>
          <w:color w:val="auto"/>
          <w:sz w:val="21"/>
          <w:highlight w:val="none"/>
        </w:rPr>
        <w:t>-21</w:t>
      </w:r>
      <w:r>
        <w:rPr>
          <w:rFonts w:hint="eastAsia" w:ascii="Times New Roman" w:hAnsi="Times New Roman"/>
          <w:color w:val="auto"/>
          <w:sz w:val="21"/>
          <w:highlight w:val="none"/>
        </w:rPr>
        <w:t>）。</w:t>
      </w:r>
    </w:p>
    <w:p w14:paraId="669C7970">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本工程部分材料和设备在采购时作为暂估价计列，结算按实调整，具体内容详见《材料（工程设备）暂估单价及调整表》（表</w:t>
      </w:r>
      <w:r>
        <w:rPr>
          <w:color w:val="auto"/>
          <w:highlight w:val="none"/>
        </w:rPr>
        <w:t>12-2</w:t>
      </w:r>
      <w:r>
        <w:rPr>
          <w:rFonts w:hint="eastAsia" w:cs="宋体"/>
          <w:color w:val="auto"/>
          <w:highlight w:val="none"/>
        </w:rPr>
        <w:t>）。</w:t>
      </w:r>
    </w:p>
    <w:p w14:paraId="2A15560B">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采购时暂估专业工程的价款属于暂估价，结算按实调整，具体内容详见《专业工程暂估价及结算价表》（表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3303C50E">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号的清单项目作为主要清单项目，需要供应商提供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0ECEA012">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s="宋体"/>
          <w:color w:val="auto"/>
          <w:highlight w:val="none"/>
        </w:rPr>
        <w:t>。</w:t>
      </w:r>
    </w:p>
    <w:p w14:paraId="485DE91D">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工程量清单与磋商文件同时发布。</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w:t>
      </w:r>
      <w:r>
        <w:rPr>
          <w:rFonts w:hint="eastAsia" w:ascii="宋体" w:hAnsi="宋体" w:cs="宋体"/>
          <w:color w:val="auto"/>
          <w:highlight w:val="none"/>
          <w:lang w:eastAsia="zh-CN"/>
        </w:rPr>
        <w:t>；</w:t>
      </w:r>
      <w:r>
        <w:rPr>
          <w:rFonts w:hint="eastAsia" w:ascii="宋体" w:hAnsi="宋体" w:cs="宋体"/>
          <w:color w:val="auto"/>
          <w:highlight w:val="none"/>
        </w:rPr>
        <w:t>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39EF4741">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工程量清单（封</w:t>
      </w:r>
      <w:r>
        <w:rPr>
          <w:color w:val="auto"/>
          <w:highlight w:val="none"/>
        </w:rPr>
        <w:t>-1</w:t>
      </w:r>
      <w:r>
        <w:rPr>
          <w:rFonts w:hint="eastAsia" w:cs="宋体"/>
          <w:color w:val="auto"/>
          <w:highlight w:val="none"/>
        </w:rPr>
        <w:t>）</w:t>
      </w:r>
    </w:p>
    <w:p w14:paraId="5E2B5540">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工程量清单（封扉</w:t>
      </w:r>
      <w:r>
        <w:rPr>
          <w:color w:val="auto"/>
          <w:highlight w:val="none"/>
        </w:rPr>
        <w:t>-1</w:t>
      </w:r>
      <w:r>
        <w:rPr>
          <w:rFonts w:hint="eastAsia" w:cs="宋体"/>
          <w:color w:val="auto"/>
          <w:highlight w:val="none"/>
        </w:rPr>
        <w:t>）</w:t>
      </w:r>
    </w:p>
    <w:p w14:paraId="00D51960">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6ACC5D3D">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建设项目汇总表（表</w:t>
      </w:r>
      <w:r>
        <w:rPr>
          <w:color w:val="auto"/>
          <w:highlight w:val="none"/>
        </w:rPr>
        <w:t>-02</w:t>
      </w:r>
      <w:r>
        <w:rPr>
          <w:rFonts w:hint="eastAsia" w:cs="宋体"/>
          <w:color w:val="auto"/>
          <w:highlight w:val="none"/>
        </w:rPr>
        <w:t>）</w:t>
      </w:r>
    </w:p>
    <w:p w14:paraId="79EB53C5">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单项工程汇总表（表</w:t>
      </w:r>
      <w:r>
        <w:rPr>
          <w:color w:val="auto"/>
          <w:highlight w:val="none"/>
        </w:rPr>
        <w:t>-03</w:t>
      </w:r>
      <w:r>
        <w:rPr>
          <w:rFonts w:hint="eastAsia" w:cs="宋体"/>
          <w:color w:val="auto"/>
          <w:highlight w:val="none"/>
        </w:rPr>
        <w:t>）</w:t>
      </w:r>
    </w:p>
    <w:p w14:paraId="03385A63">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单位工程汇总表（表</w:t>
      </w:r>
      <w:r>
        <w:rPr>
          <w:color w:val="auto"/>
          <w:highlight w:val="none"/>
        </w:rPr>
        <w:t>-04</w:t>
      </w:r>
      <w:r>
        <w:rPr>
          <w:rFonts w:hint="eastAsia" w:cs="宋体"/>
          <w:color w:val="auto"/>
          <w:highlight w:val="none"/>
        </w:rPr>
        <w:t>）</w:t>
      </w:r>
    </w:p>
    <w:p w14:paraId="4E49EF23">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221A80FA">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549446EC">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6C8BE529">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6388DDBE">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479D818">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000219C3">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5EBDFC27">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35CBF873">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6F70CE87">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5F93B6DF">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2C42DD59">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74373B10">
      <w:pPr>
        <w:spacing w:line="360" w:lineRule="auto"/>
        <w:ind w:firstLine="630" w:firstLineChars="300"/>
        <w:jc w:val="left"/>
        <w:rPr>
          <w:rFonts w:cs="宋体"/>
          <w:color w:val="auto"/>
          <w:highlight w:val="none"/>
        </w:rPr>
      </w:pPr>
      <w:r>
        <w:rPr>
          <w:color w:val="auto"/>
          <w:highlight w:val="none"/>
        </w:rPr>
        <w:t>1.19</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1A24028C">
      <w:pPr>
        <w:spacing w:line="360" w:lineRule="auto"/>
        <w:ind w:firstLine="630" w:firstLineChars="300"/>
        <w:jc w:val="left"/>
        <w:rPr>
          <w:rFonts w:cs="宋体"/>
          <w:color w:val="auto"/>
          <w:highlight w:val="none"/>
        </w:rPr>
      </w:pPr>
      <w:r>
        <w:rPr>
          <w:rFonts w:hint="eastAsia" w:cs="宋体"/>
          <w:color w:val="auto"/>
          <w:highlight w:val="none"/>
        </w:rPr>
        <w:t>1.20本工程</w:t>
      </w:r>
      <w:r>
        <w:rPr>
          <w:rFonts w:cs="宋体"/>
          <w:color w:val="auto"/>
          <w:highlight w:val="none"/>
        </w:rPr>
        <w:t>材料和工程设备</w:t>
      </w:r>
      <w:r>
        <w:rPr>
          <w:rFonts w:hint="eastAsia" w:cs="宋体"/>
          <w:color w:val="auto"/>
          <w:highlight w:val="none"/>
        </w:rPr>
        <w:t>一览表（表-24）</w:t>
      </w:r>
    </w:p>
    <w:p w14:paraId="22E79783">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cs="宋体"/>
          <w:color w:val="auto"/>
          <w:highlight w:val="none"/>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）载明的主要材料和工程设备为本工程允许调整材料和工程设备，工程量清单必须提供该表格，并应载明允许调整材料和工程设备名称型号规格、单位、风险系数、基准单价等内容，且不能提供空白表。</w:t>
      </w:r>
    </w:p>
    <w:p w14:paraId="012F70E8">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以下表格视工程实际需要选用，如该工程不发生如下表格相关项目和费用，所编制工程量清单则不需列入相应表格：</w:t>
      </w:r>
    </w:p>
    <w:p w14:paraId="32CCD2E1">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建设项目竞标报价汇总表（表</w:t>
      </w:r>
      <w:r>
        <w:rPr>
          <w:color w:val="auto"/>
          <w:highlight w:val="none"/>
        </w:rPr>
        <w:t>-02</w:t>
      </w:r>
      <w:r>
        <w:rPr>
          <w:rFonts w:hint="eastAsia" w:cs="宋体"/>
          <w:color w:val="auto"/>
          <w:highlight w:val="none"/>
        </w:rPr>
        <w:t>）</w:t>
      </w:r>
    </w:p>
    <w:p w14:paraId="74529CB6">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2123428A">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07B4FE27">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3F694310">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59DABD36">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1070DD5E">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00AA1586">
      <w:pPr>
        <w:spacing w:line="360" w:lineRule="auto"/>
        <w:ind w:firstLine="630" w:firstLineChars="3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5EB8CD7A">
      <w:pPr>
        <w:pStyle w:val="3"/>
        <w:spacing w:before="0" w:after="0" w:line="360" w:lineRule="auto"/>
        <w:rPr>
          <w:color w:val="auto"/>
          <w:highlight w:val="none"/>
        </w:rPr>
      </w:pPr>
      <w:bookmarkStart w:id="84" w:name="_Toc122424251"/>
      <w:bookmarkStart w:id="85" w:name="_Toc407135285"/>
      <w:bookmarkStart w:id="86" w:name="_Toc990933621"/>
      <w:bookmarkStart w:id="87" w:name="_Toc78449870"/>
      <w:bookmarkStart w:id="88" w:name="_Toc122424002"/>
      <w:bookmarkStart w:id="89" w:name="_Toc347872619"/>
      <w:r>
        <w:rPr>
          <w:color w:val="auto"/>
          <w:highlight w:val="none"/>
        </w:rPr>
        <w:t>2</w:t>
      </w:r>
      <w:r>
        <w:rPr>
          <w:rFonts w:hint="eastAsia"/>
          <w:color w:val="auto"/>
          <w:highlight w:val="none"/>
        </w:rPr>
        <w:t>.</w:t>
      </w:r>
      <w:r>
        <w:rPr>
          <w:rFonts w:hint="eastAsia" w:cs="黑体"/>
          <w:color w:val="auto"/>
          <w:highlight w:val="none"/>
          <w:lang w:val="en-US" w:eastAsia="zh-CN"/>
        </w:rPr>
        <w:t>招标</w:t>
      </w:r>
      <w:r>
        <w:rPr>
          <w:rFonts w:hint="eastAsia" w:cs="黑体"/>
          <w:color w:val="auto"/>
          <w:highlight w:val="none"/>
        </w:rPr>
        <w:t>控制价编制说明</w:t>
      </w:r>
      <w:bookmarkEnd w:id="84"/>
      <w:bookmarkEnd w:id="85"/>
      <w:bookmarkEnd w:id="86"/>
      <w:bookmarkEnd w:id="87"/>
      <w:bookmarkEnd w:id="88"/>
      <w:bookmarkEnd w:id="89"/>
    </w:p>
    <w:p w14:paraId="631807AC">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lang w:val="en-US" w:eastAsia="zh-CN"/>
        </w:rPr>
        <w:t>招标</w:t>
      </w:r>
      <w:r>
        <w:rPr>
          <w:rFonts w:hint="eastAsia" w:hAnsi="宋体" w:cs="宋体"/>
          <w:color w:val="auto"/>
          <w:highlight w:val="none"/>
        </w:rPr>
        <w:t>控制价编制依据：</w:t>
      </w:r>
    </w:p>
    <w:p w14:paraId="0F5CC437">
      <w:pPr>
        <w:spacing w:line="360" w:lineRule="auto"/>
        <w:ind w:firstLine="420" w:firstLineChars="200"/>
        <w:rPr>
          <w:rFonts w:hint="eastAsia" w:hAnsi="宋体" w:eastAsia="宋体"/>
          <w:color w:val="auto"/>
          <w:highlight w:val="none"/>
          <w:lang w:eastAsia="zh-CN"/>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lang w:eastAsia="zh-CN"/>
        </w:rPr>
        <w:t>；</w:t>
      </w:r>
    </w:p>
    <w:p w14:paraId="12C1C25C">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rFonts w:hint="eastAsia"/>
          <w:color w:val="auto"/>
          <w:highlight w:val="none"/>
          <w:u w:val="single"/>
        </w:rPr>
        <w:t>详见</w:t>
      </w:r>
      <w:r>
        <w:rPr>
          <w:color w:val="auto"/>
          <w:highlight w:val="none"/>
          <w:u w:val="single"/>
        </w:rPr>
        <w:t xml:space="preserve">工程量清单说明   </w:t>
      </w:r>
      <w:r>
        <w:rPr>
          <w:rFonts w:hint="eastAsia" w:cs="宋体"/>
          <w:color w:val="auto"/>
          <w:highlight w:val="none"/>
        </w:rPr>
        <w:t>。</w:t>
      </w:r>
    </w:p>
    <w:p w14:paraId="68A2D56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施工</w:t>
      </w:r>
      <w:r>
        <w:rPr>
          <w:rFonts w:hint="eastAsia"/>
          <w:color w:val="auto"/>
          <w:highlight w:val="none"/>
          <w:u w:val="single"/>
        </w:rPr>
        <w:t>图纸、工程量清单</w:t>
      </w:r>
      <w:r>
        <w:rPr>
          <w:color w:val="auto"/>
          <w:highlight w:val="none"/>
          <w:u w:val="single"/>
        </w:rPr>
        <w:t xml:space="preserve">   </w:t>
      </w:r>
      <w:r>
        <w:rPr>
          <w:rFonts w:hint="eastAsia" w:cs="宋体"/>
          <w:color w:val="auto"/>
          <w:highlight w:val="none"/>
        </w:rPr>
        <w:t>。</w:t>
      </w:r>
      <w:r>
        <w:rPr>
          <w:color w:val="auto"/>
          <w:highlight w:val="none"/>
        </w:rPr>
        <w:t xml:space="preserve"> </w:t>
      </w:r>
    </w:p>
    <w:p w14:paraId="42FEFBFE">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4</w:t>
      </w:r>
      <w:r>
        <w:rPr>
          <w:rFonts w:hint="eastAsia" w:cs="宋体"/>
          <w:color w:val="auto"/>
          <w:highlight w:val="none"/>
        </w:rPr>
        <w:t>）本工程磋商文件及工程量清单</w:t>
      </w:r>
      <w:r>
        <w:rPr>
          <w:rFonts w:hint="eastAsia" w:cs="宋体"/>
          <w:color w:val="auto"/>
          <w:highlight w:val="none"/>
          <w:lang w:eastAsia="zh-CN"/>
        </w:rPr>
        <w:t>；</w:t>
      </w:r>
    </w:p>
    <w:p w14:paraId="4215C793">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r>
        <w:rPr>
          <w:rFonts w:hint="eastAsia" w:cs="宋体"/>
          <w:color w:val="auto"/>
          <w:highlight w:val="none"/>
          <w:lang w:eastAsia="zh-CN"/>
        </w:rPr>
        <w:t>；</w:t>
      </w:r>
    </w:p>
    <w:p w14:paraId="3C55D5B6">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r>
        <w:rPr>
          <w:rFonts w:hint="eastAsia" w:cs="宋体"/>
          <w:color w:val="auto"/>
          <w:highlight w:val="none"/>
          <w:lang w:eastAsia="zh-CN"/>
        </w:rPr>
        <w:t>；</w:t>
      </w:r>
    </w:p>
    <w:p w14:paraId="1D2AA31E">
      <w:pPr>
        <w:spacing w:line="360" w:lineRule="auto"/>
        <w:ind w:firstLine="420" w:firstLineChars="200"/>
        <w:rPr>
          <w:rFonts w:hint="eastAsia" w:hAnsi="宋体" w:cs="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：材料价格按《钦州市建设工程造价信息》2025年6月份</w:t>
      </w:r>
      <w:r>
        <w:rPr>
          <w:rFonts w:hint="eastAsia" w:hAnsi="宋体" w:cs="宋体"/>
          <w:color w:val="auto"/>
          <w:highlight w:val="none"/>
          <w:lang w:eastAsia="zh-CN"/>
        </w:rPr>
        <w:t>（</w:t>
      </w:r>
      <w:r>
        <w:rPr>
          <w:rFonts w:hint="eastAsia" w:hAnsi="宋体" w:cs="宋体"/>
          <w:color w:val="auto"/>
          <w:highlight w:val="none"/>
        </w:rPr>
        <w:t>有上、下半月的取下半月</w:t>
      </w:r>
      <w:r>
        <w:rPr>
          <w:rFonts w:hint="eastAsia" w:hAnsi="宋体" w:cs="宋体"/>
          <w:color w:val="auto"/>
          <w:highlight w:val="none"/>
          <w:lang w:eastAsia="zh-CN"/>
        </w:rPr>
        <w:t>）</w:t>
      </w:r>
      <w:r>
        <w:rPr>
          <w:rFonts w:hint="eastAsia" w:hAnsi="宋体" w:cs="宋体"/>
          <w:color w:val="auto"/>
          <w:highlight w:val="none"/>
        </w:rPr>
        <w:t>钦州市的材料价格计取，钦州市信息价没有的参考《南宁建设工程造价信息》2025年第6期下半月刊材料价或按市场调查价格。</w:t>
      </w:r>
    </w:p>
    <w:p w14:paraId="76552271">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分部分项及单价措施项目综合单价应包括磋商文件中采购人要求供应商所承担的风险内容及其范围（幅度）产生的风险费用。</w:t>
      </w:r>
    </w:p>
    <w:p w14:paraId="125023A6">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总价措施项目应根据拟定的磋商文件和常规施工方案按《计价规范》和《计算规范》规定编制。</w:t>
      </w:r>
    </w:p>
    <w:p w14:paraId="17324886">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7378F9BB">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r>
        <w:rPr>
          <w:rFonts w:hint="eastAsia" w:cs="宋体"/>
          <w:color w:val="auto"/>
          <w:highlight w:val="none"/>
          <w:lang w:eastAsia="zh-CN"/>
        </w:rPr>
        <w:t>；</w:t>
      </w:r>
    </w:p>
    <w:p w14:paraId="3EEE2615">
      <w:pPr>
        <w:pStyle w:val="157"/>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r>
        <w:rPr>
          <w:rFonts w:hint="eastAsia" w:cs="宋体"/>
          <w:color w:val="auto"/>
          <w:highlight w:val="none"/>
          <w:lang w:eastAsia="zh-CN"/>
        </w:rPr>
        <w:t>；</w:t>
      </w:r>
    </w:p>
    <w:p w14:paraId="314FE6BC">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r>
        <w:rPr>
          <w:rFonts w:hint="eastAsia" w:cs="宋体"/>
          <w:color w:val="auto"/>
          <w:highlight w:val="none"/>
          <w:lang w:eastAsia="zh-CN"/>
        </w:rPr>
        <w:t>；</w:t>
      </w:r>
    </w:p>
    <w:p w14:paraId="655C712D">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r>
        <w:rPr>
          <w:rFonts w:hint="eastAsia" w:cs="宋体"/>
          <w:color w:val="auto"/>
          <w:highlight w:val="none"/>
          <w:lang w:eastAsia="zh-CN"/>
        </w:rPr>
        <w:t>；</w:t>
      </w:r>
    </w:p>
    <w:p w14:paraId="6DEF3BC6">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1FAC5BAD">
      <w:pPr>
        <w:spacing w:line="360" w:lineRule="auto"/>
        <w:ind w:firstLine="420" w:firstLineChars="200"/>
        <w:rPr>
          <w:color w:val="auto"/>
          <w:highlight w:val="none"/>
        </w:rPr>
      </w:pPr>
      <w:r>
        <w:rPr>
          <w:rFonts w:hint="eastAsia"/>
          <w:color w:val="auto"/>
          <w:highlight w:val="none"/>
        </w:rPr>
        <w:t>（6）对建设单位创建优质工程的，鼓励在采购控制价和预算中按广西区工程建设定额规定计列工程优质费，并明确工程优质费不可竞争。</w:t>
      </w:r>
    </w:p>
    <w:p w14:paraId="497B6DEC">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2881E1A8">
      <w:pPr>
        <w:spacing w:line="360" w:lineRule="auto"/>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14:paraId="6F5DC526">
      <w:pPr>
        <w:pStyle w:val="3"/>
        <w:spacing w:before="0" w:after="0" w:line="360" w:lineRule="auto"/>
        <w:rPr>
          <w:color w:val="auto"/>
          <w:highlight w:val="none"/>
        </w:rPr>
      </w:pPr>
      <w:bookmarkStart w:id="90" w:name="_Toc407135286"/>
      <w:bookmarkStart w:id="91" w:name="_Toc122424252"/>
      <w:bookmarkStart w:id="92" w:name="_Toc122424003"/>
      <w:bookmarkStart w:id="93" w:name="_Toc378483916"/>
      <w:bookmarkStart w:id="94" w:name="_Toc879821176"/>
      <w:bookmarkStart w:id="95" w:name="_Toc78449871"/>
      <w:r>
        <w:rPr>
          <w:color w:val="auto"/>
          <w:highlight w:val="none"/>
        </w:rPr>
        <w:t>3</w:t>
      </w:r>
      <w:r>
        <w:rPr>
          <w:rFonts w:hint="eastAsia"/>
          <w:color w:val="auto"/>
          <w:highlight w:val="none"/>
        </w:rPr>
        <w:t>.</w:t>
      </w:r>
      <w:r>
        <w:rPr>
          <w:rFonts w:hint="eastAsia" w:cs="黑体"/>
          <w:color w:val="auto"/>
          <w:highlight w:val="none"/>
        </w:rPr>
        <w:t>竞标报价（已标价工程量清单）编制说明</w:t>
      </w:r>
      <w:bookmarkEnd w:id="90"/>
      <w:bookmarkEnd w:id="91"/>
      <w:bookmarkEnd w:id="92"/>
      <w:bookmarkEnd w:id="93"/>
      <w:bookmarkEnd w:id="94"/>
      <w:bookmarkEnd w:id="95"/>
    </w:p>
    <w:p w14:paraId="3D34A529">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供应商应依据磋商文件、工程量清单以及《计价规范》、《计算规范》自主报价，自主报价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64CD6FA0">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供应商应按工程量清单填报价格。项目编码、项目名称、项目特征、计量单位、工程量必须与工程量清单一致，</w:t>
      </w:r>
      <w:r>
        <w:rPr>
          <w:rFonts w:hint="eastAsia" w:hAnsi="宋体" w:cs="宋体"/>
          <w:color w:val="auto"/>
          <w:highlight w:val="none"/>
        </w:rPr>
        <w:t>供应商不得对工程量清单项目进行增减调整。</w:t>
      </w:r>
    </w:p>
    <w:p w14:paraId="5F6B123E">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综合单价中应包含磋商文件中划分的应由供应商承担的风险范围及其费用。</w:t>
      </w:r>
    </w:p>
    <w:p w14:paraId="2FE6BF28">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9896BF3">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总价措施项目的金额应根据磋商文件及竞标时拟定的施工组织设计或施工方案，按计价规范的规定自主确定。但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1922FE12">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352343D2">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r>
        <w:rPr>
          <w:rFonts w:hint="eastAsia" w:cs="宋体"/>
          <w:color w:val="auto"/>
          <w:highlight w:val="none"/>
          <w:lang w:eastAsia="zh-CN"/>
        </w:rPr>
        <w:t>；</w:t>
      </w:r>
    </w:p>
    <w:p w14:paraId="2CC69413">
      <w:pPr>
        <w:pStyle w:val="157"/>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r>
        <w:rPr>
          <w:rFonts w:hint="eastAsia" w:cs="宋体"/>
          <w:color w:val="auto"/>
          <w:highlight w:val="none"/>
          <w:lang w:eastAsia="zh-CN"/>
        </w:rPr>
        <w:t>；</w:t>
      </w:r>
    </w:p>
    <w:p w14:paraId="422BC286">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r>
        <w:rPr>
          <w:rFonts w:hint="eastAsia" w:cs="宋体"/>
          <w:color w:val="auto"/>
          <w:highlight w:val="none"/>
          <w:lang w:eastAsia="zh-CN"/>
        </w:rPr>
        <w:t>；</w:t>
      </w:r>
    </w:p>
    <w:p w14:paraId="04C1995B">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w:t>
      </w:r>
      <w:r>
        <w:rPr>
          <w:rFonts w:hint="eastAsia" w:cs="宋体"/>
          <w:color w:val="auto"/>
          <w:highlight w:val="none"/>
          <w:lang w:eastAsia="zh-CN"/>
        </w:rPr>
        <w:t>；</w:t>
      </w:r>
      <w:r>
        <w:rPr>
          <w:rFonts w:hint="eastAsia" w:cs="宋体"/>
          <w:color w:val="auto"/>
          <w:highlight w:val="none"/>
        </w:rPr>
        <w:t>计日工单价均不含规费和税金</w:t>
      </w:r>
      <w:r>
        <w:rPr>
          <w:rFonts w:hint="eastAsia" w:cs="宋体"/>
          <w:color w:val="auto"/>
          <w:highlight w:val="none"/>
          <w:lang w:eastAsia="zh-CN"/>
        </w:rPr>
        <w:t>；</w:t>
      </w:r>
    </w:p>
    <w:p w14:paraId="5AB14DA2">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14:paraId="4EC2F455">
      <w:pPr>
        <w:spacing w:line="360" w:lineRule="auto"/>
        <w:ind w:firstLine="420" w:firstLineChars="200"/>
        <w:rPr>
          <w:color w:val="auto"/>
          <w:highlight w:val="none"/>
        </w:rPr>
      </w:pPr>
      <w:r>
        <w:rPr>
          <w:rFonts w:hint="eastAsia"/>
          <w:color w:val="auto"/>
          <w:highlight w:val="none"/>
        </w:rPr>
        <w:t>（6）对建设单位创建优质工程的，鼓励在采购控制价和预算中按我区工程建设定额规定计列工程优质费，并明确工程优质费不可竞争。</w:t>
      </w:r>
    </w:p>
    <w:p w14:paraId="7245BEA6">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52C23178">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7CC14D97">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竞标总价应当与分部分项工程费、措施项目费、其他项目费和规费、增值税的合计金额一致。</w:t>
      </w:r>
    </w:p>
    <w:p w14:paraId="38CECA21">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供应商应按《允许调整主要材料和工程设备一览表》的内容填报，不得擅自调整材料和设备名称型号规格、单位、风险系数、基准单价。</w:t>
      </w:r>
    </w:p>
    <w:p w14:paraId="76CA637F">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竞标报价</w:t>
      </w:r>
      <w:r>
        <w:rPr>
          <w:rFonts w:hint="eastAsia" w:cs="宋体"/>
          <w:color w:val="auto"/>
          <w:highlight w:val="none"/>
        </w:rPr>
        <w:t>表格按本工程工程量清单表格要求填写，并</w:t>
      </w:r>
      <w:r>
        <w:rPr>
          <w:rFonts w:hint="eastAsia" w:hAnsi="宋体" w:cs="宋体"/>
          <w:color w:val="auto"/>
          <w:highlight w:val="none"/>
        </w:rPr>
        <w:t>应按磋商文件的要求，附上《工程量清单综合单价分析表》（表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250F559C">
      <w:pPr>
        <w:spacing w:line="360" w:lineRule="auto"/>
        <w:ind w:firstLine="420" w:firstLineChars="200"/>
        <w:rPr>
          <w:color w:val="auto"/>
          <w:highlight w:val="none"/>
          <w:u w:val="single"/>
        </w:rPr>
      </w:pPr>
      <w:r>
        <w:rPr>
          <w:rFonts w:hint="eastAsia" w:cs="宋体"/>
          <w:color w:val="auto"/>
          <w:highlight w:val="none"/>
        </w:rPr>
        <w:t>未尽事宜详见本工程工程量清单、采购控制价编制说明以及现行《计价规范》等有关规定执行。</w:t>
      </w:r>
    </w:p>
    <w:p w14:paraId="45EEF6CF">
      <w:pPr>
        <w:spacing w:line="360" w:lineRule="auto"/>
        <w:ind w:firstLine="420" w:firstLineChars="200"/>
        <w:rPr>
          <w:rFonts w:cs="宋体"/>
          <w:color w:val="auto"/>
          <w:highlight w:val="none"/>
        </w:rPr>
      </w:pPr>
      <w:r>
        <w:rPr>
          <w:rFonts w:hint="eastAsia" w:cs="宋体"/>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竞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2DD4073E">
      <w:pPr>
        <w:pStyle w:val="3"/>
        <w:spacing w:before="0" w:after="0" w:line="360" w:lineRule="auto"/>
        <w:rPr>
          <w:rFonts w:cs="黑体"/>
          <w:color w:val="auto"/>
          <w:highlight w:val="none"/>
        </w:rPr>
      </w:pPr>
      <w:bookmarkStart w:id="96" w:name="_Toc122424004"/>
      <w:bookmarkStart w:id="97" w:name="_Toc122424253"/>
      <w:r>
        <w:rPr>
          <w:rFonts w:hint="eastAsia" w:cs="黑体"/>
          <w:color w:val="auto"/>
          <w:highlight w:val="none"/>
        </w:rPr>
        <w:t>4.</w:t>
      </w:r>
      <w:r>
        <w:rPr>
          <w:rFonts w:hint="eastAsia"/>
          <w:color w:val="auto"/>
          <w:highlight w:val="none"/>
        </w:rPr>
        <w:t>工程量清单及</w:t>
      </w:r>
      <w:r>
        <w:rPr>
          <w:rFonts w:hint="eastAsia" w:cs="黑体"/>
          <w:color w:val="auto"/>
          <w:highlight w:val="none"/>
        </w:rPr>
        <w:t>图纸（另册）</w:t>
      </w:r>
      <w:bookmarkEnd w:id="96"/>
      <w:bookmarkEnd w:id="97"/>
    </w:p>
    <w:p w14:paraId="422A264D">
      <w:pPr>
        <w:pStyle w:val="4"/>
        <w:spacing w:before="0" w:after="0" w:line="360" w:lineRule="auto"/>
        <w:rPr>
          <w:color w:val="auto"/>
          <w:highlight w:val="none"/>
        </w:rPr>
      </w:pPr>
      <w:r>
        <w:rPr>
          <w:rFonts w:cs="黑体"/>
          <w:color w:val="auto"/>
          <w:highlight w:val="none"/>
        </w:rPr>
        <w:br w:type="page"/>
      </w:r>
    </w:p>
    <w:p w14:paraId="0820D523">
      <w:pPr>
        <w:rPr>
          <w:color w:val="auto"/>
          <w:highlight w:val="none"/>
        </w:rPr>
      </w:pPr>
    </w:p>
    <w:p w14:paraId="6B247C16">
      <w:pPr>
        <w:rPr>
          <w:color w:val="auto"/>
          <w:highlight w:val="none"/>
        </w:rPr>
      </w:pPr>
    </w:p>
    <w:p w14:paraId="24406129">
      <w:pPr>
        <w:rPr>
          <w:color w:val="auto"/>
          <w:highlight w:val="none"/>
        </w:rPr>
      </w:pPr>
    </w:p>
    <w:p w14:paraId="0A1BB3C6">
      <w:pPr>
        <w:rPr>
          <w:color w:val="auto"/>
          <w:highlight w:val="none"/>
        </w:rPr>
      </w:pPr>
    </w:p>
    <w:p w14:paraId="62537427">
      <w:pPr>
        <w:rPr>
          <w:color w:val="auto"/>
          <w:highlight w:val="none"/>
        </w:rPr>
      </w:pPr>
    </w:p>
    <w:p w14:paraId="7EB9A177">
      <w:pPr>
        <w:rPr>
          <w:color w:val="auto"/>
          <w:highlight w:val="none"/>
        </w:rPr>
      </w:pPr>
    </w:p>
    <w:p w14:paraId="6C7F7D01">
      <w:pPr>
        <w:rPr>
          <w:color w:val="auto"/>
          <w:highlight w:val="none"/>
        </w:rPr>
      </w:pPr>
    </w:p>
    <w:p w14:paraId="10032C17">
      <w:pPr>
        <w:rPr>
          <w:color w:val="auto"/>
          <w:highlight w:val="none"/>
        </w:rPr>
      </w:pPr>
    </w:p>
    <w:p w14:paraId="42D8375C">
      <w:pPr>
        <w:rPr>
          <w:color w:val="auto"/>
          <w:highlight w:val="none"/>
        </w:rPr>
      </w:pPr>
    </w:p>
    <w:p w14:paraId="4395943B">
      <w:pPr>
        <w:rPr>
          <w:color w:val="auto"/>
          <w:highlight w:val="none"/>
        </w:rPr>
      </w:pPr>
    </w:p>
    <w:p w14:paraId="43789DA9">
      <w:pPr>
        <w:rPr>
          <w:color w:val="auto"/>
          <w:highlight w:val="none"/>
        </w:rPr>
      </w:pPr>
    </w:p>
    <w:p w14:paraId="701EF5F1">
      <w:pPr>
        <w:pStyle w:val="2"/>
        <w:jc w:val="center"/>
        <w:rPr>
          <w:color w:val="auto"/>
          <w:highlight w:val="none"/>
        </w:rPr>
      </w:pPr>
      <w:bookmarkStart w:id="98" w:name="_Toc122424265"/>
      <w:r>
        <w:rPr>
          <w:rFonts w:hint="eastAsia"/>
          <w:color w:val="auto"/>
          <w:highlight w:val="none"/>
        </w:rPr>
        <w:t>第六章 响应文件格式</w:t>
      </w:r>
      <w:bookmarkEnd w:id="98"/>
    </w:p>
    <w:p w14:paraId="6A5657B5">
      <w:pPr>
        <w:spacing w:line="240" w:lineRule="atLeast"/>
        <w:rPr>
          <w:rFonts w:ascii="宋体" w:hAnsi="宋体"/>
          <w:b/>
          <w:color w:val="auto"/>
          <w:sz w:val="32"/>
          <w:szCs w:val="32"/>
          <w:highlight w:val="none"/>
        </w:rPr>
      </w:pPr>
    </w:p>
    <w:p w14:paraId="7448AF09">
      <w:pPr>
        <w:spacing w:line="240" w:lineRule="atLeast"/>
        <w:rPr>
          <w:rFonts w:ascii="宋体" w:hAnsi="宋体"/>
          <w:b/>
          <w:color w:val="auto"/>
          <w:sz w:val="32"/>
          <w:szCs w:val="32"/>
          <w:highlight w:val="none"/>
        </w:rPr>
      </w:pPr>
    </w:p>
    <w:p w14:paraId="7EC04E73">
      <w:pPr>
        <w:spacing w:line="240" w:lineRule="atLeast"/>
        <w:rPr>
          <w:rFonts w:ascii="宋体" w:hAnsi="宋体"/>
          <w:b/>
          <w:color w:val="auto"/>
          <w:sz w:val="32"/>
          <w:szCs w:val="32"/>
          <w:highlight w:val="none"/>
        </w:rPr>
      </w:pPr>
    </w:p>
    <w:p w14:paraId="73FE7891">
      <w:pPr>
        <w:spacing w:line="240" w:lineRule="atLeast"/>
        <w:rPr>
          <w:rFonts w:ascii="宋体" w:hAnsi="宋体"/>
          <w:b/>
          <w:color w:val="auto"/>
          <w:sz w:val="32"/>
          <w:szCs w:val="32"/>
          <w:highlight w:val="none"/>
        </w:rPr>
      </w:pPr>
    </w:p>
    <w:p w14:paraId="06C3A90A">
      <w:pPr>
        <w:spacing w:line="240" w:lineRule="atLeast"/>
        <w:rPr>
          <w:rFonts w:ascii="宋体" w:hAnsi="宋体"/>
          <w:b/>
          <w:color w:val="auto"/>
          <w:sz w:val="32"/>
          <w:szCs w:val="32"/>
          <w:highlight w:val="none"/>
        </w:rPr>
      </w:pPr>
    </w:p>
    <w:p w14:paraId="1B6EC939">
      <w:pPr>
        <w:spacing w:line="240" w:lineRule="atLeast"/>
        <w:rPr>
          <w:rFonts w:ascii="宋体" w:hAnsi="宋体"/>
          <w:b/>
          <w:color w:val="auto"/>
          <w:sz w:val="32"/>
          <w:szCs w:val="32"/>
          <w:highlight w:val="none"/>
        </w:rPr>
      </w:pPr>
    </w:p>
    <w:p w14:paraId="1458E236">
      <w:pPr>
        <w:spacing w:line="240" w:lineRule="atLeast"/>
        <w:rPr>
          <w:rFonts w:ascii="宋体" w:hAnsi="宋体"/>
          <w:b/>
          <w:color w:val="auto"/>
          <w:sz w:val="32"/>
          <w:szCs w:val="32"/>
          <w:highlight w:val="none"/>
        </w:rPr>
      </w:pPr>
    </w:p>
    <w:p w14:paraId="26EB43DB">
      <w:pPr>
        <w:spacing w:line="240" w:lineRule="atLeast"/>
        <w:rPr>
          <w:rFonts w:ascii="宋体" w:hAnsi="宋体"/>
          <w:b/>
          <w:color w:val="auto"/>
          <w:sz w:val="32"/>
          <w:szCs w:val="32"/>
          <w:highlight w:val="none"/>
        </w:rPr>
      </w:pPr>
    </w:p>
    <w:p w14:paraId="5ECA08F8">
      <w:pPr>
        <w:spacing w:line="240" w:lineRule="atLeast"/>
        <w:rPr>
          <w:rFonts w:ascii="宋体" w:hAnsi="宋体"/>
          <w:b/>
          <w:color w:val="auto"/>
          <w:sz w:val="32"/>
          <w:szCs w:val="32"/>
          <w:highlight w:val="none"/>
        </w:rPr>
      </w:pPr>
    </w:p>
    <w:p w14:paraId="4A5EBBEF">
      <w:pPr>
        <w:spacing w:line="240" w:lineRule="atLeast"/>
        <w:rPr>
          <w:rFonts w:ascii="宋体" w:hAnsi="宋体"/>
          <w:b/>
          <w:color w:val="auto"/>
          <w:sz w:val="32"/>
          <w:szCs w:val="32"/>
          <w:highlight w:val="none"/>
        </w:rPr>
      </w:pPr>
    </w:p>
    <w:p w14:paraId="5C93C5E1">
      <w:pPr>
        <w:snapToGrid w:val="0"/>
        <w:spacing w:before="50" w:after="50"/>
        <w:outlineLvl w:val="1"/>
        <w:rPr>
          <w:rFonts w:ascii="宋体" w:hAnsi="宋体"/>
          <w:b/>
          <w:bCs/>
          <w:color w:val="auto"/>
          <w:sz w:val="24"/>
          <w:highlight w:val="none"/>
        </w:rPr>
      </w:pPr>
    </w:p>
    <w:p w14:paraId="4C21880F">
      <w:pPr>
        <w:rPr>
          <w:b/>
          <w:color w:val="auto"/>
          <w:sz w:val="32"/>
          <w:szCs w:val="32"/>
          <w:highlight w:val="none"/>
        </w:rPr>
      </w:pPr>
      <w:bookmarkStart w:id="99" w:name="_Toc35611438"/>
      <w:bookmarkStart w:id="100" w:name="_Toc31723070"/>
      <w:bookmarkStart w:id="101" w:name="_Toc44229899"/>
      <w:bookmarkStart w:id="102" w:name="_Toc71366186"/>
      <w:bookmarkStart w:id="103" w:name="_Toc31728084"/>
      <w:bookmarkStart w:id="104" w:name="_Toc35611516"/>
      <w:r>
        <w:rPr>
          <w:b/>
          <w:color w:val="auto"/>
          <w:sz w:val="32"/>
          <w:szCs w:val="32"/>
          <w:highlight w:val="none"/>
        </w:rPr>
        <w:br w:type="page"/>
      </w:r>
      <w:r>
        <w:rPr>
          <w:rFonts w:hint="eastAsia"/>
          <w:b/>
          <w:color w:val="auto"/>
          <w:sz w:val="32"/>
          <w:szCs w:val="32"/>
          <w:highlight w:val="none"/>
        </w:rPr>
        <w:t>一、资格证明文件格式</w:t>
      </w:r>
      <w:bookmarkEnd w:id="99"/>
      <w:bookmarkEnd w:id="100"/>
      <w:bookmarkEnd w:id="101"/>
      <w:bookmarkEnd w:id="102"/>
      <w:bookmarkEnd w:id="103"/>
      <w:bookmarkEnd w:id="104"/>
    </w:p>
    <w:p w14:paraId="5B8234F7">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3277847A">
      <w:pPr>
        <w:snapToGrid w:val="0"/>
        <w:spacing w:beforeLines="50" w:after="50"/>
        <w:jc w:val="center"/>
        <w:rPr>
          <w:rFonts w:ascii="宋体" w:hAnsi="宋体"/>
          <w:color w:val="auto"/>
          <w:sz w:val="44"/>
          <w:szCs w:val="44"/>
          <w:highlight w:val="none"/>
        </w:rPr>
      </w:pPr>
    </w:p>
    <w:p w14:paraId="205808D4">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0B57EB23">
      <w:pPr>
        <w:snapToGrid w:val="0"/>
        <w:spacing w:beforeLines="50" w:after="50"/>
        <w:rPr>
          <w:rFonts w:ascii="宋体" w:hAnsi="宋体"/>
          <w:color w:val="auto"/>
          <w:sz w:val="24"/>
          <w:szCs w:val="20"/>
          <w:highlight w:val="none"/>
        </w:rPr>
      </w:pPr>
    </w:p>
    <w:p w14:paraId="740F38CE">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29323839">
      <w:pPr>
        <w:snapToGrid w:val="0"/>
        <w:spacing w:beforeLines="50" w:after="50"/>
        <w:rPr>
          <w:rFonts w:ascii="宋体" w:hAnsi="宋体"/>
          <w:bCs/>
          <w:color w:val="auto"/>
          <w:sz w:val="24"/>
          <w:szCs w:val="20"/>
          <w:highlight w:val="none"/>
        </w:rPr>
      </w:pPr>
    </w:p>
    <w:p w14:paraId="5B583D31">
      <w:pPr>
        <w:snapToGrid w:val="0"/>
        <w:spacing w:beforeLines="50" w:after="50"/>
        <w:rPr>
          <w:rFonts w:ascii="宋体" w:hAnsi="宋体"/>
          <w:bCs/>
          <w:color w:val="auto"/>
          <w:sz w:val="24"/>
          <w:szCs w:val="20"/>
          <w:highlight w:val="none"/>
        </w:rPr>
      </w:pPr>
    </w:p>
    <w:p w14:paraId="713FEAB1">
      <w:pPr>
        <w:snapToGrid w:val="0"/>
        <w:spacing w:beforeLines="50" w:after="50"/>
        <w:rPr>
          <w:rFonts w:ascii="宋体" w:hAnsi="宋体"/>
          <w:bCs/>
          <w:color w:val="auto"/>
          <w:sz w:val="24"/>
          <w:szCs w:val="20"/>
          <w:highlight w:val="none"/>
        </w:rPr>
      </w:pPr>
    </w:p>
    <w:p w14:paraId="55E4A1B9">
      <w:pPr>
        <w:snapToGrid w:val="0"/>
        <w:spacing w:beforeLines="50" w:after="50"/>
        <w:rPr>
          <w:rFonts w:ascii="宋体" w:hAnsi="宋体"/>
          <w:bCs/>
          <w:color w:val="auto"/>
          <w:sz w:val="24"/>
          <w:szCs w:val="20"/>
          <w:highlight w:val="none"/>
        </w:rPr>
      </w:pPr>
    </w:p>
    <w:p w14:paraId="604D1B2E">
      <w:pPr>
        <w:snapToGrid w:val="0"/>
        <w:spacing w:beforeLines="50" w:after="50"/>
        <w:rPr>
          <w:rFonts w:ascii="宋体" w:hAnsi="宋体"/>
          <w:bCs/>
          <w:color w:val="auto"/>
          <w:sz w:val="24"/>
          <w:szCs w:val="20"/>
          <w:highlight w:val="none"/>
        </w:rPr>
      </w:pPr>
    </w:p>
    <w:p w14:paraId="686F4E4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9A196C7">
      <w:pPr>
        <w:snapToGrid w:val="0"/>
        <w:spacing w:beforeLines="50" w:after="50"/>
        <w:ind w:firstLine="720" w:firstLineChars="225"/>
        <w:rPr>
          <w:rFonts w:ascii="宋体" w:hAnsi="宋体" w:cs="仿宋_GB2312"/>
          <w:bCs/>
          <w:color w:val="auto"/>
          <w:sz w:val="32"/>
          <w:szCs w:val="32"/>
          <w:highlight w:val="none"/>
        </w:rPr>
      </w:pPr>
    </w:p>
    <w:p w14:paraId="0203B189">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E7F68B8">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6252AB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5E8CA6D">
      <w:pPr>
        <w:snapToGrid w:val="0"/>
        <w:spacing w:beforeLines="50" w:after="50"/>
        <w:ind w:firstLine="720" w:firstLineChars="225"/>
        <w:rPr>
          <w:rFonts w:ascii="宋体" w:hAnsi="宋体" w:cs="仿宋_GB2312"/>
          <w:bCs/>
          <w:color w:val="auto"/>
          <w:sz w:val="32"/>
          <w:szCs w:val="32"/>
          <w:highlight w:val="none"/>
        </w:rPr>
      </w:pPr>
    </w:p>
    <w:p w14:paraId="12DBC030">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5FD3AA1">
      <w:pPr>
        <w:snapToGrid w:val="0"/>
        <w:spacing w:beforeLines="50" w:after="50"/>
        <w:ind w:firstLine="640" w:firstLineChars="200"/>
        <w:rPr>
          <w:rFonts w:ascii="宋体" w:hAnsi="宋体" w:cs="仿宋_GB2312"/>
          <w:bCs/>
          <w:color w:val="auto"/>
          <w:sz w:val="32"/>
          <w:szCs w:val="32"/>
          <w:highlight w:val="none"/>
        </w:rPr>
      </w:pPr>
    </w:p>
    <w:p w14:paraId="2FB723EF">
      <w:pPr>
        <w:pStyle w:val="7"/>
        <w:snapToGrid w:val="0"/>
        <w:spacing w:before="50" w:after="50"/>
        <w:ind w:firstLine="720" w:firstLineChars="225"/>
        <w:rPr>
          <w:rFonts w:ascii="宋体" w:hAnsi="宋体" w:cs="仿宋_GB2312"/>
          <w:bCs/>
          <w:color w:val="auto"/>
          <w:sz w:val="32"/>
          <w:szCs w:val="32"/>
          <w:highlight w:val="none"/>
        </w:rPr>
      </w:pPr>
    </w:p>
    <w:p w14:paraId="2A665832">
      <w:pPr>
        <w:pStyle w:val="7"/>
        <w:snapToGrid w:val="0"/>
        <w:spacing w:before="50" w:after="50"/>
        <w:ind w:firstLine="720" w:firstLineChars="225"/>
        <w:rPr>
          <w:rFonts w:ascii="宋体" w:hAnsi="宋体" w:cs="仿宋_GB2312"/>
          <w:bCs/>
          <w:color w:val="auto"/>
          <w:sz w:val="32"/>
          <w:szCs w:val="32"/>
          <w:highlight w:val="none"/>
        </w:rPr>
      </w:pPr>
    </w:p>
    <w:p w14:paraId="17CD41E5">
      <w:pPr>
        <w:pStyle w:val="7"/>
        <w:snapToGrid w:val="0"/>
        <w:spacing w:before="50" w:after="50"/>
        <w:ind w:firstLine="1280" w:firstLineChars="400"/>
        <w:rPr>
          <w:rFonts w:ascii="宋体" w:hAnsi="宋体" w:cs="仿宋_GB2312"/>
          <w:bCs/>
          <w:color w:val="auto"/>
          <w:sz w:val="32"/>
          <w:szCs w:val="32"/>
          <w:highlight w:val="none"/>
        </w:rPr>
      </w:pPr>
    </w:p>
    <w:p w14:paraId="0B1A81C6">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12C2C86">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8B7D110">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2E852C1">
      <w:pPr>
        <w:snapToGrid w:val="0"/>
        <w:spacing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7EF7064">
      <w:pPr>
        <w:spacing w:line="300" w:lineRule="auto"/>
        <w:rPr>
          <w:rFonts w:ascii="宋体" w:hAnsi="宋体"/>
          <w:color w:val="auto"/>
          <w:szCs w:val="21"/>
          <w:highlight w:val="none"/>
        </w:rPr>
      </w:pPr>
    </w:p>
    <w:p w14:paraId="1C50D006">
      <w:pPr>
        <w:spacing w:line="300" w:lineRule="auto"/>
        <w:rPr>
          <w:rFonts w:ascii="宋体" w:hAnsi="宋体"/>
          <w:color w:val="auto"/>
          <w:szCs w:val="21"/>
          <w:highlight w:val="none"/>
        </w:rPr>
      </w:pPr>
    </w:p>
    <w:p w14:paraId="44602D32">
      <w:pPr>
        <w:spacing w:line="300" w:lineRule="auto"/>
        <w:rPr>
          <w:rFonts w:ascii="宋体" w:hAnsi="宋体"/>
          <w:color w:val="auto"/>
          <w:szCs w:val="21"/>
          <w:highlight w:val="none"/>
        </w:rPr>
      </w:pPr>
    </w:p>
    <w:p w14:paraId="7FCA3D6C">
      <w:pPr>
        <w:spacing w:line="300" w:lineRule="auto"/>
        <w:rPr>
          <w:rFonts w:ascii="宋体" w:hAnsi="宋体"/>
          <w:color w:val="auto"/>
          <w:szCs w:val="21"/>
          <w:highlight w:val="none"/>
        </w:rPr>
      </w:pPr>
    </w:p>
    <w:p w14:paraId="4C3F6595">
      <w:pPr>
        <w:spacing w:line="300" w:lineRule="auto"/>
        <w:rPr>
          <w:rFonts w:ascii="宋体" w:hAnsi="宋体"/>
          <w:color w:val="auto"/>
          <w:szCs w:val="21"/>
          <w:highlight w:val="none"/>
        </w:rPr>
      </w:pPr>
    </w:p>
    <w:p w14:paraId="7D88D069">
      <w:pPr>
        <w:spacing w:line="300" w:lineRule="auto"/>
        <w:rPr>
          <w:rFonts w:ascii="宋体" w:hAnsi="宋体"/>
          <w:color w:val="auto"/>
          <w:szCs w:val="21"/>
          <w:highlight w:val="none"/>
        </w:rPr>
      </w:pPr>
    </w:p>
    <w:p w14:paraId="19596B0A">
      <w:pPr>
        <w:spacing w:line="300" w:lineRule="auto"/>
        <w:rPr>
          <w:rFonts w:ascii="宋体" w:hAnsi="宋体"/>
          <w:color w:val="auto"/>
          <w:szCs w:val="21"/>
          <w:highlight w:val="none"/>
        </w:rPr>
      </w:pPr>
    </w:p>
    <w:p w14:paraId="4581264A">
      <w:pPr>
        <w:spacing w:line="300" w:lineRule="auto"/>
        <w:rPr>
          <w:rFonts w:ascii="宋体" w:hAnsi="宋体"/>
          <w:color w:val="auto"/>
          <w:szCs w:val="21"/>
          <w:highlight w:val="none"/>
        </w:rPr>
      </w:pPr>
    </w:p>
    <w:p w14:paraId="5E3DD4A7">
      <w:pPr>
        <w:spacing w:line="300" w:lineRule="auto"/>
        <w:rPr>
          <w:rFonts w:ascii="宋体" w:hAnsi="宋体"/>
          <w:color w:val="auto"/>
          <w:szCs w:val="21"/>
          <w:highlight w:val="none"/>
        </w:rPr>
      </w:pPr>
    </w:p>
    <w:p w14:paraId="7D1E9775">
      <w:pPr>
        <w:spacing w:line="300" w:lineRule="auto"/>
        <w:rPr>
          <w:rFonts w:ascii="宋体" w:hAnsi="宋体"/>
          <w:color w:val="auto"/>
          <w:szCs w:val="21"/>
          <w:highlight w:val="none"/>
        </w:rPr>
      </w:pPr>
    </w:p>
    <w:p w14:paraId="1A582249">
      <w:pPr>
        <w:spacing w:line="300" w:lineRule="auto"/>
        <w:rPr>
          <w:rFonts w:ascii="宋体" w:hAnsi="宋体"/>
          <w:color w:val="auto"/>
          <w:szCs w:val="21"/>
          <w:highlight w:val="none"/>
        </w:rPr>
      </w:pPr>
    </w:p>
    <w:p w14:paraId="4F5E910D">
      <w:pPr>
        <w:spacing w:line="300" w:lineRule="auto"/>
        <w:rPr>
          <w:rFonts w:ascii="宋体" w:hAnsi="宋体"/>
          <w:color w:val="auto"/>
          <w:szCs w:val="21"/>
          <w:highlight w:val="none"/>
        </w:rPr>
      </w:pPr>
    </w:p>
    <w:p w14:paraId="1D379B18">
      <w:pPr>
        <w:spacing w:line="300" w:lineRule="auto"/>
        <w:rPr>
          <w:rFonts w:ascii="宋体" w:hAnsi="宋体"/>
          <w:color w:val="auto"/>
          <w:szCs w:val="21"/>
          <w:highlight w:val="none"/>
        </w:rPr>
      </w:pPr>
    </w:p>
    <w:p w14:paraId="5B725928">
      <w:pPr>
        <w:spacing w:line="300" w:lineRule="auto"/>
        <w:rPr>
          <w:rFonts w:ascii="宋体" w:hAnsi="宋体"/>
          <w:color w:val="auto"/>
          <w:szCs w:val="21"/>
          <w:highlight w:val="none"/>
        </w:rPr>
      </w:pPr>
    </w:p>
    <w:p w14:paraId="36BCF19C">
      <w:pPr>
        <w:spacing w:line="300" w:lineRule="auto"/>
        <w:rPr>
          <w:rFonts w:ascii="宋体" w:hAnsi="宋体"/>
          <w:color w:val="auto"/>
          <w:szCs w:val="21"/>
          <w:highlight w:val="none"/>
        </w:rPr>
      </w:pPr>
    </w:p>
    <w:p w14:paraId="44E7119F">
      <w:pPr>
        <w:spacing w:line="320" w:lineRule="exact"/>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6393788D">
      <w:pPr>
        <w:wordWrap w:val="0"/>
        <w:spacing w:beforeLines="50" w:after="50" w:line="320" w:lineRule="exact"/>
        <w:ind w:right="482" w:firstLine="210" w:firstLineChars="100"/>
        <w:contextualSpacing/>
        <w:jc w:val="center"/>
        <w:rPr>
          <w:rFonts w:ascii="宋体" w:hAnsi="宋体"/>
          <w:color w:val="auto"/>
          <w:szCs w:val="21"/>
          <w:highlight w:val="none"/>
        </w:rPr>
      </w:pPr>
    </w:p>
    <w:p w14:paraId="209E9F3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52B8C4DB">
      <w:pPr>
        <w:snapToGrid w:val="0"/>
        <w:spacing w:beforeLines="50" w:after="50" w:line="360" w:lineRule="auto"/>
        <w:jc w:val="center"/>
        <w:rPr>
          <w:rFonts w:ascii="宋体" w:hAnsi="宋体"/>
          <w:b/>
          <w:color w:val="auto"/>
          <w:sz w:val="24"/>
          <w:highlight w:val="none"/>
        </w:rPr>
      </w:pPr>
    </w:p>
    <w:p w14:paraId="05C5B15E">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F24E072">
      <w:pPr>
        <w:spacing w:line="360" w:lineRule="auto"/>
        <w:contextualSpacing/>
        <w:jc w:val="center"/>
        <w:rPr>
          <w:rFonts w:ascii="宋体" w:hAnsi="宋体"/>
          <w:b/>
          <w:color w:val="auto"/>
          <w:sz w:val="24"/>
          <w:highlight w:val="none"/>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76139A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E578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C6004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5D378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80B6B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DB458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D4F84A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624F6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95DD5E">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15C53">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A118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7DDEED">
            <w:pPr>
              <w:widowControl/>
              <w:spacing w:line="360" w:lineRule="auto"/>
              <w:contextualSpacing/>
              <w:jc w:val="center"/>
              <w:rPr>
                <w:rFonts w:ascii="宋体" w:hAnsi="宋体" w:cs="宋体"/>
                <w:color w:val="auto"/>
                <w:kern w:val="0"/>
                <w:sz w:val="24"/>
                <w:highlight w:val="none"/>
              </w:rPr>
            </w:pPr>
          </w:p>
        </w:tc>
      </w:tr>
      <w:tr w14:paraId="3B53249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1A57C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1D958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E1895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2C88D">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BBD11">
            <w:pPr>
              <w:widowControl/>
              <w:spacing w:line="360" w:lineRule="auto"/>
              <w:contextualSpacing/>
              <w:jc w:val="center"/>
              <w:rPr>
                <w:rFonts w:ascii="宋体" w:hAnsi="宋体" w:cs="宋体"/>
                <w:color w:val="auto"/>
                <w:kern w:val="0"/>
                <w:sz w:val="24"/>
                <w:highlight w:val="none"/>
              </w:rPr>
            </w:pPr>
          </w:p>
        </w:tc>
      </w:tr>
      <w:tr w14:paraId="2D92922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F8E4B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66356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6F8B0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B2F45">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5B59AC">
            <w:pPr>
              <w:widowControl/>
              <w:spacing w:line="360" w:lineRule="auto"/>
              <w:contextualSpacing/>
              <w:jc w:val="center"/>
              <w:rPr>
                <w:rFonts w:ascii="宋体" w:hAnsi="宋体" w:cs="宋体"/>
                <w:color w:val="auto"/>
                <w:kern w:val="0"/>
                <w:sz w:val="24"/>
                <w:highlight w:val="none"/>
              </w:rPr>
            </w:pPr>
          </w:p>
        </w:tc>
      </w:tr>
      <w:tr w14:paraId="52C4B12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F72AF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47FBEE">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BE32ED">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7174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A3D28B">
            <w:pPr>
              <w:widowControl/>
              <w:spacing w:line="360" w:lineRule="auto"/>
              <w:contextualSpacing/>
              <w:jc w:val="center"/>
              <w:rPr>
                <w:rFonts w:ascii="宋体" w:hAnsi="宋体" w:cs="宋体"/>
                <w:color w:val="auto"/>
                <w:kern w:val="0"/>
                <w:sz w:val="24"/>
                <w:highlight w:val="none"/>
              </w:rPr>
            </w:pPr>
          </w:p>
        </w:tc>
      </w:tr>
    </w:tbl>
    <w:p w14:paraId="0E3E6490">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6DC7C26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w:t>
      </w:r>
      <w:r>
        <w:rPr>
          <w:rFonts w:hint="eastAsia" w:ascii="宋体" w:hAnsi="宋体" w:cs="宋体"/>
          <w:color w:val="auto"/>
          <w:sz w:val="24"/>
          <w:highlight w:val="none"/>
          <w:lang w:eastAsia="zh-CN"/>
        </w:rPr>
        <w:t>；</w:t>
      </w:r>
      <w:r>
        <w:rPr>
          <w:rFonts w:hint="eastAsia" w:ascii="宋体" w:hAnsi="宋体" w:cs="宋体"/>
          <w:color w:val="auto"/>
          <w:sz w:val="24"/>
          <w:highlight w:val="none"/>
        </w:rPr>
        <w:t>出资额或者持有股份的比例虽然不足百分之五十，但依其出资额或者持有的股份所享有的表决权已足以对股东会、股东大会的决议产生重大影响的股东。</w:t>
      </w:r>
    </w:p>
    <w:p w14:paraId="2115A16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C850A4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4CB55FE0">
      <w:pPr>
        <w:spacing w:line="360" w:lineRule="auto"/>
        <w:ind w:firstLine="420" w:firstLineChars="200"/>
        <w:contextualSpacing/>
        <w:jc w:val="left"/>
        <w:rPr>
          <w:rFonts w:ascii="宋体" w:hAnsi="宋体" w:cs="宋体"/>
          <w:color w:val="auto"/>
          <w:szCs w:val="21"/>
          <w:highlight w:val="none"/>
        </w:rPr>
      </w:pPr>
    </w:p>
    <w:p w14:paraId="118F8397">
      <w:pPr>
        <w:spacing w:line="360" w:lineRule="auto"/>
        <w:ind w:firstLine="560" w:firstLineChars="200"/>
        <w:contextualSpacing/>
        <w:jc w:val="left"/>
        <w:rPr>
          <w:rFonts w:ascii="宋体" w:hAnsi="宋体" w:cs="宋体"/>
          <w:color w:val="auto"/>
          <w:sz w:val="28"/>
          <w:szCs w:val="28"/>
          <w:highlight w:val="none"/>
        </w:rPr>
      </w:pPr>
    </w:p>
    <w:p w14:paraId="4C669016">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397047F9">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4C31129">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472E9763">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4A2E37C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12207E19">
      <w:pPr>
        <w:snapToGrid w:val="0"/>
        <w:spacing w:line="360" w:lineRule="auto"/>
        <w:jc w:val="center"/>
        <w:rPr>
          <w:rFonts w:ascii="宋体" w:hAnsi="宋体"/>
          <w:b/>
          <w:color w:val="auto"/>
          <w:sz w:val="24"/>
          <w:highlight w:val="none"/>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2F8C4F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B136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2DCEF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21B0D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546B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183663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6D38B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96368">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07A4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B372AE">
            <w:pPr>
              <w:widowControl/>
              <w:spacing w:line="360" w:lineRule="auto"/>
              <w:contextualSpacing/>
              <w:jc w:val="center"/>
              <w:rPr>
                <w:rFonts w:ascii="宋体" w:hAnsi="宋体" w:cs="宋体"/>
                <w:color w:val="auto"/>
                <w:kern w:val="0"/>
                <w:sz w:val="24"/>
                <w:highlight w:val="none"/>
              </w:rPr>
            </w:pPr>
          </w:p>
        </w:tc>
      </w:tr>
      <w:tr w14:paraId="70F5D8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C9E40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E57B6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8E2E1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A0204D">
            <w:pPr>
              <w:widowControl/>
              <w:spacing w:line="360" w:lineRule="auto"/>
              <w:contextualSpacing/>
              <w:jc w:val="center"/>
              <w:rPr>
                <w:rFonts w:ascii="宋体" w:hAnsi="宋体" w:cs="宋体"/>
                <w:color w:val="auto"/>
                <w:kern w:val="0"/>
                <w:sz w:val="24"/>
                <w:highlight w:val="none"/>
              </w:rPr>
            </w:pPr>
          </w:p>
        </w:tc>
      </w:tr>
      <w:tr w14:paraId="67550BF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BBCC7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A369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EC088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4EA950">
            <w:pPr>
              <w:widowControl/>
              <w:spacing w:line="360" w:lineRule="auto"/>
              <w:contextualSpacing/>
              <w:jc w:val="center"/>
              <w:rPr>
                <w:rFonts w:ascii="宋体" w:hAnsi="宋体" w:cs="宋体"/>
                <w:color w:val="auto"/>
                <w:kern w:val="0"/>
                <w:sz w:val="24"/>
                <w:highlight w:val="none"/>
              </w:rPr>
            </w:pPr>
          </w:p>
        </w:tc>
      </w:tr>
      <w:tr w14:paraId="443B69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275DE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3B084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984D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F915B9">
            <w:pPr>
              <w:widowControl/>
              <w:spacing w:line="360" w:lineRule="auto"/>
              <w:contextualSpacing/>
              <w:jc w:val="center"/>
              <w:rPr>
                <w:rFonts w:ascii="宋体" w:hAnsi="宋体" w:cs="宋体"/>
                <w:color w:val="auto"/>
                <w:kern w:val="0"/>
                <w:sz w:val="24"/>
                <w:highlight w:val="none"/>
              </w:rPr>
            </w:pPr>
          </w:p>
        </w:tc>
      </w:tr>
    </w:tbl>
    <w:p w14:paraId="13162E27">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464A593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6E8D904">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78D6F37">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6CBD546A">
      <w:pPr>
        <w:spacing w:line="360" w:lineRule="auto"/>
        <w:contextualSpacing/>
        <w:jc w:val="left"/>
        <w:rPr>
          <w:color w:val="auto"/>
          <w:sz w:val="28"/>
          <w:szCs w:val="28"/>
          <w:highlight w:val="none"/>
        </w:rPr>
      </w:pPr>
    </w:p>
    <w:p w14:paraId="283D7FB3">
      <w:pPr>
        <w:spacing w:line="360" w:lineRule="auto"/>
        <w:contextualSpacing/>
        <w:jc w:val="left"/>
        <w:rPr>
          <w:rFonts w:ascii="宋体" w:hAnsi="宋体"/>
          <w:color w:val="auto"/>
          <w:sz w:val="28"/>
          <w:szCs w:val="28"/>
          <w:highlight w:val="none"/>
        </w:rPr>
      </w:pPr>
    </w:p>
    <w:p w14:paraId="2FAE5A1D">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387228E">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BD00C24">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614D9127">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5D0445D7">
      <w:pPr>
        <w:spacing w:line="320" w:lineRule="exact"/>
        <w:jc w:val="center"/>
        <w:rPr>
          <w:rFonts w:ascii="宋体" w:hAnsi="宋体"/>
          <w:color w:val="auto"/>
          <w:sz w:val="24"/>
          <w:szCs w:val="20"/>
          <w:highlight w:val="none"/>
        </w:rPr>
      </w:pPr>
    </w:p>
    <w:p w14:paraId="03A4F63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2126B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1C2C6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44B0B42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F9716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26F9C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30EACEC">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（1）将按磋商文件的约定履行合同责任和义务</w:t>
      </w:r>
      <w:r>
        <w:rPr>
          <w:rFonts w:hint="eastAsia" w:ascii="宋体" w:hAnsi="宋体" w:cs="宋体"/>
          <w:color w:val="auto"/>
          <w:sz w:val="24"/>
          <w:highlight w:val="none"/>
          <w:lang w:eastAsia="zh-CN"/>
        </w:rPr>
        <w:t>；</w:t>
      </w:r>
    </w:p>
    <w:p w14:paraId="31964984">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（2）已详细审查全部磋商文件，包括澄清或者更正公告（如有）</w:t>
      </w:r>
      <w:r>
        <w:rPr>
          <w:rFonts w:hint="eastAsia" w:ascii="宋体" w:hAnsi="宋体" w:cs="宋体"/>
          <w:color w:val="auto"/>
          <w:sz w:val="24"/>
          <w:highlight w:val="none"/>
          <w:lang w:eastAsia="zh-CN"/>
        </w:rPr>
        <w:t>；</w:t>
      </w:r>
    </w:p>
    <w:p w14:paraId="32286B05">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（3）同意提供按照贵方可能要求的与磋商有关的一切数据或者资料</w:t>
      </w:r>
      <w:r>
        <w:rPr>
          <w:rFonts w:hint="eastAsia" w:ascii="宋体" w:hAnsi="宋体" w:cs="宋体"/>
          <w:color w:val="auto"/>
          <w:sz w:val="24"/>
          <w:highlight w:val="none"/>
          <w:lang w:eastAsia="zh-CN"/>
        </w:rPr>
        <w:t>；</w:t>
      </w:r>
    </w:p>
    <w:p w14:paraId="32BF8C6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382F75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062619B">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5B7C1E48">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p>
    <w:p w14:paraId="26B9DD6E">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44183D0C">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362CE868">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2FA7A0A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1B57C0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9CB69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8A8F40">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r>
        <w:rPr>
          <w:rFonts w:hint="eastAsia" w:ascii="宋体" w:hAnsi="宋体" w:cs="宋体"/>
          <w:color w:val="auto"/>
          <w:kern w:val="0"/>
          <w:sz w:val="24"/>
          <w:highlight w:val="none"/>
          <w:lang w:eastAsia="zh-CN"/>
        </w:rPr>
        <w:t>；</w:t>
      </w:r>
    </w:p>
    <w:p w14:paraId="54D1D9BC">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15E93032">
      <w:pPr>
        <w:pStyle w:val="25"/>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6C92C7D">
      <w:pPr>
        <w:pStyle w:val="2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94A740E">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883839B">
      <w:pPr>
        <w:pStyle w:val="21"/>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25AA991">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5A5F0307">
      <w:pPr>
        <w:spacing w:line="360" w:lineRule="auto"/>
        <w:ind w:firstLine="482" w:firstLineChars="200"/>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如为联合体竞标，盖章处须加盖联合体牵头人电子签章并由联合体牵头人法定代表人签字或者盖章或者电子签名，否则响应文件按无效处理。</w:t>
      </w:r>
    </w:p>
    <w:p w14:paraId="4E4456D3">
      <w:pPr>
        <w:spacing w:line="360" w:lineRule="auto"/>
        <w:contextualSpacing/>
        <w:jc w:val="left"/>
        <w:rPr>
          <w:rFonts w:ascii="宋体" w:hAnsi="宋体" w:cs="宋体"/>
          <w:color w:val="auto"/>
          <w:sz w:val="24"/>
          <w:highlight w:val="none"/>
        </w:rPr>
      </w:pPr>
    </w:p>
    <w:p w14:paraId="61EBA48E">
      <w:pPr>
        <w:spacing w:line="360" w:lineRule="auto"/>
        <w:ind w:firstLine="1800" w:firstLineChars="7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356D8EA9">
      <w:pPr>
        <w:spacing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47463234">
      <w:pPr>
        <w:pStyle w:val="21"/>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年    月    日</w:t>
      </w:r>
    </w:p>
    <w:p w14:paraId="783F4E70">
      <w:pPr>
        <w:spacing w:line="360" w:lineRule="auto"/>
        <w:ind w:right="420"/>
        <w:contextualSpacing/>
        <w:jc w:val="left"/>
        <w:rPr>
          <w:rFonts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6C72892D">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92DE92D">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5A3935A9">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444AEDD1">
      <w:pPr>
        <w:snapToGrid w:val="0"/>
        <w:spacing w:beforeLines="50" w:after="50"/>
        <w:rPr>
          <w:rFonts w:ascii="宋体" w:hAnsi="宋体"/>
          <w:color w:val="auto"/>
          <w:sz w:val="24"/>
          <w:szCs w:val="20"/>
          <w:highlight w:val="none"/>
        </w:rPr>
      </w:pPr>
    </w:p>
    <w:p w14:paraId="6BF095EF">
      <w:pPr>
        <w:snapToGrid w:val="0"/>
        <w:spacing w:beforeLines="50" w:after="50"/>
        <w:rPr>
          <w:rFonts w:ascii="宋体" w:hAnsi="宋体"/>
          <w:color w:val="auto"/>
          <w:sz w:val="24"/>
          <w:szCs w:val="20"/>
          <w:highlight w:val="none"/>
        </w:rPr>
      </w:pPr>
    </w:p>
    <w:p w14:paraId="1129D702">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4D468B0">
      <w:pPr>
        <w:snapToGrid w:val="0"/>
        <w:spacing w:beforeLines="50" w:after="50"/>
        <w:rPr>
          <w:rFonts w:ascii="宋体" w:hAnsi="宋体"/>
          <w:bCs/>
          <w:color w:val="auto"/>
          <w:sz w:val="24"/>
          <w:szCs w:val="20"/>
          <w:highlight w:val="none"/>
        </w:rPr>
      </w:pPr>
    </w:p>
    <w:p w14:paraId="4B25335A">
      <w:pPr>
        <w:snapToGrid w:val="0"/>
        <w:spacing w:beforeLines="50" w:after="50"/>
        <w:rPr>
          <w:rFonts w:ascii="宋体" w:hAnsi="宋体"/>
          <w:bCs/>
          <w:color w:val="auto"/>
          <w:sz w:val="24"/>
          <w:szCs w:val="20"/>
          <w:highlight w:val="none"/>
        </w:rPr>
      </w:pPr>
    </w:p>
    <w:p w14:paraId="303CD352">
      <w:pPr>
        <w:snapToGrid w:val="0"/>
        <w:spacing w:beforeLines="50" w:after="50"/>
        <w:rPr>
          <w:rFonts w:ascii="宋体" w:hAnsi="宋体"/>
          <w:bCs/>
          <w:color w:val="auto"/>
          <w:sz w:val="24"/>
          <w:szCs w:val="20"/>
          <w:highlight w:val="none"/>
        </w:rPr>
      </w:pPr>
    </w:p>
    <w:p w14:paraId="4E08136B">
      <w:pPr>
        <w:snapToGrid w:val="0"/>
        <w:spacing w:beforeLines="50" w:after="50"/>
        <w:rPr>
          <w:rFonts w:ascii="宋体" w:hAnsi="宋体"/>
          <w:bCs/>
          <w:color w:val="auto"/>
          <w:sz w:val="24"/>
          <w:szCs w:val="20"/>
          <w:highlight w:val="none"/>
        </w:rPr>
      </w:pPr>
    </w:p>
    <w:p w14:paraId="4947E242">
      <w:pPr>
        <w:snapToGrid w:val="0"/>
        <w:spacing w:beforeLines="50" w:after="50"/>
        <w:rPr>
          <w:rFonts w:ascii="宋体" w:hAnsi="宋体"/>
          <w:bCs/>
          <w:color w:val="auto"/>
          <w:sz w:val="24"/>
          <w:szCs w:val="20"/>
          <w:highlight w:val="none"/>
        </w:rPr>
      </w:pPr>
    </w:p>
    <w:p w14:paraId="7BE0FC7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E7D17C7">
      <w:pPr>
        <w:snapToGrid w:val="0"/>
        <w:spacing w:beforeLines="50" w:after="50"/>
        <w:ind w:firstLine="720" w:firstLineChars="225"/>
        <w:rPr>
          <w:rFonts w:ascii="宋体" w:hAnsi="宋体" w:cs="仿宋_GB2312"/>
          <w:bCs/>
          <w:color w:val="auto"/>
          <w:sz w:val="32"/>
          <w:szCs w:val="32"/>
          <w:highlight w:val="none"/>
        </w:rPr>
      </w:pPr>
    </w:p>
    <w:p w14:paraId="0BEF39B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3D4ACE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06380A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A895362">
      <w:pPr>
        <w:snapToGrid w:val="0"/>
        <w:spacing w:beforeLines="50" w:after="50"/>
        <w:ind w:firstLine="720" w:firstLineChars="225"/>
        <w:rPr>
          <w:rFonts w:ascii="宋体" w:hAnsi="宋体" w:cs="仿宋_GB2312"/>
          <w:bCs/>
          <w:color w:val="auto"/>
          <w:sz w:val="32"/>
          <w:szCs w:val="32"/>
          <w:highlight w:val="none"/>
        </w:rPr>
      </w:pPr>
    </w:p>
    <w:p w14:paraId="30E2E064">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836E064">
      <w:pPr>
        <w:pStyle w:val="7"/>
        <w:snapToGrid w:val="0"/>
        <w:spacing w:before="50" w:after="50"/>
        <w:ind w:firstLine="640" w:firstLineChars="200"/>
        <w:rPr>
          <w:rFonts w:ascii="宋体" w:hAnsi="宋体" w:cs="仿宋_GB2312"/>
          <w:bCs/>
          <w:color w:val="auto"/>
          <w:sz w:val="32"/>
          <w:szCs w:val="32"/>
          <w:highlight w:val="none"/>
        </w:rPr>
      </w:pPr>
    </w:p>
    <w:p w14:paraId="77A9AD8B">
      <w:pPr>
        <w:pStyle w:val="7"/>
        <w:snapToGrid w:val="0"/>
        <w:spacing w:before="50" w:after="50"/>
        <w:ind w:firstLine="720" w:firstLineChars="225"/>
        <w:rPr>
          <w:rFonts w:ascii="宋体" w:hAnsi="宋体" w:cs="仿宋_GB2312"/>
          <w:bCs/>
          <w:color w:val="auto"/>
          <w:sz w:val="32"/>
          <w:szCs w:val="32"/>
          <w:highlight w:val="none"/>
        </w:rPr>
      </w:pPr>
    </w:p>
    <w:p w14:paraId="3C2489A6">
      <w:pPr>
        <w:pStyle w:val="7"/>
        <w:snapToGrid w:val="0"/>
        <w:spacing w:before="50" w:after="50"/>
        <w:ind w:firstLine="0"/>
        <w:rPr>
          <w:rFonts w:ascii="宋体" w:hAnsi="宋体" w:cs="仿宋_GB2312"/>
          <w:bCs/>
          <w:color w:val="auto"/>
          <w:sz w:val="32"/>
          <w:szCs w:val="32"/>
          <w:highlight w:val="none"/>
        </w:rPr>
      </w:pPr>
    </w:p>
    <w:p w14:paraId="4D378885">
      <w:pPr>
        <w:pStyle w:val="7"/>
        <w:snapToGrid w:val="0"/>
        <w:spacing w:before="50" w:after="50"/>
        <w:ind w:firstLine="1280" w:firstLineChars="400"/>
        <w:rPr>
          <w:rFonts w:ascii="宋体" w:hAnsi="宋体" w:cs="仿宋_GB2312"/>
          <w:bCs/>
          <w:color w:val="auto"/>
          <w:sz w:val="32"/>
          <w:szCs w:val="32"/>
          <w:highlight w:val="none"/>
        </w:rPr>
      </w:pPr>
    </w:p>
    <w:p w14:paraId="1D23442C">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7AAAF31">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33D72496">
      <w:pPr>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9F05EDB">
      <w:pPr>
        <w:spacing w:line="520" w:lineRule="exact"/>
        <w:jc w:val="center"/>
        <w:rPr>
          <w:rFonts w:ascii="宋体" w:hAnsi="宋体" w:cs="方正小标宋简体"/>
          <w:b/>
          <w:bCs/>
          <w:color w:val="auto"/>
          <w:sz w:val="32"/>
          <w:szCs w:val="32"/>
          <w:highlight w:val="none"/>
        </w:rPr>
      </w:pP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27ADA714">
      <w:pPr>
        <w:spacing w:line="520" w:lineRule="exact"/>
        <w:jc w:val="center"/>
        <w:rPr>
          <w:rFonts w:ascii="宋体" w:hAnsi="宋体" w:cs="方正小标宋简体"/>
          <w:b/>
          <w:bCs/>
          <w:color w:val="auto"/>
          <w:sz w:val="32"/>
          <w:szCs w:val="32"/>
          <w:highlight w:val="none"/>
        </w:rPr>
      </w:pPr>
    </w:p>
    <w:p w14:paraId="4142F147">
      <w:pPr>
        <w:spacing w:line="520" w:lineRule="exact"/>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1EB404D9">
      <w:pPr>
        <w:spacing w:line="520" w:lineRule="exact"/>
        <w:jc w:val="center"/>
        <w:rPr>
          <w:rFonts w:ascii="宋体" w:hAnsi="宋体" w:cs="方正小标宋简体"/>
          <w:b/>
          <w:bCs/>
          <w:color w:val="auto"/>
          <w:sz w:val="32"/>
          <w:szCs w:val="32"/>
          <w:highlight w:val="none"/>
        </w:rPr>
      </w:pPr>
    </w:p>
    <w:p w14:paraId="07FE78A0">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1ED6408B">
      <w:pPr>
        <w:pStyle w:val="178"/>
        <w:numPr>
          <w:ilvl w:val="0"/>
          <w:numId w:val="3"/>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105" w:name="bookmark2065"/>
      <w:bookmarkEnd w:id="105"/>
      <w:r>
        <w:rPr>
          <w:rFonts w:ascii="Times New Roman" w:hAnsi="Times New Roman" w:cs="Times New Roman"/>
          <w:color w:val="auto"/>
          <w:szCs w:val="21"/>
          <w:highlight w:val="none"/>
        </w:rPr>
        <w:t>我方已仔细研究了</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u w:val="single"/>
          <w:lang w:val="en-US"/>
        </w:rPr>
        <w:t xml:space="preserve">          </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文件的全部内容，愿意以人民币（大写）</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元（¥</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）的</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标总报价，工期</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rPr>
        <w:t>日历天，按合同约定实施和完成承包工程，修补工程中的任何缺陷，工程质量达到</w:t>
      </w:r>
      <w:r>
        <w:rPr>
          <w:rFonts w:hint="eastAsia" w:ascii="Times New Roman" w:hAnsi="Times New Roman" w:cs="Times New Roman"/>
          <w:color w:val="auto"/>
          <w:szCs w:val="21"/>
          <w:highlight w:val="none"/>
          <w:u w:val="single"/>
          <w:lang w:val="en-US"/>
        </w:rPr>
        <w:t xml:space="preserve">           </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lang w:val="en-US" w:bidi="en-US"/>
        </w:rPr>
        <w:t>。</w:t>
      </w:r>
    </w:p>
    <w:p w14:paraId="1A125258">
      <w:pPr>
        <w:pStyle w:val="178"/>
        <w:numPr>
          <w:ilvl w:val="0"/>
          <w:numId w:val="3"/>
        </w:numPr>
        <w:tabs>
          <w:tab w:val="left" w:pos="762"/>
        </w:tabs>
        <w:ind w:firstLine="420"/>
        <w:rPr>
          <w:rFonts w:ascii="Times New Roman" w:hAnsi="Times New Roman" w:cs="Times New Roman"/>
          <w:color w:val="auto"/>
          <w:szCs w:val="21"/>
          <w:highlight w:val="none"/>
        </w:rPr>
      </w:pPr>
      <w:bookmarkStart w:id="106" w:name="bookmark2068"/>
      <w:bookmarkEnd w:id="106"/>
      <w:bookmarkStart w:id="107" w:name="bookmark2067"/>
      <w:bookmarkEnd w:id="107"/>
      <w:bookmarkStart w:id="108" w:name="bookmark2066"/>
      <w:bookmarkEnd w:id="108"/>
      <w:r>
        <w:rPr>
          <w:rFonts w:hint="eastAsia"/>
          <w:color w:val="auto"/>
          <w:highlight w:val="none"/>
        </w:rPr>
        <w:t>我方承认竞标函附录是我方竞标函的组成部分。</w:t>
      </w:r>
    </w:p>
    <w:p w14:paraId="362E501F">
      <w:pPr>
        <w:pStyle w:val="178"/>
        <w:numPr>
          <w:ilvl w:val="0"/>
          <w:numId w:val="3"/>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14:paraId="1D94CE18">
      <w:pPr>
        <w:pStyle w:val="178"/>
        <w:tabs>
          <w:tab w:val="left" w:pos="903"/>
        </w:tabs>
        <w:ind w:firstLine="420"/>
        <w:rPr>
          <w:rFonts w:ascii="Times New Roman" w:hAnsi="Times New Roman" w:cs="Times New Roman"/>
          <w:color w:val="auto"/>
          <w:szCs w:val="21"/>
          <w:highlight w:val="none"/>
        </w:rPr>
      </w:pPr>
      <w:bookmarkStart w:id="109" w:name="bookmark2069"/>
      <w:r>
        <w:rPr>
          <w:rFonts w:ascii="Times New Roman" w:hAnsi="Times New Roman" w:cs="Times New Roman"/>
          <w:color w:val="auto"/>
          <w:szCs w:val="21"/>
          <w:highlight w:val="none"/>
        </w:rPr>
        <w:t>（</w:t>
      </w:r>
      <w:bookmarkEnd w:id="109"/>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14:paraId="68FCC11A">
      <w:pPr>
        <w:pStyle w:val="178"/>
        <w:tabs>
          <w:tab w:val="left" w:pos="903"/>
        </w:tabs>
        <w:ind w:firstLine="420"/>
        <w:rPr>
          <w:rFonts w:ascii="Times New Roman" w:hAnsi="Times New Roman" w:cs="Times New Roman"/>
          <w:color w:val="auto"/>
          <w:szCs w:val="21"/>
          <w:highlight w:val="none"/>
        </w:rPr>
      </w:pPr>
      <w:bookmarkStart w:id="110" w:name="bookmark2070"/>
      <w:r>
        <w:rPr>
          <w:rFonts w:ascii="Times New Roman" w:hAnsi="Times New Roman" w:cs="Times New Roman"/>
          <w:color w:val="auto"/>
          <w:szCs w:val="21"/>
          <w:highlight w:val="none"/>
        </w:rPr>
        <w:t>（</w:t>
      </w:r>
      <w:bookmarkEnd w:id="110"/>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14:paraId="55D79DAC">
      <w:pPr>
        <w:pStyle w:val="178"/>
        <w:tabs>
          <w:tab w:val="left" w:pos="903"/>
        </w:tabs>
        <w:ind w:firstLine="420"/>
        <w:rPr>
          <w:rFonts w:ascii="Times New Roman" w:hAnsi="Times New Roman" w:cs="Times New Roman"/>
          <w:color w:val="auto"/>
          <w:szCs w:val="21"/>
          <w:highlight w:val="none"/>
        </w:rPr>
      </w:pPr>
      <w:bookmarkStart w:id="111" w:name="bookmark2071"/>
      <w:r>
        <w:rPr>
          <w:rFonts w:ascii="Times New Roman" w:hAnsi="Times New Roman" w:cs="Times New Roman"/>
          <w:color w:val="auto"/>
          <w:szCs w:val="21"/>
          <w:highlight w:val="none"/>
        </w:rPr>
        <w:t>（</w:t>
      </w:r>
      <w:bookmarkEnd w:id="111"/>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14:paraId="1872A305">
      <w:pPr>
        <w:pStyle w:val="178"/>
        <w:tabs>
          <w:tab w:val="left" w:pos="903"/>
        </w:tabs>
        <w:ind w:firstLine="420"/>
        <w:rPr>
          <w:rFonts w:ascii="Times New Roman" w:hAnsi="Times New Roman" w:cs="Times New Roman"/>
          <w:color w:val="auto"/>
          <w:szCs w:val="21"/>
          <w:highlight w:val="none"/>
        </w:rPr>
      </w:pPr>
      <w:bookmarkStart w:id="112" w:name="bookmark2072"/>
      <w:r>
        <w:rPr>
          <w:rFonts w:ascii="Times New Roman" w:hAnsi="Times New Roman" w:cs="Times New Roman"/>
          <w:color w:val="auto"/>
          <w:szCs w:val="21"/>
          <w:highlight w:val="none"/>
        </w:rPr>
        <w:t>（</w:t>
      </w:r>
      <w:bookmarkEnd w:id="112"/>
      <w:r>
        <w:rPr>
          <w:rFonts w:ascii="Times New Roman" w:hAnsi="Times New Roman" w:cs="Times New Roman"/>
          <w:color w:val="auto"/>
          <w:szCs w:val="21"/>
          <w:highlight w:val="none"/>
        </w:rPr>
        <w:t>4）我方承诺在合同约定的期限内完成并移交全部合同工程。</w:t>
      </w:r>
    </w:p>
    <w:p w14:paraId="24BCEFF9">
      <w:pPr>
        <w:pStyle w:val="178"/>
        <w:numPr>
          <w:ilvl w:val="0"/>
          <w:numId w:val="3"/>
        </w:numPr>
        <w:tabs>
          <w:tab w:val="left" w:pos="762"/>
        </w:tabs>
        <w:ind w:firstLine="440"/>
        <w:rPr>
          <w:rFonts w:ascii="Times New Roman" w:hAnsi="Times New Roman" w:cs="Times New Roman"/>
          <w:color w:val="auto"/>
          <w:szCs w:val="21"/>
          <w:highlight w:val="none"/>
        </w:rPr>
      </w:pPr>
      <w:bookmarkStart w:id="113" w:name="bookmark2073"/>
      <w:bookmarkEnd w:id="113"/>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14:paraId="219C97D8">
      <w:pPr>
        <w:spacing w:line="360" w:lineRule="auto"/>
        <w:ind w:firstLine="420" w:firstLineChars="200"/>
        <w:rPr>
          <w:color w:val="auto"/>
          <w:szCs w:val="21"/>
          <w:highlight w:val="none"/>
        </w:rPr>
      </w:pPr>
      <w:bookmarkStart w:id="114" w:name="bookmark2074"/>
      <w:bookmarkEnd w:id="114"/>
      <w:r>
        <w:rPr>
          <w:rFonts w:hint="eastAsia"/>
          <w:color w:val="auto"/>
          <w:szCs w:val="21"/>
          <w:highlight w:val="none"/>
        </w:rPr>
        <w:t>5.</w:t>
      </w:r>
      <w:r>
        <w:rPr>
          <w:rFonts w:hint="eastAsia"/>
          <w:color w:val="auto"/>
          <w:szCs w:val="21"/>
          <w:highlight w:val="none"/>
          <w:u w:val="single"/>
        </w:rPr>
        <w:t xml:space="preserve">                                                   </w:t>
      </w:r>
      <w:r>
        <w:rPr>
          <w:color w:val="auto"/>
          <w:szCs w:val="21"/>
          <w:highlight w:val="none"/>
        </w:rPr>
        <w:t>（其他补充说明）。</w:t>
      </w:r>
    </w:p>
    <w:p w14:paraId="4A2ACE95">
      <w:pPr>
        <w:spacing w:line="360" w:lineRule="auto"/>
        <w:jc w:val="center"/>
        <w:rPr>
          <w:rFonts w:ascii="宋体" w:hAnsi="宋体" w:cs="方正小标宋简体"/>
          <w:b/>
          <w:bCs/>
          <w:color w:val="auto"/>
          <w:sz w:val="32"/>
          <w:szCs w:val="32"/>
          <w:highlight w:val="none"/>
        </w:rPr>
      </w:pPr>
    </w:p>
    <w:p w14:paraId="0FEC81D6">
      <w:pPr>
        <w:spacing w:line="360" w:lineRule="auto"/>
        <w:ind w:right="-817" w:rightChars="-389" w:firstLine="720" w:firstLineChars="3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0975BD1">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076D3F8">
      <w:pPr>
        <w:spacing w:line="360" w:lineRule="auto"/>
        <w:jc w:val="center"/>
        <w:rPr>
          <w:rFonts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11B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D84667">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vAlign w:val="center"/>
          </w:tcPr>
          <w:p w14:paraId="32AEFFC5">
            <w:pPr>
              <w:jc w:val="center"/>
              <w:rPr>
                <w:color w:val="auto"/>
                <w:highlight w:val="none"/>
              </w:rPr>
            </w:pPr>
            <w:r>
              <w:rPr>
                <w:rFonts w:hint="eastAsia" w:cs="宋体"/>
                <w:color w:val="auto"/>
                <w:highlight w:val="none"/>
              </w:rPr>
              <w:t>条款内容</w:t>
            </w:r>
          </w:p>
        </w:tc>
        <w:tc>
          <w:tcPr>
            <w:tcW w:w="2126" w:type="dxa"/>
            <w:vAlign w:val="center"/>
          </w:tcPr>
          <w:p w14:paraId="3F5B745B">
            <w:pPr>
              <w:jc w:val="center"/>
              <w:rPr>
                <w:color w:val="auto"/>
                <w:highlight w:val="none"/>
              </w:rPr>
            </w:pPr>
            <w:r>
              <w:rPr>
                <w:rFonts w:hint="eastAsia" w:cs="宋体"/>
                <w:color w:val="auto"/>
                <w:highlight w:val="none"/>
              </w:rPr>
              <w:t>合同条款号</w:t>
            </w:r>
          </w:p>
        </w:tc>
        <w:tc>
          <w:tcPr>
            <w:tcW w:w="1984" w:type="dxa"/>
            <w:vAlign w:val="center"/>
          </w:tcPr>
          <w:p w14:paraId="1C432AD1">
            <w:pPr>
              <w:jc w:val="center"/>
              <w:rPr>
                <w:color w:val="auto"/>
                <w:highlight w:val="none"/>
              </w:rPr>
            </w:pPr>
            <w:r>
              <w:rPr>
                <w:rFonts w:hint="eastAsia" w:cs="宋体"/>
                <w:color w:val="auto"/>
                <w:highlight w:val="none"/>
              </w:rPr>
              <w:t>约定内容</w:t>
            </w:r>
          </w:p>
        </w:tc>
        <w:tc>
          <w:tcPr>
            <w:tcW w:w="1843" w:type="dxa"/>
            <w:vAlign w:val="center"/>
          </w:tcPr>
          <w:p w14:paraId="44202016">
            <w:pPr>
              <w:jc w:val="center"/>
              <w:rPr>
                <w:color w:val="auto"/>
                <w:highlight w:val="none"/>
              </w:rPr>
            </w:pPr>
            <w:r>
              <w:rPr>
                <w:rFonts w:hint="eastAsia" w:cs="宋体"/>
                <w:color w:val="auto"/>
                <w:highlight w:val="none"/>
              </w:rPr>
              <w:t>供应商响应情况</w:t>
            </w:r>
          </w:p>
        </w:tc>
      </w:tr>
      <w:tr w14:paraId="103B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95100A8">
            <w:pPr>
              <w:jc w:val="center"/>
              <w:rPr>
                <w:color w:val="auto"/>
                <w:highlight w:val="none"/>
              </w:rPr>
            </w:pPr>
            <w:r>
              <w:rPr>
                <w:color w:val="auto"/>
                <w:highlight w:val="none"/>
              </w:rPr>
              <w:t>1</w:t>
            </w:r>
          </w:p>
        </w:tc>
        <w:tc>
          <w:tcPr>
            <w:tcW w:w="1985" w:type="dxa"/>
            <w:vAlign w:val="center"/>
          </w:tcPr>
          <w:p w14:paraId="78C7B7FF">
            <w:pPr>
              <w:rPr>
                <w:color w:val="auto"/>
                <w:highlight w:val="none"/>
              </w:rPr>
            </w:pPr>
            <w:r>
              <w:rPr>
                <w:rFonts w:hint="eastAsia" w:cs="宋体"/>
                <w:color w:val="auto"/>
                <w:highlight w:val="none"/>
              </w:rPr>
              <w:t>项目经理</w:t>
            </w:r>
          </w:p>
        </w:tc>
        <w:tc>
          <w:tcPr>
            <w:tcW w:w="2126" w:type="dxa"/>
            <w:tcMar>
              <w:left w:w="170" w:type="dxa"/>
            </w:tcMar>
            <w:vAlign w:val="center"/>
          </w:tcPr>
          <w:p w14:paraId="15965E2D">
            <w:pPr>
              <w:jc w:val="center"/>
              <w:rPr>
                <w:color w:val="auto"/>
                <w:highlight w:val="none"/>
              </w:rPr>
            </w:pPr>
            <w:r>
              <w:rPr>
                <w:rFonts w:hint="eastAsia" w:cs="宋体"/>
                <w:color w:val="auto"/>
                <w:highlight w:val="none"/>
              </w:rPr>
              <w:t>专用条款</w:t>
            </w:r>
          </w:p>
        </w:tc>
        <w:tc>
          <w:tcPr>
            <w:tcW w:w="1984" w:type="dxa"/>
            <w:vAlign w:val="center"/>
          </w:tcPr>
          <w:p w14:paraId="2B2218CB">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vAlign w:val="center"/>
          </w:tcPr>
          <w:p w14:paraId="478F48E0">
            <w:pPr>
              <w:jc w:val="center"/>
              <w:rPr>
                <w:color w:val="auto"/>
                <w:highlight w:val="none"/>
              </w:rPr>
            </w:pPr>
          </w:p>
        </w:tc>
      </w:tr>
      <w:tr w14:paraId="7874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C98C129">
            <w:pPr>
              <w:jc w:val="center"/>
              <w:rPr>
                <w:color w:val="auto"/>
                <w:highlight w:val="none"/>
              </w:rPr>
            </w:pPr>
            <w:r>
              <w:rPr>
                <w:color w:val="auto"/>
                <w:highlight w:val="none"/>
              </w:rPr>
              <w:t>2</w:t>
            </w:r>
          </w:p>
        </w:tc>
        <w:tc>
          <w:tcPr>
            <w:tcW w:w="1985" w:type="dxa"/>
            <w:vAlign w:val="center"/>
          </w:tcPr>
          <w:p w14:paraId="7556F5D9">
            <w:pPr>
              <w:rPr>
                <w:color w:val="auto"/>
                <w:highlight w:val="none"/>
              </w:rPr>
            </w:pPr>
            <w:r>
              <w:rPr>
                <w:rFonts w:hint="eastAsia" w:cs="宋体"/>
                <w:color w:val="auto"/>
                <w:highlight w:val="none"/>
              </w:rPr>
              <w:t>竞标有效期</w:t>
            </w:r>
          </w:p>
        </w:tc>
        <w:tc>
          <w:tcPr>
            <w:tcW w:w="2126" w:type="dxa"/>
            <w:tcMar>
              <w:left w:w="170" w:type="dxa"/>
            </w:tcMar>
            <w:vAlign w:val="center"/>
          </w:tcPr>
          <w:p w14:paraId="3A0AB2CE">
            <w:pPr>
              <w:rPr>
                <w:color w:val="auto"/>
                <w:highlight w:val="none"/>
              </w:rPr>
            </w:pPr>
          </w:p>
        </w:tc>
        <w:tc>
          <w:tcPr>
            <w:tcW w:w="1984" w:type="dxa"/>
            <w:vAlign w:val="center"/>
          </w:tcPr>
          <w:p w14:paraId="7D9163B5">
            <w:pPr>
              <w:jc w:val="center"/>
              <w:rPr>
                <w:color w:val="auto"/>
                <w:highlight w:val="none"/>
                <w:u w:val="single"/>
              </w:rPr>
            </w:pPr>
          </w:p>
        </w:tc>
        <w:tc>
          <w:tcPr>
            <w:tcW w:w="1843" w:type="dxa"/>
            <w:vAlign w:val="center"/>
          </w:tcPr>
          <w:p w14:paraId="13AE0FFE">
            <w:pPr>
              <w:jc w:val="center"/>
              <w:rPr>
                <w:color w:val="auto"/>
                <w:highlight w:val="none"/>
              </w:rPr>
            </w:pPr>
          </w:p>
        </w:tc>
      </w:tr>
      <w:tr w14:paraId="205A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FB68FEE">
            <w:pPr>
              <w:jc w:val="center"/>
              <w:rPr>
                <w:color w:val="auto"/>
                <w:highlight w:val="none"/>
              </w:rPr>
            </w:pPr>
            <w:r>
              <w:rPr>
                <w:color w:val="auto"/>
                <w:highlight w:val="none"/>
              </w:rPr>
              <w:t>3</w:t>
            </w:r>
          </w:p>
        </w:tc>
        <w:tc>
          <w:tcPr>
            <w:tcW w:w="1985" w:type="dxa"/>
            <w:vAlign w:val="center"/>
          </w:tcPr>
          <w:p w14:paraId="0382D510">
            <w:pPr>
              <w:rPr>
                <w:color w:val="auto"/>
                <w:highlight w:val="none"/>
              </w:rPr>
            </w:pPr>
            <w:r>
              <w:rPr>
                <w:rFonts w:hint="eastAsia" w:cs="宋体"/>
                <w:color w:val="auto"/>
                <w:highlight w:val="none"/>
              </w:rPr>
              <w:t>工期</w:t>
            </w:r>
          </w:p>
        </w:tc>
        <w:tc>
          <w:tcPr>
            <w:tcW w:w="2126" w:type="dxa"/>
            <w:tcMar>
              <w:left w:w="170" w:type="dxa"/>
            </w:tcMar>
            <w:vAlign w:val="center"/>
          </w:tcPr>
          <w:p w14:paraId="266C9DF2">
            <w:pPr>
              <w:jc w:val="center"/>
              <w:rPr>
                <w:color w:val="auto"/>
                <w:highlight w:val="none"/>
              </w:rPr>
            </w:pPr>
            <w:r>
              <w:rPr>
                <w:rFonts w:hint="eastAsia" w:cs="宋体"/>
                <w:color w:val="auto"/>
                <w:highlight w:val="none"/>
              </w:rPr>
              <w:t>专用条款</w:t>
            </w:r>
          </w:p>
        </w:tc>
        <w:tc>
          <w:tcPr>
            <w:tcW w:w="1984" w:type="dxa"/>
            <w:vAlign w:val="center"/>
          </w:tcPr>
          <w:p w14:paraId="510D30CB">
            <w:pPr>
              <w:jc w:val="center"/>
              <w:rPr>
                <w:color w:val="auto"/>
                <w:highlight w:val="none"/>
              </w:rPr>
            </w:pPr>
            <w:r>
              <w:rPr>
                <w:color w:val="auto"/>
                <w:highlight w:val="none"/>
                <w:u w:val="single"/>
              </w:rPr>
              <w:t xml:space="preserve">          </w:t>
            </w:r>
            <w:r>
              <w:rPr>
                <w:rFonts w:hint="eastAsia" w:cs="宋体"/>
                <w:color w:val="auto"/>
                <w:highlight w:val="none"/>
              </w:rPr>
              <w:t>日历天</w:t>
            </w:r>
          </w:p>
        </w:tc>
        <w:tc>
          <w:tcPr>
            <w:tcW w:w="1843" w:type="dxa"/>
            <w:vAlign w:val="center"/>
          </w:tcPr>
          <w:p w14:paraId="1C54CA3E">
            <w:pPr>
              <w:jc w:val="center"/>
              <w:rPr>
                <w:color w:val="auto"/>
                <w:highlight w:val="none"/>
              </w:rPr>
            </w:pPr>
          </w:p>
        </w:tc>
      </w:tr>
      <w:tr w14:paraId="65D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BA91A70">
            <w:pPr>
              <w:jc w:val="center"/>
              <w:rPr>
                <w:color w:val="auto"/>
                <w:highlight w:val="none"/>
              </w:rPr>
            </w:pPr>
            <w:r>
              <w:rPr>
                <w:color w:val="auto"/>
                <w:highlight w:val="none"/>
              </w:rPr>
              <w:t>4</w:t>
            </w:r>
          </w:p>
        </w:tc>
        <w:tc>
          <w:tcPr>
            <w:tcW w:w="1985" w:type="dxa"/>
            <w:vAlign w:val="center"/>
          </w:tcPr>
          <w:p w14:paraId="046A9BF4">
            <w:pPr>
              <w:rPr>
                <w:color w:val="auto"/>
                <w:highlight w:val="none"/>
              </w:rPr>
            </w:pPr>
            <w:r>
              <w:rPr>
                <w:rFonts w:hint="eastAsia" w:cs="宋体"/>
                <w:color w:val="auto"/>
                <w:highlight w:val="none"/>
              </w:rPr>
              <w:t>缺陷责任期</w:t>
            </w:r>
          </w:p>
        </w:tc>
        <w:tc>
          <w:tcPr>
            <w:tcW w:w="2126" w:type="dxa"/>
            <w:tcMar>
              <w:left w:w="170" w:type="dxa"/>
            </w:tcMar>
            <w:vAlign w:val="center"/>
          </w:tcPr>
          <w:p w14:paraId="1C6E2268">
            <w:pPr>
              <w:jc w:val="center"/>
              <w:rPr>
                <w:color w:val="auto"/>
                <w:highlight w:val="none"/>
              </w:rPr>
            </w:pPr>
            <w:r>
              <w:rPr>
                <w:rFonts w:hint="eastAsia" w:cs="宋体"/>
                <w:color w:val="auto"/>
                <w:highlight w:val="none"/>
              </w:rPr>
              <w:t>专用条款</w:t>
            </w:r>
          </w:p>
        </w:tc>
        <w:tc>
          <w:tcPr>
            <w:tcW w:w="1984" w:type="dxa"/>
            <w:vAlign w:val="center"/>
          </w:tcPr>
          <w:p w14:paraId="6ED247FF">
            <w:pPr>
              <w:jc w:val="center"/>
              <w:rPr>
                <w:color w:val="auto"/>
                <w:highlight w:val="none"/>
              </w:rPr>
            </w:pPr>
          </w:p>
        </w:tc>
        <w:tc>
          <w:tcPr>
            <w:tcW w:w="1843" w:type="dxa"/>
            <w:vAlign w:val="center"/>
          </w:tcPr>
          <w:p w14:paraId="346E4AE4">
            <w:pPr>
              <w:jc w:val="center"/>
              <w:rPr>
                <w:color w:val="auto"/>
                <w:highlight w:val="none"/>
              </w:rPr>
            </w:pPr>
          </w:p>
        </w:tc>
      </w:tr>
      <w:tr w14:paraId="10A3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D46D5">
            <w:pPr>
              <w:jc w:val="center"/>
              <w:rPr>
                <w:color w:val="auto"/>
                <w:highlight w:val="none"/>
              </w:rPr>
            </w:pPr>
            <w:r>
              <w:rPr>
                <w:color w:val="auto"/>
                <w:highlight w:val="none"/>
              </w:rPr>
              <w:t>5</w:t>
            </w:r>
          </w:p>
        </w:tc>
        <w:tc>
          <w:tcPr>
            <w:tcW w:w="1985" w:type="dxa"/>
            <w:vAlign w:val="center"/>
          </w:tcPr>
          <w:p w14:paraId="1D5C9380">
            <w:pPr>
              <w:rPr>
                <w:color w:val="auto"/>
                <w:highlight w:val="none"/>
              </w:rPr>
            </w:pPr>
            <w:r>
              <w:rPr>
                <w:rFonts w:hint="eastAsia" w:cs="宋体"/>
                <w:color w:val="auto"/>
                <w:highlight w:val="none"/>
              </w:rPr>
              <w:t>发包人支付担保</w:t>
            </w:r>
          </w:p>
        </w:tc>
        <w:tc>
          <w:tcPr>
            <w:tcW w:w="2126" w:type="dxa"/>
            <w:tcMar>
              <w:left w:w="170" w:type="dxa"/>
            </w:tcMar>
            <w:vAlign w:val="center"/>
          </w:tcPr>
          <w:p w14:paraId="6DA9CC11">
            <w:pPr>
              <w:jc w:val="center"/>
              <w:rPr>
                <w:color w:val="auto"/>
                <w:highlight w:val="none"/>
              </w:rPr>
            </w:pPr>
            <w:r>
              <w:rPr>
                <w:rFonts w:hint="eastAsia" w:cs="宋体"/>
                <w:color w:val="auto"/>
                <w:highlight w:val="none"/>
              </w:rPr>
              <w:t>专用条款</w:t>
            </w:r>
          </w:p>
        </w:tc>
        <w:tc>
          <w:tcPr>
            <w:tcW w:w="1984" w:type="dxa"/>
            <w:vAlign w:val="center"/>
          </w:tcPr>
          <w:p w14:paraId="7AE7F510">
            <w:pPr>
              <w:jc w:val="center"/>
              <w:rPr>
                <w:color w:val="auto"/>
                <w:highlight w:val="none"/>
              </w:rPr>
            </w:pPr>
          </w:p>
        </w:tc>
        <w:tc>
          <w:tcPr>
            <w:tcW w:w="1843" w:type="dxa"/>
            <w:vAlign w:val="center"/>
          </w:tcPr>
          <w:p w14:paraId="4A0755C1">
            <w:pPr>
              <w:jc w:val="center"/>
              <w:rPr>
                <w:color w:val="auto"/>
                <w:highlight w:val="none"/>
              </w:rPr>
            </w:pPr>
          </w:p>
        </w:tc>
      </w:tr>
      <w:tr w14:paraId="502A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3FA14C0">
            <w:pPr>
              <w:jc w:val="center"/>
              <w:rPr>
                <w:color w:val="auto"/>
                <w:highlight w:val="none"/>
              </w:rPr>
            </w:pPr>
            <w:r>
              <w:rPr>
                <w:color w:val="auto"/>
                <w:highlight w:val="none"/>
              </w:rPr>
              <w:t>6</w:t>
            </w:r>
          </w:p>
        </w:tc>
        <w:tc>
          <w:tcPr>
            <w:tcW w:w="1985" w:type="dxa"/>
            <w:vAlign w:val="center"/>
          </w:tcPr>
          <w:p w14:paraId="62D52550">
            <w:pPr>
              <w:rPr>
                <w:color w:val="auto"/>
                <w:highlight w:val="none"/>
              </w:rPr>
            </w:pPr>
            <w:r>
              <w:rPr>
                <w:rFonts w:hint="eastAsia" w:cs="宋体"/>
                <w:color w:val="auto"/>
                <w:highlight w:val="none"/>
              </w:rPr>
              <w:t>承包人履约担保金额</w:t>
            </w:r>
          </w:p>
        </w:tc>
        <w:tc>
          <w:tcPr>
            <w:tcW w:w="2126" w:type="dxa"/>
            <w:tcMar>
              <w:left w:w="170" w:type="dxa"/>
            </w:tcMar>
            <w:vAlign w:val="center"/>
          </w:tcPr>
          <w:p w14:paraId="7BC92696">
            <w:pPr>
              <w:jc w:val="center"/>
              <w:rPr>
                <w:color w:val="auto"/>
                <w:highlight w:val="none"/>
              </w:rPr>
            </w:pPr>
            <w:r>
              <w:rPr>
                <w:rFonts w:hint="eastAsia" w:cs="宋体"/>
                <w:color w:val="auto"/>
                <w:highlight w:val="none"/>
              </w:rPr>
              <w:t>专用条款</w:t>
            </w:r>
          </w:p>
        </w:tc>
        <w:tc>
          <w:tcPr>
            <w:tcW w:w="1984" w:type="dxa"/>
            <w:vAlign w:val="center"/>
          </w:tcPr>
          <w:p w14:paraId="385B3A78">
            <w:pPr>
              <w:jc w:val="center"/>
              <w:rPr>
                <w:color w:val="auto"/>
                <w:highlight w:val="none"/>
              </w:rPr>
            </w:pPr>
          </w:p>
        </w:tc>
        <w:tc>
          <w:tcPr>
            <w:tcW w:w="1843" w:type="dxa"/>
            <w:vAlign w:val="center"/>
          </w:tcPr>
          <w:p w14:paraId="159D0636">
            <w:pPr>
              <w:jc w:val="center"/>
              <w:rPr>
                <w:color w:val="auto"/>
                <w:highlight w:val="none"/>
              </w:rPr>
            </w:pPr>
          </w:p>
        </w:tc>
      </w:tr>
      <w:tr w14:paraId="7A25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370E5A2">
            <w:pPr>
              <w:jc w:val="center"/>
              <w:rPr>
                <w:color w:val="auto"/>
                <w:highlight w:val="none"/>
              </w:rPr>
            </w:pPr>
            <w:r>
              <w:rPr>
                <w:color w:val="auto"/>
                <w:highlight w:val="none"/>
              </w:rPr>
              <w:t>7</w:t>
            </w:r>
          </w:p>
        </w:tc>
        <w:tc>
          <w:tcPr>
            <w:tcW w:w="1985" w:type="dxa"/>
            <w:vAlign w:val="center"/>
          </w:tcPr>
          <w:p w14:paraId="26DBF496">
            <w:pPr>
              <w:rPr>
                <w:color w:val="auto"/>
                <w:highlight w:val="none"/>
              </w:rPr>
            </w:pPr>
            <w:r>
              <w:rPr>
                <w:rFonts w:hint="eastAsia" w:cs="宋体"/>
                <w:color w:val="auto"/>
                <w:highlight w:val="none"/>
              </w:rPr>
              <w:t>分包</w:t>
            </w:r>
          </w:p>
        </w:tc>
        <w:tc>
          <w:tcPr>
            <w:tcW w:w="2126" w:type="dxa"/>
            <w:tcMar>
              <w:left w:w="170" w:type="dxa"/>
            </w:tcMar>
            <w:vAlign w:val="center"/>
          </w:tcPr>
          <w:p w14:paraId="10708D02">
            <w:pPr>
              <w:jc w:val="center"/>
              <w:rPr>
                <w:color w:val="auto"/>
                <w:highlight w:val="none"/>
              </w:rPr>
            </w:pPr>
            <w:r>
              <w:rPr>
                <w:rFonts w:hint="eastAsia" w:cs="宋体"/>
                <w:color w:val="auto"/>
                <w:highlight w:val="none"/>
              </w:rPr>
              <w:t>专用条款</w:t>
            </w:r>
          </w:p>
        </w:tc>
        <w:tc>
          <w:tcPr>
            <w:tcW w:w="1984" w:type="dxa"/>
            <w:vAlign w:val="center"/>
          </w:tcPr>
          <w:p w14:paraId="7BC7E423">
            <w:pPr>
              <w:jc w:val="center"/>
              <w:rPr>
                <w:color w:val="auto"/>
                <w:highlight w:val="none"/>
              </w:rPr>
            </w:pPr>
            <w:r>
              <w:rPr>
                <w:rFonts w:hint="eastAsia" w:cs="宋体"/>
                <w:color w:val="auto"/>
                <w:highlight w:val="none"/>
              </w:rPr>
              <w:t>见分包项目情况表</w:t>
            </w:r>
          </w:p>
        </w:tc>
        <w:tc>
          <w:tcPr>
            <w:tcW w:w="1843" w:type="dxa"/>
            <w:vAlign w:val="center"/>
          </w:tcPr>
          <w:p w14:paraId="2E2B438B">
            <w:pPr>
              <w:jc w:val="center"/>
              <w:rPr>
                <w:color w:val="auto"/>
                <w:highlight w:val="none"/>
              </w:rPr>
            </w:pPr>
          </w:p>
        </w:tc>
      </w:tr>
      <w:tr w14:paraId="5991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EC88C1A">
            <w:pPr>
              <w:jc w:val="center"/>
              <w:rPr>
                <w:color w:val="auto"/>
                <w:highlight w:val="none"/>
              </w:rPr>
            </w:pPr>
            <w:r>
              <w:rPr>
                <w:color w:val="auto"/>
                <w:highlight w:val="none"/>
              </w:rPr>
              <w:t>8</w:t>
            </w:r>
          </w:p>
        </w:tc>
        <w:tc>
          <w:tcPr>
            <w:tcW w:w="1985" w:type="dxa"/>
            <w:vAlign w:val="center"/>
          </w:tcPr>
          <w:p w14:paraId="20E2FD15">
            <w:pPr>
              <w:rPr>
                <w:color w:val="auto"/>
                <w:highlight w:val="none"/>
              </w:rPr>
            </w:pPr>
            <w:r>
              <w:rPr>
                <w:rFonts w:hint="eastAsia" w:cs="宋体"/>
                <w:color w:val="auto"/>
                <w:highlight w:val="none"/>
              </w:rPr>
              <w:t>逾期竣工违约金</w:t>
            </w:r>
          </w:p>
        </w:tc>
        <w:tc>
          <w:tcPr>
            <w:tcW w:w="2126" w:type="dxa"/>
            <w:tcMar>
              <w:left w:w="170" w:type="dxa"/>
            </w:tcMar>
            <w:vAlign w:val="center"/>
          </w:tcPr>
          <w:p w14:paraId="5B85366C">
            <w:pPr>
              <w:jc w:val="center"/>
              <w:rPr>
                <w:color w:val="auto"/>
                <w:highlight w:val="none"/>
              </w:rPr>
            </w:pPr>
            <w:r>
              <w:rPr>
                <w:rFonts w:hint="eastAsia" w:cs="宋体"/>
                <w:color w:val="auto"/>
                <w:highlight w:val="none"/>
              </w:rPr>
              <w:t>专用条款</w:t>
            </w:r>
          </w:p>
        </w:tc>
        <w:tc>
          <w:tcPr>
            <w:tcW w:w="1984" w:type="dxa"/>
            <w:vAlign w:val="center"/>
          </w:tcPr>
          <w:p w14:paraId="22604FD2">
            <w:pPr>
              <w:rPr>
                <w:color w:val="auto"/>
                <w:highlight w:val="none"/>
              </w:rPr>
            </w:pPr>
          </w:p>
        </w:tc>
        <w:tc>
          <w:tcPr>
            <w:tcW w:w="1843" w:type="dxa"/>
            <w:vAlign w:val="center"/>
          </w:tcPr>
          <w:p w14:paraId="3341DC31">
            <w:pPr>
              <w:jc w:val="center"/>
              <w:rPr>
                <w:color w:val="auto"/>
                <w:highlight w:val="none"/>
              </w:rPr>
            </w:pPr>
          </w:p>
        </w:tc>
      </w:tr>
      <w:tr w14:paraId="2594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7CE2AB0">
            <w:pPr>
              <w:jc w:val="center"/>
              <w:rPr>
                <w:color w:val="auto"/>
                <w:highlight w:val="none"/>
              </w:rPr>
            </w:pPr>
            <w:r>
              <w:rPr>
                <w:color w:val="auto"/>
                <w:highlight w:val="none"/>
              </w:rPr>
              <w:t>9</w:t>
            </w:r>
          </w:p>
        </w:tc>
        <w:tc>
          <w:tcPr>
            <w:tcW w:w="1985" w:type="dxa"/>
            <w:vAlign w:val="center"/>
          </w:tcPr>
          <w:p w14:paraId="0AB28659">
            <w:pPr>
              <w:rPr>
                <w:color w:val="auto"/>
                <w:highlight w:val="none"/>
              </w:rPr>
            </w:pPr>
            <w:r>
              <w:rPr>
                <w:rFonts w:hint="eastAsia" w:cs="宋体"/>
                <w:color w:val="auto"/>
                <w:highlight w:val="none"/>
              </w:rPr>
              <w:t>逾期竣工违约金最高限额</w:t>
            </w:r>
          </w:p>
        </w:tc>
        <w:tc>
          <w:tcPr>
            <w:tcW w:w="2126" w:type="dxa"/>
            <w:tcMar>
              <w:left w:w="170" w:type="dxa"/>
            </w:tcMar>
            <w:vAlign w:val="center"/>
          </w:tcPr>
          <w:p w14:paraId="03487E24">
            <w:pPr>
              <w:jc w:val="center"/>
              <w:rPr>
                <w:color w:val="auto"/>
                <w:highlight w:val="none"/>
              </w:rPr>
            </w:pPr>
            <w:r>
              <w:rPr>
                <w:rFonts w:hint="eastAsia" w:cs="宋体"/>
                <w:color w:val="auto"/>
                <w:highlight w:val="none"/>
              </w:rPr>
              <w:t>专用条款</w:t>
            </w:r>
          </w:p>
        </w:tc>
        <w:tc>
          <w:tcPr>
            <w:tcW w:w="1984" w:type="dxa"/>
            <w:vAlign w:val="center"/>
          </w:tcPr>
          <w:p w14:paraId="56B91D7E">
            <w:pPr>
              <w:rPr>
                <w:color w:val="auto"/>
                <w:highlight w:val="none"/>
              </w:rPr>
            </w:pPr>
          </w:p>
        </w:tc>
        <w:tc>
          <w:tcPr>
            <w:tcW w:w="1843" w:type="dxa"/>
            <w:vAlign w:val="center"/>
          </w:tcPr>
          <w:p w14:paraId="2CCC78B9">
            <w:pPr>
              <w:jc w:val="center"/>
              <w:rPr>
                <w:color w:val="auto"/>
                <w:highlight w:val="none"/>
              </w:rPr>
            </w:pPr>
          </w:p>
        </w:tc>
      </w:tr>
      <w:tr w14:paraId="4E7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C666A2">
            <w:pPr>
              <w:jc w:val="center"/>
              <w:rPr>
                <w:color w:val="auto"/>
                <w:highlight w:val="none"/>
              </w:rPr>
            </w:pPr>
            <w:r>
              <w:rPr>
                <w:color w:val="auto"/>
                <w:highlight w:val="none"/>
              </w:rPr>
              <w:t>10</w:t>
            </w:r>
          </w:p>
        </w:tc>
        <w:tc>
          <w:tcPr>
            <w:tcW w:w="1985" w:type="dxa"/>
            <w:vAlign w:val="center"/>
          </w:tcPr>
          <w:p w14:paraId="7825FEA7">
            <w:pPr>
              <w:rPr>
                <w:color w:val="auto"/>
                <w:highlight w:val="none"/>
              </w:rPr>
            </w:pPr>
            <w:r>
              <w:rPr>
                <w:rFonts w:hint="eastAsia" w:cs="宋体"/>
                <w:color w:val="auto"/>
                <w:highlight w:val="none"/>
              </w:rPr>
              <w:t>质量标准</w:t>
            </w:r>
          </w:p>
        </w:tc>
        <w:tc>
          <w:tcPr>
            <w:tcW w:w="2126" w:type="dxa"/>
            <w:tcMar>
              <w:left w:w="170" w:type="dxa"/>
            </w:tcMar>
            <w:vAlign w:val="center"/>
          </w:tcPr>
          <w:p w14:paraId="6DCB3495">
            <w:pPr>
              <w:jc w:val="center"/>
              <w:rPr>
                <w:color w:val="auto"/>
                <w:highlight w:val="none"/>
              </w:rPr>
            </w:pPr>
            <w:r>
              <w:rPr>
                <w:rFonts w:hint="eastAsia" w:cs="宋体"/>
                <w:color w:val="auto"/>
                <w:highlight w:val="none"/>
              </w:rPr>
              <w:t>专用条款</w:t>
            </w:r>
          </w:p>
        </w:tc>
        <w:tc>
          <w:tcPr>
            <w:tcW w:w="1984" w:type="dxa"/>
            <w:vAlign w:val="center"/>
          </w:tcPr>
          <w:p w14:paraId="5927B806">
            <w:pPr>
              <w:jc w:val="center"/>
              <w:rPr>
                <w:color w:val="auto"/>
                <w:highlight w:val="none"/>
              </w:rPr>
            </w:pPr>
          </w:p>
        </w:tc>
        <w:tc>
          <w:tcPr>
            <w:tcW w:w="1843" w:type="dxa"/>
            <w:vAlign w:val="center"/>
          </w:tcPr>
          <w:p w14:paraId="3C0BB9A4">
            <w:pPr>
              <w:jc w:val="center"/>
              <w:rPr>
                <w:color w:val="auto"/>
                <w:highlight w:val="none"/>
              </w:rPr>
            </w:pPr>
          </w:p>
        </w:tc>
      </w:tr>
      <w:tr w14:paraId="6926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2B937C2">
            <w:pPr>
              <w:jc w:val="center"/>
              <w:rPr>
                <w:color w:val="auto"/>
                <w:highlight w:val="none"/>
              </w:rPr>
            </w:pPr>
            <w:r>
              <w:rPr>
                <w:color w:val="auto"/>
                <w:highlight w:val="none"/>
              </w:rPr>
              <w:t>11</w:t>
            </w:r>
          </w:p>
        </w:tc>
        <w:tc>
          <w:tcPr>
            <w:tcW w:w="1985" w:type="dxa"/>
            <w:vAlign w:val="center"/>
          </w:tcPr>
          <w:p w14:paraId="1BA854EE">
            <w:pPr>
              <w:rPr>
                <w:color w:val="auto"/>
                <w:highlight w:val="none"/>
              </w:rPr>
            </w:pPr>
            <w:r>
              <w:rPr>
                <w:rFonts w:hint="eastAsia" w:cs="宋体"/>
                <w:color w:val="auto"/>
                <w:highlight w:val="none"/>
              </w:rPr>
              <w:t>预付款额度</w:t>
            </w:r>
          </w:p>
        </w:tc>
        <w:tc>
          <w:tcPr>
            <w:tcW w:w="2126" w:type="dxa"/>
            <w:tcMar>
              <w:left w:w="170" w:type="dxa"/>
            </w:tcMar>
            <w:vAlign w:val="center"/>
          </w:tcPr>
          <w:p w14:paraId="2BC1FE6C">
            <w:pPr>
              <w:jc w:val="center"/>
              <w:rPr>
                <w:color w:val="auto"/>
                <w:highlight w:val="none"/>
              </w:rPr>
            </w:pPr>
            <w:r>
              <w:rPr>
                <w:rFonts w:hint="eastAsia" w:cs="宋体"/>
                <w:color w:val="auto"/>
                <w:highlight w:val="none"/>
              </w:rPr>
              <w:t>专用条款</w:t>
            </w:r>
          </w:p>
        </w:tc>
        <w:tc>
          <w:tcPr>
            <w:tcW w:w="1984" w:type="dxa"/>
            <w:vAlign w:val="center"/>
          </w:tcPr>
          <w:p w14:paraId="27F00379">
            <w:pPr>
              <w:jc w:val="center"/>
              <w:rPr>
                <w:color w:val="auto"/>
                <w:highlight w:val="none"/>
              </w:rPr>
            </w:pPr>
          </w:p>
        </w:tc>
        <w:tc>
          <w:tcPr>
            <w:tcW w:w="1843" w:type="dxa"/>
            <w:vAlign w:val="center"/>
          </w:tcPr>
          <w:p w14:paraId="7E911696">
            <w:pPr>
              <w:jc w:val="center"/>
              <w:rPr>
                <w:color w:val="auto"/>
                <w:highlight w:val="none"/>
              </w:rPr>
            </w:pPr>
          </w:p>
        </w:tc>
      </w:tr>
      <w:tr w14:paraId="169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BD4FFEE">
            <w:pPr>
              <w:jc w:val="center"/>
              <w:rPr>
                <w:color w:val="auto"/>
                <w:highlight w:val="none"/>
              </w:rPr>
            </w:pPr>
            <w:r>
              <w:rPr>
                <w:color w:val="auto"/>
                <w:highlight w:val="none"/>
              </w:rPr>
              <w:t>12</w:t>
            </w:r>
          </w:p>
        </w:tc>
        <w:tc>
          <w:tcPr>
            <w:tcW w:w="1985" w:type="dxa"/>
            <w:vAlign w:val="center"/>
          </w:tcPr>
          <w:p w14:paraId="01090C8B">
            <w:pPr>
              <w:rPr>
                <w:color w:val="auto"/>
                <w:highlight w:val="none"/>
              </w:rPr>
            </w:pPr>
            <w:r>
              <w:rPr>
                <w:rFonts w:hint="eastAsia" w:cs="宋体"/>
                <w:color w:val="auto"/>
                <w:highlight w:val="none"/>
              </w:rPr>
              <w:t>预付款保函金额</w:t>
            </w:r>
          </w:p>
        </w:tc>
        <w:tc>
          <w:tcPr>
            <w:tcW w:w="2126" w:type="dxa"/>
            <w:tcMar>
              <w:left w:w="170" w:type="dxa"/>
            </w:tcMar>
            <w:vAlign w:val="center"/>
          </w:tcPr>
          <w:p w14:paraId="1E2C420D">
            <w:pPr>
              <w:jc w:val="center"/>
              <w:rPr>
                <w:color w:val="auto"/>
                <w:highlight w:val="none"/>
              </w:rPr>
            </w:pPr>
            <w:r>
              <w:rPr>
                <w:rFonts w:hint="eastAsia" w:cs="宋体"/>
                <w:color w:val="auto"/>
                <w:highlight w:val="none"/>
              </w:rPr>
              <w:t>专用条款</w:t>
            </w:r>
          </w:p>
        </w:tc>
        <w:tc>
          <w:tcPr>
            <w:tcW w:w="1984" w:type="dxa"/>
            <w:vAlign w:val="center"/>
          </w:tcPr>
          <w:p w14:paraId="39BFA413">
            <w:pPr>
              <w:jc w:val="center"/>
              <w:rPr>
                <w:color w:val="auto"/>
                <w:highlight w:val="none"/>
              </w:rPr>
            </w:pPr>
          </w:p>
        </w:tc>
        <w:tc>
          <w:tcPr>
            <w:tcW w:w="1843" w:type="dxa"/>
            <w:vAlign w:val="center"/>
          </w:tcPr>
          <w:p w14:paraId="341F0FCC">
            <w:pPr>
              <w:jc w:val="center"/>
              <w:rPr>
                <w:color w:val="auto"/>
                <w:highlight w:val="none"/>
              </w:rPr>
            </w:pPr>
          </w:p>
        </w:tc>
      </w:tr>
      <w:tr w14:paraId="5E9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3C64750">
            <w:pPr>
              <w:jc w:val="center"/>
              <w:rPr>
                <w:color w:val="auto"/>
                <w:highlight w:val="none"/>
              </w:rPr>
            </w:pPr>
            <w:r>
              <w:rPr>
                <w:color w:val="auto"/>
                <w:highlight w:val="none"/>
              </w:rPr>
              <w:t>13</w:t>
            </w:r>
          </w:p>
        </w:tc>
        <w:tc>
          <w:tcPr>
            <w:tcW w:w="1985" w:type="dxa"/>
            <w:vAlign w:val="center"/>
          </w:tcPr>
          <w:p w14:paraId="46C32ADC">
            <w:pPr>
              <w:rPr>
                <w:color w:val="auto"/>
                <w:highlight w:val="none"/>
              </w:rPr>
            </w:pPr>
            <w:r>
              <w:rPr>
                <w:rFonts w:hint="eastAsia" w:cs="宋体"/>
                <w:color w:val="auto"/>
                <w:highlight w:val="none"/>
              </w:rPr>
              <w:t>质量保证金额度</w:t>
            </w:r>
          </w:p>
        </w:tc>
        <w:tc>
          <w:tcPr>
            <w:tcW w:w="2126" w:type="dxa"/>
            <w:tcMar>
              <w:left w:w="170" w:type="dxa"/>
            </w:tcMar>
            <w:vAlign w:val="center"/>
          </w:tcPr>
          <w:p w14:paraId="144B1A93">
            <w:pPr>
              <w:jc w:val="center"/>
              <w:rPr>
                <w:color w:val="auto"/>
                <w:highlight w:val="none"/>
              </w:rPr>
            </w:pPr>
            <w:r>
              <w:rPr>
                <w:rFonts w:hint="eastAsia" w:cs="宋体"/>
                <w:color w:val="auto"/>
                <w:highlight w:val="none"/>
              </w:rPr>
              <w:t>专用条款</w:t>
            </w:r>
          </w:p>
        </w:tc>
        <w:tc>
          <w:tcPr>
            <w:tcW w:w="1984" w:type="dxa"/>
            <w:vAlign w:val="center"/>
          </w:tcPr>
          <w:p w14:paraId="4FEBEA5D">
            <w:pPr>
              <w:jc w:val="center"/>
              <w:rPr>
                <w:color w:val="auto"/>
                <w:highlight w:val="none"/>
              </w:rPr>
            </w:pPr>
            <w:r>
              <w:rPr>
                <w:rFonts w:hint="eastAsia" w:cs="宋体"/>
                <w:color w:val="auto"/>
                <w:highlight w:val="none"/>
              </w:rPr>
              <w:t>结算价的</w:t>
            </w:r>
            <w:r>
              <w:rPr>
                <w:color w:val="auto"/>
                <w:highlight w:val="none"/>
                <w:u w:val="single"/>
              </w:rPr>
              <w:t xml:space="preserve">     </w:t>
            </w:r>
            <w:r>
              <w:rPr>
                <w:color w:val="auto"/>
                <w:highlight w:val="none"/>
              </w:rPr>
              <w:t xml:space="preserve">% </w:t>
            </w:r>
            <w:r>
              <w:rPr>
                <w:color w:val="auto"/>
                <w:highlight w:val="none"/>
                <w:u w:val="single"/>
              </w:rPr>
              <w:t xml:space="preserve"> </w:t>
            </w:r>
          </w:p>
        </w:tc>
        <w:tc>
          <w:tcPr>
            <w:tcW w:w="1843" w:type="dxa"/>
            <w:vAlign w:val="center"/>
          </w:tcPr>
          <w:p w14:paraId="7D0AACC4">
            <w:pPr>
              <w:jc w:val="center"/>
              <w:rPr>
                <w:color w:val="auto"/>
                <w:highlight w:val="none"/>
              </w:rPr>
            </w:pPr>
          </w:p>
        </w:tc>
      </w:tr>
      <w:tr w14:paraId="7D8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1952F61">
            <w:pPr>
              <w:jc w:val="center"/>
              <w:rPr>
                <w:color w:val="auto"/>
                <w:highlight w:val="none"/>
              </w:rPr>
            </w:pPr>
            <w:r>
              <w:rPr>
                <w:color w:val="auto"/>
                <w:highlight w:val="none"/>
              </w:rPr>
              <w:t>……</w:t>
            </w:r>
          </w:p>
        </w:tc>
        <w:tc>
          <w:tcPr>
            <w:tcW w:w="1985" w:type="dxa"/>
            <w:vAlign w:val="center"/>
          </w:tcPr>
          <w:p w14:paraId="589DCB28">
            <w:pPr>
              <w:jc w:val="center"/>
              <w:rPr>
                <w:color w:val="auto"/>
                <w:highlight w:val="none"/>
              </w:rPr>
            </w:pPr>
            <w:r>
              <w:rPr>
                <w:color w:val="auto"/>
                <w:highlight w:val="none"/>
              </w:rPr>
              <w:t>……</w:t>
            </w:r>
          </w:p>
        </w:tc>
        <w:tc>
          <w:tcPr>
            <w:tcW w:w="2126" w:type="dxa"/>
            <w:tcMar>
              <w:left w:w="170" w:type="dxa"/>
            </w:tcMar>
            <w:vAlign w:val="center"/>
          </w:tcPr>
          <w:p w14:paraId="57C54B95">
            <w:pPr>
              <w:rPr>
                <w:color w:val="auto"/>
                <w:highlight w:val="none"/>
              </w:rPr>
            </w:pPr>
          </w:p>
        </w:tc>
        <w:tc>
          <w:tcPr>
            <w:tcW w:w="1984" w:type="dxa"/>
            <w:vAlign w:val="center"/>
          </w:tcPr>
          <w:p w14:paraId="452DF66E">
            <w:pPr>
              <w:jc w:val="center"/>
              <w:rPr>
                <w:color w:val="auto"/>
                <w:highlight w:val="none"/>
              </w:rPr>
            </w:pPr>
          </w:p>
        </w:tc>
        <w:tc>
          <w:tcPr>
            <w:tcW w:w="1843" w:type="dxa"/>
            <w:vAlign w:val="center"/>
          </w:tcPr>
          <w:p w14:paraId="058F248E">
            <w:pPr>
              <w:jc w:val="center"/>
              <w:rPr>
                <w:color w:val="auto"/>
                <w:highlight w:val="none"/>
              </w:rPr>
            </w:pPr>
          </w:p>
        </w:tc>
      </w:tr>
      <w:tr w14:paraId="57B3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4F4A8913">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438BFE4F">
      <w:pPr>
        <w:spacing w:line="360" w:lineRule="auto"/>
        <w:ind w:right="-817" w:rightChars="-389" w:firstLine="2640" w:firstLineChars="1100"/>
        <w:contextualSpacing/>
        <w:rPr>
          <w:rFonts w:ascii="宋体" w:hAnsi="宋体" w:cs="仿宋_GB2312"/>
          <w:color w:val="auto"/>
          <w:sz w:val="24"/>
          <w:highlight w:val="none"/>
        </w:rPr>
      </w:pPr>
    </w:p>
    <w:p w14:paraId="479C1CFB">
      <w:pPr>
        <w:spacing w:line="360" w:lineRule="auto"/>
        <w:ind w:right="-817" w:rightChars="-389"/>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1CCC49B">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B824BA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0D9D0E3">
      <w:pPr>
        <w:spacing w:line="360" w:lineRule="auto"/>
        <w:rPr>
          <w:rFonts w:ascii="宋体" w:hAnsi="宋体" w:cs="仿宋_GB2312"/>
          <w:color w:val="auto"/>
          <w:sz w:val="24"/>
          <w:highlight w:val="none"/>
        </w:rPr>
      </w:pPr>
    </w:p>
    <w:p w14:paraId="0E2EEA96">
      <w:pPr>
        <w:spacing w:line="360" w:lineRule="auto"/>
        <w:jc w:val="center"/>
        <w:rPr>
          <w:rFonts w:ascii="方正小标宋简体" w:hAnsi="方正小标宋简体" w:eastAsia="方正小标宋简体" w:cs="方正小标宋简体"/>
          <w:bCs/>
          <w:color w:val="auto"/>
          <w:sz w:val="32"/>
          <w:szCs w:val="32"/>
          <w:highlight w:val="none"/>
        </w:rPr>
      </w:pP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竞标报价表</w:t>
      </w:r>
    </w:p>
    <w:p w14:paraId="5439E838">
      <w:pPr>
        <w:spacing w:line="440" w:lineRule="exact"/>
        <w:jc w:val="center"/>
        <w:rPr>
          <w:rFonts w:ascii="方正小标宋简体" w:hAnsi="方正小标宋简体" w:eastAsia="方正小标宋简体" w:cs="方正小标宋简体"/>
          <w:bCs/>
          <w:color w:val="auto"/>
          <w:sz w:val="32"/>
          <w:szCs w:val="32"/>
          <w:highlight w:val="none"/>
        </w:rPr>
      </w:pPr>
    </w:p>
    <w:p w14:paraId="528907A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178AF7C">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2A3F5327">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BE592A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4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EE2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92BCF78">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D10660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2C90A9D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5DCFADF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E07E7F0">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083F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312C4A3">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03A93FE">
            <w:pPr>
              <w:spacing w:line="360" w:lineRule="auto"/>
              <w:contextualSpacing/>
              <w:jc w:val="center"/>
              <w:rPr>
                <w:rFonts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46ECF9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1项</w:t>
            </w:r>
          </w:p>
        </w:tc>
        <w:tc>
          <w:tcPr>
            <w:tcW w:w="3107" w:type="dxa"/>
            <w:tcBorders>
              <w:top w:val="single" w:color="auto" w:sz="4" w:space="0"/>
              <w:left w:val="single" w:color="auto" w:sz="4" w:space="0"/>
              <w:bottom w:val="single" w:color="auto" w:sz="4" w:space="0"/>
              <w:right w:val="single" w:color="auto" w:sz="4" w:space="0"/>
            </w:tcBorders>
          </w:tcPr>
          <w:p w14:paraId="49AF751B">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D862958">
            <w:pPr>
              <w:spacing w:line="360" w:lineRule="auto"/>
              <w:contextualSpacing/>
              <w:rPr>
                <w:rFonts w:ascii="宋体" w:hAnsi="宋体" w:cs="仿宋_GB2312"/>
                <w:color w:val="auto"/>
                <w:sz w:val="24"/>
                <w:highlight w:val="none"/>
              </w:rPr>
            </w:pPr>
          </w:p>
        </w:tc>
      </w:tr>
      <w:tr w14:paraId="0FFA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1B7A512">
            <w:pPr>
              <w:pStyle w:val="17"/>
              <w:rPr>
                <w:rFonts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 xml:space="preserve"> （</w:t>
            </w:r>
            <w:r>
              <w:rPr>
                <w:color w:val="auto"/>
                <w:szCs w:val="21"/>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85C1F65">
      <w:pPr>
        <w:spacing w:line="360" w:lineRule="auto"/>
        <w:contextualSpacing/>
        <w:jc w:val="left"/>
        <w:rPr>
          <w:rFonts w:ascii="宋体" w:hAnsi="宋体" w:cs="仿宋_GB2312"/>
          <w:color w:val="auto"/>
          <w:sz w:val="24"/>
          <w:highlight w:val="none"/>
        </w:rPr>
      </w:pPr>
    </w:p>
    <w:p w14:paraId="2DAAB329">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07102CA">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E3E52EC">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9802808">
      <w:pPr>
        <w:spacing w:line="360" w:lineRule="auto"/>
        <w:ind w:right="-817" w:rightChars="-389"/>
        <w:contextualSpacing/>
        <w:rPr>
          <w:rFonts w:ascii="宋体" w:hAnsi="宋体" w:cs="仿宋_GB2312"/>
          <w:color w:val="auto"/>
          <w:sz w:val="24"/>
          <w:highlight w:val="none"/>
        </w:rPr>
      </w:pPr>
    </w:p>
    <w:p w14:paraId="2DEFBC32">
      <w:pPr>
        <w:spacing w:line="360" w:lineRule="auto"/>
        <w:ind w:right="-817" w:rightChars="-389"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72FD62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44E45DB">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85D537F">
      <w:pPr>
        <w:spacing w:line="360" w:lineRule="auto"/>
        <w:contextualSpacing/>
        <w:jc w:val="center"/>
        <w:rPr>
          <w:rFonts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110B8C6A">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已标价工程量清单应按第五章</w:t>
      </w:r>
      <w:r>
        <w:rPr>
          <w:rFonts w:hint="eastAsia"/>
          <w:color w:val="auto"/>
          <w:highlight w:val="none"/>
        </w:rPr>
        <w:t>“工程量清单及图纸”</w:t>
      </w:r>
      <w:r>
        <w:rPr>
          <w:rFonts w:hint="eastAsia" w:cs="宋体"/>
          <w:color w:val="auto"/>
          <w:highlight w:val="none"/>
        </w:rPr>
        <w:t>中的相关表格及竞标报价说明填写。构成合同文件的已标价工程量清单包括第五章</w:t>
      </w:r>
      <w:r>
        <w:rPr>
          <w:rFonts w:hint="eastAsia"/>
          <w:color w:val="auto"/>
          <w:highlight w:val="none"/>
        </w:rPr>
        <w:t>“工程量清单及图纸”</w:t>
      </w:r>
      <w:r>
        <w:rPr>
          <w:rFonts w:hint="eastAsia" w:cs="宋体"/>
          <w:color w:val="auto"/>
          <w:highlight w:val="none"/>
        </w:rPr>
        <w:t>有关工程量清单、竞标报价以及其他说明的内容。</w:t>
      </w:r>
    </w:p>
    <w:p w14:paraId="0ABC8658">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14:paraId="5CEA5B68">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竞标总价（封</w:t>
      </w:r>
      <w:r>
        <w:rPr>
          <w:color w:val="auto"/>
          <w:highlight w:val="none"/>
        </w:rPr>
        <w:t>-3</w:t>
      </w:r>
      <w:r>
        <w:rPr>
          <w:rFonts w:hint="eastAsia" w:cs="宋体"/>
          <w:color w:val="auto"/>
          <w:highlight w:val="none"/>
        </w:rPr>
        <w:t>）</w:t>
      </w:r>
    </w:p>
    <w:p w14:paraId="6E99CA88">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竞标总价（扉</w:t>
      </w:r>
      <w:r>
        <w:rPr>
          <w:color w:val="auto"/>
          <w:highlight w:val="none"/>
        </w:rPr>
        <w:t>-3</w:t>
      </w:r>
      <w:r>
        <w:rPr>
          <w:rFonts w:hint="eastAsia" w:cs="宋体"/>
          <w:color w:val="auto"/>
          <w:highlight w:val="none"/>
        </w:rPr>
        <w:t>）</w:t>
      </w:r>
    </w:p>
    <w:p w14:paraId="2CFE6D0E">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049B44D1">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建设项目竞标报价汇总表（表</w:t>
      </w:r>
      <w:r>
        <w:rPr>
          <w:color w:val="auto"/>
          <w:highlight w:val="none"/>
        </w:rPr>
        <w:t>-02</w:t>
      </w:r>
      <w:r>
        <w:rPr>
          <w:rFonts w:hint="eastAsia" w:cs="宋体"/>
          <w:color w:val="auto"/>
          <w:highlight w:val="none"/>
        </w:rPr>
        <w:t>）</w:t>
      </w:r>
    </w:p>
    <w:p w14:paraId="1423482F">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单项工程竞标报价汇总表（表</w:t>
      </w:r>
      <w:r>
        <w:rPr>
          <w:color w:val="auto"/>
          <w:highlight w:val="none"/>
        </w:rPr>
        <w:t>-03</w:t>
      </w:r>
      <w:r>
        <w:rPr>
          <w:rFonts w:hint="eastAsia" w:cs="宋体"/>
          <w:color w:val="auto"/>
          <w:highlight w:val="none"/>
        </w:rPr>
        <w:t>）</w:t>
      </w:r>
    </w:p>
    <w:p w14:paraId="330FEECA">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单位工程竞标报价汇总表（表</w:t>
      </w:r>
      <w:r>
        <w:rPr>
          <w:color w:val="auto"/>
          <w:highlight w:val="none"/>
        </w:rPr>
        <w:t>-04</w:t>
      </w:r>
      <w:r>
        <w:rPr>
          <w:rFonts w:hint="eastAsia" w:cs="宋体"/>
          <w:color w:val="auto"/>
          <w:highlight w:val="none"/>
        </w:rPr>
        <w:t>）</w:t>
      </w:r>
    </w:p>
    <w:p w14:paraId="59A1CB23">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33D71547">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28210756">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）【备注：可按要求有选择的提供】</w:t>
      </w:r>
    </w:p>
    <w:p w14:paraId="56EEA873">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4EA6FB72">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5D30171A">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31E16B0B">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321AF93">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4F5E3BB1">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5AF8CBA3">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08DC7F2C">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2F07B32D">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2E893AFC">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842D31E">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w:t>
      </w:r>
    </w:p>
    <w:p w14:paraId="1C884ADD">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0F7FA4C5">
      <w:pPr>
        <w:spacing w:line="360" w:lineRule="auto"/>
        <w:ind w:firstLine="630" w:firstLineChars="300"/>
        <w:rPr>
          <w:color w:val="auto"/>
          <w:highlight w:val="none"/>
        </w:rPr>
      </w:pPr>
      <w:r>
        <w:rPr>
          <w:rFonts w:hint="eastAsia"/>
          <w:color w:val="auto"/>
          <w:highlight w:val="none"/>
        </w:rPr>
        <w:t>1.22</w:t>
      </w:r>
      <w:r>
        <w:rPr>
          <w:rFonts w:hint="eastAsia" w:cs="宋体"/>
          <w:color w:val="auto"/>
          <w:highlight w:val="none"/>
        </w:rPr>
        <w:t>本工程</w:t>
      </w:r>
      <w:r>
        <w:rPr>
          <w:rFonts w:cs="宋体"/>
          <w:color w:val="auto"/>
          <w:highlight w:val="none"/>
        </w:rPr>
        <w:t>材料和工程设备</w:t>
      </w:r>
      <w:r>
        <w:rPr>
          <w:rFonts w:hint="eastAsia" w:cs="宋体"/>
          <w:color w:val="auto"/>
          <w:highlight w:val="none"/>
        </w:rPr>
        <w:t>一览表（表-24）</w:t>
      </w:r>
    </w:p>
    <w:p w14:paraId="5AB73F80">
      <w:pPr>
        <w:spacing w:line="360" w:lineRule="auto"/>
        <w:rPr>
          <w:color w:val="auto"/>
          <w:highlight w:val="none"/>
        </w:rPr>
      </w:pPr>
      <w:r>
        <w:rPr>
          <w:rFonts w:hint="eastAsia" w:cs="宋体"/>
          <w:color w:val="auto"/>
          <w:highlight w:val="none"/>
        </w:rPr>
        <w:t>备注：</w:t>
      </w:r>
    </w:p>
    <w:p w14:paraId="746D3725">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）供应商在上传竞标报价文件时应上传纸质竞标总价封面的原件扫描件。报标总价封面必须经供应商盖章，并由法定代表人（或其授权人）签字（或盖章），同时由编制人签字盖专用章。</w:t>
      </w:r>
    </w:p>
    <w:p w14:paraId="5686345D">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681D9825">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）已标价工程量清单表格要严格按照采购工程量清单给出的表格要求和内容填报。如本工程在合同中约定采用造价信息价差调整法，1.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允许调整主要材料和工程设备一览表（适用于造价信息差额调整法）（表</w:t>
      </w:r>
      <w:r>
        <w:rPr>
          <w:color w:val="auto"/>
          <w:highlight w:val="none"/>
        </w:rPr>
        <w:t>-22</w:t>
      </w:r>
      <w:r>
        <w:rPr>
          <w:rFonts w:hint="eastAsia" w:cs="宋体"/>
          <w:color w:val="auto"/>
          <w:highlight w:val="none"/>
        </w:rPr>
        <w:t>）载明的主要材料和工程设备为本工程允许调整的材料和工程设备，采购工程量清单必须提供该表格，且不能提供空白表。以下表格视工程实际需要选用，如该工程不发生如下表格相关项目和费用，采购工程量清单不应列入该部分表格，已标价工程量清单亦不包括这部分表格。</w:t>
      </w:r>
    </w:p>
    <w:p w14:paraId="15FB7B83">
      <w:pPr>
        <w:spacing w:line="360" w:lineRule="auto"/>
        <w:ind w:firstLine="420" w:firstLineChars="200"/>
        <w:rPr>
          <w:color w:val="auto"/>
          <w:highlight w:val="none"/>
        </w:rPr>
      </w:pPr>
      <w:r>
        <w:rPr>
          <w:rFonts w:hint="eastAsia" w:ascii="宋体" w:hAnsi="宋体" w:cs="宋体"/>
          <w:color w:val="auto"/>
          <w:highlight w:val="none"/>
        </w:rPr>
        <w:t>①</w:t>
      </w:r>
      <w:r>
        <w:rPr>
          <w:rFonts w:hint="eastAsia" w:cs="宋体"/>
          <w:color w:val="auto"/>
          <w:highlight w:val="none"/>
        </w:rPr>
        <w:t>建设项目竞标报价汇总表（表</w:t>
      </w:r>
      <w:r>
        <w:rPr>
          <w:color w:val="auto"/>
          <w:highlight w:val="none"/>
        </w:rPr>
        <w:t>-02</w:t>
      </w:r>
      <w:r>
        <w:rPr>
          <w:rFonts w:hint="eastAsia" w:cs="宋体"/>
          <w:color w:val="auto"/>
          <w:highlight w:val="none"/>
        </w:rPr>
        <w:t>）</w:t>
      </w:r>
    </w:p>
    <w:p w14:paraId="5E748C98">
      <w:pPr>
        <w:spacing w:line="360" w:lineRule="auto"/>
        <w:ind w:firstLine="420" w:firstLineChars="20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6B6BEA78">
      <w:pPr>
        <w:spacing w:line="360" w:lineRule="auto"/>
        <w:ind w:firstLine="420" w:firstLineChars="20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3E98880A">
      <w:pPr>
        <w:spacing w:line="360" w:lineRule="auto"/>
        <w:ind w:firstLine="420" w:firstLineChars="20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247A8E36">
      <w:pPr>
        <w:spacing w:line="360" w:lineRule="auto"/>
        <w:ind w:firstLine="420" w:firstLineChars="20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7039A16F">
      <w:pPr>
        <w:spacing w:line="360" w:lineRule="auto"/>
        <w:ind w:firstLine="420" w:firstLineChars="20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76E7B355">
      <w:pPr>
        <w:spacing w:line="360" w:lineRule="auto"/>
        <w:ind w:firstLine="420" w:firstLineChars="200"/>
        <w:rPr>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004CBFCA">
      <w:pPr>
        <w:spacing w:line="360" w:lineRule="auto"/>
        <w:ind w:firstLine="420" w:firstLineChars="200"/>
        <w:rPr>
          <w:rFonts w:cs="宋体"/>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允许调整主要材料和工程设备一览表（适用于价格指数差额调整法）（表</w:t>
      </w:r>
      <w:r>
        <w:rPr>
          <w:color w:val="auto"/>
          <w:highlight w:val="none"/>
        </w:rPr>
        <w:t>-23</w:t>
      </w:r>
      <w:r>
        <w:rPr>
          <w:rFonts w:hint="eastAsia" w:cs="宋体"/>
          <w:color w:val="auto"/>
          <w:highlight w:val="none"/>
        </w:rPr>
        <w:t>）</w:t>
      </w:r>
    </w:p>
    <w:p w14:paraId="32823EBB">
      <w:pPr>
        <w:spacing w:line="360" w:lineRule="auto"/>
        <w:ind w:firstLine="420" w:firstLineChars="200"/>
        <w:contextualSpacing/>
        <w:jc w:val="left"/>
        <w:rPr>
          <w:rFonts w:hAnsi="宋体" w:cs="宋体"/>
          <w:color w:val="auto"/>
          <w:kern w:val="0"/>
          <w:highlight w:val="none"/>
        </w:rPr>
      </w:pPr>
      <w:r>
        <w:rPr>
          <w:rFonts w:hint="eastAsia" w:cs="宋体"/>
          <w:color w:val="auto"/>
          <w:highlight w:val="none"/>
        </w:rPr>
        <w:t>注：</w:t>
      </w:r>
      <w:r>
        <w:rPr>
          <w:rFonts w:hint="eastAsia" w:hAnsi="宋体" w:cs="宋体"/>
          <w:color w:val="auto"/>
          <w:kern w:val="0"/>
          <w:highlight w:val="none"/>
        </w:rPr>
        <w:t>因2021年《广西壮族自治区园林绿化及仿古建筑工程费用定额》采用全费用综合单价形式，故园林绿化及仿古建筑工程的已标价工程量清单</w:t>
      </w:r>
      <w:r>
        <w:rPr>
          <w:rFonts w:hint="eastAsia" w:cs="黑体"/>
          <w:color w:val="auto"/>
          <w:highlight w:val="none"/>
        </w:rPr>
        <w:t>采用</w:t>
      </w:r>
      <w:r>
        <w:rPr>
          <w:rFonts w:hint="eastAsia" w:hAnsi="宋体" w:cs="宋体"/>
          <w:color w:val="auto"/>
          <w:kern w:val="0"/>
          <w:highlight w:val="none"/>
        </w:rPr>
        <w:t>《自治区住房和城乡建设厅关于建设工程造价改革试点项目招竞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108B4AC9">
      <w:pPr>
        <w:spacing w:line="360" w:lineRule="auto"/>
        <w:contextualSpacing/>
        <w:jc w:val="left"/>
        <w:rPr>
          <w:color w:val="auto"/>
          <w:highlight w:val="none"/>
        </w:rPr>
      </w:pPr>
    </w:p>
    <w:p w14:paraId="06581E6C">
      <w:pPr>
        <w:spacing w:line="360" w:lineRule="auto"/>
        <w:ind w:firstLine="643" w:firstLineChars="200"/>
        <w:contextualSpacing/>
        <w:jc w:val="center"/>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9C56DAF">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5CD644D7">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7981FD6">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9377884">
      <w:pPr>
        <w:snapToGrid w:val="0"/>
        <w:spacing w:beforeLines="50" w:after="50"/>
        <w:rPr>
          <w:rFonts w:ascii="宋体" w:hAnsi="宋体"/>
          <w:color w:val="auto"/>
          <w:sz w:val="24"/>
          <w:szCs w:val="20"/>
          <w:highlight w:val="none"/>
        </w:rPr>
      </w:pPr>
    </w:p>
    <w:p w14:paraId="2B807718">
      <w:pPr>
        <w:snapToGrid w:val="0"/>
        <w:spacing w:beforeLines="50" w:after="50"/>
        <w:rPr>
          <w:rFonts w:ascii="宋体" w:hAnsi="宋体"/>
          <w:color w:val="auto"/>
          <w:sz w:val="24"/>
          <w:szCs w:val="20"/>
          <w:highlight w:val="none"/>
        </w:rPr>
      </w:pPr>
    </w:p>
    <w:p w14:paraId="1D32249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4757BF29">
      <w:pPr>
        <w:snapToGrid w:val="0"/>
        <w:spacing w:beforeLines="50" w:after="50"/>
        <w:rPr>
          <w:rFonts w:ascii="宋体" w:hAnsi="宋体"/>
          <w:bCs/>
          <w:color w:val="auto"/>
          <w:sz w:val="24"/>
          <w:szCs w:val="20"/>
          <w:highlight w:val="none"/>
        </w:rPr>
      </w:pPr>
    </w:p>
    <w:p w14:paraId="6493308E">
      <w:pPr>
        <w:snapToGrid w:val="0"/>
        <w:spacing w:beforeLines="50" w:after="50"/>
        <w:rPr>
          <w:rFonts w:ascii="宋体" w:hAnsi="宋体"/>
          <w:bCs/>
          <w:color w:val="auto"/>
          <w:sz w:val="24"/>
          <w:szCs w:val="20"/>
          <w:highlight w:val="none"/>
        </w:rPr>
      </w:pPr>
    </w:p>
    <w:p w14:paraId="74EDA225">
      <w:pPr>
        <w:snapToGrid w:val="0"/>
        <w:spacing w:beforeLines="50" w:after="50"/>
        <w:rPr>
          <w:rFonts w:ascii="宋体" w:hAnsi="宋体"/>
          <w:bCs/>
          <w:color w:val="auto"/>
          <w:sz w:val="24"/>
          <w:szCs w:val="20"/>
          <w:highlight w:val="none"/>
        </w:rPr>
      </w:pPr>
    </w:p>
    <w:p w14:paraId="1237F5C8">
      <w:pPr>
        <w:snapToGrid w:val="0"/>
        <w:spacing w:beforeLines="50" w:after="50"/>
        <w:rPr>
          <w:rFonts w:ascii="宋体" w:hAnsi="宋体"/>
          <w:bCs/>
          <w:color w:val="auto"/>
          <w:sz w:val="24"/>
          <w:szCs w:val="20"/>
          <w:highlight w:val="none"/>
        </w:rPr>
      </w:pPr>
    </w:p>
    <w:p w14:paraId="51764DC4">
      <w:pPr>
        <w:snapToGrid w:val="0"/>
        <w:spacing w:beforeLines="50" w:after="50"/>
        <w:rPr>
          <w:rFonts w:ascii="宋体" w:hAnsi="宋体"/>
          <w:bCs/>
          <w:color w:val="auto"/>
          <w:sz w:val="24"/>
          <w:szCs w:val="20"/>
          <w:highlight w:val="none"/>
        </w:rPr>
      </w:pPr>
    </w:p>
    <w:p w14:paraId="5B2A61E1">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2DC8EB">
      <w:pPr>
        <w:snapToGrid w:val="0"/>
        <w:spacing w:beforeLines="50" w:after="50"/>
        <w:ind w:firstLine="720" w:firstLineChars="225"/>
        <w:rPr>
          <w:rFonts w:ascii="宋体" w:hAnsi="宋体" w:cs="仿宋_GB2312"/>
          <w:bCs/>
          <w:color w:val="auto"/>
          <w:sz w:val="32"/>
          <w:szCs w:val="32"/>
          <w:highlight w:val="none"/>
        </w:rPr>
      </w:pPr>
    </w:p>
    <w:p w14:paraId="6BD6ED8E">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D320042">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EC2A7A6">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283BAA0">
      <w:pPr>
        <w:snapToGrid w:val="0"/>
        <w:spacing w:beforeLines="50" w:after="50"/>
        <w:ind w:firstLine="720" w:firstLineChars="225"/>
        <w:rPr>
          <w:rFonts w:ascii="宋体" w:hAnsi="宋体" w:cs="仿宋_GB2312"/>
          <w:bCs/>
          <w:color w:val="auto"/>
          <w:sz w:val="32"/>
          <w:szCs w:val="32"/>
          <w:highlight w:val="none"/>
        </w:rPr>
      </w:pPr>
    </w:p>
    <w:p w14:paraId="263309BC">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92917EC">
      <w:pPr>
        <w:pStyle w:val="7"/>
        <w:snapToGrid w:val="0"/>
        <w:spacing w:before="50" w:after="50"/>
        <w:ind w:firstLine="640" w:firstLineChars="200"/>
        <w:rPr>
          <w:rFonts w:ascii="宋体" w:hAnsi="宋体" w:cs="仿宋_GB2312"/>
          <w:bCs/>
          <w:color w:val="auto"/>
          <w:sz w:val="32"/>
          <w:szCs w:val="32"/>
          <w:highlight w:val="none"/>
        </w:rPr>
      </w:pPr>
    </w:p>
    <w:p w14:paraId="64665BE7">
      <w:pPr>
        <w:pStyle w:val="7"/>
        <w:snapToGrid w:val="0"/>
        <w:spacing w:before="50" w:after="50"/>
        <w:ind w:firstLine="720" w:firstLineChars="225"/>
        <w:rPr>
          <w:rFonts w:ascii="宋体" w:hAnsi="宋体" w:cs="仿宋_GB2312"/>
          <w:bCs/>
          <w:color w:val="auto"/>
          <w:sz w:val="32"/>
          <w:szCs w:val="32"/>
          <w:highlight w:val="none"/>
        </w:rPr>
      </w:pPr>
    </w:p>
    <w:p w14:paraId="5E0DA4DF">
      <w:pPr>
        <w:pStyle w:val="7"/>
        <w:snapToGrid w:val="0"/>
        <w:spacing w:before="50" w:after="50"/>
        <w:ind w:firstLine="0"/>
        <w:rPr>
          <w:rFonts w:ascii="宋体" w:hAnsi="宋体" w:cs="仿宋_GB2312"/>
          <w:bCs/>
          <w:color w:val="auto"/>
          <w:sz w:val="32"/>
          <w:szCs w:val="32"/>
          <w:highlight w:val="none"/>
        </w:rPr>
      </w:pPr>
    </w:p>
    <w:p w14:paraId="38AB0816">
      <w:pPr>
        <w:pStyle w:val="7"/>
        <w:snapToGrid w:val="0"/>
        <w:spacing w:before="50" w:after="50"/>
        <w:ind w:firstLine="1280" w:firstLineChars="400"/>
        <w:rPr>
          <w:rFonts w:ascii="宋体" w:hAnsi="宋体" w:cs="仿宋_GB2312"/>
          <w:bCs/>
          <w:color w:val="auto"/>
          <w:sz w:val="32"/>
          <w:szCs w:val="32"/>
          <w:highlight w:val="none"/>
        </w:rPr>
      </w:pPr>
    </w:p>
    <w:p w14:paraId="2B1E2CF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B7727E6">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7D4448E">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554E3A9">
      <w:pPr>
        <w:spacing w:line="400" w:lineRule="exact"/>
        <w:rPr>
          <w:rFonts w:ascii="仿宋_GB2312" w:hAnsi="仿宋_GB2312" w:eastAsia="仿宋_GB2312" w:cs="仿宋_GB2312"/>
          <w:color w:val="auto"/>
          <w:sz w:val="32"/>
          <w:szCs w:val="32"/>
          <w:highlight w:val="none"/>
        </w:rPr>
      </w:pPr>
    </w:p>
    <w:p w14:paraId="2A35BAE6">
      <w:pPr>
        <w:spacing w:line="520" w:lineRule="exact"/>
        <w:jc w:val="center"/>
        <w:rPr>
          <w:rFonts w:ascii="宋体" w:hAnsi="宋体" w:cs="仿宋_GB2312"/>
          <w:b/>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方正小标宋简体"/>
          <w:b/>
          <w:color w:val="auto"/>
          <w:sz w:val="32"/>
          <w:szCs w:val="32"/>
          <w:highlight w:val="none"/>
        </w:rPr>
        <w:t>无串通竞标行为的承诺函</w:t>
      </w:r>
    </w:p>
    <w:p w14:paraId="4AC18B11">
      <w:pPr>
        <w:spacing w:line="360" w:lineRule="auto"/>
        <w:ind w:firstLine="640" w:firstLineChars="200"/>
        <w:contextualSpacing/>
        <w:rPr>
          <w:rFonts w:ascii="仿宋_GB2312" w:hAnsi="仿宋_GB2312" w:eastAsia="仿宋_GB2312" w:cs="仿宋_GB2312"/>
          <w:color w:val="auto"/>
          <w:sz w:val="32"/>
          <w:szCs w:val="32"/>
          <w:highlight w:val="none"/>
        </w:rPr>
      </w:pPr>
    </w:p>
    <w:p w14:paraId="3A8AB1D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343E63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2F0632FE">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2.不同供应商委托同一单位或者个人办理竞标事宜</w:t>
      </w:r>
      <w:r>
        <w:rPr>
          <w:rFonts w:hint="eastAsia" w:ascii="宋体" w:hAnsi="宋体" w:cs="仿宋_GB2312"/>
          <w:color w:val="auto"/>
          <w:sz w:val="24"/>
          <w:highlight w:val="none"/>
          <w:lang w:eastAsia="zh-CN"/>
        </w:rPr>
        <w:t>；</w:t>
      </w:r>
    </w:p>
    <w:p w14:paraId="1AF682AA">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3.不同供应商的响应文件载明的项目管理员为同一个人</w:t>
      </w:r>
      <w:r>
        <w:rPr>
          <w:rFonts w:hint="eastAsia" w:ascii="宋体" w:hAnsi="宋体" w:cs="仿宋_GB2312"/>
          <w:color w:val="auto"/>
          <w:sz w:val="24"/>
          <w:highlight w:val="none"/>
          <w:lang w:eastAsia="zh-CN"/>
        </w:rPr>
        <w:t>；</w:t>
      </w:r>
    </w:p>
    <w:p w14:paraId="3AF80EE7">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r>
        <w:rPr>
          <w:rFonts w:hint="eastAsia" w:ascii="宋体" w:hAnsi="宋体" w:cs="仿宋_GB2312"/>
          <w:color w:val="auto"/>
          <w:spacing w:val="-6"/>
          <w:sz w:val="24"/>
          <w:highlight w:val="none"/>
          <w:lang w:eastAsia="zh-CN"/>
        </w:rPr>
        <w:t>；</w:t>
      </w:r>
    </w:p>
    <w:p w14:paraId="38BF8ABC">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5.不同供应商的响应文件相互混装</w:t>
      </w:r>
      <w:r>
        <w:rPr>
          <w:rFonts w:hint="eastAsia" w:ascii="宋体" w:hAnsi="宋体" w:cs="仿宋_GB2312"/>
          <w:color w:val="auto"/>
          <w:sz w:val="24"/>
          <w:highlight w:val="none"/>
          <w:lang w:eastAsia="zh-CN"/>
        </w:rPr>
        <w:t>；</w:t>
      </w:r>
    </w:p>
    <w:p w14:paraId="068E186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79A9122">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C86A080">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1.供应商直接或者间接从采购人或者采购代理机构处获得其他供应商的相关信息并修改其响应文件</w:t>
      </w:r>
      <w:r>
        <w:rPr>
          <w:rFonts w:hint="eastAsia" w:ascii="宋体" w:hAnsi="宋体" w:cs="仿宋_GB2312"/>
          <w:color w:val="auto"/>
          <w:sz w:val="24"/>
          <w:highlight w:val="none"/>
          <w:lang w:eastAsia="zh-CN"/>
        </w:rPr>
        <w:t>；</w:t>
      </w:r>
    </w:p>
    <w:p w14:paraId="34D94096">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2.供应商按照采购人或者采购代理机构的授意撤换、修改响应文件</w:t>
      </w:r>
      <w:r>
        <w:rPr>
          <w:rFonts w:hint="eastAsia" w:ascii="宋体" w:hAnsi="宋体" w:cs="仿宋_GB2312"/>
          <w:color w:val="auto"/>
          <w:sz w:val="24"/>
          <w:highlight w:val="none"/>
          <w:lang w:eastAsia="zh-CN"/>
        </w:rPr>
        <w:t>；</w:t>
      </w:r>
    </w:p>
    <w:p w14:paraId="4760E550">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r>
        <w:rPr>
          <w:rFonts w:hint="eastAsia" w:ascii="宋体" w:hAnsi="宋体" w:cs="仿宋_GB2312"/>
          <w:color w:val="auto"/>
          <w:spacing w:val="-6"/>
          <w:sz w:val="24"/>
          <w:highlight w:val="none"/>
          <w:lang w:eastAsia="zh-CN"/>
        </w:rPr>
        <w:t>；</w:t>
      </w:r>
    </w:p>
    <w:p w14:paraId="62C5E313">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4.属于同一集团、协会、商会等组织成员的供应商按照该组织要求协同参加政府采购活动</w:t>
      </w:r>
      <w:r>
        <w:rPr>
          <w:rFonts w:hint="eastAsia" w:ascii="宋体" w:hAnsi="宋体" w:cs="仿宋_GB2312"/>
          <w:color w:val="auto"/>
          <w:sz w:val="24"/>
          <w:highlight w:val="none"/>
          <w:lang w:eastAsia="zh-CN"/>
        </w:rPr>
        <w:t>；</w:t>
      </w:r>
    </w:p>
    <w:p w14:paraId="61D53645">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r>
        <w:rPr>
          <w:rFonts w:hint="eastAsia" w:ascii="宋体" w:hAnsi="宋体" w:cs="仿宋_GB2312"/>
          <w:color w:val="auto"/>
          <w:sz w:val="24"/>
          <w:highlight w:val="none"/>
          <w:lang w:eastAsia="zh-CN"/>
        </w:rPr>
        <w:t>；</w:t>
      </w:r>
    </w:p>
    <w:p w14:paraId="3F4EC40A">
      <w:pPr>
        <w:spacing w:line="360" w:lineRule="auto"/>
        <w:ind w:firstLine="480" w:firstLineChars="200"/>
        <w:contextualSpacing/>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6.供应商之间商定部分供应商放弃参加政府采购活动或者放弃成交</w:t>
      </w:r>
      <w:r>
        <w:rPr>
          <w:rFonts w:hint="eastAsia" w:ascii="宋体" w:hAnsi="宋体" w:cs="仿宋_GB2312"/>
          <w:color w:val="auto"/>
          <w:sz w:val="24"/>
          <w:highlight w:val="none"/>
          <w:lang w:eastAsia="zh-CN"/>
        </w:rPr>
        <w:t>；</w:t>
      </w:r>
    </w:p>
    <w:p w14:paraId="032F057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6D99AA10">
      <w:pPr>
        <w:spacing w:line="360" w:lineRule="auto"/>
        <w:ind w:firstLine="480" w:firstLineChars="200"/>
        <w:contextualSpacing/>
        <w:rPr>
          <w:rFonts w:ascii="宋体" w:hAnsi="宋体" w:cs="仿宋_GB2312"/>
          <w:color w:val="auto"/>
          <w:sz w:val="24"/>
          <w:highlight w:val="none"/>
        </w:rPr>
      </w:pPr>
    </w:p>
    <w:p w14:paraId="099959B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E92DC12">
      <w:pPr>
        <w:spacing w:line="360" w:lineRule="auto"/>
        <w:contextualSpacing/>
        <w:rPr>
          <w:rFonts w:ascii="宋体" w:hAnsi="宋体" w:cs="仿宋_GB2312"/>
          <w:color w:val="auto"/>
          <w:sz w:val="24"/>
          <w:highlight w:val="none"/>
        </w:rPr>
      </w:pPr>
    </w:p>
    <w:p w14:paraId="24C85552">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p>
    <w:p w14:paraId="134E612F">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1C170148">
      <w:pPr>
        <w:spacing w:line="520" w:lineRule="exact"/>
        <w:jc w:val="center"/>
        <w:rPr>
          <w:rFonts w:ascii="宋体" w:hAnsi="宋体" w:cs="仿宋_GB2312"/>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方正小标宋简体"/>
          <w:b/>
          <w:bCs/>
          <w:color w:val="auto"/>
          <w:sz w:val="32"/>
          <w:szCs w:val="32"/>
          <w:highlight w:val="none"/>
        </w:rPr>
        <w:t>法定代表人证明书</w:t>
      </w:r>
    </w:p>
    <w:p w14:paraId="3720C318">
      <w:pPr>
        <w:spacing w:line="360" w:lineRule="auto"/>
        <w:ind w:left="540"/>
        <w:contextualSpacing/>
        <w:rPr>
          <w:rFonts w:ascii="仿宋_GB2312" w:hAnsi="仿宋_GB2312" w:eastAsia="仿宋_GB2312" w:cs="仿宋_GB2312"/>
          <w:color w:val="auto"/>
          <w:sz w:val="32"/>
          <w:szCs w:val="32"/>
          <w:highlight w:val="none"/>
        </w:rPr>
      </w:pPr>
    </w:p>
    <w:p w14:paraId="5DE1626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1805E7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C90F87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E2F6F30">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8B8C8D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E8597F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D7AAB8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5B54D1C8">
      <w:pPr>
        <w:spacing w:line="360" w:lineRule="auto"/>
        <w:ind w:left="540"/>
        <w:contextualSpacing/>
        <w:rPr>
          <w:rFonts w:ascii="宋体" w:hAnsi="宋体" w:cs="仿宋_GB2312"/>
          <w:color w:val="auto"/>
          <w:sz w:val="24"/>
          <w:highlight w:val="none"/>
        </w:rPr>
      </w:pPr>
    </w:p>
    <w:p w14:paraId="5B3A2757">
      <w:pPr>
        <w:spacing w:line="360" w:lineRule="auto"/>
        <w:ind w:left="540"/>
        <w:contextualSpacing/>
        <w:rPr>
          <w:rFonts w:ascii="宋体" w:hAnsi="宋体" w:cs="仿宋_GB2312"/>
          <w:color w:val="auto"/>
          <w:sz w:val="24"/>
          <w:highlight w:val="none"/>
        </w:rPr>
      </w:pPr>
    </w:p>
    <w:p w14:paraId="369C6421">
      <w:pPr>
        <w:spacing w:line="360" w:lineRule="auto"/>
        <w:ind w:left="540"/>
        <w:contextualSpacing/>
        <w:rPr>
          <w:rFonts w:ascii="宋体" w:hAnsi="宋体" w:cs="仿宋_GB2312"/>
          <w:color w:val="auto"/>
          <w:sz w:val="24"/>
          <w:highlight w:val="none"/>
        </w:rPr>
      </w:pPr>
    </w:p>
    <w:p w14:paraId="4B9BA14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F992E8D">
      <w:pPr>
        <w:spacing w:line="360" w:lineRule="auto"/>
        <w:ind w:left="540"/>
        <w:contextualSpacing/>
        <w:rPr>
          <w:rFonts w:ascii="宋体" w:hAnsi="宋体" w:cs="仿宋_GB2312"/>
          <w:color w:val="auto"/>
          <w:sz w:val="24"/>
          <w:highlight w:val="none"/>
        </w:rPr>
      </w:pPr>
    </w:p>
    <w:p w14:paraId="0CE77AB9">
      <w:pPr>
        <w:spacing w:line="360" w:lineRule="auto"/>
        <w:ind w:left="540" w:firstLine="3000" w:firstLineChars="1250"/>
        <w:contextualSpacing/>
        <w:jc w:val="lef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1FE2665F">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F36045A">
      <w:pPr>
        <w:spacing w:line="360" w:lineRule="auto"/>
        <w:contextualSpacing/>
        <w:jc w:val="center"/>
        <w:rPr>
          <w:rFonts w:ascii="宋体" w:hAnsi="宋体" w:cs="仿宋_GB2312"/>
          <w:b/>
          <w:color w:val="auto"/>
          <w:sz w:val="24"/>
          <w:highlight w:val="none"/>
        </w:rPr>
      </w:pPr>
    </w:p>
    <w:p w14:paraId="5044510B">
      <w:pPr>
        <w:spacing w:line="360" w:lineRule="auto"/>
        <w:contextualSpacing/>
        <w:jc w:val="left"/>
        <w:rPr>
          <w:rFonts w:ascii="宋体" w:hAnsi="宋体" w:cs="仿宋_GB2312"/>
          <w:color w:val="auto"/>
          <w:sz w:val="24"/>
          <w:highlight w:val="none"/>
        </w:rPr>
      </w:pPr>
    </w:p>
    <w:p w14:paraId="674B8C00">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14:paraId="2F545572">
      <w:pPr>
        <w:adjustRightInd w:val="0"/>
        <w:snapToGrid w:val="0"/>
        <w:spacing w:line="300" w:lineRule="auto"/>
        <w:jc w:val="left"/>
        <w:rPr>
          <w:rFonts w:ascii="宋体" w:hAnsi="宋体"/>
          <w:b/>
          <w:color w:val="auto"/>
          <w:szCs w:val="21"/>
          <w:highlight w:val="none"/>
        </w:rPr>
      </w:pPr>
    </w:p>
    <w:p w14:paraId="318E3CAE">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2FD9ECD7">
      <w:pPr>
        <w:spacing w:line="520" w:lineRule="exact"/>
        <w:jc w:val="center"/>
        <w:rPr>
          <w:rFonts w:ascii="宋体" w:hAnsi="宋体" w:cs="方正小标宋简体"/>
          <w:b/>
          <w:color w:val="auto"/>
          <w:sz w:val="32"/>
          <w:szCs w:val="32"/>
          <w:highlight w:val="none"/>
        </w:rPr>
      </w:pPr>
      <w:bookmarkStart w:id="115" w:name="_Hlk65853643"/>
      <w:r>
        <w:rPr>
          <w:rFonts w:hint="eastAsia" w:ascii="宋体" w:hAnsi="宋体" w:cs="方正小标宋简体"/>
          <w:b/>
          <w:color w:val="auto"/>
          <w:sz w:val="32"/>
          <w:szCs w:val="32"/>
          <w:highlight w:val="none"/>
        </w:rPr>
        <w:t>授权委托书</w:t>
      </w:r>
    </w:p>
    <w:p w14:paraId="75657EDE">
      <w:pPr>
        <w:spacing w:line="520" w:lineRule="exact"/>
        <w:jc w:val="center"/>
        <w:rPr>
          <w:rFonts w:ascii="宋体" w:hAnsi="宋体" w:cs="方正小标宋简体"/>
          <w:b/>
          <w:color w:val="auto"/>
          <w:sz w:val="24"/>
          <w:highlight w:val="none"/>
        </w:rPr>
      </w:pPr>
      <w:r>
        <w:rPr>
          <w:rFonts w:hint="eastAsia" w:ascii="宋体" w:hAnsi="宋体" w:cs="方正小标宋简体"/>
          <w:b/>
          <w:color w:val="auto"/>
          <w:sz w:val="24"/>
          <w:highlight w:val="none"/>
        </w:rPr>
        <w:t>（非联合体竞标格式）</w:t>
      </w:r>
    </w:p>
    <w:p w14:paraId="6584C3A0">
      <w:pPr>
        <w:spacing w:line="520" w:lineRule="exact"/>
        <w:jc w:val="center"/>
        <w:rPr>
          <w:rFonts w:ascii="宋体" w:hAnsi="宋体" w:cs="方正小标宋简体"/>
          <w:b/>
          <w:color w:val="auto"/>
          <w:sz w:val="24"/>
          <w:highlight w:val="none"/>
        </w:rPr>
      </w:pPr>
      <w:r>
        <w:rPr>
          <w:rFonts w:hint="eastAsia" w:ascii="宋体" w:hAnsi="宋体" w:cs="方正小标宋简体"/>
          <w:b/>
          <w:color w:val="auto"/>
          <w:sz w:val="24"/>
          <w:highlight w:val="none"/>
        </w:rPr>
        <w:t>（如有委托时）</w:t>
      </w:r>
    </w:p>
    <w:p w14:paraId="4E7724E3">
      <w:pPr>
        <w:spacing w:line="520" w:lineRule="exact"/>
        <w:rPr>
          <w:rFonts w:ascii="仿宋_GB2312" w:hAnsi="仿宋_GB2312" w:eastAsia="仿宋_GB2312" w:cs="仿宋_GB2312"/>
          <w:color w:val="auto"/>
          <w:sz w:val="32"/>
          <w:szCs w:val="32"/>
          <w:highlight w:val="none"/>
        </w:rPr>
      </w:pPr>
    </w:p>
    <w:p w14:paraId="6C0F237D">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D18358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（项目名称）（项目编号）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5A6F096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0ECB543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0F9DCB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10F0BC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C25E059">
      <w:pPr>
        <w:spacing w:line="360" w:lineRule="auto"/>
        <w:rPr>
          <w:rFonts w:ascii="宋体" w:hAnsi="宋体" w:cs="仿宋_GB2312"/>
          <w:color w:val="auto"/>
          <w:sz w:val="24"/>
          <w:highlight w:val="none"/>
        </w:rPr>
      </w:pPr>
    </w:p>
    <w:p w14:paraId="622C32D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25FBEE3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委托代理人身份证号码：</w:t>
      </w:r>
    </w:p>
    <w:p w14:paraId="49D5B4D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lang w:eastAsia="zh-CN"/>
        </w:rPr>
        <w:t>委托代理人联系方式：</w:t>
      </w:r>
      <w:r>
        <w:rPr>
          <w:rFonts w:hint="eastAsia" w:ascii="宋体" w:hAnsi="宋体" w:cs="仿宋_GB2312"/>
          <w:color w:val="auto"/>
          <w:sz w:val="24"/>
          <w:highlight w:val="none"/>
        </w:rPr>
        <w:t xml:space="preserve">                              </w:t>
      </w:r>
    </w:p>
    <w:p w14:paraId="00EDBF0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69FA3BE2">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8000545">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B4D3771">
      <w:pPr>
        <w:spacing w:line="360" w:lineRule="auto"/>
        <w:rPr>
          <w:rFonts w:ascii="宋体" w:hAnsi="宋体" w:cs="仿宋_GB2312"/>
          <w:color w:val="auto"/>
          <w:sz w:val="24"/>
          <w:highlight w:val="none"/>
        </w:rPr>
      </w:pPr>
    </w:p>
    <w:p w14:paraId="0302F0F5">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115F3CE4">
      <w:pPr>
        <w:spacing w:line="360" w:lineRule="auto"/>
        <w:ind w:firstLine="420" w:firstLineChars="200"/>
        <w:jc w:val="left"/>
        <w:rPr>
          <w:rFonts w:ascii="仿宋_GB2312" w:hAnsi="仿宋_GB2312" w:eastAsia="仿宋_GB2312" w:cs="仿宋_GB2312"/>
          <w:color w:val="auto"/>
          <w:szCs w:val="21"/>
          <w:highlight w:val="none"/>
        </w:rPr>
      </w:pPr>
    </w:p>
    <w:p w14:paraId="01CE04A4">
      <w:pPr>
        <w:spacing w:line="360" w:lineRule="auto"/>
        <w:contextualSpacing/>
        <w:rPr>
          <w:rFonts w:ascii="宋体" w:hAnsi="宋体" w:cs="仿宋_GB2312"/>
          <w:color w:val="auto"/>
          <w:sz w:val="24"/>
          <w:highlight w:val="none"/>
        </w:rPr>
      </w:pPr>
    </w:p>
    <w:bookmarkEnd w:id="115"/>
    <w:p w14:paraId="62362927">
      <w:pPr>
        <w:spacing w:line="360" w:lineRule="auto"/>
        <w:jc w:val="center"/>
        <w:rPr>
          <w:rFonts w:ascii="宋体" w:hAnsi="宋体" w:cs="方正小标宋简体"/>
          <w:b/>
          <w:color w:val="auto"/>
          <w:sz w:val="32"/>
          <w:szCs w:val="32"/>
          <w:highlight w:val="none"/>
        </w:rPr>
      </w:pPr>
      <w:r>
        <w:rPr>
          <w:rFonts w:ascii="仿宋_GB2312" w:hAnsi="仿宋_GB2312" w:eastAsia="仿宋_GB2312" w:cs="仿宋_GB2312"/>
          <w:color w:val="auto"/>
          <w:sz w:val="32"/>
          <w:szCs w:val="32"/>
          <w:highlight w:val="none"/>
        </w:rPr>
        <w:br w:type="page"/>
      </w:r>
      <w:r>
        <w:rPr>
          <w:rFonts w:hint="eastAsia" w:ascii="宋体" w:hAnsi="宋体" w:cs="方正小标宋简体"/>
          <w:b/>
          <w:color w:val="auto"/>
          <w:sz w:val="32"/>
          <w:szCs w:val="32"/>
          <w:highlight w:val="none"/>
        </w:rPr>
        <w:t>建筑材料和设备节能环保要求承诺书</w:t>
      </w:r>
    </w:p>
    <w:p w14:paraId="1FD2A16A">
      <w:pPr>
        <w:spacing w:line="360" w:lineRule="auto"/>
        <w:jc w:val="center"/>
        <w:rPr>
          <w:rFonts w:ascii="宋体" w:hAnsi="宋体" w:cs="宋体"/>
          <w:color w:val="auto"/>
          <w:szCs w:val="21"/>
          <w:highlight w:val="none"/>
        </w:rPr>
      </w:pPr>
    </w:p>
    <w:p w14:paraId="4ACB16A0">
      <w:pPr>
        <w:spacing w:line="360" w:lineRule="auto"/>
        <w:ind w:firstLine="480" w:firstLineChars="200"/>
        <w:jc w:val="left"/>
        <w:rPr>
          <w:color w:val="auto"/>
          <w:sz w:val="24"/>
          <w:highlight w:val="none"/>
        </w:rPr>
      </w:pPr>
      <w:r>
        <w:rPr>
          <w:rFonts w:hint="eastAsia"/>
          <w:color w:val="auto"/>
          <w:sz w:val="24"/>
          <w:highlight w:val="none"/>
        </w:rPr>
        <w:t>我方承诺，一旦成交，我方保证严格执行</w:t>
      </w:r>
      <w:r>
        <w:rPr>
          <w:rFonts w:hint="eastAsia" w:cs="宋体"/>
          <w:color w:val="auto"/>
          <w:sz w:val="24"/>
          <w:highlight w:val="none"/>
        </w:rPr>
        <w:t>《财政部</w:t>
      </w:r>
      <w:r>
        <w:rPr>
          <w:rFonts w:cs="宋体"/>
          <w:color w:val="auto"/>
          <w:sz w:val="24"/>
          <w:highlight w:val="none"/>
        </w:rPr>
        <w:t xml:space="preserve"> </w:t>
      </w:r>
      <w:r>
        <w:rPr>
          <w:rFonts w:hint="eastAsia" w:cs="宋体"/>
          <w:color w:val="auto"/>
          <w:sz w:val="24"/>
          <w:highlight w:val="none"/>
        </w:rPr>
        <w:t>发展改革委</w:t>
      </w:r>
      <w:r>
        <w:rPr>
          <w:rFonts w:cs="宋体"/>
          <w:color w:val="auto"/>
          <w:sz w:val="24"/>
          <w:highlight w:val="none"/>
        </w:rPr>
        <w:t xml:space="preserve"> </w:t>
      </w:r>
      <w:r>
        <w:rPr>
          <w:rFonts w:hint="eastAsia" w:cs="宋体"/>
          <w:color w:val="auto"/>
          <w:sz w:val="24"/>
          <w:highlight w:val="none"/>
        </w:rPr>
        <w:t>生态环境部</w:t>
      </w:r>
      <w:r>
        <w:rPr>
          <w:rFonts w:cs="宋体"/>
          <w:color w:val="auto"/>
          <w:sz w:val="24"/>
          <w:highlight w:val="none"/>
        </w:rPr>
        <w:t xml:space="preserve"> </w:t>
      </w:r>
      <w:r>
        <w:rPr>
          <w:rFonts w:hint="eastAsia" w:cs="宋体"/>
          <w:color w:val="auto"/>
          <w:sz w:val="24"/>
          <w:highlight w:val="none"/>
        </w:rPr>
        <w:t>市场监管总局关于调整优化节能产品、环境标志产品政府采购执行机制的通知》（财库〔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9</w:t>
      </w:r>
      <w:r>
        <w:rPr>
          <w:rFonts w:hint="eastAsia" w:cs="宋体"/>
          <w:color w:val="auto"/>
          <w:sz w:val="24"/>
          <w:highlight w:val="none"/>
        </w:rPr>
        <w:t>号）和《关于印发节能产品政府采购品目清单的通知》（财库〔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号）的规定，所有工程中涉及的建筑材料和设备如属于财库〔</w:t>
      </w:r>
      <w:r>
        <w:rPr>
          <w:rFonts w:cs="宋体"/>
          <w:color w:val="auto"/>
          <w:sz w:val="24"/>
          <w:highlight w:val="none"/>
        </w:rPr>
        <w:t>2019</w:t>
      </w:r>
      <w:r>
        <w:rPr>
          <w:rFonts w:hint="eastAsia" w:cs="宋体"/>
          <w:color w:val="auto"/>
          <w:sz w:val="24"/>
          <w:highlight w:val="none"/>
        </w:rPr>
        <w:t>〕</w:t>
      </w:r>
      <w:r>
        <w:rPr>
          <w:rFonts w:cs="宋体"/>
          <w:color w:val="auto"/>
          <w:sz w:val="24"/>
          <w:highlight w:val="none"/>
        </w:rPr>
        <w:t>19</w:t>
      </w:r>
      <w:r>
        <w:rPr>
          <w:rFonts w:hint="eastAsia" w:cs="宋体"/>
          <w:color w:val="auto"/>
          <w:sz w:val="24"/>
          <w:highlight w:val="none"/>
        </w:rPr>
        <w:t>号文中《节能产品政府采购品目清单》内标注“★”的产品，都使用政府强制采购的节能产品。</w:t>
      </w:r>
      <w:r>
        <w:rPr>
          <w:rFonts w:hint="eastAsia"/>
          <w:color w:val="auto"/>
          <w:sz w:val="24"/>
          <w:highlight w:val="none"/>
        </w:rPr>
        <w:t>如我方在该项目的承包中出现未按规定执行的情形，我方愿意按照相关规定接受采购人及有关行政主管部门的处罚，愿意承担一切后果，并不再寻求任何旨在减轻或者免除法律责任的辩解。</w:t>
      </w:r>
    </w:p>
    <w:p w14:paraId="12C7DFC0">
      <w:pPr>
        <w:spacing w:line="360" w:lineRule="auto"/>
        <w:ind w:firstLine="480" w:firstLineChars="200"/>
        <w:jc w:val="center"/>
        <w:rPr>
          <w:color w:val="auto"/>
          <w:sz w:val="24"/>
          <w:highlight w:val="none"/>
        </w:rPr>
      </w:pPr>
    </w:p>
    <w:p w14:paraId="53CEE00E">
      <w:pPr>
        <w:spacing w:line="360" w:lineRule="auto"/>
        <w:contextualSpacing/>
        <w:rPr>
          <w:rFonts w:ascii="宋体" w:hAnsi="宋体" w:cs="仿宋_GB2312"/>
          <w:color w:val="auto"/>
          <w:sz w:val="24"/>
          <w:highlight w:val="none"/>
        </w:rPr>
      </w:pPr>
    </w:p>
    <w:p w14:paraId="4609451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p>
    <w:p w14:paraId="26435918">
      <w:pPr>
        <w:snapToGrid w:val="0"/>
        <w:spacing w:beforeLines="50" w:after="50"/>
        <w:jc w:val="left"/>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5701D46">
      <w:pPr>
        <w:snapToGrid w:val="0"/>
        <w:spacing w:beforeLines="50" w:after="50"/>
        <w:jc w:val="left"/>
        <w:rPr>
          <w:rFonts w:hint="eastAsia" w:ascii="宋体" w:hAnsi="宋体" w:cs="方正小标宋简体"/>
          <w:b/>
          <w:color w:val="auto"/>
          <w:sz w:val="32"/>
          <w:szCs w:val="32"/>
          <w:highlight w:val="none"/>
        </w:rPr>
      </w:pPr>
      <w:r>
        <w:rPr>
          <w:rFonts w:hint="eastAsia" w:ascii="宋体" w:hAnsi="宋体" w:cs="仿宋_GB2312"/>
          <w:color w:val="auto"/>
          <w:sz w:val="24"/>
          <w:highlight w:val="none"/>
        </w:rPr>
        <w:br w:type="page"/>
      </w:r>
      <w:r>
        <w:rPr>
          <w:rFonts w:hint="eastAsia" w:ascii="宋体" w:hAnsi="宋体" w:cs="仿宋_GB2312"/>
          <w:color w:val="auto"/>
          <w:sz w:val="24"/>
          <w:highlight w:val="none"/>
          <w:lang w:val="en-US" w:eastAsia="zh-CN"/>
        </w:rPr>
        <w:t xml:space="preserve">                    </w:t>
      </w:r>
      <w:r>
        <w:rPr>
          <w:rFonts w:hint="eastAsia" w:ascii="宋体" w:hAnsi="宋体" w:cs="方正小标宋简体"/>
          <w:b/>
          <w:color w:val="auto"/>
          <w:sz w:val="32"/>
          <w:szCs w:val="32"/>
          <w:highlight w:val="none"/>
        </w:rPr>
        <w:t>技术商务要求响应表</w:t>
      </w:r>
    </w:p>
    <w:p w14:paraId="7722BF1E">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7F0C2EA9">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1117"/>
        <w:gridCol w:w="2836"/>
        <w:gridCol w:w="2735"/>
        <w:gridCol w:w="1492"/>
      </w:tblGrid>
      <w:tr w14:paraId="342C6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0ECB4C5">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6" w:name="_Toc301781611"/>
            <w:bookmarkStart w:id="117" w:name="_Toc295404981"/>
            <w:bookmarkStart w:id="118" w:name="_Toc173211900"/>
            <w:bookmarkStart w:id="119" w:name="_Toc373333689"/>
            <w:bookmarkStart w:id="120" w:name="_Toc173066401"/>
            <w:bookmarkStart w:id="121" w:name="_Toc254970588"/>
            <w:bookmarkStart w:id="122" w:name="_Toc254970729"/>
            <w:bookmarkStart w:id="123" w:name="_Toc383699906"/>
            <w:bookmarkStart w:id="124" w:name="_Toc297193185"/>
            <w:r>
              <w:rPr>
                <w:rFonts w:hint="eastAsia" w:ascii="宋体" w:hAnsi="宋体" w:eastAsia="宋体" w:cs="仿宋_GB2312"/>
                <w:color w:val="auto"/>
                <w:kern w:val="2"/>
                <w:sz w:val="24"/>
                <w:szCs w:val="24"/>
                <w:highlight w:val="none"/>
                <w:lang w:val="en-US" w:eastAsia="zh-CN"/>
              </w:rPr>
              <w:t>序号</w:t>
            </w:r>
            <w:bookmarkEnd w:id="116"/>
            <w:bookmarkEnd w:id="117"/>
            <w:bookmarkEnd w:id="118"/>
            <w:bookmarkEnd w:id="119"/>
            <w:bookmarkEnd w:id="120"/>
            <w:bookmarkEnd w:id="121"/>
            <w:bookmarkEnd w:id="122"/>
            <w:bookmarkEnd w:id="123"/>
            <w:bookmarkEnd w:id="124"/>
          </w:p>
        </w:tc>
        <w:tc>
          <w:tcPr>
            <w:tcW w:w="614" w:type="pct"/>
            <w:tcBorders>
              <w:right w:val="single" w:color="auto" w:sz="4" w:space="0"/>
            </w:tcBorders>
            <w:noWrap w:val="0"/>
            <w:vAlign w:val="center"/>
          </w:tcPr>
          <w:p w14:paraId="4A132473">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1559" w:type="pct"/>
            <w:tcBorders>
              <w:left w:val="single" w:color="auto" w:sz="4" w:space="0"/>
            </w:tcBorders>
            <w:noWrap w:val="0"/>
            <w:vAlign w:val="center"/>
          </w:tcPr>
          <w:p w14:paraId="0A2710D4">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磋商文件要求</w:t>
            </w:r>
          </w:p>
        </w:tc>
        <w:tc>
          <w:tcPr>
            <w:tcW w:w="1503" w:type="pct"/>
            <w:noWrap w:val="0"/>
            <w:vAlign w:val="center"/>
          </w:tcPr>
          <w:p w14:paraId="7138ABB0">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5" w:name="_Toc173066403"/>
            <w:bookmarkStart w:id="126" w:name="_Toc254970731"/>
            <w:bookmarkStart w:id="127" w:name="_Toc297193187"/>
            <w:bookmarkStart w:id="128" w:name="_Toc173211902"/>
            <w:bookmarkStart w:id="129" w:name="_Toc301781613"/>
            <w:bookmarkStart w:id="130" w:name="_Toc373333691"/>
            <w:bookmarkStart w:id="131" w:name="_Toc295404983"/>
            <w:bookmarkStart w:id="132" w:name="_Toc383699908"/>
            <w:bookmarkStart w:id="133" w:name="_Toc254970590"/>
            <w:r>
              <w:rPr>
                <w:rFonts w:hint="eastAsia" w:ascii="宋体" w:hAnsi="宋体" w:eastAsia="宋体" w:cs="仿宋_GB2312"/>
                <w:color w:val="auto"/>
                <w:kern w:val="2"/>
                <w:sz w:val="24"/>
                <w:szCs w:val="24"/>
                <w:highlight w:val="none"/>
                <w:lang w:val="en-US" w:eastAsia="zh-CN"/>
              </w:rPr>
              <w:t>竞标响应</w:t>
            </w:r>
            <w:bookmarkEnd w:id="125"/>
            <w:bookmarkEnd w:id="126"/>
            <w:bookmarkEnd w:id="127"/>
            <w:bookmarkEnd w:id="128"/>
            <w:bookmarkEnd w:id="129"/>
            <w:bookmarkEnd w:id="130"/>
            <w:bookmarkEnd w:id="131"/>
            <w:bookmarkEnd w:id="132"/>
            <w:bookmarkEnd w:id="133"/>
          </w:p>
        </w:tc>
        <w:tc>
          <w:tcPr>
            <w:tcW w:w="820" w:type="pct"/>
            <w:noWrap w:val="0"/>
            <w:vAlign w:val="center"/>
          </w:tcPr>
          <w:p w14:paraId="54DB0BD8">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34" w:name="_Toc295404984"/>
            <w:bookmarkStart w:id="135" w:name="_Toc297193188"/>
            <w:bookmarkStart w:id="136" w:name="_Toc254970591"/>
            <w:bookmarkStart w:id="137" w:name="_Toc301781614"/>
            <w:bookmarkStart w:id="138" w:name="_Toc383699909"/>
            <w:bookmarkStart w:id="139" w:name="_Toc373333692"/>
            <w:bookmarkStart w:id="140" w:name="_Toc173066404"/>
            <w:bookmarkStart w:id="141" w:name="_Toc254970732"/>
            <w:bookmarkStart w:id="142" w:name="_Toc173211903"/>
            <w:r>
              <w:rPr>
                <w:rFonts w:hint="eastAsia" w:ascii="宋体" w:hAnsi="宋体" w:eastAsia="宋体" w:cs="仿宋_GB2312"/>
                <w:color w:val="auto"/>
                <w:kern w:val="2"/>
                <w:sz w:val="24"/>
                <w:szCs w:val="24"/>
                <w:highlight w:val="none"/>
                <w:lang w:val="en-US" w:eastAsia="zh-CN"/>
              </w:rPr>
              <w:t>偏离</w:t>
            </w:r>
            <w:bookmarkEnd w:id="134"/>
            <w:bookmarkEnd w:id="135"/>
            <w:bookmarkEnd w:id="136"/>
            <w:bookmarkEnd w:id="137"/>
            <w:bookmarkEnd w:id="138"/>
            <w:bookmarkEnd w:id="139"/>
            <w:bookmarkEnd w:id="140"/>
            <w:bookmarkEnd w:id="141"/>
            <w:bookmarkEnd w:id="142"/>
            <w:bookmarkStart w:id="143" w:name="_Toc373333693"/>
            <w:bookmarkStart w:id="144" w:name="_Toc301781615"/>
            <w:bookmarkStart w:id="145" w:name="_Toc383699910"/>
            <w:bookmarkStart w:id="146" w:name="_Toc173066405"/>
            <w:bookmarkStart w:id="147" w:name="_Toc297193189"/>
            <w:bookmarkStart w:id="148" w:name="_Toc295404985"/>
            <w:bookmarkStart w:id="149" w:name="_Toc254970733"/>
            <w:bookmarkStart w:id="150" w:name="_Toc254970592"/>
            <w:bookmarkStart w:id="151" w:name="_Toc173211904"/>
            <w:r>
              <w:rPr>
                <w:rFonts w:hint="eastAsia" w:ascii="宋体" w:hAnsi="宋体" w:eastAsia="宋体" w:cs="仿宋_GB2312"/>
                <w:color w:val="auto"/>
                <w:kern w:val="2"/>
                <w:sz w:val="24"/>
                <w:szCs w:val="24"/>
                <w:highlight w:val="none"/>
                <w:lang w:val="en-US" w:eastAsia="zh-CN"/>
              </w:rPr>
              <w:t>说明</w:t>
            </w:r>
            <w:bookmarkEnd w:id="143"/>
            <w:bookmarkEnd w:id="144"/>
            <w:bookmarkEnd w:id="145"/>
            <w:bookmarkEnd w:id="146"/>
            <w:bookmarkEnd w:id="147"/>
            <w:bookmarkEnd w:id="148"/>
            <w:bookmarkEnd w:id="149"/>
            <w:bookmarkEnd w:id="150"/>
            <w:bookmarkEnd w:id="151"/>
          </w:p>
        </w:tc>
      </w:tr>
      <w:tr w14:paraId="03561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1422F01">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52" w:name="_Toc297193190"/>
            <w:bookmarkStart w:id="153" w:name="_Toc254970734"/>
            <w:bookmarkStart w:id="154" w:name="_Toc254970593"/>
            <w:bookmarkStart w:id="155" w:name="_Toc295404986"/>
            <w:bookmarkStart w:id="156" w:name="_Toc173066406"/>
            <w:bookmarkStart w:id="157" w:name="_Toc383699911"/>
            <w:bookmarkStart w:id="158" w:name="_Toc301781616"/>
            <w:bookmarkStart w:id="159" w:name="_Toc173211905"/>
            <w:bookmarkStart w:id="160" w:name="_Toc373333694"/>
            <w:r>
              <w:rPr>
                <w:rFonts w:hint="eastAsia" w:ascii="宋体" w:hAnsi="宋体" w:eastAsia="宋体" w:cs="仿宋_GB2312"/>
                <w:color w:val="auto"/>
                <w:kern w:val="2"/>
                <w:sz w:val="24"/>
                <w:szCs w:val="24"/>
                <w:highlight w:val="none"/>
                <w:lang w:val="en-US" w:eastAsia="zh-CN"/>
              </w:rPr>
              <w:t>1</w:t>
            </w:r>
            <w:bookmarkEnd w:id="152"/>
            <w:bookmarkEnd w:id="153"/>
            <w:bookmarkEnd w:id="154"/>
            <w:bookmarkEnd w:id="155"/>
            <w:bookmarkEnd w:id="156"/>
            <w:bookmarkEnd w:id="157"/>
            <w:bookmarkEnd w:id="158"/>
            <w:bookmarkEnd w:id="159"/>
            <w:bookmarkEnd w:id="160"/>
          </w:p>
        </w:tc>
        <w:tc>
          <w:tcPr>
            <w:tcW w:w="614" w:type="pct"/>
            <w:tcBorders>
              <w:right w:val="single" w:color="auto" w:sz="4" w:space="0"/>
            </w:tcBorders>
            <w:noWrap w:val="0"/>
            <w:vAlign w:val="center"/>
          </w:tcPr>
          <w:p w14:paraId="4BFD6A00">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一、建设地点：</w:t>
            </w:r>
          </w:p>
        </w:tc>
        <w:tc>
          <w:tcPr>
            <w:tcW w:w="1559" w:type="pct"/>
            <w:tcBorders>
              <w:left w:val="single" w:color="auto" w:sz="4" w:space="0"/>
            </w:tcBorders>
            <w:noWrap w:val="0"/>
            <w:vAlign w:val="center"/>
          </w:tcPr>
          <w:p w14:paraId="4D3F810E">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07470799">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7092E65F">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14E8C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DFCAAED">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61" w:name="_Toc173211906"/>
            <w:bookmarkStart w:id="162" w:name="_Toc297193191"/>
            <w:bookmarkStart w:id="163" w:name="_Toc383699912"/>
            <w:bookmarkStart w:id="164" w:name="_Toc254970735"/>
            <w:bookmarkStart w:id="165" w:name="_Toc173066407"/>
            <w:bookmarkStart w:id="166" w:name="_Toc301781617"/>
            <w:bookmarkStart w:id="167" w:name="_Toc295404987"/>
            <w:bookmarkStart w:id="168" w:name="_Toc373333695"/>
            <w:bookmarkStart w:id="169" w:name="_Toc254970594"/>
            <w:r>
              <w:rPr>
                <w:rFonts w:hint="eastAsia" w:ascii="宋体" w:hAnsi="宋体" w:eastAsia="宋体" w:cs="仿宋_GB2312"/>
                <w:color w:val="auto"/>
                <w:kern w:val="2"/>
                <w:sz w:val="24"/>
                <w:szCs w:val="24"/>
                <w:highlight w:val="none"/>
                <w:lang w:val="en-US" w:eastAsia="zh-CN"/>
              </w:rPr>
              <w:t>2</w:t>
            </w:r>
            <w:bookmarkEnd w:id="161"/>
            <w:bookmarkEnd w:id="162"/>
            <w:bookmarkEnd w:id="163"/>
            <w:bookmarkEnd w:id="164"/>
            <w:bookmarkEnd w:id="165"/>
            <w:bookmarkEnd w:id="166"/>
            <w:bookmarkEnd w:id="167"/>
            <w:bookmarkEnd w:id="168"/>
            <w:bookmarkEnd w:id="169"/>
          </w:p>
        </w:tc>
        <w:tc>
          <w:tcPr>
            <w:tcW w:w="614" w:type="pct"/>
            <w:tcBorders>
              <w:right w:val="single" w:color="auto" w:sz="4" w:space="0"/>
            </w:tcBorders>
            <w:noWrap w:val="0"/>
            <w:vAlign w:val="center"/>
          </w:tcPr>
          <w:p w14:paraId="2272EAA3">
            <w:pPr>
              <w:pStyle w:val="20"/>
              <w:spacing w:line="360" w:lineRule="auto"/>
              <w:ind w:firstLine="0" w:firstLineChars="0"/>
              <w:contextualSpacing/>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1559" w:type="pct"/>
            <w:tcBorders>
              <w:left w:val="single" w:color="auto" w:sz="4" w:space="0"/>
            </w:tcBorders>
            <w:noWrap w:val="0"/>
            <w:vAlign w:val="center"/>
          </w:tcPr>
          <w:p w14:paraId="221111DD">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4673B608">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59D91911">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57CDF5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F4C5787">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70" w:name="_Toc254970595"/>
            <w:bookmarkStart w:id="171" w:name="_Toc373333696"/>
            <w:bookmarkStart w:id="172" w:name="_Toc295404988"/>
            <w:bookmarkStart w:id="173" w:name="_Toc254970736"/>
            <w:bookmarkStart w:id="174" w:name="_Toc301781618"/>
            <w:bookmarkStart w:id="175" w:name="_Toc383699913"/>
            <w:bookmarkStart w:id="176" w:name="_Toc297193192"/>
            <w:bookmarkStart w:id="177" w:name="_Toc173211907"/>
            <w:bookmarkStart w:id="178" w:name="_Toc173066408"/>
            <w:r>
              <w:rPr>
                <w:rFonts w:hint="eastAsia" w:ascii="宋体" w:hAnsi="宋体" w:eastAsia="宋体" w:cs="仿宋_GB2312"/>
                <w:color w:val="auto"/>
                <w:kern w:val="2"/>
                <w:sz w:val="24"/>
                <w:szCs w:val="24"/>
                <w:highlight w:val="none"/>
                <w:lang w:val="en-US" w:eastAsia="zh-CN"/>
              </w:rPr>
              <w:t>3</w:t>
            </w:r>
            <w:bookmarkEnd w:id="170"/>
            <w:bookmarkEnd w:id="171"/>
            <w:bookmarkEnd w:id="172"/>
            <w:bookmarkEnd w:id="173"/>
            <w:bookmarkEnd w:id="174"/>
            <w:bookmarkEnd w:id="175"/>
            <w:bookmarkEnd w:id="176"/>
            <w:bookmarkEnd w:id="177"/>
            <w:bookmarkEnd w:id="178"/>
          </w:p>
        </w:tc>
        <w:tc>
          <w:tcPr>
            <w:tcW w:w="614" w:type="pct"/>
            <w:tcBorders>
              <w:right w:val="single" w:color="auto" w:sz="4" w:space="0"/>
            </w:tcBorders>
            <w:noWrap w:val="0"/>
            <w:vAlign w:val="center"/>
          </w:tcPr>
          <w:p w14:paraId="76D1CCB5">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59" w:type="pct"/>
            <w:tcBorders>
              <w:left w:val="single" w:color="auto" w:sz="4" w:space="0"/>
            </w:tcBorders>
            <w:noWrap w:val="0"/>
            <w:vAlign w:val="center"/>
          </w:tcPr>
          <w:p w14:paraId="67E42E1F">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04962470">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714551FD">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52ACA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AE580F1">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79" w:name="_Toc254970737"/>
            <w:bookmarkStart w:id="180" w:name="_Toc373333697"/>
            <w:bookmarkStart w:id="181" w:name="_Toc297193193"/>
            <w:bookmarkStart w:id="182" w:name="_Toc295404989"/>
            <w:bookmarkStart w:id="183" w:name="_Toc383699914"/>
            <w:bookmarkStart w:id="184" w:name="_Toc301781619"/>
            <w:bookmarkStart w:id="185" w:name="_Toc173211908"/>
            <w:bookmarkStart w:id="186" w:name="_Toc254970596"/>
            <w:bookmarkStart w:id="187" w:name="_Toc173066409"/>
            <w:r>
              <w:rPr>
                <w:rFonts w:hint="eastAsia" w:ascii="宋体" w:hAnsi="宋体" w:eastAsia="宋体" w:cs="仿宋_GB2312"/>
                <w:color w:val="auto"/>
                <w:kern w:val="2"/>
                <w:sz w:val="24"/>
                <w:szCs w:val="24"/>
                <w:highlight w:val="none"/>
                <w:lang w:val="en-US" w:eastAsia="zh-CN"/>
              </w:rPr>
              <w:t>4</w:t>
            </w:r>
            <w:bookmarkEnd w:id="179"/>
            <w:bookmarkEnd w:id="180"/>
            <w:bookmarkEnd w:id="181"/>
            <w:bookmarkEnd w:id="182"/>
            <w:bookmarkEnd w:id="183"/>
            <w:bookmarkEnd w:id="184"/>
            <w:bookmarkEnd w:id="185"/>
            <w:bookmarkEnd w:id="186"/>
            <w:bookmarkEnd w:id="187"/>
          </w:p>
        </w:tc>
        <w:tc>
          <w:tcPr>
            <w:tcW w:w="614" w:type="pct"/>
            <w:tcBorders>
              <w:right w:val="single" w:color="auto" w:sz="4" w:space="0"/>
            </w:tcBorders>
            <w:noWrap w:val="0"/>
            <w:vAlign w:val="center"/>
          </w:tcPr>
          <w:p w14:paraId="26A93CFB">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▲计划工期</w:t>
            </w:r>
          </w:p>
        </w:tc>
        <w:tc>
          <w:tcPr>
            <w:tcW w:w="1559" w:type="pct"/>
            <w:tcBorders>
              <w:left w:val="single" w:color="auto" w:sz="4" w:space="0"/>
            </w:tcBorders>
            <w:noWrap w:val="0"/>
            <w:vAlign w:val="center"/>
          </w:tcPr>
          <w:p w14:paraId="58A31BDF">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5DF54D98">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16753CD5">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00BFD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27C8C87">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88" w:name="_Toc297193194"/>
            <w:bookmarkStart w:id="189" w:name="_Toc173211909"/>
            <w:bookmarkStart w:id="190" w:name="_Toc254970738"/>
            <w:bookmarkStart w:id="191" w:name="_Toc383699915"/>
            <w:bookmarkStart w:id="192" w:name="_Toc173066410"/>
            <w:bookmarkStart w:id="193" w:name="_Toc254970597"/>
            <w:bookmarkStart w:id="194" w:name="_Toc373333698"/>
            <w:bookmarkStart w:id="195" w:name="_Toc301781620"/>
            <w:bookmarkStart w:id="196" w:name="_Toc295404990"/>
            <w:r>
              <w:rPr>
                <w:rFonts w:hint="eastAsia" w:ascii="宋体" w:hAnsi="宋体" w:eastAsia="宋体" w:cs="仿宋_GB2312"/>
                <w:color w:val="auto"/>
                <w:kern w:val="2"/>
                <w:sz w:val="24"/>
                <w:szCs w:val="24"/>
                <w:highlight w:val="none"/>
                <w:lang w:val="en-US" w:eastAsia="zh-CN"/>
              </w:rPr>
              <w:t>5</w:t>
            </w:r>
            <w:bookmarkEnd w:id="188"/>
            <w:bookmarkEnd w:id="189"/>
            <w:bookmarkEnd w:id="190"/>
            <w:bookmarkEnd w:id="191"/>
            <w:bookmarkEnd w:id="192"/>
            <w:bookmarkEnd w:id="193"/>
            <w:bookmarkEnd w:id="194"/>
            <w:bookmarkEnd w:id="195"/>
            <w:bookmarkEnd w:id="196"/>
          </w:p>
        </w:tc>
        <w:tc>
          <w:tcPr>
            <w:tcW w:w="614" w:type="pct"/>
            <w:tcBorders>
              <w:right w:val="single" w:color="auto" w:sz="4" w:space="0"/>
            </w:tcBorders>
            <w:noWrap w:val="0"/>
            <w:vAlign w:val="center"/>
          </w:tcPr>
          <w:p w14:paraId="6E8C12B1">
            <w:pPr>
              <w:pStyle w:val="20"/>
              <w:spacing w:line="360" w:lineRule="auto"/>
              <w:ind w:firstLine="0" w:firstLineChars="0"/>
              <w:contextualSpacing/>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1559" w:type="pct"/>
            <w:tcBorders>
              <w:left w:val="single" w:color="auto" w:sz="4" w:space="0"/>
            </w:tcBorders>
            <w:noWrap w:val="0"/>
            <w:vAlign w:val="center"/>
          </w:tcPr>
          <w:p w14:paraId="7D6021F8">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152D0B36">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067D3460">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4E1E42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4B961FB8">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97" w:name="_Toc301781621"/>
            <w:bookmarkStart w:id="198" w:name="_Toc373333699"/>
            <w:bookmarkStart w:id="199" w:name="_Toc254970602"/>
            <w:bookmarkStart w:id="200" w:name="_Toc297193195"/>
            <w:bookmarkStart w:id="201" w:name="_Toc383699916"/>
            <w:bookmarkStart w:id="202" w:name="_Toc254970743"/>
            <w:bookmarkStart w:id="203" w:name="_Toc173211914"/>
            <w:bookmarkStart w:id="204" w:name="_Toc173066415"/>
            <w:bookmarkStart w:id="205" w:name="_Toc295404991"/>
            <w:r>
              <w:rPr>
                <w:rFonts w:hint="eastAsia" w:ascii="宋体" w:hAnsi="宋体" w:eastAsia="宋体" w:cs="仿宋_GB2312"/>
                <w:color w:val="auto"/>
                <w:kern w:val="2"/>
                <w:sz w:val="24"/>
                <w:szCs w:val="24"/>
                <w:highlight w:val="none"/>
                <w:lang w:val="en-US" w:eastAsia="zh-CN"/>
              </w:rPr>
              <w:t>…</w:t>
            </w:r>
            <w:bookmarkEnd w:id="197"/>
            <w:bookmarkEnd w:id="198"/>
            <w:bookmarkEnd w:id="199"/>
            <w:bookmarkEnd w:id="200"/>
            <w:bookmarkEnd w:id="201"/>
            <w:bookmarkEnd w:id="202"/>
            <w:bookmarkEnd w:id="203"/>
            <w:bookmarkEnd w:id="204"/>
            <w:bookmarkEnd w:id="205"/>
          </w:p>
        </w:tc>
        <w:tc>
          <w:tcPr>
            <w:tcW w:w="614" w:type="pct"/>
            <w:tcBorders>
              <w:right w:val="single" w:color="auto" w:sz="4" w:space="0"/>
            </w:tcBorders>
            <w:noWrap w:val="0"/>
            <w:vAlign w:val="center"/>
          </w:tcPr>
          <w:p w14:paraId="6DF736DE">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59" w:type="pct"/>
            <w:tcBorders>
              <w:left w:val="single" w:color="auto" w:sz="4" w:space="0"/>
            </w:tcBorders>
            <w:noWrap w:val="0"/>
            <w:vAlign w:val="center"/>
          </w:tcPr>
          <w:p w14:paraId="2DF5DB65">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3745FB02">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820" w:type="pct"/>
            <w:tcBorders>
              <w:right w:val="single" w:color="auto" w:sz="4" w:space="0"/>
            </w:tcBorders>
            <w:noWrap w:val="0"/>
            <w:vAlign w:val="center"/>
          </w:tcPr>
          <w:p w14:paraId="5987F34B">
            <w:pPr>
              <w:pStyle w:val="20"/>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14:paraId="07F96226">
      <w:pPr>
        <w:adjustRightInd w:val="0"/>
        <w:spacing w:line="360" w:lineRule="auto"/>
        <w:contextualSpacing/>
        <w:rPr>
          <w:rFonts w:hint="eastAsia" w:ascii="宋体" w:hAnsi="宋体" w:cs="仿宋_GB2312"/>
          <w:color w:val="auto"/>
          <w:sz w:val="24"/>
          <w:highlight w:val="none"/>
        </w:rPr>
      </w:pPr>
    </w:p>
    <w:p w14:paraId="6E902DC3">
      <w:pPr>
        <w:pStyle w:val="2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CADD461">
      <w:pPr>
        <w:pStyle w:val="2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采购需求”中的所有要求逐条作出明确响应，并作出偏离说明。</w:t>
      </w:r>
    </w:p>
    <w:p w14:paraId="2FBD8A12">
      <w:pPr>
        <w:pStyle w:val="2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411B1477">
      <w:pPr>
        <w:spacing w:line="360" w:lineRule="auto"/>
        <w:ind w:right="-817" w:rightChars="-389"/>
        <w:contextualSpacing/>
        <w:rPr>
          <w:rFonts w:hint="eastAsia" w:ascii="宋体" w:hAnsi="宋体" w:cs="仿宋_GB2312"/>
          <w:color w:val="auto"/>
          <w:sz w:val="24"/>
          <w:highlight w:val="none"/>
        </w:rPr>
      </w:pPr>
    </w:p>
    <w:p w14:paraId="70DCFCD8">
      <w:pPr>
        <w:spacing w:line="360" w:lineRule="auto"/>
        <w:ind w:right="-817" w:rightChars="-389"/>
        <w:contextualSpacing/>
        <w:jc w:val="both"/>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r>
        <w:rPr>
          <w:rFonts w:hint="eastAsia" w:ascii="宋体" w:hAnsi="宋体" w:cs="仿宋_GB2312"/>
          <w:color w:val="auto"/>
          <w:sz w:val="24"/>
          <w:highlight w:val="none"/>
          <w:u w:val="single"/>
        </w:rPr>
        <w:t xml:space="preserve">                 </w:t>
      </w:r>
    </w:p>
    <w:p w14:paraId="74BA206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EC8DFA5">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6FBB82B">
      <w:pP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br w:type="page"/>
      </w:r>
    </w:p>
    <w:p w14:paraId="26AC7E6D">
      <w:pPr>
        <w:widowControl w:val="0"/>
        <w:jc w:val="center"/>
        <w:outlineLvl w:val="0"/>
        <w:rPr>
          <w:rFonts w:ascii="Times New Roman" w:hAnsi="Times New Roman" w:eastAsia="宋体" w:cs="宋体"/>
          <w:b/>
          <w:bCs/>
          <w:color w:val="auto"/>
          <w:kern w:val="2"/>
          <w:sz w:val="28"/>
          <w:szCs w:val="28"/>
          <w:highlight w:val="none"/>
          <w:lang w:val="en-US" w:eastAsia="zh-CN" w:bidi="ar-SA"/>
        </w:rPr>
      </w:pPr>
      <w:r>
        <w:rPr>
          <w:rFonts w:hint="eastAsia" w:ascii="Times New Roman" w:hAnsi="Times New Roman" w:eastAsia="宋体" w:cs="宋体"/>
          <w:b/>
          <w:bCs/>
          <w:color w:val="auto"/>
          <w:kern w:val="2"/>
          <w:sz w:val="28"/>
          <w:szCs w:val="28"/>
          <w:highlight w:val="none"/>
          <w:lang w:val="en-US" w:eastAsia="zh-CN" w:bidi="ar-SA"/>
        </w:rPr>
        <w:t>建设工程项目管理承诺书</w:t>
      </w:r>
    </w:p>
    <w:p w14:paraId="0C2EBA81">
      <w:pPr>
        <w:spacing w:line="480" w:lineRule="auto"/>
        <w:jc w:val="left"/>
        <w:rPr>
          <w:color w:val="auto"/>
          <w:highlight w:val="none"/>
        </w:rPr>
      </w:pPr>
    </w:p>
    <w:p w14:paraId="58DA55F5">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（采购人名称）：</w:t>
      </w:r>
    </w:p>
    <w:p w14:paraId="2021C040">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（工程名称）项目的供应商，根据国家、自治区相关文件规定，我方在此向采购人承诺：</w:t>
      </w:r>
    </w:p>
    <w:p w14:paraId="6E65E000">
      <w:pPr>
        <w:spacing w:line="520" w:lineRule="exact"/>
        <w:ind w:left="-10" w:firstLine="455" w:firstLineChars="217"/>
        <w:jc w:val="left"/>
        <w:rPr>
          <w:color w:val="auto"/>
          <w:highlight w:val="none"/>
        </w:rPr>
      </w:pPr>
      <w:r>
        <w:rPr>
          <w:color w:val="auto"/>
          <w:highlight w:val="none"/>
        </w:rPr>
        <w:t>1、一旦</w:t>
      </w:r>
      <w:r>
        <w:rPr>
          <w:rFonts w:hint="eastAsia"/>
          <w:color w:val="auto"/>
          <w:highlight w:val="none"/>
        </w:rPr>
        <w:t>成交</w:t>
      </w:r>
      <w:r>
        <w:rPr>
          <w:color w:val="auto"/>
          <w:highlight w:val="none"/>
        </w:rPr>
        <w:t>，我方保证按照政府相关部门的规定，</w:t>
      </w:r>
      <w:r>
        <w:rPr>
          <w:rFonts w:hint="eastAsia" w:ascii="宋体" w:hAnsi="宋体"/>
          <w:color w:val="auto"/>
          <w:highlight w:val="none"/>
        </w:rPr>
        <w:t>在成交后7个工作日内，按照《保障农民工工资支付条例》规定及广西壮族自治区有关规定开设农民工工资专用账户，并按要求比例将农民工工资保证金存入</w:t>
      </w:r>
      <w:r>
        <w:rPr>
          <w:rFonts w:hint="eastAsia" w:ascii="宋体" w:hAnsi="宋体"/>
          <w:color w:val="auto"/>
          <w:highlight w:val="none"/>
          <w:lang w:val="en-US" w:eastAsia="zh-CN"/>
        </w:rPr>
        <w:t>账</w:t>
      </w:r>
      <w:r>
        <w:rPr>
          <w:rFonts w:hint="eastAsia" w:ascii="宋体" w:hAnsi="宋体"/>
          <w:color w:val="auto"/>
          <w:highlight w:val="none"/>
        </w:rPr>
        <w:t>户</w:t>
      </w:r>
      <w:r>
        <w:rPr>
          <w:rFonts w:hint="eastAsia"/>
          <w:color w:val="auto"/>
          <w:highlight w:val="none"/>
        </w:rPr>
        <w:t>，专项用于支付本工程提供劳动的农民工被拖欠的工资。</w:t>
      </w:r>
      <w:r>
        <w:rPr>
          <w:color w:val="auto"/>
          <w:highlight w:val="none"/>
        </w:rPr>
        <w:t>按照与农民工依法约定的工资支付周期和具体支付日期支付工资</w:t>
      </w:r>
      <w:r>
        <w:rPr>
          <w:rFonts w:hint="eastAsia"/>
          <w:color w:val="auto"/>
          <w:highlight w:val="none"/>
        </w:rPr>
        <w:t>，保证</w:t>
      </w:r>
      <w:r>
        <w:rPr>
          <w:color w:val="auto"/>
          <w:highlight w:val="none"/>
        </w:rPr>
        <w:t>每月至少向农民工足额支付一次工资。</w:t>
      </w:r>
    </w:p>
    <w:p w14:paraId="4AE0B187">
      <w:pPr>
        <w:spacing w:line="520" w:lineRule="exact"/>
        <w:ind w:left="-10" w:firstLine="455" w:firstLineChars="217"/>
        <w:jc w:val="left"/>
        <w:rPr>
          <w:color w:val="auto"/>
          <w:highlight w:val="none"/>
        </w:rPr>
      </w:pPr>
      <w:r>
        <w:rPr>
          <w:color w:val="auto"/>
          <w:highlight w:val="none"/>
        </w:rPr>
        <w:t>2、一旦</w:t>
      </w:r>
      <w:r>
        <w:rPr>
          <w:rFonts w:hint="eastAsia"/>
          <w:color w:val="auto"/>
          <w:highlight w:val="none"/>
        </w:rPr>
        <w:t>成交</w:t>
      </w:r>
      <w:r>
        <w:rPr>
          <w:color w:val="auto"/>
          <w:highlight w:val="none"/>
        </w:rPr>
        <w:t>，我方保证在施工过程中，严格执行《广西壮族自治区建筑工程安全文明施工费使用管理细则》（桂建质〔20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号）的有关规定，确保建设工程各项安全防护、文明施工措施落实到位。如我方在该项目的承包中出现未按桂建质〔20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号文附件一规定执行的情形，我方愿意按照相关规定接受建设单位及有关主管部门的处罚。</w:t>
      </w:r>
    </w:p>
    <w:p w14:paraId="55D969F9">
      <w:pPr>
        <w:spacing w:line="520" w:lineRule="exact"/>
        <w:ind w:left="-2" w:leftChars="-1" w:firstLine="449" w:firstLineChars="214"/>
        <w:jc w:val="left"/>
        <w:rPr>
          <w:color w:val="auto"/>
          <w:highlight w:val="none"/>
        </w:rPr>
      </w:pPr>
      <w:r>
        <w:rPr>
          <w:color w:val="auto"/>
          <w:highlight w:val="none"/>
        </w:rPr>
        <w:t>3、一旦</w:t>
      </w:r>
      <w:r>
        <w:rPr>
          <w:rFonts w:hint="eastAsia"/>
          <w:color w:val="auto"/>
          <w:highlight w:val="none"/>
        </w:rPr>
        <w:t>成交</w:t>
      </w:r>
      <w:r>
        <w:rPr>
          <w:color w:val="auto"/>
          <w:highlight w:val="none"/>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D8A7857">
      <w:pPr>
        <w:spacing w:line="520" w:lineRule="exact"/>
        <w:ind w:left="-10" w:firstLine="455" w:firstLineChars="217"/>
        <w:jc w:val="left"/>
        <w:rPr>
          <w:color w:val="auto"/>
          <w:highlight w:val="none"/>
        </w:rPr>
      </w:pPr>
      <w:r>
        <w:rPr>
          <w:rFonts w:hint="eastAsia"/>
          <w:color w:val="auto"/>
          <w:highlight w:val="none"/>
        </w:rPr>
        <w:t>4、一旦成交，我方保证在施工过程中，严格执行《关于禁止使用不符合规范要求的竹脚手架的通知》（</w:t>
      </w:r>
      <w:r>
        <w:rPr>
          <w:color w:val="auto"/>
          <w:highlight w:val="none"/>
        </w:rPr>
        <w:t>桂建</w:t>
      </w:r>
      <w:r>
        <w:rPr>
          <w:rFonts w:hint="eastAsia"/>
          <w:color w:val="auto"/>
          <w:highlight w:val="none"/>
        </w:rPr>
        <w:t>管字</w:t>
      </w:r>
      <w:r>
        <w:rPr>
          <w:color w:val="auto"/>
          <w:highlight w:val="none"/>
        </w:rPr>
        <w:t>〔200</w:t>
      </w:r>
      <w:r>
        <w:rPr>
          <w:rFonts w:hint="eastAsia"/>
          <w:color w:val="auto"/>
          <w:highlight w:val="none"/>
        </w:rPr>
        <w:t>3</w:t>
      </w:r>
      <w:r>
        <w:rPr>
          <w:color w:val="auto"/>
          <w:highlight w:val="none"/>
        </w:rPr>
        <w:t>〕</w:t>
      </w:r>
      <w:r>
        <w:rPr>
          <w:rFonts w:hint="eastAsia"/>
          <w:color w:val="auto"/>
          <w:highlight w:val="none"/>
        </w:rPr>
        <w:t>40</w:t>
      </w:r>
      <w:r>
        <w:rPr>
          <w:color w:val="auto"/>
          <w:highlight w:val="none"/>
        </w:rPr>
        <w:t>号</w:t>
      </w:r>
      <w:r>
        <w:rPr>
          <w:rFonts w:hint="eastAsia"/>
          <w:color w:val="auto"/>
          <w:highlight w:val="none"/>
        </w:rPr>
        <w:t>）的有关规定，不使用竹脚手架。如我方在该</w:t>
      </w:r>
      <w:r>
        <w:rPr>
          <w:color w:val="auto"/>
          <w:highlight w:val="none"/>
        </w:rPr>
        <w:t>项目的承包中出现未按规定执行的情形，我方愿意按照相关规定接受建设单位及有关主管部门的处罚。</w:t>
      </w:r>
    </w:p>
    <w:p w14:paraId="17341643">
      <w:pPr>
        <w:spacing w:line="520" w:lineRule="exact"/>
        <w:ind w:left="-10" w:firstLine="455" w:firstLineChars="217"/>
        <w:jc w:val="left"/>
        <w:rPr>
          <w:rFonts w:hint="eastAsia"/>
          <w:color w:val="auto"/>
          <w:highlight w:val="none"/>
        </w:rPr>
      </w:pPr>
      <w:r>
        <w:rPr>
          <w:rFonts w:hint="eastAsia"/>
          <w:color w:val="auto"/>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594E06E">
      <w:pPr>
        <w:spacing w:line="520" w:lineRule="exact"/>
        <w:jc w:val="left"/>
        <w:rPr>
          <w:color w:val="auto"/>
          <w:highlight w:val="none"/>
        </w:rPr>
      </w:pPr>
    </w:p>
    <w:p w14:paraId="5AED4C39">
      <w:pPr>
        <w:spacing w:line="360" w:lineRule="auto"/>
        <w:ind w:firstLine="4410" w:firstLineChars="2100"/>
        <w:jc w:val="left"/>
        <w:rPr>
          <w:rFonts w:cs="宋体"/>
          <w:color w:val="auto"/>
          <w:highlight w:val="none"/>
          <w:u w:val="single"/>
        </w:rPr>
      </w:pPr>
      <w:r>
        <w:rPr>
          <w:rFonts w:hint="eastAsia" w:cs="宋体"/>
          <w:color w:val="auto"/>
          <w:highlight w:val="none"/>
        </w:rPr>
        <w:t>供应商：</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s="宋体"/>
          <w:color w:val="auto"/>
          <w:highlight w:val="none"/>
          <w:u w:val="single"/>
        </w:rPr>
        <w:t>（电子签章）</w:t>
      </w:r>
    </w:p>
    <w:p w14:paraId="24DEE38B">
      <w:pPr>
        <w:spacing w:line="360" w:lineRule="auto"/>
        <w:ind w:firstLine="4410" w:firstLineChars="2100"/>
        <w:jc w:val="left"/>
        <w:rPr>
          <w:rFonts w:hint="eastAsia"/>
          <w:color w:val="auto"/>
          <w:highlight w:val="none"/>
          <w:u w:val="single"/>
        </w:rPr>
      </w:pPr>
    </w:p>
    <w:p w14:paraId="3B381905">
      <w:pPr>
        <w:ind w:firstLine="4410" w:firstLineChars="2100"/>
        <w:rPr>
          <w:rFonts w:hint="eastAsia" w:ascii="方正小标宋简体" w:hAnsi="方正小标宋简体" w:eastAsia="方正小标宋简体" w:cs="方正小标宋简体"/>
          <w:bCs/>
          <w:color w:val="auto"/>
          <w:sz w:val="32"/>
          <w:szCs w:val="32"/>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r>
        <w:rPr>
          <w:color w:val="auto"/>
          <w:highlight w:val="none"/>
        </w:rPr>
        <w:br w:type="page"/>
      </w:r>
    </w:p>
    <w:p w14:paraId="3764E108">
      <w:pPr>
        <w:spacing w:line="360" w:lineRule="auto"/>
        <w:ind w:firstLine="643" w:firstLineChars="200"/>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施工组织设计</w:t>
      </w:r>
    </w:p>
    <w:p w14:paraId="7BE402B0">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5991BF6E">
      <w:pPr>
        <w:spacing w:line="360" w:lineRule="auto"/>
        <w:ind w:firstLine="420" w:firstLineChars="200"/>
        <w:rPr>
          <w:rFonts w:hint="eastAsia"/>
          <w:color w:val="auto"/>
          <w:highlight w:val="none"/>
        </w:rPr>
      </w:pPr>
      <w:r>
        <w:rPr>
          <w:rFonts w:hint="eastAsia"/>
          <w:color w:val="auto"/>
          <w:highlight w:val="none"/>
        </w:rPr>
        <w:t>（1）概述</w:t>
      </w:r>
    </w:p>
    <w:p w14:paraId="50EC001A">
      <w:pPr>
        <w:spacing w:line="360" w:lineRule="auto"/>
        <w:ind w:firstLine="420" w:firstLineChars="200"/>
        <w:rPr>
          <w:rFonts w:hint="eastAsia"/>
          <w:color w:val="auto"/>
          <w:highlight w:val="none"/>
        </w:rPr>
      </w:pPr>
      <w:r>
        <w:rPr>
          <w:rFonts w:hint="eastAsia"/>
          <w:color w:val="auto"/>
          <w:highlight w:val="none"/>
        </w:rPr>
        <w:t>（2）主要施工方法；</w:t>
      </w:r>
    </w:p>
    <w:p w14:paraId="5E7B98E0">
      <w:pPr>
        <w:spacing w:line="360" w:lineRule="auto"/>
        <w:ind w:firstLine="420" w:firstLineChars="200"/>
        <w:rPr>
          <w:color w:val="auto"/>
          <w:highlight w:val="none"/>
        </w:rPr>
      </w:pPr>
      <w:r>
        <w:rPr>
          <w:rFonts w:hint="eastAsia"/>
          <w:color w:val="auto"/>
          <w:highlight w:val="none"/>
        </w:rPr>
        <w:t>（3）拟投入的主要物资计划</w:t>
      </w:r>
    </w:p>
    <w:p w14:paraId="6F4C0B8B">
      <w:pPr>
        <w:spacing w:line="360" w:lineRule="auto"/>
        <w:ind w:firstLine="420" w:firstLineChars="200"/>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）劳动力安排计划；</w:t>
      </w:r>
    </w:p>
    <w:p w14:paraId="3CD958EC">
      <w:pPr>
        <w:spacing w:line="360" w:lineRule="auto"/>
        <w:ind w:firstLine="420" w:firstLineChars="200"/>
        <w:rPr>
          <w:rFonts w:hint="eastAsia"/>
          <w:color w:val="auto"/>
          <w:highlight w:val="none"/>
        </w:rPr>
      </w:pPr>
      <w:r>
        <w:rPr>
          <w:rFonts w:hint="eastAsia"/>
          <w:color w:val="auto"/>
          <w:highlight w:val="none"/>
        </w:rPr>
        <w:t>（</w:t>
      </w:r>
      <w:r>
        <w:rPr>
          <w:color w:val="auto"/>
          <w:highlight w:val="none"/>
        </w:rPr>
        <w:t>5</w:t>
      </w:r>
      <w:r>
        <w:rPr>
          <w:rFonts w:hint="eastAsia"/>
          <w:color w:val="auto"/>
          <w:highlight w:val="none"/>
        </w:rPr>
        <w:t>）确保工程质量的技术组织措施；</w:t>
      </w:r>
    </w:p>
    <w:p w14:paraId="42BFF151">
      <w:pPr>
        <w:spacing w:line="360" w:lineRule="auto"/>
        <w:ind w:firstLine="420" w:firstLineChars="200"/>
        <w:rPr>
          <w:rFonts w:hint="eastAsia"/>
          <w:color w:val="auto"/>
          <w:highlight w:val="none"/>
        </w:rPr>
      </w:pPr>
      <w:r>
        <w:rPr>
          <w:rFonts w:hint="eastAsia"/>
          <w:color w:val="auto"/>
          <w:highlight w:val="none"/>
        </w:rPr>
        <w:t>（</w:t>
      </w:r>
      <w:r>
        <w:rPr>
          <w:color w:val="auto"/>
          <w:highlight w:val="none"/>
        </w:rPr>
        <w:t>6</w:t>
      </w:r>
      <w:r>
        <w:rPr>
          <w:rFonts w:hint="eastAsia"/>
          <w:color w:val="auto"/>
          <w:highlight w:val="none"/>
        </w:rPr>
        <w:t>）确保安全生产的技术组织措施；</w:t>
      </w:r>
    </w:p>
    <w:p w14:paraId="119F3A8E">
      <w:pPr>
        <w:spacing w:line="360" w:lineRule="auto"/>
        <w:ind w:firstLine="420" w:firstLineChars="200"/>
        <w:rPr>
          <w:rFonts w:hint="eastAsia"/>
          <w:color w:val="auto"/>
          <w:highlight w:val="none"/>
        </w:rPr>
      </w:pPr>
      <w:r>
        <w:rPr>
          <w:rFonts w:hint="eastAsia"/>
          <w:color w:val="auto"/>
          <w:highlight w:val="none"/>
        </w:rPr>
        <w:t>（</w:t>
      </w:r>
      <w:r>
        <w:rPr>
          <w:color w:val="auto"/>
          <w:highlight w:val="none"/>
        </w:rPr>
        <w:t>7</w:t>
      </w:r>
      <w:r>
        <w:rPr>
          <w:rFonts w:hint="eastAsia"/>
          <w:color w:val="auto"/>
          <w:highlight w:val="none"/>
        </w:rPr>
        <w:t>）确保工期的技术组织措施；</w:t>
      </w:r>
    </w:p>
    <w:p w14:paraId="441051CE">
      <w:pPr>
        <w:spacing w:line="360" w:lineRule="auto"/>
        <w:ind w:firstLine="420" w:firstLineChars="200"/>
        <w:rPr>
          <w:rFonts w:hint="eastAsia"/>
          <w:color w:val="auto"/>
          <w:highlight w:val="none"/>
        </w:rPr>
      </w:pPr>
      <w:r>
        <w:rPr>
          <w:rFonts w:hint="eastAsia"/>
          <w:color w:val="auto"/>
          <w:highlight w:val="none"/>
        </w:rPr>
        <w:t>（</w:t>
      </w:r>
      <w:r>
        <w:rPr>
          <w:color w:val="auto"/>
          <w:highlight w:val="none"/>
        </w:rPr>
        <w:t>8</w:t>
      </w:r>
      <w:r>
        <w:rPr>
          <w:rFonts w:hint="eastAsia"/>
          <w:color w:val="auto"/>
          <w:highlight w:val="none"/>
        </w:rPr>
        <w:t>）确保文明施工的技术组织措施；</w:t>
      </w:r>
    </w:p>
    <w:p w14:paraId="7FFF5911">
      <w:pPr>
        <w:spacing w:line="360" w:lineRule="auto"/>
        <w:ind w:firstLine="420" w:firstLineChars="200"/>
        <w:rPr>
          <w:rFonts w:hint="eastAsia"/>
          <w:color w:val="auto"/>
          <w:highlight w:val="none"/>
        </w:rPr>
      </w:pPr>
      <w:r>
        <w:rPr>
          <w:rFonts w:hint="eastAsia"/>
          <w:color w:val="auto"/>
          <w:highlight w:val="none"/>
        </w:rPr>
        <w:t>（</w:t>
      </w:r>
      <w:r>
        <w:rPr>
          <w:color w:val="auto"/>
          <w:highlight w:val="none"/>
        </w:rPr>
        <w:t>9</w:t>
      </w:r>
      <w:r>
        <w:rPr>
          <w:rFonts w:hint="eastAsia"/>
          <w:color w:val="auto"/>
          <w:highlight w:val="none"/>
        </w:rPr>
        <w:t>）工程施工的重点和难点及保证措施；</w:t>
      </w:r>
    </w:p>
    <w:p w14:paraId="41A1FE17">
      <w:pPr>
        <w:spacing w:line="360" w:lineRule="auto"/>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）施工总平面布置图；</w:t>
      </w:r>
    </w:p>
    <w:p w14:paraId="21D44351">
      <w:pPr>
        <w:spacing w:line="360" w:lineRule="auto"/>
        <w:ind w:firstLine="420" w:firstLineChars="200"/>
        <w:rPr>
          <w:rFonts w:hint="eastAsia"/>
          <w:color w:val="auto"/>
          <w:highlight w:val="none"/>
        </w:rPr>
      </w:pPr>
      <w:r>
        <w:rPr>
          <w:rFonts w:hint="eastAsia"/>
          <w:color w:val="auto"/>
          <w:highlight w:val="none"/>
        </w:rPr>
        <w:t>（1</w:t>
      </w:r>
      <w:r>
        <w:rPr>
          <w:color w:val="auto"/>
          <w:highlight w:val="none"/>
        </w:rPr>
        <w:t>1</w:t>
      </w:r>
      <w:r>
        <w:rPr>
          <w:rFonts w:hint="eastAsia"/>
          <w:color w:val="auto"/>
          <w:highlight w:val="none"/>
        </w:rPr>
        <w:t>）其他（</w:t>
      </w:r>
      <w:r>
        <w:rPr>
          <w:color w:val="auto"/>
          <w:highlight w:val="none"/>
        </w:rPr>
        <w:t>如有）</w:t>
      </w:r>
      <w:r>
        <w:rPr>
          <w:rFonts w:hint="eastAsia"/>
          <w:color w:val="auto"/>
          <w:highlight w:val="none"/>
        </w:rPr>
        <w:t>（与第四章“评审程序、评审方法和评审标准”中的评审</w:t>
      </w:r>
      <w:r>
        <w:rPr>
          <w:color w:val="auto"/>
          <w:highlight w:val="none"/>
        </w:rPr>
        <w:t>标准一致</w:t>
      </w:r>
      <w:r>
        <w:rPr>
          <w:rFonts w:hint="eastAsia"/>
          <w:color w:val="auto"/>
          <w:highlight w:val="none"/>
        </w:rPr>
        <w:t>）</w:t>
      </w:r>
    </w:p>
    <w:p w14:paraId="558CF317">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4783E23A">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1D926B9C">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58757FCC">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667EDEA7">
      <w:pPr>
        <w:spacing w:line="360" w:lineRule="auto"/>
        <w:ind w:firstLine="420" w:firstLineChars="200"/>
        <w:rPr>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5978138E">
      <w:pPr>
        <w:spacing w:line="360" w:lineRule="auto"/>
        <w:ind w:firstLine="420" w:firstLineChars="200"/>
        <w:rPr>
          <w:color w:val="auto"/>
          <w:highlight w:val="none"/>
        </w:rPr>
      </w:pPr>
    </w:p>
    <w:p w14:paraId="5DA91DD5">
      <w:pPr>
        <w:rPr>
          <w:color w:val="auto"/>
          <w:highlight w:val="none"/>
        </w:rPr>
      </w:pPr>
      <w:r>
        <w:rPr>
          <w:rFonts w:hint="eastAsia" w:cs="宋体"/>
          <w:color w:val="auto"/>
          <w:highlight w:val="none"/>
        </w:rPr>
        <w:t>附表一：劳动力计划表</w:t>
      </w:r>
    </w:p>
    <w:p w14:paraId="0E1E1F70">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253F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28BF0B">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0C8D10DC">
            <w:pPr>
              <w:spacing w:line="360" w:lineRule="auto"/>
              <w:jc w:val="center"/>
              <w:rPr>
                <w:color w:val="auto"/>
                <w:highlight w:val="none"/>
              </w:rPr>
            </w:pPr>
            <w:r>
              <w:rPr>
                <w:rFonts w:hint="eastAsia" w:cs="宋体"/>
                <w:color w:val="auto"/>
                <w:highlight w:val="none"/>
              </w:rPr>
              <w:t>按工程施工阶段投入劳动力情况</w:t>
            </w:r>
          </w:p>
        </w:tc>
      </w:tr>
      <w:tr w14:paraId="18D4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2B35D48">
            <w:pPr>
              <w:spacing w:line="360" w:lineRule="auto"/>
              <w:jc w:val="center"/>
              <w:rPr>
                <w:color w:val="auto"/>
                <w:highlight w:val="none"/>
              </w:rPr>
            </w:pPr>
          </w:p>
        </w:tc>
        <w:tc>
          <w:tcPr>
            <w:tcW w:w="961" w:type="dxa"/>
            <w:vAlign w:val="center"/>
          </w:tcPr>
          <w:p w14:paraId="2189B5F5">
            <w:pPr>
              <w:spacing w:line="360" w:lineRule="auto"/>
              <w:jc w:val="center"/>
              <w:rPr>
                <w:color w:val="auto"/>
                <w:highlight w:val="none"/>
              </w:rPr>
            </w:pPr>
          </w:p>
        </w:tc>
        <w:tc>
          <w:tcPr>
            <w:tcW w:w="1257" w:type="dxa"/>
            <w:vAlign w:val="center"/>
          </w:tcPr>
          <w:p w14:paraId="5B35650F">
            <w:pPr>
              <w:spacing w:line="360" w:lineRule="auto"/>
              <w:jc w:val="center"/>
              <w:rPr>
                <w:color w:val="auto"/>
                <w:highlight w:val="none"/>
              </w:rPr>
            </w:pPr>
          </w:p>
        </w:tc>
        <w:tc>
          <w:tcPr>
            <w:tcW w:w="1257" w:type="dxa"/>
            <w:vAlign w:val="center"/>
          </w:tcPr>
          <w:p w14:paraId="14488CEF">
            <w:pPr>
              <w:spacing w:line="360" w:lineRule="auto"/>
              <w:jc w:val="center"/>
              <w:rPr>
                <w:color w:val="auto"/>
                <w:highlight w:val="none"/>
              </w:rPr>
            </w:pPr>
          </w:p>
        </w:tc>
        <w:tc>
          <w:tcPr>
            <w:tcW w:w="1258" w:type="dxa"/>
            <w:vAlign w:val="center"/>
          </w:tcPr>
          <w:p w14:paraId="27672FEB">
            <w:pPr>
              <w:spacing w:line="360" w:lineRule="auto"/>
              <w:jc w:val="center"/>
              <w:rPr>
                <w:color w:val="auto"/>
                <w:highlight w:val="none"/>
              </w:rPr>
            </w:pPr>
          </w:p>
        </w:tc>
        <w:tc>
          <w:tcPr>
            <w:tcW w:w="1257" w:type="dxa"/>
            <w:vAlign w:val="center"/>
          </w:tcPr>
          <w:p w14:paraId="27D3B689">
            <w:pPr>
              <w:spacing w:line="360" w:lineRule="auto"/>
              <w:jc w:val="center"/>
              <w:rPr>
                <w:color w:val="auto"/>
                <w:highlight w:val="none"/>
              </w:rPr>
            </w:pPr>
          </w:p>
        </w:tc>
        <w:tc>
          <w:tcPr>
            <w:tcW w:w="1258" w:type="dxa"/>
            <w:vAlign w:val="center"/>
          </w:tcPr>
          <w:p w14:paraId="2257CDA4">
            <w:pPr>
              <w:spacing w:line="360" w:lineRule="auto"/>
              <w:jc w:val="center"/>
              <w:rPr>
                <w:color w:val="auto"/>
                <w:highlight w:val="none"/>
              </w:rPr>
            </w:pPr>
          </w:p>
        </w:tc>
      </w:tr>
      <w:tr w14:paraId="4091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E503C36">
            <w:pPr>
              <w:spacing w:line="360" w:lineRule="auto"/>
              <w:jc w:val="center"/>
              <w:rPr>
                <w:color w:val="auto"/>
                <w:highlight w:val="none"/>
              </w:rPr>
            </w:pPr>
          </w:p>
        </w:tc>
        <w:tc>
          <w:tcPr>
            <w:tcW w:w="961" w:type="dxa"/>
            <w:vAlign w:val="center"/>
          </w:tcPr>
          <w:p w14:paraId="35FAAE5E">
            <w:pPr>
              <w:spacing w:line="360" w:lineRule="auto"/>
              <w:jc w:val="center"/>
              <w:rPr>
                <w:color w:val="auto"/>
                <w:highlight w:val="none"/>
              </w:rPr>
            </w:pPr>
          </w:p>
        </w:tc>
        <w:tc>
          <w:tcPr>
            <w:tcW w:w="1257" w:type="dxa"/>
            <w:vAlign w:val="center"/>
          </w:tcPr>
          <w:p w14:paraId="023F1585">
            <w:pPr>
              <w:spacing w:line="360" w:lineRule="auto"/>
              <w:jc w:val="center"/>
              <w:rPr>
                <w:color w:val="auto"/>
                <w:highlight w:val="none"/>
              </w:rPr>
            </w:pPr>
          </w:p>
        </w:tc>
        <w:tc>
          <w:tcPr>
            <w:tcW w:w="1257" w:type="dxa"/>
            <w:vAlign w:val="center"/>
          </w:tcPr>
          <w:p w14:paraId="35E18B76">
            <w:pPr>
              <w:spacing w:line="360" w:lineRule="auto"/>
              <w:jc w:val="center"/>
              <w:rPr>
                <w:color w:val="auto"/>
                <w:highlight w:val="none"/>
              </w:rPr>
            </w:pPr>
          </w:p>
        </w:tc>
        <w:tc>
          <w:tcPr>
            <w:tcW w:w="1258" w:type="dxa"/>
            <w:vAlign w:val="center"/>
          </w:tcPr>
          <w:p w14:paraId="23DE9352">
            <w:pPr>
              <w:spacing w:line="360" w:lineRule="auto"/>
              <w:jc w:val="center"/>
              <w:rPr>
                <w:color w:val="auto"/>
                <w:highlight w:val="none"/>
              </w:rPr>
            </w:pPr>
          </w:p>
        </w:tc>
        <w:tc>
          <w:tcPr>
            <w:tcW w:w="1257" w:type="dxa"/>
            <w:vAlign w:val="center"/>
          </w:tcPr>
          <w:p w14:paraId="2AA6AF52">
            <w:pPr>
              <w:spacing w:line="360" w:lineRule="auto"/>
              <w:jc w:val="center"/>
              <w:rPr>
                <w:color w:val="auto"/>
                <w:highlight w:val="none"/>
              </w:rPr>
            </w:pPr>
          </w:p>
        </w:tc>
        <w:tc>
          <w:tcPr>
            <w:tcW w:w="1258" w:type="dxa"/>
            <w:vAlign w:val="center"/>
          </w:tcPr>
          <w:p w14:paraId="797B8DEB">
            <w:pPr>
              <w:spacing w:line="360" w:lineRule="auto"/>
              <w:jc w:val="center"/>
              <w:rPr>
                <w:color w:val="auto"/>
                <w:highlight w:val="none"/>
              </w:rPr>
            </w:pPr>
          </w:p>
        </w:tc>
      </w:tr>
      <w:tr w14:paraId="2659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094404">
            <w:pPr>
              <w:spacing w:line="360" w:lineRule="auto"/>
              <w:jc w:val="center"/>
              <w:rPr>
                <w:color w:val="auto"/>
                <w:highlight w:val="none"/>
              </w:rPr>
            </w:pPr>
          </w:p>
        </w:tc>
        <w:tc>
          <w:tcPr>
            <w:tcW w:w="961" w:type="dxa"/>
            <w:vAlign w:val="center"/>
          </w:tcPr>
          <w:p w14:paraId="59225384">
            <w:pPr>
              <w:spacing w:line="360" w:lineRule="auto"/>
              <w:jc w:val="center"/>
              <w:rPr>
                <w:color w:val="auto"/>
                <w:highlight w:val="none"/>
              </w:rPr>
            </w:pPr>
          </w:p>
        </w:tc>
        <w:tc>
          <w:tcPr>
            <w:tcW w:w="1257" w:type="dxa"/>
            <w:vAlign w:val="center"/>
          </w:tcPr>
          <w:p w14:paraId="23A0A3D0">
            <w:pPr>
              <w:spacing w:line="360" w:lineRule="auto"/>
              <w:jc w:val="center"/>
              <w:rPr>
                <w:color w:val="auto"/>
                <w:highlight w:val="none"/>
              </w:rPr>
            </w:pPr>
          </w:p>
        </w:tc>
        <w:tc>
          <w:tcPr>
            <w:tcW w:w="1257" w:type="dxa"/>
            <w:vAlign w:val="center"/>
          </w:tcPr>
          <w:p w14:paraId="11D3BAA1">
            <w:pPr>
              <w:spacing w:line="360" w:lineRule="auto"/>
              <w:jc w:val="center"/>
              <w:rPr>
                <w:color w:val="auto"/>
                <w:highlight w:val="none"/>
              </w:rPr>
            </w:pPr>
          </w:p>
        </w:tc>
        <w:tc>
          <w:tcPr>
            <w:tcW w:w="1258" w:type="dxa"/>
            <w:vAlign w:val="center"/>
          </w:tcPr>
          <w:p w14:paraId="294A48A5">
            <w:pPr>
              <w:spacing w:line="360" w:lineRule="auto"/>
              <w:jc w:val="center"/>
              <w:rPr>
                <w:color w:val="auto"/>
                <w:highlight w:val="none"/>
              </w:rPr>
            </w:pPr>
          </w:p>
        </w:tc>
        <w:tc>
          <w:tcPr>
            <w:tcW w:w="1257" w:type="dxa"/>
            <w:vAlign w:val="center"/>
          </w:tcPr>
          <w:p w14:paraId="2CB20123">
            <w:pPr>
              <w:spacing w:line="360" w:lineRule="auto"/>
              <w:jc w:val="center"/>
              <w:rPr>
                <w:color w:val="auto"/>
                <w:highlight w:val="none"/>
              </w:rPr>
            </w:pPr>
          </w:p>
        </w:tc>
        <w:tc>
          <w:tcPr>
            <w:tcW w:w="1258" w:type="dxa"/>
            <w:vAlign w:val="center"/>
          </w:tcPr>
          <w:p w14:paraId="09595B7C">
            <w:pPr>
              <w:spacing w:line="360" w:lineRule="auto"/>
              <w:jc w:val="center"/>
              <w:rPr>
                <w:color w:val="auto"/>
                <w:highlight w:val="none"/>
              </w:rPr>
            </w:pPr>
          </w:p>
        </w:tc>
      </w:tr>
      <w:tr w14:paraId="597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CC797AA">
            <w:pPr>
              <w:spacing w:line="360" w:lineRule="auto"/>
              <w:jc w:val="center"/>
              <w:rPr>
                <w:color w:val="auto"/>
                <w:highlight w:val="none"/>
              </w:rPr>
            </w:pPr>
          </w:p>
        </w:tc>
        <w:tc>
          <w:tcPr>
            <w:tcW w:w="961" w:type="dxa"/>
            <w:vAlign w:val="center"/>
          </w:tcPr>
          <w:p w14:paraId="48FDABD2">
            <w:pPr>
              <w:spacing w:line="360" w:lineRule="auto"/>
              <w:jc w:val="center"/>
              <w:rPr>
                <w:color w:val="auto"/>
                <w:highlight w:val="none"/>
              </w:rPr>
            </w:pPr>
          </w:p>
        </w:tc>
        <w:tc>
          <w:tcPr>
            <w:tcW w:w="1257" w:type="dxa"/>
            <w:vAlign w:val="center"/>
          </w:tcPr>
          <w:p w14:paraId="0BAF3F87">
            <w:pPr>
              <w:spacing w:line="360" w:lineRule="auto"/>
              <w:jc w:val="center"/>
              <w:rPr>
                <w:color w:val="auto"/>
                <w:highlight w:val="none"/>
              </w:rPr>
            </w:pPr>
          </w:p>
        </w:tc>
        <w:tc>
          <w:tcPr>
            <w:tcW w:w="1257" w:type="dxa"/>
            <w:vAlign w:val="center"/>
          </w:tcPr>
          <w:p w14:paraId="4082DF36">
            <w:pPr>
              <w:spacing w:line="360" w:lineRule="auto"/>
              <w:jc w:val="center"/>
              <w:rPr>
                <w:color w:val="auto"/>
                <w:highlight w:val="none"/>
              </w:rPr>
            </w:pPr>
          </w:p>
        </w:tc>
        <w:tc>
          <w:tcPr>
            <w:tcW w:w="1258" w:type="dxa"/>
            <w:vAlign w:val="center"/>
          </w:tcPr>
          <w:p w14:paraId="7B4A871C">
            <w:pPr>
              <w:spacing w:line="360" w:lineRule="auto"/>
              <w:jc w:val="center"/>
              <w:rPr>
                <w:color w:val="auto"/>
                <w:highlight w:val="none"/>
              </w:rPr>
            </w:pPr>
          </w:p>
        </w:tc>
        <w:tc>
          <w:tcPr>
            <w:tcW w:w="1257" w:type="dxa"/>
            <w:vAlign w:val="center"/>
          </w:tcPr>
          <w:p w14:paraId="4D7C75D7">
            <w:pPr>
              <w:spacing w:line="360" w:lineRule="auto"/>
              <w:jc w:val="center"/>
              <w:rPr>
                <w:color w:val="auto"/>
                <w:highlight w:val="none"/>
              </w:rPr>
            </w:pPr>
          </w:p>
        </w:tc>
        <w:tc>
          <w:tcPr>
            <w:tcW w:w="1258" w:type="dxa"/>
            <w:vAlign w:val="center"/>
          </w:tcPr>
          <w:p w14:paraId="060B18E0">
            <w:pPr>
              <w:spacing w:line="360" w:lineRule="auto"/>
              <w:jc w:val="center"/>
              <w:rPr>
                <w:color w:val="auto"/>
                <w:highlight w:val="none"/>
              </w:rPr>
            </w:pPr>
          </w:p>
        </w:tc>
      </w:tr>
      <w:tr w14:paraId="6BCC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6356D62">
            <w:pPr>
              <w:spacing w:line="360" w:lineRule="auto"/>
              <w:jc w:val="center"/>
              <w:rPr>
                <w:color w:val="auto"/>
                <w:highlight w:val="none"/>
              </w:rPr>
            </w:pPr>
          </w:p>
        </w:tc>
        <w:tc>
          <w:tcPr>
            <w:tcW w:w="961" w:type="dxa"/>
            <w:vAlign w:val="center"/>
          </w:tcPr>
          <w:p w14:paraId="72862E33">
            <w:pPr>
              <w:spacing w:line="360" w:lineRule="auto"/>
              <w:jc w:val="center"/>
              <w:rPr>
                <w:color w:val="auto"/>
                <w:highlight w:val="none"/>
              </w:rPr>
            </w:pPr>
          </w:p>
        </w:tc>
        <w:tc>
          <w:tcPr>
            <w:tcW w:w="1257" w:type="dxa"/>
            <w:vAlign w:val="center"/>
          </w:tcPr>
          <w:p w14:paraId="4411D856">
            <w:pPr>
              <w:spacing w:line="360" w:lineRule="auto"/>
              <w:jc w:val="center"/>
              <w:rPr>
                <w:color w:val="auto"/>
                <w:highlight w:val="none"/>
              </w:rPr>
            </w:pPr>
          </w:p>
        </w:tc>
        <w:tc>
          <w:tcPr>
            <w:tcW w:w="1257" w:type="dxa"/>
            <w:vAlign w:val="center"/>
          </w:tcPr>
          <w:p w14:paraId="5B997FA6">
            <w:pPr>
              <w:spacing w:line="360" w:lineRule="auto"/>
              <w:jc w:val="center"/>
              <w:rPr>
                <w:color w:val="auto"/>
                <w:highlight w:val="none"/>
              </w:rPr>
            </w:pPr>
          </w:p>
        </w:tc>
        <w:tc>
          <w:tcPr>
            <w:tcW w:w="1258" w:type="dxa"/>
            <w:vAlign w:val="center"/>
          </w:tcPr>
          <w:p w14:paraId="7F791949">
            <w:pPr>
              <w:spacing w:line="360" w:lineRule="auto"/>
              <w:jc w:val="center"/>
              <w:rPr>
                <w:color w:val="auto"/>
                <w:highlight w:val="none"/>
              </w:rPr>
            </w:pPr>
          </w:p>
        </w:tc>
        <w:tc>
          <w:tcPr>
            <w:tcW w:w="1257" w:type="dxa"/>
            <w:vAlign w:val="center"/>
          </w:tcPr>
          <w:p w14:paraId="3A200865">
            <w:pPr>
              <w:spacing w:line="360" w:lineRule="auto"/>
              <w:jc w:val="center"/>
              <w:rPr>
                <w:color w:val="auto"/>
                <w:highlight w:val="none"/>
              </w:rPr>
            </w:pPr>
          </w:p>
        </w:tc>
        <w:tc>
          <w:tcPr>
            <w:tcW w:w="1258" w:type="dxa"/>
            <w:vAlign w:val="center"/>
          </w:tcPr>
          <w:p w14:paraId="41E5F581">
            <w:pPr>
              <w:spacing w:line="360" w:lineRule="auto"/>
              <w:jc w:val="center"/>
              <w:rPr>
                <w:color w:val="auto"/>
                <w:highlight w:val="none"/>
              </w:rPr>
            </w:pPr>
          </w:p>
        </w:tc>
      </w:tr>
      <w:tr w14:paraId="604D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299A35A">
            <w:pPr>
              <w:spacing w:line="360" w:lineRule="auto"/>
              <w:jc w:val="center"/>
              <w:rPr>
                <w:color w:val="auto"/>
                <w:highlight w:val="none"/>
              </w:rPr>
            </w:pPr>
          </w:p>
        </w:tc>
        <w:tc>
          <w:tcPr>
            <w:tcW w:w="961" w:type="dxa"/>
            <w:vAlign w:val="center"/>
          </w:tcPr>
          <w:p w14:paraId="30BD65F2">
            <w:pPr>
              <w:spacing w:line="360" w:lineRule="auto"/>
              <w:jc w:val="center"/>
              <w:rPr>
                <w:color w:val="auto"/>
                <w:highlight w:val="none"/>
              </w:rPr>
            </w:pPr>
          </w:p>
        </w:tc>
        <w:tc>
          <w:tcPr>
            <w:tcW w:w="1257" w:type="dxa"/>
            <w:vAlign w:val="center"/>
          </w:tcPr>
          <w:p w14:paraId="09780CD2">
            <w:pPr>
              <w:spacing w:line="360" w:lineRule="auto"/>
              <w:jc w:val="center"/>
              <w:rPr>
                <w:color w:val="auto"/>
                <w:highlight w:val="none"/>
              </w:rPr>
            </w:pPr>
          </w:p>
        </w:tc>
        <w:tc>
          <w:tcPr>
            <w:tcW w:w="1257" w:type="dxa"/>
            <w:vAlign w:val="center"/>
          </w:tcPr>
          <w:p w14:paraId="442D9FE7">
            <w:pPr>
              <w:spacing w:line="360" w:lineRule="auto"/>
              <w:jc w:val="center"/>
              <w:rPr>
                <w:color w:val="auto"/>
                <w:highlight w:val="none"/>
              </w:rPr>
            </w:pPr>
          </w:p>
        </w:tc>
        <w:tc>
          <w:tcPr>
            <w:tcW w:w="1258" w:type="dxa"/>
            <w:vAlign w:val="center"/>
          </w:tcPr>
          <w:p w14:paraId="15C613B5">
            <w:pPr>
              <w:spacing w:line="360" w:lineRule="auto"/>
              <w:jc w:val="center"/>
              <w:rPr>
                <w:color w:val="auto"/>
                <w:highlight w:val="none"/>
              </w:rPr>
            </w:pPr>
          </w:p>
        </w:tc>
        <w:tc>
          <w:tcPr>
            <w:tcW w:w="1257" w:type="dxa"/>
            <w:vAlign w:val="center"/>
          </w:tcPr>
          <w:p w14:paraId="34661173">
            <w:pPr>
              <w:spacing w:line="360" w:lineRule="auto"/>
              <w:jc w:val="center"/>
              <w:rPr>
                <w:color w:val="auto"/>
                <w:highlight w:val="none"/>
              </w:rPr>
            </w:pPr>
          </w:p>
        </w:tc>
        <w:tc>
          <w:tcPr>
            <w:tcW w:w="1258" w:type="dxa"/>
            <w:vAlign w:val="center"/>
          </w:tcPr>
          <w:p w14:paraId="391A0DB1">
            <w:pPr>
              <w:spacing w:line="360" w:lineRule="auto"/>
              <w:jc w:val="center"/>
              <w:rPr>
                <w:color w:val="auto"/>
                <w:highlight w:val="none"/>
              </w:rPr>
            </w:pPr>
          </w:p>
        </w:tc>
      </w:tr>
    </w:tbl>
    <w:p w14:paraId="2AA45C82">
      <w:pPr>
        <w:rPr>
          <w:color w:val="auto"/>
          <w:highlight w:val="none"/>
        </w:rPr>
      </w:pPr>
    </w:p>
    <w:p w14:paraId="56E358CF">
      <w:pPr>
        <w:rPr>
          <w:b/>
          <w:bCs/>
          <w:color w:val="auto"/>
          <w:highlight w:val="none"/>
        </w:rPr>
      </w:pPr>
    </w:p>
    <w:p w14:paraId="7474EB88">
      <w:pPr>
        <w:rPr>
          <w:color w:val="auto"/>
          <w:highlight w:val="none"/>
        </w:rPr>
      </w:pPr>
      <w:r>
        <w:rPr>
          <w:rFonts w:hint="eastAsia" w:cs="宋体"/>
          <w:color w:val="auto"/>
          <w:highlight w:val="none"/>
        </w:rPr>
        <w:t>附表二：计划开、竣工日期和施工进度计划（网络图或横道图）</w:t>
      </w:r>
    </w:p>
    <w:p w14:paraId="18D64B94">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42DF15CE">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4A443E37">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07CC02B1">
      <w:pPr>
        <w:spacing w:line="360" w:lineRule="auto"/>
        <w:ind w:left="-6" w:firstLine="420"/>
        <w:rPr>
          <w:color w:val="auto"/>
          <w:highlight w:val="none"/>
        </w:rPr>
      </w:pPr>
    </w:p>
    <w:p w14:paraId="5F35AD7F">
      <w:pPr>
        <w:rPr>
          <w:color w:val="auto"/>
          <w:highlight w:val="none"/>
        </w:rPr>
      </w:pPr>
    </w:p>
    <w:p w14:paraId="0347EE88">
      <w:pPr>
        <w:rPr>
          <w:color w:val="auto"/>
          <w:highlight w:val="none"/>
        </w:rPr>
      </w:pPr>
      <w:r>
        <w:rPr>
          <w:rFonts w:hint="eastAsia" w:cs="宋体"/>
          <w:color w:val="auto"/>
          <w:highlight w:val="none"/>
        </w:rPr>
        <w:t>附表三：施工总平面图</w:t>
      </w:r>
    </w:p>
    <w:p w14:paraId="04BA595F">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762A99FE">
      <w:pPr>
        <w:rPr>
          <w:color w:val="auto"/>
          <w:highlight w:val="none"/>
        </w:rPr>
      </w:pPr>
    </w:p>
    <w:p w14:paraId="44F319ED">
      <w:pPr>
        <w:rPr>
          <w:color w:val="auto"/>
          <w:highlight w:val="none"/>
        </w:rPr>
      </w:pPr>
    </w:p>
    <w:p w14:paraId="13EFECC8">
      <w:pPr>
        <w:rPr>
          <w:color w:val="auto"/>
          <w:highlight w:val="none"/>
        </w:rPr>
      </w:pPr>
      <w:r>
        <w:rPr>
          <w:rFonts w:hint="eastAsia" w:cs="宋体"/>
          <w:color w:val="auto"/>
          <w:highlight w:val="none"/>
        </w:rPr>
        <w:t>附表四：临时用地表</w:t>
      </w:r>
    </w:p>
    <w:tbl>
      <w:tblPr>
        <w:tblStyle w:val="4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2B9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568845C1">
            <w:pPr>
              <w:jc w:val="center"/>
              <w:rPr>
                <w:color w:val="auto"/>
                <w:highlight w:val="none"/>
              </w:rPr>
            </w:pPr>
            <w:r>
              <w:rPr>
                <w:rFonts w:hint="eastAsia" w:cs="宋体"/>
                <w:color w:val="auto"/>
                <w:highlight w:val="none"/>
              </w:rPr>
              <w:t>用途</w:t>
            </w:r>
          </w:p>
        </w:tc>
        <w:tc>
          <w:tcPr>
            <w:tcW w:w="2357" w:type="dxa"/>
            <w:vAlign w:val="center"/>
          </w:tcPr>
          <w:p w14:paraId="70E61717">
            <w:pPr>
              <w:jc w:val="center"/>
              <w:rPr>
                <w:color w:val="auto"/>
                <w:highlight w:val="none"/>
              </w:rPr>
            </w:pPr>
            <w:r>
              <w:rPr>
                <w:rFonts w:hint="eastAsia" w:cs="宋体"/>
                <w:color w:val="auto"/>
                <w:highlight w:val="none"/>
              </w:rPr>
              <w:t>面积（平方米）</w:t>
            </w:r>
          </w:p>
        </w:tc>
        <w:tc>
          <w:tcPr>
            <w:tcW w:w="2356" w:type="dxa"/>
            <w:vAlign w:val="center"/>
          </w:tcPr>
          <w:p w14:paraId="70C887D0">
            <w:pPr>
              <w:jc w:val="center"/>
              <w:rPr>
                <w:color w:val="auto"/>
                <w:highlight w:val="none"/>
              </w:rPr>
            </w:pPr>
            <w:r>
              <w:rPr>
                <w:rFonts w:hint="eastAsia" w:cs="宋体"/>
                <w:color w:val="auto"/>
                <w:highlight w:val="none"/>
              </w:rPr>
              <w:t>位置</w:t>
            </w:r>
          </w:p>
        </w:tc>
        <w:tc>
          <w:tcPr>
            <w:tcW w:w="2136" w:type="dxa"/>
            <w:vAlign w:val="center"/>
          </w:tcPr>
          <w:p w14:paraId="4DBF53BE">
            <w:pPr>
              <w:jc w:val="center"/>
              <w:rPr>
                <w:color w:val="auto"/>
                <w:highlight w:val="none"/>
              </w:rPr>
            </w:pPr>
            <w:r>
              <w:rPr>
                <w:rFonts w:hint="eastAsia" w:cs="宋体"/>
                <w:color w:val="auto"/>
                <w:highlight w:val="none"/>
              </w:rPr>
              <w:t>需用时间</w:t>
            </w:r>
          </w:p>
        </w:tc>
      </w:tr>
      <w:tr w14:paraId="6888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7B9E11F">
            <w:pPr>
              <w:rPr>
                <w:color w:val="auto"/>
                <w:highlight w:val="none"/>
              </w:rPr>
            </w:pPr>
          </w:p>
        </w:tc>
        <w:tc>
          <w:tcPr>
            <w:tcW w:w="2357" w:type="dxa"/>
          </w:tcPr>
          <w:p w14:paraId="1EAB0649">
            <w:pPr>
              <w:rPr>
                <w:color w:val="auto"/>
                <w:highlight w:val="none"/>
              </w:rPr>
            </w:pPr>
          </w:p>
        </w:tc>
        <w:tc>
          <w:tcPr>
            <w:tcW w:w="2356" w:type="dxa"/>
          </w:tcPr>
          <w:p w14:paraId="7847656E">
            <w:pPr>
              <w:rPr>
                <w:color w:val="auto"/>
                <w:highlight w:val="none"/>
              </w:rPr>
            </w:pPr>
          </w:p>
        </w:tc>
        <w:tc>
          <w:tcPr>
            <w:tcW w:w="2136" w:type="dxa"/>
          </w:tcPr>
          <w:p w14:paraId="1F8CCD5A">
            <w:pPr>
              <w:rPr>
                <w:color w:val="auto"/>
                <w:highlight w:val="none"/>
              </w:rPr>
            </w:pPr>
          </w:p>
        </w:tc>
      </w:tr>
      <w:tr w14:paraId="1D01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DAE171">
            <w:pPr>
              <w:rPr>
                <w:color w:val="auto"/>
                <w:highlight w:val="none"/>
              </w:rPr>
            </w:pPr>
          </w:p>
        </w:tc>
        <w:tc>
          <w:tcPr>
            <w:tcW w:w="2357" w:type="dxa"/>
          </w:tcPr>
          <w:p w14:paraId="488A6504">
            <w:pPr>
              <w:rPr>
                <w:color w:val="auto"/>
                <w:highlight w:val="none"/>
              </w:rPr>
            </w:pPr>
          </w:p>
        </w:tc>
        <w:tc>
          <w:tcPr>
            <w:tcW w:w="2356" w:type="dxa"/>
          </w:tcPr>
          <w:p w14:paraId="0481618E">
            <w:pPr>
              <w:rPr>
                <w:color w:val="auto"/>
                <w:highlight w:val="none"/>
              </w:rPr>
            </w:pPr>
          </w:p>
        </w:tc>
        <w:tc>
          <w:tcPr>
            <w:tcW w:w="2136" w:type="dxa"/>
          </w:tcPr>
          <w:p w14:paraId="16B0D2A9">
            <w:pPr>
              <w:rPr>
                <w:color w:val="auto"/>
                <w:highlight w:val="none"/>
              </w:rPr>
            </w:pPr>
          </w:p>
        </w:tc>
      </w:tr>
      <w:tr w14:paraId="1C88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AA599E8">
            <w:pPr>
              <w:rPr>
                <w:color w:val="auto"/>
                <w:highlight w:val="none"/>
              </w:rPr>
            </w:pPr>
          </w:p>
        </w:tc>
        <w:tc>
          <w:tcPr>
            <w:tcW w:w="2357" w:type="dxa"/>
          </w:tcPr>
          <w:p w14:paraId="62167DC5">
            <w:pPr>
              <w:rPr>
                <w:color w:val="auto"/>
                <w:highlight w:val="none"/>
              </w:rPr>
            </w:pPr>
          </w:p>
        </w:tc>
        <w:tc>
          <w:tcPr>
            <w:tcW w:w="2356" w:type="dxa"/>
          </w:tcPr>
          <w:p w14:paraId="0DAB37FF">
            <w:pPr>
              <w:rPr>
                <w:color w:val="auto"/>
                <w:highlight w:val="none"/>
              </w:rPr>
            </w:pPr>
          </w:p>
        </w:tc>
        <w:tc>
          <w:tcPr>
            <w:tcW w:w="2136" w:type="dxa"/>
          </w:tcPr>
          <w:p w14:paraId="2475CDD2">
            <w:pPr>
              <w:rPr>
                <w:color w:val="auto"/>
                <w:highlight w:val="none"/>
              </w:rPr>
            </w:pPr>
          </w:p>
        </w:tc>
      </w:tr>
      <w:tr w14:paraId="643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AA6EEFE">
            <w:pPr>
              <w:rPr>
                <w:color w:val="auto"/>
                <w:highlight w:val="none"/>
              </w:rPr>
            </w:pPr>
          </w:p>
        </w:tc>
        <w:tc>
          <w:tcPr>
            <w:tcW w:w="2357" w:type="dxa"/>
          </w:tcPr>
          <w:p w14:paraId="4A606D64">
            <w:pPr>
              <w:rPr>
                <w:color w:val="auto"/>
                <w:highlight w:val="none"/>
              </w:rPr>
            </w:pPr>
          </w:p>
        </w:tc>
        <w:tc>
          <w:tcPr>
            <w:tcW w:w="2356" w:type="dxa"/>
          </w:tcPr>
          <w:p w14:paraId="7EBD4394">
            <w:pPr>
              <w:rPr>
                <w:color w:val="auto"/>
                <w:highlight w:val="none"/>
              </w:rPr>
            </w:pPr>
          </w:p>
        </w:tc>
        <w:tc>
          <w:tcPr>
            <w:tcW w:w="2136" w:type="dxa"/>
          </w:tcPr>
          <w:p w14:paraId="251BE939">
            <w:pPr>
              <w:rPr>
                <w:color w:val="auto"/>
                <w:highlight w:val="none"/>
              </w:rPr>
            </w:pPr>
          </w:p>
        </w:tc>
      </w:tr>
    </w:tbl>
    <w:p w14:paraId="47693020">
      <w:pPr>
        <w:spacing w:line="360" w:lineRule="auto"/>
        <w:ind w:firstLine="880" w:firstLineChars="200"/>
        <w:rPr>
          <w:rFonts w:ascii="方正小标宋简体" w:hAnsi="方正小标宋简体" w:eastAsia="方正小标宋简体" w:cs="方正小标宋简体"/>
          <w:bCs/>
          <w:color w:val="auto"/>
          <w:sz w:val="44"/>
          <w:szCs w:val="44"/>
          <w:highlight w:val="none"/>
        </w:rPr>
      </w:pPr>
    </w:p>
    <w:p w14:paraId="6AF194EE">
      <w:pPr>
        <w:spacing w:line="360" w:lineRule="auto"/>
        <w:jc w:val="center"/>
        <w:rPr>
          <w:rFonts w:ascii="方正小标宋简体" w:hAnsi="方正小标宋简体" w:eastAsia="方正小标宋简体" w:cs="方正小标宋简体"/>
          <w:bCs/>
          <w:color w:val="auto"/>
          <w:sz w:val="44"/>
          <w:szCs w:val="44"/>
          <w:highlight w:val="none"/>
        </w:rPr>
      </w:pPr>
    </w:p>
    <w:p w14:paraId="4063BEC5">
      <w:pPr>
        <w:spacing w:line="360" w:lineRule="auto"/>
        <w:rPr>
          <w:color w:val="auto"/>
          <w:highlight w:val="none"/>
          <w:lang w:val="zh-CN"/>
        </w:rPr>
      </w:pPr>
      <w:r>
        <w:rPr>
          <w:rFonts w:hint="eastAsia"/>
          <w:color w:val="auto"/>
          <w:highlight w:val="none"/>
          <w:lang w:val="zh-CN"/>
        </w:rPr>
        <w:t xml:space="preserve"> </w:t>
      </w:r>
    </w:p>
    <w:p w14:paraId="280E288B">
      <w:pPr>
        <w:spacing w:line="360" w:lineRule="auto"/>
        <w:rPr>
          <w:rFonts w:ascii="宋体" w:hAnsi="宋体" w:cs="仿宋_GB2312"/>
          <w:color w:val="auto"/>
          <w:sz w:val="24"/>
          <w:highlight w:val="none"/>
        </w:rPr>
      </w:pPr>
      <w:r>
        <w:rPr>
          <w:rFonts w:ascii="宋体" w:hAnsi="宋体" w:cs="仿宋_GB2312"/>
          <w:color w:val="auto"/>
          <w:sz w:val="24"/>
          <w:highlight w:val="none"/>
        </w:rPr>
        <w:t xml:space="preserve"> </w:t>
      </w:r>
    </w:p>
    <w:p w14:paraId="5730BB89">
      <w:pPr>
        <w:adjustRightInd w:val="0"/>
        <w:snapToGrid w:val="0"/>
        <w:spacing w:line="360" w:lineRule="auto"/>
        <w:jc w:val="center"/>
        <w:rPr>
          <w:rFonts w:ascii="宋体" w:hAnsi="宋体"/>
          <w:b/>
          <w:color w:val="auto"/>
          <w:sz w:val="32"/>
          <w:szCs w:val="32"/>
          <w:highlight w:val="none"/>
        </w:rPr>
      </w:pPr>
      <w:r>
        <w:rPr>
          <w:rFonts w:ascii="宋体" w:hAnsi="宋体" w:cs="仿宋_GB2312"/>
          <w:color w:val="auto"/>
          <w:sz w:val="24"/>
          <w:highlight w:val="none"/>
        </w:rPr>
        <w:br w:type="page"/>
      </w:r>
      <w:bookmarkStart w:id="206" w:name="OLE_LINK27"/>
      <w:bookmarkStart w:id="207" w:name="OLE_LINK28"/>
      <w:r>
        <w:rPr>
          <w:rFonts w:hint="eastAsia" w:ascii="宋体" w:hAnsi="宋体" w:cs="方正小标宋简体"/>
          <w:b/>
          <w:bCs/>
          <w:color w:val="auto"/>
          <w:sz w:val="32"/>
          <w:szCs w:val="32"/>
          <w:highlight w:val="none"/>
        </w:rPr>
        <w:t>项目管理机构配备情况表及主要人员简历表</w:t>
      </w:r>
      <w:bookmarkEnd w:id="206"/>
      <w:bookmarkEnd w:id="207"/>
    </w:p>
    <w:p w14:paraId="70294EC7">
      <w:pPr>
        <w:snapToGrid w:val="0"/>
        <w:spacing w:beforeLines="50" w:after="50"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（一）项目管理机构配备情况表</w:t>
      </w:r>
    </w:p>
    <w:p w14:paraId="52B91E2B">
      <w:pPr>
        <w:pStyle w:val="25"/>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r>
        <w:rPr>
          <w:rFonts w:hint="eastAsia"/>
          <w:color w:val="auto"/>
          <w:sz w:val="24"/>
          <w:szCs w:val="24"/>
          <w:highlight w:val="none"/>
          <w:u w:val="single"/>
        </w:rPr>
        <w:t xml:space="preserve">         </w:t>
      </w:r>
    </w:p>
    <w:tbl>
      <w:tblPr>
        <w:tblStyle w:val="4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CA6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2FA09016">
            <w:pPr>
              <w:ind w:left="223" w:hanging="222" w:hangingChars="106"/>
              <w:jc w:val="center"/>
              <w:rPr>
                <w:color w:val="auto"/>
                <w:highlight w:val="none"/>
              </w:rPr>
            </w:pPr>
            <w:r>
              <w:rPr>
                <w:color w:val="auto"/>
                <w:highlight w:val="none"/>
              </w:rPr>
              <w:t>岗位</w:t>
            </w:r>
          </w:p>
        </w:tc>
        <w:tc>
          <w:tcPr>
            <w:tcW w:w="670" w:type="dxa"/>
            <w:vMerge w:val="restart"/>
            <w:vAlign w:val="center"/>
          </w:tcPr>
          <w:p w14:paraId="499ED81C">
            <w:pPr>
              <w:ind w:left="223" w:hanging="222" w:hangingChars="106"/>
              <w:jc w:val="center"/>
              <w:rPr>
                <w:color w:val="auto"/>
                <w:highlight w:val="none"/>
              </w:rPr>
            </w:pPr>
            <w:r>
              <w:rPr>
                <w:color w:val="auto"/>
                <w:highlight w:val="none"/>
              </w:rPr>
              <w:t>姓名</w:t>
            </w:r>
          </w:p>
        </w:tc>
        <w:tc>
          <w:tcPr>
            <w:tcW w:w="829" w:type="dxa"/>
            <w:vMerge w:val="restart"/>
            <w:vAlign w:val="center"/>
          </w:tcPr>
          <w:p w14:paraId="1ED306FE">
            <w:pPr>
              <w:jc w:val="center"/>
              <w:rPr>
                <w:color w:val="auto"/>
                <w:highlight w:val="none"/>
              </w:rPr>
            </w:pPr>
            <w:r>
              <w:rPr>
                <w:color w:val="auto"/>
                <w:highlight w:val="none"/>
              </w:rPr>
              <w:t>身份证号</w:t>
            </w:r>
          </w:p>
        </w:tc>
        <w:tc>
          <w:tcPr>
            <w:tcW w:w="816" w:type="dxa"/>
            <w:vMerge w:val="restart"/>
            <w:vAlign w:val="center"/>
          </w:tcPr>
          <w:p w14:paraId="45E57292">
            <w:pPr>
              <w:ind w:left="223" w:hanging="222" w:hangingChars="106"/>
              <w:jc w:val="center"/>
              <w:rPr>
                <w:color w:val="auto"/>
                <w:highlight w:val="none"/>
              </w:rPr>
            </w:pPr>
            <w:r>
              <w:rPr>
                <w:color w:val="auto"/>
                <w:highlight w:val="none"/>
              </w:rPr>
              <w:t>职称</w:t>
            </w:r>
          </w:p>
        </w:tc>
        <w:tc>
          <w:tcPr>
            <w:tcW w:w="4188" w:type="dxa"/>
            <w:gridSpan w:val="4"/>
            <w:vAlign w:val="center"/>
          </w:tcPr>
          <w:p w14:paraId="0BD36D0A">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5956BF42">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304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82C7A67">
            <w:pPr>
              <w:ind w:left="223" w:hanging="222" w:hangingChars="106"/>
              <w:jc w:val="center"/>
              <w:rPr>
                <w:color w:val="auto"/>
                <w:highlight w:val="none"/>
              </w:rPr>
            </w:pPr>
          </w:p>
        </w:tc>
        <w:tc>
          <w:tcPr>
            <w:tcW w:w="670" w:type="dxa"/>
            <w:vMerge w:val="continue"/>
            <w:vAlign w:val="center"/>
          </w:tcPr>
          <w:p w14:paraId="0E92F55A">
            <w:pPr>
              <w:ind w:left="223" w:hanging="222" w:hangingChars="106"/>
              <w:jc w:val="center"/>
              <w:rPr>
                <w:color w:val="auto"/>
                <w:highlight w:val="none"/>
              </w:rPr>
            </w:pPr>
          </w:p>
        </w:tc>
        <w:tc>
          <w:tcPr>
            <w:tcW w:w="829" w:type="dxa"/>
            <w:vMerge w:val="continue"/>
            <w:vAlign w:val="center"/>
          </w:tcPr>
          <w:p w14:paraId="1D376984">
            <w:pPr>
              <w:ind w:left="223" w:hanging="222" w:hangingChars="106"/>
              <w:jc w:val="center"/>
              <w:rPr>
                <w:color w:val="auto"/>
                <w:highlight w:val="none"/>
              </w:rPr>
            </w:pPr>
          </w:p>
        </w:tc>
        <w:tc>
          <w:tcPr>
            <w:tcW w:w="816" w:type="dxa"/>
            <w:vMerge w:val="continue"/>
            <w:vAlign w:val="center"/>
          </w:tcPr>
          <w:p w14:paraId="20D733F0">
            <w:pPr>
              <w:ind w:left="223" w:hanging="222" w:hangingChars="106"/>
              <w:jc w:val="center"/>
              <w:rPr>
                <w:color w:val="auto"/>
                <w:highlight w:val="none"/>
              </w:rPr>
            </w:pPr>
          </w:p>
        </w:tc>
        <w:tc>
          <w:tcPr>
            <w:tcW w:w="1148" w:type="dxa"/>
            <w:vAlign w:val="center"/>
          </w:tcPr>
          <w:p w14:paraId="4F997540">
            <w:pPr>
              <w:ind w:left="223" w:hanging="222" w:hangingChars="106"/>
              <w:jc w:val="center"/>
              <w:rPr>
                <w:color w:val="auto"/>
                <w:highlight w:val="none"/>
              </w:rPr>
            </w:pPr>
            <w:r>
              <w:rPr>
                <w:color w:val="auto"/>
                <w:highlight w:val="none"/>
              </w:rPr>
              <w:t>证书名称</w:t>
            </w:r>
          </w:p>
        </w:tc>
        <w:tc>
          <w:tcPr>
            <w:tcW w:w="1148" w:type="dxa"/>
            <w:vAlign w:val="center"/>
          </w:tcPr>
          <w:p w14:paraId="5724E2B3">
            <w:pPr>
              <w:ind w:left="223" w:hanging="222" w:hangingChars="106"/>
              <w:jc w:val="center"/>
              <w:rPr>
                <w:color w:val="auto"/>
                <w:highlight w:val="none"/>
              </w:rPr>
            </w:pPr>
            <w:r>
              <w:rPr>
                <w:color w:val="auto"/>
                <w:highlight w:val="none"/>
              </w:rPr>
              <w:t>级别</w:t>
            </w:r>
          </w:p>
        </w:tc>
        <w:tc>
          <w:tcPr>
            <w:tcW w:w="1148" w:type="dxa"/>
            <w:vAlign w:val="center"/>
          </w:tcPr>
          <w:p w14:paraId="679FB4C5">
            <w:pPr>
              <w:ind w:left="223" w:hanging="222" w:hangingChars="106"/>
              <w:jc w:val="center"/>
              <w:rPr>
                <w:color w:val="auto"/>
                <w:highlight w:val="none"/>
              </w:rPr>
            </w:pPr>
            <w:r>
              <w:rPr>
                <w:color w:val="auto"/>
                <w:highlight w:val="none"/>
              </w:rPr>
              <w:t>证号</w:t>
            </w:r>
          </w:p>
        </w:tc>
        <w:tc>
          <w:tcPr>
            <w:tcW w:w="744" w:type="dxa"/>
            <w:vAlign w:val="center"/>
          </w:tcPr>
          <w:p w14:paraId="7738D034">
            <w:pPr>
              <w:ind w:left="223" w:hanging="222" w:hangingChars="106"/>
              <w:jc w:val="center"/>
              <w:rPr>
                <w:color w:val="auto"/>
                <w:highlight w:val="none"/>
              </w:rPr>
            </w:pPr>
            <w:r>
              <w:rPr>
                <w:color w:val="auto"/>
                <w:highlight w:val="none"/>
              </w:rPr>
              <w:t>专业</w:t>
            </w:r>
          </w:p>
        </w:tc>
        <w:tc>
          <w:tcPr>
            <w:tcW w:w="1167" w:type="dxa"/>
            <w:vAlign w:val="center"/>
          </w:tcPr>
          <w:p w14:paraId="6F8B76A0">
            <w:pPr>
              <w:jc w:val="center"/>
              <w:rPr>
                <w:color w:val="auto"/>
                <w:highlight w:val="none"/>
              </w:rPr>
            </w:pPr>
            <w:r>
              <w:rPr>
                <w:rFonts w:hint="eastAsia"/>
                <w:color w:val="auto"/>
                <w:highlight w:val="none"/>
              </w:rPr>
              <w:t>完工/在建</w:t>
            </w:r>
          </w:p>
        </w:tc>
        <w:tc>
          <w:tcPr>
            <w:tcW w:w="1276" w:type="dxa"/>
            <w:vAlign w:val="center"/>
          </w:tcPr>
          <w:p w14:paraId="534CA579">
            <w:pPr>
              <w:jc w:val="center"/>
              <w:rPr>
                <w:color w:val="auto"/>
                <w:highlight w:val="none"/>
              </w:rPr>
            </w:pPr>
            <w:r>
              <w:rPr>
                <w:color w:val="auto"/>
                <w:highlight w:val="none"/>
              </w:rPr>
              <w:t>主要项目</w:t>
            </w:r>
          </w:p>
          <w:p w14:paraId="415E6242">
            <w:pPr>
              <w:jc w:val="center"/>
              <w:rPr>
                <w:color w:val="auto"/>
                <w:highlight w:val="none"/>
              </w:rPr>
            </w:pPr>
            <w:r>
              <w:rPr>
                <w:color w:val="auto"/>
                <w:highlight w:val="none"/>
              </w:rPr>
              <w:t>名称</w:t>
            </w:r>
          </w:p>
        </w:tc>
      </w:tr>
      <w:tr w14:paraId="13A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395744">
            <w:pPr>
              <w:pStyle w:val="183"/>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11869C07">
            <w:pPr>
              <w:ind w:left="223" w:hanging="222" w:hangingChars="106"/>
              <w:jc w:val="center"/>
              <w:rPr>
                <w:color w:val="auto"/>
                <w:szCs w:val="21"/>
                <w:highlight w:val="none"/>
              </w:rPr>
            </w:pPr>
          </w:p>
        </w:tc>
        <w:tc>
          <w:tcPr>
            <w:tcW w:w="829" w:type="dxa"/>
            <w:vAlign w:val="center"/>
          </w:tcPr>
          <w:p w14:paraId="3A04EB30">
            <w:pPr>
              <w:ind w:left="223" w:hanging="222" w:hangingChars="106"/>
              <w:jc w:val="center"/>
              <w:rPr>
                <w:color w:val="auto"/>
                <w:szCs w:val="21"/>
                <w:highlight w:val="none"/>
              </w:rPr>
            </w:pPr>
          </w:p>
        </w:tc>
        <w:tc>
          <w:tcPr>
            <w:tcW w:w="816" w:type="dxa"/>
            <w:vAlign w:val="center"/>
          </w:tcPr>
          <w:p w14:paraId="3ABC9CC1">
            <w:pPr>
              <w:ind w:left="223" w:hanging="222" w:hangingChars="106"/>
              <w:jc w:val="center"/>
              <w:rPr>
                <w:color w:val="auto"/>
                <w:szCs w:val="21"/>
                <w:highlight w:val="none"/>
              </w:rPr>
            </w:pPr>
          </w:p>
        </w:tc>
        <w:tc>
          <w:tcPr>
            <w:tcW w:w="1148" w:type="dxa"/>
            <w:vAlign w:val="center"/>
          </w:tcPr>
          <w:p w14:paraId="199921BE">
            <w:pPr>
              <w:ind w:left="223" w:hanging="222" w:hangingChars="106"/>
              <w:jc w:val="center"/>
              <w:rPr>
                <w:color w:val="auto"/>
                <w:szCs w:val="21"/>
                <w:highlight w:val="none"/>
              </w:rPr>
            </w:pPr>
          </w:p>
        </w:tc>
        <w:tc>
          <w:tcPr>
            <w:tcW w:w="1148" w:type="dxa"/>
            <w:vAlign w:val="center"/>
          </w:tcPr>
          <w:p w14:paraId="1C8426AE">
            <w:pPr>
              <w:ind w:left="223" w:hanging="222" w:hangingChars="106"/>
              <w:jc w:val="center"/>
              <w:rPr>
                <w:color w:val="auto"/>
                <w:szCs w:val="21"/>
                <w:highlight w:val="none"/>
              </w:rPr>
            </w:pPr>
          </w:p>
        </w:tc>
        <w:tc>
          <w:tcPr>
            <w:tcW w:w="1148" w:type="dxa"/>
            <w:vAlign w:val="center"/>
          </w:tcPr>
          <w:p w14:paraId="6D2132DC">
            <w:pPr>
              <w:ind w:left="223" w:hanging="222" w:hangingChars="106"/>
              <w:jc w:val="center"/>
              <w:rPr>
                <w:color w:val="auto"/>
                <w:szCs w:val="21"/>
                <w:highlight w:val="none"/>
              </w:rPr>
            </w:pPr>
          </w:p>
        </w:tc>
        <w:tc>
          <w:tcPr>
            <w:tcW w:w="744" w:type="dxa"/>
            <w:vAlign w:val="center"/>
          </w:tcPr>
          <w:p w14:paraId="460A67C0">
            <w:pPr>
              <w:ind w:left="223" w:hanging="222" w:hangingChars="106"/>
              <w:jc w:val="center"/>
              <w:rPr>
                <w:color w:val="auto"/>
                <w:szCs w:val="21"/>
                <w:highlight w:val="none"/>
              </w:rPr>
            </w:pPr>
          </w:p>
        </w:tc>
        <w:tc>
          <w:tcPr>
            <w:tcW w:w="1167" w:type="dxa"/>
            <w:vAlign w:val="center"/>
          </w:tcPr>
          <w:p w14:paraId="49098D37">
            <w:pPr>
              <w:ind w:left="223" w:hanging="222" w:hangingChars="106"/>
              <w:jc w:val="center"/>
              <w:rPr>
                <w:color w:val="auto"/>
                <w:szCs w:val="21"/>
                <w:highlight w:val="none"/>
              </w:rPr>
            </w:pPr>
          </w:p>
        </w:tc>
        <w:tc>
          <w:tcPr>
            <w:tcW w:w="1276" w:type="dxa"/>
            <w:vAlign w:val="center"/>
          </w:tcPr>
          <w:p w14:paraId="4ED7AA32">
            <w:pPr>
              <w:ind w:left="223" w:hanging="222" w:hangingChars="106"/>
              <w:jc w:val="center"/>
              <w:rPr>
                <w:color w:val="auto"/>
                <w:szCs w:val="21"/>
                <w:highlight w:val="none"/>
              </w:rPr>
            </w:pPr>
          </w:p>
        </w:tc>
      </w:tr>
      <w:tr w14:paraId="723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2D6E8A5">
            <w:pPr>
              <w:pStyle w:val="183"/>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71AAA064">
            <w:pPr>
              <w:ind w:left="223" w:hanging="222" w:hangingChars="106"/>
              <w:jc w:val="center"/>
              <w:rPr>
                <w:color w:val="auto"/>
                <w:szCs w:val="21"/>
                <w:highlight w:val="none"/>
              </w:rPr>
            </w:pPr>
          </w:p>
        </w:tc>
        <w:tc>
          <w:tcPr>
            <w:tcW w:w="829" w:type="dxa"/>
            <w:vAlign w:val="center"/>
          </w:tcPr>
          <w:p w14:paraId="1BD5CD14">
            <w:pPr>
              <w:ind w:left="223" w:hanging="222" w:hangingChars="106"/>
              <w:jc w:val="center"/>
              <w:rPr>
                <w:color w:val="auto"/>
                <w:szCs w:val="21"/>
                <w:highlight w:val="none"/>
              </w:rPr>
            </w:pPr>
          </w:p>
        </w:tc>
        <w:tc>
          <w:tcPr>
            <w:tcW w:w="816" w:type="dxa"/>
            <w:vAlign w:val="center"/>
          </w:tcPr>
          <w:p w14:paraId="00E0EC98">
            <w:pPr>
              <w:ind w:left="223" w:hanging="222" w:hangingChars="106"/>
              <w:jc w:val="center"/>
              <w:rPr>
                <w:color w:val="auto"/>
                <w:szCs w:val="21"/>
                <w:highlight w:val="none"/>
              </w:rPr>
            </w:pPr>
          </w:p>
        </w:tc>
        <w:tc>
          <w:tcPr>
            <w:tcW w:w="1148" w:type="dxa"/>
            <w:vAlign w:val="center"/>
          </w:tcPr>
          <w:p w14:paraId="6716F7BE">
            <w:pPr>
              <w:ind w:left="223" w:hanging="222" w:hangingChars="106"/>
              <w:jc w:val="center"/>
              <w:rPr>
                <w:color w:val="auto"/>
                <w:szCs w:val="21"/>
                <w:highlight w:val="none"/>
              </w:rPr>
            </w:pPr>
          </w:p>
        </w:tc>
        <w:tc>
          <w:tcPr>
            <w:tcW w:w="1148" w:type="dxa"/>
            <w:vAlign w:val="center"/>
          </w:tcPr>
          <w:p w14:paraId="76065527">
            <w:pPr>
              <w:ind w:left="223" w:hanging="222" w:hangingChars="106"/>
              <w:jc w:val="center"/>
              <w:rPr>
                <w:color w:val="auto"/>
                <w:szCs w:val="21"/>
                <w:highlight w:val="none"/>
              </w:rPr>
            </w:pPr>
          </w:p>
        </w:tc>
        <w:tc>
          <w:tcPr>
            <w:tcW w:w="1148" w:type="dxa"/>
            <w:vAlign w:val="center"/>
          </w:tcPr>
          <w:p w14:paraId="0ED5605B">
            <w:pPr>
              <w:ind w:left="223" w:hanging="222" w:hangingChars="106"/>
              <w:jc w:val="center"/>
              <w:rPr>
                <w:color w:val="auto"/>
                <w:szCs w:val="21"/>
                <w:highlight w:val="none"/>
              </w:rPr>
            </w:pPr>
          </w:p>
        </w:tc>
        <w:tc>
          <w:tcPr>
            <w:tcW w:w="744" w:type="dxa"/>
            <w:vAlign w:val="center"/>
          </w:tcPr>
          <w:p w14:paraId="6D6C6F14">
            <w:pPr>
              <w:ind w:left="223" w:hanging="222" w:hangingChars="106"/>
              <w:jc w:val="center"/>
              <w:rPr>
                <w:color w:val="auto"/>
                <w:szCs w:val="21"/>
                <w:highlight w:val="none"/>
              </w:rPr>
            </w:pPr>
          </w:p>
        </w:tc>
        <w:tc>
          <w:tcPr>
            <w:tcW w:w="1167" w:type="dxa"/>
            <w:vAlign w:val="center"/>
          </w:tcPr>
          <w:p w14:paraId="474BDF4B">
            <w:pPr>
              <w:ind w:left="223" w:hanging="222" w:hangingChars="106"/>
              <w:jc w:val="center"/>
              <w:rPr>
                <w:color w:val="auto"/>
                <w:szCs w:val="21"/>
                <w:highlight w:val="none"/>
              </w:rPr>
            </w:pPr>
          </w:p>
        </w:tc>
        <w:tc>
          <w:tcPr>
            <w:tcW w:w="1276" w:type="dxa"/>
            <w:vAlign w:val="center"/>
          </w:tcPr>
          <w:p w14:paraId="670D389A">
            <w:pPr>
              <w:ind w:left="223" w:hanging="222" w:hangingChars="106"/>
              <w:jc w:val="center"/>
              <w:rPr>
                <w:color w:val="auto"/>
                <w:szCs w:val="21"/>
                <w:highlight w:val="none"/>
              </w:rPr>
            </w:pPr>
          </w:p>
        </w:tc>
      </w:tr>
      <w:tr w14:paraId="49FD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35CE9BA">
            <w:pPr>
              <w:pStyle w:val="183"/>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0321EE32">
            <w:pPr>
              <w:ind w:left="223" w:hanging="222" w:hangingChars="106"/>
              <w:jc w:val="center"/>
              <w:rPr>
                <w:color w:val="auto"/>
                <w:szCs w:val="21"/>
                <w:highlight w:val="none"/>
              </w:rPr>
            </w:pPr>
          </w:p>
        </w:tc>
        <w:tc>
          <w:tcPr>
            <w:tcW w:w="829" w:type="dxa"/>
            <w:vAlign w:val="center"/>
          </w:tcPr>
          <w:p w14:paraId="7579EBD9">
            <w:pPr>
              <w:ind w:left="223" w:hanging="222" w:hangingChars="106"/>
              <w:jc w:val="center"/>
              <w:rPr>
                <w:color w:val="auto"/>
                <w:szCs w:val="21"/>
                <w:highlight w:val="none"/>
              </w:rPr>
            </w:pPr>
          </w:p>
        </w:tc>
        <w:tc>
          <w:tcPr>
            <w:tcW w:w="816" w:type="dxa"/>
            <w:vAlign w:val="center"/>
          </w:tcPr>
          <w:p w14:paraId="701E3230">
            <w:pPr>
              <w:ind w:left="223" w:hanging="222" w:hangingChars="106"/>
              <w:jc w:val="center"/>
              <w:rPr>
                <w:color w:val="auto"/>
                <w:szCs w:val="21"/>
                <w:highlight w:val="none"/>
              </w:rPr>
            </w:pPr>
          </w:p>
        </w:tc>
        <w:tc>
          <w:tcPr>
            <w:tcW w:w="1148" w:type="dxa"/>
            <w:vAlign w:val="center"/>
          </w:tcPr>
          <w:p w14:paraId="13DDD106">
            <w:pPr>
              <w:ind w:left="223" w:hanging="222" w:hangingChars="106"/>
              <w:jc w:val="center"/>
              <w:rPr>
                <w:color w:val="auto"/>
                <w:szCs w:val="21"/>
                <w:highlight w:val="none"/>
              </w:rPr>
            </w:pPr>
          </w:p>
        </w:tc>
        <w:tc>
          <w:tcPr>
            <w:tcW w:w="1148" w:type="dxa"/>
            <w:vAlign w:val="center"/>
          </w:tcPr>
          <w:p w14:paraId="23AF8D55">
            <w:pPr>
              <w:ind w:left="223" w:hanging="222" w:hangingChars="106"/>
              <w:jc w:val="center"/>
              <w:rPr>
                <w:color w:val="auto"/>
                <w:szCs w:val="21"/>
                <w:highlight w:val="none"/>
              </w:rPr>
            </w:pPr>
          </w:p>
        </w:tc>
        <w:tc>
          <w:tcPr>
            <w:tcW w:w="1148" w:type="dxa"/>
            <w:vAlign w:val="center"/>
          </w:tcPr>
          <w:p w14:paraId="53DC3B5D">
            <w:pPr>
              <w:ind w:left="223" w:hanging="222" w:hangingChars="106"/>
              <w:jc w:val="center"/>
              <w:rPr>
                <w:color w:val="auto"/>
                <w:szCs w:val="21"/>
                <w:highlight w:val="none"/>
              </w:rPr>
            </w:pPr>
          </w:p>
        </w:tc>
        <w:tc>
          <w:tcPr>
            <w:tcW w:w="744" w:type="dxa"/>
            <w:vAlign w:val="center"/>
          </w:tcPr>
          <w:p w14:paraId="61E1EA34">
            <w:pPr>
              <w:ind w:left="223" w:hanging="222" w:hangingChars="106"/>
              <w:jc w:val="center"/>
              <w:rPr>
                <w:color w:val="auto"/>
                <w:szCs w:val="21"/>
                <w:highlight w:val="none"/>
              </w:rPr>
            </w:pPr>
          </w:p>
        </w:tc>
        <w:tc>
          <w:tcPr>
            <w:tcW w:w="1167" w:type="dxa"/>
            <w:vAlign w:val="center"/>
          </w:tcPr>
          <w:p w14:paraId="50998631">
            <w:pPr>
              <w:ind w:left="223" w:hanging="222" w:hangingChars="106"/>
              <w:jc w:val="center"/>
              <w:rPr>
                <w:color w:val="auto"/>
                <w:szCs w:val="21"/>
                <w:highlight w:val="none"/>
              </w:rPr>
            </w:pPr>
          </w:p>
        </w:tc>
        <w:tc>
          <w:tcPr>
            <w:tcW w:w="1276" w:type="dxa"/>
            <w:vAlign w:val="center"/>
          </w:tcPr>
          <w:p w14:paraId="5FE9EFAF">
            <w:pPr>
              <w:ind w:left="223" w:hanging="222" w:hangingChars="106"/>
              <w:jc w:val="center"/>
              <w:rPr>
                <w:color w:val="auto"/>
                <w:szCs w:val="21"/>
                <w:highlight w:val="none"/>
              </w:rPr>
            </w:pPr>
          </w:p>
        </w:tc>
      </w:tr>
      <w:tr w14:paraId="269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122B447">
            <w:pPr>
              <w:pStyle w:val="183"/>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6C2A5AFA">
            <w:pPr>
              <w:ind w:left="223" w:hanging="222" w:hangingChars="106"/>
              <w:jc w:val="center"/>
              <w:rPr>
                <w:color w:val="auto"/>
                <w:szCs w:val="21"/>
                <w:highlight w:val="none"/>
              </w:rPr>
            </w:pPr>
          </w:p>
        </w:tc>
        <w:tc>
          <w:tcPr>
            <w:tcW w:w="829" w:type="dxa"/>
            <w:vAlign w:val="center"/>
          </w:tcPr>
          <w:p w14:paraId="21831085">
            <w:pPr>
              <w:ind w:left="223" w:hanging="222" w:hangingChars="106"/>
              <w:jc w:val="center"/>
              <w:rPr>
                <w:color w:val="auto"/>
                <w:szCs w:val="21"/>
                <w:highlight w:val="none"/>
              </w:rPr>
            </w:pPr>
          </w:p>
        </w:tc>
        <w:tc>
          <w:tcPr>
            <w:tcW w:w="816" w:type="dxa"/>
            <w:vAlign w:val="center"/>
          </w:tcPr>
          <w:p w14:paraId="31DB9A7C">
            <w:pPr>
              <w:ind w:left="223" w:hanging="222" w:hangingChars="106"/>
              <w:jc w:val="center"/>
              <w:rPr>
                <w:color w:val="auto"/>
                <w:szCs w:val="21"/>
                <w:highlight w:val="none"/>
              </w:rPr>
            </w:pPr>
          </w:p>
        </w:tc>
        <w:tc>
          <w:tcPr>
            <w:tcW w:w="1148" w:type="dxa"/>
            <w:vAlign w:val="center"/>
          </w:tcPr>
          <w:p w14:paraId="26AD3017">
            <w:pPr>
              <w:ind w:left="223" w:hanging="222" w:hangingChars="106"/>
              <w:jc w:val="center"/>
              <w:rPr>
                <w:color w:val="auto"/>
                <w:szCs w:val="21"/>
                <w:highlight w:val="none"/>
              </w:rPr>
            </w:pPr>
          </w:p>
        </w:tc>
        <w:tc>
          <w:tcPr>
            <w:tcW w:w="1148" w:type="dxa"/>
            <w:vAlign w:val="center"/>
          </w:tcPr>
          <w:p w14:paraId="59958EDB">
            <w:pPr>
              <w:ind w:left="223" w:hanging="222" w:hangingChars="106"/>
              <w:jc w:val="center"/>
              <w:rPr>
                <w:color w:val="auto"/>
                <w:szCs w:val="21"/>
                <w:highlight w:val="none"/>
              </w:rPr>
            </w:pPr>
          </w:p>
        </w:tc>
        <w:tc>
          <w:tcPr>
            <w:tcW w:w="1148" w:type="dxa"/>
            <w:vAlign w:val="center"/>
          </w:tcPr>
          <w:p w14:paraId="3C8D742C">
            <w:pPr>
              <w:ind w:left="223" w:hanging="222" w:hangingChars="106"/>
              <w:jc w:val="center"/>
              <w:rPr>
                <w:color w:val="auto"/>
                <w:szCs w:val="21"/>
                <w:highlight w:val="none"/>
              </w:rPr>
            </w:pPr>
          </w:p>
        </w:tc>
        <w:tc>
          <w:tcPr>
            <w:tcW w:w="744" w:type="dxa"/>
            <w:vAlign w:val="center"/>
          </w:tcPr>
          <w:p w14:paraId="3754C47E">
            <w:pPr>
              <w:ind w:left="223" w:hanging="222" w:hangingChars="106"/>
              <w:jc w:val="center"/>
              <w:rPr>
                <w:color w:val="auto"/>
                <w:szCs w:val="21"/>
                <w:highlight w:val="none"/>
              </w:rPr>
            </w:pPr>
          </w:p>
        </w:tc>
        <w:tc>
          <w:tcPr>
            <w:tcW w:w="1167" w:type="dxa"/>
            <w:vAlign w:val="center"/>
          </w:tcPr>
          <w:p w14:paraId="3D85EFC2">
            <w:pPr>
              <w:ind w:left="223" w:hanging="222" w:hangingChars="106"/>
              <w:jc w:val="center"/>
              <w:rPr>
                <w:color w:val="auto"/>
                <w:szCs w:val="21"/>
                <w:highlight w:val="none"/>
              </w:rPr>
            </w:pPr>
          </w:p>
        </w:tc>
        <w:tc>
          <w:tcPr>
            <w:tcW w:w="1276" w:type="dxa"/>
            <w:vAlign w:val="center"/>
          </w:tcPr>
          <w:p w14:paraId="0C3CF46C">
            <w:pPr>
              <w:ind w:left="223" w:hanging="222" w:hangingChars="106"/>
              <w:jc w:val="center"/>
              <w:rPr>
                <w:color w:val="auto"/>
                <w:szCs w:val="21"/>
                <w:highlight w:val="none"/>
              </w:rPr>
            </w:pPr>
          </w:p>
        </w:tc>
      </w:tr>
      <w:tr w14:paraId="4B1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4DA0BF6">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503AA978">
            <w:pPr>
              <w:ind w:left="223" w:hanging="222" w:hangingChars="106"/>
              <w:jc w:val="center"/>
              <w:rPr>
                <w:color w:val="auto"/>
                <w:szCs w:val="21"/>
                <w:highlight w:val="none"/>
              </w:rPr>
            </w:pPr>
          </w:p>
        </w:tc>
        <w:tc>
          <w:tcPr>
            <w:tcW w:w="829" w:type="dxa"/>
            <w:vAlign w:val="center"/>
          </w:tcPr>
          <w:p w14:paraId="379BBE08">
            <w:pPr>
              <w:ind w:left="223" w:hanging="222" w:hangingChars="106"/>
              <w:jc w:val="center"/>
              <w:rPr>
                <w:color w:val="auto"/>
                <w:szCs w:val="21"/>
                <w:highlight w:val="none"/>
              </w:rPr>
            </w:pPr>
          </w:p>
        </w:tc>
        <w:tc>
          <w:tcPr>
            <w:tcW w:w="816" w:type="dxa"/>
            <w:vAlign w:val="center"/>
          </w:tcPr>
          <w:p w14:paraId="1FA30998">
            <w:pPr>
              <w:ind w:left="223" w:hanging="222" w:hangingChars="106"/>
              <w:jc w:val="center"/>
              <w:rPr>
                <w:color w:val="auto"/>
                <w:szCs w:val="21"/>
                <w:highlight w:val="none"/>
              </w:rPr>
            </w:pPr>
          </w:p>
        </w:tc>
        <w:tc>
          <w:tcPr>
            <w:tcW w:w="1148" w:type="dxa"/>
            <w:vAlign w:val="center"/>
          </w:tcPr>
          <w:p w14:paraId="32C3583A">
            <w:pPr>
              <w:ind w:left="223" w:hanging="222" w:hangingChars="106"/>
              <w:jc w:val="center"/>
              <w:rPr>
                <w:color w:val="auto"/>
                <w:szCs w:val="21"/>
                <w:highlight w:val="none"/>
              </w:rPr>
            </w:pPr>
          </w:p>
        </w:tc>
        <w:tc>
          <w:tcPr>
            <w:tcW w:w="1148" w:type="dxa"/>
            <w:vAlign w:val="center"/>
          </w:tcPr>
          <w:p w14:paraId="35269DD7">
            <w:pPr>
              <w:ind w:left="223" w:hanging="222" w:hangingChars="106"/>
              <w:jc w:val="center"/>
              <w:rPr>
                <w:color w:val="auto"/>
                <w:szCs w:val="21"/>
                <w:highlight w:val="none"/>
              </w:rPr>
            </w:pPr>
          </w:p>
        </w:tc>
        <w:tc>
          <w:tcPr>
            <w:tcW w:w="1148" w:type="dxa"/>
            <w:vAlign w:val="center"/>
          </w:tcPr>
          <w:p w14:paraId="19D85632">
            <w:pPr>
              <w:ind w:left="223" w:hanging="222" w:hangingChars="106"/>
              <w:jc w:val="center"/>
              <w:rPr>
                <w:color w:val="auto"/>
                <w:szCs w:val="21"/>
                <w:highlight w:val="none"/>
              </w:rPr>
            </w:pPr>
          </w:p>
        </w:tc>
        <w:tc>
          <w:tcPr>
            <w:tcW w:w="744" w:type="dxa"/>
            <w:vAlign w:val="center"/>
          </w:tcPr>
          <w:p w14:paraId="7E5487FF">
            <w:pPr>
              <w:ind w:left="223" w:hanging="222" w:hangingChars="106"/>
              <w:jc w:val="center"/>
              <w:rPr>
                <w:color w:val="auto"/>
                <w:szCs w:val="21"/>
                <w:highlight w:val="none"/>
              </w:rPr>
            </w:pPr>
          </w:p>
        </w:tc>
        <w:tc>
          <w:tcPr>
            <w:tcW w:w="1167" w:type="dxa"/>
            <w:vAlign w:val="center"/>
          </w:tcPr>
          <w:p w14:paraId="65CE3CA0">
            <w:pPr>
              <w:ind w:left="223" w:hanging="222" w:hangingChars="106"/>
              <w:jc w:val="center"/>
              <w:rPr>
                <w:color w:val="auto"/>
                <w:szCs w:val="21"/>
                <w:highlight w:val="none"/>
              </w:rPr>
            </w:pPr>
          </w:p>
        </w:tc>
        <w:tc>
          <w:tcPr>
            <w:tcW w:w="1276" w:type="dxa"/>
            <w:vAlign w:val="center"/>
          </w:tcPr>
          <w:p w14:paraId="3A772242">
            <w:pPr>
              <w:ind w:left="223" w:hanging="222" w:hangingChars="106"/>
              <w:jc w:val="center"/>
              <w:rPr>
                <w:color w:val="auto"/>
                <w:szCs w:val="21"/>
                <w:highlight w:val="none"/>
              </w:rPr>
            </w:pPr>
          </w:p>
        </w:tc>
      </w:tr>
      <w:tr w14:paraId="675A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BDB118C">
            <w:pPr>
              <w:jc w:val="left"/>
              <w:rPr>
                <w:color w:val="auto"/>
                <w:szCs w:val="21"/>
                <w:highlight w:val="none"/>
              </w:rPr>
            </w:pPr>
            <w:r>
              <w:rPr>
                <w:rFonts w:hint="eastAsia"/>
                <w:color w:val="auto"/>
                <w:szCs w:val="21"/>
                <w:highlight w:val="none"/>
              </w:rPr>
              <w:t>6.材料员</w:t>
            </w:r>
          </w:p>
        </w:tc>
        <w:tc>
          <w:tcPr>
            <w:tcW w:w="670" w:type="dxa"/>
            <w:vAlign w:val="center"/>
          </w:tcPr>
          <w:p w14:paraId="27A85A8A">
            <w:pPr>
              <w:ind w:left="223" w:hanging="222" w:hangingChars="106"/>
              <w:jc w:val="center"/>
              <w:rPr>
                <w:color w:val="auto"/>
                <w:szCs w:val="21"/>
                <w:highlight w:val="none"/>
              </w:rPr>
            </w:pPr>
          </w:p>
        </w:tc>
        <w:tc>
          <w:tcPr>
            <w:tcW w:w="829" w:type="dxa"/>
            <w:vAlign w:val="center"/>
          </w:tcPr>
          <w:p w14:paraId="2B29A270">
            <w:pPr>
              <w:ind w:left="223" w:hanging="222" w:hangingChars="106"/>
              <w:jc w:val="center"/>
              <w:rPr>
                <w:color w:val="auto"/>
                <w:szCs w:val="21"/>
                <w:highlight w:val="none"/>
              </w:rPr>
            </w:pPr>
          </w:p>
        </w:tc>
        <w:tc>
          <w:tcPr>
            <w:tcW w:w="816" w:type="dxa"/>
            <w:vAlign w:val="center"/>
          </w:tcPr>
          <w:p w14:paraId="5435BB40">
            <w:pPr>
              <w:ind w:left="223" w:hanging="222" w:hangingChars="106"/>
              <w:jc w:val="center"/>
              <w:rPr>
                <w:color w:val="auto"/>
                <w:szCs w:val="21"/>
                <w:highlight w:val="none"/>
              </w:rPr>
            </w:pPr>
          </w:p>
        </w:tc>
        <w:tc>
          <w:tcPr>
            <w:tcW w:w="1148" w:type="dxa"/>
            <w:vAlign w:val="center"/>
          </w:tcPr>
          <w:p w14:paraId="42935929">
            <w:pPr>
              <w:ind w:left="223" w:hanging="222" w:hangingChars="106"/>
              <w:jc w:val="center"/>
              <w:rPr>
                <w:color w:val="auto"/>
                <w:szCs w:val="21"/>
                <w:highlight w:val="none"/>
              </w:rPr>
            </w:pPr>
          </w:p>
        </w:tc>
        <w:tc>
          <w:tcPr>
            <w:tcW w:w="1148" w:type="dxa"/>
            <w:vAlign w:val="center"/>
          </w:tcPr>
          <w:p w14:paraId="43392BF1">
            <w:pPr>
              <w:ind w:left="223" w:hanging="222" w:hangingChars="106"/>
              <w:jc w:val="center"/>
              <w:rPr>
                <w:color w:val="auto"/>
                <w:szCs w:val="21"/>
                <w:highlight w:val="none"/>
              </w:rPr>
            </w:pPr>
          </w:p>
        </w:tc>
        <w:tc>
          <w:tcPr>
            <w:tcW w:w="1148" w:type="dxa"/>
            <w:vAlign w:val="center"/>
          </w:tcPr>
          <w:p w14:paraId="186F1D0F">
            <w:pPr>
              <w:ind w:left="223" w:hanging="222" w:hangingChars="106"/>
              <w:jc w:val="center"/>
              <w:rPr>
                <w:color w:val="auto"/>
                <w:szCs w:val="21"/>
                <w:highlight w:val="none"/>
              </w:rPr>
            </w:pPr>
          </w:p>
        </w:tc>
        <w:tc>
          <w:tcPr>
            <w:tcW w:w="744" w:type="dxa"/>
            <w:vAlign w:val="center"/>
          </w:tcPr>
          <w:p w14:paraId="5C1F3C74">
            <w:pPr>
              <w:ind w:left="223" w:hanging="222" w:hangingChars="106"/>
              <w:jc w:val="center"/>
              <w:rPr>
                <w:color w:val="auto"/>
                <w:szCs w:val="21"/>
                <w:highlight w:val="none"/>
              </w:rPr>
            </w:pPr>
          </w:p>
        </w:tc>
        <w:tc>
          <w:tcPr>
            <w:tcW w:w="1167" w:type="dxa"/>
            <w:vAlign w:val="center"/>
          </w:tcPr>
          <w:p w14:paraId="0DFA87AA">
            <w:pPr>
              <w:ind w:left="223" w:hanging="222" w:hangingChars="106"/>
              <w:jc w:val="center"/>
              <w:rPr>
                <w:color w:val="auto"/>
                <w:szCs w:val="21"/>
                <w:highlight w:val="none"/>
              </w:rPr>
            </w:pPr>
          </w:p>
        </w:tc>
        <w:tc>
          <w:tcPr>
            <w:tcW w:w="1276" w:type="dxa"/>
            <w:vAlign w:val="center"/>
          </w:tcPr>
          <w:p w14:paraId="6DFE6F88">
            <w:pPr>
              <w:ind w:left="223" w:hanging="222" w:hangingChars="106"/>
              <w:jc w:val="center"/>
              <w:rPr>
                <w:color w:val="auto"/>
                <w:szCs w:val="21"/>
                <w:highlight w:val="none"/>
              </w:rPr>
            </w:pPr>
          </w:p>
        </w:tc>
      </w:tr>
      <w:tr w14:paraId="311D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CAFECEC">
            <w:pPr>
              <w:ind w:left="223" w:hanging="222" w:hangingChars="106"/>
              <w:jc w:val="center"/>
              <w:rPr>
                <w:color w:val="auto"/>
                <w:szCs w:val="21"/>
                <w:highlight w:val="none"/>
              </w:rPr>
            </w:pPr>
          </w:p>
        </w:tc>
        <w:tc>
          <w:tcPr>
            <w:tcW w:w="670" w:type="dxa"/>
            <w:vAlign w:val="center"/>
          </w:tcPr>
          <w:p w14:paraId="6116C7AB">
            <w:pPr>
              <w:ind w:left="223" w:hanging="222" w:hangingChars="106"/>
              <w:jc w:val="center"/>
              <w:rPr>
                <w:color w:val="auto"/>
                <w:szCs w:val="21"/>
                <w:highlight w:val="none"/>
              </w:rPr>
            </w:pPr>
          </w:p>
        </w:tc>
        <w:tc>
          <w:tcPr>
            <w:tcW w:w="829" w:type="dxa"/>
            <w:vAlign w:val="center"/>
          </w:tcPr>
          <w:p w14:paraId="60F7FE04">
            <w:pPr>
              <w:ind w:left="223" w:hanging="222" w:hangingChars="106"/>
              <w:jc w:val="center"/>
              <w:rPr>
                <w:color w:val="auto"/>
                <w:szCs w:val="21"/>
                <w:highlight w:val="none"/>
              </w:rPr>
            </w:pPr>
          </w:p>
        </w:tc>
        <w:tc>
          <w:tcPr>
            <w:tcW w:w="816" w:type="dxa"/>
            <w:vAlign w:val="center"/>
          </w:tcPr>
          <w:p w14:paraId="397DF857">
            <w:pPr>
              <w:ind w:left="223" w:hanging="222" w:hangingChars="106"/>
              <w:jc w:val="center"/>
              <w:rPr>
                <w:color w:val="auto"/>
                <w:szCs w:val="21"/>
                <w:highlight w:val="none"/>
              </w:rPr>
            </w:pPr>
          </w:p>
        </w:tc>
        <w:tc>
          <w:tcPr>
            <w:tcW w:w="1148" w:type="dxa"/>
            <w:vAlign w:val="center"/>
          </w:tcPr>
          <w:p w14:paraId="79DC1B3C">
            <w:pPr>
              <w:ind w:left="223" w:hanging="222" w:hangingChars="106"/>
              <w:jc w:val="center"/>
              <w:rPr>
                <w:color w:val="auto"/>
                <w:szCs w:val="21"/>
                <w:highlight w:val="none"/>
              </w:rPr>
            </w:pPr>
          </w:p>
        </w:tc>
        <w:tc>
          <w:tcPr>
            <w:tcW w:w="1148" w:type="dxa"/>
            <w:vAlign w:val="center"/>
          </w:tcPr>
          <w:p w14:paraId="583F5039">
            <w:pPr>
              <w:ind w:left="223" w:hanging="222" w:hangingChars="106"/>
              <w:jc w:val="center"/>
              <w:rPr>
                <w:color w:val="auto"/>
                <w:szCs w:val="21"/>
                <w:highlight w:val="none"/>
              </w:rPr>
            </w:pPr>
          </w:p>
        </w:tc>
        <w:tc>
          <w:tcPr>
            <w:tcW w:w="1148" w:type="dxa"/>
            <w:vAlign w:val="center"/>
          </w:tcPr>
          <w:p w14:paraId="1B9CCB8B">
            <w:pPr>
              <w:ind w:left="223" w:hanging="222" w:hangingChars="106"/>
              <w:jc w:val="center"/>
              <w:rPr>
                <w:color w:val="auto"/>
                <w:szCs w:val="21"/>
                <w:highlight w:val="none"/>
              </w:rPr>
            </w:pPr>
          </w:p>
        </w:tc>
        <w:tc>
          <w:tcPr>
            <w:tcW w:w="744" w:type="dxa"/>
            <w:vAlign w:val="center"/>
          </w:tcPr>
          <w:p w14:paraId="15D4AA70">
            <w:pPr>
              <w:ind w:left="223" w:hanging="222" w:hangingChars="106"/>
              <w:jc w:val="center"/>
              <w:rPr>
                <w:color w:val="auto"/>
                <w:szCs w:val="21"/>
                <w:highlight w:val="none"/>
              </w:rPr>
            </w:pPr>
          </w:p>
        </w:tc>
        <w:tc>
          <w:tcPr>
            <w:tcW w:w="1167" w:type="dxa"/>
            <w:vAlign w:val="center"/>
          </w:tcPr>
          <w:p w14:paraId="241E2BAB">
            <w:pPr>
              <w:ind w:left="223" w:hanging="222" w:hangingChars="106"/>
              <w:jc w:val="center"/>
              <w:rPr>
                <w:color w:val="auto"/>
                <w:szCs w:val="21"/>
                <w:highlight w:val="none"/>
              </w:rPr>
            </w:pPr>
          </w:p>
        </w:tc>
        <w:tc>
          <w:tcPr>
            <w:tcW w:w="1276" w:type="dxa"/>
            <w:vAlign w:val="center"/>
          </w:tcPr>
          <w:p w14:paraId="5E48328F">
            <w:pPr>
              <w:ind w:left="223" w:hanging="222" w:hangingChars="106"/>
              <w:jc w:val="center"/>
              <w:rPr>
                <w:color w:val="auto"/>
                <w:szCs w:val="21"/>
                <w:highlight w:val="none"/>
              </w:rPr>
            </w:pPr>
          </w:p>
        </w:tc>
      </w:tr>
      <w:tr w14:paraId="06A5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695FFB45">
            <w:pPr>
              <w:spacing w:line="360" w:lineRule="auto"/>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516A46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4AE20CCA">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035FB088">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供应商应当在本表后附所有管理人员的身份证、职称证、执业或职业资格证书的复印件并加盖供应商电子签章。</w:t>
      </w:r>
    </w:p>
    <w:p w14:paraId="291EFA7A">
      <w:pPr>
        <w:spacing w:line="360" w:lineRule="auto"/>
        <w:ind w:firstLine="480" w:firstLineChars="2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0DBFA2F2">
      <w:pPr>
        <w:spacing w:line="360" w:lineRule="auto"/>
        <w:ind w:firstLine="560" w:firstLineChars="200"/>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125B70B">
      <w:pPr>
        <w:spacing w:line="360" w:lineRule="auto"/>
        <w:jc w:val="center"/>
        <w:rPr>
          <w:rFonts w:ascii="宋体" w:hAnsi="宋体"/>
          <w:b/>
          <w:color w:val="auto"/>
          <w:sz w:val="28"/>
          <w:szCs w:val="28"/>
          <w:highlight w:val="none"/>
        </w:rPr>
      </w:pPr>
      <w:r>
        <w:rPr>
          <w:rFonts w:ascii="宋体" w:hAnsi="宋体"/>
          <w:b/>
          <w:color w:val="auto"/>
          <w:sz w:val="32"/>
          <w:szCs w:val="32"/>
          <w:highlight w:val="none"/>
        </w:rPr>
        <w:br w:type="page"/>
      </w:r>
      <w:r>
        <w:rPr>
          <w:rFonts w:hint="eastAsia" w:ascii="宋体" w:hAnsi="宋体"/>
          <w:b/>
          <w:color w:val="auto"/>
          <w:sz w:val="28"/>
          <w:szCs w:val="28"/>
          <w:highlight w:val="none"/>
        </w:rPr>
        <w:t>（二）拟投入的主要人员简历表</w:t>
      </w:r>
    </w:p>
    <w:p w14:paraId="284A2FEC">
      <w:pPr>
        <w:spacing w:line="360" w:lineRule="auto"/>
        <w:ind w:firstLine="562" w:firstLineChars="200"/>
        <w:jc w:val="center"/>
        <w:rPr>
          <w:color w:val="auto"/>
          <w:sz w:val="28"/>
          <w:szCs w:val="28"/>
          <w:highlight w:val="none"/>
          <w:u w:val="single"/>
        </w:rPr>
      </w:pPr>
      <w:r>
        <w:rPr>
          <w:rFonts w:hint="eastAsia" w:cs="宋体"/>
          <w:b/>
          <w:color w:val="auto"/>
          <w:sz w:val="28"/>
          <w:szCs w:val="28"/>
          <w:highlight w:val="none"/>
        </w:rPr>
        <w:t>项目经理简历表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442"/>
        <w:gridCol w:w="888"/>
        <w:gridCol w:w="660"/>
        <w:gridCol w:w="328"/>
        <w:gridCol w:w="234"/>
        <w:gridCol w:w="66"/>
        <w:gridCol w:w="1209"/>
        <w:gridCol w:w="142"/>
        <w:gridCol w:w="242"/>
        <w:gridCol w:w="1088"/>
        <w:gridCol w:w="88"/>
        <w:gridCol w:w="409"/>
        <w:gridCol w:w="1108"/>
        <w:gridCol w:w="36"/>
        <w:gridCol w:w="79"/>
        <w:gridCol w:w="1405"/>
        <w:gridCol w:w="11"/>
      </w:tblGrid>
      <w:tr w14:paraId="6C31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5412CD98">
            <w:pPr>
              <w:jc w:val="center"/>
              <w:rPr>
                <w:color w:val="auto"/>
                <w:highlight w:val="none"/>
              </w:rPr>
            </w:pPr>
            <w:r>
              <w:rPr>
                <w:rFonts w:hint="eastAsia" w:cs="宋体"/>
                <w:color w:val="auto"/>
                <w:highlight w:val="none"/>
              </w:rPr>
              <w:t>姓名</w:t>
            </w:r>
          </w:p>
        </w:tc>
        <w:tc>
          <w:tcPr>
            <w:tcW w:w="2318" w:type="dxa"/>
            <w:gridSpan w:val="4"/>
            <w:vAlign w:val="center"/>
          </w:tcPr>
          <w:p w14:paraId="255EF565">
            <w:pPr>
              <w:jc w:val="center"/>
              <w:rPr>
                <w:color w:val="auto"/>
                <w:highlight w:val="none"/>
              </w:rPr>
            </w:pPr>
          </w:p>
        </w:tc>
        <w:tc>
          <w:tcPr>
            <w:tcW w:w="1893" w:type="dxa"/>
            <w:gridSpan w:val="5"/>
            <w:vAlign w:val="center"/>
          </w:tcPr>
          <w:p w14:paraId="28CEB1BE">
            <w:pPr>
              <w:jc w:val="center"/>
              <w:rPr>
                <w:color w:val="auto"/>
                <w:highlight w:val="none"/>
              </w:rPr>
            </w:pPr>
            <w:r>
              <w:rPr>
                <w:rFonts w:hint="eastAsia" w:cs="宋体"/>
                <w:color w:val="auto"/>
                <w:highlight w:val="none"/>
              </w:rPr>
              <w:t>性别</w:t>
            </w:r>
          </w:p>
        </w:tc>
        <w:tc>
          <w:tcPr>
            <w:tcW w:w="1585" w:type="dxa"/>
            <w:gridSpan w:val="3"/>
            <w:vAlign w:val="center"/>
          </w:tcPr>
          <w:p w14:paraId="173B53D3">
            <w:pPr>
              <w:jc w:val="center"/>
              <w:rPr>
                <w:color w:val="auto"/>
                <w:highlight w:val="none"/>
              </w:rPr>
            </w:pPr>
          </w:p>
        </w:tc>
        <w:tc>
          <w:tcPr>
            <w:tcW w:w="1108" w:type="dxa"/>
            <w:vAlign w:val="center"/>
          </w:tcPr>
          <w:p w14:paraId="2AAF72A7">
            <w:pPr>
              <w:jc w:val="center"/>
              <w:rPr>
                <w:color w:val="auto"/>
                <w:highlight w:val="none"/>
              </w:rPr>
            </w:pPr>
            <w:r>
              <w:rPr>
                <w:rFonts w:hint="eastAsia" w:cs="宋体"/>
                <w:color w:val="auto"/>
                <w:highlight w:val="none"/>
              </w:rPr>
              <w:t>年龄</w:t>
            </w:r>
          </w:p>
        </w:tc>
        <w:tc>
          <w:tcPr>
            <w:tcW w:w="1531" w:type="dxa"/>
            <w:gridSpan w:val="4"/>
            <w:vAlign w:val="center"/>
          </w:tcPr>
          <w:p w14:paraId="0287419E">
            <w:pPr>
              <w:jc w:val="center"/>
              <w:rPr>
                <w:color w:val="auto"/>
                <w:highlight w:val="none"/>
              </w:rPr>
            </w:pPr>
          </w:p>
        </w:tc>
      </w:tr>
      <w:tr w14:paraId="716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79F3C800">
            <w:pPr>
              <w:jc w:val="center"/>
              <w:rPr>
                <w:color w:val="auto"/>
                <w:highlight w:val="none"/>
              </w:rPr>
            </w:pPr>
            <w:r>
              <w:rPr>
                <w:rFonts w:hint="eastAsia" w:cs="宋体"/>
                <w:color w:val="auto"/>
                <w:highlight w:val="none"/>
              </w:rPr>
              <w:t>岗位</w:t>
            </w:r>
          </w:p>
        </w:tc>
        <w:tc>
          <w:tcPr>
            <w:tcW w:w="2318" w:type="dxa"/>
            <w:gridSpan w:val="4"/>
            <w:vAlign w:val="center"/>
          </w:tcPr>
          <w:p w14:paraId="20D2C907">
            <w:pPr>
              <w:jc w:val="center"/>
              <w:rPr>
                <w:color w:val="auto"/>
                <w:highlight w:val="none"/>
              </w:rPr>
            </w:pPr>
            <w:r>
              <w:rPr>
                <w:rFonts w:hint="eastAsia"/>
                <w:color w:val="auto"/>
                <w:highlight w:val="none"/>
              </w:rPr>
              <w:t>项目经理</w:t>
            </w:r>
          </w:p>
        </w:tc>
        <w:tc>
          <w:tcPr>
            <w:tcW w:w="1893" w:type="dxa"/>
            <w:gridSpan w:val="5"/>
            <w:vAlign w:val="center"/>
          </w:tcPr>
          <w:p w14:paraId="210DEC6B">
            <w:pPr>
              <w:jc w:val="center"/>
              <w:rPr>
                <w:color w:val="auto"/>
                <w:highlight w:val="none"/>
              </w:rPr>
            </w:pPr>
            <w:r>
              <w:rPr>
                <w:rFonts w:hint="eastAsia" w:cs="宋体"/>
                <w:color w:val="auto"/>
                <w:highlight w:val="none"/>
              </w:rPr>
              <w:t>职称</w:t>
            </w:r>
          </w:p>
        </w:tc>
        <w:tc>
          <w:tcPr>
            <w:tcW w:w="1585" w:type="dxa"/>
            <w:gridSpan w:val="3"/>
            <w:vAlign w:val="center"/>
          </w:tcPr>
          <w:p w14:paraId="6416218F">
            <w:pPr>
              <w:jc w:val="center"/>
              <w:rPr>
                <w:color w:val="auto"/>
                <w:highlight w:val="none"/>
              </w:rPr>
            </w:pPr>
          </w:p>
        </w:tc>
        <w:tc>
          <w:tcPr>
            <w:tcW w:w="1108" w:type="dxa"/>
            <w:vAlign w:val="center"/>
          </w:tcPr>
          <w:p w14:paraId="24D50224">
            <w:pPr>
              <w:jc w:val="center"/>
              <w:rPr>
                <w:color w:val="auto"/>
                <w:highlight w:val="none"/>
              </w:rPr>
            </w:pPr>
            <w:r>
              <w:rPr>
                <w:rFonts w:hint="eastAsia" w:cs="宋体"/>
                <w:color w:val="auto"/>
                <w:highlight w:val="none"/>
              </w:rPr>
              <w:t>学历</w:t>
            </w:r>
          </w:p>
        </w:tc>
        <w:tc>
          <w:tcPr>
            <w:tcW w:w="1531" w:type="dxa"/>
            <w:gridSpan w:val="4"/>
            <w:vAlign w:val="center"/>
          </w:tcPr>
          <w:p w14:paraId="47914A6F">
            <w:pPr>
              <w:jc w:val="center"/>
              <w:rPr>
                <w:color w:val="auto"/>
                <w:highlight w:val="none"/>
              </w:rPr>
            </w:pPr>
          </w:p>
        </w:tc>
      </w:tr>
      <w:tr w14:paraId="365F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48020D3C">
            <w:pPr>
              <w:jc w:val="center"/>
              <w:rPr>
                <w:rFonts w:cs="宋体"/>
                <w:color w:val="auto"/>
                <w:highlight w:val="none"/>
              </w:rPr>
            </w:pPr>
            <w:r>
              <w:rPr>
                <w:rFonts w:hint="eastAsia" w:cs="宋体"/>
                <w:color w:val="auto"/>
                <w:highlight w:val="none"/>
              </w:rPr>
              <w:t>从业开始时间</w:t>
            </w:r>
          </w:p>
        </w:tc>
        <w:tc>
          <w:tcPr>
            <w:tcW w:w="2318" w:type="dxa"/>
            <w:gridSpan w:val="4"/>
            <w:vAlign w:val="center"/>
          </w:tcPr>
          <w:p w14:paraId="2A0E70ED">
            <w:pPr>
              <w:jc w:val="center"/>
              <w:rPr>
                <w:color w:val="auto"/>
                <w:highlight w:val="none"/>
              </w:rPr>
            </w:pPr>
          </w:p>
        </w:tc>
        <w:tc>
          <w:tcPr>
            <w:tcW w:w="1893" w:type="dxa"/>
            <w:gridSpan w:val="5"/>
            <w:vAlign w:val="center"/>
          </w:tcPr>
          <w:p w14:paraId="74D1660B">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716738A7">
            <w:pPr>
              <w:jc w:val="center"/>
              <w:rPr>
                <w:color w:val="auto"/>
                <w:highlight w:val="none"/>
              </w:rPr>
            </w:pPr>
          </w:p>
        </w:tc>
        <w:tc>
          <w:tcPr>
            <w:tcW w:w="1108" w:type="dxa"/>
            <w:vAlign w:val="center"/>
          </w:tcPr>
          <w:p w14:paraId="67FE8BE7">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75EEB4B1">
            <w:pPr>
              <w:jc w:val="center"/>
              <w:rPr>
                <w:color w:val="auto"/>
                <w:highlight w:val="none"/>
              </w:rPr>
            </w:pPr>
          </w:p>
        </w:tc>
      </w:tr>
      <w:tr w14:paraId="28D7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22345D16">
            <w:pPr>
              <w:jc w:val="center"/>
              <w:rPr>
                <w:color w:val="auto"/>
                <w:highlight w:val="none"/>
              </w:rPr>
            </w:pPr>
            <w:r>
              <w:rPr>
                <w:rFonts w:hint="eastAsia" w:cs="宋体"/>
                <w:color w:val="auto"/>
                <w:highlight w:val="none"/>
              </w:rPr>
              <w:t>担任项目经理年限</w:t>
            </w:r>
          </w:p>
        </w:tc>
        <w:tc>
          <w:tcPr>
            <w:tcW w:w="2618" w:type="dxa"/>
            <w:gridSpan w:val="6"/>
            <w:vAlign w:val="center"/>
          </w:tcPr>
          <w:p w14:paraId="5BECC0BF">
            <w:pPr>
              <w:jc w:val="center"/>
              <w:rPr>
                <w:color w:val="auto"/>
                <w:highlight w:val="none"/>
              </w:rPr>
            </w:pPr>
          </w:p>
        </w:tc>
        <w:tc>
          <w:tcPr>
            <w:tcW w:w="1209" w:type="dxa"/>
            <w:vAlign w:val="center"/>
          </w:tcPr>
          <w:p w14:paraId="55EB31C6">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71C076EF">
            <w:pPr>
              <w:jc w:val="center"/>
              <w:rPr>
                <w:color w:val="auto"/>
                <w:highlight w:val="none"/>
              </w:rPr>
            </w:pPr>
          </w:p>
        </w:tc>
      </w:tr>
      <w:tr w14:paraId="5F24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06B96992">
            <w:pPr>
              <w:jc w:val="center"/>
              <w:rPr>
                <w:color w:val="auto"/>
                <w:highlight w:val="none"/>
              </w:rPr>
            </w:pPr>
            <w:r>
              <w:rPr>
                <w:rFonts w:hint="eastAsia"/>
                <w:color w:val="auto"/>
                <w:highlight w:val="none"/>
              </w:rPr>
              <w:t>证书名称</w:t>
            </w:r>
          </w:p>
        </w:tc>
        <w:tc>
          <w:tcPr>
            <w:tcW w:w="1330" w:type="dxa"/>
            <w:gridSpan w:val="2"/>
            <w:vAlign w:val="center"/>
          </w:tcPr>
          <w:p w14:paraId="146D489C">
            <w:pPr>
              <w:jc w:val="center"/>
              <w:rPr>
                <w:color w:val="auto"/>
                <w:highlight w:val="none"/>
              </w:rPr>
            </w:pPr>
            <w:r>
              <w:rPr>
                <w:rFonts w:hint="eastAsia"/>
                <w:color w:val="auto"/>
                <w:highlight w:val="none"/>
              </w:rPr>
              <w:t>注册专业</w:t>
            </w:r>
          </w:p>
        </w:tc>
        <w:tc>
          <w:tcPr>
            <w:tcW w:w="1222" w:type="dxa"/>
            <w:gridSpan w:val="3"/>
            <w:vAlign w:val="center"/>
          </w:tcPr>
          <w:p w14:paraId="47ABA6FE">
            <w:pPr>
              <w:jc w:val="center"/>
              <w:rPr>
                <w:color w:val="auto"/>
                <w:highlight w:val="none"/>
              </w:rPr>
            </w:pPr>
            <w:r>
              <w:rPr>
                <w:color w:val="auto"/>
                <w:highlight w:val="none"/>
              </w:rPr>
              <w:t>级别</w:t>
            </w:r>
          </w:p>
        </w:tc>
        <w:tc>
          <w:tcPr>
            <w:tcW w:w="1417" w:type="dxa"/>
            <w:gridSpan w:val="3"/>
            <w:vAlign w:val="center"/>
          </w:tcPr>
          <w:p w14:paraId="05FFC4CF">
            <w:pPr>
              <w:jc w:val="center"/>
              <w:rPr>
                <w:color w:val="auto"/>
                <w:highlight w:val="none"/>
              </w:rPr>
            </w:pPr>
            <w:r>
              <w:rPr>
                <w:rFonts w:hint="eastAsia" w:cs="宋体"/>
                <w:color w:val="auto"/>
                <w:highlight w:val="none"/>
              </w:rPr>
              <w:t>证书编号</w:t>
            </w:r>
          </w:p>
        </w:tc>
        <w:tc>
          <w:tcPr>
            <w:tcW w:w="1418" w:type="dxa"/>
            <w:gridSpan w:val="3"/>
            <w:vAlign w:val="center"/>
          </w:tcPr>
          <w:p w14:paraId="764195A0">
            <w:pPr>
              <w:jc w:val="center"/>
              <w:rPr>
                <w:color w:val="auto"/>
                <w:highlight w:val="none"/>
              </w:rPr>
            </w:pPr>
            <w:r>
              <w:rPr>
                <w:rFonts w:hint="eastAsia"/>
                <w:color w:val="auto"/>
                <w:highlight w:val="none"/>
              </w:rPr>
              <w:t>注册时间</w:t>
            </w:r>
          </w:p>
        </w:tc>
        <w:tc>
          <w:tcPr>
            <w:tcW w:w="1632" w:type="dxa"/>
            <w:gridSpan w:val="4"/>
            <w:vAlign w:val="center"/>
          </w:tcPr>
          <w:p w14:paraId="3CB48E9A">
            <w:pPr>
              <w:jc w:val="center"/>
              <w:rPr>
                <w:color w:val="auto"/>
                <w:highlight w:val="none"/>
              </w:rPr>
            </w:pPr>
            <w:r>
              <w:rPr>
                <w:rFonts w:hint="eastAsia"/>
                <w:color w:val="auto"/>
                <w:highlight w:val="none"/>
              </w:rPr>
              <w:t>注册单位</w:t>
            </w:r>
          </w:p>
        </w:tc>
        <w:tc>
          <w:tcPr>
            <w:tcW w:w="1416" w:type="dxa"/>
            <w:gridSpan w:val="2"/>
            <w:vAlign w:val="center"/>
          </w:tcPr>
          <w:p w14:paraId="58A748D7">
            <w:pPr>
              <w:jc w:val="center"/>
              <w:rPr>
                <w:color w:val="auto"/>
                <w:highlight w:val="none"/>
              </w:rPr>
            </w:pPr>
            <w:r>
              <w:rPr>
                <w:rFonts w:hint="eastAsia"/>
                <w:color w:val="auto"/>
                <w:highlight w:val="none"/>
              </w:rPr>
              <w:t>注册有效期</w:t>
            </w:r>
          </w:p>
        </w:tc>
      </w:tr>
      <w:tr w14:paraId="776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7C99437E">
            <w:pPr>
              <w:jc w:val="center"/>
              <w:rPr>
                <w:color w:val="auto"/>
                <w:highlight w:val="none"/>
              </w:rPr>
            </w:pPr>
          </w:p>
        </w:tc>
        <w:tc>
          <w:tcPr>
            <w:tcW w:w="1330" w:type="dxa"/>
            <w:gridSpan w:val="2"/>
            <w:vAlign w:val="center"/>
          </w:tcPr>
          <w:p w14:paraId="40B287AB">
            <w:pPr>
              <w:jc w:val="center"/>
              <w:rPr>
                <w:color w:val="auto"/>
                <w:highlight w:val="none"/>
              </w:rPr>
            </w:pPr>
          </w:p>
        </w:tc>
        <w:tc>
          <w:tcPr>
            <w:tcW w:w="1222" w:type="dxa"/>
            <w:gridSpan w:val="3"/>
            <w:vAlign w:val="center"/>
          </w:tcPr>
          <w:p w14:paraId="3B8388E5">
            <w:pPr>
              <w:jc w:val="center"/>
              <w:rPr>
                <w:rFonts w:cs="宋体"/>
                <w:color w:val="auto"/>
                <w:highlight w:val="none"/>
              </w:rPr>
            </w:pPr>
          </w:p>
        </w:tc>
        <w:tc>
          <w:tcPr>
            <w:tcW w:w="1417" w:type="dxa"/>
            <w:gridSpan w:val="3"/>
            <w:vAlign w:val="center"/>
          </w:tcPr>
          <w:p w14:paraId="2D001141">
            <w:pPr>
              <w:jc w:val="center"/>
              <w:rPr>
                <w:color w:val="auto"/>
                <w:highlight w:val="none"/>
              </w:rPr>
            </w:pPr>
          </w:p>
        </w:tc>
        <w:tc>
          <w:tcPr>
            <w:tcW w:w="1418" w:type="dxa"/>
            <w:gridSpan w:val="3"/>
            <w:vAlign w:val="center"/>
          </w:tcPr>
          <w:p w14:paraId="27253DF5">
            <w:pPr>
              <w:jc w:val="center"/>
              <w:rPr>
                <w:color w:val="auto"/>
                <w:highlight w:val="none"/>
              </w:rPr>
            </w:pPr>
          </w:p>
        </w:tc>
        <w:tc>
          <w:tcPr>
            <w:tcW w:w="1632" w:type="dxa"/>
            <w:gridSpan w:val="4"/>
            <w:vAlign w:val="center"/>
          </w:tcPr>
          <w:p w14:paraId="03E559B4">
            <w:pPr>
              <w:jc w:val="center"/>
              <w:rPr>
                <w:color w:val="auto"/>
                <w:highlight w:val="none"/>
              </w:rPr>
            </w:pPr>
          </w:p>
        </w:tc>
        <w:tc>
          <w:tcPr>
            <w:tcW w:w="1416" w:type="dxa"/>
            <w:gridSpan w:val="2"/>
            <w:vAlign w:val="center"/>
          </w:tcPr>
          <w:p w14:paraId="5BB33D9C">
            <w:pPr>
              <w:jc w:val="center"/>
              <w:rPr>
                <w:color w:val="auto"/>
                <w:highlight w:val="none"/>
              </w:rPr>
            </w:pPr>
          </w:p>
        </w:tc>
      </w:tr>
      <w:tr w14:paraId="7735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46E9E598">
            <w:pPr>
              <w:jc w:val="center"/>
              <w:rPr>
                <w:color w:val="auto"/>
                <w:highlight w:val="none"/>
              </w:rPr>
            </w:pPr>
            <w:r>
              <w:rPr>
                <w:rFonts w:hint="eastAsia"/>
                <w:color w:val="auto"/>
                <w:highlight w:val="none"/>
              </w:rPr>
              <w:t>安全生产考核合格证书</w:t>
            </w:r>
          </w:p>
        </w:tc>
        <w:tc>
          <w:tcPr>
            <w:tcW w:w="1330" w:type="dxa"/>
            <w:gridSpan w:val="2"/>
            <w:vAlign w:val="center"/>
          </w:tcPr>
          <w:p w14:paraId="084592A0">
            <w:pPr>
              <w:jc w:val="center"/>
              <w:rPr>
                <w:color w:val="auto"/>
                <w:highlight w:val="none"/>
              </w:rPr>
            </w:pPr>
          </w:p>
        </w:tc>
        <w:tc>
          <w:tcPr>
            <w:tcW w:w="1222" w:type="dxa"/>
            <w:gridSpan w:val="3"/>
            <w:vAlign w:val="center"/>
          </w:tcPr>
          <w:p w14:paraId="369CF3E1">
            <w:pPr>
              <w:jc w:val="center"/>
              <w:rPr>
                <w:rFonts w:cs="宋体"/>
                <w:color w:val="auto"/>
                <w:highlight w:val="none"/>
              </w:rPr>
            </w:pPr>
            <w:r>
              <w:rPr>
                <w:rFonts w:hint="eastAsia"/>
                <w:color w:val="auto"/>
                <w:highlight w:val="none"/>
              </w:rPr>
              <w:t>B类</w:t>
            </w:r>
          </w:p>
        </w:tc>
        <w:tc>
          <w:tcPr>
            <w:tcW w:w="1417" w:type="dxa"/>
            <w:gridSpan w:val="3"/>
            <w:vAlign w:val="center"/>
          </w:tcPr>
          <w:p w14:paraId="111503F5">
            <w:pPr>
              <w:jc w:val="center"/>
              <w:rPr>
                <w:color w:val="auto"/>
                <w:highlight w:val="none"/>
              </w:rPr>
            </w:pPr>
          </w:p>
        </w:tc>
        <w:tc>
          <w:tcPr>
            <w:tcW w:w="1418" w:type="dxa"/>
            <w:gridSpan w:val="3"/>
            <w:vAlign w:val="center"/>
          </w:tcPr>
          <w:p w14:paraId="69C40288">
            <w:pPr>
              <w:jc w:val="center"/>
              <w:rPr>
                <w:color w:val="auto"/>
                <w:highlight w:val="none"/>
              </w:rPr>
            </w:pPr>
          </w:p>
        </w:tc>
        <w:tc>
          <w:tcPr>
            <w:tcW w:w="1632" w:type="dxa"/>
            <w:gridSpan w:val="4"/>
            <w:vAlign w:val="center"/>
          </w:tcPr>
          <w:p w14:paraId="29C42C65">
            <w:pPr>
              <w:jc w:val="center"/>
              <w:rPr>
                <w:color w:val="auto"/>
                <w:highlight w:val="none"/>
              </w:rPr>
            </w:pPr>
          </w:p>
        </w:tc>
        <w:tc>
          <w:tcPr>
            <w:tcW w:w="1416" w:type="dxa"/>
            <w:gridSpan w:val="2"/>
            <w:vAlign w:val="center"/>
          </w:tcPr>
          <w:p w14:paraId="0486B23D">
            <w:pPr>
              <w:jc w:val="center"/>
              <w:rPr>
                <w:color w:val="auto"/>
                <w:highlight w:val="none"/>
              </w:rPr>
            </w:pPr>
          </w:p>
        </w:tc>
      </w:tr>
      <w:tr w14:paraId="7EF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8"/>
            <w:vAlign w:val="center"/>
          </w:tcPr>
          <w:p w14:paraId="41B8440F">
            <w:pPr>
              <w:jc w:val="center"/>
              <w:rPr>
                <w:color w:val="auto"/>
                <w:highlight w:val="none"/>
              </w:rPr>
            </w:pPr>
            <w:r>
              <w:rPr>
                <w:rFonts w:hint="eastAsia" w:cs="宋体"/>
                <w:color w:val="auto"/>
                <w:highlight w:val="none"/>
              </w:rPr>
              <w:t>在建和已完工程项目情况</w:t>
            </w:r>
          </w:p>
        </w:tc>
      </w:tr>
      <w:tr w14:paraId="5331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D571930">
            <w:pPr>
              <w:jc w:val="center"/>
              <w:rPr>
                <w:color w:val="auto"/>
                <w:highlight w:val="none"/>
              </w:rPr>
            </w:pPr>
          </w:p>
        </w:tc>
        <w:tc>
          <w:tcPr>
            <w:tcW w:w="1548" w:type="dxa"/>
            <w:gridSpan w:val="2"/>
            <w:vAlign w:val="center"/>
          </w:tcPr>
          <w:p w14:paraId="19DDA0A4">
            <w:pPr>
              <w:jc w:val="center"/>
              <w:rPr>
                <w:color w:val="auto"/>
                <w:highlight w:val="none"/>
              </w:rPr>
            </w:pPr>
            <w:r>
              <w:rPr>
                <w:rFonts w:hint="eastAsia"/>
                <w:color w:val="auto"/>
                <w:highlight w:val="none"/>
              </w:rPr>
              <w:t>项目1</w:t>
            </w:r>
          </w:p>
        </w:tc>
        <w:tc>
          <w:tcPr>
            <w:tcW w:w="1837" w:type="dxa"/>
            <w:gridSpan w:val="4"/>
            <w:vAlign w:val="center"/>
          </w:tcPr>
          <w:p w14:paraId="3D10F647">
            <w:pPr>
              <w:jc w:val="center"/>
              <w:rPr>
                <w:color w:val="auto"/>
                <w:highlight w:val="none"/>
              </w:rPr>
            </w:pPr>
            <w:r>
              <w:rPr>
                <w:rFonts w:hint="eastAsia"/>
                <w:color w:val="auto"/>
                <w:highlight w:val="none"/>
              </w:rPr>
              <w:t>项目2</w:t>
            </w:r>
          </w:p>
        </w:tc>
        <w:tc>
          <w:tcPr>
            <w:tcW w:w="1472" w:type="dxa"/>
            <w:gridSpan w:val="3"/>
            <w:vAlign w:val="center"/>
          </w:tcPr>
          <w:p w14:paraId="64439C70">
            <w:pPr>
              <w:jc w:val="center"/>
              <w:rPr>
                <w:color w:val="auto"/>
                <w:highlight w:val="none"/>
              </w:rPr>
            </w:pPr>
            <w:r>
              <w:rPr>
                <w:rFonts w:hint="eastAsia"/>
                <w:color w:val="auto"/>
                <w:highlight w:val="none"/>
              </w:rPr>
              <w:t>项目3</w:t>
            </w:r>
          </w:p>
        </w:tc>
        <w:tc>
          <w:tcPr>
            <w:tcW w:w="1641" w:type="dxa"/>
            <w:gridSpan w:val="4"/>
            <w:vAlign w:val="center"/>
          </w:tcPr>
          <w:p w14:paraId="6DC77882">
            <w:pPr>
              <w:jc w:val="center"/>
              <w:rPr>
                <w:color w:val="auto"/>
                <w:highlight w:val="none"/>
              </w:rPr>
            </w:pPr>
            <w:r>
              <w:rPr>
                <w:rFonts w:hint="eastAsia"/>
                <w:color w:val="auto"/>
                <w:highlight w:val="none"/>
              </w:rPr>
              <w:t>项目4</w:t>
            </w:r>
          </w:p>
        </w:tc>
        <w:tc>
          <w:tcPr>
            <w:tcW w:w="1484" w:type="dxa"/>
            <w:gridSpan w:val="2"/>
            <w:vAlign w:val="center"/>
          </w:tcPr>
          <w:p w14:paraId="14982FD1">
            <w:pPr>
              <w:jc w:val="center"/>
              <w:rPr>
                <w:color w:val="auto"/>
                <w:highlight w:val="none"/>
              </w:rPr>
            </w:pPr>
            <w:r>
              <w:rPr>
                <w:rFonts w:hint="eastAsia"/>
                <w:color w:val="auto"/>
                <w:highlight w:val="none"/>
              </w:rPr>
              <w:t>……</w:t>
            </w:r>
          </w:p>
        </w:tc>
      </w:tr>
      <w:tr w14:paraId="084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5B71607F">
            <w:pPr>
              <w:jc w:val="center"/>
              <w:rPr>
                <w:color w:val="auto"/>
                <w:highlight w:val="none"/>
              </w:rPr>
            </w:pPr>
            <w:r>
              <w:rPr>
                <w:rFonts w:hint="eastAsia"/>
                <w:color w:val="auto"/>
                <w:highlight w:val="none"/>
              </w:rPr>
              <w:t>项目名称</w:t>
            </w:r>
          </w:p>
        </w:tc>
        <w:tc>
          <w:tcPr>
            <w:tcW w:w="1548" w:type="dxa"/>
            <w:gridSpan w:val="2"/>
            <w:vAlign w:val="center"/>
          </w:tcPr>
          <w:p w14:paraId="455CC4D8">
            <w:pPr>
              <w:jc w:val="center"/>
              <w:rPr>
                <w:color w:val="auto"/>
                <w:highlight w:val="none"/>
              </w:rPr>
            </w:pPr>
          </w:p>
        </w:tc>
        <w:tc>
          <w:tcPr>
            <w:tcW w:w="1837" w:type="dxa"/>
            <w:gridSpan w:val="4"/>
            <w:vAlign w:val="center"/>
          </w:tcPr>
          <w:p w14:paraId="26EECF34">
            <w:pPr>
              <w:jc w:val="center"/>
              <w:rPr>
                <w:color w:val="auto"/>
                <w:highlight w:val="none"/>
              </w:rPr>
            </w:pPr>
          </w:p>
        </w:tc>
        <w:tc>
          <w:tcPr>
            <w:tcW w:w="1472" w:type="dxa"/>
            <w:gridSpan w:val="3"/>
            <w:vAlign w:val="center"/>
          </w:tcPr>
          <w:p w14:paraId="0BFC61C5">
            <w:pPr>
              <w:jc w:val="center"/>
              <w:rPr>
                <w:color w:val="auto"/>
                <w:highlight w:val="none"/>
              </w:rPr>
            </w:pPr>
          </w:p>
        </w:tc>
        <w:tc>
          <w:tcPr>
            <w:tcW w:w="1641" w:type="dxa"/>
            <w:gridSpan w:val="4"/>
            <w:vAlign w:val="center"/>
          </w:tcPr>
          <w:p w14:paraId="532235D1">
            <w:pPr>
              <w:jc w:val="center"/>
              <w:rPr>
                <w:color w:val="auto"/>
                <w:highlight w:val="none"/>
              </w:rPr>
            </w:pPr>
          </w:p>
        </w:tc>
        <w:tc>
          <w:tcPr>
            <w:tcW w:w="1484" w:type="dxa"/>
            <w:gridSpan w:val="2"/>
            <w:vAlign w:val="center"/>
          </w:tcPr>
          <w:p w14:paraId="09C53CAC">
            <w:pPr>
              <w:jc w:val="center"/>
              <w:rPr>
                <w:color w:val="auto"/>
                <w:highlight w:val="none"/>
              </w:rPr>
            </w:pPr>
          </w:p>
        </w:tc>
      </w:tr>
      <w:tr w14:paraId="2131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4CDD245">
            <w:pPr>
              <w:jc w:val="center"/>
              <w:rPr>
                <w:color w:val="auto"/>
                <w:highlight w:val="none"/>
              </w:rPr>
            </w:pPr>
            <w:r>
              <w:rPr>
                <w:rFonts w:hint="eastAsia" w:cs="宋体"/>
                <w:color w:val="auto"/>
                <w:highlight w:val="none"/>
              </w:rPr>
              <w:t>建设单位</w:t>
            </w:r>
          </w:p>
        </w:tc>
        <w:tc>
          <w:tcPr>
            <w:tcW w:w="1548" w:type="dxa"/>
            <w:gridSpan w:val="2"/>
            <w:vAlign w:val="center"/>
          </w:tcPr>
          <w:p w14:paraId="03C7FD8F">
            <w:pPr>
              <w:jc w:val="center"/>
              <w:rPr>
                <w:color w:val="auto"/>
                <w:highlight w:val="none"/>
              </w:rPr>
            </w:pPr>
          </w:p>
        </w:tc>
        <w:tc>
          <w:tcPr>
            <w:tcW w:w="1837" w:type="dxa"/>
            <w:gridSpan w:val="4"/>
            <w:vAlign w:val="center"/>
          </w:tcPr>
          <w:p w14:paraId="16299E1F">
            <w:pPr>
              <w:jc w:val="center"/>
              <w:rPr>
                <w:color w:val="auto"/>
                <w:highlight w:val="none"/>
              </w:rPr>
            </w:pPr>
          </w:p>
        </w:tc>
        <w:tc>
          <w:tcPr>
            <w:tcW w:w="1472" w:type="dxa"/>
            <w:gridSpan w:val="3"/>
            <w:vAlign w:val="center"/>
          </w:tcPr>
          <w:p w14:paraId="444641E4">
            <w:pPr>
              <w:jc w:val="center"/>
              <w:rPr>
                <w:color w:val="auto"/>
                <w:highlight w:val="none"/>
              </w:rPr>
            </w:pPr>
          </w:p>
        </w:tc>
        <w:tc>
          <w:tcPr>
            <w:tcW w:w="1641" w:type="dxa"/>
            <w:gridSpan w:val="4"/>
            <w:vAlign w:val="center"/>
          </w:tcPr>
          <w:p w14:paraId="345377F3">
            <w:pPr>
              <w:jc w:val="center"/>
              <w:rPr>
                <w:color w:val="auto"/>
                <w:highlight w:val="none"/>
              </w:rPr>
            </w:pPr>
          </w:p>
        </w:tc>
        <w:tc>
          <w:tcPr>
            <w:tcW w:w="1484" w:type="dxa"/>
            <w:gridSpan w:val="2"/>
            <w:vAlign w:val="center"/>
          </w:tcPr>
          <w:p w14:paraId="751D1566">
            <w:pPr>
              <w:jc w:val="center"/>
              <w:rPr>
                <w:color w:val="auto"/>
                <w:highlight w:val="none"/>
              </w:rPr>
            </w:pPr>
          </w:p>
        </w:tc>
      </w:tr>
      <w:tr w14:paraId="2BB9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AB8E477">
            <w:pPr>
              <w:jc w:val="center"/>
              <w:rPr>
                <w:color w:val="auto"/>
                <w:highlight w:val="none"/>
              </w:rPr>
            </w:pPr>
            <w:r>
              <w:rPr>
                <w:rFonts w:hint="eastAsia" w:cs="宋体"/>
                <w:color w:val="auto"/>
                <w:highlight w:val="none"/>
              </w:rPr>
              <w:t>建设规模</w:t>
            </w:r>
          </w:p>
        </w:tc>
        <w:tc>
          <w:tcPr>
            <w:tcW w:w="1548" w:type="dxa"/>
            <w:gridSpan w:val="2"/>
            <w:vAlign w:val="center"/>
          </w:tcPr>
          <w:p w14:paraId="69AC888F">
            <w:pPr>
              <w:jc w:val="center"/>
              <w:rPr>
                <w:color w:val="auto"/>
                <w:highlight w:val="none"/>
              </w:rPr>
            </w:pPr>
          </w:p>
        </w:tc>
        <w:tc>
          <w:tcPr>
            <w:tcW w:w="1837" w:type="dxa"/>
            <w:gridSpan w:val="4"/>
            <w:vAlign w:val="center"/>
          </w:tcPr>
          <w:p w14:paraId="20DC6FAB">
            <w:pPr>
              <w:jc w:val="center"/>
              <w:rPr>
                <w:color w:val="auto"/>
                <w:highlight w:val="none"/>
              </w:rPr>
            </w:pPr>
          </w:p>
        </w:tc>
        <w:tc>
          <w:tcPr>
            <w:tcW w:w="1472" w:type="dxa"/>
            <w:gridSpan w:val="3"/>
            <w:vAlign w:val="center"/>
          </w:tcPr>
          <w:p w14:paraId="43A440FC">
            <w:pPr>
              <w:jc w:val="center"/>
              <w:rPr>
                <w:color w:val="auto"/>
                <w:highlight w:val="none"/>
              </w:rPr>
            </w:pPr>
          </w:p>
        </w:tc>
        <w:tc>
          <w:tcPr>
            <w:tcW w:w="1641" w:type="dxa"/>
            <w:gridSpan w:val="4"/>
            <w:vAlign w:val="center"/>
          </w:tcPr>
          <w:p w14:paraId="28625AD0">
            <w:pPr>
              <w:jc w:val="center"/>
              <w:rPr>
                <w:color w:val="auto"/>
                <w:highlight w:val="none"/>
              </w:rPr>
            </w:pPr>
          </w:p>
        </w:tc>
        <w:tc>
          <w:tcPr>
            <w:tcW w:w="1484" w:type="dxa"/>
            <w:gridSpan w:val="2"/>
            <w:vAlign w:val="center"/>
          </w:tcPr>
          <w:p w14:paraId="62B5B0D8">
            <w:pPr>
              <w:jc w:val="center"/>
              <w:rPr>
                <w:color w:val="auto"/>
                <w:highlight w:val="none"/>
              </w:rPr>
            </w:pPr>
          </w:p>
        </w:tc>
      </w:tr>
      <w:tr w14:paraId="5F5F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CC23314">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363EF758">
            <w:pPr>
              <w:jc w:val="center"/>
              <w:rPr>
                <w:color w:val="auto"/>
                <w:highlight w:val="none"/>
              </w:rPr>
            </w:pPr>
          </w:p>
        </w:tc>
        <w:tc>
          <w:tcPr>
            <w:tcW w:w="1837" w:type="dxa"/>
            <w:gridSpan w:val="4"/>
            <w:vAlign w:val="center"/>
          </w:tcPr>
          <w:p w14:paraId="03359EA0">
            <w:pPr>
              <w:jc w:val="center"/>
              <w:rPr>
                <w:color w:val="auto"/>
                <w:highlight w:val="none"/>
              </w:rPr>
            </w:pPr>
          </w:p>
        </w:tc>
        <w:tc>
          <w:tcPr>
            <w:tcW w:w="1472" w:type="dxa"/>
            <w:gridSpan w:val="3"/>
            <w:vAlign w:val="center"/>
          </w:tcPr>
          <w:p w14:paraId="3F609F39">
            <w:pPr>
              <w:jc w:val="center"/>
              <w:rPr>
                <w:color w:val="auto"/>
                <w:highlight w:val="none"/>
              </w:rPr>
            </w:pPr>
          </w:p>
        </w:tc>
        <w:tc>
          <w:tcPr>
            <w:tcW w:w="1641" w:type="dxa"/>
            <w:gridSpan w:val="4"/>
            <w:vAlign w:val="center"/>
          </w:tcPr>
          <w:p w14:paraId="3DBF53F1">
            <w:pPr>
              <w:jc w:val="center"/>
              <w:rPr>
                <w:color w:val="auto"/>
                <w:highlight w:val="none"/>
              </w:rPr>
            </w:pPr>
          </w:p>
        </w:tc>
        <w:tc>
          <w:tcPr>
            <w:tcW w:w="1484" w:type="dxa"/>
            <w:gridSpan w:val="2"/>
            <w:vAlign w:val="center"/>
          </w:tcPr>
          <w:p w14:paraId="42B6E6DA">
            <w:pPr>
              <w:jc w:val="center"/>
              <w:rPr>
                <w:color w:val="auto"/>
                <w:highlight w:val="none"/>
              </w:rPr>
            </w:pPr>
          </w:p>
        </w:tc>
      </w:tr>
      <w:tr w14:paraId="759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34AF18A">
            <w:pPr>
              <w:jc w:val="center"/>
              <w:rPr>
                <w:color w:val="auto"/>
                <w:highlight w:val="none"/>
              </w:rPr>
            </w:pPr>
            <w:r>
              <w:rPr>
                <w:rFonts w:hint="eastAsia" w:cs="宋体"/>
                <w:color w:val="auto"/>
                <w:highlight w:val="none"/>
              </w:rPr>
              <w:t>竣工日期</w:t>
            </w:r>
          </w:p>
        </w:tc>
        <w:tc>
          <w:tcPr>
            <w:tcW w:w="1548" w:type="dxa"/>
            <w:gridSpan w:val="2"/>
            <w:vAlign w:val="center"/>
          </w:tcPr>
          <w:p w14:paraId="1AC2CEFD">
            <w:pPr>
              <w:jc w:val="center"/>
              <w:rPr>
                <w:color w:val="auto"/>
                <w:highlight w:val="none"/>
              </w:rPr>
            </w:pPr>
          </w:p>
        </w:tc>
        <w:tc>
          <w:tcPr>
            <w:tcW w:w="1837" w:type="dxa"/>
            <w:gridSpan w:val="4"/>
            <w:vAlign w:val="center"/>
          </w:tcPr>
          <w:p w14:paraId="40115040">
            <w:pPr>
              <w:jc w:val="center"/>
              <w:rPr>
                <w:color w:val="auto"/>
                <w:highlight w:val="none"/>
              </w:rPr>
            </w:pPr>
          </w:p>
        </w:tc>
        <w:tc>
          <w:tcPr>
            <w:tcW w:w="1472" w:type="dxa"/>
            <w:gridSpan w:val="3"/>
            <w:vAlign w:val="center"/>
          </w:tcPr>
          <w:p w14:paraId="476EAE05">
            <w:pPr>
              <w:jc w:val="center"/>
              <w:rPr>
                <w:color w:val="auto"/>
                <w:highlight w:val="none"/>
              </w:rPr>
            </w:pPr>
          </w:p>
        </w:tc>
        <w:tc>
          <w:tcPr>
            <w:tcW w:w="1641" w:type="dxa"/>
            <w:gridSpan w:val="4"/>
            <w:vAlign w:val="center"/>
          </w:tcPr>
          <w:p w14:paraId="105C089E">
            <w:pPr>
              <w:jc w:val="center"/>
              <w:rPr>
                <w:color w:val="auto"/>
                <w:highlight w:val="none"/>
              </w:rPr>
            </w:pPr>
          </w:p>
        </w:tc>
        <w:tc>
          <w:tcPr>
            <w:tcW w:w="1484" w:type="dxa"/>
            <w:gridSpan w:val="2"/>
            <w:vAlign w:val="center"/>
          </w:tcPr>
          <w:p w14:paraId="3DB8F7D0">
            <w:pPr>
              <w:jc w:val="center"/>
              <w:rPr>
                <w:color w:val="auto"/>
                <w:highlight w:val="none"/>
              </w:rPr>
            </w:pPr>
          </w:p>
        </w:tc>
      </w:tr>
      <w:tr w14:paraId="10D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C617A5C">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7793C4D0">
            <w:pPr>
              <w:jc w:val="center"/>
              <w:rPr>
                <w:color w:val="auto"/>
                <w:highlight w:val="none"/>
              </w:rPr>
            </w:pPr>
          </w:p>
        </w:tc>
        <w:tc>
          <w:tcPr>
            <w:tcW w:w="1837" w:type="dxa"/>
            <w:gridSpan w:val="4"/>
            <w:vAlign w:val="center"/>
          </w:tcPr>
          <w:p w14:paraId="20CF952A">
            <w:pPr>
              <w:jc w:val="center"/>
              <w:rPr>
                <w:color w:val="auto"/>
                <w:highlight w:val="none"/>
              </w:rPr>
            </w:pPr>
          </w:p>
        </w:tc>
        <w:tc>
          <w:tcPr>
            <w:tcW w:w="1472" w:type="dxa"/>
            <w:gridSpan w:val="3"/>
            <w:vAlign w:val="center"/>
          </w:tcPr>
          <w:p w14:paraId="319B5651">
            <w:pPr>
              <w:jc w:val="center"/>
              <w:rPr>
                <w:color w:val="auto"/>
                <w:highlight w:val="none"/>
              </w:rPr>
            </w:pPr>
          </w:p>
        </w:tc>
        <w:tc>
          <w:tcPr>
            <w:tcW w:w="1641" w:type="dxa"/>
            <w:gridSpan w:val="4"/>
            <w:vAlign w:val="center"/>
          </w:tcPr>
          <w:p w14:paraId="061CE39E">
            <w:pPr>
              <w:jc w:val="center"/>
              <w:rPr>
                <w:color w:val="auto"/>
                <w:highlight w:val="none"/>
              </w:rPr>
            </w:pPr>
          </w:p>
        </w:tc>
        <w:tc>
          <w:tcPr>
            <w:tcW w:w="1484" w:type="dxa"/>
            <w:gridSpan w:val="2"/>
            <w:vAlign w:val="center"/>
          </w:tcPr>
          <w:p w14:paraId="68AA285D">
            <w:pPr>
              <w:jc w:val="center"/>
              <w:rPr>
                <w:color w:val="auto"/>
                <w:highlight w:val="none"/>
              </w:rPr>
            </w:pPr>
          </w:p>
        </w:tc>
      </w:tr>
      <w:tr w14:paraId="69AA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CC9EDD9">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67ED6B9A">
            <w:pPr>
              <w:jc w:val="center"/>
              <w:rPr>
                <w:color w:val="auto"/>
                <w:highlight w:val="none"/>
              </w:rPr>
            </w:pPr>
          </w:p>
        </w:tc>
        <w:tc>
          <w:tcPr>
            <w:tcW w:w="1837" w:type="dxa"/>
            <w:gridSpan w:val="4"/>
            <w:vAlign w:val="center"/>
          </w:tcPr>
          <w:p w14:paraId="3DB7CC8E">
            <w:pPr>
              <w:jc w:val="center"/>
              <w:rPr>
                <w:color w:val="auto"/>
                <w:highlight w:val="none"/>
              </w:rPr>
            </w:pPr>
          </w:p>
        </w:tc>
        <w:tc>
          <w:tcPr>
            <w:tcW w:w="1472" w:type="dxa"/>
            <w:gridSpan w:val="3"/>
            <w:vAlign w:val="center"/>
          </w:tcPr>
          <w:p w14:paraId="795B68A7">
            <w:pPr>
              <w:jc w:val="center"/>
              <w:rPr>
                <w:color w:val="auto"/>
                <w:highlight w:val="none"/>
              </w:rPr>
            </w:pPr>
          </w:p>
        </w:tc>
        <w:tc>
          <w:tcPr>
            <w:tcW w:w="1641" w:type="dxa"/>
            <w:gridSpan w:val="4"/>
            <w:vAlign w:val="center"/>
          </w:tcPr>
          <w:p w14:paraId="627137ED">
            <w:pPr>
              <w:jc w:val="center"/>
              <w:rPr>
                <w:color w:val="auto"/>
                <w:highlight w:val="none"/>
              </w:rPr>
            </w:pPr>
          </w:p>
        </w:tc>
        <w:tc>
          <w:tcPr>
            <w:tcW w:w="1484" w:type="dxa"/>
            <w:gridSpan w:val="2"/>
            <w:vAlign w:val="center"/>
          </w:tcPr>
          <w:p w14:paraId="0F0192A5">
            <w:pPr>
              <w:jc w:val="center"/>
              <w:rPr>
                <w:color w:val="auto"/>
                <w:highlight w:val="none"/>
              </w:rPr>
            </w:pPr>
          </w:p>
        </w:tc>
      </w:tr>
      <w:tr w14:paraId="7E0C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16C83E6">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55AC6C0B">
            <w:pPr>
              <w:jc w:val="center"/>
              <w:rPr>
                <w:color w:val="auto"/>
                <w:highlight w:val="none"/>
              </w:rPr>
            </w:pPr>
          </w:p>
        </w:tc>
        <w:tc>
          <w:tcPr>
            <w:tcW w:w="1837" w:type="dxa"/>
            <w:gridSpan w:val="4"/>
            <w:vAlign w:val="center"/>
          </w:tcPr>
          <w:p w14:paraId="5E134580">
            <w:pPr>
              <w:jc w:val="center"/>
              <w:rPr>
                <w:color w:val="auto"/>
                <w:highlight w:val="none"/>
              </w:rPr>
            </w:pPr>
          </w:p>
        </w:tc>
        <w:tc>
          <w:tcPr>
            <w:tcW w:w="1472" w:type="dxa"/>
            <w:gridSpan w:val="3"/>
            <w:vAlign w:val="center"/>
          </w:tcPr>
          <w:p w14:paraId="2932FB94">
            <w:pPr>
              <w:jc w:val="center"/>
              <w:rPr>
                <w:color w:val="auto"/>
                <w:highlight w:val="none"/>
              </w:rPr>
            </w:pPr>
          </w:p>
        </w:tc>
        <w:tc>
          <w:tcPr>
            <w:tcW w:w="1641" w:type="dxa"/>
            <w:gridSpan w:val="4"/>
            <w:vAlign w:val="center"/>
          </w:tcPr>
          <w:p w14:paraId="3F7FA0D9">
            <w:pPr>
              <w:jc w:val="center"/>
              <w:rPr>
                <w:color w:val="auto"/>
                <w:highlight w:val="none"/>
              </w:rPr>
            </w:pPr>
          </w:p>
        </w:tc>
        <w:tc>
          <w:tcPr>
            <w:tcW w:w="1484" w:type="dxa"/>
            <w:gridSpan w:val="2"/>
            <w:vAlign w:val="center"/>
          </w:tcPr>
          <w:p w14:paraId="5393E8BD">
            <w:pPr>
              <w:jc w:val="center"/>
              <w:rPr>
                <w:color w:val="auto"/>
                <w:highlight w:val="none"/>
              </w:rPr>
            </w:pPr>
          </w:p>
        </w:tc>
      </w:tr>
      <w:tr w14:paraId="4287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B479752">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7E5B7F16">
            <w:pPr>
              <w:jc w:val="center"/>
              <w:rPr>
                <w:color w:val="auto"/>
                <w:highlight w:val="none"/>
              </w:rPr>
            </w:pPr>
          </w:p>
        </w:tc>
        <w:tc>
          <w:tcPr>
            <w:tcW w:w="1837" w:type="dxa"/>
            <w:gridSpan w:val="4"/>
            <w:vAlign w:val="center"/>
          </w:tcPr>
          <w:p w14:paraId="57DFBBD1">
            <w:pPr>
              <w:jc w:val="center"/>
              <w:rPr>
                <w:color w:val="auto"/>
                <w:highlight w:val="none"/>
              </w:rPr>
            </w:pPr>
          </w:p>
        </w:tc>
        <w:tc>
          <w:tcPr>
            <w:tcW w:w="1472" w:type="dxa"/>
            <w:gridSpan w:val="3"/>
            <w:vAlign w:val="center"/>
          </w:tcPr>
          <w:p w14:paraId="61F4CEF8">
            <w:pPr>
              <w:jc w:val="center"/>
              <w:rPr>
                <w:color w:val="auto"/>
                <w:highlight w:val="none"/>
              </w:rPr>
            </w:pPr>
          </w:p>
        </w:tc>
        <w:tc>
          <w:tcPr>
            <w:tcW w:w="1641" w:type="dxa"/>
            <w:gridSpan w:val="4"/>
            <w:vAlign w:val="center"/>
          </w:tcPr>
          <w:p w14:paraId="052BD0C2">
            <w:pPr>
              <w:jc w:val="center"/>
              <w:rPr>
                <w:color w:val="auto"/>
                <w:highlight w:val="none"/>
              </w:rPr>
            </w:pPr>
          </w:p>
        </w:tc>
        <w:tc>
          <w:tcPr>
            <w:tcW w:w="1484" w:type="dxa"/>
            <w:gridSpan w:val="2"/>
            <w:vAlign w:val="center"/>
          </w:tcPr>
          <w:p w14:paraId="59B066D9">
            <w:pPr>
              <w:jc w:val="center"/>
              <w:rPr>
                <w:color w:val="auto"/>
                <w:highlight w:val="none"/>
              </w:rPr>
            </w:pPr>
          </w:p>
        </w:tc>
      </w:tr>
    </w:tbl>
    <w:p w14:paraId="484FE7C8">
      <w:pPr>
        <w:rPr>
          <w:rFonts w:ascii="宋体" w:hAnsi="宋体"/>
          <w:color w:val="auto"/>
          <w:szCs w:val="21"/>
          <w:highlight w:val="none"/>
        </w:rPr>
      </w:pPr>
      <w:r>
        <w:rPr>
          <w:rFonts w:hint="eastAsia" w:ascii="宋体" w:hAnsi="宋体" w:cs="楷体_GB2312"/>
          <w:color w:val="auto"/>
          <w:szCs w:val="21"/>
          <w:highlight w:val="none"/>
        </w:rPr>
        <w:t>备注：</w:t>
      </w:r>
    </w:p>
    <w:p w14:paraId="433781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3E905CF0">
      <w:pPr>
        <w:pStyle w:val="17"/>
        <w:ind w:firstLine="420" w:firstLineChars="200"/>
        <w:rPr>
          <w:color w:val="auto"/>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本表后附项目经理的</w:t>
      </w:r>
      <w:r>
        <w:rPr>
          <w:color w:val="auto"/>
          <w:highlight w:val="none"/>
        </w:rPr>
        <w:t>执业资格证书复印件（或打印件）、职称证书复印件（或打印件）</w:t>
      </w:r>
      <w:r>
        <w:rPr>
          <w:rFonts w:hint="eastAsia" w:ascii="宋体" w:hAnsi="宋体"/>
          <w:color w:val="auto"/>
          <w:szCs w:val="21"/>
          <w:highlight w:val="none"/>
        </w:rPr>
        <w:t>、安全生产考核合格证（B类）</w:t>
      </w:r>
      <w:r>
        <w:rPr>
          <w:color w:val="auto"/>
          <w:highlight w:val="none"/>
        </w:rPr>
        <w:t>复印件（或打印件）</w:t>
      </w:r>
      <w:r>
        <w:rPr>
          <w:rFonts w:hint="eastAsia" w:ascii="宋体" w:hAnsi="宋体"/>
          <w:color w:val="auto"/>
          <w:szCs w:val="21"/>
          <w:highlight w:val="none"/>
        </w:rPr>
        <w:t>，本表所列证书材料并加盖供应商电子签章。</w:t>
      </w:r>
    </w:p>
    <w:p w14:paraId="518D6234">
      <w:pPr>
        <w:spacing w:beforeLines="50"/>
        <w:ind w:firstLine="643" w:firstLineChars="200"/>
        <w:jc w:val="center"/>
        <w:rPr>
          <w:color w:val="auto"/>
          <w:sz w:val="28"/>
          <w:szCs w:val="28"/>
          <w:highlight w:val="none"/>
          <w:u w:val="single"/>
        </w:rPr>
      </w:pPr>
      <w:r>
        <w:rPr>
          <w:rFonts w:cs="宋体"/>
          <w:b/>
          <w:color w:val="auto"/>
          <w:sz w:val="32"/>
          <w:szCs w:val="32"/>
          <w:highlight w:val="none"/>
        </w:rPr>
        <w:br w:type="page"/>
      </w:r>
      <w:r>
        <w:rPr>
          <w:rFonts w:hint="eastAsia" w:cs="宋体"/>
          <w:b/>
          <w:color w:val="auto"/>
          <w:sz w:val="28"/>
          <w:szCs w:val="28"/>
          <w:highlight w:val="none"/>
        </w:rPr>
        <w:t>项目技术负责人（项目总工）简历表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417"/>
        <w:gridCol w:w="242"/>
        <w:gridCol w:w="1088"/>
        <w:gridCol w:w="88"/>
        <w:gridCol w:w="409"/>
        <w:gridCol w:w="1108"/>
        <w:gridCol w:w="36"/>
        <w:gridCol w:w="79"/>
        <w:gridCol w:w="1405"/>
        <w:gridCol w:w="11"/>
      </w:tblGrid>
      <w:tr w14:paraId="592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4357EF30">
            <w:pPr>
              <w:jc w:val="center"/>
              <w:rPr>
                <w:color w:val="auto"/>
                <w:highlight w:val="none"/>
              </w:rPr>
            </w:pPr>
            <w:r>
              <w:rPr>
                <w:rFonts w:hint="eastAsia" w:cs="宋体"/>
                <w:color w:val="auto"/>
                <w:highlight w:val="none"/>
              </w:rPr>
              <w:t>姓名</w:t>
            </w:r>
          </w:p>
        </w:tc>
        <w:tc>
          <w:tcPr>
            <w:tcW w:w="2340" w:type="dxa"/>
            <w:gridSpan w:val="4"/>
            <w:vAlign w:val="center"/>
          </w:tcPr>
          <w:p w14:paraId="6CED7C10">
            <w:pPr>
              <w:jc w:val="center"/>
              <w:rPr>
                <w:color w:val="auto"/>
                <w:highlight w:val="none"/>
              </w:rPr>
            </w:pPr>
          </w:p>
        </w:tc>
        <w:tc>
          <w:tcPr>
            <w:tcW w:w="1893" w:type="dxa"/>
            <w:gridSpan w:val="3"/>
            <w:vAlign w:val="center"/>
          </w:tcPr>
          <w:p w14:paraId="0CDEE12E">
            <w:pPr>
              <w:jc w:val="center"/>
              <w:rPr>
                <w:color w:val="auto"/>
                <w:highlight w:val="none"/>
              </w:rPr>
            </w:pPr>
            <w:r>
              <w:rPr>
                <w:rFonts w:hint="eastAsia" w:cs="宋体"/>
                <w:color w:val="auto"/>
                <w:highlight w:val="none"/>
              </w:rPr>
              <w:t>性别</w:t>
            </w:r>
          </w:p>
        </w:tc>
        <w:tc>
          <w:tcPr>
            <w:tcW w:w="1585" w:type="dxa"/>
            <w:gridSpan w:val="3"/>
            <w:vAlign w:val="center"/>
          </w:tcPr>
          <w:p w14:paraId="3712DC69">
            <w:pPr>
              <w:jc w:val="center"/>
              <w:rPr>
                <w:color w:val="auto"/>
                <w:highlight w:val="none"/>
              </w:rPr>
            </w:pPr>
          </w:p>
        </w:tc>
        <w:tc>
          <w:tcPr>
            <w:tcW w:w="1108" w:type="dxa"/>
            <w:vAlign w:val="center"/>
          </w:tcPr>
          <w:p w14:paraId="4EADB96A">
            <w:pPr>
              <w:jc w:val="center"/>
              <w:rPr>
                <w:color w:val="auto"/>
                <w:highlight w:val="none"/>
              </w:rPr>
            </w:pPr>
            <w:r>
              <w:rPr>
                <w:rFonts w:hint="eastAsia" w:cs="宋体"/>
                <w:color w:val="auto"/>
                <w:highlight w:val="none"/>
              </w:rPr>
              <w:t>年龄</w:t>
            </w:r>
          </w:p>
        </w:tc>
        <w:tc>
          <w:tcPr>
            <w:tcW w:w="1531" w:type="dxa"/>
            <w:gridSpan w:val="4"/>
            <w:vAlign w:val="center"/>
          </w:tcPr>
          <w:p w14:paraId="3CACC9C5">
            <w:pPr>
              <w:jc w:val="center"/>
              <w:rPr>
                <w:color w:val="auto"/>
                <w:highlight w:val="none"/>
              </w:rPr>
            </w:pPr>
          </w:p>
        </w:tc>
      </w:tr>
      <w:tr w14:paraId="104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76A1423">
            <w:pPr>
              <w:jc w:val="center"/>
              <w:rPr>
                <w:color w:val="auto"/>
                <w:highlight w:val="none"/>
              </w:rPr>
            </w:pPr>
            <w:r>
              <w:rPr>
                <w:rFonts w:hint="eastAsia" w:cs="宋体"/>
                <w:color w:val="auto"/>
                <w:highlight w:val="none"/>
              </w:rPr>
              <w:t>岗位</w:t>
            </w:r>
          </w:p>
        </w:tc>
        <w:tc>
          <w:tcPr>
            <w:tcW w:w="2340" w:type="dxa"/>
            <w:gridSpan w:val="4"/>
            <w:vAlign w:val="center"/>
          </w:tcPr>
          <w:p w14:paraId="7A014405">
            <w:pPr>
              <w:jc w:val="center"/>
              <w:rPr>
                <w:color w:val="auto"/>
                <w:highlight w:val="none"/>
              </w:rPr>
            </w:pPr>
            <w:r>
              <w:rPr>
                <w:rFonts w:hint="eastAsia"/>
                <w:color w:val="auto"/>
                <w:highlight w:val="none"/>
              </w:rPr>
              <w:t>项目技术负责人（项目总工）</w:t>
            </w:r>
          </w:p>
        </w:tc>
        <w:tc>
          <w:tcPr>
            <w:tcW w:w="1893" w:type="dxa"/>
            <w:gridSpan w:val="3"/>
            <w:vAlign w:val="center"/>
          </w:tcPr>
          <w:p w14:paraId="027265B4">
            <w:pPr>
              <w:jc w:val="center"/>
              <w:rPr>
                <w:color w:val="auto"/>
                <w:highlight w:val="none"/>
              </w:rPr>
            </w:pPr>
            <w:r>
              <w:rPr>
                <w:rFonts w:hint="eastAsia" w:cs="宋体"/>
                <w:color w:val="auto"/>
                <w:highlight w:val="none"/>
              </w:rPr>
              <w:t>职称</w:t>
            </w:r>
          </w:p>
        </w:tc>
        <w:tc>
          <w:tcPr>
            <w:tcW w:w="1585" w:type="dxa"/>
            <w:gridSpan w:val="3"/>
            <w:vAlign w:val="center"/>
          </w:tcPr>
          <w:p w14:paraId="008B6B4B">
            <w:pPr>
              <w:jc w:val="center"/>
              <w:rPr>
                <w:color w:val="auto"/>
                <w:highlight w:val="none"/>
              </w:rPr>
            </w:pPr>
          </w:p>
        </w:tc>
        <w:tc>
          <w:tcPr>
            <w:tcW w:w="1108" w:type="dxa"/>
            <w:vAlign w:val="center"/>
          </w:tcPr>
          <w:p w14:paraId="647D6932">
            <w:pPr>
              <w:jc w:val="center"/>
              <w:rPr>
                <w:color w:val="auto"/>
                <w:highlight w:val="none"/>
              </w:rPr>
            </w:pPr>
            <w:r>
              <w:rPr>
                <w:rFonts w:hint="eastAsia" w:cs="宋体"/>
                <w:color w:val="auto"/>
                <w:highlight w:val="none"/>
              </w:rPr>
              <w:t>学历</w:t>
            </w:r>
          </w:p>
        </w:tc>
        <w:tc>
          <w:tcPr>
            <w:tcW w:w="1531" w:type="dxa"/>
            <w:gridSpan w:val="4"/>
            <w:vAlign w:val="center"/>
          </w:tcPr>
          <w:p w14:paraId="5F1E918C">
            <w:pPr>
              <w:jc w:val="center"/>
              <w:rPr>
                <w:color w:val="auto"/>
                <w:highlight w:val="none"/>
              </w:rPr>
            </w:pPr>
          </w:p>
        </w:tc>
      </w:tr>
      <w:tr w14:paraId="262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201CDB80">
            <w:pPr>
              <w:jc w:val="center"/>
              <w:rPr>
                <w:rFonts w:cs="宋体"/>
                <w:color w:val="auto"/>
                <w:highlight w:val="none"/>
              </w:rPr>
            </w:pPr>
            <w:r>
              <w:rPr>
                <w:rFonts w:hint="eastAsia" w:cs="宋体"/>
                <w:color w:val="auto"/>
                <w:highlight w:val="none"/>
              </w:rPr>
              <w:t>从业开始时间</w:t>
            </w:r>
          </w:p>
        </w:tc>
        <w:tc>
          <w:tcPr>
            <w:tcW w:w="2340" w:type="dxa"/>
            <w:gridSpan w:val="4"/>
            <w:vAlign w:val="center"/>
          </w:tcPr>
          <w:p w14:paraId="69488F3D">
            <w:pPr>
              <w:jc w:val="center"/>
              <w:rPr>
                <w:color w:val="auto"/>
                <w:highlight w:val="none"/>
              </w:rPr>
            </w:pPr>
          </w:p>
        </w:tc>
        <w:tc>
          <w:tcPr>
            <w:tcW w:w="1893" w:type="dxa"/>
            <w:gridSpan w:val="3"/>
            <w:vAlign w:val="center"/>
          </w:tcPr>
          <w:p w14:paraId="0D73CE1E">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2FD4C321">
            <w:pPr>
              <w:jc w:val="center"/>
              <w:rPr>
                <w:color w:val="auto"/>
                <w:highlight w:val="none"/>
              </w:rPr>
            </w:pPr>
          </w:p>
        </w:tc>
        <w:tc>
          <w:tcPr>
            <w:tcW w:w="1108" w:type="dxa"/>
            <w:vAlign w:val="center"/>
          </w:tcPr>
          <w:p w14:paraId="706C4349">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01B6A56E">
            <w:pPr>
              <w:jc w:val="center"/>
              <w:rPr>
                <w:color w:val="auto"/>
                <w:highlight w:val="none"/>
              </w:rPr>
            </w:pPr>
          </w:p>
        </w:tc>
      </w:tr>
      <w:tr w14:paraId="6643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66AABCD">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574" w:type="dxa"/>
            <w:gridSpan w:val="5"/>
            <w:vAlign w:val="center"/>
          </w:tcPr>
          <w:p w14:paraId="35E1CABA">
            <w:pPr>
              <w:jc w:val="center"/>
              <w:rPr>
                <w:color w:val="auto"/>
                <w:highlight w:val="none"/>
              </w:rPr>
            </w:pPr>
          </w:p>
        </w:tc>
        <w:tc>
          <w:tcPr>
            <w:tcW w:w="1417" w:type="dxa"/>
            <w:vAlign w:val="center"/>
          </w:tcPr>
          <w:p w14:paraId="7D7FC102">
            <w:pPr>
              <w:jc w:val="center"/>
              <w:rPr>
                <w:color w:val="auto"/>
                <w:highlight w:val="none"/>
              </w:rPr>
            </w:pPr>
            <w:r>
              <w:rPr>
                <w:rFonts w:hint="eastAsia"/>
                <w:color w:val="auto"/>
                <w:highlight w:val="none"/>
              </w:rPr>
              <w:t>身份</w:t>
            </w:r>
            <w:r>
              <w:rPr>
                <w:color w:val="auto"/>
                <w:highlight w:val="none"/>
              </w:rPr>
              <w:t>证号码</w:t>
            </w:r>
          </w:p>
        </w:tc>
        <w:tc>
          <w:tcPr>
            <w:tcW w:w="4466" w:type="dxa"/>
            <w:gridSpan w:val="9"/>
            <w:vAlign w:val="center"/>
          </w:tcPr>
          <w:p w14:paraId="04A9EB93">
            <w:pPr>
              <w:jc w:val="center"/>
              <w:rPr>
                <w:color w:val="auto"/>
                <w:highlight w:val="none"/>
              </w:rPr>
            </w:pPr>
          </w:p>
        </w:tc>
      </w:tr>
      <w:tr w14:paraId="22F9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5A1EB411">
            <w:pPr>
              <w:jc w:val="center"/>
              <w:rPr>
                <w:color w:val="auto"/>
                <w:highlight w:val="none"/>
              </w:rPr>
            </w:pPr>
            <w:r>
              <w:rPr>
                <w:rFonts w:hint="eastAsia"/>
                <w:color w:val="auto"/>
                <w:highlight w:val="none"/>
              </w:rPr>
              <w:t>证书名称</w:t>
            </w:r>
          </w:p>
        </w:tc>
        <w:tc>
          <w:tcPr>
            <w:tcW w:w="1352" w:type="dxa"/>
            <w:gridSpan w:val="2"/>
            <w:vAlign w:val="center"/>
          </w:tcPr>
          <w:p w14:paraId="70EF71D3">
            <w:pPr>
              <w:jc w:val="center"/>
              <w:rPr>
                <w:color w:val="auto"/>
                <w:highlight w:val="none"/>
              </w:rPr>
            </w:pPr>
            <w:r>
              <w:rPr>
                <w:rFonts w:hint="eastAsia"/>
                <w:color w:val="auto"/>
                <w:highlight w:val="none"/>
              </w:rPr>
              <w:t>注册专业</w:t>
            </w:r>
          </w:p>
        </w:tc>
        <w:tc>
          <w:tcPr>
            <w:tcW w:w="1222" w:type="dxa"/>
            <w:gridSpan w:val="3"/>
            <w:vAlign w:val="center"/>
          </w:tcPr>
          <w:p w14:paraId="001235B5">
            <w:pPr>
              <w:jc w:val="center"/>
              <w:rPr>
                <w:color w:val="auto"/>
                <w:highlight w:val="none"/>
              </w:rPr>
            </w:pPr>
            <w:r>
              <w:rPr>
                <w:color w:val="auto"/>
                <w:highlight w:val="none"/>
              </w:rPr>
              <w:t>级别</w:t>
            </w:r>
          </w:p>
        </w:tc>
        <w:tc>
          <w:tcPr>
            <w:tcW w:w="1417" w:type="dxa"/>
            <w:vAlign w:val="center"/>
          </w:tcPr>
          <w:p w14:paraId="372687B9">
            <w:pPr>
              <w:jc w:val="center"/>
              <w:rPr>
                <w:color w:val="auto"/>
                <w:highlight w:val="none"/>
              </w:rPr>
            </w:pPr>
            <w:r>
              <w:rPr>
                <w:rFonts w:hint="eastAsia" w:cs="宋体"/>
                <w:color w:val="auto"/>
                <w:highlight w:val="none"/>
              </w:rPr>
              <w:t>证书编号</w:t>
            </w:r>
          </w:p>
        </w:tc>
        <w:tc>
          <w:tcPr>
            <w:tcW w:w="1418" w:type="dxa"/>
            <w:gridSpan w:val="3"/>
            <w:vAlign w:val="center"/>
          </w:tcPr>
          <w:p w14:paraId="45146A31">
            <w:pPr>
              <w:jc w:val="center"/>
              <w:rPr>
                <w:color w:val="auto"/>
                <w:highlight w:val="none"/>
              </w:rPr>
            </w:pPr>
            <w:r>
              <w:rPr>
                <w:rFonts w:hint="eastAsia"/>
                <w:color w:val="auto"/>
                <w:highlight w:val="none"/>
              </w:rPr>
              <w:t>注册时间</w:t>
            </w:r>
          </w:p>
        </w:tc>
        <w:tc>
          <w:tcPr>
            <w:tcW w:w="1632" w:type="dxa"/>
            <w:gridSpan w:val="4"/>
            <w:vAlign w:val="center"/>
          </w:tcPr>
          <w:p w14:paraId="1CD72E94">
            <w:pPr>
              <w:jc w:val="center"/>
              <w:rPr>
                <w:color w:val="auto"/>
                <w:highlight w:val="none"/>
              </w:rPr>
            </w:pPr>
            <w:r>
              <w:rPr>
                <w:rFonts w:hint="eastAsia"/>
                <w:color w:val="auto"/>
                <w:highlight w:val="none"/>
              </w:rPr>
              <w:t>注册单位</w:t>
            </w:r>
          </w:p>
        </w:tc>
        <w:tc>
          <w:tcPr>
            <w:tcW w:w="1416" w:type="dxa"/>
            <w:gridSpan w:val="2"/>
            <w:vAlign w:val="center"/>
          </w:tcPr>
          <w:p w14:paraId="2804C77D">
            <w:pPr>
              <w:jc w:val="center"/>
              <w:rPr>
                <w:color w:val="auto"/>
                <w:highlight w:val="none"/>
              </w:rPr>
            </w:pPr>
            <w:r>
              <w:rPr>
                <w:rFonts w:hint="eastAsia"/>
                <w:color w:val="auto"/>
                <w:highlight w:val="none"/>
              </w:rPr>
              <w:t>注册有效期</w:t>
            </w:r>
          </w:p>
        </w:tc>
      </w:tr>
      <w:tr w14:paraId="34C1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D1D9854">
            <w:pPr>
              <w:jc w:val="center"/>
              <w:rPr>
                <w:color w:val="auto"/>
                <w:highlight w:val="none"/>
              </w:rPr>
            </w:pPr>
          </w:p>
        </w:tc>
        <w:tc>
          <w:tcPr>
            <w:tcW w:w="1352" w:type="dxa"/>
            <w:gridSpan w:val="2"/>
            <w:vAlign w:val="center"/>
          </w:tcPr>
          <w:p w14:paraId="6D234363">
            <w:pPr>
              <w:jc w:val="center"/>
              <w:rPr>
                <w:color w:val="auto"/>
                <w:highlight w:val="none"/>
              </w:rPr>
            </w:pPr>
          </w:p>
        </w:tc>
        <w:tc>
          <w:tcPr>
            <w:tcW w:w="1222" w:type="dxa"/>
            <w:gridSpan w:val="3"/>
            <w:vAlign w:val="center"/>
          </w:tcPr>
          <w:p w14:paraId="2BBA53D4">
            <w:pPr>
              <w:jc w:val="center"/>
              <w:rPr>
                <w:rFonts w:cs="宋体"/>
                <w:color w:val="auto"/>
                <w:highlight w:val="none"/>
              </w:rPr>
            </w:pPr>
          </w:p>
        </w:tc>
        <w:tc>
          <w:tcPr>
            <w:tcW w:w="1417" w:type="dxa"/>
            <w:vAlign w:val="center"/>
          </w:tcPr>
          <w:p w14:paraId="1BC3BD0A">
            <w:pPr>
              <w:jc w:val="center"/>
              <w:rPr>
                <w:color w:val="auto"/>
                <w:highlight w:val="none"/>
              </w:rPr>
            </w:pPr>
          </w:p>
        </w:tc>
        <w:tc>
          <w:tcPr>
            <w:tcW w:w="1418" w:type="dxa"/>
            <w:gridSpan w:val="3"/>
            <w:vAlign w:val="center"/>
          </w:tcPr>
          <w:p w14:paraId="334108A8">
            <w:pPr>
              <w:jc w:val="center"/>
              <w:rPr>
                <w:color w:val="auto"/>
                <w:highlight w:val="none"/>
              </w:rPr>
            </w:pPr>
          </w:p>
        </w:tc>
        <w:tc>
          <w:tcPr>
            <w:tcW w:w="1632" w:type="dxa"/>
            <w:gridSpan w:val="4"/>
            <w:vAlign w:val="center"/>
          </w:tcPr>
          <w:p w14:paraId="217402DE">
            <w:pPr>
              <w:jc w:val="center"/>
              <w:rPr>
                <w:color w:val="auto"/>
                <w:highlight w:val="none"/>
              </w:rPr>
            </w:pPr>
          </w:p>
        </w:tc>
        <w:tc>
          <w:tcPr>
            <w:tcW w:w="1416" w:type="dxa"/>
            <w:gridSpan w:val="2"/>
            <w:vAlign w:val="center"/>
          </w:tcPr>
          <w:p w14:paraId="6C05BC29">
            <w:pPr>
              <w:jc w:val="center"/>
              <w:rPr>
                <w:color w:val="auto"/>
                <w:highlight w:val="none"/>
              </w:rPr>
            </w:pPr>
          </w:p>
        </w:tc>
      </w:tr>
      <w:tr w14:paraId="493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77D1508A">
            <w:pPr>
              <w:jc w:val="center"/>
              <w:rPr>
                <w:color w:val="auto"/>
                <w:highlight w:val="none"/>
              </w:rPr>
            </w:pPr>
          </w:p>
        </w:tc>
        <w:tc>
          <w:tcPr>
            <w:tcW w:w="1352" w:type="dxa"/>
            <w:gridSpan w:val="2"/>
            <w:vAlign w:val="center"/>
          </w:tcPr>
          <w:p w14:paraId="29731864">
            <w:pPr>
              <w:jc w:val="center"/>
              <w:rPr>
                <w:color w:val="auto"/>
                <w:highlight w:val="none"/>
              </w:rPr>
            </w:pPr>
          </w:p>
        </w:tc>
        <w:tc>
          <w:tcPr>
            <w:tcW w:w="1222" w:type="dxa"/>
            <w:gridSpan w:val="3"/>
            <w:vAlign w:val="center"/>
          </w:tcPr>
          <w:p w14:paraId="0370C97E">
            <w:pPr>
              <w:jc w:val="center"/>
              <w:rPr>
                <w:rFonts w:cs="宋体"/>
                <w:color w:val="auto"/>
                <w:highlight w:val="none"/>
              </w:rPr>
            </w:pPr>
          </w:p>
        </w:tc>
        <w:tc>
          <w:tcPr>
            <w:tcW w:w="1417" w:type="dxa"/>
            <w:vAlign w:val="center"/>
          </w:tcPr>
          <w:p w14:paraId="32EC9DC2">
            <w:pPr>
              <w:jc w:val="center"/>
              <w:rPr>
                <w:color w:val="auto"/>
                <w:highlight w:val="none"/>
              </w:rPr>
            </w:pPr>
          </w:p>
        </w:tc>
        <w:tc>
          <w:tcPr>
            <w:tcW w:w="1418" w:type="dxa"/>
            <w:gridSpan w:val="3"/>
            <w:vAlign w:val="center"/>
          </w:tcPr>
          <w:p w14:paraId="051B01CF">
            <w:pPr>
              <w:jc w:val="center"/>
              <w:rPr>
                <w:color w:val="auto"/>
                <w:highlight w:val="none"/>
              </w:rPr>
            </w:pPr>
          </w:p>
        </w:tc>
        <w:tc>
          <w:tcPr>
            <w:tcW w:w="1632" w:type="dxa"/>
            <w:gridSpan w:val="4"/>
            <w:vAlign w:val="center"/>
          </w:tcPr>
          <w:p w14:paraId="546362E9">
            <w:pPr>
              <w:jc w:val="center"/>
              <w:rPr>
                <w:color w:val="auto"/>
                <w:highlight w:val="none"/>
              </w:rPr>
            </w:pPr>
          </w:p>
        </w:tc>
        <w:tc>
          <w:tcPr>
            <w:tcW w:w="1416" w:type="dxa"/>
            <w:gridSpan w:val="2"/>
            <w:vAlign w:val="center"/>
          </w:tcPr>
          <w:p w14:paraId="41A53F4C">
            <w:pPr>
              <w:jc w:val="center"/>
              <w:rPr>
                <w:color w:val="auto"/>
                <w:highlight w:val="none"/>
              </w:rPr>
            </w:pPr>
          </w:p>
        </w:tc>
      </w:tr>
      <w:tr w14:paraId="358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0FD1DB70">
            <w:pPr>
              <w:jc w:val="center"/>
              <w:rPr>
                <w:color w:val="auto"/>
                <w:highlight w:val="none"/>
              </w:rPr>
            </w:pPr>
            <w:r>
              <w:rPr>
                <w:rFonts w:hint="eastAsia" w:cs="宋体"/>
                <w:color w:val="auto"/>
                <w:highlight w:val="none"/>
              </w:rPr>
              <w:t>在建和已完工程项目情况</w:t>
            </w:r>
          </w:p>
        </w:tc>
      </w:tr>
      <w:tr w14:paraId="1308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3EFB2F2D">
            <w:pPr>
              <w:jc w:val="center"/>
              <w:rPr>
                <w:color w:val="auto"/>
                <w:highlight w:val="none"/>
              </w:rPr>
            </w:pPr>
          </w:p>
        </w:tc>
        <w:tc>
          <w:tcPr>
            <w:tcW w:w="1548" w:type="dxa"/>
            <w:gridSpan w:val="2"/>
            <w:vAlign w:val="center"/>
          </w:tcPr>
          <w:p w14:paraId="5A51AC11">
            <w:pPr>
              <w:jc w:val="center"/>
              <w:rPr>
                <w:color w:val="auto"/>
                <w:highlight w:val="none"/>
              </w:rPr>
            </w:pPr>
            <w:r>
              <w:rPr>
                <w:rFonts w:hint="eastAsia"/>
                <w:color w:val="auto"/>
                <w:highlight w:val="none"/>
              </w:rPr>
              <w:t>项目1</w:t>
            </w:r>
          </w:p>
        </w:tc>
        <w:tc>
          <w:tcPr>
            <w:tcW w:w="1979" w:type="dxa"/>
            <w:gridSpan w:val="3"/>
            <w:vAlign w:val="center"/>
          </w:tcPr>
          <w:p w14:paraId="154238A8">
            <w:pPr>
              <w:jc w:val="center"/>
              <w:rPr>
                <w:color w:val="auto"/>
                <w:highlight w:val="none"/>
              </w:rPr>
            </w:pPr>
            <w:r>
              <w:rPr>
                <w:rFonts w:hint="eastAsia"/>
                <w:color w:val="auto"/>
                <w:highlight w:val="none"/>
              </w:rPr>
              <w:t>项目2</w:t>
            </w:r>
          </w:p>
        </w:tc>
        <w:tc>
          <w:tcPr>
            <w:tcW w:w="1330" w:type="dxa"/>
            <w:gridSpan w:val="2"/>
            <w:vAlign w:val="center"/>
          </w:tcPr>
          <w:p w14:paraId="371CFB43">
            <w:pPr>
              <w:jc w:val="center"/>
              <w:rPr>
                <w:color w:val="auto"/>
                <w:highlight w:val="none"/>
              </w:rPr>
            </w:pPr>
            <w:r>
              <w:rPr>
                <w:rFonts w:hint="eastAsia"/>
                <w:color w:val="auto"/>
                <w:highlight w:val="none"/>
              </w:rPr>
              <w:t>项目3</w:t>
            </w:r>
          </w:p>
        </w:tc>
        <w:tc>
          <w:tcPr>
            <w:tcW w:w="1641" w:type="dxa"/>
            <w:gridSpan w:val="4"/>
            <w:vAlign w:val="center"/>
          </w:tcPr>
          <w:p w14:paraId="0AA4A880">
            <w:pPr>
              <w:jc w:val="center"/>
              <w:rPr>
                <w:color w:val="auto"/>
                <w:highlight w:val="none"/>
              </w:rPr>
            </w:pPr>
            <w:r>
              <w:rPr>
                <w:rFonts w:hint="eastAsia"/>
                <w:color w:val="auto"/>
                <w:highlight w:val="none"/>
              </w:rPr>
              <w:t>项目4</w:t>
            </w:r>
          </w:p>
        </w:tc>
        <w:tc>
          <w:tcPr>
            <w:tcW w:w="1484" w:type="dxa"/>
            <w:gridSpan w:val="2"/>
            <w:vAlign w:val="center"/>
          </w:tcPr>
          <w:p w14:paraId="5BAF390D">
            <w:pPr>
              <w:jc w:val="center"/>
              <w:rPr>
                <w:color w:val="auto"/>
                <w:highlight w:val="none"/>
              </w:rPr>
            </w:pPr>
            <w:r>
              <w:rPr>
                <w:rFonts w:hint="eastAsia"/>
                <w:color w:val="auto"/>
                <w:highlight w:val="none"/>
              </w:rPr>
              <w:t>……</w:t>
            </w:r>
          </w:p>
        </w:tc>
      </w:tr>
      <w:tr w14:paraId="3FA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15552A35">
            <w:pPr>
              <w:jc w:val="center"/>
              <w:rPr>
                <w:color w:val="auto"/>
                <w:highlight w:val="none"/>
              </w:rPr>
            </w:pPr>
            <w:r>
              <w:rPr>
                <w:rFonts w:hint="eastAsia"/>
                <w:color w:val="auto"/>
                <w:highlight w:val="none"/>
              </w:rPr>
              <w:t>项目名称</w:t>
            </w:r>
          </w:p>
        </w:tc>
        <w:tc>
          <w:tcPr>
            <w:tcW w:w="1548" w:type="dxa"/>
            <w:gridSpan w:val="2"/>
            <w:vAlign w:val="center"/>
          </w:tcPr>
          <w:p w14:paraId="6A7D53FA">
            <w:pPr>
              <w:jc w:val="center"/>
              <w:rPr>
                <w:color w:val="auto"/>
                <w:highlight w:val="none"/>
              </w:rPr>
            </w:pPr>
          </w:p>
        </w:tc>
        <w:tc>
          <w:tcPr>
            <w:tcW w:w="1979" w:type="dxa"/>
            <w:gridSpan w:val="3"/>
            <w:vAlign w:val="center"/>
          </w:tcPr>
          <w:p w14:paraId="6AD93EE2">
            <w:pPr>
              <w:jc w:val="center"/>
              <w:rPr>
                <w:color w:val="auto"/>
                <w:highlight w:val="none"/>
              </w:rPr>
            </w:pPr>
          </w:p>
        </w:tc>
        <w:tc>
          <w:tcPr>
            <w:tcW w:w="1330" w:type="dxa"/>
            <w:gridSpan w:val="2"/>
            <w:vAlign w:val="center"/>
          </w:tcPr>
          <w:p w14:paraId="1B79CC94">
            <w:pPr>
              <w:jc w:val="center"/>
              <w:rPr>
                <w:color w:val="auto"/>
                <w:highlight w:val="none"/>
              </w:rPr>
            </w:pPr>
          </w:p>
        </w:tc>
        <w:tc>
          <w:tcPr>
            <w:tcW w:w="1641" w:type="dxa"/>
            <w:gridSpan w:val="4"/>
            <w:vAlign w:val="center"/>
          </w:tcPr>
          <w:p w14:paraId="12D55F42">
            <w:pPr>
              <w:jc w:val="center"/>
              <w:rPr>
                <w:color w:val="auto"/>
                <w:highlight w:val="none"/>
              </w:rPr>
            </w:pPr>
          </w:p>
        </w:tc>
        <w:tc>
          <w:tcPr>
            <w:tcW w:w="1484" w:type="dxa"/>
            <w:gridSpan w:val="2"/>
            <w:vAlign w:val="center"/>
          </w:tcPr>
          <w:p w14:paraId="6E1CF043">
            <w:pPr>
              <w:jc w:val="center"/>
              <w:rPr>
                <w:color w:val="auto"/>
                <w:highlight w:val="none"/>
              </w:rPr>
            </w:pPr>
          </w:p>
        </w:tc>
      </w:tr>
      <w:tr w14:paraId="613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7E000FE">
            <w:pPr>
              <w:jc w:val="center"/>
              <w:rPr>
                <w:color w:val="auto"/>
                <w:highlight w:val="none"/>
              </w:rPr>
            </w:pPr>
            <w:r>
              <w:rPr>
                <w:rFonts w:hint="eastAsia" w:cs="宋体"/>
                <w:color w:val="auto"/>
                <w:highlight w:val="none"/>
              </w:rPr>
              <w:t>建设单位</w:t>
            </w:r>
          </w:p>
        </w:tc>
        <w:tc>
          <w:tcPr>
            <w:tcW w:w="1548" w:type="dxa"/>
            <w:gridSpan w:val="2"/>
            <w:vAlign w:val="center"/>
          </w:tcPr>
          <w:p w14:paraId="242224FD">
            <w:pPr>
              <w:jc w:val="center"/>
              <w:rPr>
                <w:color w:val="auto"/>
                <w:highlight w:val="none"/>
              </w:rPr>
            </w:pPr>
          </w:p>
        </w:tc>
        <w:tc>
          <w:tcPr>
            <w:tcW w:w="1979" w:type="dxa"/>
            <w:gridSpan w:val="3"/>
            <w:vAlign w:val="center"/>
          </w:tcPr>
          <w:p w14:paraId="5A15603E">
            <w:pPr>
              <w:jc w:val="center"/>
              <w:rPr>
                <w:color w:val="auto"/>
                <w:highlight w:val="none"/>
              </w:rPr>
            </w:pPr>
          </w:p>
        </w:tc>
        <w:tc>
          <w:tcPr>
            <w:tcW w:w="1330" w:type="dxa"/>
            <w:gridSpan w:val="2"/>
            <w:vAlign w:val="center"/>
          </w:tcPr>
          <w:p w14:paraId="48E91C6E">
            <w:pPr>
              <w:jc w:val="center"/>
              <w:rPr>
                <w:color w:val="auto"/>
                <w:highlight w:val="none"/>
              </w:rPr>
            </w:pPr>
          </w:p>
        </w:tc>
        <w:tc>
          <w:tcPr>
            <w:tcW w:w="1641" w:type="dxa"/>
            <w:gridSpan w:val="4"/>
            <w:vAlign w:val="center"/>
          </w:tcPr>
          <w:p w14:paraId="2A80851E">
            <w:pPr>
              <w:jc w:val="center"/>
              <w:rPr>
                <w:color w:val="auto"/>
                <w:highlight w:val="none"/>
              </w:rPr>
            </w:pPr>
          </w:p>
        </w:tc>
        <w:tc>
          <w:tcPr>
            <w:tcW w:w="1484" w:type="dxa"/>
            <w:gridSpan w:val="2"/>
            <w:vAlign w:val="center"/>
          </w:tcPr>
          <w:p w14:paraId="2AEC3DC0">
            <w:pPr>
              <w:jc w:val="center"/>
              <w:rPr>
                <w:color w:val="auto"/>
                <w:highlight w:val="none"/>
              </w:rPr>
            </w:pPr>
          </w:p>
        </w:tc>
      </w:tr>
      <w:tr w14:paraId="2F40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7372A35">
            <w:pPr>
              <w:jc w:val="center"/>
              <w:rPr>
                <w:color w:val="auto"/>
                <w:highlight w:val="none"/>
              </w:rPr>
            </w:pPr>
            <w:r>
              <w:rPr>
                <w:rFonts w:hint="eastAsia" w:cs="宋体"/>
                <w:color w:val="auto"/>
                <w:highlight w:val="none"/>
              </w:rPr>
              <w:t>建设规模</w:t>
            </w:r>
          </w:p>
        </w:tc>
        <w:tc>
          <w:tcPr>
            <w:tcW w:w="1548" w:type="dxa"/>
            <w:gridSpan w:val="2"/>
            <w:vAlign w:val="center"/>
          </w:tcPr>
          <w:p w14:paraId="67800DEE">
            <w:pPr>
              <w:jc w:val="center"/>
              <w:rPr>
                <w:color w:val="auto"/>
                <w:highlight w:val="none"/>
              </w:rPr>
            </w:pPr>
          </w:p>
        </w:tc>
        <w:tc>
          <w:tcPr>
            <w:tcW w:w="1979" w:type="dxa"/>
            <w:gridSpan w:val="3"/>
            <w:vAlign w:val="center"/>
          </w:tcPr>
          <w:p w14:paraId="332DB25D">
            <w:pPr>
              <w:jc w:val="center"/>
              <w:rPr>
                <w:color w:val="auto"/>
                <w:highlight w:val="none"/>
              </w:rPr>
            </w:pPr>
          </w:p>
        </w:tc>
        <w:tc>
          <w:tcPr>
            <w:tcW w:w="1330" w:type="dxa"/>
            <w:gridSpan w:val="2"/>
            <w:vAlign w:val="center"/>
          </w:tcPr>
          <w:p w14:paraId="0F06D9F4">
            <w:pPr>
              <w:jc w:val="center"/>
              <w:rPr>
                <w:color w:val="auto"/>
                <w:highlight w:val="none"/>
              </w:rPr>
            </w:pPr>
          </w:p>
        </w:tc>
        <w:tc>
          <w:tcPr>
            <w:tcW w:w="1641" w:type="dxa"/>
            <w:gridSpan w:val="4"/>
            <w:vAlign w:val="center"/>
          </w:tcPr>
          <w:p w14:paraId="6E608CF6">
            <w:pPr>
              <w:jc w:val="center"/>
              <w:rPr>
                <w:color w:val="auto"/>
                <w:highlight w:val="none"/>
              </w:rPr>
            </w:pPr>
          </w:p>
        </w:tc>
        <w:tc>
          <w:tcPr>
            <w:tcW w:w="1484" w:type="dxa"/>
            <w:gridSpan w:val="2"/>
            <w:vAlign w:val="center"/>
          </w:tcPr>
          <w:p w14:paraId="39B5696E">
            <w:pPr>
              <w:jc w:val="center"/>
              <w:rPr>
                <w:color w:val="auto"/>
                <w:highlight w:val="none"/>
              </w:rPr>
            </w:pPr>
          </w:p>
        </w:tc>
      </w:tr>
      <w:tr w14:paraId="6513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08A6147">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2227FBF3">
            <w:pPr>
              <w:jc w:val="center"/>
              <w:rPr>
                <w:color w:val="auto"/>
                <w:highlight w:val="none"/>
              </w:rPr>
            </w:pPr>
          </w:p>
        </w:tc>
        <w:tc>
          <w:tcPr>
            <w:tcW w:w="1979" w:type="dxa"/>
            <w:gridSpan w:val="3"/>
            <w:vAlign w:val="center"/>
          </w:tcPr>
          <w:p w14:paraId="2A4068E4">
            <w:pPr>
              <w:jc w:val="center"/>
              <w:rPr>
                <w:color w:val="auto"/>
                <w:highlight w:val="none"/>
              </w:rPr>
            </w:pPr>
          </w:p>
        </w:tc>
        <w:tc>
          <w:tcPr>
            <w:tcW w:w="1330" w:type="dxa"/>
            <w:gridSpan w:val="2"/>
            <w:vAlign w:val="center"/>
          </w:tcPr>
          <w:p w14:paraId="773D4C7F">
            <w:pPr>
              <w:jc w:val="center"/>
              <w:rPr>
                <w:color w:val="auto"/>
                <w:highlight w:val="none"/>
              </w:rPr>
            </w:pPr>
          </w:p>
        </w:tc>
        <w:tc>
          <w:tcPr>
            <w:tcW w:w="1641" w:type="dxa"/>
            <w:gridSpan w:val="4"/>
            <w:vAlign w:val="center"/>
          </w:tcPr>
          <w:p w14:paraId="1392032D">
            <w:pPr>
              <w:jc w:val="center"/>
              <w:rPr>
                <w:color w:val="auto"/>
                <w:highlight w:val="none"/>
              </w:rPr>
            </w:pPr>
          </w:p>
        </w:tc>
        <w:tc>
          <w:tcPr>
            <w:tcW w:w="1484" w:type="dxa"/>
            <w:gridSpan w:val="2"/>
            <w:vAlign w:val="center"/>
          </w:tcPr>
          <w:p w14:paraId="408B18C2">
            <w:pPr>
              <w:jc w:val="center"/>
              <w:rPr>
                <w:color w:val="auto"/>
                <w:highlight w:val="none"/>
              </w:rPr>
            </w:pPr>
          </w:p>
        </w:tc>
      </w:tr>
      <w:tr w14:paraId="4693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26143B6">
            <w:pPr>
              <w:jc w:val="center"/>
              <w:rPr>
                <w:color w:val="auto"/>
                <w:highlight w:val="none"/>
              </w:rPr>
            </w:pPr>
            <w:r>
              <w:rPr>
                <w:rFonts w:hint="eastAsia" w:cs="宋体"/>
                <w:color w:val="auto"/>
                <w:highlight w:val="none"/>
              </w:rPr>
              <w:t>竣工日期</w:t>
            </w:r>
          </w:p>
        </w:tc>
        <w:tc>
          <w:tcPr>
            <w:tcW w:w="1548" w:type="dxa"/>
            <w:gridSpan w:val="2"/>
            <w:vAlign w:val="center"/>
          </w:tcPr>
          <w:p w14:paraId="54DE5651">
            <w:pPr>
              <w:jc w:val="center"/>
              <w:rPr>
                <w:color w:val="auto"/>
                <w:highlight w:val="none"/>
              </w:rPr>
            </w:pPr>
          </w:p>
        </w:tc>
        <w:tc>
          <w:tcPr>
            <w:tcW w:w="1979" w:type="dxa"/>
            <w:gridSpan w:val="3"/>
            <w:vAlign w:val="center"/>
          </w:tcPr>
          <w:p w14:paraId="28FE09CE">
            <w:pPr>
              <w:jc w:val="center"/>
              <w:rPr>
                <w:color w:val="auto"/>
                <w:highlight w:val="none"/>
              </w:rPr>
            </w:pPr>
          </w:p>
        </w:tc>
        <w:tc>
          <w:tcPr>
            <w:tcW w:w="1330" w:type="dxa"/>
            <w:gridSpan w:val="2"/>
            <w:vAlign w:val="center"/>
          </w:tcPr>
          <w:p w14:paraId="17C080A2">
            <w:pPr>
              <w:jc w:val="center"/>
              <w:rPr>
                <w:color w:val="auto"/>
                <w:highlight w:val="none"/>
              </w:rPr>
            </w:pPr>
          </w:p>
        </w:tc>
        <w:tc>
          <w:tcPr>
            <w:tcW w:w="1641" w:type="dxa"/>
            <w:gridSpan w:val="4"/>
            <w:vAlign w:val="center"/>
          </w:tcPr>
          <w:p w14:paraId="3BD87CA5">
            <w:pPr>
              <w:jc w:val="center"/>
              <w:rPr>
                <w:color w:val="auto"/>
                <w:highlight w:val="none"/>
              </w:rPr>
            </w:pPr>
          </w:p>
        </w:tc>
        <w:tc>
          <w:tcPr>
            <w:tcW w:w="1484" w:type="dxa"/>
            <w:gridSpan w:val="2"/>
            <w:vAlign w:val="center"/>
          </w:tcPr>
          <w:p w14:paraId="3952C3AE">
            <w:pPr>
              <w:jc w:val="center"/>
              <w:rPr>
                <w:color w:val="auto"/>
                <w:highlight w:val="none"/>
              </w:rPr>
            </w:pPr>
          </w:p>
        </w:tc>
      </w:tr>
      <w:tr w14:paraId="3A0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9049D98">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55074E5C">
            <w:pPr>
              <w:jc w:val="center"/>
              <w:rPr>
                <w:color w:val="auto"/>
                <w:highlight w:val="none"/>
              </w:rPr>
            </w:pPr>
          </w:p>
        </w:tc>
        <w:tc>
          <w:tcPr>
            <w:tcW w:w="1979" w:type="dxa"/>
            <w:gridSpan w:val="3"/>
            <w:vAlign w:val="center"/>
          </w:tcPr>
          <w:p w14:paraId="7C868CED">
            <w:pPr>
              <w:jc w:val="center"/>
              <w:rPr>
                <w:color w:val="auto"/>
                <w:highlight w:val="none"/>
              </w:rPr>
            </w:pPr>
          </w:p>
        </w:tc>
        <w:tc>
          <w:tcPr>
            <w:tcW w:w="1330" w:type="dxa"/>
            <w:gridSpan w:val="2"/>
            <w:vAlign w:val="center"/>
          </w:tcPr>
          <w:p w14:paraId="40E15406">
            <w:pPr>
              <w:jc w:val="center"/>
              <w:rPr>
                <w:color w:val="auto"/>
                <w:highlight w:val="none"/>
              </w:rPr>
            </w:pPr>
          </w:p>
        </w:tc>
        <w:tc>
          <w:tcPr>
            <w:tcW w:w="1641" w:type="dxa"/>
            <w:gridSpan w:val="4"/>
            <w:vAlign w:val="center"/>
          </w:tcPr>
          <w:p w14:paraId="543CB3C4">
            <w:pPr>
              <w:jc w:val="center"/>
              <w:rPr>
                <w:color w:val="auto"/>
                <w:highlight w:val="none"/>
              </w:rPr>
            </w:pPr>
          </w:p>
        </w:tc>
        <w:tc>
          <w:tcPr>
            <w:tcW w:w="1484" w:type="dxa"/>
            <w:gridSpan w:val="2"/>
            <w:vAlign w:val="center"/>
          </w:tcPr>
          <w:p w14:paraId="2ACE6FBD">
            <w:pPr>
              <w:jc w:val="center"/>
              <w:rPr>
                <w:color w:val="auto"/>
                <w:highlight w:val="none"/>
              </w:rPr>
            </w:pPr>
          </w:p>
        </w:tc>
      </w:tr>
      <w:tr w14:paraId="06DA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E406CA8">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43207D02">
            <w:pPr>
              <w:jc w:val="center"/>
              <w:rPr>
                <w:color w:val="auto"/>
                <w:highlight w:val="none"/>
              </w:rPr>
            </w:pPr>
          </w:p>
        </w:tc>
        <w:tc>
          <w:tcPr>
            <w:tcW w:w="1979" w:type="dxa"/>
            <w:gridSpan w:val="3"/>
            <w:vAlign w:val="center"/>
          </w:tcPr>
          <w:p w14:paraId="5F9DEF91">
            <w:pPr>
              <w:jc w:val="center"/>
              <w:rPr>
                <w:color w:val="auto"/>
                <w:highlight w:val="none"/>
              </w:rPr>
            </w:pPr>
          </w:p>
        </w:tc>
        <w:tc>
          <w:tcPr>
            <w:tcW w:w="1330" w:type="dxa"/>
            <w:gridSpan w:val="2"/>
            <w:vAlign w:val="center"/>
          </w:tcPr>
          <w:p w14:paraId="7868D41A">
            <w:pPr>
              <w:jc w:val="center"/>
              <w:rPr>
                <w:color w:val="auto"/>
                <w:highlight w:val="none"/>
              </w:rPr>
            </w:pPr>
          </w:p>
        </w:tc>
        <w:tc>
          <w:tcPr>
            <w:tcW w:w="1641" w:type="dxa"/>
            <w:gridSpan w:val="4"/>
            <w:vAlign w:val="center"/>
          </w:tcPr>
          <w:p w14:paraId="4745BED6">
            <w:pPr>
              <w:jc w:val="center"/>
              <w:rPr>
                <w:color w:val="auto"/>
                <w:highlight w:val="none"/>
              </w:rPr>
            </w:pPr>
          </w:p>
        </w:tc>
        <w:tc>
          <w:tcPr>
            <w:tcW w:w="1484" w:type="dxa"/>
            <w:gridSpan w:val="2"/>
            <w:vAlign w:val="center"/>
          </w:tcPr>
          <w:p w14:paraId="623A2C56">
            <w:pPr>
              <w:jc w:val="center"/>
              <w:rPr>
                <w:color w:val="auto"/>
                <w:highlight w:val="none"/>
              </w:rPr>
            </w:pPr>
          </w:p>
        </w:tc>
      </w:tr>
      <w:tr w14:paraId="24E2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ED10718">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31A94B72">
            <w:pPr>
              <w:jc w:val="center"/>
              <w:rPr>
                <w:color w:val="auto"/>
                <w:highlight w:val="none"/>
              </w:rPr>
            </w:pPr>
          </w:p>
        </w:tc>
        <w:tc>
          <w:tcPr>
            <w:tcW w:w="1979" w:type="dxa"/>
            <w:gridSpan w:val="3"/>
            <w:vAlign w:val="center"/>
          </w:tcPr>
          <w:p w14:paraId="789C6556">
            <w:pPr>
              <w:jc w:val="center"/>
              <w:rPr>
                <w:color w:val="auto"/>
                <w:highlight w:val="none"/>
              </w:rPr>
            </w:pPr>
          </w:p>
        </w:tc>
        <w:tc>
          <w:tcPr>
            <w:tcW w:w="1330" w:type="dxa"/>
            <w:gridSpan w:val="2"/>
            <w:vAlign w:val="center"/>
          </w:tcPr>
          <w:p w14:paraId="359D4468">
            <w:pPr>
              <w:jc w:val="center"/>
              <w:rPr>
                <w:color w:val="auto"/>
                <w:highlight w:val="none"/>
              </w:rPr>
            </w:pPr>
          </w:p>
        </w:tc>
        <w:tc>
          <w:tcPr>
            <w:tcW w:w="1641" w:type="dxa"/>
            <w:gridSpan w:val="4"/>
            <w:vAlign w:val="center"/>
          </w:tcPr>
          <w:p w14:paraId="4FCE8C0B">
            <w:pPr>
              <w:jc w:val="center"/>
              <w:rPr>
                <w:color w:val="auto"/>
                <w:highlight w:val="none"/>
              </w:rPr>
            </w:pPr>
          </w:p>
        </w:tc>
        <w:tc>
          <w:tcPr>
            <w:tcW w:w="1484" w:type="dxa"/>
            <w:gridSpan w:val="2"/>
            <w:vAlign w:val="center"/>
          </w:tcPr>
          <w:p w14:paraId="15817D4F">
            <w:pPr>
              <w:jc w:val="center"/>
              <w:rPr>
                <w:color w:val="auto"/>
                <w:highlight w:val="none"/>
              </w:rPr>
            </w:pPr>
          </w:p>
        </w:tc>
      </w:tr>
      <w:tr w14:paraId="4E73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DEF4E00">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5A308D41">
            <w:pPr>
              <w:jc w:val="center"/>
              <w:rPr>
                <w:color w:val="auto"/>
                <w:highlight w:val="none"/>
              </w:rPr>
            </w:pPr>
          </w:p>
        </w:tc>
        <w:tc>
          <w:tcPr>
            <w:tcW w:w="1979" w:type="dxa"/>
            <w:gridSpan w:val="3"/>
            <w:vAlign w:val="center"/>
          </w:tcPr>
          <w:p w14:paraId="5CB38452">
            <w:pPr>
              <w:jc w:val="center"/>
              <w:rPr>
                <w:color w:val="auto"/>
                <w:highlight w:val="none"/>
              </w:rPr>
            </w:pPr>
          </w:p>
        </w:tc>
        <w:tc>
          <w:tcPr>
            <w:tcW w:w="1330" w:type="dxa"/>
            <w:gridSpan w:val="2"/>
            <w:vAlign w:val="center"/>
          </w:tcPr>
          <w:p w14:paraId="3C377A3A">
            <w:pPr>
              <w:jc w:val="center"/>
              <w:rPr>
                <w:color w:val="auto"/>
                <w:highlight w:val="none"/>
              </w:rPr>
            </w:pPr>
          </w:p>
        </w:tc>
        <w:tc>
          <w:tcPr>
            <w:tcW w:w="1641" w:type="dxa"/>
            <w:gridSpan w:val="4"/>
            <w:vAlign w:val="center"/>
          </w:tcPr>
          <w:p w14:paraId="7B7F6B16">
            <w:pPr>
              <w:jc w:val="center"/>
              <w:rPr>
                <w:color w:val="auto"/>
                <w:highlight w:val="none"/>
              </w:rPr>
            </w:pPr>
          </w:p>
        </w:tc>
        <w:tc>
          <w:tcPr>
            <w:tcW w:w="1484" w:type="dxa"/>
            <w:gridSpan w:val="2"/>
            <w:vAlign w:val="center"/>
          </w:tcPr>
          <w:p w14:paraId="7BF3F391">
            <w:pPr>
              <w:jc w:val="center"/>
              <w:rPr>
                <w:color w:val="auto"/>
                <w:highlight w:val="none"/>
              </w:rPr>
            </w:pPr>
          </w:p>
        </w:tc>
      </w:tr>
    </w:tbl>
    <w:p w14:paraId="4C5AFCA5">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14:paraId="1C9DF482">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261230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2.本表后附项目技术负责人（项目总工）的</w:t>
      </w:r>
      <w:r>
        <w:rPr>
          <w:color w:val="auto"/>
          <w:highlight w:val="none"/>
        </w:rPr>
        <w:t>职称证书复印件（或打印件）</w:t>
      </w:r>
      <w:r>
        <w:rPr>
          <w:rFonts w:hint="eastAsia" w:ascii="宋体" w:hAnsi="宋体"/>
          <w:color w:val="auto"/>
          <w:szCs w:val="21"/>
          <w:highlight w:val="none"/>
          <w:lang w:eastAsia="zh-CN"/>
        </w:rPr>
        <w:t>，</w:t>
      </w:r>
      <w:r>
        <w:rPr>
          <w:rFonts w:hint="eastAsia" w:ascii="宋体" w:hAnsi="宋体"/>
          <w:color w:val="auto"/>
          <w:szCs w:val="21"/>
          <w:highlight w:val="none"/>
        </w:rPr>
        <w:t>本表所列证书复印件并加盖供应商电子签章。</w:t>
      </w:r>
    </w:p>
    <w:p w14:paraId="3711C5FE">
      <w:pPr>
        <w:spacing w:line="360" w:lineRule="auto"/>
        <w:rPr>
          <w:rFonts w:eastAsia="楷体_GB2312"/>
          <w:color w:val="auto"/>
          <w:highlight w:val="none"/>
        </w:rPr>
      </w:pPr>
    </w:p>
    <w:p w14:paraId="51FDE450">
      <w:pPr>
        <w:pStyle w:val="157"/>
        <w:spacing w:line="360" w:lineRule="auto"/>
        <w:jc w:val="center"/>
        <w:outlineLvl w:val="0"/>
        <w:rPr>
          <w:color w:val="auto"/>
          <w:sz w:val="28"/>
          <w:szCs w:val="28"/>
          <w:highlight w:val="none"/>
          <w:u w:val="single"/>
        </w:rPr>
      </w:pPr>
      <w:r>
        <w:rPr>
          <w:rFonts w:cs="宋体"/>
          <w:b/>
          <w:bCs/>
          <w:color w:val="auto"/>
          <w:sz w:val="28"/>
          <w:szCs w:val="28"/>
          <w:highlight w:val="none"/>
        </w:rPr>
        <w:br w:type="page"/>
      </w:r>
      <w:bookmarkStart w:id="208" w:name="_Toc122424017"/>
      <w:bookmarkStart w:id="209" w:name="_Toc122424266"/>
      <w:r>
        <w:rPr>
          <w:rFonts w:hint="eastAsia" w:cs="宋体"/>
          <w:b/>
          <w:color w:val="auto"/>
          <w:sz w:val="28"/>
          <w:szCs w:val="28"/>
          <w:highlight w:val="none"/>
        </w:rPr>
        <w:t>专职安全生产管理人员</w:t>
      </w:r>
      <w:bookmarkEnd w:id="208"/>
      <w:bookmarkEnd w:id="209"/>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417"/>
        <w:gridCol w:w="242"/>
        <w:gridCol w:w="1088"/>
        <w:gridCol w:w="88"/>
        <w:gridCol w:w="409"/>
        <w:gridCol w:w="1108"/>
        <w:gridCol w:w="36"/>
        <w:gridCol w:w="79"/>
        <w:gridCol w:w="1405"/>
        <w:gridCol w:w="11"/>
      </w:tblGrid>
      <w:tr w14:paraId="32F1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347037B9">
            <w:pPr>
              <w:jc w:val="center"/>
              <w:rPr>
                <w:color w:val="auto"/>
                <w:highlight w:val="none"/>
              </w:rPr>
            </w:pPr>
            <w:r>
              <w:rPr>
                <w:rFonts w:hint="eastAsia" w:cs="宋体"/>
                <w:color w:val="auto"/>
                <w:highlight w:val="none"/>
              </w:rPr>
              <w:t>姓名</w:t>
            </w:r>
          </w:p>
        </w:tc>
        <w:tc>
          <w:tcPr>
            <w:tcW w:w="2340" w:type="dxa"/>
            <w:gridSpan w:val="4"/>
            <w:vAlign w:val="center"/>
          </w:tcPr>
          <w:p w14:paraId="41DEB975">
            <w:pPr>
              <w:jc w:val="center"/>
              <w:rPr>
                <w:color w:val="auto"/>
                <w:highlight w:val="none"/>
              </w:rPr>
            </w:pPr>
          </w:p>
        </w:tc>
        <w:tc>
          <w:tcPr>
            <w:tcW w:w="1893" w:type="dxa"/>
            <w:gridSpan w:val="3"/>
            <w:vAlign w:val="center"/>
          </w:tcPr>
          <w:p w14:paraId="2CB9692C">
            <w:pPr>
              <w:jc w:val="center"/>
              <w:rPr>
                <w:color w:val="auto"/>
                <w:highlight w:val="none"/>
              </w:rPr>
            </w:pPr>
            <w:r>
              <w:rPr>
                <w:rFonts w:hint="eastAsia" w:cs="宋体"/>
                <w:color w:val="auto"/>
                <w:highlight w:val="none"/>
              </w:rPr>
              <w:t>性别</w:t>
            </w:r>
          </w:p>
        </w:tc>
        <w:tc>
          <w:tcPr>
            <w:tcW w:w="1585" w:type="dxa"/>
            <w:gridSpan w:val="3"/>
            <w:vAlign w:val="center"/>
          </w:tcPr>
          <w:p w14:paraId="5C15282E">
            <w:pPr>
              <w:jc w:val="center"/>
              <w:rPr>
                <w:color w:val="auto"/>
                <w:highlight w:val="none"/>
              </w:rPr>
            </w:pPr>
          </w:p>
        </w:tc>
        <w:tc>
          <w:tcPr>
            <w:tcW w:w="1108" w:type="dxa"/>
            <w:vAlign w:val="center"/>
          </w:tcPr>
          <w:p w14:paraId="552C2C62">
            <w:pPr>
              <w:jc w:val="center"/>
              <w:rPr>
                <w:color w:val="auto"/>
                <w:highlight w:val="none"/>
              </w:rPr>
            </w:pPr>
            <w:r>
              <w:rPr>
                <w:rFonts w:hint="eastAsia" w:cs="宋体"/>
                <w:color w:val="auto"/>
                <w:highlight w:val="none"/>
              </w:rPr>
              <w:t>年龄</w:t>
            </w:r>
          </w:p>
        </w:tc>
        <w:tc>
          <w:tcPr>
            <w:tcW w:w="1531" w:type="dxa"/>
            <w:gridSpan w:val="4"/>
            <w:vAlign w:val="center"/>
          </w:tcPr>
          <w:p w14:paraId="35B21A2B">
            <w:pPr>
              <w:jc w:val="center"/>
              <w:rPr>
                <w:color w:val="auto"/>
                <w:highlight w:val="none"/>
              </w:rPr>
            </w:pPr>
          </w:p>
        </w:tc>
      </w:tr>
      <w:tr w14:paraId="2B35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7559F14">
            <w:pPr>
              <w:jc w:val="center"/>
              <w:rPr>
                <w:color w:val="auto"/>
                <w:highlight w:val="none"/>
              </w:rPr>
            </w:pPr>
            <w:r>
              <w:rPr>
                <w:rFonts w:hint="eastAsia" w:cs="宋体"/>
                <w:color w:val="auto"/>
                <w:highlight w:val="none"/>
              </w:rPr>
              <w:t>岗位</w:t>
            </w:r>
          </w:p>
        </w:tc>
        <w:tc>
          <w:tcPr>
            <w:tcW w:w="2340" w:type="dxa"/>
            <w:gridSpan w:val="4"/>
            <w:vAlign w:val="center"/>
          </w:tcPr>
          <w:p w14:paraId="66ADE68C">
            <w:pPr>
              <w:jc w:val="center"/>
              <w:rPr>
                <w:color w:val="auto"/>
                <w:highlight w:val="none"/>
              </w:rPr>
            </w:pPr>
            <w:r>
              <w:rPr>
                <w:rFonts w:hint="eastAsia"/>
                <w:color w:val="auto"/>
                <w:highlight w:val="none"/>
              </w:rPr>
              <w:t>专职安全生产管理人员</w:t>
            </w:r>
          </w:p>
        </w:tc>
        <w:tc>
          <w:tcPr>
            <w:tcW w:w="1893" w:type="dxa"/>
            <w:gridSpan w:val="3"/>
            <w:vAlign w:val="center"/>
          </w:tcPr>
          <w:p w14:paraId="2458C1F2">
            <w:pPr>
              <w:jc w:val="center"/>
              <w:rPr>
                <w:color w:val="auto"/>
                <w:highlight w:val="none"/>
              </w:rPr>
            </w:pPr>
            <w:r>
              <w:rPr>
                <w:rFonts w:hint="eastAsia" w:cs="宋体"/>
                <w:color w:val="auto"/>
                <w:highlight w:val="none"/>
              </w:rPr>
              <w:t>职称</w:t>
            </w:r>
          </w:p>
        </w:tc>
        <w:tc>
          <w:tcPr>
            <w:tcW w:w="1585" w:type="dxa"/>
            <w:gridSpan w:val="3"/>
            <w:vAlign w:val="center"/>
          </w:tcPr>
          <w:p w14:paraId="4D05BBE9">
            <w:pPr>
              <w:jc w:val="center"/>
              <w:rPr>
                <w:color w:val="auto"/>
                <w:highlight w:val="none"/>
              </w:rPr>
            </w:pPr>
          </w:p>
        </w:tc>
        <w:tc>
          <w:tcPr>
            <w:tcW w:w="1108" w:type="dxa"/>
            <w:vAlign w:val="center"/>
          </w:tcPr>
          <w:p w14:paraId="17680000">
            <w:pPr>
              <w:jc w:val="center"/>
              <w:rPr>
                <w:color w:val="auto"/>
                <w:highlight w:val="none"/>
              </w:rPr>
            </w:pPr>
            <w:r>
              <w:rPr>
                <w:rFonts w:hint="eastAsia" w:cs="宋体"/>
                <w:color w:val="auto"/>
                <w:highlight w:val="none"/>
              </w:rPr>
              <w:t>学历</w:t>
            </w:r>
          </w:p>
        </w:tc>
        <w:tc>
          <w:tcPr>
            <w:tcW w:w="1531" w:type="dxa"/>
            <w:gridSpan w:val="4"/>
            <w:vAlign w:val="center"/>
          </w:tcPr>
          <w:p w14:paraId="03F5BC32">
            <w:pPr>
              <w:jc w:val="center"/>
              <w:rPr>
                <w:color w:val="auto"/>
                <w:highlight w:val="none"/>
              </w:rPr>
            </w:pPr>
          </w:p>
        </w:tc>
      </w:tr>
      <w:tr w14:paraId="2D31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2322E7E">
            <w:pPr>
              <w:jc w:val="center"/>
              <w:rPr>
                <w:rFonts w:cs="宋体"/>
                <w:color w:val="auto"/>
                <w:highlight w:val="none"/>
              </w:rPr>
            </w:pPr>
            <w:r>
              <w:rPr>
                <w:rFonts w:hint="eastAsia" w:cs="宋体"/>
                <w:color w:val="auto"/>
                <w:highlight w:val="none"/>
              </w:rPr>
              <w:t>从业开始时间</w:t>
            </w:r>
          </w:p>
        </w:tc>
        <w:tc>
          <w:tcPr>
            <w:tcW w:w="2340" w:type="dxa"/>
            <w:gridSpan w:val="4"/>
            <w:vAlign w:val="center"/>
          </w:tcPr>
          <w:p w14:paraId="47350F65">
            <w:pPr>
              <w:jc w:val="center"/>
              <w:rPr>
                <w:color w:val="auto"/>
                <w:highlight w:val="none"/>
              </w:rPr>
            </w:pPr>
          </w:p>
        </w:tc>
        <w:tc>
          <w:tcPr>
            <w:tcW w:w="1893" w:type="dxa"/>
            <w:gridSpan w:val="3"/>
            <w:vAlign w:val="center"/>
          </w:tcPr>
          <w:p w14:paraId="50016A45">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5D340828">
            <w:pPr>
              <w:jc w:val="center"/>
              <w:rPr>
                <w:color w:val="auto"/>
                <w:highlight w:val="none"/>
              </w:rPr>
            </w:pPr>
          </w:p>
        </w:tc>
        <w:tc>
          <w:tcPr>
            <w:tcW w:w="1108" w:type="dxa"/>
            <w:vAlign w:val="center"/>
          </w:tcPr>
          <w:p w14:paraId="68065A65">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50E58CC9">
            <w:pPr>
              <w:jc w:val="center"/>
              <w:rPr>
                <w:color w:val="auto"/>
                <w:highlight w:val="none"/>
              </w:rPr>
            </w:pPr>
          </w:p>
        </w:tc>
      </w:tr>
      <w:tr w14:paraId="55B7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6DF4881">
            <w:pPr>
              <w:jc w:val="center"/>
              <w:rPr>
                <w:color w:val="auto"/>
                <w:highlight w:val="none"/>
              </w:rPr>
            </w:pPr>
            <w:r>
              <w:rPr>
                <w:rFonts w:hint="eastAsia" w:cs="宋体"/>
                <w:color w:val="auto"/>
                <w:highlight w:val="none"/>
              </w:rPr>
              <w:t>担任……年限</w:t>
            </w:r>
          </w:p>
        </w:tc>
        <w:tc>
          <w:tcPr>
            <w:tcW w:w="2574" w:type="dxa"/>
            <w:gridSpan w:val="5"/>
            <w:vAlign w:val="center"/>
          </w:tcPr>
          <w:p w14:paraId="43007A73">
            <w:pPr>
              <w:jc w:val="center"/>
              <w:rPr>
                <w:color w:val="auto"/>
                <w:highlight w:val="none"/>
              </w:rPr>
            </w:pPr>
          </w:p>
        </w:tc>
        <w:tc>
          <w:tcPr>
            <w:tcW w:w="1417" w:type="dxa"/>
            <w:vAlign w:val="center"/>
          </w:tcPr>
          <w:p w14:paraId="16D9889F">
            <w:pPr>
              <w:jc w:val="center"/>
              <w:rPr>
                <w:color w:val="auto"/>
                <w:highlight w:val="none"/>
              </w:rPr>
            </w:pPr>
            <w:r>
              <w:rPr>
                <w:rFonts w:hint="eastAsia"/>
                <w:color w:val="auto"/>
                <w:highlight w:val="none"/>
              </w:rPr>
              <w:t>身份</w:t>
            </w:r>
            <w:r>
              <w:rPr>
                <w:color w:val="auto"/>
                <w:highlight w:val="none"/>
              </w:rPr>
              <w:t>证号码</w:t>
            </w:r>
          </w:p>
        </w:tc>
        <w:tc>
          <w:tcPr>
            <w:tcW w:w="4466" w:type="dxa"/>
            <w:gridSpan w:val="9"/>
            <w:vAlign w:val="center"/>
          </w:tcPr>
          <w:p w14:paraId="567CB921">
            <w:pPr>
              <w:jc w:val="center"/>
              <w:rPr>
                <w:color w:val="auto"/>
                <w:highlight w:val="none"/>
              </w:rPr>
            </w:pPr>
          </w:p>
        </w:tc>
      </w:tr>
      <w:tr w14:paraId="456B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77763D3F">
            <w:pPr>
              <w:jc w:val="center"/>
              <w:rPr>
                <w:color w:val="auto"/>
                <w:highlight w:val="none"/>
              </w:rPr>
            </w:pPr>
            <w:r>
              <w:rPr>
                <w:rFonts w:hint="eastAsia"/>
                <w:color w:val="auto"/>
                <w:highlight w:val="none"/>
              </w:rPr>
              <w:t>证书名称</w:t>
            </w:r>
          </w:p>
        </w:tc>
        <w:tc>
          <w:tcPr>
            <w:tcW w:w="1352" w:type="dxa"/>
            <w:gridSpan w:val="2"/>
            <w:vAlign w:val="center"/>
          </w:tcPr>
          <w:p w14:paraId="4C0EE6EC">
            <w:pPr>
              <w:jc w:val="center"/>
              <w:rPr>
                <w:color w:val="auto"/>
                <w:highlight w:val="none"/>
              </w:rPr>
            </w:pPr>
            <w:r>
              <w:rPr>
                <w:rFonts w:hint="eastAsia"/>
                <w:color w:val="auto"/>
                <w:highlight w:val="none"/>
              </w:rPr>
              <w:t>注册专业</w:t>
            </w:r>
          </w:p>
        </w:tc>
        <w:tc>
          <w:tcPr>
            <w:tcW w:w="1222" w:type="dxa"/>
            <w:gridSpan w:val="3"/>
            <w:vAlign w:val="center"/>
          </w:tcPr>
          <w:p w14:paraId="6A6C36BB">
            <w:pPr>
              <w:jc w:val="center"/>
              <w:rPr>
                <w:color w:val="auto"/>
                <w:highlight w:val="none"/>
              </w:rPr>
            </w:pPr>
            <w:r>
              <w:rPr>
                <w:color w:val="auto"/>
                <w:highlight w:val="none"/>
              </w:rPr>
              <w:t>级别</w:t>
            </w:r>
          </w:p>
        </w:tc>
        <w:tc>
          <w:tcPr>
            <w:tcW w:w="1417" w:type="dxa"/>
            <w:vAlign w:val="center"/>
          </w:tcPr>
          <w:p w14:paraId="3C3BE2BE">
            <w:pPr>
              <w:jc w:val="center"/>
              <w:rPr>
                <w:color w:val="auto"/>
                <w:highlight w:val="none"/>
              </w:rPr>
            </w:pPr>
            <w:r>
              <w:rPr>
                <w:rFonts w:hint="eastAsia" w:cs="宋体"/>
                <w:color w:val="auto"/>
                <w:highlight w:val="none"/>
              </w:rPr>
              <w:t>证书编号</w:t>
            </w:r>
          </w:p>
        </w:tc>
        <w:tc>
          <w:tcPr>
            <w:tcW w:w="1418" w:type="dxa"/>
            <w:gridSpan w:val="3"/>
            <w:vAlign w:val="center"/>
          </w:tcPr>
          <w:p w14:paraId="104C490A">
            <w:pPr>
              <w:jc w:val="center"/>
              <w:rPr>
                <w:color w:val="auto"/>
                <w:highlight w:val="none"/>
              </w:rPr>
            </w:pPr>
            <w:r>
              <w:rPr>
                <w:rFonts w:hint="eastAsia"/>
                <w:color w:val="auto"/>
                <w:highlight w:val="none"/>
              </w:rPr>
              <w:t>注册时间</w:t>
            </w:r>
          </w:p>
        </w:tc>
        <w:tc>
          <w:tcPr>
            <w:tcW w:w="1632" w:type="dxa"/>
            <w:gridSpan w:val="4"/>
            <w:vAlign w:val="center"/>
          </w:tcPr>
          <w:p w14:paraId="3C23E262">
            <w:pPr>
              <w:jc w:val="center"/>
              <w:rPr>
                <w:color w:val="auto"/>
                <w:highlight w:val="none"/>
              </w:rPr>
            </w:pPr>
            <w:r>
              <w:rPr>
                <w:rFonts w:hint="eastAsia"/>
                <w:color w:val="auto"/>
                <w:highlight w:val="none"/>
              </w:rPr>
              <w:t>注册单位</w:t>
            </w:r>
          </w:p>
        </w:tc>
        <w:tc>
          <w:tcPr>
            <w:tcW w:w="1416" w:type="dxa"/>
            <w:gridSpan w:val="2"/>
            <w:vAlign w:val="center"/>
          </w:tcPr>
          <w:p w14:paraId="70330427">
            <w:pPr>
              <w:jc w:val="center"/>
              <w:rPr>
                <w:color w:val="auto"/>
                <w:highlight w:val="none"/>
              </w:rPr>
            </w:pPr>
            <w:r>
              <w:rPr>
                <w:rFonts w:hint="eastAsia"/>
                <w:color w:val="auto"/>
                <w:highlight w:val="none"/>
              </w:rPr>
              <w:t>注册有效期</w:t>
            </w:r>
          </w:p>
        </w:tc>
      </w:tr>
      <w:tr w14:paraId="0AA7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D26A5D0">
            <w:pPr>
              <w:jc w:val="center"/>
              <w:rPr>
                <w:color w:val="auto"/>
                <w:highlight w:val="none"/>
              </w:rPr>
            </w:pPr>
            <w:r>
              <w:rPr>
                <w:rFonts w:hint="eastAsia"/>
                <w:color w:val="auto"/>
                <w:highlight w:val="none"/>
              </w:rPr>
              <w:t>安全生产考核合格证书</w:t>
            </w:r>
          </w:p>
        </w:tc>
        <w:tc>
          <w:tcPr>
            <w:tcW w:w="1352" w:type="dxa"/>
            <w:gridSpan w:val="2"/>
            <w:vAlign w:val="center"/>
          </w:tcPr>
          <w:p w14:paraId="45B92548">
            <w:pPr>
              <w:jc w:val="center"/>
              <w:rPr>
                <w:color w:val="auto"/>
                <w:highlight w:val="none"/>
              </w:rPr>
            </w:pPr>
          </w:p>
        </w:tc>
        <w:tc>
          <w:tcPr>
            <w:tcW w:w="1222" w:type="dxa"/>
            <w:gridSpan w:val="3"/>
            <w:vAlign w:val="center"/>
          </w:tcPr>
          <w:p w14:paraId="1E4D534B">
            <w:pPr>
              <w:jc w:val="center"/>
              <w:rPr>
                <w:rFonts w:cs="宋体"/>
                <w:color w:val="auto"/>
                <w:highlight w:val="none"/>
              </w:rPr>
            </w:pPr>
            <w:r>
              <w:rPr>
                <w:rFonts w:hint="eastAsia" w:cs="宋体"/>
                <w:color w:val="auto"/>
                <w:highlight w:val="none"/>
              </w:rPr>
              <w:t>C类</w:t>
            </w:r>
          </w:p>
        </w:tc>
        <w:tc>
          <w:tcPr>
            <w:tcW w:w="1417" w:type="dxa"/>
            <w:vAlign w:val="center"/>
          </w:tcPr>
          <w:p w14:paraId="1C01D7FA">
            <w:pPr>
              <w:jc w:val="center"/>
              <w:rPr>
                <w:color w:val="auto"/>
                <w:highlight w:val="none"/>
              </w:rPr>
            </w:pPr>
          </w:p>
        </w:tc>
        <w:tc>
          <w:tcPr>
            <w:tcW w:w="1418" w:type="dxa"/>
            <w:gridSpan w:val="3"/>
            <w:vAlign w:val="center"/>
          </w:tcPr>
          <w:p w14:paraId="247E772F">
            <w:pPr>
              <w:jc w:val="center"/>
              <w:rPr>
                <w:color w:val="auto"/>
                <w:highlight w:val="none"/>
              </w:rPr>
            </w:pPr>
          </w:p>
        </w:tc>
        <w:tc>
          <w:tcPr>
            <w:tcW w:w="1632" w:type="dxa"/>
            <w:gridSpan w:val="4"/>
            <w:vAlign w:val="center"/>
          </w:tcPr>
          <w:p w14:paraId="1F724664">
            <w:pPr>
              <w:jc w:val="center"/>
              <w:rPr>
                <w:color w:val="auto"/>
                <w:highlight w:val="none"/>
              </w:rPr>
            </w:pPr>
          </w:p>
        </w:tc>
        <w:tc>
          <w:tcPr>
            <w:tcW w:w="1416" w:type="dxa"/>
            <w:gridSpan w:val="2"/>
            <w:vAlign w:val="center"/>
          </w:tcPr>
          <w:p w14:paraId="6110CBEB">
            <w:pPr>
              <w:jc w:val="center"/>
              <w:rPr>
                <w:color w:val="auto"/>
                <w:highlight w:val="none"/>
              </w:rPr>
            </w:pPr>
          </w:p>
        </w:tc>
      </w:tr>
      <w:tr w14:paraId="693A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9AE8FE5">
            <w:pPr>
              <w:jc w:val="center"/>
              <w:rPr>
                <w:color w:val="auto"/>
                <w:highlight w:val="none"/>
              </w:rPr>
            </w:pPr>
          </w:p>
        </w:tc>
        <w:tc>
          <w:tcPr>
            <w:tcW w:w="1352" w:type="dxa"/>
            <w:gridSpan w:val="2"/>
            <w:vAlign w:val="center"/>
          </w:tcPr>
          <w:p w14:paraId="04A64402">
            <w:pPr>
              <w:jc w:val="center"/>
              <w:rPr>
                <w:color w:val="auto"/>
                <w:highlight w:val="none"/>
              </w:rPr>
            </w:pPr>
          </w:p>
        </w:tc>
        <w:tc>
          <w:tcPr>
            <w:tcW w:w="1222" w:type="dxa"/>
            <w:gridSpan w:val="3"/>
            <w:vAlign w:val="center"/>
          </w:tcPr>
          <w:p w14:paraId="765950B0">
            <w:pPr>
              <w:jc w:val="center"/>
              <w:rPr>
                <w:rFonts w:cs="宋体"/>
                <w:color w:val="auto"/>
                <w:highlight w:val="none"/>
              </w:rPr>
            </w:pPr>
          </w:p>
        </w:tc>
        <w:tc>
          <w:tcPr>
            <w:tcW w:w="1417" w:type="dxa"/>
            <w:vAlign w:val="center"/>
          </w:tcPr>
          <w:p w14:paraId="23BF6D0D">
            <w:pPr>
              <w:jc w:val="center"/>
              <w:rPr>
                <w:color w:val="auto"/>
                <w:highlight w:val="none"/>
              </w:rPr>
            </w:pPr>
          </w:p>
        </w:tc>
        <w:tc>
          <w:tcPr>
            <w:tcW w:w="1418" w:type="dxa"/>
            <w:gridSpan w:val="3"/>
            <w:vAlign w:val="center"/>
          </w:tcPr>
          <w:p w14:paraId="31C5A459">
            <w:pPr>
              <w:jc w:val="center"/>
              <w:rPr>
                <w:color w:val="auto"/>
                <w:highlight w:val="none"/>
              </w:rPr>
            </w:pPr>
          </w:p>
        </w:tc>
        <w:tc>
          <w:tcPr>
            <w:tcW w:w="1632" w:type="dxa"/>
            <w:gridSpan w:val="4"/>
            <w:vAlign w:val="center"/>
          </w:tcPr>
          <w:p w14:paraId="2CC4C594">
            <w:pPr>
              <w:jc w:val="center"/>
              <w:rPr>
                <w:color w:val="auto"/>
                <w:highlight w:val="none"/>
              </w:rPr>
            </w:pPr>
          </w:p>
        </w:tc>
        <w:tc>
          <w:tcPr>
            <w:tcW w:w="1416" w:type="dxa"/>
            <w:gridSpan w:val="2"/>
            <w:vAlign w:val="center"/>
          </w:tcPr>
          <w:p w14:paraId="243B56BC">
            <w:pPr>
              <w:jc w:val="center"/>
              <w:rPr>
                <w:color w:val="auto"/>
                <w:highlight w:val="none"/>
              </w:rPr>
            </w:pPr>
          </w:p>
        </w:tc>
      </w:tr>
      <w:tr w14:paraId="7ADA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5C658996">
            <w:pPr>
              <w:jc w:val="center"/>
              <w:rPr>
                <w:color w:val="auto"/>
                <w:highlight w:val="none"/>
              </w:rPr>
            </w:pPr>
            <w:r>
              <w:rPr>
                <w:rFonts w:hint="eastAsia" w:cs="宋体"/>
                <w:color w:val="auto"/>
                <w:highlight w:val="none"/>
              </w:rPr>
              <w:t>在建和已完工程项目情况</w:t>
            </w:r>
          </w:p>
        </w:tc>
      </w:tr>
      <w:tr w14:paraId="1B2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41D7A329">
            <w:pPr>
              <w:jc w:val="center"/>
              <w:rPr>
                <w:color w:val="auto"/>
                <w:highlight w:val="none"/>
              </w:rPr>
            </w:pPr>
          </w:p>
        </w:tc>
        <w:tc>
          <w:tcPr>
            <w:tcW w:w="1548" w:type="dxa"/>
            <w:gridSpan w:val="2"/>
            <w:vAlign w:val="center"/>
          </w:tcPr>
          <w:p w14:paraId="36D3ED39">
            <w:pPr>
              <w:jc w:val="center"/>
              <w:rPr>
                <w:color w:val="auto"/>
                <w:highlight w:val="none"/>
              </w:rPr>
            </w:pPr>
            <w:r>
              <w:rPr>
                <w:rFonts w:hint="eastAsia"/>
                <w:color w:val="auto"/>
                <w:highlight w:val="none"/>
              </w:rPr>
              <w:t>项目1</w:t>
            </w:r>
          </w:p>
        </w:tc>
        <w:tc>
          <w:tcPr>
            <w:tcW w:w="1979" w:type="dxa"/>
            <w:gridSpan w:val="3"/>
            <w:vAlign w:val="center"/>
          </w:tcPr>
          <w:p w14:paraId="7EBFA2BC">
            <w:pPr>
              <w:jc w:val="center"/>
              <w:rPr>
                <w:color w:val="auto"/>
                <w:highlight w:val="none"/>
              </w:rPr>
            </w:pPr>
            <w:r>
              <w:rPr>
                <w:rFonts w:hint="eastAsia"/>
                <w:color w:val="auto"/>
                <w:highlight w:val="none"/>
              </w:rPr>
              <w:t>项目2</w:t>
            </w:r>
          </w:p>
        </w:tc>
        <w:tc>
          <w:tcPr>
            <w:tcW w:w="1330" w:type="dxa"/>
            <w:gridSpan w:val="2"/>
            <w:vAlign w:val="center"/>
          </w:tcPr>
          <w:p w14:paraId="330777CC">
            <w:pPr>
              <w:jc w:val="center"/>
              <w:rPr>
                <w:color w:val="auto"/>
                <w:highlight w:val="none"/>
              </w:rPr>
            </w:pPr>
            <w:r>
              <w:rPr>
                <w:rFonts w:hint="eastAsia"/>
                <w:color w:val="auto"/>
                <w:highlight w:val="none"/>
              </w:rPr>
              <w:t>项目3</w:t>
            </w:r>
          </w:p>
        </w:tc>
        <w:tc>
          <w:tcPr>
            <w:tcW w:w="1641" w:type="dxa"/>
            <w:gridSpan w:val="4"/>
            <w:vAlign w:val="center"/>
          </w:tcPr>
          <w:p w14:paraId="094CAEFF">
            <w:pPr>
              <w:jc w:val="center"/>
              <w:rPr>
                <w:color w:val="auto"/>
                <w:highlight w:val="none"/>
              </w:rPr>
            </w:pPr>
            <w:r>
              <w:rPr>
                <w:rFonts w:hint="eastAsia"/>
                <w:color w:val="auto"/>
                <w:highlight w:val="none"/>
              </w:rPr>
              <w:t>项目4</w:t>
            </w:r>
          </w:p>
        </w:tc>
        <w:tc>
          <w:tcPr>
            <w:tcW w:w="1484" w:type="dxa"/>
            <w:gridSpan w:val="2"/>
            <w:vAlign w:val="center"/>
          </w:tcPr>
          <w:p w14:paraId="1F5DE8F4">
            <w:pPr>
              <w:jc w:val="center"/>
              <w:rPr>
                <w:color w:val="auto"/>
                <w:highlight w:val="none"/>
              </w:rPr>
            </w:pPr>
            <w:r>
              <w:rPr>
                <w:rFonts w:hint="eastAsia"/>
                <w:color w:val="auto"/>
                <w:highlight w:val="none"/>
              </w:rPr>
              <w:t>……</w:t>
            </w:r>
          </w:p>
        </w:tc>
      </w:tr>
      <w:tr w14:paraId="11BC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3B8C821">
            <w:pPr>
              <w:jc w:val="center"/>
              <w:rPr>
                <w:color w:val="auto"/>
                <w:highlight w:val="none"/>
              </w:rPr>
            </w:pPr>
            <w:r>
              <w:rPr>
                <w:rFonts w:hint="eastAsia"/>
                <w:color w:val="auto"/>
                <w:highlight w:val="none"/>
              </w:rPr>
              <w:t>项目名称</w:t>
            </w:r>
          </w:p>
        </w:tc>
        <w:tc>
          <w:tcPr>
            <w:tcW w:w="1548" w:type="dxa"/>
            <w:gridSpan w:val="2"/>
            <w:vAlign w:val="center"/>
          </w:tcPr>
          <w:p w14:paraId="2E83E98E">
            <w:pPr>
              <w:jc w:val="center"/>
              <w:rPr>
                <w:color w:val="auto"/>
                <w:highlight w:val="none"/>
              </w:rPr>
            </w:pPr>
          </w:p>
        </w:tc>
        <w:tc>
          <w:tcPr>
            <w:tcW w:w="1979" w:type="dxa"/>
            <w:gridSpan w:val="3"/>
            <w:vAlign w:val="center"/>
          </w:tcPr>
          <w:p w14:paraId="63C6A50F">
            <w:pPr>
              <w:jc w:val="center"/>
              <w:rPr>
                <w:color w:val="auto"/>
                <w:highlight w:val="none"/>
              </w:rPr>
            </w:pPr>
          </w:p>
        </w:tc>
        <w:tc>
          <w:tcPr>
            <w:tcW w:w="1330" w:type="dxa"/>
            <w:gridSpan w:val="2"/>
            <w:vAlign w:val="center"/>
          </w:tcPr>
          <w:p w14:paraId="48E6305E">
            <w:pPr>
              <w:jc w:val="center"/>
              <w:rPr>
                <w:color w:val="auto"/>
                <w:highlight w:val="none"/>
              </w:rPr>
            </w:pPr>
          </w:p>
        </w:tc>
        <w:tc>
          <w:tcPr>
            <w:tcW w:w="1641" w:type="dxa"/>
            <w:gridSpan w:val="4"/>
            <w:vAlign w:val="center"/>
          </w:tcPr>
          <w:p w14:paraId="7ED01204">
            <w:pPr>
              <w:jc w:val="center"/>
              <w:rPr>
                <w:color w:val="auto"/>
                <w:highlight w:val="none"/>
              </w:rPr>
            </w:pPr>
          </w:p>
        </w:tc>
        <w:tc>
          <w:tcPr>
            <w:tcW w:w="1484" w:type="dxa"/>
            <w:gridSpan w:val="2"/>
            <w:vAlign w:val="center"/>
          </w:tcPr>
          <w:p w14:paraId="3DFE0421">
            <w:pPr>
              <w:jc w:val="center"/>
              <w:rPr>
                <w:color w:val="auto"/>
                <w:highlight w:val="none"/>
              </w:rPr>
            </w:pPr>
          </w:p>
        </w:tc>
      </w:tr>
      <w:tr w14:paraId="175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8BB9D65">
            <w:pPr>
              <w:jc w:val="center"/>
              <w:rPr>
                <w:color w:val="auto"/>
                <w:highlight w:val="none"/>
              </w:rPr>
            </w:pPr>
            <w:r>
              <w:rPr>
                <w:rFonts w:hint="eastAsia" w:cs="宋体"/>
                <w:color w:val="auto"/>
                <w:highlight w:val="none"/>
              </w:rPr>
              <w:t>建设单位</w:t>
            </w:r>
          </w:p>
        </w:tc>
        <w:tc>
          <w:tcPr>
            <w:tcW w:w="1548" w:type="dxa"/>
            <w:gridSpan w:val="2"/>
            <w:vAlign w:val="center"/>
          </w:tcPr>
          <w:p w14:paraId="172B88FD">
            <w:pPr>
              <w:jc w:val="center"/>
              <w:rPr>
                <w:color w:val="auto"/>
                <w:highlight w:val="none"/>
              </w:rPr>
            </w:pPr>
          </w:p>
        </w:tc>
        <w:tc>
          <w:tcPr>
            <w:tcW w:w="1979" w:type="dxa"/>
            <w:gridSpan w:val="3"/>
            <w:vAlign w:val="center"/>
          </w:tcPr>
          <w:p w14:paraId="30898BD2">
            <w:pPr>
              <w:jc w:val="center"/>
              <w:rPr>
                <w:color w:val="auto"/>
                <w:highlight w:val="none"/>
              </w:rPr>
            </w:pPr>
          </w:p>
        </w:tc>
        <w:tc>
          <w:tcPr>
            <w:tcW w:w="1330" w:type="dxa"/>
            <w:gridSpan w:val="2"/>
            <w:vAlign w:val="center"/>
          </w:tcPr>
          <w:p w14:paraId="5CDF7897">
            <w:pPr>
              <w:jc w:val="center"/>
              <w:rPr>
                <w:color w:val="auto"/>
                <w:highlight w:val="none"/>
              </w:rPr>
            </w:pPr>
          </w:p>
        </w:tc>
        <w:tc>
          <w:tcPr>
            <w:tcW w:w="1641" w:type="dxa"/>
            <w:gridSpan w:val="4"/>
            <w:vAlign w:val="center"/>
          </w:tcPr>
          <w:p w14:paraId="738C7E48">
            <w:pPr>
              <w:jc w:val="center"/>
              <w:rPr>
                <w:color w:val="auto"/>
                <w:highlight w:val="none"/>
              </w:rPr>
            </w:pPr>
          </w:p>
        </w:tc>
        <w:tc>
          <w:tcPr>
            <w:tcW w:w="1484" w:type="dxa"/>
            <w:gridSpan w:val="2"/>
            <w:vAlign w:val="center"/>
          </w:tcPr>
          <w:p w14:paraId="6887B7AE">
            <w:pPr>
              <w:jc w:val="center"/>
              <w:rPr>
                <w:color w:val="auto"/>
                <w:highlight w:val="none"/>
              </w:rPr>
            </w:pPr>
          </w:p>
        </w:tc>
      </w:tr>
      <w:tr w14:paraId="455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0118615E">
            <w:pPr>
              <w:jc w:val="center"/>
              <w:rPr>
                <w:color w:val="auto"/>
                <w:highlight w:val="none"/>
              </w:rPr>
            </w:pPr>
            <w:r>
              <w:rPr>
                <w:rFonts w:hint="eastAsia" w:cs="宋体"/>
                <w:color w:val="auto"/>
                <w:highlight w:val="none"/>
              </w:rPr>
              <w:t>建设规模</w:t>
            </w:r>
          </w:p>
        </w:tc>
        <w:tc>
          <w:tcPr>
            <w:tcW w:w="1548" w:type="dxa"/>
            <w:gridSpan w:val="2"/>
            <w:vAlign w:val="center"/>
          </w:tcPr>
          <w:p w14:paraId="4FCF48B4">
            <w:pPr>
              <w:jc w:val="center"/>
              <w:rPr>
                <w:color w:val="auto"/>
                <w:highlight w:val="none"/>
              </w:rPr>
            </w:pPr>
          </w:p>
        </w:tc>
        <w:tc>
          <w:tcPr>
            <w:tcW w:w="1979" w:type="dxa"/>
            <w:gridSpan w:val="3"/>
            <w:vAlign w:val="center"/>
          </w:tcPr>
          <w:p w14:paraId="1AD00E88">
            <w:pPr>
              <w:jc w:val="center"/>
              <w:rPr>
                <w:color w:val="auto"/>
                <w:highlight w:val="none"/>
              </w:rPr>
            </w:pPr>
          </w:p>
        </w:tc>
        <w:tc>
          <w:tcPr>
            <w:tcW w:w="1330" w:type="dxa"/>
            <w:gridSpan w:val="2"/>
            <w:vAlign w:val="center"/>
          </w:tcPr>
          <w:p w14:paraId="6083A957">
            <w:pPr>
              <w:jc w:val="center"/>
              <w:rPr>
                <w:color w:val="auto"/>
                <w:highlight w:val="none"/>
              </w:rPr>
            </w:pPr>
          </w:p>
        </w:tc>
        <w:tc>
          <w:tcPr>
            <w:tcW w:w="1641" w:type="dxa"/>
            <w:gridSpan w:val="4"/>
            <w:vAlign w:val="center"/>
          </w:tcPr>
          <w:p w14:paraId="620B8C3A">
            <w:pPr>
              <w:jc w:val="center"/>
              <w:rPr>
                <w:color w:val="auto"/>
                <w:highlight w:val="none"/>
              </w:rPr>
            </w:pPr>
          </w:p>
        </w:tc>
        <w:tc>
          <w:tcPr>
            <w:tcW w:w="1484" w:type="dxa"/>
            <w:gridSpan w:val="2"/>
            <w:vAlign w:val="center"/>
          </w:tcPr>
          <w:p w14:paraId="1E8F64DD">
            <w:pPr>
              <w:jc w:val="center"/>
              <w:rPr>
                <w:color w:val="auto"/>
                <w:highlight w:val="none"/>
              </w:rPr>
            </w:pPr>
          </w:p>
        </w:tc>
      </w:tr>
      <w:tr w14:paraId="424E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2F72B38">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17395958">
            <w:pPr>
              <w:jc w:val="center"/>
              <w:rPr>
                <w:color w:val="auto"/>
                <w:highlight w:val="none"/>
              </w:rPr>
            </w:pPr>
          </w:p>
        </w:tc>
        <w:tc>
          <w:tcPr>
            <w:tcW w:w="1979" w:type="dxa"/>
            <w:gridSpan w:val="3"/>
            <w:vAlign w:val="center"/>
          </w:tcPr>
          <w:p w14:paraId="2052C90E">
            <w:pPr>
              <w:jc w:val="center"/>
              <w:rPr>
                <w:color w:val="auto"/>
                <w:highlight w:val="none"/>
              </w:rPr>
            </w:pPr>
          </w:p>
        </w:tc>
        <w:tc>
          <w:tcPr>
            <w:tcW w:w="1330" w:type="dxa"/>
            <w:gridSpan w:val="2"/>
            <w:vAlign w:val="center"/>
          </w:tcPr>
          <w:p w14:paraId="1778C4BA">
            <w:pPr>
              <w:jc w:val="center"/>
              <w:rPr>
                <w:color w:val="auto"/>
                <w:highlight w:val="none"/>
              </w:rPr>
            </w:pPr>
          </w:p>
        </w:tc>
        <w:tc>
          <w:tcPr>
            <w:tcW w:w="1641" w:type="dxa"/>
            <w:gridSpan w:val="4"/>
            <w:vAlign w:val="center"/>
          </w:tcPr>
          <w:p w14:paraId="465F9BDB">
            <w:pPr>
              <w:jc w:val="center"/>
              <w:rPr>
                <w:color w:val="auto"/>
                <w:highlight w:val="none"/>
              </w:rPr>
            </w:pPr>
          </w:p>
        </w:tc>
        <w:tc>
          <w:tcPr>
            <w:tcW w:w="1484" w:type="dxa"/>
            <w:gridSpan w:val="2"/>
            <w:vAlign w:val="center"/>
          </w:tcPr>
          <w:p w14:paraId="0B794344">
            <w:pPr>
              <w:jc w:val="center"/>
              <w:rPr>
                <w:color w:val="auto"/>
                <w:highlight w:val="none"/>
              </w:rPr>
            </w:pPr>
          </w:p>
        </w:tc>
      </w:tr>
      <w:tr w14:paraId="55A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3617EDF">
            <w:pPr>
              <w:jc w:val="center"/>
              <w:rPr>
                <w:color w:val="auto"/>
                <w:highlight w:val="none"/>
              </w:rPr>
            </w:pPr>
            <w:r>
              <w:rPr>
                <w:rFonts w:hint="eastAsia" w:cs="宋体"/>
                <w:color w:val="auto"/>
                <w:highlight w:val="none"/>
              </w:rPr>
              <w:t>竣工日期</w:t>
            </w:r>
          </w:p>
        </w:tc>
        <w:tc>
          <w:tcPr>
            <w:tcW w:w="1548" w:type="dxa"/>
            <w:gridSpan w:val="2"/>
            <w:vAlign w:val="center"/>
          </w:tcPr>
          <w:p w14:paraId="7B98CB2B">
            <w:pPr>
              <w:jc w:val="center"/>
              <w:rPr>
                <w:color w:val="auto"/>
                <w:highlight w:val="none"/>
              </w:rPr>
            </w:pPr>
          </w:p>
        </w:tc>
        <w:tc>
          <w:tcPr>
            <w:tcW w:w="1979" w:type="dxa"/>
            <w:gridSpan w:val="3"/>
            <w:vAlign w:val="center"/>
          </w:tcPr>
          <w:p w14:paraId="5DF467DA">
            <w:pPr>
              <w:jc w:val="center"/>
              <w:rPr>
                <w:color w:val="auto"/>
                <w:highlight w:val="none"/>
              </w:rPr>
            </w:pPr>
          </w:p>
        </w:tc>
        <w:tc>
          <w:tcPr>
            <w:tcW w:w="1330" w:type="dxa"/>
            <w:gridSpan w:val="2"/>
            <w:vAlign w:val="center"/>
          </w:tcPr>
          <w:p w14:paraId="1F27EC1C">
            <w:pPr>
              <w:jc w:val="center"/>
              <w:rPr>
                <w:color w:val="auto"/>
                <w:highlight w:val="none"/>
              </w:rPr>
            </w:pPr>
          </w:p>
        </w:tc>
        <w:tc>
          <w:tcPr>
            <w:tcW w:w="1641" w:type="dxa"/>
            <w:gridSpan w:val="4"/>
            <w:vAlign w:val="center"/>
          </w:tcPr>
          <w:p w14:paraId="67BB24A1">
            <w:pPr>
              <w:jc w:val="center"/>
              <w:rPr>
                <w:color w:val="auto"/>
                <w:highlight w:val="none"/>
              </w:rPr>
            </w:pPr>
          </w:p>
        </w:tc>
        <w:tc>
          <w:tcPr>
            <w:tcW w:w="1484" w:type="dxa"/>
            <w:gridSpan w:val="2"/>
            <w:vAlign w:val="center"/>
          </w:tcPr>
          <w:p w14:paraId="3FC7DF3D">
            <w:pPr>
              <w:jc w:val="center"/>
              <w:rPr>
                <w:color w:val="auto"/>
                <w:highlight w:val="none"/>
              </w:rPr>
            </w:pPr>
          </w:p>
        </w:tc>
      </w:tr>
      <w:tr w14:paraId="55E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B31302A">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0B0A08C9">
            <w:pPr>
              <w:jc w:val="center"/>
              <w:rPr>
                <w:color w:val="auto"/>
                <w:highlight w:val="none"/>
              </w:rPr>
            </w:pPr>
          </w:p>
        </w:tc>
        <w:tc>
          <w:tcPr>
            <w:tcW w:w="1979" w:type="dxa"/>
            <w:gridSpan w:val="3"/>
            <w:vAlign w:val="center"/>
          </w:tcPr>
          <w:p w14:paraId="5A8B7E24">
            <w:pPr>
              <w:jc w:val="center"/>
              <w:rPr>
                <w:color w:val="auto"/>
                <w:highlight w:val="none"/>
              </w:rPr>
            </w:pPr>
          </w:p>
        </w:tc>
        <w:tc>
          <w:tcPr>
            <w:tcW w:w="1330" w:type="dxa"/>
            <w:gridSpan w:val="2"/>
            <w:vAlign w:val="center"/>
          </w:tcPr>
          <w:p w14:paraId="7E5C9519">
            <w:pPr>
              <w:jc w:val="center"/>
              <w:rPr>
                <w:color w:val="auto"/>
                <w:highlight w:val="none"/>
              </w:rPr>
            </w:pPr>
          </w:p>
        </w:tc>
        <w:tc>
          <w:tcPr>
            <w:tcW w:w="1641" w:type="dxa"/>
            <w:gridSpan w:val="4"/>
            <w:vAlign w:val="center"/>
          </w:tcPr>
          <w:p w14:paraId="1E605EFF">
            <w:pPr>
              <w:jc w:val="center"/>
              <w:rPr>
                <w:color w:val="auto"/>
                <w:highlight w:val="none"/>
              </w:rPr>
            </w:pPr>
          </w:p>
        </w:tc>
        <w:tc>
          <w:tcPr>
            <w:tcW w:w="1484" w:type="dxa"/>
            <w:gridSpan w:val="2"/>
            <w:vAlign w:val="center"/>
          </w:tcPr>
          <w:p w14:paraId="554754F7">
            <w:pPr>
              <w:jc w:val="center"/>
              <w:rPr>
                <w:color w:val="auto"/>
                <w:highlight w:val="none"/>
              </w:rPr>
            </w:pPr>
          </w:p>
        </w:tc>
      </w:tr>
      <w:tr w14:paraId="33A4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388D78F">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65571A5A">
            <w:pPr>
              <w:jc w:val="center"/>
              <w:rPr>
                <w:color w:val="auto"/>
                <w:highlight w:val="none"/>
              </w:rPr>
            </w:pPr>
          </w:p>
        </w:tc>
        <w:tc>
          <w:tcPr>
            <w:tcW w:w="1979" w:type="dxa"/>
            <w:gridSpan w:val="3"/>
            <w:vAlign w:val="center"/>
          </w:tcPr>
          <w:p w14:paraId="559323B2">
            <w:pPr>
              <w:jc w:val="center"/>
              <w:rPr>
                <w:color w:val="auto"/>
                <w:highlight w:val="none"/>
              </w:rPr>
            </w:pPr>
          </w:p>
        </w:tc>
        <w:tc>
          <w:tcPr>
            <w:tcW w:w="1330" w:type="dxa"/>
            <w:gridSpan w:val="2"/>
            <w:vAlign w:val="center"/>
          </w:tcPr>
          <w:p w14:paraId="3DB6EF2E">
            <w:pPr>
              <w:jc w:val="center"/>
              <w:rPr>
                <w:color w:val="auto"/>
                <w:highlight w:val="none"/>
              </w:rPr>
            </w:pPr>
          </w:p>
        </w:tc>
        <w:tc>
          <w:tcPr>
            <w:tcW w:w="1641" w:type="dxa"/>
            <w:gridSpan w:val="4"/>
            <w:vAlign w:val="center"/>
          </w:tcPr>
          <w:p w14:paraId="1EE86C82">
            <w:pPr>
              <w:jc w:val="center"/>
              <w:rPr>
                <w:color w:val="auto"/>
                <w:highlight w:val="none"/>
              </w:rPr>
            </w:pPr>
          </w:p>
        </w:tc>
        <w:tc>
          <w:tcPr>
            <w:tcW w:w="1484" w:type="dxa"/>
            <w:gridSpan w:val="2"/>
            <w:vAlign w:val="center"/>
          </w:tcPr>
          <w:p w14:paraId="6937FE8B">
            <w:pPr>
              <w:jc w:val="center"/>
              <w:rPr>
                <w:color w:val="auto"/>
                <w:highlight w:val="none"/>
              </w:rPr>
            </w:pPr>
          </w:p>
        </w:tc>
      </w:tr>
      <w:tr w14:paraId="1725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F843734">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400B8A21">
            <w:pPr>
              <w:jc w:val="center"/>
              <w:rPr>
                <w:color w:val="auto"/>
                <w:highlight w:val="none"/>
              </w:rPr>
            </w:pPr>
          </w:p>
        </w:tc>
        <w:tc>
          <w:tcPr>
            <w:tcW w:w="1979" w:type="dxa"/>
            <w:gridSpan w:val="3"/>
            <w:vAlign w:val="center"/>
          </w:tcPr>
          <w:p w14:paraId="633D2C89">
            <w:pPr>
              <w:jc w:val="center"/>
              <w:rPr>
                <w:color w:val="auto"/>
                <w:highlight w:val="none"/>
              </w:rPr>
            </w:pPr>
          </w:p>
        </w:tc>
        <w:tc>
          <w:tcPr>
            <w:tcW w:w="1330" w:type="dxa"/>
            <w:gridSpan w:val="2"/>
            <w:vAlign w:val="center"/>
          </w:tcPr>
          <w:p w14:paraId="1056D80C">
            <w:pPr>
              <w:jc w:val="center"/>
              <w:rPr>
                <w:color w:val="auto"/>
                <w:highlight w:val="none"/>
              </w:rPr>
            </w:pPr>
          </w:p>
        </w:tc>
        <w:tc>
          <w:tcPr>
            <w:tcW w:w="1641" w:type="dxa"/>
            <w:gridSpan w:val="4"/>
            <w:vAlign w:val="center"/>
          </w:tcPr>
          <w:p w14:paraId="3659F73F">
            <w:pPr>
              <w:jc w:val="center"/>
              <w:rPr>
                <w:color w:val="auto"/>
                <w:highlight w:val="none"/>
              </w:rPr>
            </w:pPr>
          </w:p>
        </w:tc>
        <w:tc>
          <w:tcPr>
            <w:tcW w:w="1484" w:type="dxa"/>
            <w:gridSpan w:val="2"/>
            <w:vAlign w:val="center"/>
          </w:tcPr>
          <w:p w14:paraId="6E92B78D">
            <w:pPr>
              <w:jc w:val="center"/>
              <w:rPr>
                <w:color w:val="auto"/>
                <w:highlight w:val="none"/>
              </w:rPr>
            </w:pPr>
          </w:p>
        </w:tc>
      </w:tr>
      <w:tr w14:paraId="1721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EC626B0">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466B0C12">
            <w:pPr>
              <w:jc w:val="center"/>
              <w:rPr>
                <w:color w:val="auto"/>
                <w:highlight w:val="none"/>
              </w:rPr>
            </w:pPr>
          </w:p>
        </w:tc>
        <w:tc>
          <w:tcPr>
            <w:tcW w:w="1979" w:type="dxa"/>
            <w:gridSpan w:val="3"/>
            <w:vAlign w:val="center"/>
          </w:tcPr>
          <w:p w14:paraId="5EF1E3C9">
            <w:pPr>
              <w:jc w:val="center"/>
              <w:rPr>
                <w:color w:val="auto"/>
                <w:highlight w:val="none"/>
              </w:rPr>
            </w:pPr>
          </w:p>
        </w:tc>
        <w:tc>
          <w:tcPr>
            <w:tcW w:w="1330" w:type="dxa"/>
            <w:gridSpan w:val="2"/>
            <w:vAlign w:val="center"/>
          </w:tcPr>
          <w:p w14:paraId="6100FCB2">
            <w:pPr>
              <w:jc w:val="center"/>
              <w:rPr>
                <w:color w:val="auto"/>
                <w:highlight w:val="none"/>
              </w:rPr>
            </w:pPr>
          </w:p>
        </w:tc>
        <w:tc>
          <w:tcPr>
            <w:tcW w:w="1641" w:type="dxa"/>
            <w:gridSpan w:val="4"/>
            <w:vAlign w:val="center"/>
          </w:tcPr>
          <w:p w14:paraId="0D456E10">
            <w:pPr>
              <w:jc w:val="center"/>
              <w:rPr>
                <w:color w:val="auto"/>
                <w:highlight w:val="none"/>
              </w:rPr>
            </w:pPr>
          </w:p>
        </w:tc>
        <w:tc>
          <w:tcPr>
            <w:tcW w:w="1484" w:type="dxa"/>
            <w:gridSpan w:val="2"/>
            <w:vAlign w:val="center"/>
          </w:tcPr>
          <w:p w14:paraId="55524BA1">
            <w:pPr>
              <w:jc w:val="center"/>
              <w:rPr>
                <w:color w:val="auto"/>
                <w:highlight w:val="none"/>
              </w:rPr>
            </w:pPr>
          </w:p>
        </w:tc>
      </w:tr>
    </w:tbl>
    <w:p w14:paraId="1078FFDB">
      <w:pPr>
        <w:spacing w:line="360" w:lineRule="auto"/>
        <w:rPr>
          <w:rFonts w:ascii="宋体" w:hAnsi="宋体"/>
          <w:color w:val="auto"/>
          <w:highlight w:val="none"/>
        </w:rPr>
      </w:pPr>
      <w:r>
        <w:rPr>
          <w:rFonts w:hint="eastAsia" w:ascii="宋体" w:hAnsi="宋体" w:cs="楷体_GB2312"/>
          <w:color w:val="auto"/>
          <w:highlight w:val="none"/>
        </w:rPr>
        <w:t>备注：</w:t>
      </w:r>
    </w:p>
    <w:p w14:paraId="39B91FE5">
      <w:pPr>
        <w:spacing w:line="360" w:lineRule="auto"/>
        <w:ind w:firstLine="420" w:firstLineChars="200"/>
        <w:rPr>
          <w:rFonts w:ascii="宋体" w:hAnsi="宋体"/>
          <w:color w:val="auto"/>
          <w:highlight w:val="none"/>
        </w:rPr>
      </w:pPr>
      <w:r>
        <w:rPr>
          <w:rFonts w:hint="eastAsia" w:ascii="宋体" w:hAnsi="宋体"/>
          <w:color w:val="auto"/>
          <w:highlight w:val="none"/>
        </w:rPr>
        <w:t>1.供应商可以根据项目情况增减表格内容，项目数可以根据需要增加。</w:t>
      </w:r>
    </w:p>
    <w:p w14:paraId="172A325D">
      <w:pPr>
        <w:spacing w:line="360" w:lineRule="auto"/>
        <w:ind w:firstLine="420" w:firstLineChars="200"/>
        <w:rPr>
          <w:rFonts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本表后附专职安全生产管理人员的安全生产考核合格证（C类）、本表所列证书复印件并加盖供应商电子签章。</w:t>
      </w:r>
    </w:p>
    <w:p w14:paraId="06B6069A">
      <w:pPr>
        <w:spacing w:line="360" w:lineRule="auto"/>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069CB89E">
      <w:pPr>
        <w:spacing w:line="360" w:lineRule="auto"/>
        <w:rPr>
          <w:rFonts w:ascii="宋体" w:hAnsi="宋体"/>
          <w:color w:val="auto"/>
          <w:szCs w:val="21"/>
          <w:highlight w:val="none"/>
        </w:rPr>
      </w:pPr>
    </w:p>
    <w:p w14:paraId="71FE1630">
      <w:pPr>
        <w:jc w:val="center"/>
        <w:rPr>
          <w:rFonts w:ascii="宋体" w:hAnsi="宋体" w:cs="方正小标宋简体"/>
          <w:b/>
          <w:color w:val="auto"/>
          <w:sz w:val="32"/>
          <w:szCs w:val="32"/>
          <w:highlight w:val="none"/>
        </w:rPr>
      </w:pPr>
      <w:bookmarkStart w:id="210" w:name="_Toc71365926"/>
      <w:r>
        <w:rPr>
          <w:rFonts w:hint="eastAsia" w:ascii="宋体" w:hAnsi="宋体" w:cs="方正小标宋简体"/>
          <w:b/>
          <w:color w:val="auto"/>
          <w:sz w:val="32"/>
          <w:szCs w:val="32"/>
          <w:highlight w:val="none"/>
        </w:rPr>
        <w:t>中小企业声明函（工程）</w:t>
      </w:r>
      <w:bookmarkEnd w:id="210"/>
    </w:p>
    <w:p w14:paraId="71786B3C">
      <w:pPr>
        <w:pStyle w:val="19"/>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14:paraId="5B35C3EA">
      <w:pPr>
        <w:tabs>
          <w:tab w:val="left" w:pos="1384"/>
          <w:tab w:val="left" w:pos="4562"/>
          <w:tab w:val="left" w:pos="6803"/>
        </w:tabs>
        <w:spacing w:before="13" w:line="500" w:lineRule="exact"/>
        <w:ind w:right="142" w:firstLine="772" w:firstLineChars="322"/>
        <w:rPr>
          <w:rFonts w:hint="eastAsia" w:ascii="宋体" w:hAnsi="宋体" w:eastAsia="宋体"/>
          <w:color w:val="auto"/>
          <w:sz w:val="24"/>
          <w:highlight w:val="none"/>
          <w:lang w:eastAsia="zh-CN"/>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hint="eastAsia" w:ascii="宋体" w:hAnsi="宋体"/>
          <w:color w:val="auto"/>
          <w:sz w:val="24"/>
          <w:highlight w:val="none"/>
          <w:lang w:eastAsia="zh-CN"/>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lang w:eastAsia="zh-CN"/>
        </w:rPr>
        <w:t>；</w:t>
      </w:r>
    </w:p>
    <w:p w14:paraId="402AB3B8">
      <w:pPr>
        <w:tabs>
          <w:tab w:val="left" w:pos="1065"/>
          <w:tab w:val="left" w:pos="4262"/>
          <w:tab w:val="left" w:pos="6477"/>
        </w:tabs>
        <w:spacing w:before="20" w:line="500" w:lineRule="exact"/>
        <w:ind w:right="84" w:firstLine="772" w:firstLineChars="322"/>
        <w:rPr>
          <w:rFonts w:hint="eastAsia" w:ascii="宋体" w:hAnsi="宋体" w:eastAsia="宋体"/>
          <w:color w:val="auto"/>
          <w:sz w:val="24"/>
          <w:highlight w:val="none"/>
          <w:u w:val="single"/>
          <w:lang w:eastAsia="zh-CN"/>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hint="eastAsia" w:ascii="宋体" w:hAnsi="宋体"/>
          <w:color w:val="auto"/>
          <w:sz w:val="24"/>
          <w:highlight w:val="none"/>
          <w:lang w:eastAsia="zh-CN"/>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lang w:eastAsia="zh-CN"/>
        </w:rPr>
        <w:t>；</w:t>
      </w:r>
    </w:p>
    <w:p w14:paraId="04AC098A">
      <w:pPr>
        <w:pStyle w:val="19"/>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2AF49CF6">
      <w:pPr>
        <w:pStyle w:val="19"/>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0272E69">
      <w:pPr>
        <w:pStyle w:val="19"/>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317E9C3">
      <w:pPr>
        <w:pStyle w:val="19"/>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4B3E75A1">
      <w:pPr>
        <w:pStyle w:val="19"/>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3EBD86A9">
      <w:pPr>
        <w:spacing w:line="52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注：1.对于联合体中由中小企业承担的部分，或者分包给中小企业的部分，供应商应当在声明函“项目名称”部分标明联合体中中小企业承担的具体内容或者中小企业的具体分包内容。</w:t>
      </w:r>
    </w:p>
    <w:p w14:paraId="5AECC603">
      <w:pPr>
        <w:spacing w:line="52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AD4D46E">
      <w:pPr>
        <w:spacing w:line="520" w:lineRule="exact"/>
        <w:jc w:val="center"/>
        <w:rPr>
          <w:rFonts w:ascii="宋体" w:hAnsi="宋体" w:cs="仿宋_GB2312"/>
          <w:b/>
          <w:color w:val="auto"/>
          <w:sz w:val="32"/>
          <w:szCs w:val="32"/>
          <w:highlight w:val="none"/>
        </w:rPr>
      </w:pPr>
      <w:r>
        <w:rPr>
          <w:rFonts w:ascii="宋体" w:hAnsi="宋体"/>
          <w:color w:val="auto"/>
          <w:sz w:val="24"/>
          <w:highlight w:val="none"/>
        </w:rPr>
        <w:br w:type="page"/>
      </w:r>
      <w:r>
        <w:rPr>
          <w:rFonts w:hint="eastAsia" w:ascii="宋体" w:hAnsi="宋体" w:cs="方正小标宋简体"/>
          <w:b/>
          <w:color w:val="auto"/>
          <w:sz w:val="32"/>
          <w:szCs w:val="32"/>
          <w:highlight w:val="none"/>
        </w:rPr>
        <w:t>残疾人福利性单位声明函</w:t>
      </w:r>
    </w:p>
    <w:p w14:paraId="1410A5EE">
      <w:pPr>
        <w:spacing w:line="360" w:lineRule="auto"/>
        <w:contextualSpacing/>
        <w:rPr>
          <w:rFonts w:ascii="仿宋_GB2312" w:hAnsi="仿宋_GB2312" w:eastAsia="仿宋_GB2312" w:cs="仿宋_GB2312"/>
          <w:color w:val="auto"/>
          <w:sz w:val="32"/>
          <w:szCs w:val="32"/>
          <w:highlight w:val="none"/>
        </w:rPr>
      </w:pPr>
    </w:p>
    <w:p w14:paraId="15B4AC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BE88C1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FCC740F">
      <w:pPr>
        <w:spacing w:line="360" w:lineRule="auto"/>
        <w:contextualSpacing/>
        <w:rPr>
          <w:rFonts w:ascii="宋体" w:hAnsi="宋体" w:cs="仿宋_GB2312"/>
          <w:color w:val="auto"/>
          <w:sz w:val="24"/>
          <w:highlight w:val="none"/>
        </w:rPr>
      </w:pPr>
    </w:p>
    <w:p w14:paraId="1AA45633">
      <w:pPr>
        <w:spacing w:line="360" w:lineRule="auto"/>
        <w:contextualSpacing/>
        <w:rPr>
          <w:rFonts w:ascii="宋体" w:hAnsi="宋体" w:cs="仿宋_GB2312"/>
          <w:color w:val="auto"/>
          <w:sz w:val="24"/>
          <w:highlight w:val="none"/>
        </w:rPr>
      </w:pPr>
    </w:p>
    <w:p w14:paraId="7EA6FB7E">
      <w:pPr>
        <w:spacing w:line="360" w:lineRule="auto"/>
        <w:contextualSpacing/>
        <w:rPr>
          <w:rFonts w:ascii="宋体" w:hAnsi="宋体" w:cs="仿宋_GB2312"/>
          <w:color w:val="auto"/>
          <w:sz w:val="24"/>
          <w:highlight w:val="none"/>
        </w:rPr>
      </w:pPr>
    </w:p>
    <w:p w14:paraId="4149DEEF">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0A790FC0">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3F9DB753">
      <w:pPr>
        <w:spacing w:line="360" w:lineRule="auto"/>
        <w:contextualSpacing/>
        <w:rPr>
          <w:rFonts w:ascii="宋体" w:hAnsi="宋体" w:cs="仿宋_GB2312"/>
          <w:color w:val="auto"/>
          <w:sz w:val="24"/>
          <w:highlight w:val="none"/>
        </w:rPr>
      </w:pPr>
    </w:p>
    <w:p w14:paraId="6B357585">
      <w:pPr>
        <w:spacing w:line="360" w:lineRule="auto"/>
        <w:contextualSpacing/>
        <w:rPr>
          <w:rFonts w:ascii="宋体" w:hAnsi="宋体" w:cs="仿宋_GB2312"/>
          <w:color w:val="auto"/>
          <w:sz w:val="24"/>
          <w:highlight w:val="none"/>
        </w:rPr>
      </w:pPr>
    </w:p>
    <w:p w14:paraId="663E4F2F">
      <w:pPr>
        <w:spacing w:line="360" w:lineRule="auto"/>
        <w:contextualSpacing/>
        <w:rPr>
          <w:rFonts w:ascii="宋体" w:hAnsi="宋体" w:cs="仿宋_GB2312"/>
          <w:color w:val="auto"/>
          <w:sz w:val="24"/>
          <w:highlight w:val="none"/>
        </w:rPr>
      </w:pPr>
    </w:p>
    <w:p w14:paraId="00FC3F58">
      <w:pPr>
        <w:spacing w:line="360" w:lineRule="auto"/>
        <w:ind w:firstLine="420" w:firstLineChars="200"/>
        <w:contextualSpacing/>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646ACCB">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7C44C93A">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75D21E7">
      <w:pPr>
        <w:pStyle w:val="25"/>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909694C">
      <w:pPr>
        <w:pStyle w:val="2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34A6707">
      <w:pPr>
        <w:pStyle w:val="2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F68B999">
      <w:pPr>
        <w:pStyle w:val="2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14449C4">
      <w:pPr>
        <w:pStyle w:val="25"/>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0955590">
      <w:pPr>
        <w:pStyle w:val="25"/>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86A71DA">
      <w:pPr>
        <w:pStyle w:val="2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5697852F">
      <w:pPr>
        <w:pStyle w:val="2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4763F2C">
      <w:pPr>
        <w:pStyle w:val="2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EC88388">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6E5B80AA">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43B2B3E2">
      <w:pPr>
        <w:pStyle w:val="2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BA8BA02">
      <w:pPr>
        <w:pStyle w:val="2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608501B2">
      <w:pPr>
        <w:pStyle w:val="25"/>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0CC0B910">
      <w:pPr>
        <w:pStyle w:val="25"/>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0077DA8C">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C89EE95">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C76CFAD">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A28154D">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1A91288A">
      <w:pPr>
        <w:pStyle w:val="25"/>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5725F137">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22A2D2D">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DC92991">
      <w:pPr>
        <w:pStyle w:val="25"/>
        <w:spacing w:line="360" w:lineRule="auto"/>
        <w:ind w:left="25" w:leftChars="12" w:firstLine="352" w:firstLineChars="147"/>
        <w:contextualSpacing/>
        <w:rPr>
          <w:rFonts w:hAnsi="宋体"/>
          <w:color w:val="auto"/>
          <w:sz w:val="24"/>
          <w:szCs w:val="24"/>
          <w:highlight w:val="none"/>
        </w:rPr>
      </w:pPr>
    </w:p>
    <w:p w14:paraId="5DFFC06B">
      <w:pPr>
        <w:pStyle w:val="2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6A0FC876">
      <w:pPr>
        <w:pStyle w:val="25"/>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0F52C3C2">
      <w:pPr>
        <w:pStyle w:val="25"/>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34A30566">
      <w:pPr>
        <w:pStyle w:val="25"/>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3E41E3D">
      <w:pPr>
        <w:pStyle w:val="2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0C373A">
      <w:pPr>
        <w:pStyle w:val="2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19A129D4">
      <w:pPr>
        <w:pStyle w:val="2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7B478261">
      <w:pPr>
        <w:pStyle w:val="25"/>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7EFD6AE">
      <w:pPr>
        <w:pStyle w:val="25"/>
        <w:snapToGrid w:val="0"/>
        <w:rPr>
          <w:b/>
          <w:color w:val="auto"/>
          <w:sz w:val="24"/>
          <w:szCs w:val="24"/>
          <w:highlight w:val="none"/>
        </w:rPr>
      </w:pPr>
    </w:p>
    <w:p w14:paraId="3C92FF0C">
      <w:pPr>
        <w:rPr>
          <w:color w:val="auto"/>
          <w:sz w:val="32"/>
          <w:szCs w:val="40"/>
          <w:highlight w:val="none"/>
        </w:rPr>
      </w:pPr>
    </w:p>
    <w:p w14:paraId="11D3D02E">
      <w:pPr>
        <w:rPr>
          <w:color w:val="auto"/>
          <w:sz w:val="32"/>
          <w:szCs w:val="40"/>
          <w:highlight w:val="none"/>
        </w:rPr>
      </w:pPr>
    </w:p>
    <w:p w14:paraId="4AE9AD0D">
      <w:pPr>
        <w:rPr>
          <w:color w:val="auto"/>
          <w:sz w:val="32"/>
          <w:szCs w:val="40"/>
          <w:highlight w:val="none"/>
        </w:rPr>
      </w:pPr>
    </w:p>
    <w:p w14:paraId="7C2BE011">
      <w:pPr>
        <w:rPr>
          <w:color w:val="auto"/>
          <w:sz w:val="32"/>
          <w:szCs w:val="40"/>
          <w:highlight w:val="none"/>
        </w:rPr>
      </w:pPr>
    </w:p>
    <w:p w14:paraId="42ABF246">
      <w:pPr>
        <w:rPr>
          <w:color w:val="auto"/>
          <w:sz w:val="32"/>
          <w:szCs w:val="40"/>
          <w:highlight w:val="none"/>
        </w:rPr>
      </w:pPr>
    </w:p>
    <w:p w14:paraId="732B352D">
      <w:pPr>
        <w:rPr>
          <w:color w:val="auto"/>
          <w:sz w:val="32"/>
          <w:szCs w:val="40"/>
          <w:highlight w:val="none"/>
        </w:rPr>
      </w:pPr>
    </w:p>
    <w:p w14:paraId="77CA4BB7">
      <w:pPr>
        <w:rPr>
          <w:color w:val="auto"/>
          <w:sz w:val="32"/>
          <w:szCs w:val="40"/>
          <w:highlight w:val="none"/>
        </w:rPr>
      </w:pPr>
    </w:p>
    <w:p w14:paraId="691B3A11">
      <w:pPr>
        <w:rPr>
          <w:color w:val="auto"/>
          <w:sz w:val="32"/>
          <w:szCs w:val="40"/>
          <w:highlight w:val="none"/>
        </w:rPr>
      </w:pPr>
    </w:p>
    <w:p w14:paraId="3D8A5937">
      <w:pPr>
        <w:rPr>
          <w:color w:val="auto"/>
          <w:sz w:val="32"/>
          <w:szCs w:val="40"/>
          <w:highlight w:val="none"/>
        </w:rPr>
      </w:pPr>
    </w:p>
    <w:p w14:paraId="489C81D1">
      <w:pPr>
        <w:rPr>
          <w:color w:val="auto"/>
          <w:sz w:val="32"/>
          <w:szCs w:val="40"/>
          <w:highlight w:val="none"/>
        </w:rPr>
      </w:pPr>
    </w:p>
    <w:p w14:paraId="2D95BB95">
      <w:pPr>
        <w:rPr>
          <w:color w:val="auto"/>
          <w:sz w:val="32"/>
          <w:szCs w:val="40"/>
          <w:highlight w:val="none"/>
        </w:rPr>
      </w:pPr>
    </w:p>
    <w:p w14:paraId="64DC9B62">
      <w:pPr>
        <w:rPr>
          <w:color w:val="auto"/>
          <w:sz w:val="32"/>
          <w:szCs w:val="40"/>
          <w:highlight w:val="none"/>
        </w:rPr>
      </w:pPr>
    </w:p>
    <w:p w14:paraId="12326663">
      <w:pPr>
        <w:rPr>
          <w:color w:val="auto"/>
          <w:sz w:val="32"/>
          <w:szCs w:val="40"/>
          <w:highlight w:val="none"/>
        </w:rPr>
      </w:pPr>
    </w:p>
    <w:p w14:paraId="61018D20">
      <w:pPr>
        <w:rPr>
          <w:color w:val="auto"/>
          <w:sz w:val="32"/>
          <w:szCs w:val="40"/>
          <w:highlight w:val="none"/>
        </w:rPr>
      </w:pPr>
    </w:p>
    <w:p w14:paraId="5CD6BFB8">
      <w:pPr>
        <w:spacing w:line="360" w:lineRule="auto"/>
        <w:jc w:val="cente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投诉书（格式）</w:t>
      </w:r>
    </w:p>
    <w:p w14:paraId="1F259BFE">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3BE8521B">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83B959">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A334401">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66E14119">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51DCFB4">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9594C29">
      <w:pPr>
        <w:pStyle w:val="2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27F1BDD">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389800">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6499D87A">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A7E16D3">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C77D201">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B63D66B">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62ED458C">
      <w:pPr>
        <w:pStyle w:val="25"/>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205AD38F">
      <w:pPr>
        <w:pStyle w:val="2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D596F63">
      <w:pPr>
        <w:pStyle w:val="25"/>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9A8367F">
      <w:pPr>
        <w:pStyle w:val="2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AA9810">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5068E423">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BD31D97">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8E3D71A">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0F7EDAF">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299982F2">
      <w:pPr>
        <w:pStyle w:val="25"/>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62F07CB">
      <w:pPr>
        <w:pStyle w:val="25"/>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49ACB24">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0696F7F">
      <w:pPr>
        <w:pStyle w:val="25"/>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75CF22E">
      <w:pPr>
        <w:pStyle w:val="25"/>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9737399">
      <w:pPr>
        <w:pStyle w:val="25"/>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0B1BD42">
      <w:pPr>
        <w:pStyle w:val="25"/>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B55E339">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7502017C">
      <w:pPr>
        <w:pStyle w:val="2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B36211F">
      <w:pPr>
        <w:pStyle w:val="2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BD98C66">
      <w:pPr>
        <w:pStyle w:val="2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0BD8C5B0">
      <w:pPr>
        <w:pStyle w:val="2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426DB72">
      <w:pPr>
        <w:pStyle w:val="25"/>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E9E19F7">
      <w:pPr>
        <w:pStyle w:val="25"/>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81FA36D">
      <w:pPr>
        <w:pStyle w:val="25"/>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E0F385C">
      <w:pPr>
        <w:pStyle w:val="2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17C1AAC0">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0F6B98A">
      <w:pPr>
        <w:pStyle w:val="25"/>
        <w:spacing w:line="360" w:lineRule="auto"/>
        <w:ind w:left="25" w:leftChars="12" w:firstLine="352" w:firstLineChars="147"/>
        <w:rPr>
          <w:rFonts w:hAnsi="宋体"/>
          <w:color w:val="auto"/>
          <w:sz w:val="24"/>
          <w:szCs w:val="24"/>
          <w:highlight w:val="none"/>
        </w:rPr>
      </w:pPr>
    </w:p>
    <w:p w14:paraId="6211FB97">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2A33DFD">
      <w:pPr>
        <w:pStyle w:val="25"/>
        <w:spacing w:line="360" w:lineRule="auto"/>
        <w:ind w:left="25" w:leftChars="12" w:firstLine="352" w:firstLineChars="147"/>
        <w:rPr>
          <w:rFonts w:hAnsi="宋体"/>
          <w:color w:val="auto"/>
          <w:sz w:val="24"/>
          <w:szCs w:val="24"/>
          <w:highlight w:val="none"/>
        </w:rPr>
      </w:pPr>
    </w:p>
    <w:p w14:paraId="18D4739B">
      <w:pPr>
        <w:pStyle w:val="2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2CE66A2E">
      <w:pPr>
        <w:pStyle w:val="25"/>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75EBFB39">
      <w:pPr>
        <w:pStyle w:val="25"/>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2AEE083">
      <w:pPr>
        <w:pStyle w:val="25"/>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B78658F">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F39449F">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D8678C1">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D74508C">
      <w:pPr>
        <w:pStyle w:val="2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438EAEB5">
      <w:pPr>
        <w:pStyle w:val="25"/>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1A99FA9">
      <w:pPr>
        <w:pStyle w:val="2"/>
        <w:jc w:val="center"/>
        <w:rPr>
          <w:color w:val="auto"/>
          <w:highlight w:val="none"/>
        </w:rPr>
      </w:pPr>
    </w:p>
    <w:p w14:paraId="7B9A7264">
      <w:pPr>
        <w:pStyle w:val="2"/>
        <w:jc w:val="both"/>
        <w:rPr>
          <w:color w:val="auto"/>
          <w:highlight w:val="none"/>
        </w:rPr>
      </w:pPr>
    </w:p>
    <w:p w14:paraId="60DA91D0">
      <w:pPr>
        <w:pStyle w:val="2"/>
        <w:jc w:val="center"/>
        <w:rPr>
          <w:color w:val="auto"/>
          <w:highlight w:val="none"/>
        </w:rPr>
      </w:pPr>
    </w:p>
    <w:p w14:paraId="69E1D3DD">
      <w:pPr>
        <w:pStyle w:val="2"/>
        <w:jc w:val="center"/>
        <w:rPr>
          <w:color w:val="auto"/>
          <w:highlight w:val="none"/>
        </w:rPr>
      </w:pPr>
      <w:bookmarkStart w:id="211" w:name="_Toc122424267"/>
      <w:r>
        <w:rPr>
          <w:rFonts w:hint="eastAsia"/>
          <w:color w:val="auto"/>
          <w:highlight w:val="none"/>
        </w:rPr>
        <w:t>第七章 合同文本</w:t>
      </w:r>
      <w:bookmarkEnd w:id="211"/>
    </w:p>
    <w:p w14:paraId="21D90218">
      <w:pPr>
        <w:spacing w:line="520" w:lineRule="exact"/>
        <w:rPr>
          <w:rFonts w:ascii="宋体" w:hAnsi="宋体" w:cs="Courier New"/>
          <w:b/>
          <w:color w:val="auto"/>
          <w:sz w:val="32"/>
          <w:szCs w:val="32"/>
          <w:highlight w:val="none"/>
        </w:rPr>
      </w:pPr>
    </w:p>
    <w:p w14:paraId="618D1A07">
      <w:pPr>
        <w:widowControl/>
        <w:rPr>
          <w:rFonts w:ascii="宋体" w:hAnsi="宋体" w:cs="宋体"/>
          <w:b/>
          <w:color w:val="auto"/>
          <w:sz w:val="44"/>
          <w:szCs w:val="44"/>
          <w:highlight w:val="none"/>
        </w:rPr>
      </w:pPr>
    </w:p>
    <w:p w14:paraId="2B7434EC">
      <w:pPr>
        <w:pStyle w:val="2"/>
        <w:jc w:val="center"/>
        <w:rPr>
          <w:color w:val="auto"/>
          <w:highlight w:val="none"/>
        </w:rPr>
      </w:pPr>
      <w:bookmarkStart w:id="212" w:name="_Toc1756478213"/>
      <w:bookmarkStart w:id="213" w:name="_Toc78449777"/>
      <w:bookmarkStart w:id="214" w:name="_Toc373478199"/>
      <w:bookmarkStart w:id="215" w:name="_Toc351203480"/>
      <w:bookmarkStart w:id="216" w:name="_Toc296890982"/>
      <w:bookmarkStart w:id="217" w:name="_Toc373227552"/>
      <w:bookmarkStart w:id="218" w:name="_Toc407135191"/>
      <w:bookmarkStart w:id="219" w:name="_Toc724920571"/>
      <w:bookmarkStart w:id="220" w:name="_Toc296503025"/>
      <w:bookmarkStart w:id="221" w:name="_Toc389065255"/>
      <w:r>
        <w:rPr>
          <w:rFonts w:cs="黑体"/>
          <w:color w:val="auto"/>
          <w:highlight w:val="none"/>
        </w:rPr>
        <w:br w:type="page"/>
      </w:r>
      <w:bookmarkStart w:id="222" w:name="_Toc122424268"/>
      <w:bookmarkStart w:id="223" w:name="_Toc122424019"/>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212"/>
      <w:bookmarkEnd w:id="213"/>
      <w:bookmarkEnd w:id="214"/>
      <w:bookmarkEnd w:id="215"/>
      <w:bookmarkEnd w:id="216"/>
      <w:bookmarkEnd w:id="217"/>
      <w:bookmarkEnd w:id="218"/>
      <w:bookmarkEnd w:id="219"/>
      <w:bookmarkEnd w:id="220"/>
      <w:bookmarkEnd w:id="221"/>
      <w:bookmarkEnd w:id="222"/>
      <w:bookmarkEnd w:id="223"/>
    </w:p>
    <w:p w14:paraId="1E59482F">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r>
        <w:rPr>
          <w:rFonts w:hint="eastAsia"/>
          <w:color w:val="auto"/>
          <w:highlight w:val="none"/>
          <w:u w:val="single"/>
          <w:lang w:val="en-US" w:eastAsia="zh-CN"/>
        </w:rPr>
        <w:t>钦州市第十六中学</w:t>
      </w:r>
      <w:r>
        <w:rPr>
          <w:rFonts w:hAnsi="宋体"/>
          <w:color w:val="auto"/>
          <w:highlight w:val="none"/>
          <w:u w:val="single"/>
        </w:rPr>
        <w:t xml:space="preserve">  </w:t>
      </w:r>
    </w:p>
    <w:p w14:paraId="2DA3D422">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58C990B8">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highlight w:val="none"/>
          <w:u w:val="single"/>
          <w:lang w:eastAsia="zh-CN"/>
        </w:rPr>
        <w:t>钦州市第十六中学运动场</w:t>
      </w:r>
      <w:r>
        <w:rPr>
          <w:color w:val="auto"/>
          <w:highlight w:val="none"/>
          <w:u w:val="single"/>
        </w:rPr>
        <w:t xml:space="preserve">  </w:t>
      </w:r>
      <w:r>
        <w:rPr>
          <w:rFonts w:hint="eastAsia" w:hAnsi="宋体" w:cs="宋体"/>
          <w:color w:val="auto"/>
          <w:highlight w:val="none"/>
        </w:rPr>
        <w:t>工程施工及有关事项协商一致，共同达成如下协议：</w:t>
      </w:r>
      <w:bookmarkStart w:id="224" w:name="_Toc351203481"/>
    </w:p>
    <w:p w14:paraId="55F58FF6">
      <w:pPr>
        <w:spacing w:line="360" w:lineRule="auto"/>
        <w:ind w:firstLine="422" w:firstLineChars="200"/>
        <w:outlineLvl w:val="0"/>
        <w:rPr>
          <w:b/>
          <w:bCs/>
          <w:color w:val="auto"/>
          <w:highlight w:val="none"/>
        </w:rPr>
      </w:pPr>
      <w:bookmarkStart w:id="225" w:name="_Toc122424269"/>
      <w:bookmarkStart w:id="226" w:name="_Toc122424020"/>
      <w:r>
        <w:rPr>
          <w:rFonts w:hint="eastAsia" w:hAnsi="宋体" w:cs="宋体"/>
          <w:b/>
          <w:bCs/>
          <w:color w:val="auto"/>
          <w:highlight w:val="none"/>
        </w:rPr>
        <w:t>一、工程概况</w:t>
      </w:r>
      <w:bookmarkEnd w:id="224"/>
      <w:bookmarkEnd w:id="225"/>
      <w:bookmarkEnd w:id="226"/>
    </w:p>
    <w:p w14:paraId="17A80F37">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lang w:eastAsia="zh-CN"/>
        </w:rPr>
        <w:t>钦州市第十六中学运动场</w:t>
      </w:r>
      <w:r>
        <w:rPr>
          <w:color w:val="auto"/>
          <w:highlight w:val="none"/>
          <w:u w:val="single"/>
        </w:rPr>
        <w:t xml:space="preserve">  </w:t>
      </w:r>
      <w:r>
        <w:rPr>
          <w:rFonts w:hint="eastAsia" w:hAnsi="宋体" w:cs="宋体"/>
          <w:color w:val="auto"/>
          <w:highlight w:val="none"/>
        </w:rPr>
        <w:t>。</w:t>
      </w:r>
    </w:p>
    <w:p w14:paraId="3826A121">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钦州市第十六中学</w:t>
      </w:r>
      <w:r>
        <w:rPr>
          <w:rFonts w:hint="eastAsia"/>
          <w:color w:val="auto"/>
          <w:highlight w:val="none"/>
          <w:u w:val="single"/>
          <w:lang w:eastAsia="zh-CN"/>
        </w:rPr>
        <w:t>校园内</w:t>
      </w:r>
      <w:r>
        <w:rPr>
          <w:rFonts w:hint="eastAsia"/>
          <w:color w:val="auto"/>
          <w:highlight w:val="none"/>
          <w:u w:val="single"/>
        </w:rPr>
        <w:t>。</w:t>
      </w:r>
      <w:r>
        <w:rPr>
          <w:color w:val="auto"/>
          <w:highlight w:val="none"/>
          <w:u w:val="single"/>
        </w:rPr>
        <w:t xml:space="preserve"> </w:t>
      </w:r>
    </w:p>
    <w:p w14:paraId="5F8FA0E0">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钦北发改投[2025] 32号</w:t>
      </w:r>
      <w:r>
        <w:rPr>
          <w:color w:val="auto"/>
          <w:highlight w:val="none"/>
          <w:u w:val="single"/>
        </w:rPr>
        <w:t xml:space="preserve"> </w:t>
      </w:r>
      <w:r>
        <w:rPr>
          <w:rFonts w:hint="eastAsia" w:hAnsi="宋体" w:cs="宋体"/>
          <w:color w:val="auto"/>
          <w:highlight w:val="none"/>
        </w:rPr>
        <w:t>。</w:t>
      </w:r>
    </w:p>
    <w:p w14:paraId="3D087E15">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财政资金     </w:t>
      </w:r>
      <w:r>
        <w:rPr>
          <w:color w:val="auto"/>
          <w:highlight w:val="none"/>
          <w:u w:val="single"/>
        </w:rPr>
        <w:t xml:space="preserve">   </w:t>
      </w:r>
      <w:r>
        <w:rPr>
          <w:rFonts w:hint="eastAsia" w:hAnsi="宋体" w:cs="宋体"/>
          <w:color w:val="auto"/>
          <w:highlight w:val="none"/>
        </w:rPr>
        <w:t>。</w:t>
      </w:r>
    </w:p>
    <w:p w14:paraId="03459594">
      <w:pPr>
        <w:spacing w:line="360" w:lineRule="auto"/>
        <w:ind w:firstLine="411" w:firstLineChars="196"/>
        <w:rPr>
          <w:color w:val="auto"/>
          <w:highlight w:val="none"/>
        </w:rPr>
      </w:pPr>
      <w:bookmarkStart w:id="227" w:name="_Toc122424021"/>
      <w:bookmarkStart w:id="228" w:name="_Toc122424270"/>
      <w:bookmarkStart w:id="229" w:name="_Toc351203482"/>
      <w:r>
        <w:rPr>
          <w:color w:val="auto"/>
          <w:highlight w:val="none"/>
        </w:rPr>
        <w:t xml:space="preserve">5. </w:t>
      </w:r>
      <w:r>
        <w:rPr>
          <w:rFonts w:hint="eastAsia" w:hAnsi="宋体" w:cs="宋体"/>
          <w:color w:val="auto"/>
          <w:highlight w:val="none"/>
        </w:rPr>
        <w:t>工程内容：</w:t>
      </w:r>
      <w:r>
        <w:rPr>
          <w:rFonts w:hint="eastAsia" w:hAnsi="宋体" w:cs="宋体"/>
          <w:color w:val="auto"/>
          <w:highlight w:val="none"/>
          <w:u w:val="single"/>
        </w:rPr>
        <w:t>详见工程量清单</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F03F835">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r>
        <w:rPr>
          <w:rFonts w:hint="eastAsia" w:hAnsi="宋体" w:cs="宋体"/>
          <w:color w:val="auto"/>
          <w:highlight w:val="none"/>
          <w:u w:val="single"/>
        </w:rPr>
        <w:t>详见施工图纸、工程量清单，以及经发包人基建管理部门同意变更的事项。</w:t>
      </w:r>
    </w:p>
    <w:p w14:paraId="01045EDE">
      <w:pPr>
        <w:spacing w:line="360" w:lineRule="auto"/>
        <w:ind w:firstLine="407" w:firstLineChars="193"/>
        <w:outlineLvl w:val="0"/>
        <w:rPr>
          <w:b/>
          <w:bCs/>
          <w:color w:val="auto"/>
          <w:highlight w:val="none"/>
        </w:rPr>
      </w:pPr>
      <w:r>
        <w:rPr>
          <w:rFonts w:hint="eastAsia" w:hAnsi="宋体" w:cs="宋体"/>
          <w:b/>
          <w:bCs/>
          <w:color w:val="auto"/>
          <w:highlight w:val="none"/>
        </w:rPr>
        <w:t>二、合同工期</w:t>
      </w:r>
      <w:bookmarkEnd w:id="227"/>
      <w:bookmarkEnd w:id="228"/>
      <w:bookmarkEnd w:id="229"/>
    </w:p>
    <w:p w14:paraId="3CDEFE50">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7C351464">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218E46D9">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天</w:t>
      </w:r>
      <w:r>
        <w:rPr>
          <w:rFonts w:hint="eastAsia" w:hAnsi="宋体" w:cs="宋体"/>
          <w:color w:val="auto"/>
          <w:highlight w:val="none"/>
        </w:rPr>
        <w:t>工期总日历天数与根据前述计划开竣工日期计算的工期天数不一致的，以工期总日历天数为准。</w:t>
      </w:r>
    </w:p>
    <w:p w14:paraId="2F2AEC2B">
      <w:pPr>
        <w:spacing w:line="360" w:lineRule="auto"/>
        <w:ind w:firstLine="459"/>
        <w:outlineLvl w:val="0"/>
        <w:rPr>
          <w:b/>
          <w:bCs/>
          <w:color w:val="auto"/>
          <w:highlight w:val="none"/>
        </w:rPr>
      </w:pPr>
      <w:bookmarkStart w:id="230" w:name="_Toc351203483"/>
      <w:bookmarkStart w:id="231" w:name="_Toc122424022"/>
      <w:bookmarkStart w:id="232" w:name="_Toc122424271"/>
      <w:r>
        <w:rPr>
          <w:rFonts w:hint="eastAsia" w:hAnsi="宋体" w:cs="宋体"/>
          <w:b/>
          <w:bCs/>
          <w:color w:val="auto"/>
          <w:highlight w:val="none"/>
        </w:rPr>
        <w:t>三、质量标准</w:t>
      </w:r>
      <w:bookmarkEnd w:id="230"/>
      <w:bookmarkEnd w:id="231"/>
      <w:bookmarkEnd w:id="232"/>
    </w:p>
    <w:p w14:paraId="54F2812C">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ascii="宋体" w:hAnsi="宋体" w:cs="宋体"/>
          <w:color w:val="auto"/>
          <w:highlight w:val="none"/>
          <w:u w:val="single"/>
        </w:rPr>
        <w:t>达到国家施工验收规范合格</w:t>
      </w:r>
      <w:r>
        <w:rPr>
          <w:rFonts w:eastAsia="仿宋_GB2312"/>
          <w:color w:val="auto"/>
          <w:highlight w:val="none"/>
          <w:u w:val="single"/>
        </w:rPr>
        <w:t></w:t>
      </w:r>
      <w:r>
        <w:rPr>
          <w:rFonts w:hint="eastAsia" w:hAnsi="宋体" w:cs="宋体"/>
          <w:color w:val="auto"/>
          <w:highlight w:val="none"/>
        </w:rPr>
        <w:t>标准。</w:t>
      </w:r>
    </w:p>
    <w:p w14:paraId="69388A55">
      <w:pPr>
        <w:spacing w:line="360" w:lineRule="auto"/>
        <w:ind w:firstLine="459"/>
        <w:outlineLvl w:val="0"/>
        <w:rPr>
          <w:rFonts w:hAnsi="宋体"/>
          <w:b/>
          <w:bCs/>
          <w:color w:val="auto"/>
          <w:highlight w:val="none"/>
        </w:rPr>
      </w:pPr>
      <w:bookmarkStart w:id="233" w:name="_Toc122424272"/>
      <w:bookmarkStart w:id="234" w:name="_Toc122424023"/>
      <w:bookmarkStart w:id="235" w:name="_Toc351203484"/>
      <w:r>
        <w:rPr>
          <w:rFonts w:hint="eastAsia" w:hAnsi="宋体" w:cs="宋体"/>
          <w:b/>
          <w:bCs/>
          <w:color w:val="auto"/>
          <w:highlight w:val="none"/>
        </w:rPr>
        <w:t>四、签约合同价与合同价格形式</w:t>
      </w:r>
      <w:bookmarkEnd w:id="233"/>
      <w:bookmarkEnd w:id="234"/>
      <w:bookmarkEnd w:id="235"/>
    </w:p>
    <w:p w14:paraId="0821F2FB">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61FB5FFA">
      <w:pPr>
        <w:spacing w:line="360" w:lineRule="auto"/>
        <w:ind w:firstLine="525" w:firstLineChars="250"/>
        <w:rPr>
          <w:rFonts w:hint="eastAsia" w:hAnsi="宋体" w:eastAsia="宋体"/>
          <w:color w:val="auto"/>
          <w:highlight w:val="none"/>
          <w:lang w:eastAsia="zh-CN"/>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lang w:eastAsia="zh-CN"/>
        </w:rPr>
        <w:t>；</w:t>
      </w:r>
    </w:p>
    <w:p w14:paraId="3D81C7E2">
      <w:pPr>
        <w:spacing w:line="360" w:lineRule="auto"/>
        <w:ind w:firstLine="525" w:firstLineChars="250"/>
        <w:rPr>
          <w:rFonts w:hAnsi="宋体"/>
          <w:color w:val="auto"/>
          <w:highlight w:val="none"/>
        </w:rPr>
      </w:pPr>
      <w:r>
        <w:rPr>
          <w:rFonts w:hint="eastAsia" w:hAnsi="宋体" w:cs="宋体"/>
          <w:color w:val="auto"/>
          <w:highlight w:val="none"/>
        </w:rPr>
        <w:t>其中：</w:t>
      </w:r>
    </w:p>
    <w:p w14:paraId="7F8353A5">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223322B5">
      <w:pPr>
        <w:spacing w:line="360" w:lineRule="auto"/>
        <w:ind w:left="420" w:leftChars="200" w:firstLine="525" w:firstLineChars="250"/>
        <w:rPr>
          <w:rFonts w:hint="eastAsia" w:hAnsi="宋体" w:eastAsia="宋体"/>
          <w:color w:val="auto"/>
          <w:highlight w:val="none"/>
          <w:lang w:eastAsia="zh-CN"/>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lang w:eastAsia="zh-CN"/>
        </w:rPr>
        <w:t>；</w:t>
      </w:r>
    </w:p>
    <w:p w14:paraId="221C5690">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5824A348">
      <w:pPr>
        <w:spacing w:line="360" w:lineRule="auto"/>
        <w:ind w:firstLine="945" w:firstLineChars="450"/>
        <w:rPr>
          <w:rFonts w:hint="eastAsia" w:eastAsia="宋体"/>
          <w:color w:val="auto"/>
          <w:highlight w:val="none"/>
          <w:lang w:eastAsia="zh-CN"/>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lang w:eastAsia="zh-CN"/>
        </w:rPr>
        <w:t>；</w:t>
      </w:r>
    </w:p>
    <w:p w14:paraId="00F51EA3">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1CB7D14E">
      <w:pPr>
        <w:spacing w:line="360" w:lineRule="auto"/>
        <w:ind w:firstLine="945" w:firstLineChars="450"/>
        <w:rPr>
          <w:rFonts w:hint="eastAsia" w:eastAsia="宋体"/>
          <w:color w:val="auto"/>
          <w:highlight w:val="none"/>
          <w:lang w:eastAsia="zh-CN"/>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lang w:eastAsia="zh-CN"/>
        </w:rPr>
        <w:t>；</w:t>
      </w:r>
    </w:p>
    <w:p w14:paraId="3C35863E">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02261D48">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15CB619">
      <w:pPr>
        <w:spacing w:line="360" w:lineRule="auto"/>
        <w:ind w:firstLine="420" w:firstLineChars="200"/>
        <w:rPr>
          <w:rFonts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4F6F8B56">
      <w:pPr>
        <w:spacing w:line="360" w:lineRule="auto"/>
        <w:ind w:firstLine="422" w:firstLineChars="200"/>
        <w:outlineLvl w:val="0"/>
        <w:rPr>
          <w:b/>
          <w:bCs/>
          <w:color w:val="auto"/>
          <w:highlight w:val="none"/>
        </w:rPr>
      </w:pPr>
      <w:bookmarkStart w:id="236" w:name="_Toc351203485"/>
      <w:bookmarkStart w:id="237" w:name="_Toc122424273"/>
      <w:bookmarkStart w:id="238" w:name="_Toc122424024"/>
      <w:r>
        <w:rPr>
          <w:rFonts w:hint="eastAsia" w:hAnsi="宋体" w:cs="宋体"/>
          <w:b/>
          <w:bCs/>
          <w:color w:val="auto"/>
          <w:highlight w:val="none"/>
        </w:rPr>
        <w:t>五、</w:t>
      </w:r>
      <w:bookmarkEnd w:id="236"/>
      <w:r>
        <w:rPr>
          <w:rFonts w:hint="eastAsia" w:hAnsi="宋体" w:cs="宋体"/>
          <w:b/>
          <w:bCs/>
          <w:color w:val="auto"/>
          <w:highlight w:val="none"/>
        </w:rPr>
        <w:t>项目经理</w:t>
      </w:r>
      <w:bookmarkEnd w:id="237"/>
      <w:bookmarkEnd w:id="238"/>
    </w:p>
    <w:p w14:paraId="1FF66E7E">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5EA7469E">
      <w:pPr>
        <w:spacing w:line="360" w:lineRule="auto"/>
        <w:ind w:firstLine="422" w:firstLineChars="200"/>
        <w:outlineLvl w:val="0"/>
        <w:rPr>
          <w:b/>
          <w:bCs/>
          <w:color w:val="auto"/>
          <w:highlight w:val="none"/>
        </w:rPr>
      </w:pPr>
      <w:bookmarkStart w:id="239" w:name="_Toc351203486"/>
      <w:bookmarkStart w:id="240" w:name="_Toc122424025"/>
      <w:bookmarkStart w:id="241" w:name="_Toc122424274"/>
      <w:r>
        <w:rPr>
          <w:rFonts w:hint="eastAsia" w:hAnsi="宋体" w:cs="宋体"/>
          <w:b/>
          <w:bCs/>
          <w:color w:val="auto"/>
          <w:highlight w:val="none"/>
        </w:rPr>
        <w:t>六、合同文件构成</w:t>
      </w:r>
      <w:bookmarkEnd w:id="239"/>
      <w:bookmarkEnd w:id="240"/>
      <w:bookmarkEnd w:id="241"/>
    </w:p>
    <w:p w14:paraId="21ED133C">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35DAB258">
      <w:pPr>
        <w:autoSpaceDE w:val="0"/>
        <w:autoSpaceDN w:val="0"/>
        <w:adjustRightInd w:val="0"/>
        <w:spacing w:line="360" w:lineRule="auto"/>
        <w:ind w:firstLine="420" w:firstLineChars="200"/>
        <w:jc w:val="left"/>
        <w:rPr>
          <w:rFonts w:hint="eastAsia" w:eastAsia="宋体"/>
          <w:color w:val="auto"/>
          <w:highlight w:val="none"/>
          <w:lang w:eastAsia="zh-CN"/>
        </w:rPr>
      </w:pPr>
      <w:r>
        <w:rPr>
          <w:rFonts w:hint="eastAsia" w:hAnsi="宋体" w:cs="宋体"/>
          <w:color w:val="auto"/>
          <w:highlight w:val="none"/>
        </w:rPr>
        <w:t>（</w:t>
      </w:r>
      <w:r>
        <w:rPr>
          <w:color w:val="auto"/>
          <w:highlight w:val="none"/>
        </w:rPr>
        <w:t>1</w:t>
      </w:r>
      <w:r>
        <w:rPr>
          <w:rFonts w:hint="eastAsia" w:hAnsi="宋体" w:cs="宋体"/>
          <w:color w:val="auto"/>
          <w:highlight w:val="none"/>
        </w:rPr>
        <w:t>）成交通知书（如有）</w:t>
      </w:r>
      <w:r>
        <w:rPr>
          <w:rFonts w:hint="eastAsia" w:hAnsi="宋体" w:cs="宋体"/>
          <w:color w:val="auto"/>
          <w:highlight w:val="none"/>
          <w:lang w:eastAsia="zh-CN"/>
        </w:rPr>
        <w:t>；</w:t>
      </w:r>
    </w:p>
    <w:p w14:paraId="0A297E4C">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）竞标函及其附录（如有）</w:t>
      </w:r>
      <w:r>
        <w:rPr>
          <w:rFonts w:hint="eastAsia" w:hAnsi="宋体" w:cs="宋体"/>
          <w:color w:val="auto"/>
          <w:highlight w:val="none"/>
          <w:lang w:eastAsia="zh-CN"/>
        </w:rPr>
        <w:t>；</w:t>
      </w:r>
      <w:r>
        <w:rPr>
          <w:color w:val="auto"/>
          <w:highlight w:val="none"/>
        </w:rPr>
        <w:t xml:space="preserve"> </w:t>
      </w:r>
    </w:p>
    <w:p w14:paraId="5F97E2D5">
      <w:pPr>
        <w:autoSpaceDE w:val="0"/>
        <w:autoSpaceDN w:val="0"/>
        <w:adjustRightInd w:val="0"/>
        <w:spacing w:line="360" w:lineRule="auto"/>
        <w:ind w:firstLine="420" w:firstLineChars="200"/>
        <w:jc w:val="left"/>
        <w:rPr>
          <w:rFonts w:hint="eastAsia" w:eastAsia="宋体"/>
          <w:color w:val="auto"/>
          <w:highlight w:val="none"/>
          <w:lang w:eastAsia="zh-CN"/>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r>
        <w:rPr>
          <w:rFonts w:hint="eastAsia" w:hAnsi="宋体" w:cs="宋体"/>
          <w:color w:val="auto"/>
          <w:highlight w:val="none"/>
          <w:lang w:eastAsia="zh-CN"/>
        </w:rPr>
        <w:t>；</w:t>
      </w:r>
    </w:p>
    <w:p w14:paraId="2290076F">
      <w:pPr>
        <w:autoSpaceDE w:val="0"/>
        <w:autoSpaceDN w:val="0"/>
        <w:adjustRightInd w:val="0"/>
        <w:spacing w:line="360" w:lineRule="auto"/>
        <w:ind w:firstLine="420" w:firstLineChars="200"/>
        <w:jc w:val="left"/>
        <w:rPr>
          <w:rFonts w:hint="eastAsia" w:eastAsia="宋体"/>
          <w:color w:val="auto"/>
          <w:highlight w:val="none"/>
          <w:lang w:eastAsia="zh-CN"/>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r>
        <w:rPr>
          <w:rFonts w:hint="eastAsia" w:hAnsi="宋体" w:cs="宋体"/>
          <w:color w:val="auto"/>
          <w:highlight w:val="none"/>
          <w:lang w:eastAsia="zh-CN"/>
        </w:rPr>
        <w:t>；</w:t>
      </w:r>
    </w:p>
    <w:p w14:paraId="213B8582">
      <w:pPr>
        <w:autoSpaceDE w:val="0"/>
        <w:autoSpaceDN w:val="0"/>
        <w:adjustRightInd w:val="0"/>
        <w:spacing w:line="360" w:lineRule="auto"/>
        <w:ind w:firstLine="420" w:firstLineChars="200"/>
        <w:jc w:val="left"/>
        <w:rPr>
          <w:rFonts w:hint="eastAsia" w:eastAsia="宋体"/>
          <w:color w:val="auto"/>
          <w:szCs w:val="21"/>
          <w:highlight w:val="none"/>
          <w:lang w:eastAsia="zh-CN"/>
        </w:rPr>
      </w:pPr>
      <w:r>
        <w:rPr>
          <w:rFonts w:hint="eastAsia" w:hAnsi="宋体" w:cs="宋体"/>
          <w:color w:val="auto"/>
          <w:szCs w:val="21"/>
          <w:highlight w:val="none"/>
        </w:rPr>
        <w:t>（</w:t>
      </w:r>
      <w:r>
        <w:rPr>
          <w:color w:val="auto"/>
          <w:szCs w:val="21"/>
          <w:highlight w:val="none"/>
        </w:rPr>
        <w:t>5</w:t>
      </w:r>
      <w:r>
        <w:rPr>
          <w:rFonts w:hint="eastAsia" w:hAnsi="宋体" w:cs="宋体"/>
          <w:color w:val="auto"/>
          <w:szCs w:val="21"/>
          <w:highlight w:val="none"/>
        </w:rPr>
        <w:t>）技术标准和要求</w:t>
      </w:r>
      <w:r>
        <w:rPr>
          <w:rFonts w:hint="eastAsia" w:hAnsi="宋体" w:cs="宋体"/>
          <w:color w:val="auto"/>
          <w:szCs w:val="21"/>
          <w:highlight w:val="none"/>
          <w:lang w:eastAsia="zh-CN"/>
        </w:rPr>
        <w:t>；</w:t>
      </w:r>
    </w:p>
    <w:p w14:paraId="15312F25">
      <w:pPr>
        <w:autoSpaceDE w:val="0"/>
        <w:autoSpaceDN w:val="0"/>
        <w:adjustRightInd w:val="0"/>
        <w:spacing w:line="360" w:lineRule="auto"/>
        <w:ind w:firstLine="420" w:firstLineChars="200"/>
        <w:jc w:val="left"/>
        <w:rPr>
          <w:rFonts w:hint="eastAsia" w:eastAsia="宋体"/>
          <w:color w:val="auto"/>
          <w:szCs w:val="21"/>
          <w:highlight w:val="none"/>
          <w:lang w:eastAsia="zh-CN"/>
        </w:rPr>
      </w:pPr>
      <w:r>
        <w:rPr>
          <w:rFonts w:hint="eastAsia" w:hAnsi="宋体" w:cs="宋体"/>
          <w:color w:val="auto"/>
          <w:szCs w:val="21"/>
          <w:highlight w:val="none"/>
        </w:rPr>
        <w:t>（</w:t>
      </w:r>
      <w:r>
        <w:rPr>
          <w:color w:val="auto"/>
          <w:szCs w:val="21"/>
          <w:highlight w:val="none"/>
        </w:rPr>
        <w:t>6</w:t>
      </w:r>
      <w:r>
        <w:rPr>
          <w:rFonts w:hint="eastAsia" w:hAnsi="宋体" w:cs="宋体"/>
          <w:color w:val="auto"/>
          <w:szCs w:val="21"/>
          <w:highlight w:val="none"/>
        </w:rPr>
        <w:t>）已标价工程量清单</w:t>
      </w:r>
      <w:r>
        <w:rPr>
          <w:rFonts w:hint="eastAsia" w:hAnsi="宋体" w:cs="宋体"/>
          <w:color w:val="auto"/>
          <w:szCs w:val="21"/>
          <w:highlight w:val="none"/>
          <w:lang w:eastAsia="zh-CN"/>
        </w:rPr>
        <w:t>；</w:t>
      </w:r>
    </w:p>
    <w:p w14:paraId="5E9058AE">
      <w:pPr>
        <w:autoSpaceDE w:val="0"/>
        <w:autoSpaceDN w:val="0"/>
        <w:adjustRightInd w:val="0"/>
        <w:spacing w:line="360" w:lineRule="auto"/>
        <w:ind w:firstLine="420" w:firstLineChars="200"/>
        <w:jc w:val="left"/>
        <w:rPr>
          <w:rFonts w:hint="eastAsia" w:eastAsia="宋体"/>
          <w:color w:val="auto"/>
          <w:szCs w:val="21"/>
          <w:highlight w:val="none"/>
          <w:lang w:eastAsia="zh-CN"/>
        </w:rPr>
      </w:pPr>
      <w:r>
        <w:rPr>
          <w:rFonts w:hint="eastAsia" w:hAnsi="宋体" w:cs="宋体"/>
          <w:color w:val="auto"/>
          <w:szCs w:val="21"/>
          <w:highlight w:val="none"/>
        </w:rPr>
        <w:t>（</w:t>
      </w:r>
      <w:r>
        <w:rPr>
          <w:color w:val="auto"/>
          <w:szCs w:val="21"/>
          <w:highlight w:val="none"/>
        </w:rPr>
        <w:t>7</w:t>
      </w:r>
      <w:r>
        <w:rPr>
          <w:rFonts w:hint="eastAsia" w:hAnsi="宋体" w:cs="宋体"/>
          <w:color w:val="auto"/>
          <w:szCs w:val="21"/>
          <w:highlight w:val="none"/>
        </w:rPr>
        <w:t>）图纸</w:t>
      </w:r>
      <w:r>
        <w:rPr>
          <w:rFonts w:hint="eastAsia" w:hAnsi="宋体" w:cs="宋体"/>
          <w:color w:val="auto"/>
          <w:szCs w:val="21"/>
          <w:highlight w:val="none"/>
          <w:lang w:eastAsia="zh-CN"/>
        </w:rPr>
        <w:t>；</w:t>
      </w:r>
    </w:p>
    <w:p w14:paraId="2B21B1C3">
      <w:pPr>
        <w:autoSpaceDE w:val="0"/>
        <w:autoSpaceDN w:val="0"/>
        <w:adjustRightInd w:val="0"/>
        <w:spacing w:line="360" w:lineRule="auto"/>
        <w:ind w:firstLine="420" w:firstLineChars="200"/>
        <w:jc w:val="left"/>
        <w:rPr>
          <w:rFonts w:hint="eastAsia" w:hAnsi="宋体" w:cs="宋体"/>
          <w:color w:val="auto"/>
          <w:szCs w:val="21"/>
          <w:highlight w:val="none"/>
        </w:rPr>
      </w:pPr>
      <w:r>
        <w:rPr>
          <w:rFonts w:hint="eastAsia" w:hAnsi="宋体" w:cs="宋体"/>
          <w:color w:val="auto"/>
          <w:szCs w:val="21"/>
          <w:highlight w:val="none"/>
        </w:rPr>
        <w:t>（</w:t>
      </w:r>
      <w:r>
        <w:rPr>
          <w:color w:val="auto"/>
          <w:szCs w:val="21"/>
          <w:highlight w:val="none"/>
        </w:rPr>
        <w:t>8</w:t>
      </w:r>
      <w:r>
        <w:rPr>
          <w:rFonts w:hint="eastAsia" w:hAnsi="宋体" w:cs="宋体"/>
          <w:color w:val="auto"/>
          <w:szCs w:val="21"/>
          <w:highlight w:val="none"/>
        </w:rPr>
        <w:t>）其他合同文件：</w:t>
      </w:r>
    </w:p>
    <w:p w14:paraId="14D0D5A6">
      <w:pPr>
        <w:autoSpaceDE w:val="0"/>
        <w:autoSpaceDN w:val="0"/>
        <w:adjustRightInd w:val="0"/>
        <w:spacing w:line="360" w:lineRule="auto"/>
        <w:ind w:firstLine="42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9</w:t>
      </w:r>
      <w:r>
        <w:rPr>
          <w:rFonts w:hint="eastAsia" w:hAnsi="宋体" w:cs="宋体"/>
          <w:color w:val="auto"/>
          <w:szCs w:val="21"/>
          <w:highlight w:val="none"/>
          <w:lang w:eastAsia="zh-CN"/>
        </w:rPr>
        <w:t>）</w:t>
      </w:r>
      <w:r>
        <w:rPr>
          <w:color w:val="auto"/>
          <w:highlight w:val="none"/>
        </w:rPr>
        <w:t>竞争性磋商文件及响应文件</w:t>
      </w:r>
      <w:r>
        <w:rPr>
          <w:rFonts w:hint="eastAsia" w:hAnsi="宋体" w:cs="宋体"/>
          <w:color w:val="auto"/>
          <w:szCs w:val="21"/>
          <w:highlight w:val="none"/>
          <w:lang w:eastAsia="zh-CN"/>
        </w:rPr>
        <w:t>；</w:t>
      </w:r>
    </w:p>
    <w:p w14:paraId="151B4CA9">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上述各项合同文件包括合同当事人就该项合同文件所作出的补充和修改，属于同一类内容的文件，应以最新签署的为准（违反磋商文件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49AE9D09">
      <w:pPr>
        <w:autoSpaceDE w:val="0"/>
        <w:autoSpaceDN w:val="0"/>
        <w:adjustRightInd w:val="0"/>
        <w:spacing w:line="360" w:lineRule="auto"/>
        <w:ind w:firstLine="422" w:firstLineChars="200"/>
        <w:jc w:val="left"/>
        <w:outlineLvl w:val="0"/>
        <w:rPr>
          <w:b/>
          <w:bCs/>
          <w:color w:val="auto"/>
          <w:highlight w:val="none"/>
        </w:rPr>
      </w:pPr>
      <w:bookmarkStart w:id="242" w:name="_Toc122424275"/>
      <w:bookmarkStart w:id="243" w:name="_Toc122424026"/>
      <w:bookmarkStart w:id="244" w:name="_Toc351203487"/>
      <w:r>
        <w:rPr>
          <w:rFonts w:hint="eastAsia" w:hAnsi="宋体" w:cs="宋体"/>
          <w:b/>
          <w:bCs/>
          <w:color w:val="auto"/>
          <w:highlight w:val="none"/>
        </w:rPr>
        <w:t>七、承诺</w:t>
      </w:r>
      <w:bookmarkEnd w:id="242"/>
      <w:bookmarkEnd w:id="243"/>
      <w:bookmarkEnd w:id="244"/>
    </w:p>
    <w:p w14:paraId="04A3EC96">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361A8D84">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7F2AEB73">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发包人和承包人通过政府采购形式签订合同的，双方理解并承诺不再就同一工程另行签订与合同实质性内容相背离的协议。</w:t>
      </w:r>
      <w:bookmarkStart w:id="245" w:name="_Toc351203488"/>
    </w:p>
    <w:p w14:paraId="364BAF5C">
      <w:pPr>
        <w:spacing w:line="360" w:lineRule="auto"/>
        <w:ind w:firstLine="422" w:firstLineChars="200"/>
        <w:outlineLvl w:val="0"/>
        <w:rPr>
          <w:b/>
          <w:bCs/>
          <w:color w:val="auto"/>
          <w:highlight w:val="none"/>
        </w:rPr>
      </w:pPr>
      <w:bookmarkStart w:id="246" w:name="_Toc122424027"/>
      <w:bookmarkStart w:id="247" w:name="_Toc122424276"/>
      <w:r>
        <w:rPr>
          <w:rFonts w:hint="eastAsia" w:hAnsi="宋体" w:cs="宋体"/>
          <w:b/>
          <w:bCs/>
          <w:color w:val="auto"/>
          <w:highlight w:val="none"/>
        </w:rPr>
        <w:t>八、词语含义</w:t>
      </w:r>
      <w:bookmarkEnd w:id="245"/>
      <w:bookmarkEnd w:id="246"/>
      <w:bookmarkEnd w:id="247"/>
    </w:p>
    <w:p w14:paraId="34FB7D20">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172B87CF">
      <w:pPr>
        <w:spacing w:line="360" w:lineRule="auto"/>
        <w:ind w:firstLine="422" w:firstLineChars="200"/>
        <w:outlineLvl w:val="0"/>
        <w:rPr>
          <w:b/>
          <w:bCs/>
          <w:color w:val="auto"/>
          <w:highlight w:val="none"/>
        </w:rPr>
      </w:pPr>
      <w:bookmarkStart w:id="248" w:name="_Toc122424028"/>
      <w:bookmarkStart w:id="249" w:name="_Toc351203489"/>
      <w:bookmarkStart w:id="250" w:name="_Toc122424277"/>
      <w:r>
        <w:rPr>
          <w:rFonts w:hint="eastAsia" w:hAnsi="宋体" w:cs="宋体"/>
          <w:b/>
          <w:bCs/>
          <w:color w:val="auto"/>
          <w:highlight w:val="none"/>
        </w:rPr>
        <w:t>九、签订时间</w:t>
      </w:r>
      <w:bookmarkEnd w:id="248"/>
      <w:bookmarkEnd w:id="249"/>
      <w:bookmarkEnd w:id="250"/>
    </w:p>
    <w:p w14:paraId="1324C6DF">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37D2BAA6">
      <w:pPr>
        <w:spacing w:line="360" w:lineRule="auto"/>
        <w:ind w:firstLine="422" w:firstLineChars="200"/>
        <w:outlineLvl w:val="0"/>
        <w:rPr>
          <w:b/>
          <w:bCs/>
          <w:color w:val="auto"/>
          <w:highlight w:val="none"/>
        </w:rPr>
      </w:pPr>
      <w:bookmarkStart w:id="251" w:name="_Toc351203490"/>
      <w:bookmarkStart w:id="252" w:name="_Toc122424278"/>
      <w:bookmarkStart w:id="253" w:name="_Toc122424029"/>
      <w:r>
        <w:rPr>
          <w:rFonts w:hint="eastAsia" w:hAnsi="宋体" w:cs="宋体"/>
          <w:b/>
          <w:bCs/>
          <w:color w:val="auto"/>
          <w:highlight w:val="none"/>
        </w:rPr>
        <w:t>十、签订地点</w:t>
      </w:r>
      <w:bookmarkEnd w:id="251"/>
      <w:bookmarkEnd w:id="252"/>
      <w:bookmarkEnd w:id="253"/>
    </w:p>
    <w:p w14:paraId="6800D981">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14:paraId="0E759340">
      <w:pPr>
        <w:spacing w:line="360" w:lineRule="auto"/>
        <w:ind w:firstLine="422" w:firstLineChars="200"/>
        <w:outlineLvl w:val="0"/>
        <w:rPr>
          <w:b/>
          <w:bCs/>
          <w:color w:val="auto"/>
          <w:highlight w:val="none"/>
        </w:rPr>
      </w:pPr>
      <w:bookmarkStart w:id="254" w:name="_Toc122424030"/>
      <w:bookmarkStart w:id="255" w:name="_Toc122424279"/>
      <w:bookmarkStart w:id="256" w:name="_Toc351203491"/>
      <w:r>
        <w:rPr>
          <w:rFonts w:hint="eastAsia" w:hAnsi="宋体" w:cs="宋体"/>
          <w:b/>
          <w:bCs/>
          <w:color w:val="auto"/>
          <w:highlight w:val="none"/>
        </w:rPr>
        <w:t>十一、补充协议</w:t>
      </w:r>
      <w:bookmarkEnd w:id="254"/>
      <w:bookmarkEnd w:id="255"/>
      <w:bookmarkEnd w:id="256"/>
    </w:p>
    <w:p w14:paraId="5E8CEC12">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7B220262">
      <w:pPr>
        <w:spacing w:line="360" w:lineRule="auto"/>
        <w:ind w:firstLine="422" w:firstLineChars="200"/>
        <w:outlineLvl w:val="0"/>
        <w:rPr>
          <w:b/>
          <w:bCs/>
          <w:color w:val="auto"/>
          <w:highlight w:val="none"/>
        </w:rPr>
      </w:pPr>
      <w:bookmarkStart w:id="257" w:name="_Toc351203492"/>
      <w:bookmarkStart w:id="258" w:name="_Toc122424031"/>
      <w:bookmarkStart w:id="259" w:name="_Toc122424280"/>
      <w:r>
        <w:rPr>
          <w:rFonts w:hint="eastAsia" w:hAnsi="宋体" w:cs="宋体"/>
          <w:b/>
          <w:bCs/>
          <w:color w:val="auto"/>
          <w:highlight w:val="none"/>
        </w:rPr>
        <w:t>十二、合同生效</w:t>
      </w:r>
      <w:bookmarkEnd w:id="257"/>
      <w:bookmarkEnd w:id="258"/>
      <w:bookmarkEnd w:id="259"/>
    </w:p>
    <w:p w14:paraId="5DD7BBEF">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14:paraId="36A263E3">
      <w:pPr>
        <w:spacing w:line="360" w:lineRule="auto"/>
        <w:ind w:firstLine="422" w:firstLineChars="200"/>
        <w:outlineLvl w:val="0"/>
        <w:rPr>
          <w:b/>
          <w:bCs/>
          <w:color w:val="auto"/>
          <w:highlight w:val="none"/>
        </w:rPr>
      </w:pPr>
      <w:bookmarkStart w:id="260" w:name="_Toc351203493"/>
      <w:bookmarkStart w:id="261" w:name="_Toc122424281"/>
      <w:bookmarkStart w:id="262" w:name="_Toc122424032"/>
      <w:r>
        <w:rPr>
          <w:rFonts w:hint="eastAsia" w:hAnsi="宋体" w:cs="宋体"/>
          <w:b/>
          <w:bCs/>
          <w:color w:val="auto"/>
          <w:highlight w:val="none"/>
        </w:rPr>
        <w:t>十三、合同份数</w:t>
      </w:r>
      <w:bookmarkEnd w:id="260"/>
      <w:bookmarkEnd w:id="261"/>
      <w:bookmarkEnd w:id="262"/>
    </w:p>
    <w:p w14:paraId="554F151C">
      <w:pPr>
        <w:spacing w:line="360" w:lineRule="auto"/>
        <w:rPr>
          <w:color w:val="auto"/>
          <w:highlight w:val="none"/>
        </w:rPr>
      </w:pPr>
      <w:r>
        <w:rPr>
          <w:rFonts w:hint="eastAsia"/>
          <w:color w:val="auto"/>
          <w:highlight w:val="none"/>
        </w:rPr>
        <w:t>本合同一式伍份，均具有同等法律效力，发包人执叁 份，承包人执 贰份。</w:t>
      </w:r>
    </w:p>
    <w:p w14:paraId="65ED422B">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7C8595B4">
      <w:pPr>
        <w:spacing w:line="360" w:lineRule="auto"/>
        <w:rPr>
          <w:color w:val="auto"/>
          <w:highlight w:val="none"/>
          <w:u w:val="single"/>
        </w:rPr>
      </w:pPr>
      <w:r>
        <w:rPr>
          <w:color w:val="auto"/>
          <w:highlight w:val="none"/>
        </w:rPr>
        <w:t xml:space="preserve">                                 </w:t>
      </w:r>
    </w:p>
    <w:p w14:paraId="55520E23">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3734AB4B">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548002FD">
      <w:pPr>
        <w:spacing w:line="360" w:lineRule="auto"/>
        <w:rPr>
          <w:color w:val="auto"/>
          <w:highlight w:val="none"/>
          <w:u w:val="single"/>
        </w:rPr>
      </w:pPr>
    </w:p>
    <w:p w14:paraId="7F92A31C">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00A3CE16">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74B51456">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BE2F872">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F2EF3E7">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0F70F21">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197C303">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E65DAAA">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10529C7A">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5D1F562">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8F0661E">
      <w:pPr>
        <w:pStyle w:val="2"/>
        <w:jc w:val="center"/>
        <w:rPr>
          <w:color w:val="auto"/>
          <w:highlight w:val="none"/>
        </w:rPr>
      </w:pPr>
      <w:r>
        <w:rPr>
          <w:rFonts w:ascii="宋体" w:hAnsi="宋体" w:cs="宋体"/>
          <w:color w:val="auto"/>
          <w:sz w:val="24"/>
          <w:highlight w:val="none"/>
        </w:rPr>
        <w:br w:type="page"/>
      </w:r>
      <w:bookmarkStart w:id="263" w:name="_Toc86847323"/>
      <w:bookmarkStart w:id="264" w:name="_Toc122424033"/>
      <w:bookmarkStart w:id="265" w:name="_Toc407135192"/>
      <w:bookmarkStart w:id="266" w:name="_Toc1714491818"/>
      <w:bookmarkStart w:id="267" w:name="_Toc122424282"/>
      <w:bookmarkStart w:id="268" w:name="_Toc389065256"/>
      <w:bookmarkStart w:id="269" w:name="_Toc78449778"/>
      <w:bookmarkStart w:id="270" w:name="_Toc373227691"/>
      <w:bookmarkStart w:id="271" w:name="_Toc373478338"/>
      <w:bookmarkStart w:id="272"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263"/>
      <w:bookmarkEnd w:id="264"/>
      <w:bookmarkEnd w:id="265"/>
      <w:bookmarkEnd w:id="266"/>
      <w:bookmarkEnd w:id="267"/>
      <w:bookmarkEnd w:id="268"/>
      <w:bookmarkEnd w:id="269"/>
    </w:p>
    <w:p w14:paraId="59DEAA16">
      <w:pPr>
        <w:spacing w:line="360" w:lineRule="auto"/>
        <w:ind w:firstLine="420" w:firstLineChars="200"/>
        <w:rPr>
          <w:rFonts w:hAnsi="宋体"/>
          <w:color w:val="auto"/>
          <w:kern w:val="0"/>
          <w:highlight w:val="none"/>
        </w:rPr>
      </w:pPr>
    </w:p>
    <w:p w14:paraId="26721A4F">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5C318C21">
      <w:pPr>
        <w:pStyle w:val="2"/>
        <w:keepNext w:val="0"/>
        <w:keepLines w:val="0"/>
        <w:jc w:val="center"/>
        <w:rPr>
          <w:rFonts w:hAnsi="宋体"/>
          <w:color w:val="auto"/>
          <w:sz w:val="30"/>
          <w:szCs w:val="30"/>
          <w:highlight w:val="none"/>
        </w:rPr>
      </w:pPr>
      <w:bookmarkStart w:id="273" w:name="_Toc704444909"/>
      <w:bookmarkStart w:id="274" w:name="_Toc389065257"/>
      <w:bookmarkStart w:id="275" w:name="_Toc122424283"/>
      <w:bookmarkStart w:id="276" w:name="_Toc407135193"/>
      <w:bookmarkStart w:id="277" w:name="_Toc78449779"/>
      <w:bookmarkStart w:id="278" w:name="_Toc122424034"/>
      <w:bookmarkStart w:id="279" w:name="_Toc120413859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70"/>
      <w:bookmarkEnd w:id="271"/>
      <w:bookmarkEnd w:id="272"/>
      <w:bookmarkEnd w:id="273"/>
      <w:bookmarkEnd w:id="274"/>
      <w:bookmarkEnd w:id="275"/>
      <w:bookmarkEnd w:id="276"/>
      <w:bookmarkEnd w:id="277"/>
      <w:bookmarkEnd w:id="278"/>
      <w:bookmarkEnd w:id="279"/>
    </w:p>
    <w:p w14:paraId="17A360AC">
      <w:pPr>
        <w:keepNext/>
        <w:keepLines/>
        <w:widowControl/>
        <w:spacing w:before="120" w:after="120" w:line="440" w:lineRule="exact"/>
        <w:ind w:firstLine="413" w:firstLineChars="196"/>
        <w:outlineLvl w:val="3"/>
        <w:rPr>
          <w:rFonts w:ascii="宋体" w:hAnsi="宋体" w:eastAsia="黑体"/>
          <w:b/>
          <w:color w:val="auto"/>
          <w:kern w:val="0"/>
          <w:sz w:val="28"/>
          <w:szCs w:val="21"/>
          <w:highlight w:val="none"/>
        </w:rPr>
      </w:pPr>
      <w:bookmarkStart w:id="280" w:name="_Toc351203633"/>
      <w:r>
        <w:rPr>
          <w:rFonts w:ascii="宋体" w:hAnsi="宋体"/>
          <w:b/>
          <w:color w:val="auto"/>
          <w:kern w:val="0"/>
          <w:szCs w:val="21"/>
          <w:highlight w:val="none"/>
        </w:rPr>
        <w:t>1</w:t>
      </w:r>
      <w:bookmarkStart w:id="281" w:name="_Toc292559361"/>
      <w:bookmarkStart w:id="282" w:name="_Toc296347155"/>
      <w:bookmarkStart w:id="283" w:name="_Toc296891196"/>
      <w:bookmarkStart w:id="284" w:name="_Toc296890984"/>
      <w:bookmarkStart w:id="285" w:name="_Toc297120456"/>
      <w:bookmarkStart w:id="286" w:name="_Toc296944495"/>
      <w:bookmarkStart w:id="287" w:name="_Toc296346657"/>
      <w:bookmarkStart w:id="288" w:name="_Toc292559866"/>
      <w:bookmarkStart w:id="289" w:name="_Toc296503156"/>
      <w:bookmarkStart w:id="290" w:name="_Toc297048342"/>
      <w:r>
        <w:rPr>
          <w:rFonts w:ascii="宋体" w:hAnsi="宋体"/>
          <w:b/>
          <w:color w:val="auto"/>
          <w:kern w:val="0"/>
          <w:szCs w:val="21"/>
          <w:highlight w:val="none"/>
        </w:rPr>
        <w:t>. 一般约定</w:t>
      </w:r>
      <w:bookmarkEnd w:id="280"/>
      <w:bookmarkEnd w:id="281"/>
      <w:bookmarkEnd w:id="282"/>
      <w:bookmarkEnd w:id="283"/>
      <w:bookmarkEnd w:id="284"/>
      <w:bookmarkEnd w:id="285"/>
      <w:bookmarkEnd w:id="286"/>
      <w:bookmarkEnd w:id="287"/>
      <w:bookmarkEnd w:id="288"/>
      <w:bookmarkEnd w:id="289"/>
      <w:bookmarkEnd w:id="290"/>
    </w:p>
    <w:p w14:paraId="428B73A1">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1.1 词语定义</w:t>
      </w:r>
    </w:p>
    <w:p w14:paraId="739C0B4C">
      <w:pPr>
        <w:spacing w:line="44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51C8EEF3">
      <w:pPr>
        <w:spacing w:line="44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1.1.1.</w:t>
      </w:r>
      <w:r>
        <w:rPr>
          <w:rFonts w:hint="eastAsia" w:ascii="宋体" w:hAnsi="宋体"/>
          <w:color w:val="auto"/>
          <w:kern w:val="0"/>
          <w:szCs w:val="21"/>
          <w:highlight w:val="none"/>
        </w:rPr>
        <w:t>1</w:t>
      </w:r>
      <w:r>
        <w:rPr>
          <w:rFonts w:ascii="宋体" w:hAnsi="宋体"/>
          <w:color w:val="auto"/>
          <w:kern w:val="0"/>
          <w:szCs w:val="21"/>
          <w:highlight w:val="none"/>
        </w:rPr>
        <w:t>其他合同文件包括：</w:t>
      </w:r>
      <w:r>
        <w:rPr>
          <w:rFonts w:hint="eastAsia" w:ascii="宋体" w:hAnsi="宋体"/>
          <w:color w:val="auto"/>
          <w:kern w:val="0"/>
          <w:szCs w:val="21"/>
          <w:highlight w:val="none"/>
          <w:u w:val="single"/>
        </w:rPr>
        <w:t>指合同书、成交通知书、竞标函及竞标函附录、专用合同条款、通用合同条款、规范、技术标准和要求、图纸、已标价工程量清单及工程量清单使用说明，以及双方共同确认的其他合同文件(包括但不限于在履行本合同过程中双方书面确认的会议纪要、签证、设计变更等资料)</w:t>
      </w:r>
      <w:r>
        <w:rPr>
          <w:rFonts w:ascii="宋体" w:hAnsi="宋体"/>
          <w:color w:val="auto"/>
          <w:szCs w:val="21"/>
          <w:highlight w:val="none"/>
          <w:u w:val="single"/>
        </w:rPr>
        <w:t>。</w:t>
      </w:r>
    </w:p>
    <w:p w14:paraId="1A6B3BE6">
      <w:pPr>
        <w:spacing w:line="44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117945DE">
      <w:pPr>
        <w:spacing w:line="440" w:lineRule="exact"/>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1</w:t>
      </w:r>
      <w:r>
        <w:rPr>
          <w:rFonts w:ascii="宋体" w:hAnsi="宋体"/>
          <w:color w:val="auto"/>
          <w:szCs w:val="21"/>
          <w:highlight w:val="none"/>
        </w:rPr>
        <w:t>监理人：</w:t>
      </w:r>
    </w:p>
    <w:p w14:paraId="673D752A">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名    称：</w:t>
      </w:r>
      <w:r>
        <w:rPr>
          <w:rFonts w:hint="eastAsia" w:ascii="宋体" w:hAnsi="宋体"/>
          <w:color w:val="auto"/>
          <w:szCs w:val="21"/>
          <w:highlight w:val="none"/>
          <w:lang w:eastAsia="zh-CN"/>
        </w:rPr>
        <w:t>；</w:t>
      </w:r>
    </w:p>
    <w:p w14:paraId="17512434">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资质类别和等级：</w:t>
      </w:r>
      <w:r>
        <w:rPr>
          <w:rFonts w:hint="eastAsia" w:ascii="宋体" w:hAnsi="宋体"/>
          <w:color w:val="auto"/>
          <w:szCs w:val="21"/>
          <w:highlight w:val="none"/>
          <w:lang w:eastAsia="zh-CN"/>
        </w:rPr>
        <w:t>；</w:t>
      </w:r>
    </w:p>
    <w:p w14:paraId="6C84331D">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lang w:eastAsia="zh-CN"/>
        </w:rPr>
        <w:t>；</w:t>
      </w:r>
    </w:p>
    <w:p w14:paraId="648758AB">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电子信箱：</w:t>
      </w:r>
      <w:r>
        <w:rPr>
          <w:rFonts w:hint="eastAsia" w:ascii="宋体" w:hAnsi="宋体"/>
          <w:color w:val="auto"/>
          <w:szCs w:val="21"/>
          <w:highlight w:val="none"/>
          <w:lang w:eastAsia="zh-CN"/>
        </w:rPr>
        <w:t>；</w:t>
      </w:r>
    </w:p>
    <w:p w14:paraId="22BCD86D">
      <w:pPr>
        <w:spacing w:line="440" w:lineRule="exact"/>
        <w:ind w:firstLine="420" w:firstLineChars="200"/>
        <w:rPr>
          <w:rFonts w:ascii="宋体" w:hAnsi="宋体"/>
          <w:color w:val="auto"/>
          <w:szCs w:val="21"/>
          <w:highlight w:val="none"/>
        </w:rPr>
      </w:pPr>
      <w:r>
        <w:rPr>
          <w:rFonts w:ascii="宋体" w:hAnsi="宋体"/>
          <w:color w:val="auto"/>
          <w:szCs w:val="21"/>
          <w:highlight w:val="none"/>
        </w:rPr>
        <w:t>通信地址：。</w:t>
      </w:r>
    </w:p>
    <w:p w14:paraId="74FDDB3A">
      <w:pPr>
        <w:spacing w:line="440" w:lineRule="exact"/>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2</w:t>
      </w:r>
      <w:r>
        <w:rPr>
          <w:rFonts w:ascii="宋体" w:hAnsi="宋体"/>
          <w:color w:val="auto"/>
          <w:szCs w:val="21"/>
          <w:highlight w:val="none"/>
        </w:rPr>
        <w:t xml:space="preserve"> 设计人：</w:t>
      </w:r>
    </w:p>
    <w:p w14:paraId="2BFDDD94">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名    称：</w:t>
      </w:r>
      <w:r>
        <w:rPr>
          <w:rFonts w:hint="eastAsia" w:ascii="宋体" w:hAnsi="宋体"/>
          <w:color w:val="auto"/>
          <w:szCs w:val="21"/>
          <w:highlight w:val="none"/>
          <w:lang w:eastAsia="zh-CN"/>
        </w:rPr>
        <w:t>；</w:t>
      </w:r>
    </w:p>
    <w:p w14:paraId="2BDE60D7">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资质类别和等级：</w:t>
      </w:r>
      <w:r>
        <w:rPr>
          <w:rFonts w:hint="eastAsia" w:ascii="宋体" w:hAnsi="宋体"/>
          <w:color w:val="auto"/>
          <w:szCs w:val="21"/>
          <w:highlight w:val="none"/>
          <w:lang w:eastAsia="zh-CN"/>
        </w:rPr>
        <w:t>；</w:t>
      </w:r>
    </w:p>
    <w:p w14:paraId="25FA933D">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lang w:eastAsia="zh-CN"/>
        </w:rPr>
        <w:t>；</w:t>
      </w:r>
    </w:p>
    <w:p w14:paraId="476CF3BF">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电子信箱：</w:t>
      </w:r>
      <w:r>
        <w:rPr>
          <w:rFonts w:hint="eastAsia" w:ascii="宋体" w:hAnsi="宋体"/>
          <w:color w:val="auto"/>
          <w:szCs w:val="21"/>
          <w:highlight w:val="none"/>
          <w:lang w:eastAsia="zh-CN"/>
        </w:rPr>
        <w:t>；</w:t>
      </w:r>
    </w:p>
    <w:p w14:paraId="33B10AD3">
      <w:pPr>
        <w:spacing w:line="440" w:lineRule="exact"/>
        <w:ind w:firstLine="420" w:firstLineChars="200"/>
        <w:rPr>
          <w:rFonts w:ascii="宋体" w:hAnsi="宋体"/>
          <w:color w:val="auto"/>
          <w:szCs w:val="21"/>
          <w:highlight w:val="none"/>
        </w:rPr>
      </w:pPr>
      <w:r>
        <w:rPr>
          <w:rFonts w:ascii="宋体" w:hAnsi="宋体"/>
          <w:color w:val="auto"/>
          <w:szCs w:val="21"/>
          <w:highlight w:val="none"/>
        </w:rPr>
        <w:t>通信地址：。</w:t>
      </w:r>
    </w:p>
    <w:p w14:paraId="559100F0">
      <w:pPr>
        <w:spacing w:line="44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01FA7835">
      <w:pPr>
        <w:spacing w:line="440" w:lineRule="exact"/>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1</w:t>
      </w:r>
      <w:r>
        <w:rPr>
          <w:rFonts w:ascii="宋体" w:hAnsi="宋体"/>
          <w:color w:val="auto"/>
          <w:szCs w:val="21"/>
          <w:highlight w:val="none"/>
        </w:rPr>
        <w:t>作为施工现场组成部分的其他场所包括：</w:t>
      </w:r>
      <w:r>
        <w:rPr>
          <w:rFonts w:hint="eastAsia" w:hAnsi="宋体"/>
          <w:color w:val="auto"/>
          <w:szCs w:val="21"/>
          <w:highlight w:val="none"/>
          <w:u w:val="single"/>
        </w:rPr>
        <w:t xml:space="preserve">无  </w:t>
      </w:r>
      <w:r>
        <w:rPr>
          <w:rFonts w:ascii="宋体" w:hAnsi="宋体"/>
          <w:color w:val="auto"/>
          <w:szCs w:val="21"/>
          <w:highlight w:val="none"/>
        </w:rPr>
        <w:t>。</w:t>
      </w:r>
    </w:p>
    <w:p w14:paraId="45ABC66B">
      <w:pPr>
        <w:spacing w:line="400" w:lineRule="exact"/>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rPr>
        <w:t>1.1.3.9  永久占地包括：</w:t>
      </w:r>
      <w:r>
        <w:rPr>
          <w:rFonts w:hint="eastAsia" w:ascii="宋体" w:hAnsi="宋体"/>
          <w:color w:val="auto"/>
          <w:szCs w:val="21"/>
          <w:highlight w:val="none"/>
          <w:u w:val="single"/>
        </w:rPr>
        <w:t>实施工程需永久占用的土地</w:t>
      </w:r>
      <w:r>
        <w:rPr>
          <w:rFonts w:hint="eastAsia" w:ascii="宋体" w:hAnsi="宋体"/>
          <w:color w:val="auto"/>
          <w:kern w:val="0"/>
          <w:szCs w:val="21"/>
          <w:highlight w:val="none"/>
        </w:rPr>
        <w:t>。</w:t>
      </w:r>
    </w:p>
    <w:p w14:paraId="7F8B6D89">
      <w:pPr>
        <w:spacing w:line="400" w:lineRule="exact"/>
        <w:ind w:firstLine="424" w:firstLineChars="202"/>
        <w:jc w:val="left"/>
        <w:rPr>
          <w:rFonts w:ascii="宋体" w:hAnsi="宋体"/>
          <w:color w:val="auto"/>
          <w:szCs w:val="21"/>
          <w:highlight w:val="none"/>
        </w:rPr>
      </w:pPr>
      <w:r>
        <w:rPr>
          <w:rFonts w:hint="eastAsia" w:ascii="宋体" w:hAnsi="宋体"/>
          <w:color w:val="auto"/>
          <w:kern w:val="0"/>
          <w:szCs w:val="21"/>
          <w:highlight w:val="none"/>
        </w:rPr>
        <w:t>1.1.3.10 临时占地包括：</w:t>
      </w:r>
      <w:r>
        <w:rPr>
          <w:rFonts w:hint="eastAsia" w:ascii="宋体" w:hAnsi="宋体"/>
          <w:color w:val="auto"/>
          <w:szCs w:val="21"/>
          <w:highlight w:val="none"/>
          <w:u w:val="single"/>
        </w:rPr>
        <w:t>实施工程需要临时占用的土地</w:t>
      </w:r>
      <w:r>
        <w:rPr>
          <w:rFonts w:hint="eastAsia" w:ascii="宋体" w:hAnsi="宋体"/>
          <w:color w:val="auto"/>
          <w:kern w:val="0"/>
          <w:szCs w:val="21"/>
          <w:highlight w:val="none"/>
        </w:rPr>
        <w:t>。</w:t>
      </w:r>
    </w:p>
    <w:p w14:paraId="547B26E7">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 xml:space="preserve">1.3法律 </w:t>
      </w:r>
    </w:p>
    <w:p w14:paraId="34D94FCC">
      <w:pPr>
        <w:spacing w:line="360" w:lineRule="auto"/>
        <w:ind w:firstLine="420" w:firstLineChars="200"/>
        <w:rPr>
          <w:color w:val="auto"/>
          <w:szCs w:val="21"/>
          <w:highlight w:val="none"/>
        </w:rPr>
      </w:pPr>
      <w:r>
        <w:rPr>
          <w:rFonts w:hAnsi="宋体"/>
          <w:color w:val="auto"/>
          <w:szCs w:val="21"/>
          <w:highlight w:val="none"/>
        </w:rPr>
        <w:t>适用于合同的其他规范性文件：</w:t>
      </w:r>
      <w:r>
        <w:rPr>
          <w:rFonts w:hint="eastAsia" w:ascii="宋体" w:hAnsi="宋体"/>
          <w:color w:val="auto"/>
          <w:szCs w:val="21"/>
          <w:highlight w:val="none"/>
          <w:u w:val="single"/>
        </w:rPr>
        <w:t>中华人民共和国现行的法律、行政法规及规章</w:t>
      </w:r>
      <w:r>
        <w:rPr>
          <w:rFonts w:hAnsi="宋体"/>
          <w:color w:val="auto"/>
          <w:szCs w:val="21"/>
          <w:highlight w:val="none"/>
        </w:rPr>
        <w:t>。</w:t>
      </w:r>
    </w:p>
    <w:p w14:paraId="2670C57D">
      <w:pPr>
        <w:keepNext/>
        <w:keepLines/>
        <w:spacing w:before="260" w:after="260" w:line="24" w:lineRule="auto"/>
        <w:outlineLvl w:val="2"/>
        <w:rPr>
          <w:rFonts w:ascii="宋体" w:hAnsi="宋体"/>
          <w:b/>
          <w:bCs/>
          <w:color w:val="auto"/>
          <w:kern w:val="0"/>
          <w:sz w:val="24"/>
          <w:szCs w:val="32"/>
          <w:highlight w:val="none"/>
        </w:rPr>
      </w:pPr>
      <w:bookmarkStart w:id="291" w:name="_Toc465114856"/>
      <w:bookmarkStart w:id="292" w:name="_Toc373478342"/>
      <w:bookmarkStart w:id="293" w:name="_Toc389065261"/>
      <w:bookmarkStart w:id="294" w:name="_Toc373227695"/>
      <w:r>
        <w:rPr>
          <w:rFonts w:ascii="宋体" w:hAnsi="宋体"/>
          <w:b/>
          <w:bCs/>
          <w:color w:val="auto"/>
          <w:kern w:val="0"/>
          <w:sz w:val="24"/>
          <w:szCs w:val="32"/>
          <w:highlight w:val="none"/>
        </w:rPr>
        <w:t>1.4 标准和规范</w:t>
      </w:r>
      <w:bookmarkEnd w:id="291"/>
      <w:bookmarkEnd w:id="292"/>
      <w:bookmarkEnd w:id="293"/>
      <w:bookmarkEnd w:id="294"/>
    </w:p>
    <w:p w14:paraId="4F620085">
      <w:pPr>
        <w:spacing w:line="360" w:lineRule="auto"/>
        <w:ind w:firstLine="420" w:firstLineChars="200"/>
        <w:rPr>
          <w:color w:val="auto"/>
          <w:szCs w:val="21"/>
          <w:highlight w:val="none"/>
        </w:rPr>
      </w:pPr>
      <w:r>
        <w:rPr>
          <w:color w:val="auto"/>
          <w:szCs w:val="21"/>
          <w:highlight w:val="none"/>
        </w:rPr>
        <w:t>1.4.1</w:t>
      </w:r>
      <w:r>
        <w:rPr>
          <w:rFonts w:hAnsi="宋体"/>
          <w:color w:val="auto"/>
          <w:szCs w:val="21"/>
          <w:highlight w:val="none"/>
        </w:rPr>
        <w:t>适用于工程的标准规范包括：</w:t>
      </w:r>
      <w:r>
        <w:rPr>
          <w:rFonts w:hint="eastAsia" w:ascii="宋体" w:hAnsi="宋体"/>
          <w:color w:val="auto"/>
          <w:szCs w:val="21"/>
          <w:highlight w:val="none"/>
          <w:u w:val="single"/>
        </w:rPr>
        <w:t>国家现行的行业标准及相关规范。</w:t>
      </w:r>
    </w:p>
    <w:p w14:paraId="5C9856DB">
      <w:pPr>
        <w:spacing w:line="360" w:lineRule="auto"/>
        <w:ind w:firstLine="420" w:firstLineChars="200"/>
        <w:rPr>
          <w:color w:val="auto"/>
          <w:kern w:val="0"/>
          <w:szCs w:val="21"/>
          <w:highlight w:val="none"/>
        </w:rPr>
      </w:pPr>
      <w:r>
        <w:rPr>
          <w:color w:val="auto"/>
          <w:kern w:val="0"/>
          <w:szCs w:val="21"/>
          <w:highlight w:val="none"/>
        </w:rPr>
        <w:t xml:space="preserve">1.4.2 </w:t>
      </w:r>
      <w:r>
        <w:rPr>
          <w:rFonts w:hAnsi="宋体"/>
          <w:color w:val="auto"/>
          <w:kern w:val="0"/>
          <w:szCs w:val="21"/>
          <w:highlight w:val="none"/>
        </w:rPr>
        <w:t>发包人提供国外标准、规范的名称：</w:t>
      </w:r>
      <w:r>
        <w:rPr>
          <w:rFonts w:hAnsi="宋体"/>
          <w:color w:val="auto"/>
          <w:szCs w:val="21"/>
          <w:highlight w:val="none"/>
          <w:u w:val="single"/>
        </w:rPr>
        <w:t>无。</w:t>
      </w:r>
    </w:p>
    <w:p w14:paraId="4A3CB6D8">
      <w:pPr>
        <w:spacing w:line="360" w:lineRule="auto"/>
        <w:ind w:firstLine="420" w:firstLineChars="200"/>
        <w:rPr>
          <w:rFonts w:hint="eastAsia" w:eastAsia="宋体"/>
          <w:color w:val="auto"/>
          <w:kern w:val="0"/>
          <w:szCs w:val="21"/>
          <w:highlight w:val="none"/>
          <w:lang w:eastAsia="zh-CN"/>
        </w:rPr>
      </w:pPr>
      <w:r>
        <w:rPr>
          <w:rFonts w:hAnsi="宋体"/>
          <w:color w:val="auto"/>
          <w:kern w:val="0"/>
          <w:szCs w:val="21"/>
          <w:highlight w:val="none"/>
        </w:rPr>
        <w:t>发包人提供国外标准、规范的份数：</w:t>
      </w:r>
      <w:r>
        <w:rPr>
          <w:color w:val="auto"/>
          <w:kern w:val="0"/>
          <w:szCs w:val="21"/>
          <w:highlight w:val="none"/>
          <w:u w:val="single"/>
        </w:rPr>
        <w:t xml:space="preserve">    无     </w:t>
      </w:r>
      <w:r>
        <w:rPr>
          <w:rFonts w:hint="eastAsia" w:hAnsi="宋体"/>
          <w:color w:val="auto"/>
          <w:kern w:val="0"/>
          <w:szCs w:val="21"/>
          <w:highlight w:val="none"/>
          <w:lang w:eastAsia="zh-CN"/>
        </w:rPr>
        <w:t>；</w:t>
      </w:r>
    </w:p>
    <w:p w14:paraId="7CB40707">
      <w:pPr>
        <w:spacing w:line="360" w:lineRule="auto"/>
        <w:ind w:firstLine="420" w:firstLineChars="200"/>
        <w:rPr>
          <w:color w:val="auto"/>
          <w:szCs w:val="21"/>
          <w:highlight w:val="none"/>
        </w:rPr>
      </w:pPr>
      <w:r>
        <w:rPr>
          <w:rFonts w:hAnsi="宋体"/>
          <w:color w:val="auto"/>
          <w:kern w:val="0"/>
          <w:szCs w:val="21"/>
          <w:highlight w:val="none"/>
        </w:rPr>
        <w:t>发包人提供国外标准、规范的名称：</w:t>
      </w:r>
      <w:r>
        <w:rPr>
          <w:color w:val="auto"/>
          <w:kern w:val="0"/>
          <w:szCs w:val="21"/>
          <w:highlight w:val="none"/>
          <w:u w:val="single"/>
        </w:rPr>
        <w:t xml:space="preserve">   无      </w:t>
      </w:r>
      <w:r>
        <w:rPr>
          <w:rFonts w:hAnsi="宋体"/>
          <w:color w:val="auto"/>
          <w:kern w:val="0"/>
          <w:szCs w:val="21"/>
          <w:highlight w:val="none"/>
        </w:rPr>
        <w:t>。</w:t>
      </w:r>
    </w:p>
    <w:p w14:paraId="54164497">
      <w:pPr>
        <w:spacing w:line="400" w:lineRule="exact"/>
        <w:ind w:left="479" w:leftChars="228"/>
        <w:rPr>
          <w:color w:val="auto"/>
          <w:szCs w:val="21"/>
          <w:highlight w:val="none"/>
        </w:rPr>
      </w:pPr>
      <w:r>
        <w:rPr>
          <w:color w:val="auto"/>
          <w:szCs w:val="21"/>
          <w:highlight w:val="none"/>
        </w:rPr>
        <w:t>1.4.3</w:t>
      </w:r>
      <w:r>
        <w:rPr>
          <w:rFonts w:hAnsi="宋体"/>
          <w:color w:val="auto"/>
          <w:szCs w:val="21"/>
          <w:highlight w:val="none"/>
        </w:rPr>
        <w:t>发包人对工程的技术标准和功能要求的特殊要求：</w:t>
      </w:r>
      <w:r>
        <w:rPr>
          <w:rFonts w:hint="eastAsia" w:ascii="宋体" w:hAnsi="宋体"/>
          <w:color w:val="auto"/>
          <w:szCs w:val="21"/>
          <w:highlight w:val="none"/>
          <w:u w:val="single"/>
        </w:rPr>
        <w:t>按中华人民共和国现行的标准、行业标准或地方标准执行</w:t>
      </w:r>
      <w:r>
        <w:rPr>
          <w:rFonts w:hint="eastAsia" w:ascii="宋体" w:hAnsi="宋体"/>
          <w:color w:val="auto"/>
          <w:szCs w:val="21"/>
          <w:highlight w:val="none"/>
        </w:rPr>
        <w:t>。</w:t>
      </w:r>
    </w:p>
    <w:p w14:paraId="5C3F8E8E">
      <w:pPr>
        <w:keepNext/>
        <w:keepLines/>
        <w:spacing w:before="260" w:after="260" w:line="24" w:lineRule="auto"/>
        <w:outlineLvl w:val="2"/>
        <w:rPr>
          <w:rFonts w:ascii="宋体" w:hAnsi="宋体"/>
          <w:b/>
          <w:bCs/>
          <w:color w:val="auto"/>
          <w:kern w:val="0"/>
          <w:sz w:val="24"/>
          <w:szCs w:val="32"/>
          <w:highlight w:val="none"/>
        </w:rPr>
      </w:pPr>
      <w:bookmarkStart w:id="295" w:name="_Toc389065262"/>
      <w:bookmarkStart w:id="296" w:name="_Toc373227696"/>
      <w:bookmarkStart w:id="297" w:name="_Toc465114857"/>
      <w:bookmarkStart w:id="298" w:name="_Toc373478343"/>
      <w:r>
        <w:rPr>
          <w:rFonts w:ascii="宋体" w:hAnsi="宋体"/>
          <w:b/>
          <w:bCs/>
          <w:color w:val="auto"/>
          <w:kern w:val="0"/>
          <w:sz w:val="24"/>
          <w:szCs w:val="32"/>
          <w:highlight w:val="none"/>
        </w:rPr>
        <w:t>1.5 合同文件的优先顺序</w:t>
      </w:r>
      <w:bookmarkEnd w:id="295"/>
      <w:bookmarkEnd w:id="296"/>
      <w:bookmarkEnd w:id="297"/>
      <w:bookmarkEnd w:id="298"/>
    </w:p>
    <w:p w14:paraId="08075AA1">
      <w:pPr>
        <w:spacing w:line="360" w:lineRule="auto"/>
        <w:ind w:firstLine="420" w:firstLineChars="200"/>
        <w:rPr>
          <w:rFonts w:hAnsi="宋体"/>
          <w:color w:val="auto"/>
          <w:szCs w:val="21"/>
          <w:highlight w:val="none"/>
        </w:rPr>
      </w:pPr>
      <w:r>
        <w:rPr>
          <w:rFonts w:hAnsi="宋体"/>
          <w:color w:val="auto"/>
          <w:szCs w:val="21"/>
          <w:highlight w:val="none"/>
        </w:rPr>
        <w:t>合同文件组成及优先顺序为：</w:t>
      </w:r>
    </w:p>
    <w:p w14:paraId="452FCE4A">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（1）合同协议书</w:t>
      </w:r>
      <w:r>
        <w:rPr>
          <w:rFonts w:hint="eastAsia" w:ascii="宋体" w:hAnsi="宋体"/>
          <w:color w:val="auto"/>
          <w:szCs w:val="21"/>
          <w:highlight w:val="none"/>
          <w:lang w:eastAsia="zh-CN"/>
        </w:rPr>
        <w:t>；</w:t>
      </w:r>
    </w:p>
    <w:p w14:paraId="1F3FCDB1">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（2）中标通知书</w:t>
      </w:r>
      <w:r>
        <w:rPr>
          <w:rFonts w:hint="eastAsia" w:ascii="宋体" w:hAnsi="宋体"/>
          <w:color w:val="auto"/>
          <w:szCs w:val="21"/>
          <w:highlight w:val="none"/>
          <w:lang w:eastAsia="zh-CN"/>
        </w:rPr>
        <w:t>；</w:t>
      </w:r>
    </w:p>
    <w:p w14:paraId="3CBD9D21">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（3）竞标函及其附录</w:t>
      </w:r>
      <w:r>
        <w:rPr>
          <w:rFonts w:hint="eastAsia" w:ascii="宋体" w:hAnsi="宋体"/>
          <w:color w:val="auto"/>
          <w:szCs w:val="21"/>
          <w:highlight w:val="none"/>
          <w:lang w:eastAsia="zh-CN"/>
        </w:rPr>
        <w:t>；</w:t>
      </w:r>
    </w:p>
    <w:p w14:paraId="4723417A">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（4）专用合同条款及其附件</w:t>
      </w:r>
      <w:r>
        <w:rPr>
          <w:rFonts w:hint="eastAsia" w:ascii="宋体" w:hAnsi="宋体"/>
          <w:color w:val="auto"/>
          <w:szCs w:val="21"/>
          <w:highlight w:val="none"/>
          <w:lang w:eastAsia="zh-CN"/>
        </w:rPr>
        <w:t>；</w:t>
      </w:r>
    </w:p>
    <w:p w14:paraId="685F8A48">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（5）通用合同条款</w:t>
      </w:r>
      <w:r>
        <w:rPr>
          <w:rFonts w:hint="eastAsia" w:ascii="宋体" w:hAnsi="宋体"/>
          <w:color w:val="auto"/>
          <w:szCs w:val="21"/>
          <w:highlight w:val="none"/>
          <w:lang w:eastAsia="zh-CN"/>
        </w:rPr>
        <w:t>；</w:t>
      </w:r>
    </w:p>
    <w:p w14:paraId="0163461D">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（6）技术标准和要求</w:t>
      </w:r>
      <w:r>
        <w:rPr>
          <w:rFonts w:hint="eastAsia" w:ascii="宋体" w:hAnsi="宋体"/>
          <w:color w:val="auto"/>
          <w:szCs w:val="21"/>
          <w:highlight w:val="none"/>
          <w:lang w:eastAsia="zh-CN"/>
        </w:rPr>
        <w:t>；</w:t>
      </w:r>
    </w:p>
    <w:p w14:paraId="462706A4">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（7）图纸</w:t>
      </w:r>
      <w:r>
        <w:rPr>
          <w:rFonts w:hint="eastAsia" w:ascii="宋体" w:hAnsi="宋体"/>
          <w:color w:val="auto"/>
          <w:szCs w:val="21"/>
          <w:highlight w:val="none"/>
          <w:lang w:eastAsia="zh-CN"/>
        </w:rPr>
        <w:t>；</w:t>
      </w:r>
    </w:p>
    <w:p w14:paraId="463F5B90">
      <w:pPr>
        <w:autoSpaceDE w:val="0"/>
        <w:autoSpaceDN w:val="0"/>
        <w:adjustRightIn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（8）已标价工程量清单</w:t>
      </w:r>
      <w:r>
        <w:rPr>
          <w:rFonts w:hint="eastAsia" w:ascii="宋体" w:hAnsi="宋体"/>
          <w:color w:val="auto"/>
          <w:szCs w:val="21"/>
          <w:highlight w:val="none"/>
          <w:lang w:eastAsia="zh-CN"/>
        </w:rPr>
        <w:t>；</w:t>
      </w:r>
    </w:p>
    <w:p w14:paraId="707A46AE">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w:t>
      </w:r>
      <w:r>
        <w:rPr>
          <w:color w:val="auto"/>
          <w:highlight w:val="none"/>
        </w:rPr>
        <w:t>竞争性磋商文件及响应文件</w:t>
      </w:r>
      <w:r>
        <w:rPr>
          <w:rFonts w:hint="eastAsia" w:ascii="宋体" w:hAnsi="宋体"/>
          <w:color w:val="auto"/>
          <w:szCs w:val="21"/>
          <w:highlight w:val="none"/>
          <w:lang w:eastAsia="zh-CN"/>
        </w:rPr>
        <w:t>；</w:t>
      </w:r>
    </w:p>
    <w:p w14:paraId="4F573C02">
      <w:pPr>
        <w:spacing w:line="360" w:lineRule="auto"/>
        <w:ind w:firstLine="420" w:firstLineChars="200"/>
        <w:rPr>
          <w:rFonts w:hAnsi="宋体"/>
          <w:color w:val="auto"/>
          <w:kern w:val="0"/>
          <w:szCs w:val="21"/>
          <w:highlight w:val="none"/>
        </w:rPr>
      </w:pPr>
      <w:r>
        <w:rPr>
          <w:rFonts w:hint="eastAsia" w:hAnsi="宋体"/>
          <w:color w:val="auto"/>
          <w:kern w:val="0"/>
          <w:szCs w:val="21"/>
          <w:highlight w:val="none"/>
        </w:rPr>
        <w:t>（10）《</w:t>
      </w:r>
      <w:r>
        <w:rPr>
          <w:rFonts w:hAnsi="宋体"/>
          <w:color w:val="auto"/>
          <w:kern w:val="0"/>
          <w:szCs w:val="21"/>
          <w:highlight w:val="none"/>
        </w:rPr>
        <w:t>建设工程工程量清单计价规范（GB5050-2013）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及《关于建筑业实施营业税改征增值税后广西壮族自治区建设工程计价依据调整的通知》（桂建标〔2016〕17号）、《</w:t>
      </w:r>
      <w:r>
        <w:rPr>
          <w:rFonts w:hAnsi="宋体"/>
          <w:color w:val="auto"/>
          <w:kern w:val="0"/>
          <w:szCs w:val="21"/>
          <w:highlight w:val="none"/>
        </w:rPr>
        <w:t>建设工程工程量清单计</w:t>
      </w:r>
      <w:r>
        <w:rPr>
          <w:rFonts w:hint="eastAsia" w:hAnsi="宋体"/>
          <w:color w:val="auto"/>
          <w:kern w:val="0"/>
          <w:szCs w:val="21"/>
          <w:highlight w:val="none"/>
        </w:rPr>
        <w:t>算</w:t>
      </w:r>
      <w:r>
        <w:rPr>
          <w:rFonts w:hAnsi="宋体"/>
          <w:color w:val="auto"/>
          <w:kern w:val="0"/>
          <w:szCs w:val="21"/>
          <w:highlight w:val="none"/>
        </w:rPr>
        <w:t>规范（GB5</w:t>
      </w:r>
      <w:r>
        <w:rPr>
          <w:rFonts w:hint="eastAsia" w:hAnsi="宋体"/>
          <w:color w:val="auto"/>
          <w:kern w:val="0"/>
          <w:szCs w:val="21"/>
          <w:highlight w:val="none"/>
        </w:rPr>
        <w:t>854~50862</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（修订本）</w:t>
      </w:r>
      <w:r>
        <w:rPr>
          <w:rFonts w:hAnsi="宋体"/>
          <w:color w:val="auto"/>
          <w:kern w:val="0"/>
          <w:szCs w:val="21"/>
          <w:highlight w:val="none"/>
        </w:rPr>
        <w:t>。</w:t>
      </w:r>
    </w:p>
    <w:p w14:paraId="29FED881">
      <w:pPr>
        <w:spacing w:line="400" w:lineRule="exact"/>
        <w:ind w:firstLine="447" w:firstLineChars="213"/>
        <w:rPr>
          <w:rFonts w:ascii="宋体" w:hAnsi="宋体"/>
          <w:color w:val="auto"/>
          <w:szCs w:val="21"/>
          <w:highlight w:val="none"/>
        </w:rPr>
      </w:pPr>
      <w:bookmarkStart w:id="299" w:name="_Toc373227697"/>
      <w:bookmarkStart w:id="300" w:name="_Toc465114858"/>
      <w:bookmarkStart w:id="301" w:name="_Toc389065263"/>
      <w:bookmarkStart w:id="302" w:name="_Toc373478344"/>
      <w:r>
        <w:rPr>
          <w:rFonts w:hint="eastAsia" w:ascii="宋体" w:hAnsi="宋体"/>
          <w:color w:val="auto"/>
          <w:szCs w:val="21"/>
          <w:highlight w:val="none"/>
        </w:rPr>
        <w:t>上述各项合同文件包括合同当事人就该项合同文件所作出的补充和修改，属于同一类内容的文件，应以最新签署的为准。</w:t>
      </w:r>
    </w:p>
    <w:p w14:paraId="2F7AA7C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在合同订立及履行过程中形成的与合同有关的文件均构成合同文件组成部分，并根据其性质确定优先解释顺序。</w:t>
      </w:r>
    </w:p>
    <w:p w14:paraId="7F2F1D7D">
      <w:pPr>
        <w:keepNext/>
        <w:keepLines/>
        <w:spacing w:before="260" w:after="260" w:line="24" w:lineRule="auto"/>
        <w:outlineLvl w:val="2"/>
        <w:rPr>
          <w:rFonts w:ascii="宋体" w:hAnsi="宋体"/>
          <w:b/>
          <w:bCs/>
          <w:color w:val="auto"/>
          <w:kern w:val="0"/>
          <w:sz w:val="24"/>
          <w:szCs w:val="32"/>
          <w:highlight w:val="none"/>
        </w:rPr>
      </w:pPr>
      <w:r>
        <w:rPr>
          <w:rFonts w:ascii="宋体" w:hAnsi="宋体"/>
          <w:b/>
          <w:bCs/>
          <w:color w:val="auto"/>
          <w:kern w:val="0"/>
          <w:sz w:val="24"/>
          <w:szCs w:val="32"/>
          <w:highlight w:val="none"/>
        </w:rPr>
        <w:t>1.6 图纸和承包人文件</w:t>
      </w:r>
      <w:bookmarkEnd w:id="299"/>
      <w:bookmarkEnd w:id="300"/>
      <w:bookmarkEnd w:id="301"/>
      <w:bookmarkEnd w:id="302"/>
      <w:r>
        <w:rPr>
          <w:rFonts w:ascii="宋体" w:hAnsi="宋体"/>
          <w:b/>
          <w:bCs/>
          <w:color w:val="auto"/>
          <w:kern w:val="0"/>
          <w:sz w:val="24"/>
          <w:szCs w:val="32"/>
          <w:highlight w:val="none"/>
        </w:rPr>
        <w:tab/>
      </w:r>
    </w:p>
    <w:p w14:paraId="75E754FB">
      <w:pPr>
        <w:spacing w:line="360" w:lineRule="auto"/>
        <w:ind w:firstLine="420" w:firstLineChars="200"/>
        <w:rPr>
          <w:color w:val="auto"/>
          <w:szCs w:val="21"/>
          <w:highlight w:val="none"/>
        </w:rPr>
      </w:pPr>
      <w:r>
        <w:rPr>
          <w:color w:val="auto"/>
          <w:szCs w:val="21"/>
          <w:highlight w:val="none"/>
        </w:rPr>
        <w:t xml:space="preserve">1.6.1 </w:t>
      </w:r>
      <w:r>
        <w:rPr>
          <w:rFonts w:hAnsi="宋体"/>
          <w:color w:val="auto"/>
          <w:szCs w:val="21"/>
          <w:highlight w:val="none"/>
        </w:rPr>
        <w:t>图纸的提供</w:t>
      </w:r>
    </w:p>
    <w:p w14:paraId="45E52AE1">
      <w:pPr>
        <w:spacing w:line="360" w:lineRule="auto"/>
        <w:ind w:firstLine="420" w:firstLineChars="200"/>
        <w:rPr>
          <w:color w:val="auto"/>
          <w:szCs w:val="21"/>
          <w:highlight w:val="none"/>
        </w:rPr>
      </w:pPr>
      <w:r>
        <w:rPr>
          <w:rFonts w:hAnsi="宋体"/>
          <w:color w:val="auto"/>
          <w:szCs w:val="21"/>
          <w:highlight w:val="none"/>
        </w:rPr>
        <w:t>发包人向承包人提供图纸的期限：</w:t>
      </w:r>
      <w:r>
        <w:rPr>
          <w:rFonts w:hAnsi="宋体"/>
          <w:color w:val="auto"/>
          <w:szCs w:val="21"/>
          <w:highlight w:val="none"/>
          <w:u w:val="single"/>
        </w:rPr>
        <w:t>签订合同后</w:t>
      </w:r>
      <w:r>
        <w:rPr>
          <w:rFonts w:hint="eastAsia" w:hAnsi="宋体"/>
          <w:color w:val="auto"/>
          <w:szCs w:val="21"/>
          <w:highlight w:val="none"/>
          <w:u w:val="single"/>
        </w:rPr>
        <w:t>5</w:t>
      </w:r>
      <w:r>
        <w:rPr>
          <w:rFonts w:hAnsi="宋体"/>
          <w:color w:val="auto"/>
          <w:szCs w:val="21"/>
          <w:highlight w:val="none"/>
          <w:u w:val="single"/>
        </w:rPr>
        <w:t>天内。</w:t>
      </w:r>
    </w:p>
    <w:p w14:paraId="112DC3D1">
      <w:pPr>
        <w:spacing w:line="360" w:lineRule="auto"/>
        <w:ind w:firstLine="420" w:firstLineChars="200"/>
        <w:rPr>
          <w:rFonts w:hint="eastAsia" w:eastAsia="宋体"/>
          <w:color w:val="auto"/>
          <w:szCs w:val="21"/>
          <w:highlight w:val="none"/>
          <w:lang w:eastAsia="zh-CN"/>
        </w:rPr>
      </w:pPr>
      <w:r>
        <w:rPr>
          <w:rFonts w:hAnsi="宋体"/>
          <w:color w:val="auto"/>
          <w:szCs w:val="21"/>
          <w:highlight w:val="none"/>
        </w:rPr>
        <w:t>发包人向承包人提供图纸的数量：</w:t>
      </w:r>
      <w:r>
        <w:rPr>
          <w:rFonts w:hint="eastAsia" w:ascii="宋体" w:hAnsi="宋体"/>
          <w:color w:val="auto"/>
          <w:szCs w:val="21"/>
          <w:highlight w:val="none"/>
          <w:u w:val="single"/>
        </w:rPr>
        <w:t>壹套施工图纸（承包人需要更多份数时，应自费复制）</w:t>
      </w:r>
      <w:r>
        <w:rPr>
          <w:rFonts w:hint="eastAsia" w:hAnsi="宋体"/>
          <w:color w:val="auto"/>
          <w:szCs w:val="21"/>
          <w:highlight w:val="none"/>
          <w:u w:val="single"/>
          <w:lang w:eastAsia="zh-CN"/>
        </w:rPr>
        <w:t>；</w:t>
      </w:r>
    </w:p>
    <w:p w14:paraId="6B77AE43">
      <w:pPr>
        <w:spacing w:line="360" w:lineRule="auto"/>
        <w:ind w:firstLine="420" w:firstLineChars="200"/>
        <w:rPr>
          <w:color w:val="auto"/>
          <w:szCs w:val="21"/>
          <w:highlight w:val="none"/>
        </w:rPr>
      </w:pPr>
      <w:r>
        <w:rPr>
          <w:rFonts w:hAnsi="宋体"/>
          <w:color w:val="auto"/>
          <w:szCs w:val="21"/>
          <w:highlight w:val="none"/>
        </w:rPr>
        <w:t>发包人向承包人提供图纸的内容：</w:t>
      </w:r>
      <w:r>
        <w:rPr>
          <w:rFonts w:hint="eastAsia" w:ascii="宋体" w:hAnsi="宋体"/>
          <w:color w:val="auto"/>
          <w:szCs w:val="21"/>
          <w:highlight w:val="none"/>
          <w:u w:val="single"/>
        </w:rPr>
        <w:t>详见施工图纸(全套)</w:t>
      </w:r>
      <w:r>
        <w:rPr>
          <w:rFonts w:hAnsi="宋体"/>
          <w:color w:val="auto"/>
          <w:szCs w:val="21"/>
          <w:highlight w:val="none"/>
        </w:rPr>
        <w:t>。</w:t>
      </w:r>
    </w:p>
    <w:p w14:paraId="181B4DC2">
      <w:pPr>
        <w:spacing w:line="360" w:lineRule="auto"/>
        <w:ind w:firstLine="420" w:firstLineChars="200"/>
        <w:rPr>
          <w:color w:val="auto"/>
          <w:szCs w:val="21"/>
          <w:highlight w:val="none"/>
        </w:rPr>
      </w:pPr>
      <w:r>
        <w:rPr>
          <w:color w:val="auto"/>
          <w:szCs w:val="21"/>
          <w:highlight w:val="none"/>
        </w:rPr>
        <w:t xml:space="preserve">1.6.4 </w:t>
      </w:r>
      <w:r>
        <w:rPr>
          <w:rFonts w:hAnsi="宋体"/>
          <w:color w:val="auto"/>
          <w:szCs w:val="21"/>
          <w:highlight w:val="none"/>
        </w:rPr>
        <w:t>承包人文件</w:t>
      </w:r>
    </w:p>
    <w:p w14:paraId="0501B724">
      <w:pPr>
        <w:spacing w:line="360" w:lineRule="auto"/>
        <w:ind w:firstLine="420" w:firstLineChars="200"/>
        <w:jc w:val="left"/>
        <w:rPr>
          <w:rFonts w:hint="eastAsia" w:eastAsia="宋体"/>
          <w:color w:val="auto"/>
          <w:szCs w:val="21"/>
          <w:highlight w:val="none"/>
          <w:u w:val="single"/>
          <w:lang w:eastAsia="zh-CN"/>
        </w:rPr>
      </w:pPr>
      <w:r>
        <w:rPr>
          <w:rFonts w:hAnsi="宋体"/>
          <w:color w:val="auto"/>
          <w:szCs w:val="21"/>
          <w:highlight w:val="none"/>
        </w:rPr>
        <w:t>需要由承包人提供的文件，包括：</w:t>
      </w:r>
      <w:r>
        <w:rPr>
          <w:rFonts w:hint="eastAsia" w:hAnsi="宋体"/>
          <w:color w:val="auto"/>
          <w:szCs w:val="21"/>
          <w:highlight w:val="none"/>
          <w:u w:val="single"/>
        </w:rPr>
        <w:t>无</w:t>
      </w:r>
      <w:r>
        <w:rPr>
          <w:rFonts w:hint="eastAsia" w:hAnsi="宋体"/>
          <w:color w:val="auto"/>
          <w:szCs w:val="21"/>
          <w:highlight w:val="none"/>
          <w:lang w:eastAsia="zh-CN"/>
        </w:rPr>
        <w:t>；</w:t>
      </w:r>
    </w:p>
    <w:p w14:paraId="263D4EC5">
      <w:pPr>
        <w:spacing w:line="360" w:lineRule="auto"/>
        <w:ind w:firstLine="420" w:firstLineChars="200"/>
        <w:rPr>
          <w:rFonts w:hint="eastAsia" w:eastAsia="宋体"/>
          <w:color w:val="auto"/>
          <w:szCs w:val="21"/>
          <w:highlight w:val="none"/>
          <w:lang w:eastAsia="zh-CN"/>
        </w:rPr>
      </w:pPr>
      <w:r>
        <w:rPr>
          <w:rFonts w:hAnsi="宋体"/>
          <w:color w:val="auto"/>
          <w:szCs w:val="21"/>
          <w:highlight w:val="none"/>
        </w:rPr>
        <w:t>承包人提供的文件的期限为：</w:t>
      </w:r>
      <w:r>
        <w:rPr>
          <w:rFonts w:hint="eastAsia" w:hAnsi="宋体"/>
          <w:color w:val="auto"/>
          <w:szCs w:val="21"/>
          <w:highlight w:val="none"/>
          <w:u w:val="single"/>
        </w:rPr>
        <w:t>无</w:t>
      </w:r>
      <w:r>
        <w:rPr>
          <w:rFonts w:hint="eastAsia" w:hAnsi="宋体"/>
          <w:color w:val="auto"/>
          <w:szCs w:val="21"/>
          <w:highlight w:val="none"/>
          <w:lang w:eastAsia="zh-CN"/>
        </w:rPr>
        <w:t>；</w:t>
      </w:r>
    </w:p>
    <w:p w14:paraId="72CCA751">
      <w:pPr>
        <w:spacing w:line="360" w:lineRule="auto"/>
        <w:ind w:firstLine="420" w:firstLineChars="200"/>
        <w:rPr>
          <w:rFonts w:hint="eastAsia" w:eastAsia="宋体"/>
          <w:color w:val="auto"/>
          <w:szCs w:val="21"/>
          <w:highlight w:val="none"/>
          <w:lang w:eastAsia="zh-CN"/>
        </w:rPr>
      </w:pPr>
      <w:r>
        <w:rPr>
          <w:rFonts w:hAnsi="宋体"/>
          <w:color w:val="auto"/>
          <w:szCs w:val="21"/>
          <w:highlight w:val="none"/>
        </w:rPr>
        <w:t>承包人提供的文件的数量为：</w:t>
      </w:r>
      <w:r>
        <w:rPr>
          <w:rFonts w:hint="eastAsia" w:hAnsi="宋体"/>
          <w:color w:val="auto"/>
          <w:szCs w:val="21"/>
          <w:highlight w:val="none"/>
          <w:u w:val="single"/>
        </w:rPr>
        <w:t>无</w:t>
      </w:r>
      <w:r>
        <w:rPr>
          <w:rFonts w:hint="eastAsia" w:hAnsi="宋体"/>
          <w:color w:val="auto"/>
          <w:szCs w:val="21"/>
          <w:highlight w:val="none"/>
          <w:lang w:eastAsia="zh-CN"/>
        </w:rPr>
        <w:t>；</w:t>
      </w:r>
    </w:p>
    <w:p w14:paraId="6665DB9F">
      <w:pPr>
        <w:spacing w:line="360" w:lineRule="auto"/>
        <w:ind w:firstLine="420" w:firstLineChars="200"/>
        <w:rPr>
          <w:rFonts w:hint="eastAsia" w:eastAsia="宋体"/>
          <w:color w:val="auto"/>
          <w:szCs w:val="21"/>
          <w:highlight w:val="none"/>
          <w:lang w:eastAsia="zh-CN"/>
        </w:rPr>
      </w:pPr>
      <w:r>
        <w:rPr>
          <w:rFonts w:hAnsi="宋体"/>
          <w:color w:val="auto"/>
          <w:szCs w:val="21"/>
          <w:highlight w:val="none"/>
        </w:rPr>
        <w:t>承包人提供的文件的形式为：</w:t>
      </w:r>
      <w:r>
        <w:rPr>
          <w:rFonts w:hint="eastAsia" w:hAnsi="宋体"/>
          <w:color w:val="auto"/>
          <w:szCs w:val="21"/>
          <w:highlight w:val="none"/>
          <w:u w:val="single"/>
        </w:rPr>
        <w:t>书面文件</w:t>
      </w:r>
      <w:r>
        <w:rPr>
          <w:rFonts w:hint="eastAsia" w:hAnsi="宋体"/>
          <w:color w:val="auto"/>
          <w:szCs w:val="21"/>
          <w:highlight w:val="none"/>
          <w:lang w:eastAsia="zh-CN"/>
        </w:rPr>
        <w:t>；</w:t>
      </w:r>
    </w:p>
    <w:p w14:paraId="40D0B6A8">
      <w:pPr>
        <w:spacing w:line="360" w:lineRule="auto"/>
        <w:ind w:firstLine="420" w:firstLineChars="200"/>
        <w:rPr>
          <w:color w:val="auto"/>
          <w:szCs w:val="21"/>
          <w:highlight w:val="none"/>
        </w:rPr>
      </w:pPr>
      <w:r>
        <w:rPr>
          <w:rFonts w:hAnsi="宋体"/>
          <w:color w:val="auto"/>
          <w:szCs w:val="21"/>
          <w:highlight w:val="none"/>
        </w:rPr>
        <w:t>发包人审批承包人文件的期限：</w:t>
      </w:r>
      <w:r>
        <w:rPr>
          <w:rFonts w:hint="eastAsia" w:hAnsi="宋体"/>
          <w:color w:val="auto"/>
          <w:szCs w:val="21"/>
          <w:highlight w:val="none"/>
          <w:u w:val="single"/>
        </w:rPr>
        <w:t xml:space="preserve"> 10个工作日</w:t>
      </w:r>
      <w:r>
        <w:rPr>
          <w:rFonts w:hAnsi="宋体"/>
          <w:color w:val="auto"/>
          <w:szCs w:val="21"/>
          <w:highlight w:val="none"/>
        </w:rPr>
        <w:t>。</w:t>
      </w:r>
    </w:p>
    <w:p w14:paraId="5280BAAB">
      <w:pPr>
        <w:spacing w:line="360" w:lineRule="auto"/>
        <w:ind w:firstLine="420" w:firstLineChars="200"/>
        <w:rPr>
          <w:color w:val="auto"/>
          <w:szCs w:val="21"/>
          <w:highlight w:val="none"/>
        </w:rPr>
      </w:pPr>
      <w:r>
        <w:rPr>
          <w:color w:val="auto"/>
          <w:szCs w:val="21"/>
          <w:highlight w:val="none"/>
        </w:rPr>
        <w:t xml:space="preserve">1.6.5 </w:t>
      </w:r>
      <w:r>
        <w:rPr>
          <w:rFonts w:hAnsi="宋体"/>
          <w:color w:val="auto"/>
          <w:szCs w:val="21"/>
          <w:highlight w:val="none"/>
        </w:rPr>
        <w:t>现场图纸准备</w:t>
      </w:r>
    </w:p>
    <w:p w14:paraId="53278723">
      <w:pPr>
        <w:spacing w:line="360" w:lineRule="auto"/>
        <w:ind w:firstLine="420" w:firstLineChars="200"/>
        <w:rPr>
          <w:color w:val="auto"/>
          <w:szCs w:val="21"/>
          <w:highlight w:val="none"/>
        </w:rPr>
      </w:pPr>
      <w:r>
        <w:rPr>
          <w:rFonts w:hAnsi="宋体"/>
          <w:color w:val="auto"/>
          <w:szCs w:val="21"/>
          <w:highlight w:val="none"/>
        </w:rPr>
        <w:t>关于现场图纸准备的约定：</w:t>
      </w:r>
      <w:r>
        <w:rPr>
          <w:rFonts w:hint="eastAsia" w:ascii="宋体" w:hAnsi="宋体"/>
          <w:color w:val="auto"/>
          <w:szCs w:val="21"/>
          <w:highlight w:val="none"/>
          <w:u w:val="single"/>
        </w:rPr>
        <w:t>按《通用合同条款》执行</w:t>
      </w:r>
      <w:r>
        <w:rPr>
          <w:rFonts w:hAnsi="宋体"/>
          <w:color w:val="auto"/>
          <w:szCs w:val="21"/>
          <w:highlight w:val="none"/>
        </w:rPr>
        <w:t>。</w:t>
      </w:r>
    </w:p>
    <w:p w14:paraId="195841D0">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1.7 联络</w:t>
      </w:r>
    </w:p>
    <w:p w14:paraId="6C4842C9">
      <w:pPr>
        <w:spacing w:line="440" w:lineRule="exact"/>
        <w:ind w:firstLine="420" w:firstLineChars="200"/>
        <w:rPr>
          <w:rFonts w:ascii="宋体" w:hAnsi="宋体"/>
          <w:color w:val="auto"/>
          <w:kern w:val="0"/>
          <w:szCs w:val="21"/>
          <w:highlight w:val="none"/>
        </w:rPr>
      </w:pPr>
      <w:r>
        <w:rPr>
          <w:rFonts w:ascii="宋体" w:hAnsi="宋体"/>
          <w:color w:val="auto"/>
          <w:kern w:val="0"/>
          <w:szCs w:val="21"/>
          <w:highlight w:val="none"/>
        </w:rPr>
        <w:t>1.7.1发包人和承包人应当在</w:t>
      </w:r>
      <w:r>
        <w:rPr>
          <w:rFonts w:hint="eastAsia" w:ascii="宋体" w:hAnsi="宋体" w:cs="宋体"/>
          <w:color w:val="auto"/>
          <w:szCs w:val="21"/>
          <w:highlight w:val="none"/>
          <w:u w:val="single"/>
        </w:rPr>
        <w:t>3</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6E1E6C62">
      <w:pPr>
        <w:spacing w:line="44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rPr>
        <w:t>1.7.2 发包人接收文件的地点：</w:t>
      </w:r>
      <w:r>
        <w:rPr>
          <w:rFonts w:hint="eastAsia" w:hAnsi="宋体"/>
          <w:color w:val="auto"/>
          <w:szCs w:val="21"/>
          <w:highlight w:val="none"/>
          <w:u w:val="single"/>
        </w:rPr>
        <w:t>工程项目部</w:t>
      </w:r>
      <w:r>
        <w:rPr>
          <w:rFonts w:hint="eastAsia" w:ascii="宋体" w:hAnsi="宋体"/>
          <w:color w:val="auto"/>
          <w:kern w:val="0"/>
          <w:szCs w:val="21"/>
          <w:highlight w:val="none"/>
          <w:lang w:eastAsia="zh-CN"/>
        </w:rPr>
        <w:t>；</w:t>
      </w:r>
    </w:p>
    <w:p w14:paraId="45CC4230">
      <w:pPr>
        <w:spacing w:line="440" w:lineRule="exact"/>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p>
    <w:p w14:paraId="640F888D">
      <w:pPr>
        <w:spacing w:line="44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rPr>
        <w:t>承包人接收文件的地点：</w:t>
      </w:r>
      <w:r>
        <w:rPr>
          <w:rFonts w:hint="eastAsia" w:hAnsi="宋体"/>
          <w:color w:val="auto"/>
          <w:szCs w:val="21"/>
          <w:highlight w:val="none"/>
          <w:u w:val="single"/>
        </w:rPr>
        <w:t>工程项目部</w:t>
      </w:r>
      <w:r>
        <w:rPr>
          <w:rFonts w:hint="eastAsia" w:ascii="宋体" w:hAnsi="宋体"/>
          <w:color w:val="auto"/>
          <w:kern w:val="0"/>
          <w:szCs w:val="21"/>
          <w:highlight w:val="none"/>
          <w:lang w:eastAsia="zh-CN"/>
        </w:rPr>
        <w:t>；</w:t>
      </w:r>
    </w:p>
    <w:p w14:paraId="01913A4E">
      <w:pPr>
        <w:spacing w:line="44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p>
    <w:p w14:paraId="5D6ABE11">
      <w:pPr>
        <w:spacing w:line="44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rPr>
        <w:t>监理人接收文件的地点：</w:t>
      </w:r>
      <w:r>
        <w:rPr>
          <w:rFonts w:hint="eastAsia" w:hAnsi="宋体"/>
          <w:color w:val="auto"/>
          <w:szCs w:val="21"/>
          <w:highlight w:val="none"/>
          <w:u w:val="single"/>
        </w:rPr>
        <w:t>工程项目部</w:t>
      </w:r>
      <w:r>
        <w:rPr>
          <w:rFonts w:hint="eastAsia" w:ascii="宋体" w:hAnsi="宋体"/>
          <w:color w:val="auto"/>
          <w:kern w:val="0"/>
          <w:szCs w:val="21"/>
          <w:highlight w:val="none"/>
          <w:lang w:eastAsia="zh-CN"/>
        </w:rPr>
        <w:t>；</w:t>
      </w:r>
    </w:p>
    <w:p w14:paraId="7AE68D6C">
      <w:pPr>
        <w:spacing w:line="44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p>
    <w:p w14:paraId="32D593E3">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 xml:space="preserve"> 交通运输</w:t>
      </w:r>
    </w:p>
    <w:p w14:paraId="41F1B2EC">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bookmarkStart w:id="303" w:name="_Toc300934943"/>
      <w:bookmarkStart w:id="304" w:name="_Toc318581155"/>
      <w:bookmarkStart w:id="305" w:name="_Toc304295521"/>
      <w:bookmarkStart w:id="306" w:name="_Toc312677986"/>
      <w:bookmarkStart w:id="307" w:name="_Toc303539100"/>
      <w:r>
        <w:rPr>
          <w:rFonts w:ascii="宋体" w:hAnsi="宋体"/>
          <w:color w:val="auto"/>
          <w:szCs w:val="21"/>
          <w:highlight w:val="none"/>
        </w:rPr>
        <w:t>.</w:t>
      </w:r>
      <w:r>
        <w:rPr>
          <w:rFonts w:hint="eastAsia" w:ascii="宋体" w:hAnsi="宋体"/>
          <w:color w:val="auto"/>
          <w:szCs w:val="21"/>
          <w:highlight w:val="none"/>
        </w:rPr>
        <w:t>8</w:t>
      </w:r>
      <w:r>
        <w:rPr>
          <w:rFonts w:ascii="宋体" w:hAnsi="宋体"/>
          <w:color w:val="auto"/>
          <w:szCs w:val="21"/>
          <w:highlight w:val="none"/>
        </w:rPr>
        <w:t>.1 出入现场的权利</w:t>
      </w:r>
    </w:p>
    <w:p w14:paraId="1AC49A50">
      <w:pPr>
        <w:spacing w:line="44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bCs/>
          <w:color w:val="auto"/>
          <w:szCs w:val="21"/>
          <w:highlight w:val="none"/>
          <w:u w:val="single"/>
        </w:rPr>
        <w:t>发包人应根据施工需要，负责取得出入施工现场所需的批准手续和全部权利，以及取得因施工所需修建道路及其他基础设施的权利，并承担相关手续费用和建设费用。承包人应协助发包人办理修建场内外道路及其他基础设施的手续。</w:t>
      </w:r>
    </w:p>
    <w:bookmarkEnd w:id="303"/>
    <w:bookmarkEnd w:id="304"/>
    <w:bookmarkEnd w:id="305"/>
    <w:bookmarkEnd w:id="306"/>
    <w:bookmarkEnd w:id="307"/>
    <w:p w14:paraId="7B3BE00E">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w:t>
      </w:r>
      <w:bookmarkStart w:id="308" w:name="_Toc312677987"/>
      <w:bookmarkStart w:id="309" w:name="_Toc304295522"/>
      <w:bookmarkStart w:id="310" w:name="_Toc300934944"/>
      <w:bookmarkStart w:id="311" w:name="_Toc303539101"/>
      <w:bookmarkStart w:id="312" w:name="_Toc318581156"/>
      <w:r>
        <w:rPr>
          <w:rFonts w:ascii="宋体" w:hAnsi="宋体"/>
          <w:color w:val="auto"/>
          <w:szCs w:val="21"/>
          <w:highlight w:val="none"/>
        </w:rPr>
        <w:t>.</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场内交通</w:t>
      </w:r>
    </w:p>
    <w:p w14:paraId="6C500471">
      <w:pPr>
        <w:spacing w:line="400" w:lineRule="exact"/>
        <w:ind w:firstLine="424" w:firstLineChars="202"/>
        <w:jc w:val="left"/>
        <w:rPr>
          <w:rFonts w:ascii="宋体" w:hAnsi="宋体"/>
          <w:bCs/>
          <w:color w:val="auto"/>
          <w:szCs w:val="21"/>
          <w:highlight w:val="none"/>
          <w:u w:val="single"/>
        </w:rPr>
      </w:pPr>
      <w:r>
        <w:rPr>
          <w:rFonts w:ascii="宋体" w:hAnsi="宋体"/>
          <w:color w:val="auto"/>
          <w:kern w:val="0"/>
          <w:szCs w:val="21"/>
          <w:highlight w:val="none"/>
        </w:rPr>
        <w:t>关于场外交通和场内交通的边界的约定：</w:t>
      </w:r>
      <w:r>
        <w:rPr>
          <w:rFonts w:hint="eastAsia" w:ascii="宋体" w:hAnsi="宋体"/>
          <w:bCs/>
          <w:color w:val="auto"/>
          <w:szCs w:val="21"/>
          <w:highlight w:val="none"/>
          <w:u w:val="single"/>
        </w:rPr>
        <w:t>建筑征地红线范围内的为场内交通，建筑征地红线范围外的为场外交通。</w:t>
      </w:r>
    </w:p>
    <w:p w14:paraId="2EB52F0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无</w:t>
      </w:r>
      <w:r>
        <w:rPr>
          <w:rFonts w:ascii="宋体" w:hAnsi="宋体"/>
          <w:color w:val="auto"/>
          <w:szCs w:val="21"/>
          <w:highlight w:val="none"/>
        </w:rPr>
        <w:t>。</w:t>
      </w:r>
      <w:bookmarkEnd w:id="308"/>
      <w:bookmarkEnd w:id="309"/>
      <w:bookmarkEnd w:id="310"/>
      <w:bookmarkEnd w:id="311"/>
      <w:bookmarkEnd w:id="312"/>
      <w:bookmarkStart w:id="313" w:name="_Toc318581157"/>
    </w:p>
    <w:p w14:paraId="213F4ACF">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超大件和超重件的运输</w:t>
      </w:r>
    </w:p>
    <w:p w14:paraId="02B62D97">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运输超大件或超重件所需的道路和桥梁临时加固改造费用和其他有关费用由承担。</w:t>
      </w:r>
    </w:p>
    <w:bookmarkEnd w:id="313"/>
    <w:p w14:paraId="60008302">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 xml:space="preserve"> 知识产权</w:t>
      </w:r>
    </w:p>
    <w:p w14:paraId="762EB345">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无     </w:t>
      </w:r>
      <w:r>
        <w:rPr>
          <w:rFonts w:ascii="宋体" w:hAnsi="宋体"/>
          <w:color w:val="auto"/>
          <w:szCs w:val="21"/>
          <w:highlight w:val="none"/>
        </w:rPr>
        <w:t>。</w:t>
      </w:r>
    </w:p>
    <w:p w14:paraId="50FFEE1C">
      <w:pPr>
        <w:spacing w:line="440" w:lineRule="exact"/>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p>
    <w:p w14:paraId="5D88F943">
      <w:pPr>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.2 关于承包人为实施工程所编制文件的著作权的归属：</w:t>
      </w:r>
      <w:r>
        <w:rPr>
          <w:rFonts w:hint="eastAsia" w:ascii="宋体" w:hAnsi="宋体" w:cs="宋体"/>
          <w:color w:val="auto"/>
          <w:szCs w:val="21"/>
          <w:highlight w:val="none"/>
          <w:u w:val="single"/>
        </w:rPr>
        <w:t>无</w:t>
      </w:r>
      <w:r>
        <w:rPr>
          <w:rFonts w:ascii="宋体" w:hAnsi="宋体"/>
          <w:color w:val="auto"/>
          <w:szCs w:val="21"/>
          <w:highlight w:val="none"/>
        </w:rPr>
        <w:t>。</w:t>
      </w:r>
    </w:p>
    <w:p w14:paraId="3B2D1790">
      <w:pPr>
        <w:spacing w:line="440" w:lineRule="exact"/>
        <w:ind w:firstLine="420" w:firstLineChars="200"/>
        <w:rPr>
          <w:rFonts w:ascii="宋体" w:hAnsi="宋体"/>
          <w:color w:val="auto"/>
          <w:szCs w:val="21"/>
          <w:highlight w:val="none"/>
        </w:rPr>
      </w:pPr>
      <w:r>
        <w:rPr>
          <w:rFonts w:ascii="宋体" w:hAnsi="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无   </w:t>
      </w:r>
      <w:r>
        <w:rPr>
          <w:rFonts w:ascii="宋体" w:hAnsi="宋体"/>
          <w:color w:val="auto"/>
          <w:szCs w:val="21"/>
          <w:highlight w:val="none"/>
        </w:rPr>
        <w:t>。</w:t>
      </w:r>
    </w:p>
    <w:p w14:paraId="0BEFB7EF">
      <w:pPr>
        <w:spacing w:line="440" w:lineRule="exact"/>
        <w:ind w:firstLine="420" w:firstLineChars="200"/>
        <w:rPr>
          <w:rFonts w:ascii="宋体" w:hAnsi="宋体"/>
          <w:color w:val="auto"/>
          <w:kern w:val="0"/>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.4 承包人在施工过程中所采用的专利、专有技术、技术秘密的使用费的承担方式：</w:t>
      </w:r>
      <w:r>
        <w:rPr>
          <w:rFonts w:hint="eastAsia" w:ascii="宋体" w:hAnsi="宋体" w:cs="宋体"/>
          <w:color w:val="auto"/>
          <w:szCs w:val="21"/>
          <w:highlight w:val="none"/>
          <w:u w:val="single"/>
        </w:rPr>
        <w:t>无</w:t>
      </w:r>
      <w:r>
        <w:rPr>
          <w:rFonts w:ascii="宋体" w:hAnsi="宋体"/>
          <w:color w:val="auto"/>
          <w:kern w:val="0"/>
          <w:szCs w:val="21"/>
          <w:highlight w:val="none"/>
        </w:rPr>
        <w:t>。</w:t>
      </w:r>
    </w:p>
    <w:p w14:paraId="63C3F20B">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0</w:t>
      </w:r>
      <w:r>
        <w:rPr>
          <w:rFonts w:ascii="宋体" w:hAnsi="宋体"/>
          <w:color w:val="auto"/>
          <w:szCs w:val="21"/>
          <w:highlight w:val="none"/>
        </w:rPr>
        <w:t>工程量清单错误的修正</w:t>
      </w:r>
    </w:p>
    <w:p w14:paraId="37DE30A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是</w:t>
      </w:r>
      <w:r>
        <w:rPr>
          <w:rFonts w:ascii="宋体" w:hAnsi="宋体"/>
          <w:color w:val="auto"/>
          <w:kern w:val="0"/>
          <w:szCs w:val="21"/>
          <w:highlight w:val="none"/>
        </w:rPr>
        <w:t>。</w:t>
      </w:r>
    </w:p>
    <w:p w14:paraId="5FEC70C1">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允许调整合同价格的工程量偏差范围：</w:t>
      </w:r>
      <w:r>
        <w:rPr>
          <w:rFonts w:hint="eastAsia" w:ascii="宋体" w:hAnsi="宋体"/>
          <w:color w:val="auto"/>
          <w:szCs w:val="21"/>
          <w:highlight w:val="none"/>
        </w:rPr>
        <w:t>。</w:t>
      </w:r>
    </w:p>
    <w:p w14:paraId="05968309">
      <w:pPr>
        <w:keepNext/>
        <w:keepLines/>
        <w:widowControl/>
        <w:spacing w:before="120" w:after="120" w:line="440" w:lineRule="exact"/>
        <w:ind w:firstLine="281" w:firstLineChars="100"/>
        <w:outlineLvl w:val="3"/>
        <w:rPr>
          <w:rFonts w:ascii="宋体" w:hAnsi="宋体" w:eastAsia="黑体"/>
          <w:b/>
          <w:color w:val="auto"/>
          <w:kern w:val="0"/>
          <w:sz w:val="28"/>
          <w:szCs w:val="21"/>
          <w:highlight w:val="none"/>
        </w:rPr>
      </w:pPr>
      <w:bookmarkStart w:id="314" w:name="_Toc351203634"/>
      <w:r>
        <w:rPr>
          <w:rFonts w:ascii="宋体" w:hAnsi="宋体" w:eastAsia="黑体"/>
          <w:b/>
          <w:color w:val="auto"/>
          <w:kern w:val="0"/>
          <w:sz w:val="28"/>
          <w:szCs w:val="21"/>
          <w:highlight w:val="none"/>
        </w:rPr>
        <w:t>2</w:t>
      </w:r>
      <w:bookmarkStart w:id="315" w:name="_Toc292559867"/>
      <w:bookmarkStart w:id="316" w:name="_Toc292559362"/>
      <w:bookmarkStart w:id="317" w:name="_Toc296944496"/>
      <w:bookmarkStart w:id="318" w:name="_Toc296347156"/>
      <w:bookmarkStart w:id="319" w:name="_Toc297048343"/>
      <w:bookmarkStart w:id="320" w:name="_Toc296890985"/>
      <w:bookmarkStart w:id="321" w:name="_Toc296346658"/>
      <w:bookmarkStart w:id="322" w:name="_Toc296503157"/>
      <w:bookmarkStart w:id="323" w:name="_Toc296891197"/>
      <w:bookmarkStart w:id="324" w:name="_Toc297120457"/>
      <w:r>
        <w:rPr>
          <w:rFonts w:ascii="宋体" w:hAnsi="宋体" w:eastAsia="黑体"/>
          <w:b/>
          <w:color w:val="auto"/>
          <w:kern w:val="0"/>
          <w:sz w:val="28"/>
          <w:szCs w:val="21"/>
          <w:highlight w:val="none"/>
        </w:rPr>
        <w:t>. 发包人</w:t>
      </w:r>
      <w:bookmarkEnd w:id="314"/>
    </w:p>
    <w:bookmarkEnd w:id="315"/>
    <w:bookmarkEnd w:id="316"/>
    <w:bookmarkEnd w:id="317"/>
    <w:bookmarkEnd w:id="318"/>
    <w:bookmarkEnd w:id="319"/>
    <w:bookmarkEnd w:id="320"/>
    <w:bookmarkEnd w:id="321"/>
    <w:bookmarkEnd w:id="322"/>
    <w:bookmarkEnd w:id="323"/>
    <w:bookmarkEnd w:id="324"/>
    <w:p w14:paraId="71EEADAE">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r>
        <w:rPr>
          <w:rFonts w:ascii="宋体" w:hAnsi="宋体"/>
          <w:color w:val="auto"/>
          <w:szCs w:val="21"/>
          <w:highlight w:val="none"/>
        </w:rPr>
        <w:t xml:space="preserve"> 发包人代表</w:t>
      </w:r>
    </w:p>
    <w:p w14:paraId="1F1570B4">
      <w:pPr>
        <w:spacing w:line="440" w:lineRule="exact"/>
        <w:ind w:firstLine="420" w:firstLineChars="200"/>
        <w:rPr>
          <w:rFonts w:ascii="宋体" w:hAnsi="宋体"/>
          <w:color w:val="auto"/>
          <w:szCs w:val="21"/>
          <w:highlight w:val="none"/>
        </w:rPr>
      </w:pPr>
      <w:r>
        <w:rPr>
          <w:rFonts w:ascii="宋体" w:hAnsi="宋体"/>
          <w:color w:val="auto"/>
          <w:szCs w:val="21"/>
          <w:highlight w:val="none"/>
        </w:rPr>
        <w:t>发包人代表：</w:t>
      </w:r>
    </w:p>
    <w:p w14:paraId="3E7A7B82">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姓    名：</w:t>
      </w:r>
      <w:r>
        <w:rPr>
          <w:rFonts w:hint="eastAsia" w:ascii="宋体" w:hAnsi="宋体"/>
          <w:color w:val="auto"/>
          <w:szCs w:val="21"/>
          <w:highlight w:val="none"/>
          <w:lang w:eastAsia="zh-CN"/>
        </w:rPr>
        <w:t>；</w:t>
      </w:r>
    </w:p>
    <w:p w14:paraId="7D519E59">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身份证号：</w:t>
      </w:r>
      <w:r>
        <w:rPr>
          <w:rFonts w:hint="eastAsia" w:ascii="宋体" w:hAnsi="宋体"/>
          <w:color w:val="auto"/>
          <w:szCs w:val="21"/>
          <w:highlight w:val="none"/>
          <w:lang w:eastAsia="zh-CN"/>
        </w:rPr>
        <w:t>；</w:t>
      </w:r>
    </w:p>
    <w:p w14:paraId="78DA6CA8">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职    务：</w:t>
      </w:r>
      <w:r>
        <w:rPr>
          <w:rFonts w:hint="eastAsia" w:ascii="宋体" w:hAnsi="宋体"/>
          <w:color w:val="auto"/>
          <w:szCs w:val="21"/>
          <w:highlight w:val="none"/>
          <w:lang w:eastAsia="zh-CN"/>
        </w:rPr>
        <w:t>；</w:t>
      </w:r>
    </w:p>
    <w:p w14:paraId="47A41E83">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lang w:eastAsia="zh-CN"/>
        </w:rPr>
        <w:t>；</w:t>
      </w:r>
    </w:p>
    <w:p w14:paraId="24150878">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电子信箱：</w:t>
      </w:r>
      <w:r>
        <w:rPr>
          <w:rFonts w:hint="eastAsia" w:ascii="宋体" w:hAnsi="宋体"/>
          <w:color w:val="auto"/>
          <w:szCs w:val="21"/>
          <w:highlight w:val="none"/>
          <w:lang w:eastAsia="zh-CN"/>
        </w:rPr>
        <w:t>；</w:t>
      </w:r>
    </w:p>
    <w:p w14:paraId="7A6049F8">
      <w:pPr>
        <w:spacing w:line="440" w:lineRule="exact"/>
        <w:ind w:firstLine="420" w:firstLineChars="200"/>
        <w:rPr>
          <w:rFonts w:ascii="宋体" w:hAnsi="宋体"/>
          <w:color w:val="auto"/>
          <w:szCs w:val="21"/>
          <w:highlight w:val="none"/>
        </w:rPr>
      </w:pPr>
      <w:r>
        <w:rPr>
          <w:rFonts w:ascii="宋体" w:hAnsi="宋体"/>
          <w:color w:val="auto"/>
          <w:szCs w:val="21"/>
          <w:highlight w:val="none"/>
        </w:rPr>
        <w:t>通信地址：。</w:t>
      </w:r>
    </w:p>
    <w:p w14:paraId="56E3213F">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发包人对发包人代表的授权范围如下：</w:t>
      </w:r>
    </w:p>
    <w:p w14:paraId="30A3BC2D">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（1）负责工程施工现场的管理</w:t>
      </w:r>
      <w:r>
        <w:rPr>
          <w:rFonts w:hint="eastAsia" w:hAnsi="宋体"/>
          <w:color w:val="auto"/>
          <w:szCs w:val="21"/>
          <w:highlight w:val="none"/>
          <w:u w:val="single"/>
          <w:lang w:eastAsia="zh-CN"/>
        </w:rPr>
        <w:t>；</w:t>
      </w:r>
    </w:p>
    <w:p w14:paraId="6C91D8D2">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（2）负责协调与工程项目有关的事项</w:t>
      </w:r>
      <w:r>
        <w:rPr>
          <w:rFonts w:hint="eastAsia" w:hAnsi="宋体"/>
          <w:color w:val="auto"/>
          <w:szCs w:val="21"/>
          <w:highlight w:val="none"/>
          <w:u w:val="single"/>
          <w:lang w:eastAsia="zh-CN"/>
        </w:rPr>
        <w:t>；</w:t>
      </w:r>
    </w:p>
    <w:p w14:paraId="6ECE767C">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（3）工程量确认</w:t>
      </w:r>
      <w:r>
        <w:rPr>
          <w:rFonts w:hint="eastAsia" w:hAnsi="宋体"/>
          <w:color w:val="auto"/>
          <w:szCs w:val="21"/>
          <w:highlight w:val="none"/>
          <w:u w:val="single"/>
          <w:lang w:eastAsia="zh-CN"/>
        </w:rPr>
        <w:t>；</w:t>
      </w:r>
    </w:p>
    <w:p w14:paraId="243FE647">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（4）同意监理工程师发布开工令、停工令及复工令</w:t>
      </w:r>
      <w:r>
        <w:rPr>
          <w:rFonts w:hint="eastAsia" w:hAnsi="宋体"/>
          <w:color w:val="auto"/>
          <w:szCs w:val="21"/>
          <w:highlight w:val="none"/>
          <w:u w:val="single"/>
          <w:lang w:eastAsia="zh-CN"/>
        </w:rPr>
        <w:t>；</w:t>
      </w:r>
    </w:p>
    <w:p w14:paraId="07EE7E3E">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（5）确认或修改承包人的施工组织设计和工程进度计划</w:t>
      </w:r>
      <w:r>
        <w:rPr>
          <w:rFonts w:hint="eastAsia" w:hAnsi="宋体"/>
          <w:color w:val="auto"/>
          <w:szCs w:val="21"/>
          <w:highlight w:val="none"/>
          <w:u w:val="single"/>
          <w:lang w:eastAsia="zh-CN"/>
        </w:rPr>
        <w:t>；</w:t>
      </w:r>
    </w:p>
    <w:p w14:paraId="5CD83A73">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（6）对进度的检查、监督和提出改进措施</w:t>
      </w:r>
      <w:r>
        <w:rPr>
          <w:rFonts w:hint="eastAsia" w:hAnsi="宋体"/>
          <w:color w:val="auto"/>
          <w:szCs w:val="21"/>
          <w:highlight w:val="none"/>
          <w:u w:val="single"/>
          <w:lang w:eastAsia="zh-CN"/>
        </w:rPr>
        <w:t>；</w:t>
      </w:r>
    </w:p>
    <w:p w14:paraId="2ED4198A">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（7）对承包人延期开工要求进行答复</w:t>
      </w:r>
      <w:r>
        <w:rPr>
          <w:rFonts w:hint="eastAsia" w:hAnsi="宋体"/>
          <w:color w:val="auto"/>
          <w:szCs w:val="21"/>
          <w:highlight w:val="none"/>
          <w:u w:val="single"/>
          <w:lang w:eastAsia="zh-CN"/>
        </w:rPr>
        <w:t>；</w:t>
      </w:r>
    </w:p>
    <w:p w14:paraId="31F1E30F">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（8）以通知方式推迟开工日期</w:t>
      </w:r>
      <w:r>
        <w:rPr>
          <w:rFonts w:hint="eastAsia" w:hAnsi="宋体"/>
          <w:color w:val="auto"/>
          <w:szCs w:val="21"/>
          <w:highlight w:val="none"/>
          <w:u w:val="single"/>
          <w:lang w:eastAsia="zh-CN"/>
        </w:rPr>
        <w:t>；</w:t>
      </w:r>
    </w:p>
    <w:p w14:paraId="40F029F4">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（9）暂停施工并提出处理意见，对承包人复工要求进行答复</w:t>
      </w:r>
      <w:r>
        <w:rPr>
          <w:rFonts w:hint="eastAsia" w:hAnsi="宋体"/>
          <w:color w:val="auto"/>
          <w:szCs w:val="21"/>
          <w:highlight w:val="none"/>
          <w:u w:val="single"/>
          <w:lang w:eastAsia="zh-CN"/>
        </w:rPr>
        <w:t>；</w:t>
      </w:r>
    </w:p>
    <w:p w14:paraId="3C19A73B">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（10）确认工期顺延</w:t>
      </w:r>
      <w:r>
        <w:rPr>
          <w:rFonts w:hint="eastAsia" w:hAnsi="宋体"/>
          <w:color w:val="auto"/>
          <w:szCs w:val="21"/>
          <w:highlight w:val="none"/>
          <w:u w:val="single"/>
          <w:lang w:eastAsia="zh-CN"/>
        </w:rPr>
        <w:t>；</w:t>
      </w:r>
    </w:p>
    <w:p w14:paraId="407FECDB">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（11）对承包人工程质量检查检验</w:t>
      </w:r>
      <w:r>
        <w:rPr>
          <w:rFonts w:hint="eastAsia" w:hAnsi="宋体"/>
          <w:color w:val="auto"/>
          <w:szCs w:val="21"/>
          <w:highlight w:val="none"/>
          <w:u w:val="single"/>
          <w:lang w:eastAsia="zh-CN"/>
        </w:rPr>
        <w:t>；</w:t>
      </w:r>
    </w:p>
    <w:p w14:paraId="035EFCAB">
      <w:pPr>
        <w:spacing w:line="360" w:lineRule="auto"/>
        <w:ind w:firstLine="420" w:firstLineChars="200"/>
        <w:rPr>
          <w:rFonts w:hAnsi="宋体"/>
          <w:color w:val="auto"/>
          <w:szCs w:val="21"/>
          <w:highlight w:val="none"/>
          <w:u w:val="single"/>
        </w:rPr>
      </w:pPr>
      <w:r>
        <w:rPr>
          <w:rFonts w:hint="eastAsia" w:hAnsi="宋体"/>
          <w:color w:val="auto"/>
          <w:szCs w:val="21"/>
          <w:highlight w:val="none"/>
          <w:u w:val="single"/>
        </w:rPr>
        <w:t>（12）工程质量达不到约定标准的部分，要求承包人拆除和重新施工。</w:t>
      </w:r>
    </w:p>
    <w:p w14:paraId="73C1E0A7">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（13）隐蔽工程验收</w:t>
      </w:r>
      <w:r>
        <w:rPr>
          <w:rFonts w:hint="eastAsia" w:hAnsi="宋体"/>
          <w:color w:val="auto"/>
          <w:szCs w:val="21"/>
          <w:highlight w:val="none"/>
          <w:u w:val="single"/>
          <w:lang w:eastAsia="zh-CN"/>
        </w:rPr>
        <w:t>；</w:t>
      </w:r>
    </w:p>
    <w:p w14:paraId="3F8407EB">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（14）隐蔽工程重新检验</w:t>
      </w:r>
      <w:r>
        <w:rPr>
          <w:rFonts w:hint="eastAsia" w:hAnsi="宋体"/>
          <w:color w:val="auto"/>
          <w:szCs w:val="21"/>
          <w:highlight w:val="none"/>
          <w:u w:val="single"/>
          <w:lang w:eastAsia="zh-CN"/>
        </w:rPr>
        <w:t>；</w:t>
      </w:r>
    </w:p>
    <w:p w14:paraId="5CE3C14D">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（15）根据本款（17）项确认或修改承包人提出的调整金额</w:t>
      </w:r>
      <w:r>
        <w:rPr>
          <w:rFonts w:hint="eastAsia" w:hAnsi="宋体"/>
          <w:color w:val="auto"/>
          <w:szCs w:val="21"/>
          <w:highlight w:val="none"/>
          <w:u w:val="single"/>
          <w:lang w:eastAsia="zh-CN"/>
        </w:rPr>
        <w:t>；</w:t>
      </w:r>
    </w:p>
    <w:p w14:paraId="138980A2">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（16）核实承包人已完工程量</w:t>
      </w:r>
      <w:r>
        <w:rPr>
          <w:rFonts w:hint="eastAsia" w:hAnsi="宋体"/>
          <w:color w:val="auto"/>
          <w:szCs w:val="21"/>
          <w:highlight w:val="none"/>
          <w:u w:val="single"/>
          <w:lang w:eastAsia="zh-CN"/>
        </w:rPr>
        <w:t>；</w:t>
      </w:r>
    </w:p>
    <w:p w14:paraId="6CD7CFA6">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（17）要求更换承包人采购的不符合要求的材料设备</w:t>
      </w:r>
      <w:r>
        <w:rPr>
          <w:rFonts w:hint="eastAsia" w:hAnsi="宋体"/>
          <w:color w:val="auto"/>
          <w:szCs w:val="21"/>
          <w:highlight w:val="none"/>
          <w:u w:val="single"/>
          <w:lang w:eastAsia="zh-CN"/>
        </w:rPr>
        <w:t>；</w:t>
      </w:r>
    </w:p>
    <w:p w14:paraId="44992400">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（18）要求承包人对采购的材料设备在使用前进行检验或试验</w:t>
      </w:r>
      <w:r>
        <w:rPr>
          <w:rFonts w:hint="eastAsia" w:hAnsi="宋体"/>
          <w:color w:val="auto"/>
          <w:szCs w:val="21"/>
          <w:highlight w:val="none"/>
          <w:u w:val="single"/>
          <w:lang w:eastAsia="zh-CN"/>
        </w:rPr>
        <w:t>；</w:t>
      </w:r>
    </w:p>
    <w:p w14:paraId="62FA96EF">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（19）批准承包人使用替代材料</w:t>
      </w:r>
      <w:r>
        <w:rPr>
          <w:rFonts w:hint="eastAsia" w:hAnsi="宋体"/>
          <w:color w:val="auto"/>
          <w:szCs w:val="21"/>
          <w:highlight w:val="none"/>
          <w:u w:val="single"/>
          <w:lang w:eastAsia="zh-CN"/>
        </w:rPr>
        <w:t>；</w:t>
      </w:r>
    </w:p>
    <w:p w14:paraId="41F462BD">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（20）同意承包人提出的合理化建议</w:t>
      </w:r>
      <w:r>
        <w:rPr>
          <w:rFonts w:hint="eastAsia" w:hAnsi="宋体"/>
          <w:color w:val="auto"/>
          <w:szCs w:val="21"/>
          <w:highlight w:val="none"/>
          <w:u w:val="single"/>
          <w:lang w:eastAsia="zh-CN"/>
        </w:rPr>
        <w:t>；</w:t>
      </w:r>
    </w:p>
    <w:p w14:paraId="693BAC15">
      <w:pPr>
        <w:spacing w:line="360" w:lineRule="auto"/>
        <w:ind w:firstLine="420" w:firstLineChars="200"/>
        <w:rPr>
          <w:rFonts w:hint="eastAsia" w:hAnsi="宋体" w:eastAsia="宋体"/>
          <w:color w:val="auto"/>
          <w:szCs w:val="21"/>
          <w:highlight w:val="none"/>
          <w:u w:val="single"/>
          <w:lang w:eastAsia="zh-CN"/>
        </w:rPr>
      </w:pPr>
      <w:r>
        <w:rPr>
          <w:rFonts w:hint="eastAsia" w:hAnsi="宋体"/>
          <w:color w:val="auto"/>
          <w:szCs w:val="21"/>
          <w:highlight w:val="none"/>
          <w:u w:val="single"/>
        </w:rPr>
        <w:t>（21）确认变更价款</w:t>
      </w:r>
      <w:r>
        <w:rPr>
          <w:rFonts w:hint="eastAsia" w:hAnsi="宋体"/>
          <w:color w:val="auto"/>
          <w:szCs w:val="21"/>
          <w:highlight w:val="none"/>
          <w:u w:val="single"/>
          <w:lang w:eastAsia="zh-CN"/>
        </w:rPr>
        <w:t>；</w:t>
      </w:r>
    </w:p>
    <w:p w14:paraId="1BDEEBFE">
      <w:pPr>
        <w:spacing w:line="360" w:lineRule="auto"/>
        <w:ind w:firstLine="420" w:firstLineChars="200"/>
        <w:rPr>
          <w:rFonts w:hAnsi="宋体"/>
          <w:color w:val="auto"/>
          <w:szCs w:val="21"/>
          <w:highlight w:val="none"/>
          <w:u w:val="single"/>
        </w:rPr>
      </w:pPr>
      <w:r>
        <w:rPr>
          <w:rFonts w:hint="eastAsia" w:hAnsi="宋体"/>
          <w:color w:val="auto"/>
          <w:szCs w:val="21"/>
          <w:highlight w:val="none"/>
          <w:u w:val="single"/>
        </w:rPr>
        <w:t>（22）答复索赔。</w:t>
      </w:r>
    </w:p>
    <w:p w14:paraId="4492472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r>
        <w:rPr>
          <w:rFonts w:ascii="宋体" w:hAnsi="宋体"/>
          <w:color w:val="auto"/>
          <w:szCs w:val="21"/>
          <w:highlight w:val="none"/>
        </w:rPr>
        <w:t xml:space="preserve"> 施工现场、施工条件和基础资料的提供</w:t>
      </w:r>
    </w:p>
    <w:p w14:paraId="6CFCE945">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r>
        <w:rPr>
          <w:rFonts w:ascii="宋体" w:hAnsi="宋体"/>
          <w:color w:val="auto"/>
          <w:szCs w:val="21"/>
          <w:highlight w:val="none"/>
        </w:rPr>
        <w:t>.1 提供施工现场</w:t>
      </w:r>
    </w:p>
    <w:p w14:paraId="3188AC6C">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hint="eastAsia" w:ascii="宋体" w:hAnsi="宋体"/>
          <w:color w:val="auto"/>
          <w:szCs w:val="21"/>
          <w:highlight w:val="none"/>
          <w:u w:val="single"/>
        </w:rPr>
        <w:t>计划开工日前3天</w:t>
      </w:r>
      <w:r>
        <w:rPr>
          <w:rFonts w:ascii="宋体" w:hAnsi="宋体"/>
          <w:color w:val="auto"/>
          <w:szCs w:val="21"/>
          <w:highlight w:val="none"/>
        </w:rPr>
        <w:t>。</w:t>
      </w:r>
    </w:p>
    <w:p w14:paraId="32BEA283">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.2 提供施工条件</w:t>
      </w:r>
    </w:p>
    <w:p w14:paraId="5A1EEA6D">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p>
    <w:p w14:paraId="558822B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 xml:space="preserve"> 资金来源证明及支付担保</w:t>
      </w:r>
    </w:p>
    <w:p w14:paraId="6E2068F5">
      <w:pPr>
        <w:spacing w:line="440" w:lineRule="exact"/>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s="宋体"/>
          <w:color w:val="auto"/>
          <w:szCs w:val="21"/>
          <w:highlight w:val="none"/>
          <w:u w:val="single"/>
        </w:rPr>
        <w:t xml:space="preserve">无  </w:t>
      </w:r>
      <w:r>
        <w:rPr>
          <w:rFonts w:ascii="宋体" w:hAnsi="宋体"/>
          <w:color w:val="auto"/>
          <w:szCs w:val="21"/>
          <w:highlight w:val="none"/>
        </w:rPr>
        <w:t>。</w:t>
      </w:r>
    </w:p>
    <w:p w14:paraId="66AB05CF">
      <w:pPr>
        <w:spacing w:line="440" w:lineRule="exact"/>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s="宋体"/>
          <w:color w:val="auto"/>
          <w:szCs w:val="21"/>
          <w:highlight w:val="none"/>
          <w:u w:val="single"/>
        </w:rPr>
        <w:t xml:space="preserve">无     </w:t>
      </w:r>
      <w:r>
        <w:rPr>
          <w:rFonts w:ascii="宋体" w:hAnsi="宋体"/>
          <w:color w:val="auto"/>
          <w:szCs w:val="21"/>
          <w:highlight w:val="none"/>
        </w:rPr>
        <w:t>。</w:t>
      </w:r>
    </w:p>
    <w:p w14:paraId="4649F1C0">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发包人提供支付担保的形式：</w:t>
      </w:r>
      <w:r>
        <w:rPr>
          <w:rFonts w:hint="eastAsia" w:ascii="宋体" w:hAnsi="宋体" w:cs="宋体"/>
          <w:color w:val="auto"/>
          <w:szCs w:val="21"/>
          <w:highlight w:val="none"/>
          <w:u w:val="single"/>
        </w:rPr>
        <w:t>无</w:t>
      </w:r>
      <w:r>
        <w:rPr>
          <w:rFonts w:ascii="宋体" w:hAnsi="宋体"/>
          <w:color w:val="auto"/>
          <w:szCs w:val="21"/>
          <w:highlight w:val="none"/>
        </w:rPr>
        <w:t>。</w:t>
      </w:r>
    </w:p>
    <w:p w14:paraId="50876FF2">
      <w:pPr>
        <w:keepNext/>
        <w:keepLines/>
        <w:widowControl/>
        <w:spacing w:before="120" w:after="120" w:line="440" w:lineRule="exact"/>
        <w:ind w:firstLine="281" w:firstLineChars="100"/>
        <w:outlineLvl w:val="3"/>
        <w:rPr>
          <w:rFonts w:ascii="宋体" w:hAnsi="宋体" w:eastAsia="黑体"/>
          <w:b/>
          <w:color w:val="auto"/>
          <w:kern w:val="0"/>
          <w:sz w:val="28"/>
          <w:szCs w:val="21"/>
          <w:highlight w:val="none"/>
        </w:rPr>
      </w:pPr>
      <w:bookmarkStart w:id="325" w:name="_Toc351203635"/>
      <w:r>
        <w:rPr>
          <w:rFonts w:ascii="宋体" w:hAnsi="宋体" w:eastAsia="黑体"/>
          <w:b/>
          <w:color w:val="auto"/>
          <w:kern w:val="0"/>
          <w:sz w:val="28"/>
          <w:szCs w:val="21"/>
          <w:highlight w:val="none"/>
        </w:rPr>
        <w:t>3</w:t>
      </w:r>
      <w:bookmarkStart w:id="326" w:name="_Toc292559868"/>
      <w:bookmarkStart w:id="327" w:name="_Toc296944497"/>
      <w:bookmarkStart w:id="328" w:name="_Toc296346659"/>
      <w:bookmarkStart w:id="329" w:name="_Toc297048344"/>
      <w:bookmarkStart w:id="330" w:name="_Toc292559363"/>
      <w:bookmarkStart w:id="331" w:name="_Toc296891198"/>
      <w:bookmarkStart w:id="332" w:name="_Toc296890986"/>
      <w:bookmarkStart w:id="333" w:name="_Toc296347157"/>
      <w:bookmarkStart w:id="334" w:name="_Toc297120458"/>
      <w:bookmarkStart w:id="335" w:name="_Toc296503158"/>
      <w:r>
        <w:rPr>
          <w:rFonts w:ascii="宋体" w:hAnsi="宋体" w:eastAsia="黑体"/>
          <w:b/>
          <w:color w:val="auto"/>
          <w:kern w:val="0"/>
          <w:sz w:val="28"/>
          <w:szCs w:val="21"/>
          <w:highlight w:val="none"/>
        </w:rPr>
        <w:t>. 承包人</w:t>
      </w:r>
      <w:bookmarkEnd w:id="325"/>
    </w:p>
    <w:bookmarkEnd w:id="326"/>
    <w:bookmarkEnd w:id="327"/>
    <w:bookmarkEnd w:id="328"/>
    <w:bookmarkEnd w:id="329"/>
    <w:bookmarkEnd w:id="330"/>
    <w:bookmarkEnd w:id="331"/>
    <w:bookmarkEnd w:id="332"/>
    <w:bookmarkEnd w:id="333"/>
    <w:bookmarkEnd w:id="334"/>
    <w:bookmarkEnd w:id="335"/>
    <w:p w14:paraId="3D6CAAD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3.1 承包人的一般义务</w:t>
      </w:r>
    </w:p>
    <w:p w14:paraId="4494D12B">
      <w:pPr>
        <w:spacing w:line="440" w:lineRule="exact"/>
        <w:ind w:firstLine="315" w:firstLineChars="150"/>
        <w:jc w:val="left"/>
        <w:rPr>
          <w:rFonts w:ascii="宋体" w:hAnsi="宋体"/>
          <w:color w:val="auto"/>
          <w:szCs w:val="21"/>
          <w:highlight w:val="none"/>
        </w:rPr>
      </w:pPr>
      <w:r>
        <w:rPr>
          <w:rFonts w:ascii="宋体" w:hAnsi="宋体"/>
          <w:color w:val="auto"/>
          <w:kern w:val="0"/>
          <w:szCs w:val="21"/>
          <w:highlight w:val="none"/>
        </w:rPr>
        <w:t>（5）</w:t>
      </w:r>
      <w:r>
        <w:rPr>
          <w:rFonts w:ascii="宋体" w:hAnsi="宋体"/>
          <w:color w:val="auto"/>
          <w:szCs w:val="21"/>
          <w:highlight w:val="none"/>
        </w:rPr>
        <w:t>承包人提交的竣工资料的内容：。</w:t>
      </w:r>
    </w:p>
    <w:p w14:paraId="667D8DCE">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承包人需要提交的竣工资料套数：。</w:t>
      </w:r>
    </w:p>
    <w:p w14:paraId="25D8434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承包人提交的竣工资料的费用承担：。</w:t>
      </w:r>
    </w:p>
    <w:p w14:paraId="10E2C84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承包人提交的竣工资料移交时间：。</w:t>
      </w:r>
    </w:p>
    <w:p w14:paraId="42FF82A9">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承包人提交的竣工资料形式要求：。</w:t>
      </w:r>
    </w:p>
    <w:p w14:paraId="7108552F">
      <w:pPr>
        <w:spacing w:line="440" w:lineRule="exact"/>
        <w:ind w:firstLine="420" w:firstLineChars="200"/>
        <w:rPr>
          <w:rFonts w:ascii="宋体" w:hAnsi="宋体"/>
          <w:b/>
          <w:color w:val="auto"/>
          <w:szCs w:val="21"/>
          <w:highlight w:val="none"/>
          <w:u w:val="single"/>
        </w:rPr>
      </w:pPr>
      <w:r>
        <w:rPr>
          <w:rFonts w:ascii="宋体" w:hAnsi="宋体"/>
          <w:color w:val="auto"/>
          <w:kern w:val="0"/>
          <w:szCs w:val="21"/>
          <w:highlight w:val="none"/>
        </w:rPr>
        <w:t>（6）承包人应履行的其他义务：</w:t>
      </w:r>
      <w:r>
        <w:rPr>
          <w:rFonts w:hint="eastAsia" w:ascii="宋体" w:hAnsi="宋体"/>
          <w:b/>
          <w:color w:val="auto"/>
          <w:szCs w:val="21"/>
          <w:highlight w:val="none"/>
          <w:u w:val="single"/>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76F8DA6E">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u w:val="single"/>
        </w:rPr>
        <w:t>②取土场及弃土场由承包人自行解决，但不得违反相关管理规定，并承担相关费用。</w:t>
      </w:r>
    </w:p>
    <w:p w14:paraId="64617C5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3.2 项目经理</w:t>
      </w:r>
    </w:p>
    <w:p w14:paraId="5C8008DD">
      <w:pPr>
        <w:spacing w:line="44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1565AD0F">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姓    名：</w:t>
      </w:r>
      <w:r>
        <w:rPr>
          <w:rFonts w:hint="eastAsia" w:ascii="宋体" w:hAnsi="宋体"/>
          <w:color w:val="auto"/>
          <w:szCs w:val="21"/>
          <w:highlight w:val="none"/>
          <w:lang w:eastAsia="zh-CN"/>
        </w:rPr>
        <w:t>；</w:t>
      </w:r>
    </w:p>
    <w:p w14:paraId="6EA386A7">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身份证号：</w:t>
      </w:r>
      <w:r>
        <w:rPr>
          <w:rFonts w:hint="eastAsia" w:ascii="宋体" w:hAnsi="宋体"/>
          <w:color w:val="auto"/>
          <w:szCs w:val="21"/>
          <w:highlight w:val="none"/>
          <w:lang w:eastAsia="zh-CN"/>
        </w:rPr>
        <w:t>；</w:t>
      </w:r>
    </w:p>
    <w:p w14:paraId="19C15D05">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建造师执业资格等级：</w:t>
      </w:r>
      <w:r>
        <w:rPr>
          <w:rFonts w:hint="eastAsia" w:ascii="宋体" w:hAnsi="宋体"/>
          <w:color w:val="auto"/>
          <w:szCs w:val="21"/>
          <w:highlight w:val="none"/>
          <w:lang w:eastAsia="zh-CN"/>
        </w:rPr>
        <w:t>；</w:t>
      </w:r>
    </w:p>
    <w:p w14:paraId="54487C6F">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建造师注册证书号：</w:t>
      </w:r>
      <w:r>
        <w:rPr>
          <w:rFonts w:hint="eastAsia" w:ascii="宋体" w:hAnsi="宋体"/>
          <w:color w:val="auto"/>
          <w:szCs w:val="21"/>
          <w:highlight w:val="none"/>
          <w:lang w:eastAsia="zh-CN"/>
        </w:rPr>
        <w:t>；</w:t>
      </w:r>
    </w:p>
    <w:p w14:paraId="0C40065A">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建造师执业印章号：</w:t>
      </w:r>
      <w:r>
        <w:rPr>
          <w:rFonts w:hint="eastAsia" w:ascii="宋体" w:hAnsi="宋体"/>
          <w:color w:val="auto"/>
          <w:szCs w:val="21"/>
          <w:highlight w:val="none"/>
          <w:lang w:eastAsia="zh-CN"/>
        </w:rPr>
        <w:t>；</w:t>
      </w:r>
    </w:p>
    <w:p w14:paraId="4AE4BA41">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安全生产考核合格证书号：</w:t>
      </w:r>
      <w:r>
        <w:rPr>
          <w:rFonts w:hint="eastAsia" w:ascii="宋体" w:hAnsi="宋体"/>
          <w:color w:val="auto"/>
          <w:szCs w:val="21"/>
          <w:highlight w:val="none"/>
          <w:lang w:eastAsia="zh-CN"/>
        </w:rPr>
        <w:t>；</w:t>
      </w:r>
    </w:p>
    <w:p w14:paraId="6FC8761F">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lang w:eastAsia="zh-CN"/>
        </w:rPr>
        <w:t>；</w:t>
      </w:r>
    </w:p>
    <w:p w14:paraId="12C1262B">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电子信箱：</w:t>
      </w:r>
      <w:r>
        <w:rPr>
          <w:rFonts w:hint="eastAsia" w:ascii="宋体" w:hAnsi="宋体"/>
          <w:color w:val="auto"/>
          <w:szCs w:val="21"/>
          <w:highlight w:val="none"/>
          <w:lang w:eastAsia="zh-CN"/>
        </w:rPr>
        <w:t>；</w:t>
      </w:r>
    </w:p>
    <w:p w14:paraId="23874B31">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通信地址：</w:t>
      </w:r>
      <w:r>
        <w:rPr>
          <w:rFonts w:hint="eastAsia" w:ascii="宋体" w:hAnsi="宋体"/>
          <w:color w:val="auto"/>
          <w:szCs w:val="21"/>
          <w:highlight w:val="none"/>
          <w:lang w:eastAsia="zh-CN"/>
        </w:rPr>
        <w:t>；</w:t>
      </w:r>
    </w:p>
    <w:p w14:paraId="0D875DD9">
      <w:pPr>
        <w:spacing w:line="440" w:lineRule="exact"/>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hint="eastAsia" w:ascii="宋体" w:hAnsi="宋体"/>
          <w:color w:val="auto"/>
          <w:szCs w:val="21"/>
          <w:highlight w:val="none"/>
          <w:u w:val="single"/>
        </w:rPr>
        <w:t>负责组织合同工程内容的施工</w:t>
      </w:r>
      <w:r>
        <w:rPr>
          <w:rFonts w:ascii="宋体" w:hAnsi="宋体"/>
          <w:color w:val="auto"/>
          <w:szCs w:val="21"/>
          <w:highlight w:val="none"/>
        </w:rPr>
        <w:t>。</w:t>
      </w:r>
    </w:p>
    <w:p w14:paraId="30BAA3A1">
      <w:pPr>
        <w:spacing w:line="44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不少于5天且符合国家相关规定要求    </w:t>
      </w:r>
      <w:r>
        <w:rPr>
          <w:rFonts w:ascii="宋体" w:hAnsi="宋体"/>
          <w:color w:val="auto"/>
          <w:szCs w:val="21"/>
          <w:highlight w:val="none"/>
        </w:rPr>
        <w:t>。</w:t>
      </w:r>
    </w:p>
    <w:p w14:paraId="1B81EF8A">
      <w:pPr>
        <w:spacing w:line="44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hint="eastAsia" w:ascii="宋体" w:hAnsi="宋体"/>
          <w:color w:val="auto"/>
          <w:kern w:val="0"/>
          <w:szCs w:val="21"/>
          <w:highlight w:val="none"/>
          <w:u w:val="single"/>
        </w:rPr>
        <w:t>承包人支付违约金10000元，并责令限期提交劳动合同并补缴社会保险。如承包人未在规定期限内提交项目经理劳动合同和缴交社会保险证明材料的，则发包人可致函承包人要求更换项目经理，且承包人按1000元/天标准向发包人支付违约金直至承包人更换新的项目经理。如在更换项目经理期间造成发包人损失的，承包人须另行赔偿发包人损失。</w:t>
      </w:r>
    </w:p>
    <w:p w14:paraId="71E2D8D0">
      <w:pPr>
        <w:spacing w:line="44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hint="eastAsia" w:ascii="宋体" w:hAnsi="宋体"/>
          <w:color w:val="auto"/>
          <w:kern w:val="0"/>
          <w:szCs w:val="21"/>
          <w:highlight w:val="none"/>
          <w:u w:val="single"/>
        </w:rPr>
        <w:t>未经发包人同意，项目经理擅自离岗的，视为承包人违约，承包人向发包人支付违约金人民币1000元/人•次</w:t>
      </w:r>
      <w:r>
        <w:rPr>
          <w:rFonts w:ascii="宋体" w:hAnsi="宋体"/>
          <w:color w:val="auto"/>
          <w:szCs w:val="21"/>
          <w:highlight w:val="none"/>
          <w:u w:val="single"/>
        </w:rPr>
        <w:t>。</w:t>
      </w:r>
    </w:p>
    <w:p w14:paraId="321E673B">
      <w:pPr>
        <w:spacing w:line="440" w:lineRule="exact"/>
        <w:ind w:firstLine="420" w:firstLineChars="200"/>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2</w:t>
      </w:r>
      <w:r>
        <w:rPr>
          <w:rFonts w:ascii="宋体" w:hAnsi="宋体"/>
          <w:color w:val="auto"/>
          <w:szCs w:val="21"/>
          <w:highlight w:val="none"/>
        </w:rPr>
        <w:t xml:space="preserve"> 承包人擅自更换项目经理的违约责任：</w:t>
      </w:r>
      <w:r>
        <w:rPr>
          <w:rFonts w:hint="eastAsia" w:ascii="宋体" w:hAnsi="宋体"/>
          <w:color w:val="auto"/>
          <w:szCs w:val="21"/>
          <w:highlight w:val="none"/>
          <w:u w:val="single"/>
        </w:rPr>
        <w:t>承包人项目经理必须与承包人竞标时所承诺的人员一致，并在项目开工日期前到任。在监理人向承包人颁发（竣工证明材料名称）前，项目经理不得同时兼任其他任何项目的项目经理。未经发包人书面同意，承包人擅自更换项目经理的视为违约，违约金为人民币15000元/人•次。如发现承包人的项目经理同时兼任其他项目的，发包人视承包人违约，违约金为人民币20000元，同时报住建监管部门。</w:t>
      </w:r>
    </w:p>
    <w:p w14:paraId="61E3CB2C">
      <w:pPr>
        <w:spacing w:line="440" w:lineRule="exact"/>
        <w:rPr>
          <w:rFonts w:ascii="宋体" w:hAnsi="宋体"/>
          <w:color w:val="auto"/>
          <w:szCs w:val="21"/>
          <w:highlight w:val="none"/>
          <w:u w:val="single"/>
        </w:rPr>
      </w:pPr>
      <w:r>
        <w:rPr>
          <w:rFonts w:ascii="宋体" w:hAnsi="宋体"/>
          <w:color w:val="auto"/>
          <w:szCs w:val="21"/>
          <w:highlight w:val="none"/>
        </w:rPr>
        <w:t xml:space="preserve">    3.2.</w:t>
      </w:r>
      <w:r>
        <w:rPr>
          <w:rFonts w:hint="eastAsia" w:ascii="宋体" w:hAnsi="宋体"/>
          <w:color w:val="auto"/>
          <w:szCs w:val="21"/>
          <w:highlight w:val="none"/>
        </w:rPr>
        <w:t>3</w:t>
      </w:r>
      <w:r>
        <w:rPr>
          <w:rFonts w:ascii="宋体" w:hAnsi="宋体"/>
          <w:color w:val="auto"/>
          <w:szCs w:val="21"/>
          <w:highlight w:val="none"/>
        </w:rPr>
        <w:t xml:space="preserve"> 承包人无正当理由拒绝更换项目经理的违约责任：</w:t>
      </w:r>
      <w:r>
        <w:rPr>
          <w:rFonts w:hint="eastAsia" w:ascii="宋体" w:hAnsi="宋体"/>
          <w:color w:val="auto"/>
          <w:szCs w:val="21"/>
          <w:highlight w:val="none"/>
          <w:u w:val="single"/>
        </w:rPr>
        <w:t>承包人项目经理因不称职，在收到发包人调换通知后7日内未调换的，视为承包人违约，必须向发包人支付违约金人民币10000元/人•次</w:t>
      </w:r>
      <w:r>
        <w:rPr>
          <w:rFonts w:ascii="宋体" w:hAnsi="宋体"/>
          <w:color w:val="auto"/>
          <w:szCs w:val="21"/>
          <w:highlight w:val="none"/>
          <w:u w:val="single"/>
        </w:rPr>
        <w:t>。</w:t>
      </w:r>
    </w:p>
    <w:p w14:paraId="126DA52F">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3.3 承包人人员</w:t>
      </w:r>
    </w:p>
    <w:p w14:paraId="769D3690">
      <w:pPr>
        <w:spacing w:line="440" w:lineRule="exact"/>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承包人提交项目管理机构及施工现场管理人员安排报告的期限：</w:t>
      </w:r>
      <w:r>
        <w:rPr>
          <w:rFonts w:hint="eastAsia" w:ascii="宋体" w:hAnsi="宋体"/>
          <w:color w:val="auto"/>
          <w:szCs w:val="21"/>
          <w:highlight w:val="none"/>
          <w:u w:val="single"/>
        </w:rPr>
        <w:t>开工前7天</w:t>
      </w:r>
      <w:r>
        <w:rPr>
          <w:rFonts w:ascii="宋体" w:hAnsi="宋体"/>
          <w:color w:val="auto"/>
          <w:szCs w:val="21"/>
          <w:highlight w:val="none"/>
        </w:rPr>
        <w:t>。</w:t>
      </w:r>
    </w:p>
    <w:p w14:paraId="54357BB1">
      <w:pPr>
        <w:spacing w:line="440" w:lineRule="exact"/>
        <w:ind w:firstLine="420" w:firstLineChars="200"/>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2</w:t>
      </w:r>
      <w:r>
        <w:rPr>
          <w:rFonts w:ascii="宋体" w:hAnsi="宋体"/>
          <w:color w:val="auto"/>
          <w:szCs w:val="21"/>
          <w:highlight w:val="none"/>
        </w:rPr>
        <w:t xml:space="preserve"> 承包人无正当理由拒绝撤换主要施工管理人员的违约责任：</w:t>
      </w:r>
      <w:r>
        <w:rPr>
          <w:rFonts w:hint="eastAsia" w:ascii="宋体" w:hAnsi="宋体"/>
          <w:color w:val="auto"/>
          <w:szCs w:val="21"/>
          <w:highlight w:val="none"/>
          <w:u w:val="single"/>
        </w:rPr>
        <w:t>承包人主要施工管理人员因不称职，在收到发包人调换通知后7日内未调换的，视为承包人违约，必须向发包人承担违约责任并支付违约金，违约金按：技术负责人人民币10000元/人•次</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专业工程师人民币5000元/人•次进行支付。</w:t>
      </w:r>
    </w:p>
    <w:p w14:paraId="3244D156">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3.3.</w:t>
      </w:r>
      <w:r>
        <w:rPr>
          <w:rFonts w:hint="eastAsia" w:ascii="宋体" w:hAnsi="宋体"/>
          <w:color w:val="auto"/>
          <w:szCs w:val="21"/>
          <w:highlight w:val="none"/>
        </w:rPr>
        <w:t>3</w:t>
      </w:r>
      <w:r>
        <w:rPr>
          <w:rFonts w:ascii="宋体" w:hAnsi="宋体"/>
          <w:color w:val="auto"/>
          <w:szCs w:val="21"/>
          <w:highlight w:val="none"/>
        </w:rPr>
        <w:t xml:space="preserve"> 承包人主要施工管理人员离开施工现场的批准要求：</w:t>
      </w:r>
      <w:r>
        <w:rPr>
          <w:rFonts w:hint="eastAsia" w:ascii="宋体" w:hAnsi="宋体"/>
          <w:color w:val="auto"/>
          <w:szCs w:val="21"/>
          <w:highlight w:val="none"/>
          <w:u w:val="single"/>
        </w:rPr>
        <w:t>须经发包人或监理人书面同意。</w:t>
      </w:r>
    </w:p>
    <w:p w14:paraId="7D335C48">
      <w:pPr>
        <w:spacing w:line="440" w:lineRule="exact"/>
        <w:ind w:firstLine="420" w:firstLineChars="200"/>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4</w:t>
      </w:r>
      <w:r>
        <w:rPr>
          <w:rFonts w:ascii="宋体" w:hAnsi="宋体"/>
          <w:color w:val="auto"/>
          <w:szCs w:val="21"/>
          <w:highlight w:val="none"/>
        </w:rPr>
        <w:t>承包人擅自更换主要施工管理人员的违约责任：</w:t>
      </w:r>
      <w:r>
        <w:rPr>
          <w:rFonts w:hint="eastAsia" w:ascii="宋体" w:hAnsi="宋体"/>
          <w:color w:val="auto"/>
          <w:szCs w:val="21"/>
          <w:highlight w:val="none"/>
          <w:u w:val="single"/>
        </w:rPr>
        <w:t>技术负责人、专业工程师未经发包人书面同意不准擅自更换，擅自更换技术负责人的按人民币100000元/人•次违约金进行支付</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擅自更换专业工程师（施工员、安全员、资料员）处人民币20000元/人•次违约金。项目管理人员出现身故、重伤、重病、离职及被发包人主动更换五者之一情况而无法履职的，承包人在出具相关证明后变更管理人员的，可免于向发包人支付违约金。如承包人需要调换施工现场管理人员时，需经发包人同意后生效。新调换施工管理人员应与被调换管理人员有相同或更优秀的资历（专业、职称、职业资格），否则，发包人有权拒绝。</w:t>
      </w:r>
    </w:p>
    <w:p w14:paraId="5FD26FF5">
      <w:pPr>
        <w:spacing w:line="440" w:lineRule="exact"/>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hint="eastAsia" w:ascii="宋体" w:hAnsi="宋体"/>
          <w:color w:val="auto"/>
          <w:szCs w:val="21"/>
          <w:highlight w:val="none"/>
          <w:u w:val="single"/>
        </w:rPr>
        <w:t>未经发包人同意，技术负责人擅自离岗或者不到位的，视为承包人违约，承包人按人民币1000元/人•次（天）向发包人支付违约金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未经发包人同意，专业工程师（施工员、安全员、资料员）擅自离岗或者不到位的，视为承包人违约，承包人按人民币500 元/人•次（天）向发包人支付违约金</w:t>
      </w:r>
      <w:r>
        <w:rPr>
          <w:rFonts w:ascii="宋体" w:hAnsi="宋体"/>
          <w:color w:val="auto"/>
          <w:szCs w:val="21"/>
          <w:highlight w:val="none"/>
          <w:u w:val="single"/>
        </w:rPr>
        <w:t>。</w:t>
      </w:r>
    </w:p>
    <w:p w14:paraId="656DF5E0">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3</w:t>
      </w:r>
      <w:bookmarkStart w:id="336" w:name="_Toc297216151"/>
      <w:bookmarkStart w:id="337" w:name="_Toc292559364"/>
      <w:bookmarkStart w:id="338" w:name="_Toc297048345"/>
      <w:bookmarkStart w:id="339" w:name="_Toc296891199"/>
      <w:bookmarkStart w:id="340" w:name="_Toc296890987"/>
      <w:bookmarkStart w:id="341" w:name="_Toc297123492"/>
      <w:bookmarkStart w:id="342" w:name="_Toc303539102"/>
      <w:bookmarkStart w:id="343" w:name="_Toc292559869"/>
      <w:bookmarkStart w:id="344" w:name="_Toc296346660"/>
      <w:bookmarkStart w:id="345" w:name="_Toc304295523"/>
      <w:bookmarkStart w:id="346" w:name="_Toc297120459"/>
      <w:bookmarkStart w:id="347" w:name="_Toc296944498"/>
      <w:bookmarkStart w:id="348" w:name="_Toc296347158"/>
      <w:bookmarkStart w:id="349" w:name="_Toc312677988"/>
      <w:bookmarkStart w:id="350" w:name="_Toc296503159"/>
      <w:bookmarkStart w:id="351" w:name="_Toc300934945"/>
      <w:r>
        <w:rPr>
          <w:rFonts w:ascii="宋体" w:hAnsi="宋体"/>
          <w:color w:val="auto"/>
          <w:szCs w:val="21"/>
          <w:highlight w:val="none"/>
        </w:rPr>
        <w:t>.5 分包</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3CA01732">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bookmarkStart w:id="352" w:name="_Toc296891200"/>
      <w:bookmarkStart w:id="353" w:name="_Toc296503160"/>
      <w:bookmarkStart w:id="354" w:name="_Toc296944499"/>
      <w:bookmarkStart w:id="355" w:name="_Toc292559365"/>
      <w:bookmarkStart w:id="356" w:name="_Toc292559870"/>
      <w:bookmarkStart w:id="357" w:name="_Toc297123493"/>
      <w:bookmarkStart w:id="358" w:name="_Toc296890988"/>
      <w:bookmarkStart w:id="359" w:name="_Toc300934946"/>
      <w:bookmarkStart w:id="360" w:name="_Toc297120460"/>
      <w:bookmarkStart w:id="361" w:name="_Toc304295524"/>
      <w:bookmarkStart w:id="362" w:name="_Toc297048346"/>
      <w:bookmarkStart w:id="363" w:name="_Toc296346661"/>
      <w:bookmarkStart w:id="364" w:name="_Toc303539103"/>
      <w:bookmarkStart w:id="365" w:name="_Toc296347159"/>
      <w:bookmarkStart w:id="366" w:name="_Toc297216152"/>
      <w:bookmarkStart w:id="367" w:name="_Toc318581158"/>
      <w:bookmarkStart w:id="368" w:name="_Toc312677989"/>
      <w:r>
        <w:rPr>
          <w:rFonts w:ascii="宋体" w:hAnsi="宋体"/>
          <w:color w:val="auto"/>
          <w:szCs w:val="21"/>
          <w:highlight w:val="none"/>
        </w:rPr>
        <w:t>.5.1 分包的一般约定</w:t>
      </w:r>
    </w:p>
    <w:p w14:paraId="65BDDE76">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rPr>
        <w:t>本工程禁止分包</w:t>
      </w:r>
      <w:r>
        <w:rPr>
          <w:rFonts w:hint="eastAsia" w:ascii="宋体" w:hAnsi="宋体" w:cs="宋体"/>
          <w:color w:val="auto"/>
          <w:szCs w:val="21"/>
          <w:highlight w:val="none"/>
          <w:u w:val="single"/>
        </w:rPr>
        <w:t xml:space="preserve">                </w:t>
      </w:r>
      <w:r>
        <w:rPr>
          <w:rFonts w:ascii="宋体" w:hAnsi="宋体"/>
          <w:color w:val="auto"/>
          <w:szCs w:val="21"/>
          <w:highlight w:val="none"/>
        </w:rPr>
        <w:t>。</w:t>
      </w:r>
    </w:p>
    <w:p w14:paraId="1B2FF0D6">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主体结构、关键性工作的范围：</w:t>
      </w:r>
      <w:r>
        <w:rPr>
          <w:rFonts w:hint="eastAsia" w:ascii="宋体" w:hAnsi="宋体" w:cs="宋体"/>
          <w:color w:val="auto"/>
          <w:szCs w:val="21"/>
          <w:highlight w:val="none"/>
          <w:u w:val="single"/>
        </w:rPr>
        <w:t>/</w:t>
      </w:r>
      <w:r>
        <w:rPr>
          <w:rFonts w:ascii="宋体" w:hAnsi="宋体"/>
          <w:color w:val="auto"/>
          <w:szCs w:val="21"/>
          <w:highlight w:val="none"/>
        </w:rPr>
        <w: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9" w:name="_Toc303539104"/>
      <w:bookmarkStart w:id="370" w:name="_Toc296944500"/>
      <w:bookmarkStart w:id="371" w:name="_Toc300934947"/>
      <w:bookmarkStart w:id="372" w:name="_Toc297048347"/>
      <w:bookmarkStart w:id="373" w:name="_Toc296346662"/>
      <w:bookmarkStart w:id="374" w:name="_Toc296503161"/>
      <w:bookmarkStart w:id="375" w:name="_Toc297123494"/>
      <w:bookmarkStart w:id="376" w:name="_Toc296890989"/>
      <w:bookmarkStart w:id="377" w:name="_Toc297120461"/>
      <w:bookmarkStart w:id="378" w:name="_Toc304295525"/>
      <w:bookmarkStart w:id="379" w:name="_Toc296891201"/>
      <w:bookmarkStart w:id="380" w:name="_Toc296347160"/>
      <w:bookmarkStart w:id="381" w:name="_Toc297216153"/>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6D642E45">
      <w:pPr>
        <w:spacing w:line="440" w:lineRule="exact"/>
        <w:rPr>
          <w:rFonts w:ascii="宋体" w:hAnsi="宋体"/>
          <w:color w:val="auto"/>
          <w:szCs w:val="21"/>
          <w:highlight w:val="none"/>
        </w:rPr>
      </w:pPr>
      <w:r>
        <w:rPr>
          <w:rFonts w:ascii="宋体" w:hAnsi="宋体"/>
          <w:color w:val="auto"/>
          <w:szCs w:val="21"/>
          <w:highlight w:val="none"/>
        </w:rPr>
        <w:t xml:space="preserve">    3</w:t>
      </w:r>
      <w:bookmarkStart w:id="382" w:name="_Toc312677990"/>
      <w:bookmarkStart w:id="383" w:name="_Toc318581159"/>
      <w:r>
        <w:rPr>
          <w:rFonts w:ascii="宋体" w:hAnsi="宋体"/>
          <w:color w:val="auto"/>
          <w:szCs w:val="21"/>
          <w:highlight w:val="none"/>
        </w:rPr>
        <w:t>.5.2分包的确定</w:t>
      </w:r>
    </w:p>
    <w:p w14:paraId="5B48C392">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w:t>
      </w:r>
      <w:r>
        <w:rPr>
          <w:rFonts w:hint="eastAsia" w:ascii="宋体" w:hAnsi="宋体"/>
          <w:color w:val="auto"/>
          <w:szCs w:val="21"/>
          <w:highlight w:val="none"/>
          <w:u w:val="single"/>
        </w:rPr>
        <w:t>本工程禁止分包</w:t>
      </w:r>
      <w:r>
        <w:rPr>
          <w:rFonts w:hint="eastAsia" w:ascii="宋体" w:hAnsi="宋体" w:cs="宋体"/>
          <w:color w:val="auto"/>
          <w:szCs w:val="21"/>
          <w:highlight w:val="none"/>
          <w:u w:val="single"/>
        </w:rPr>
        <w:t xml:space="preserve">               </w:t>
      </w:r>
      <w:r>
        <w:rPr>
          <w:rFonts w:ascii="宋体" w:hAnsi="宋体"/>
          <w:color w:val="auto"/>
          <w:szCs w:val="21"/>
          <w:highlight w:val="none"/>
        </w:rPr>
        <w:t>。</w:t>
      </w:r>
    </w:p>
    <w:p w14:paraId="21B436EE">
      <w:pPr>
        <w:spacing w:line="44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p>
    <w:p w14:paraId="37AC6272">
      <w:pPr>
        <w:spacing w:line="440" w:lineRule="exact"/>
        <w:ind w:firstLine="420" w:firstLineChars="200"/>
        <w:rPr>
          <w:rFonts w:ascii="宋体" w:hAnsi="宋体"/>
          <w:color w:val="auto"/>
          <w:szCs w:val="21"/>
          <w:highlight w:val="none"/>
        </w:rPr>
      </w:pPr>
      <w:r>
        <w:rPr>
          <w:rFonts w:ascii="宋体" w:hAnsi="宋体"/>
          <w:color w:val="auto"/>
          <w:szCs w:val="21"/>
          <w:highlight w:val="none"/>
        </w:rPr>
        <w:t>3.5.</w:t>
      </w:r>
      <w:r>
        <w:rPr>
          <w:rFonts w:hint="eastAsia" w:ascii="宋体" w:hAnsi="宋体"/>
          <w:color w:val="auto"/>
          <w:szCs w:val="21"/>
          <w:highlight w:val="none"/>
        </w:rPr>
        <w:t>3</w:t>
      </w:r>
      <w:r>
        <w:rPr>
          <w:rFonts w:ascii="宋体" w:hAnsi="宋体"/>
          <w:color w:val="auto"/>
          <w:szCs w:val="21"/>
          <w:highlight w:val="none"/>
        </w:rPr>
        <w:t xml:space="preserve"> 分包合同价款</w:t>
      </w:r>
    </w:p>
    <w:p w14:paraId="38155705">
      <w:pPr>
        <w:spacing w:line="440" w:lineRule="exact"/>
        <w:ind w:firstLine="420" w:firstLineChars="200"/>
        <w:rPr>
          <w:rFonts w:ascii="宋体" w:hAnsi="宋体"/>
          <w:color w:val="auto"/>
          <w:szCs w:val="21"/>
          <w:highlight w:val="none"/>
        </w:rPr>
      </w:pPr>
      <w:r>
        <w:rPr>
          <w:rFonts w:ascii="宋体" w:hAnsi="宋体"/>
          <w:color w:val="auto"/>
          <w:szCs w:val="21"/>
          <w:highlight w:val="none"/>
        </w:rPr>
        <w:t>关于分包合同价款支付的约定：</w:t>
      </w:r>
      <w:r>
        <w:rPr>
          <w:rFonts w:hint="eastAsia" w:ascii="宋体" w:hAnsi="宋体" w:cs="宋体"/>
          <w:color w:val="auto"/>
          <w:szCs w:val="21"/>
          <w:highlight w:val="none"/>
          <w:u w:val="single"/>
        </w:rPr>
        <w:t xml:space="preserve">无        </w:t>
      </w:r>
      <w:r>
        <w:rPr>
          <w:rFonts w:ascii="宋体" w:hAnsi="宋体"/>
          <w:color w:val="auto"/>
          <w:szCs w:val="21"/>
          <w:highlight w:val="none"/>
        </w:rPr>
        <w:t>。</w:t>
      </w:r>
    </w:p>
    <w:bookmarkEnd w:id="382"/>
    <w:bookmarkEnd w:id="383"/>
    <w:p w14:paraId="2B814164">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3.6 工程照管与成品、半成品保护</w:t>
      </w:r>
    </w:p>
    <w:p w14:paraId="2C21BCCC">
      <w:pPr>
        <w:spacing w:before="120" w:after="120" w:line="44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p>
    <w:p w14:paraId="7E192F7A">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3.7 履约担保</w:t>
      </w:r>
    </w:p>
    <w:p w14:paraId="48923F1E">
      <w:pPr>
        <w:spacing w:line="440" w:lineRule="exact"/>
        <w:ind w:firstLine="420" w:firstLineChars="200"/>
        <w:jc w:val="left"/>
        <w:rPr>
          <w:rFonts w:ascii="宋体" w:hAnsi="宋体"/>
          <w:color w:val="auto"/>
          <w:szCs w:val="21"/>
          <w:highlight w:val="none"/>
        </w:rPr>
      </w:pPr>
      <w:bookmarkStart w:id="384" w:name="_Toc351203636"/>
      <w:r>
        <w:rPr>
          <w:rFonts w:hint="eastAsia" w:ascii="宋体" w:hAnsi="宋体"/>
          <w:color w:val="auto"/>
          <w:szCs w:val="21"/>
          <w:highlight w:val="none"/>
        </w:rPr>
        <w:t>承包人是否提供履约担保：</w:t>
      </w:r>
      <w:r>
        <w:rPr>
          <w:rFonts w:hint="eastAsia" w:ascii="宋体" w:hAnsi="宋体"/>
          <w:color w:val="auto"/>
          <w:szCs w:val="21"/>
          <w:highlight w:val="none"/>
          <w:u w:val="single"/>
        </w:rPr>
        <w:t>无</w:t>
      </w:r>
      <w:r>
        <w:rPr>
          <w:rFonts w:ascii="宋体" w:hAnsi="宋体"/>
          <w:color w:val="auto"/>
          <w:szCs w:val="21"/>
          <w:highlight w:val="none"/>
        </w:rPr>
        <w:t>。</w:t>
      </w:r>
    </w:p>
    <w:p w14:paraId="6B0E714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承包人提供履约担保的形式</w:t>
      </w:r>
      <w:r>
        <w:rPr>
          <w:rFonts w:hint="eastAsia" w:ascii="宋体" w:hAnsi="宋体"/>
          <w:color w:val="auto"/>
          <w:szCs w:val="21"/>
          <w:highlight w:val="none"/>
        </w:rPr>
        <w:t>、金额及期限的</w:t>
      </w:r>
      <w:r>
        <w:rPr>
          <w:rFonts w:ascii="宋体" w:hAnsi="宋体"/>
          <w:color w:val="auto"/>
          <w:szCs w:val="21"/>
          <w:highlight w:val="none"/>
        </w:rPr>
        <w:t>：</w:t>
      </w:r>
      <w:r>
        <w:rPr>
          <w:rFonts w:hint="eastAsia" w:ascii="宋体" w:hAnsi="宋体"/>
          <w:color w:val="auto"/>
          <w:szCs w:val="21"/>
          <w:highlight w:val="none"/>
          <w:u w:val="single"/>
        </w:rPr>
        <w:t>无</w:t>
      </w:r>
      <w:r>
        <w:rPr>
          <w:rFonts w:ascii="宋体" w:hAnsi="宋体"/>
          <w:color w:val="auto"/>
          <w:szCs w:val="21"/>
          <w:highlight w:val="none"/>
        </w:rPr>
        <w:t>。</w:t>
      </w:r>
    </w:p>
    <w:p w14:paraId="3CA73C9D">
      <w:pPr>
        <w:keepNext/>
        <w:keepLines/>
        <w:widowControl/>
        <w:spacing w:before="120" w:after="120" w:line="440" w:lineRule="exact"/>
        <w:outlineLvl w:val="3"/>
        <w:rPr>
          <w:rFonts w:ascii="宋体" w:hAnsi="宋体" w:eastAsia="黑体"/>
          <w:b/>
          <w:color w:val="auto"/>
          <w:kern w:val="0"/>
          <w:sz w:val="28"/>
          <w:szCs w:val="21"/>
          <w:highlight w:val="none"/>
        </w:rPr>
      </w:pPr>
      <w:r>
        <w:rPr>
          <w:rFonts w:ascii="宋体" w:hAnsi="宋体" w:eastAsia="黑体"/>
          <w:b/>
          <w:color w:val="auto"/>
          <w:kern w:val="0"/>
          <w:sz w:val="28"/>
          <w:szCs w:val="21"/>
          <w:highlight w:val="none"/>
        </w:rPr>
        <w:t>4</w:t>
      </w:r>
      <w:bookmarkStart w:id="385" w:name="_Toc267251413"/>
      <w:bookmarkStart w:id="386" w:name="_Toc296503162"/>
      <w:bookmarkStart w:id="387" w:name="_Toc297048348"/>
      <w:bookmarkStart w:id="388" w:name="_Toc296346663"/>
      <w:bookmarkStart w:id="389" w:name="_Toc297120462"/>
      <w:bookmarkStart w:id="390" w:name="_Toc292559871"/>
      <w:bookmarkStart w:id="391" w:name="_Toc296347161"/>
      <w:bookmarkStart w:id="392" w:name="_Toc296944501"/>
      <w:bookmarkStart w:id="393" w:name="_Toc292559366"/>
      <w:bookmarkStart w:id="394" w:name="_Toc296891202"/>
      <w:bookmarkStart w:id="395" w:name="_Toc296890990"/>
      <w:r>
        <w:rPr>
          <w:rFonts w:ascii="宋体" w:hAnsi="宋体" w:eastAsia="黑体"/>
          <w:b/>
          <w:color w:val="auto"/>
          <w:kern w:val="0"/>
          <w:sz w:val="28"/>
          <w:szCs w:val="21"/>
          <w:highlight w:val="none"/>
        </w:rPr>
        <w:t>. 监</w:t>
      </w:r>
      <w:bookmarkEnd w:id="385"/>
      <w:bookmarkEnd w:id="386"/>
      <w:bookmarkEnd w:id="387"/>
      <w:bookmarkEnd w:id="388"/>
      <w:bookmarkEnd w:id="389"/>
      <w:bookmarkEnd w:id="390"/>
      <w:bookmarkEnd w:id="391"/>
      <w:bookmarkEnd w:id="392"/>
      <w:bookmarkEnd w:id="393"/>
      <w:bookmarkEnd w:id="394"/>
      <w:bookmarkEnd w:id="395"/>
      <w:r>
        <w:rPr>
          <w:rFonts w:ascii="宋体" w:hAnsi="宋体" w:eastAsia="黑体"/>
          <w:b/>
          <w:color w:val="auto"/>
          <w:kern w:val="0"/>
          <w:sz w:val="28"/>
          <w:szCs w:val="21"/>
          <w:highlight w:val="none"/>
        </w:rPr>
        <w:t>理人</w:t>
      </w:r>
      <w:bookmarkEnd w:id="384"/>
    </w:p>
    <w:p w14:paraId="4268DC43">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4.1监理人的一般规定</w:t>
      </w:r>
    </w:p>
    <w:p w14:paraId="74A5C84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p>
    <w:p w14:paraId="752CC511">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关于监理人的监理权限：。 </w:t>
      </w:r>
    </w:p>
    <w:p w14:paraId="1BB26584">
      <w:pPr>
        <w:spacing w:line="44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p>
    <w:p w14:paraId="51892418">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4.2 监理人员</w:t>
      </w:r>
    </w:p>
    <w:p w14:paraId="06B18E92">
      <w:pPr>
        <w:spacing w:line="44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673B81A5">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姓    名：</w:t>
      </w:r>
      <w:r>
        <w:rPr>
          <w:rFonts w:hint="eastAsia" w:ascii="宋体" w:hAnsi="宋体"/>
          <w:color w:val="auto"/>
          <w:szCs w:val="21"/>
          <w:highlight w:val="none"/>
          <w:lang w:eastAsia="zh-CN"/>
        </w:rPr>
        <w:t>；</w:t>
      </w:r>
    </w:p>
    <w:p w14:paraId="600C10EF">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职    务：</w:t>
      </w:r>
      <w:r>
        <w:rPr>
          <w:rFonts w:hint="eastAsia" w:ascii="宋体" w:hAnsi="宋体"/>
          <w:color w:val="auto"/>
          <w:szCs w:val="21"/>
          <w:highlight w:val="none"/>
          <w:lang w:eastAsia="zh-CN"/>
        </w:rPr>
        <w:t>；</w:t>
      </w:r>
    </w:p>
    <w:p w14:paraId="1AC7B9E7">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监理工程师执业资格证书号：</w:t>
      </w:r>
      <w:r>
        <w:rPr>
          <w:rFonts w:hint="eastAsia" w:ascii="宋体" w:hAnsi="宋体"/>
          <w:color w:val="auto"/>
          <w:szCs w:val="21"/>
          <w:highlight w:val="none"/>
          <w:lang w:eastAsia="zh-CN"/>
        </w:rPr>
        <w:t>；</w:t>
      </w:r>
    </w:p>
    <w:p w14:paraId="05F82FDB">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lang w:eastAsia="zh-CN"/>
        </w:rPr>
        <w:t>；</w:t>
      </w:r>
    </w:p>
    <w:p w14:paraId="2399C674">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电子信箱：</w:t>
      </w:r>
      <w:r>
        <w:rPr>
          <w:rFonts w:hint="eastAsia" w:ascii="宋体" w:hAnsi="宋体"/>
          <w:color w:val="auto"/>
          <w:szCs w:val="21"/>
          <w:highlight w:val="none"/>
          <w:lang w:eastAsia="zh-CN"/>
        </w:rPr>
        <w:t>；</w:t>
      </w:r>
    </w:p>
    <w:p w14:paraId="684AB81A">
      <w:pPr>
        <w:spacing w:line="44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通信地址：</w:t>
      </w:r>
      <w:r>
        <w:rPr>
          <w:rFonts w:hint="eastAsia" w:ascii="宋体" w:hAnsi="宋体"/>
          <w:color w:val="auto"/>
          <w:szCs w:val="21"/>
          <w:highlight w:val="none"/>
          <w:lang w:eastAsia="zh-CN"/>
        </w:rPr>
        <w:t>；</w:t>
      </w:r>
    </w:p>
    <w:p w14:paraId="0315B94B">
      <w:pPr>
        <w:spacing w:line="44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p>
    <w:p w14:paraId="790CADB3">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w:t>
      </w:r>
      <w:r>
        <w:rPr>
          <w:rFonts w:ascii="宋体" w:hAnsi="宋体"/>
          <w:color w:val="auto"/>
          <w:szCs w:val="21"/>
          <w:highlight w:val="none"/>
        </w:rPr>
        <w:t xml:space="preserve"> 商定或确定</w:t>
      </w:r>
    </w:p>
    <w:p w14:paraId="59361211">
      <w:pPr>
        <w:spacing w:line="440" w:lineRule="exact"/>
        <w:ind w:firstLine="420" w:firstLineChars="200"/>
        <w:rPr>
          <w:rFonts w:ascii="宋体" w:hAnsi="宋体"/>
          <w:color w:val="auto"/>
          <w:szCs w:val="21"/>
          <w:highlight w:val="none"/>
        </w:rPr>
      </w:pPr>
      <w:bookmarkStart w:id="396" w:name="_Toc267251418"/>
      <w:r>
        <w:rPr>
          <w:rFonts w:ascii="宋体" w:hAnsi="宋体"/>
          <w:color w:val="auto"/>
          <w:szCs w:val="21"/>
          <w:highlight w:val="none"/>
        </w:rPr>
        <w:t>在发包人和承包人不能通过协商达成一致意见时，发包人授权监理人对以下事项进行确定：</w:t>
      </w:r>
    </w:p>
    <w:p w14:paraId="1FD40DC4">
      <w:pPr>
        <w:autoSpaceDE w:val="0"/>
        <w:autoSpaceDN w:val="0"/>
        <w:adjustRightInd w:val="0"/>
        <w:spacing w:line="440" w:lineRule="exact"/>
        <w:ind w:firstLine="420" w:firstLineChars="200"/>
        <w:jc w:val="left"/>
        <w:rPr>
          <w:rFonts w:hint="eastAsia" w:ascii="宋体" w:hAnsi="宋体" w:eastAsia="宋体"/>
          <w:color w:val="auto"/>
          <w:kern w:val="0"/>
          <w:szCs w:val="21"/>
          <w:highlight w:val="none"/>
          <w:lang w:eastAsia="zh-CN"/>
        </w:rPr>
      </w:pPr>
      <w:r>
        <w:rPr>
          <w:rFonts w:ascii="宋体" w:hAnsi="宋体"/>
          <w:color w:val="auto"/>
          <w:kern w:val="0"/>
          <w:szCs w:val="21"/>
          <w:highlight w:val="none"/>
        </w:rPr>
        <w:t>（1）</w:t>
      </w:r>
      <w:r>
        <w:rPr>
          <w:rFonts w:hint="eastAsia" w:ascii="宋体" w:hAnsi="宋体"/>
          <w:color w:val="auto"/>
          <w:szCs w:val="21"/>
          <w:highlight w:val="none"/>
          <w:lang w:eastAsia="zh-CN"/>
        </w:rPr>
        <w:t>；</w:t>
      </w:r>
    </w:p>
    <w:p w14:paraId="42CF5FF9">
      <w:pPr>
        <w:autoSpaceDE w:val="0"/>
        <w:autoSpaceDN w:val="0"/>
        <w:adjustRightInd w:val="0"/>
        <w:spacing w:line="440" w:lineRule="exact"/>
        <w:ind w:firstLine="420" w:firstLineChars="200"/>
        <w:jc w:val="left"/>
        <w:rPr>
          <w:rFonts w:hint="eastAsia" w:ascii="宋体" w:hAnsi="宋体" w:eastAsia="宋体"/>
          <w:color w:val="auto"/>
          <w:kern w:val="0"/>
          <w:szCs w:val="21"/>
          <w:highlight w:val="none"/>
          <w:lang w:eastAsia="zh-CN"/>
        </w:rPr>
      </w:pPr>
      <w:r>
        <w:rPr>
          <w:rFonts w:ascii="宋体" w:hAnsi="宋体"/>
          <w:color w:val="auto"/>
          <w:kern w:val="0"/>
          <w:szCs w:val="21"/>
          <w:highlight w:val="none"/>
        </w:rPr>
        <w:t>（2）</w:t>
      </w:r>
      <w:r>
        <w:rPr>
          <w:rFonts w:hint="eastAsia" w:ascii="宋体" w:hAnsi="宋体"/>
          <w:color w:val="auto"/>
          <w:szCs w:val="21"/>
          <w:highlight w:val="none"/>
          <w:lang w:eastAsia="zh-CN"/>
        </w:rPr>
        <w:t>；</w:t>
      </w:r>
    </w:p>
    <w:p w14:paraId="66C82205">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rPr>
        <w:t>。</w:t>
      </w:r>
    </w:p>
    <w:p w14:paraId="1F95252E">
      <w:pPr>
        <w:keepNext/>
        <w:keepLines/>
        <w:widowControl/>
        <w:spacing w:before="120" w:after="120" w:line="440" w:lineRule="exact"/>
        <w:outlineLvl w:val="3"/>
        <w:rPr>
          <w:rFonts w:ascii="宋体" w:hAnsi="宋体" w:eastAsia="黑体"/>
          <w:b/>
          <w:color w:val="auto"/>
          <w:kern w:val="0"/>
          <w:sz w:val="28"/>
          <w:szCs w:val="21"/>
          <w:highlight w:val="none"/>
        </w:rPr>
      </w:pPr>
      <w:bookmarkStart w:id="397" w:name="_Toc351203637"/>
      <w:r>
        <w:rPr>
          <w:rFonts w:ascii="宋体" w:hAnsi="宋体" w:eastAsia="黑体"/>
          <w:b/>
          <w:color w:val="auto"/>
          <w:kern w:val="0"/>
          <w:sz w:val="28"/>
          <w:szCs w:val="21"/>
          <w:highlight w:val="none"/>
        </w:rPr>
        <w:t>5</w:t>
      </w:r>
      <w:bookmarkEnd w:id="396"/>
      <w:bookmarkStart w:id="398" w:name="_Toc296347162"/>
      <w:bookmarkStart w:id="399" w:name="_Toc296503163"/>
      <w:bookmarkStart w:id="400" w:name="_Toc296346664"/>
      <w:bookmarkStart w:id="401" w:name="_Toc296944502"/>
      <w:bookmarkStart w:id="402" w:name="_Toc297048349"/>
      <w:bookmarkStart w:id="403" w:name="_Toc296891203"/>
      <w:bookmarkStart w:id="404" w:name="_Toc297120463"/>
      <w:bookmarkStart w:id="405" w:name="_Toc292559367"/>
      <w:bookmarkStart w:id="406" w:name="_Toc292559872"/>
      <w:bookmarkStart w:id="407" w:name="_Toc296890991"/>
      <w:r>
        <w:rPr>
          <w:rFonts w:ascii="宋体" w:hAnsi="宋体" w:eastAsia="黑体"/>
          <w:b/>
          <w:color w:val="auto"/>
          <w:kern w:val="0"/>
          <w:sz w:val="28"/>
          <w:szCs w:val="21"/>
          <w:highlight w:val="none"/>
        </w:rPr>
        <w:t>. 工程质量</w:t>
      </w:r>
      <w:bookmarkEnd w:id="397"/>
    </w:p>
    <w:p w14:paraId="23A3114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5.1 质量要求</w:t>
      </w:r>
    </w:p>
    <w:p w14:paraId="0DC58FD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5</w:t>
      </w:r>
      <w:bookmarkStart w:id="408" w:name="_Toc303539106"/>
      <w:bookmarkStart w:id="409" w:name="_Toc304295527"/>
      <w:bookmarkStart w:id="410" w:name="_Toc297123496"/>
      <w:bookmarkStart w:id="411" w:name="_Toc312677997"/>
      <w:bookmarkStart w:id="412" w:name="_Toc318581164"/>
      <w:bookmarkStart w:id="413" w:name="_Toc300934949"/>
      <w:bookmarkStart w:id="414" w:name="_Toc297216155"/>
      <w:r>
        <w:rPr>
          <w:rFonts w:ascii="宋体" w:hAnsi="宋体"/>
          <w:color w:val="auto"/>
          <w:szCs w:val="21"/>
          <w:highlight w:val="none"/>
        </w:rPr>
        <w:t>.1.1 特殊质量标准和要求：。</w:t>
      </w:r>
    </w:p>
    <w:p w14:paraId="0E7BF029">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关于工程奖项的约定：。</w:t>
      </w:r>
    </w:p>
    <w:p w14:paraId="57A44696">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5.3 隐蔽工程检查</w:t>
      </w:r>
    </w:p>
    <w:p w14:paraId="3CC2CA8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5.3.2承包人提前通知监理人隐蔽工程检查的期限的约定：</w:t>
      </w:r>
      <w:r>
        <w:rPr>
          <w:rFonts w:hint="eastAsia" w:ascii="宋体" w:hAnsi="宋体"/>
          <w:b/>
          <w:bCs/>
          <w:color w:val="auto"/>
          <w:szCs w:val="21"/>
          <w:highlight w:val="none"/>
          <w:u w:val="single"/>
        </w:rPr>
        <w:t>工程隐蔽或中间验收前24小时以书面形式通知发包人和监理工程师验收的内容、时间、地点，承包人准备验收记录单（最好是印制的表格）由双方签证。验收合格，承包人可进行隐蔽和继续施工</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验收不合格，双方商订时限内修改后按上述循序重新验收。</w:t>
      </w:r>
    </w:p>
    <w:p w14:paraId="38D88F70">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hint="eastAsia" w:ascii="宋体" w:hAnsi="宋体"/>
          <w:color w:val="auto"/>
          <w:szCs w:val="21"/>
          <w:highlight w:val="none"/>
        </w:rPr>
        <w:t>24</w:t>
      </w:r>
      <w:r>
        <w:rPr>
          <w:rFonts w:ascii="宋体" w:hAnsi="宋体"/>
          <w:color w:val="auto"/>
          <w:szCs w:val="21"/>
          <w:highlight w:val="none"/>
        </w:rPr>
        <w:t>小时提交书面延期要求。</w:t>
      </w:r>
    </w:p>
    <w:p w14:paraId="481B41D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hint="eastAsia" w:ascii="宋体" w:hAnsi="宋体"/>
          <w:color w:val="auto"/>
          <w:szCs w:val="21"/>
          <w:highlight w:val="none"/>
        </w:rPr>
        <w:t>12</w:t>
      </w:r>
      <w:r>
        <w:rPr>
          <w:rFonts w:ascii="宋体" w:hAnsi="宋体"/>
          <w:color w:val="auto"/>
          <w:szCs w:val="21"/>
          <w:highlight w:val="none"/>
        </w:rPr>
        <w:t>小时。</w:t>
      </w:r>
    </w:p>
    <w:p w14:paraId="47ABC650">
      <w:pPr>
        <w:keepNext/>
        <w:keepLines/>
        <w:widowControl/>
        <w:spacing w:before="120" w:after="120" w:line="440" w:lineRule="exact"/>
        <w:outlineLvl w:val="3"/>
        <w:rPr>
          <w:rFonts w:ascii="宋体" w:hAnsi="宋体" w:eastAsia="黑体"/>
          <w:b/>
          <w:color w:val="auto"/>
          <w:kern w:val="0"/>
          <w:sz w:val="28"/>
          <w:szCs w:val="21"/>
          <w:highlight w:val="none"/>
        </w:rPr>
      </w:pPr>
      <w:bookmarkStart w:id="415" w:name="_Toc351203638"/>
      <w:r>
        <w:rPr>
          <w:rFonts w:ascii="宋体" w:hAnsi="宋体" w:eastAsia="黑体"/>
          <w:b/>
          <w:color w:val="auto"/>
          <w:kern w:val="0"/>
          <w:sz w:val="28"/>
          <w:szCs w:val="21"/>
          <w:highlight w:val="none"/>
        </w:rPr>
        <w:t>6. 安全文明施工与环境保护</w:t>
      </w:r>
      <w:bookmarkEnd w:id="415"/>
    </w:p>
    <w:p w14:paraId="544D2E77">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6.1安全文明施工</w:t>
      </w:r>
    </w:p>
    <w:p w14:paraId="7B8E4C9D">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p>
    <w:p w14:paraId="5CF48B04">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2</w:t>
      </w:r>
      <w:r>
        <w:rPr>
          <w:rFonts w:ascii="宋体" w:hAnsi="宋体"/>
          <w:color w:val="auto"/>
          <w:szCs w:val="21"/>
          <w:highlight w:val="none"/>
        </w:rPr>
        <w:t xml:space="preserve"> 关于治安保卫的特别约定：</w:t>
      </w:r>
      <w:r>
        <w:rPr>
          <w:rFonts w:hint="eastAsia" w:ascii="宋体" w:hAnsi="宋体"/>
          <w:b/>
          <w:color w:val="auto"/>
          <w:szCs w:val="21"/>
          <w:highlight w:val="none"/>
          <w:u w:val="single"/>
        </w:rPr>
        <w:t>承包人应承担施工安全保卫工作及非夜间施工照明的责任，承包人应采取一切合理的预防措施，防止人员伤亡、财产损失事故，费用由承包人承担</w:t>
      </w:r>
      <w:r>
        <w:rPr>
          <w:rFonts w:ascii="宋体" w:hAnsi="宋体"/>
          <w:b/>
          <w:color w:val="auto"/>
          <w:szCs w:val="21"/>
          <w:highlight w:val="none"/>
          <w:u w:val="single"/>
        </w:rPr>
        <w:t>。</w:t>
      </w:r>
      <w:r>
        <w:rPr>
          <w:rFonts w:hint="eastAsia" w:ascii="宋体" w:hAnsi="宋体"/>
          <w:b/>
          <w:color w:val="auto"/>
          <w:szCs w:val="21"/>
          <w:highlight w:val="none"/>
          <w:u w:val="single"/>
        </w:rPr>
        <w:t>承包人生活设施及施工场应自费配备消防设备，防止火灾发生。</w:t>
      </w:r>
    </w:p>
    <w:p w14:paraId="2D8F59CF">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rPr>
        <w:t>/</w:t>
      </w:r>
      <w:r>
        <w:rPr>
          <w:rFonts w:ascii="宋体" w:hAnsi="宋体"/>
          <w:color w:val="auto"/>
          <w:szCs w:val="21"/>
          <w:highlight w:val="none"/>
        </w:rPr>
        <w:t>。</w:t>
      </w:r>
    </w:p>
    <w:p w14:paraId="3A38AF3F">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6.1.3 文明施工</w:t>
      </w:r>
    </w:p>
    <w:p w14:paraId="65EA0BFC">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承包人应按住建主管部门有关规定做好工程质量和安全管理、环境保护和文明施工的工作，建立完善的工程质量和安全管理、环境保护和文明施工体系，严格遵照实施，并接受发包人及相关职能部门的监督检查。</w:t>
      </w:r>
    </w:p>
    <w:p w14:paraId="0F58169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4</w:t>
      </w:r>
      <w:r>
        <w:rPr>
          <w:rFonts w:ascii="宋体" w:hAnsi="宋体"/>
          <w:color w:val="auto"/>
          <w:szCs w:val="21"/>
          <w:highlight w:val="none"/>
        </w:rPr>
        <w:t>关于安全文明施工费支付比例和支付期限的约定：</w:t>
      </w:r>
    </w:p>
    <w:p w14:paraId="4FBE0759">
      <w:pPr>
        <w:numPr>
          <w:ilvl w:val="0"/>
          <w:numId w:val="4"/>
        </w:num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本合同价款已包含安全文明施工费</w:t>
      </w:r>
    </w:p>
    <w:p w14:paraId="6A6FDA5A">
      <w:pPr>
        <w:numPr>
          <w:ilvl w:val="0"/>
          <w:numId w:val="4"/>
        </w:num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使用要求：专款专用。具体按《广西壮族自治区建设工程安全文明施工费使用管理细则》（桂建质【2015】16号及其相关规定执行）</w:t>
      </w:r>
      <w:r>
        <w:rPr>
          <w:rFonts w:ascii="宋体" w:hAnsi="宋体"/>
          <w:color w:val="auto"/>
          <w:szCs w:val="21"/>
          <w:highlight w:val="none"/>
        </w:rPr>
        <w:t>。</w:t>
      </w:r>
    </w:p>
    <w:p w14:paraId="7828199C">
      <w:pPr>
        <w:numPr>
          <w:ilvl w:val="0"/>
          <w:numId w:val="4"/>
        </w:num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支付约定：限额内专款专用，实报实销。</w:t>
      </w:r>
    </w:p>
    <w:p w14:paraId="661BC7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6.2环境保护:</w:t>
      </w:r>
      <w:r>
        <w:rPr>
          <w:rFonts w:hint="eastAsia" w:ascii="宋体" w:hAnsi="宋体"/>
          <w:b/>
          <w:color w:val="auto"/>
          <w:szCs w:val="21"/>
          <w:highlight w:val="none"/>
          <w:u w:val="single"/>
        </w:rPr>
        <w:t>因施工需要，经发包人批准，由承包人办理有关施工场地交通、环卫和施工噪音管理等手续，费用由承包人负责。经过城市道路的施工车辆，必须按交警、城管、运输等部门相关规定执行。由于施工车辆造成的道路、环境等污染，其责任和费用均由承包人承担。</w:t>
      </w:r>
    </w:p>
    <w:bookmarkEnd w:id="408"/>
    <w:bookmarkEnd w:id="409"/>
    <w:bookmarkEnd w:id="410"/>
    <w:bookmarkEnd w:id="411"/>
    <w:bookmarkEnd w:id="412"/>
    <w:bookmarkEnd w:id="413"/>
    <w:bookmarkEnd w:id="414"/>
    <w:p w14:paraId="74C601D5">
      <w:pPr>
        <w:keepNext/>
        <w:keepLines/>
        <w:widowControl/>
        <w:spacing w:before="120" w:after="120" w:line="440" w:lineRule="exact"/>
        <w:ind w:firstLine="141" w:firstLineChars="50"/>
        <w:outlineLvl w:val="3"/>
        <w:rPr>
          <w:rFonts w:ascii="宋体" w:hAnsi="宋体" w:eastAsia="黑体"/>
          <w:b/>
          <w:color w:val="auto"/>
          <w:kern w:val="0"/>
          <w:sz w:val="28"/>
          <w:szCs w:val="21"/>
          <w:highlight w:val="none"/>
        </w:rPr>
      </w:pPr>
      <w:bookmarkStart w:id="416" w:name="_Toc351203639"/>
      <w:r>
        <w:rPr>
          <w:rFonts w:ascii="宋体" w:hAnsi="宋体" w:eastAsia="黑体"/>
          <w:b/>
          <w:color w:val="auto"/>
          <w:kern w:val="0"/>
          <w:sz w:val="28"/>
          <w:szCs w:val="21"/>
          <w:highlight w:val="none"/>
        </w:rPr>
        <w:t>7. 工期和进度</w:t>
      </w:r>
      <w:bookmarkEnd w:id="416"/>
    </w:p>
    <w:p w14:paraId="6AEFEFCF">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7.1 施工组织设计</w:t>
      </w:r>
    </w:p>
    <w:p w14:paraId="03060624">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ascii="宋体" w:hAnsi="宋体"/>
          <w:color w:val="auto"/>
          <w:szCs w:val="21"/>
          <w:highlight w:val="none"/>
        </w:rPr>
        <w:t>。</w:t>
      </w:r>
    </w:p>
    <w:p w14:paraId="45A80876">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szCs w:val="21"/>
          <w:highlight w:val="none"/>
        </w:rPr>
        <w:t>7.1.2</w:t>
      </w:r>
      <w:r>
        <w:rPr>
          <w:rFonts w:ascii="宋体" w:hAnsi="宋体"/>
          <w:color w:val="auto"/>
          <w:kern w:val="0"/>
          <w:szCs w:val="21"/>
          <w:highlight w:val="none"/>
        </w:rPr>
        <w:t>施工组织设计的提交和修改</w:t>
      </w:r>
    </w:p>
    <w:p w14:paraId="29032B81">
      <w:pPr>
        <w:autoSpaceDE w:val="0"/>
        <w:autoSpaceDN w:val="0"/>
        <w:adjustRightInd w:val="0"/>
        <w:spacing w:line="440" w:lineRule="exact"/>
        <w:ind w:firstLine="420" w:firstLineChars="200"/>
        <w:jc w:val="left"/>
        <w:rPr>
          <w:rFonts w:ascii="宋体" w:hAnsi="宋体"/>
          <w:color w:val="auto"/>
          <w:szCs w:val="21"/>
          <w:highlight w:val="none"/>
        </w:rPr>
      </w:pPr>
      <w:r>
        <w:rPr>
          <w:rFonts w:ascii="宋体" w:hAnsi="宋体"/>
          <w:color w:val="auto"/>
          <w:kern w:val="0"/>
          <w:szCs w:val="21"/>
          <w:highlight w:val="none"/>
        </w:rPr>
        <w:t>承包人提交详细施工组织设计的期限的约定：</w:t>
      </w:r>
      <w:r>
        <w:rPr>
          <w:rFonts w:ascii="宋体" w:hAnsi="宋体"/>
          <w:color w:val="auto"/>
          <w:szCs w:val="21"/>
          <w:highlight w:val="none"/>
        </w:rPr>
        <w:t>。</w:t>
      </w:r>
    </w:p>
    <w:p w14:paraId="3B38A7AF">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p>
    <w:p w14:paraId="2C833DEF">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w:t>
      </w:r>
      <w:bookmarkStart w:id="417" w:name="_Toc297123514"/>
      <w:bookmarkStart w:id="418" w:name="_Toc312678005"/>
      <w:bookmarkStart w:id="419" w:name="_Toc300934966"/>
      <w:bookmarkStart w:id="420" w:name="_Toc303539123"/>
      <w:bookmarkStart w:id="421" w:name="_Toc312677479"/>
      <w:bookmarkStart w:id="422" w:name="_Toc297216173"/>
      <w:bookmarkStart w:id="423" w:name="_Toc304295541"/>
      <w:r>
        <w:rPr>
          <w:rFonts w:ascii="宋体" w:hAnsi="宋体"/>
          <w:color w:val="auto"/>
          <w:szCs w:val="21"/>
          <w:highlight w:val="none"/>
        </w:rPr>
        <w:t>.2 施工进度计划</w:t>
      </w:r>
    </w:p>
    <w:p w14:paraId="5166FEF9">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1</w:t>
      </w:r>
      <w:r>
        <w:rPr>
          <w:rFonts w:ascii="宋体" w:hAnsi="宋体"/>
          <w:color w:val="auto"/>
          <w:szCs w:val="21"/>
          <w:highlight w:val="none"/>
        </w:rPr>
        <w:t xml:space="preserve"> 施工进度计划的修订</w:t>
      </w:r>
    </w:p>
    <w:p w14:paraId="70438558">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p>
    <w:p w14:paraId="2789EC3F">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7.3 开工</w:t>
      </w:r>
    </w:p>
    <w:p w14:paraId="7D3C1198">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7.3.1 开工准备</w:t>
      </w:r>
    </w:p>
    <w:p w14:paraId="42D95EEE">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rPr>
        <w:t>。</w:t>
      </w:r>
    </w:p>
    <w:p w14:paraId="4A40EDB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关于发包人应完成的其他开工准备工作及期限：。</w:t>
      </w:r>
    </w:p>
    <w:p w14:paraId="2CFA7E9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关于承包人应完成的其他开工准备工作及期限：。</w:t>
      </w:r>
    </w:p>
    <w:p w14:paraId="14EF979C">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7.3.2开工通知</w:t>
      </w:r>
    </w:p>
    <w:p w14:paraId="2D6BA58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因发包人原因造成监理人未能在计划开工日期之日起天内发出开工通知的，承包人有权提出价格调整要求，或者解除合同。</w:t>
      </w:r>
    </w:p>
    <w:bookmarkEnd w:id="417"/>
    <w:bookmarkEnd w:id="418"/>
    <w:bookmarkEnd w:id="419"/>
    <w:bookmarkEnd w:id="420"/>
    <w:bookmarkEnd w:id="421"/>
    <w:bookmarkEnd w:id="422"/>
    <w:bookmarkEnd w:id="423"/>
    <w:p w14:paraId="445B64F3">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7.4 测量放线</w:t>
      </w:r>
    </w:p>
    <w:p w14:paraId="366C17C0">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p>
    <w:p w14:paraId="334158B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w:t>
      </w:r>
      <w:bookmarkStart w:id="424" w:name="_Toc312677484"/>
      <w:bookmarkStart w:id="425" w:name="_Toc300934968"/>
      <w:bookmarkStart w:id="426" w:name="_Toc297216175"/>
      <w:bookmarkStart w:id="427" w:name="_Toc297123516"/>
      <w:bookmarkStart w:id="428" w:name="_Toc312678010"/>
      <w:bookmarkStart w:id="429" w:name="_Toc304295546"/>
      <w:bookmarkStart w:id="430" w:name="_Toc303539125"/>
      <w:r>
        <w:rPr>
          <w:rFonts w:ascii="宋体" w:hAnsi="宋体"/>
          <w:color w:val="auto"/>
          <w:szCs w:val="21"/>
          <w:highlight w:val="none"/>
        </w:rPr>
        <w:t>.5 工期延误</w:t>
      </w:r>
    </w:p>
    <w:bookmarkEnd w:id="424"/>
    <w:bookmarkEnd w:id="425"/>
    <w:bookmarkEnd w:id="426"/>
    <w:bookmarkEnd w:id="427"/>
    <w:bookmarkEnd w:id="428"/>
    <w:bookmarkEnd w:id="429"/>
    <w:bookmarkEnd w:id="430"/>
    <w:p w14:paraId="712EF3CC">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7.5.1 因发包人原因导致工期延误</w:t>
      </w:r>
    </w:p>
    <w:p w14:paraId="68DEAA76">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（7）因发包人原因导致工期延误的其他情形：。</w:t>
      </w:r>
    </w:p>
    <w:p w14:paraId="6415215D">
      <w:pPr>
        <w:spacing w:line="440" w:lineRule="exact"/>
        <w:ind w:firstLine="422" w:firstLineChars="200"/>
        <w:jc w:val="left"/>
        <w:rPr>
          <w:rFonts w:ascii="宋体" w:hAnsi="宋体"/>
          <w:color w:val="auto"/>
          <w:szCs w:val="21"/>
          <w:highlight w:val="none"/>
        </w:rPr>
      </w:pPr>
      <w:r>
        <w:rPr>
          <w:rFonts w:ascii="宋体" w:hAnsi="宋体"/>
          <w:b/>
          <w:bCs/>
          <w:color w:val="auto"/>
          <w:szCs w:val="21"/>
          <w:highlight w:val="none"/>
          <w:u w:val="single"/>
        </w:rPr>
        <w:t>因</w:t>
      </w:r>
      <w:r>
        <w:rPr>
          <w:rFonts w:hint="eastAsia" w:ascii="宋体" w:hAnsi="宋体"/>
          <w:b/>
          <w:bCs/>
          <w:color w:val="auto"/>
          <w:szCs w:val="21"/>
          <w:highlight w:val="none"/>
          <w:u w:val="single"/>
        </w:rPr>
        <w:t>发</w:t>
      </w:r>
      <w:r>
        <w:rPr>
          <w:rFonts w:ascii="宋体" w:hAnsi="宋体"/>
          <w:b/>
          <w:bCs/>
          <w:color w:val="auto"/>
          <w:szCs w:val="21"/>
          <w:highlight w:val="none"/>
          <w:u w:val="single"/>
        </w:rPr>
        <w:t>包人</w:t>
      </w:r>
      <w:r>
        <w:rPr>
          <w:rFonts w:hint="eastAsia" w:ascii="宋体" w:hAnsi="宋体"/>
          <w:b/>
          <w:bCs/>
          <w:color w:val="auto"/>
          <w:szCs w:val="21"/>
          <w:highlight w:val="none"/>
          <w:u w:val="single"/>
        </w:rPr>
        <w:t>资金未能及时支付等资金方面的</w:t>
      </w:r>
      <w:r>
        <w:rPr>
          <w:rFonts w:ascii="宋体" w:hAnsi="宋体"/>
          <w:b/>
          <w:bCs/>
          <w:color w:val="auto"/>
          <w:szCs w:val="21"/>
          <w:highlight w:val="none"/>
          <w:u w:val="single"/>
        </w:rPr>
        <w:t>原因</w:t>
      </w:r>
      <w:r>
        <w:rPr>
          <w:rFonts w:hint="eastAsia" w:ascii="宋体" w:hAnsi="宋体"/>
          <w:b/>
          <w:bCs/>
          <w:color w:val="auto"/>
          <w:szCs w:val="21"/>
          <w:highlight w:val="none"/>
          <w:u w:val="single"/>
        </w:rPr>
        <w:t>，若承包人因此造成的窝工、停工超过两个月的，发包人有权更换承包人。</w:t>
      </w:r>
    </w:p>
    <w:p w14:paraId="1E6EA9A6">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7</w:t>
      </w:r>
      <w:bookmarkStart w:id="431" w:name="_Toc318581169"/>
      <w:bookmarkStart w:id="432" w:name="_Toc312678012"/>
      <w:bookmarkStart w:id="433" w:name="_Toc312677486"/>
      <w:bookmarkStart w:id="434" w:name="_Toc303539127"/>
      <w:bookmarkStart w:id="435" w:name="_Toc300934970"/>
      <w:bookmarkStart w:id="436" w:name="_Toc297123518"/>
      <w:bookmarkStart w:id="437" w:name="_Toc297216177"/>
      <w:bookmarkStart w:id="438" w:name="_Toc304295548"/>
      <w:r>
        <w:rPr>
          <w:rFonts w:ascii="宋体" w:hAnsi="宋体"/>
          <w:color w:val="auto"/>
          <w:szCs w:val="21"/>
          <w:highlight w:val="none"/>
        </w:rPr>
        <w:t>.5.2 因承包人原因导致工期延误</w:t>
      </w:r>
    </w:p>
    <w:bookmarkEnd w:id="431"/>
    <w:bookmarkEnd w:id="432"/>
    <w:bookmarkEnd w:id="433"/>
    <w:p w14:paraId="0DC38FF6">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因</w:t>
      </w:r>
      <w:bookmarkStart w:id="439" w:name="_Toc312677487"/>
      <w:bookmarkStart w:id="440" w:name="_Toc312678013"/>
      <w:bookmarkStart w:id="441" w:name="_Toc318581170"/>
      <w:r>
        <w:rPr>
          <w:rFonts w:ascii="宋体" w:hAnsi="宋体"/>
          <w:color w:val="auto"/>
          <w:szCs w:val="21"/>
          <w:highlight w:val="none"/>
        </w:rPr>
        <w:t>承包人原因造成工期延误，逾期竣工违约金的计算方法：</w:t>
      </w:r>
      <w:r>
        <w:rPr>
          <w:rFonts w:hint="eastAsia" w:ascii="宋体" w:hAnsi="宋体"/>
          <w:b/>
          <w:color w:val="auto"/>
          <w:szCs w:val="21"/>
          <w:highlight w:val="none"/>
          <w:u w:val="single"/>
        </w:rPr>
        <w:t>非上述原因，承包人不能按合同约定的时间竣工，承包人应承担违约责任。应向发包人支付误期赔偿费（每天赔偿金额为合同价款的万分之一），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auto"/>
          <w:szCs w:val="21"/>
          <w:highlight w:val="none"/>
        </w:rPr>
        <w:t>。</w:t>
      </w:r>
      <w:bookmarkEnd w:id="434"/>
      <w:bookmarkEnd w:id="435"/>
      <w:bookmarkEnd w:id="436"/>
      <w:bookmarkEnd w:id="437"/>
      <w:bookmarkEnd w:id="438"/>
      <w:bookmarkEnd w:id="439"/>
      <w:bookmarkEnd w:id="440"/>
    </w:p>
    <w:bookmarkEnd w:id="441"/>
    <w:p w14:paraId="05122477">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因承包人原因造成工期延误，逾</w:t>
      </w:r>
      <w:bookmarkStart w:id="442" w:name="_Toc312678014"/>
      <w:bookmarkStart w:id="443" w:name="_Toc318581171"/>
      <w:r>
        <w:rPr>
          <w:rFonts w:ascii="宋体" w:hAnsi="宋体"/>
          <w:color w:val="auto"/>
          <w:szCs w:val="21"/>
          <w:highlight w:val="none"/>
        </w:rPr>
        <w:t>期竣工违约金的上限：</w:t>
      </w:r>
      <w:r>
        <w:rPr>
          <w:rFonts w:hint="eastAsia" w:ascii="宋体" w:hAnsi="宋体"/>
          <w:color w:val="auto"/>
          <w:szCs w:val="21"/>
          <w:highlight w:val="none"/>
          <w:u w:val="single"/>
        </w:rPr>
        <w:t>每逾期一天，每天赔偿金额为逾期竣工的单位工程结算造价</w:t>
      </w:r>
      <w:r>
        <w:rPr>
          <w:rFonts w:ascii="宋体" w:hAnsi="宋体"/>
          <w:color w:val="auto"/>
          <w:szCs w:val="21"/>
          <w:highlight w:val="none"/>
          <w:u w:val="single"/>
        </w:rPr>
        <w:t>扣</w:t>
      </w:r>
      <w:r>
        <w:rPr>
          <w:rFonts w:hAnsi="宋体"/>
          <w:color w:val="auto"/>
          <w:szCs w:val="21"/>
          <w:highlight w:val="none"/>
          <w:u w:val="single"/>
        </w:rPr>
        <w:t>除建安劳保费、发包人材料</w:t>
      </w:r>
      <w:r>
        <w:rPr>
          <w:rFonts w:hint="eastAsia" w:hAnsi="宋体"/>
          <w:color w:val="auto"/>
          <w:szCs w:val="21"/>
          <w:highlight w:val="none"/>
          <w:u w:val="single"/>
        </w:rPr>
        <w:t>设备</w:t>
      </w:r>
      <w:r>
        <w:rPr>
          <w:rFonts w:hAnsi="宋体"/>
          <w:color w:val="auto"/>
          <w:szCs w:val="21"/>
          <w:highlight w:val="none"/>
          <w:u w:val="single"/>
        </w:rPr>
        <w:t>价款、暂估专业工程、暂列金额后的</w:t>
      </w:r>
      <w:r>
        <w:rPr>
          <w:rFonts w:hint="eastAsia"/>
          <w:color w:val="auto"/>
          <w:szCs w:val="21"/>
          <w:highlight w:val="none"/>
          <w:u w:val="single"/>
        </w:rPr>
        <w:t>1</w:t>
      </w:r>
      <w:r>
        <w:rPr>
          <w:color w:val="auto"/>
          <w:szCs w:val="21"/>
          <w:highlight w:val="none"/>
          <w:u w:val="single"/>
        </w:rPr>
        <w:t>%</w:t>
      </w:r>
      <w:r>
        <w:rPr>
          <w:rFonts w:ascii="宋体" w:hAnsi="宋体"/>
          <w:color w:val="auto"/>
          <w:szCs w:val="21"/>
          <w:highlight w:val="none"/>
        </w:rPr>
        <w:t>。</w:t>
      </w:r>
    </w:p>
    <w:bookmarkEnd w:id="442"/>
    <w:bookmarkEnd w:id="443"/>
    <w:p w14:paraId="0CA830AF">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w:t>
      </w:r>
      <w:bookmarkStart w:id="444" w:name="_Toc304295549"/>
      <w:bookmarkStart w:id="445" w:name="_Toc297216178"/>
      <w:bookmarkStart w:id="446" w:name="_Toc312678015"/>
      <w:bookmarkStart w:id="447" w:name="_Toc297123519"/>
      <w:bookmarkStart w:id="448" w:name="_Toc303539128"/>
      <w:bookmarkStart w:id="449" w:name="_Toc300934971"/>
      <w:r>
        <w:rPr>
          <w:rFonts w:ascii="宋体" w:hAnsi="宋体"/>
          <w:color w:val="auto"/>
          <w:szCs w:val="21"/>
          <w:highlight w:val="none"/>
        </w:rPr>
        <w:t>.6 不</w:t>
      </w:r>
      <w:bookmarkEnd w:id="444"/>
      <w:bookmarkEnd w:id="445"/>
      <w:bookmarkEnd w:id="446"/>
      <w:bookmarkEnd w:id="447"/>
      <w:bookmarkEnd w:id="448"/>
      <w:bookmarkEnd w:id="449"/>
      <w:r>
        <w:rPr>
          <w:rFonts w:ascii="宋体" w:hAnsi="宋体"/>
          <w:color w:val="auto"/>
          <w:szCs w:val="21"/>
          <w:highlight w:val="none"/>
        </w:rPr>
        <w:t>利物质条件</w:t>
      </w:r>
    </w:p>
    <w:p w14:paraId="474AB90D">
      <w:pPr>
        <w:spacing w:line="440" w:lineRule="exact"/>
        <w:ind w:firstLine="315" w:firstLineChars="150"/>
        <w:jc w:val="left"/>
        <w:rPr>
          <w:rFonts w:ascii="宋体" w:hAnsi="宋体"/>
          <w:color w:val="auto"/>
          <w:szCs w:val="21"/>
          <w:highlight w:val="none"/>
        </w:rPr>
      </w:pPr>
      <w:bookmarkStart w:id="450" w:name="_Toc304295550"/>
      <w:bookmarkStart w:id="451" w:name="_Toc300934972"/>
      <w:bookmarkStart w:id="452" w:name="_Toc297216179"/>
      <w:bookmarkStart w:id="453" w:name="_Toc297123520"/>
      <w:bookmarkStart w:id="454" w:name="_Toc318581172"/>
      <w:bookmarkStart w:id="455" w:name="_Toc312678016"/>
      <w:bookmarkStart w:id="456" w:name="_Toc303539129"/>
      <w:r>
        <w:rPr>
          <w:rFonts w:ascii="宋体" w:hAnsi="宋体"/>
          <w:color w:val="auto"/>
          <w:szCs w:val="21"/>
          <w:highlight w:val="none"/>
        </w:rPr>
        <w:t>不利物质条件的其他情形和有关约定：。</w:t>
      </w:r>
    </w:p>
    <w:bookmarkEnd w:id="450"/>
    <w:bookmarkEnd w:id="451"/>
    <w:bookmarkEnd w:id="452"/>
    <w:bookmarkEnd w:id="453"/>
    <w:bookmarkEnd w:id="454"/>
    <w:bookmarkEnd w:id="455"/>
    <w:bookmarkEnd w:id="456"/>
    <w:p w14:paraId="1366BBFB">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7</w:t>
      </w:r>
      <w:bookmarkStart w:id="457" w:name="_Toc304295551"/>
      <w:bookmarkStart w:id="458" w:name="_Toc303539130"/>
      <w:bookmarkStart w:id="459" w:name="_Toc297123521"/>
      <w:bookmarkStart w:id="460" w:name="_Toc312678017"/>
      <w:bookmarkStart w:id="461" w:name="_Toc300934973"/>
      <w:bookmarkStart w:id="462" w:name="_Toc297216180"/>
      <w:r>
        <w:rPr>
          <w:rFonts w:ascii="宋体" w:hAnsi="宋体"/>
          <w:color w:val="auto"/>
          <w:szCs w:val="21"/>
          <w:highlight w:val="none"/>
        </w:rPr>
        <w:t>.7异常恶劣的气候条件</w:t>
      </w:r>
    </w:p>
    <w:bookmarkEnd w:id="457"/>
    <w:bookmarkEnd w:id="458"/>
    <w:bookmarkEnd w:id="459"/>
    <w:bookmarkEnd w:id="460"/>
    <w:bookmarkEnd w:id="461"/>
    <w:bookmarkEnd w:id="462"/>
    <w:p w14:paraId="2678712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14:paraId="086F62CB">
      <w:pPr>
        <w:spacing w:line="360" w:lineRule="exact"/>
        <w:jc w:val="left"/>
        <w:rPr>
          <w:rFonts w:ascii="宋体" w:hAnsi="宋体"/>
          <w:color w:val="auto"/>
          <w:szCs w:val="21"/>
          <w:highlight w:val="none"/>
          <w:u w:val="single"/>
        </w:rPr>
      </w:pPr>
      <w:r>
        <w:rPr>
          <w:rFonts w:hint="eastAsia" w:ascii="宋体" w:hAnsi="宋体"/>
          <w:color w:val="auto"/>
          <w:szCs w:val="21"/>
          <w:highlight w:val="none"/>
          <w:u w:val="single"/>
        </w:rPr>
        <w:t>（1）六级及其以上台风,合同约定的不可抗力除外。</w:t>
      </w:r>
    </w:p>
    <w:p w14:paraId="109C29CB">
      <w:pPr>
        <w:widowControl/>
        <w:snapToGrid w:val="0"/>
        <w:spacing w:line="360" w:lineRule="exact"/>
        <w:rPr>
          <w:rFonts w:ascii="宋体" w:hAnsi="宋体"/>
          <w:color w:val="auto"/>
          <w:szCs w:val="21"/>
          <w:highlight w:val="none"/>
          <w:u w:val="single"/>
        </w:rPr>
      </w:pPr>
      <w:r>
        <w:rPr>
          <w:rFonts w:hint="eastAsia" w:ascii="宋体" w:hAnsi="宋体"/>
          <w:color w:val="auto"/>
          <w:szCs w:val="21"/>
          <w:highlight w:val="none"/>
          <w:u w:val="single"/>
        </w:rPr>
        <w:t>（2）异常恶劣的气候条件引起的工程延误，由监理工程师根据承包人提交的证明予以评定，异常气候在每月对工程进度影响的评定，应在整个合同内予以累计。</w:t>
      </w:r>
    </w:p>
    <w:p w14:paraId="3CF7BFCD">
      <w:pPr>
        <w:autoSpaceDE w:val="0"/>
        <w:autoSpaceDN w:val="0"/>
        <w:adjustRightInd w:val="0"/>
        <w:spacing w:line="360" w:lineRule="exact"/>
        <w:jc w:val="left"/>
        <w:rPr>
          <w:rFonts w:ascii="宋体" w:hAnsi="宋体"/>
          <w:color w:val="auto"/>
          <w:szCs w:val="21"/>
          <w:highlight w:val="none"/>
          <w:u w:val="single"/>
        </w:rPr>
      </w:pPr>
      <w:r>
        <w:rPr>
          <w:rFonts w:hint="eastAsia" w:ascii="宋体" w:hAnsi="宋体"/>
          <w:color w:val="auto"/>
          <w:szCs w:val="21"/>
          <w:highlight w:val="none"/>
          <w:u w:val="single"/>
        </w:rPr>
        <w:t>（3）承包人应采取克服异常恶劣的气候条件的合理措施继续施工，并在发生后48小时内及时通知发包人和监理人。监理人应在接到通知后48小时内报发包人同意后应当及时发出指示，指示构成变更的，按</w:t>
      </w:r>
      <w:r>
        <w:rPr>
          <w:rFonts w:hint="eastAsia" w:ascii="宋体" w:hAnsi="宋体"/>
          <w:snapToGrid w:val="0"/>
          <w:color w:val="auto"/>
          <w:kern w:val="0"/>
          <w:szCs w:val="21"/>
          <w:highlight w:val="none"/>
          <w:u w:val="single"/>
        </w:rPr>
        <w:t>专用合同条款</w:t>
      </w:r>
      <w:r>
        <w:rPr>
          <w:rFonts w:hint="eastAsia" w:ascii="宋体" w:hAnsi="宋体"/>
          <w:color w:val="auto"/>
          <w:szCs w:val="21"/>
          <w:highlight w:val="none"/>
          <w:u w:val="single"/>
        </w:rPr>
        <w:t>第10条〔变更〕约定办理。承包人因采取合理措施而延误的工期由发包人承担，但发包人不承担增加的费用。</w:t>
      </w:r>
    </w:p>
    <w:p w14:paraId="30D75802">
      <w:pPr>
        <w:spacing w:line="360" w:lineRule="auto"/>
        <w:ind w:firstLine="420" w:firstLineChars="200"/>
        <w:jc w:val="left"/>
        <w:rPr>
          <w:color w:val="auto"/>
          <w:szCs w:val="21"/>
          <w:highlight w:val="none"/>
          <w:u w:val="single"/>
        </w:rPr>
      </w:pPr>
      <w:r>
        <w:rPr>
          <w:rFonts w:ascii="宋体" w:hAnsi="宋体"/>
          <w:color w:val="auto"/>
          <w:szCs w:val="21"/>
          <w:highlight w:val="none"/>
        </w:rPr>
        <w:t>7.</w:t>
      </w:r>
      <w:r>
        <w:rPr>
          <w:rFonts w:hint="eastAsia" w:ascii="宋体" w:hAnsi="宋体"/>
          <w:color w:val="auto"/>
          <w:szCs w:val="21"/>
          <w:highlight w:val="none"/>
        </w:rPr>
        <w:t>8</w:t>
      </w:r>
      <w:r>
        <w:rPr>
          <w:rFonts w:ascii="宋体" w:hAnsi="宋体"/>
          <w:color w:val="auto"/>
          <w:szCs w:val="21"/>
          <w:highlight w:val="none"/>
        </w:rPr>
        <w:t xml:space="preserve"> 提前竣工的奖励</w:t>
      </w:r>
    </w:p>
    <w:p w14:paraId="75247DC7">
      <w:pPr>
        <w:spacing w:line="360" w:lineRule="auto"/>
        <w:ind w:firstLine="420" w:firstLineChars="200"/>
        <w:jc w:val="left"/>
        <w:rPr>
          <w:rFonts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8</w:t>
      </w:r>
      <w:r>
        <w:rPr>
          <w:rFonts w:ascii="宋体" w:hAnsi="宋体"/>
          <w:color w:val="auto"/>
          <w:szCs w:val="21"/>
          <w:highlight w:val="none"/>
        </w:rPr>
        <w:t>.2提前竣工的奖励：</w:t>
      </w:r>
      <w:r>
        <w:rPr>
          <w:rFonts w:hint="eastAsia"/>
          <w:color w:val="auto"/>
          <w:szCs w:val="21"/>
          <w:highlight w:val="none"/>
          <w:u w:val="single"/>
        </w:rPr>
        <w:t>无</w:t>
      </w:r>
      <w:r>
        <w:rPr>
          <w:rFonts w:hAnsi="宋体"/>
          <w:color w:val="auto"/>
          <w:szCs w:val="21"/>
          <w:highlight w:val="none"/>
        </w:rPr>
        <w:t>。</w:t>
      </w:r>
    </w:p>
    <w:p w14:paraId="38C0C2E7">
      <w:pPr>
        <w:keepNext/>
        <w:keepLines/>
        <w:widowControl/>
        <w:spacing w:before="120" w:after="120" w:line="440" w:lineRule="exact"/>
        <w:outlineLvl w:val="3"/>
        <w:rPr>
          <w:rFonts w:ascii="宋体" w:hAnsi="宋体" w:eastAsia="黑体"/>
          <w:b/>
          <w:color w:val="auto"/>
          <w:kern w:val="0"/>
          <w:sz w:val="28"/>
          <w:szCs w:val="21"/>
          <w:highlight w:val="none"/>
        </w:rPr>
      </w:pPr>
      <w:bookmarkStart w:id="463" w:name="_Toc351203640"/>
      <w:r>
        <w:rPr>
          <w:rFonts w:ascii="宋体" w:hAnsi="宋体" w:eastAsia="黑体"/>
          <w:b/>
          <w:color w:val="auto"/>
          <w:kern w:val="0"/>
          <w:sz w:val="28"/>
          <w:szCs w:val="21"/>
          <w:highlight w:val="none"/>
        </w:rPr>
        <w:t>8. 材料与设备</w:t>
      </w:r>
      <w:bookmarkEnd w:id="463"/>
    </w:p>
    <w:bookmarkEnd w:id="398"/>
    <w:bookmarkEnd w:id="399"/>
    <w:bookmarkEnd w:id="400"/>
    <w:bookmarkEnd w:id="401"/>
    <w:bookmarkEnd w:id="402"/>
    <w:bookmarkEnd w:id="403"/>
    <w:bookmarkEnd w:id="404"/>
    <w:bookmarkEnd w:id="405"/>
    <w:bookmarkEnd w:id="406"/>
    <w:bookmarkEnd w:id="407"/>
    <w:p w14:paraId="7DD8008C">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8</w:t>
      </w:r>
      <w:bookmarkStart w:id="464" w:name="_Toc303539136"/>
      <w:bookmarkStart w:id="465" w:name="_Toc297123527"/>
      <w:bookmarkStart w:id="466" w:name="_Toc296944506"/>
      <w:bookmarkStart w:id="467" w:name="_Toc296891207"/>
      <w:bookmarkStart w:id="468" w:name="_Toc297048353"/>
      <w:bookmarkStart w:id="469" w:name="_Toc297120467"/>
      <w:bookmarkStart w:id="470" w:name="_Toc304295556"/>
      <w:bookmarkStart w:id="471" w:name="_Toc280868654"/>
      <w:bookmarkStart w:id="472" w:name="_Toc296503167"/>
      <w:bookmarkStart w:id="473" w:name="_Toc312678019"/>
      <w:bookmarkStart w:id="474" w:name="_Toc296346668"/>
      <w:bookmarkStart w:id="475" w:name="_Toc297216186"/>
      <w:bookmarkStart w:id="476" w:name="_Toc292559877"/>
      <w:bookmarkStart w:id="477" w:name="_Toc312677493"/>
      <w:bookmarkStart w:id="478" w:name="_Toc296890995"/>
      <w:bookmarkStart w:id="479" w:name="_Toc300934979"/>
      <w:bookmarkStart w:id="480" w:name="_Toc296347166"/>
      <w:bookmarkStart w:id="481" w:name="_Toc292559372"/>
      <w:bookmarkStart w:id="482" w:name="_Toc280868655"/>
      <w:bookmarkStart w:id="483" w:name="_Toc280868656"/>
      <w:bookmarkStart w:id="484" w:name="_Toc267251424"/>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材料与工程设备的保管与使用</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4739093C">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bookmarkStart w:id="485" w:name="_Toc292559878"/>
      <w:bookmarkStart w:id="486" w:name="_Toc292559373"/>
      <w:bookmarkStart w:id="487" w:name="_Toc297123528"/>
      <w:bookmarkStart w:id="488" w:name="_Toc303539137"/>
      <w:bookmarkStart w:id="489" w:name="_Toc296503168"/>
      <w:bookmarkStart w:id="490" w:name="_Toc297216187"/>
      <w:bookmarkStart w:id="491" w:name="_Toc312677494"/>
      <w:bookmarkStart w:id="492" w:name="_Toc296346669"/>
      <w:bookmarkStart w:id="493" w:name="_Toc318581173"/>
      <w:bookmarkStart w:id="494" w:name="_Toc304295557"/>
      <w:bookmarkStart w:id="495" w:name="_Toc297048354"/>
      <w:bookmarkStart w:id="496" w:name="_Toc296890996"/>
      <w:bookmarkStart w:id="497" w:name="_Toc297120468"/>
      <w:bookmarkStart w:id="498" w:name="_Toc296944507"/>
      <w:bookmarkStart w:id="499" w:name="_Toc296347167"/>
      <w:bookmarkStart w:id="500" w:name="_Toc312678020"/>
      <w:bookmarkStart w:id="501" w:name="_Toc300934980"/>
      <w:bookmarkStart w:id="502" w:name="_Toc296891208"/>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.1发包人供应的材料设备的保管费用的承担：。</w:t>
      </w:r>
      <w:bookmarkEnd w:id="485"/>
      <w:bookmarkEnd w:id="486"/>
    </w:p>
    <w:p w14:paraId="499134CB">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w:t>
      </w:r>
      <w:r>
        <w:rPr>
          <w:rFonts w:ascii="宋体" w:hAnsi="宋体"/>
          <w:color w:val="auto"/>
          <w:szCs w:val="21"/>
          <w:highlight w:val="none"/>
        </w:rPr>
        <w:t xml:space="preserve"> 样品</w:t>
      </w:r>
    </w:p>
    <w:p w14:paraId="5EF18835">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rPr>
        <w:t>2</w:t>
      </w:r>
      <w:r>
        <w:rPr>
          <w:rFonts w:ascii="宋体" w:hAnsi="宋体"/>
          <w:color w:val="auto"/>
          <w:kern w:val="0"/>
          <w:szCs w:val="21"/>
          <w:highlight w:val="none"/>
        </w:rPr>
        <w:t>.1</w:t>
      </w:r>
      <w:r>
        <w:rPr>
          <w:rFonts w:ascii="宋体" w:hAnsi="宋体"/>
          <w:color w:val="auto"/>
          <w:kern w:val="0"/>
          <w:szCs w:val="21"/>
          <w:highlight w:val="none"/>
        </w:rPr>
        <w:tab/>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57473674">
      <w:pPr>
        <w:autoSpaceDE w:val="0"/>
        <w:autoSpaceDN w:val="0"/>
        <w:adjustRightInd w:val="0"/>
        <w:spacing w:line="440" w:lineRule="exact"/>
        <w:ind w:firstLine="420" w:firstLineChars="200"/>
        <w:jc w:val="left"/>
        <w:rPr>
          <w:rFonts w:ascii="宋体" w:hAnsi="宋体"/>
          <w:color w:val="auto"/>
          <w:szCs w:val="21"/>
          <w:highlight w:val="none"/>
        </w:rPr>
      </w:pPr>
      <w:r>
        <w:rPr>
          <w:rFonts w:ascii="宋体" w:hAnsi="宋体"/>
          <w:color w:val="auto"/>
          <w:kern w:val="0"/>
          <w:szCs w:val="21"/>
          <w:highlight w:val="none"/>
        </w:rPr>
        <w:t>需要承包人报送样品的材料或工程设备，样品的种类、名称、规格、数量要求：</w:t>
      </w:r>
      <w:r>
        <w:rPr>
          <w:rFonts w:hint="eastAsia" w:ascii="宋体" w:hAnsi="宋体"/>
          <w:color w:val="auto"/>
          <w:szCs w:val="21"/>
          <w:highlight w:val="none"/>
          <w:u w:val="single"/>
        </w:rPr>
        <w:t>主要材料涉及品种、款式、颜色等方面内容的，承包人应提交准备合格的材料样品送发包人选定。</w:t>
      </w:r>
    </w:p>
    <w:p w14:paraId="6634AB14">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w:t>
      </w:r>
      <w:r>
        <w:rPr>
          <w:rFonts w:ascii="宋体" w:hAnsi="宋体"/>
          <w:color w:val="auto"/>
          <w:szCs w:val="21"/>
          <w:highlight w:val="none"/>
        </w:rPr>
        <w:t xml:space="preserve"> 施工设备和临时设施</w:t>
      </w:r>
    </w:p>
    <w:p w14:paraId="07BB3361">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w:t>
      </w:r>
      <w:r>
        <w:rPr>
          <w:rFonts w:ascii="宋体" w:hAnsi="宋体"/>
          <w:color w:val="auto"/>
          <w:szCs w:val="21"/>
          <w:highlight w:val="none"/>
        </w:rPr>
        <w:t>.1 承包人提供的施工设备和临时设施</w:t>
      </w:r>
      <w:r>
        <w:rPr>
          <w:rFonts w:hint="eastAsia" w:ascii="宋体" w:hAnsi="宋体"/>
          <w:color w:val="auto"/>
          <w:szCs w:val="21"/>
          <w:highlight w:val="none"/>
        </w:rPr>
        <w:t>：</w:t>
      </w:r>
      <w:r>
        <w:rPr>
          <w:rFonts w:hint="eastAsia" w:ascii="宋体" w:hAnsi="宋体"/>
          <w:b/>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p>
    <w:p w14:paraId="3C6F7A34">
      <w:pPr>
        <w:autoSpaceDE w:val="0"/>
        <w:autoSpaceDN w:val="0"/>
        <w:adjustRightInd w:val="0"/>
        <w:spacing w:line="44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关于修建临时设施费用承担的约定：</w:t>
      </w:r>
      <w:r>
        <w:rPr>
          <w:rFonts w:hint="eastAsia" w:ascii="宋体" w:hAnsi="宋体"/>
          <w:b/>
          <w:color w:val="auto"/>
          <w:szCs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64B6E247">
      <w:pPr>
        <w:autoSpaceDE w:val="0"/>
        <w:autoSpaceDN w:val="0"/>
        <w:adjustRightInd w:val="0"/>
        <w:spacing w:line="440" w:lineRule="exact"/>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②承包人负责合同实施期间其合同段内临时交通道路（含场内外连接公共交通道路）和交通设施的修建、维修、养护和交通管理工作，并承担一切费用。</w:t>
      </w:r>
    </w:p>
    <w:p w14:paraId="6B28A6D4">
      <w:pPr>
        <w:autoSpaceDE w:val="0"/>
        <w:autoSpaceDN w:val="0"/>
        <w:adjustRightInd w:val="0"/>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244A3474">
      <w:pPr>
        <w:keepNext/>
        <w:keepLines/>
        <w:widowControl/>
        <w:spacing w:before="120" w:after="120" w:line="440" w:lineRule="exact"/>
        <w:outlineLvl w:val="3"/>
        <w:rPr>
          <w:rFonts w:ascii="宋体" w:hAnsi="宋体" w:eastAsia="黑体"/>
          <w:b/>
          <w:color w:val="auto"/>
          <w:kern w:val="0"/>
          <w:sz w:val="28"/>
          <w:szCs w:val="21"/>
          <w:highlight w:val="none"/>
        </w:rPr>
      </w:pPr>
      <w:bookmarkStart w:id="503" w:name="_Toc351203641"/>
      <w:r>
        <w:rPr>
          <w:rFonts w:ascii="宋体" w:hAnsi="宋体" w:eastAsia="黑体"/>
          <w:b/>
          <w:color w:val="auto"/>
          <w:kern w:val="0"/>
          <w:sz w:val="28"/>
          <w:szCs w:val="21"/>
          <w:highlight w:val="none"/>
        </w:rPr>
        <w:t>9</w:t>
      </w:r>
      <w:bookmarkEnd w:id="482"/>
      <w:bookmarkEnd w:id="483"/>
      <w:bookmarkEnd w:id="484"/>
      <w:bookmarkStart w:id="504" w:name="_Toc312678021"/>
      <w:bookmarkStart w:id="505" w:name="_Toc297123533"/>
      <w:bookmarkStart w:id="506" w:name="_Toc304295559"/>
      <w:bookmarkStart w:id="507" w:name="_Toc297216192"/>
      <w:bookmarkStart w:id="508" w:name="_Toc303539139"/>
      <w:bookmarkStart w:id="509" w:name="_Toc312677495"/>
      <w:bookmarkStart w:id="510" w:name="_Toc300934982"/>
      <w:bookmarkStart w:id="511" w:name="_Toc296503173"/>
      <w:bookmarkStart w:id="512" w:name="_Toc292559378"/>
      <w:bookmarkStart w:id="513" w:name="_Toc296944512"/>
      <w:bookmarkStart w:id="514" w:name="_Toc296891001"/>
      <w:bookmarkStart w:id="515" w:name="_Toc297120473"/>
      <w:bookmarkStart w:id="516" w:name="_Toc292559883"/>
      <w:bookmarkStart w:id="517" w:name="_Toc267251427"/>
      <w:bookmarkStart w:id="518" w:name="_Toc296891213"/>
      <w:bookmarkStart w:id="519" w:name="_Toc296346674"/>
      <w:bookmarkStart w:id="520" w:name="_Toc296347172"/>
      <w:bookmarkStart w:id="521" w:name="_Toc297048359"/>
      <w:bookmarkStart w:id="522" w:name="_Toc267251428"/>
      <w:r>
        <w:rPr>
          <w:rFonts w:ascii="宋体" w:hAnsi="宋体" w:eastAsia="黑体"/>
          <w:b/>
          <w:color w:val="auto"/>
          <w:kern w:val="0"/>
          <w:sz w:val="28"/>
          <w:szCs w:val="21"/>
          <w:highlight w:val="none"/>
        </w:rPr>
        <w:t>. 试验与检验</w:t>
      </w:r>
      <w:bookmarkEnd w:id="503"/>
    </w:p>
    <w:bookmarkEnd w:id="504"/>
    <w:bookmarkEnd w:id="505"/>
    <w:bookmarkEnd w:id="506"/>
    <w:bookmarkEnd w:id="507"/>
    <w:bookmarkEnd w:id="508"/>
    <w:bookmarkEnd w:id="509"/>
    <w:bookmarkEnd w:id="510"/>
    <w:p w14:paraId="1C646180">
      <w:pPr>
        <w:keepNext/>
        <w:keepLines/>
        <w:spacing w:before="260" w:after="260" w:line="24" w:lineRule="auto"/>
        <w:outlineLvl w:val="2"/>
        <w:rPr>
          <w:rFonts w:ascii="宋体" w:hAnsi="宋体"/>
          <w:b/>
          <w:bCs/>
          <w:color w:val="auto"/>
          <w:kern w:val="0"/>
          <w:sz w:val="24"/>
          <w:szCs w:val="32"/>
          <w:highlight w:val="none"/>
        </w:rPr>
      </w:pPr>
      <w:bookmarkStart w:id="523" w:name="_Toc373478384"/>
      <w:bookmarkStart w:id="524" w:name="_Toc373227737"/>
      <w:bookmarkStart w:id="525" w:name="_Toc389065303"/>
      <w:bookmarkStart w:id="526" w:name="_Toc465114896"/>
      <w:bookmarkStart w:id="527" w:name="_Toc351203642"/>
      <w:r>
        <w:rPr>
          <w:rFonts w:ascii="宋体" w:hAnsi="宋体"/>
          <w:b/>
          <w:bCs/>
          <w:color w:val="auto"/>
          <w:kern w:val="0"/>
          <w:sz w:val="24"/>
          <w:szCs w:val="32"/>
          <w:highlight w:val="none"/>
        </w:rPr>
        <w:t>9</w:t>
      </w:r>
      <w:bookmarkStart w:id="528" w:name="_Toc312677496"/>
      <w:bookmarkStart w:id="529" w:name="_Toc300934983"/>
      <w:bookmarkStart w:id="530" w:name="_Toc312678022"/>
      <w:bookmarkStart w:id="531" w:name="_Toc304295560"/>
      <w:bookmarkStart w:id="532" w:name="_Toc297123534"/>
      <w:bookmarkStart w:id="533" w:name="_Toc303539140"/>
      <w:bookmarkStart w:id="534" w:name="_Toc297216193"/>
      <w:r>
        <w:rPr>
          <w:rFonts w:ascii="宋体" w:hAnsi="宋体"/>
          <w:b/>
          <w:bCs/>
          <w:color w:val="auto"/>
          <w:kern w:val="0"/>
          <w:sz w:val="24"/>
          <w:szCs w:val="32"/>
          <w:highlight w:val="none"/>
        </w:rPr>
        <w:t>.1 试验设备与试验人员</w:t>
      </w:r>
      <w:bookmarkEnd w:id="523"/>
      <w:bookmarkEnd w:id="524"/>
      <w:bookmarkEnd w:id="525"/>
      <w:bookmarkEnd w:id="526"/>
    </w:p>
    <w:bookmarkEnd w:id="528"/>
    <w:bookmarkEnd w:id="529"/>
    <w:bookmarkEnd w:id="530"/>
    <w:bookmarkEnd w:id="531"/>
    <w:bookmarkEnd w:id="532"/>
    <w:bookmarkEnd w:id="533"/>
    <w:bookmarkEnd w:id="534"/>
    <w:p w14:paraId="1BC78035">
      <w:pPr>
        <w:spacing w:line="360" w:lineRule="auto"/>
        <w:ind w:firstLine="420" w:firstLineChars="200"/>
        <w:jc w:val="left"/>
        <w:rPr>
          <w:color w:val="auto"/>
          <w:szCs w:val="21"/>
          <w:highlight w:val="none"/>
        </w:rPr>
      </w:pPr>
      <w:r>
        <w:rPr>
          <w:color w:val="auto"/>
          <w:szCs w:val="21"/>
          <w:highlight w:val="none"/>
        </w:rPr>
        <w:t>9</w:t>
      </w:r>
      <w:bookmarkStart w:id="535" w:name="_Toc297216194"/>
      <w:bookmarkStart w:id="536" w:name="_Toc312678023"/>
      <w:bookmarkStart w:id="537" w:name="_Toc300934984"/>
      <w:bookmarkStart w:id="538" w:name="_Toc304295561"/>
      <w:bookmarkStart w:id="539" w:name="_Toc303539141"/>
      <w:bookmarkStart w:id="540" w:name="_Toc297123535"/>
      <w:bookmarkStart w:id="541" w:name="_Toc312677497"/>
      <w:bookmarkStart w:id="542" w:name="_Toc318581174"/>
      <w:r>
        <w:rPr>
          <w:color w:val="auto"/>
          <w:szCs w:val="21"/>
          <w:highlight w:val="none"/>
        </w:rPr>
        <w:t xml:space="preserve">.1.2 </w:t>
      </w:r>
      <w:r>
        <w:rPr>
          <w:rFonts w:hAnsi="宋体"/>
          <w:color w:val="auto"/>
          <w:szCs w:val="21"/>
          <w:highlight w:val="none"/>
        </w:rPr>
        <w:t>试验设备</w:t>
      </w:r>
    </w:p>
    <w:bookmarkEnd w:id="535"/>
    <w:bookmarkEnd w:id="536"/>
    <w:bookmarkEnd w:id="537"/>
    <w:bookmarkEnd w:id="538"/>
    <w:bookmarkEnd w:id="539"/>
    <w:bookmarkEnd w:id="540"/>
    <w:bookmarkEnd w:id="541"/>
    <w:p w14:paraId="7FE676DC">
      <w:pPr>
        <w:spacing w:line="400" w:lineRule="exact"/>
        <w:ind w:firstLine="420" w:firstLineChars="200"/>
        <w:jc w:val="left"/>
        <w:rPr>
          <w:rFonts w:ascii="宋体" w:hAnsi="宋体"/>
          <w:color w:val="auto"/>
          <w:szCs w:val="21"/>
          <w:highlight w:val="none"/>
        </w:rPr>
      </w:pPr>
      <w:bookmarkStart w:id="543" w:name="_Toc373478385"/>
      <w:bookmarkStart w:id="544" w:name="_Toc373227738"/>
      <w:bookmarkStart w:id="545" w:name="_Toc389065304"/>
      <w:bookmarkStart w:id="546" w:name="_Toc465114897"/>
      <w:bookmarkStart w:id="547" w:name="_Toc312677498"/>
      <w:bookmarkStart w:id="548" w:name="_Toc312678024"/>
      <w:bookmarkStart w:id="549" w:name="_Toc303539142"/>
      <w:bookmarkStart w:id="550" w:name="_Toc297216195"/>
      <w:bookmarkStart w:id="551" w:name="_Toc304295562"/>
      <w:bookmarkStart w:id="552" w:name="_Toc300934985"/>
      <w:bookmarkStart w:id="553" w:name="_Toc297123536"/>
      <w:r>
        <w:rPr>
          <w:rFonts w:hint="eastAsia" w:ascii="宋体" w:hAnsi="宋体"/>
          <w:color w:val="auto"/>
          <w:szCs w:val="21"/>
          <w:highlight w:val="none"/>
        </w:rPr>
        <w:t>施工现场需要配置的试验场所：</w:t>
      </w:r>
      <w:r>
        <w:rPr>
          <w:rFonts w:hint="eastAsia" w:ascii="宋体" w:hAnsi="宋体"/>
          <w:color w:val="auto"/>
          <w:szCs w:val="21"/>
          <w:highlight w:val="none"/>
          <w:u w:val="single"/>
        </w:rPr>
        <w:t xml:space="preserve">  满足自检需要</w:t>
      </w:r>
      <w:r>
        <w:rPr>
          <w:rFonts w:hint="eastAsia" w:ascii="宋体" w:hAnsi="宋体"/>
          <w:color w:val="auto"/>
          <w:szCs w:val="21"/>
          <w:highlight w:val="none"/>
        </w:rPr>
        <w:t xml:space="preserve">。 </w:t>
      </w:r>
    </w:p>
    <w:p w14:paraId="7D1860D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 xml:space="preserve">   满足自检需要  </w:t>
      </w:r>
      <w:r>
        <w:rPr>
          <w:rFonts w:hint="eastAsia" w:ascii="宋体" w:hAnsi="宋体"/>
          <w:color w:val="auto"/>
          <w:szCs w:val="21"/>
          <w:highlight w:val="none"/>
        </w:rPr>
        <w:t>。</w:t>
      </w:r>
    </w:p>
    <w:p w14:paraId="452FF73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满足自检需要  </w:t>
      </w:r>
      <w:r>
        <w:rPr>
          <w:rFonts w:hint="eastAsia" w:ascii="宋体" w:hAnsi="宋体"/>
          <w:color w:val="auto"/>
          <w:szCs w:val="21"/>
          <w:highlight w:val="none"/>
        </w:rPr>
        <w:t>。</w:t>
      </w:r>
    </w:p>
    <w:p w14:paraId="50ADA4AE">
      <w:pPr>
        <w:keepNext/>
        <w:keepLines/>
        <w:spacing w:before="260" w:after="260" w:line="24" w:lineRule="auto"/>
        <w:outlineLvl w:val="2"/>
        <w:rPr>
          <w:rFonts w:ascii="宋体" w:hAnsi="宋体"/>
          <w:b/>
          <w:bCs/>
          <w:color w:val="auto"/>
          <w:kern w:val="0"/>
          <w:sz w:val="24"/>
          <w:szCs w:val="32"/>
          <w:highlight w:val="none"/>
        </w:rPr>
      </w:pPr>
      <w:r>
        <w:rPr>
          <w:rFonts w:ascii="宋体" w:hAnsi="宋体"/>
          <w:b/>
          <w:bCs/>
          <w:color w:val="auto"/>
          <w:kern w:val="0"/>
          <w:sz w:val="24"/>
          <w:szCs w:val="32"/>
          <w:highlight w:val="none"/>
        </w:rPr>
        <w:t>9.4 现场工艺试验</w:t>
      </w:r>
      <w:bookmarkEnd w:id="543"/>
      <w:bookmarkEnd w:id="544"/>
      <w:bookmarkEnd w:id="545"/>
      <w:bookmarkEnd w:id="546"/>
    </w:p>
    <w:p w14:paraId="14C9DC41">
      <w:pPr>
        <w:spacing w:line="400" w:lineRule="exact"/>
        <w:ind w:firstLine="420" w:firstLineChars="200"/>
        <w:jc w:val="left"/>
        <w:rPr>
          <w:rFonts w:ascii="宋体" w:hAnsi="宋体"/>
          <w:color w:val="auto"/>
          <w:szCs w:val="21"/>
          <w:highlight w:val="none"/>
        </w:rPr>
      </w:pPr>
      <w:bookmarkStart w:id="554" w:name="_Toc465114898"/>
      <w:bookmarkStart w:id="555" w:name="OLE_LINK1"/>
      <w:r>
        <w:rPr>
          <w:rFonts w:hint="eastAsia" w:ascii="宋体" w:hAnsi="宋体"/>
          <w:color w:val="auto"/>
          <w:szCs w:val="21"/>
          <w:highlight w:val="none"/>
        </w:rPr>
        <w:t>现场工艺试验的有关约定：</w:t>
      </w:r>
      <w:r>
        <w:rPr>
          <w:rFonts w:hint="eastAsia" w:ascii="宋体" w:hAnsi="宋体"/>
          <w:color w:val="auto"/>
          <w:szCs w:val="21"/>
          <w:highlight w:val="none"/>
          <w:u w:val="single"/>
        </w:rPr>
        <w:t xml:space="preserve">  满足自检需要</w:t>
      </w:r>
      <w:r>
        <w:rPr>
          <w:rFonts w:hint="eastAsia" w:ascii="宋体" w:hAnsi="宋体"/>
          <w:color w:val="auto"/>
          <w:szCs w:val="21"/>
          <w:highlight w:val="none"/>
        </w:rPr>
        <w:t>。</w:t>
      </w:r>
    </w:p>
    <w:p w14:paraId="1D048BB3">
      <w:pPr>
        <w:keepNext/>
        <w:keepLines/>
        <w:spacing w:before="260" w:after="260" w:line="24" w:lineRule="auto"/>
        <w:outlineLvl w:val="2"/>
        <w:rPr>
          <w:rFonts w:ascii="宋体" w:hAnsi="宋体"/>
          <w:b/>
          <w:bCs/>
          <w:color w:val="auto"/>
          <w:kern w:val="0"/>
          <w:sz w:val="24"/>
          <w:szCs w:val="32"/>
          <w:highlight w:val="none"/>
        </w:rPr>
      </w:pPr>
      <w:r>
        <w:rPr>
          <w:rFonts w:ascii="宋体" w:hAnsi="宋体"/>
          <w:b/>
          <w:bCs/>
          <w:color w:val="auto"/>
          <w:kern w:val="0"/>
          <w:sz w:val="24"/>
          <w:szCs w:val="32"/>
          <w:highlight w:val="none"/>
        </w:rPr>
        <w:t>9.5 检验费用</w:t>
      </w:r>
      <w:bookmarkEnd w:id="554"/>
    </w:p>
    <w:p w14:paraId="6DCB9575">
      <w:pPr>
        <w:spacing w:line="360" w:lineRule="auto"/>
        <w:ind w:firstLine="411" w:firstLineChars="196"/>
        <w:rPr>
          <w:color w:val="auto"/>
          <w:szCs w:val="21"/>
          <w:highlight w:val="none"/>
        </w:rPr>
      </w:pPr>
      <w:r>
        <w:rPr>
          <w:rFonts w:hAnsi="宋体"/>
          <w:color w:val="auto"/>
          <w:szCs w:val="21"/>
          <w:highlight w:val="none"/>
        </w:rPr>
        <w:t>根据</w:t>
      </w:r>
      <w:r>
        <w:rPr>
          <w:rFonts w:hAnsi="宋体"/>
          <w:bCs/>
          <w:color w:val="auto"/>
          <w:szCs w:val="21"/>
          <w:highlight w:val="none"/>
        </w:rPr>
        <w:t>《广西壮族自治区建设工程质量检测管理规定》</w:t>
      </w:r>
      <w:r>
        <w:rPr>
          <w:rFonts w:hint="eastAsia"/>
          <w:bCs/>
          <w:color w:val="auto"/>
          <w:szCs w:val="21"/>
          <w:highlight w:val="none"/>
        </w:rPr>
        <w:t>（</w:t>
      </w:r>
      <w:r>
        <w:rPr>
          <w:rFonts w:hAnsi="宋体"/>
          <w:bCs/>
          <w:color w:val="auto"/>
          <w:szCs w:val="21"/>
          <w:highlight w:val="none"/>
        </w:rPr>
        <w:t>桂建管</w:t>
      </w:r>
      <w:r>
        <w:rPr>
          <w:rFonts w:hint="eastAsia"/>
          <w:bCs/>
          <w:color w:val="auto"/>
          <w:szCs w:val="21"/>
          <w:highlight w:val="none"/>
        </w:rPr>
        <w:t>〔</w:t>
      </w:r>
      <w:r>
        <w:rPr>
          <w:bCs/>
          <w:color w:val="auto"/>
          <w:szCs w:val="21"/>
          <w:highlight w:val="none"/>
        </w:rPr>
        <w:t>2013</w:t>
      </w:r>
      <w:r>
        <w:rPr>
          <w:rFonts w:hint="eastAsia"/>
          <w:bCs/>
          <w:color w:val="auto"/>
          <w:szCs w:val="21"/>
          <w:highlight w:val="none"/>
        </w:rPr>
        <w:t>〕</w:t>
      </w:r>
      <w:r>
        <w:rPr>
          <w:bCs/>
          <w:color w:val="auto"/>
          <w:szCs w:val="21"/>
          <w:highlight w:val="none"/>
        </w:rPr>
        <w:t>11</w:t>
      </w:r>
      <w:r>
        <w:rPr>
          <w:rFonts w:hAnsi="宋体"/>
          <w:bCs/>
          <w:color w:val="auto"/>
          <w:szCs w:val="21"/>
          <w:highlight w:val="none"/>
        </w:rPr>
        <w:t>号</w:t>
      </w:r>
      <w:r>
        <w:rPr>
          <w:rFonts w:hint="eastAsia"/>
          <w:bCs/>
          <w:color w:val="auto"/>
          <w:szCs w:val="21"/>
          <w:highlight w:val="none"/>
        </w:rPr>
        <w:t>）</w:t>
      </w:r>
      <w:r>
        <w:rPr>
          <w:rFonts w:hAnsi="宋体"/>
          <w:color w:val="auto"/>
          <w:szCs w:val="21"/>
          <w:highlight w:val="none"/>
        </w:rPr>
        <w:t>规定，工程质量检测业务由</w:t>
      </w:r>
      <w:r>
        <w:rPr>
          <w:rFonts w:hint="eastAsia" w:hAnsi="宋体"/>
          <w:color w:val="auto"/>
          <w:szCs w:val="21"/>
          <w:highlight w:val="none"/>
        </w:rPr>
        <w:t>发包人</w:t>
      </w:r>
      <w:r>
        <w:rPr>
          <w:rFonts w:hAnsi="宋体"/>
          <w:color w:val="auto"/>
          <w:szCs w:val="21"/>
          <w:highlight w:val="none"/>
        </w:rPr>
        <w:t>委托有相应资质的检测机构检测。费用</w:t>
      </w:r>
      <w:r>
        <w:rPr>
          <w:rFonts w:hint="eastAsia" w:hAnsi="宋体"/>
          <w:color w:val="auto"/>
          <w:szCs w:val="21"/>
          <w:highlight w:val="none"/>
        </w:rPr>
        <w:t>由发包人</w:t>
      </w:r>
      <w:r>
        <w:rPr>
          <w:rFonts w:hAnsi="宋体"/>
          <w:color w:val="auto"/>
          <w:szCs w:val="21"/>
          <w:highlight w:val="none"/>
        </w:rPr>
        <w:t>直接支付给检测机构，不计入合同价款内。</w:t>
      </w:r>
      <w:r>
        <w:rPr>
          <w:rFonts w:hint="eastAsia" w:hAnsi="宋体"/>
          <w:color w:val="auto"/>
          <w:szCs w:val="21"/>
          <w:highlight w:val="none"/>
        </w:rPr>
        <w:t>检验试验配合费按费用定额规定计取，计入本合同价款内。</w:t>
      </w:r>
    </w:p>
    <w:bookmarkEnd w:id="542"/>
    <w:bookmarkEnd w:id="547"/>
    <w:bookmarkEnd w:id="548"/>
    <w:bookmarkEnd w:id="549"/>
    <w:bookmarkEnd w:id="550"/>
    <w:bookmarkEnd w:id="551"/>
    <w:bookmarkEnd w:id="552"/>
    <w:bookmarkEnd w:id="553"/>
    <w:bookmarkEnd w:id="555"/>
    <w:p w14:paraId="5A5DBAE8">
      <w:pPr>
        <w:keepNext/>
        <w:keepLines/>
        <w:widowControl/>
        <w:spacing w:before="120" w:after="120" w:line="440" w:lineRule="exact"/>
        <w:outlineLvl w:val="3"/>
        <w:rPr>
          <w:rFonts w:ascii="宋体" w:hAnsi="宋体" w:eastAsia="黑体"/>
          <w:b/>
          <w:color w:val="auto"/>
          <w:kern w:val="0"/>
          <w:sz w:val="28"/>
          <w:szCs w:val="21"/>
          <w:highlight w:val="none"/>
        </w:rPr>
      </w:pPr>
      <w:r>
        <w:rPr>
          <w:rFonts w:ascii="宋体" w:hAnsi="宋体" w:eastAsia="黑体"/>
          <w:b/>
          <w:color w:val="auto"/>
          <w:kern w:val="0"/>
          <w:sz w:val="28"/>
          <w:szCs w:val="21"/>
          <w:highlight w:val="none"/>
        </w:rPr>
        <w:t>1</w:t>
      </w:r>
      <w:bookmarkEnd w:id="511"/>
      <w:bookmarkEnd w:id="512"/>
      <w:bookmarkEnd w:id="513"/>
      <w:bookmarkEnd w:id="514"/>
      <w:bookmarkEnd w:id="515"/>
      <w:bookmarkEnd w:id="516"/>
      <w:bookmarkEnd w:id="517"/>
      <w:bookmarkEnd w:id="518"/>
      <w:bookmarkEnd w:id="519"/>
      <w:bookmarkEnd w:id="520"/>
      <w:bookmarkEnd w:id="521"/>
      <w:bookmarkEnd w:id="522"/>
      <w:bookmarkStart w:id="556" w:name="_Toc296347192"/>
      <w:bookmarkStart w:id="557" w:name="_Toc303539146"/>
      <w:bookmarkStart w:id="558" w:name="_Toc297216199"/>
      <w:bookmarkStart w:id="559" w:name="_Toc296503193"/>
      <w:bookmarkStart w:id="560" w:name="_Toc300934989"/>
      <w:bookmarkStart w:id="561" w:name="_Toc297048379"/>
      <w:bookmarkStart w:id="562" w:name="_Toc296891233"/>
      <w:bookmarkStart w:id="563" w:name="_Toc297120493"/>
      <w:bookmarkStart w:id="564" w:name="_Toc296891021"/>
      <w:bookmarkStart w:id="565" w:name="_Toc296944532"/>
      <w:bookmarkStart w:id="566" w:name="_Toc292559398"/>
      <w:bookmarkStart w:id="567" w:name="_Toc296346694"/>
      <w:bookmarkStart w:id="568" w:name="_Toc292559903"/>
      <w:bookmarkStart w:id="569" w:name="_Toc297123540"/>
      <w:bookmarkStart w:id="570" w:name="_Toc304295566"/>
      <w:bookmarkStart w:id="571" w:name="_Toc312678025"/>
      <w:bookmarkStart w:id="572" w:name="_Toc312677499"/>
      <w:bookmarkStart w:id="573" w:name="_Toc267251440"/>
      <w:bookmarkStart w:id="574" w:name="_Toc267251437"/>
      <w:bookmarkStart w:id="575" w:name="_Toc267251433"/>
      <w:bookmarkStart w:id="576" w:name="_Toc267251435"/>
      <w:bookmarkStart w:id="577" w:name="_Toc267251439"/>
      <w:bookmarkStart w:id="578" w:name="_Toc267251441"/>
      <w:bookmarkStart w:id="579" w:name="_Toc267251442"/>
      <w:r>
        <w:rPr>
          <w:rFonts w:ascii="宋体" w:hAnsi="宋体" w:eastAsia="黑体"/>
          <w:b/>
          <w:color w:val="auto"/>
          <w:kern w:val="0"/>
          <w:sz w:val="28"/>
          <w:szCs w:val="21"/>
          <w:highlight w:val="none"/>
        </w:rPr>
        <w:t>0. 变更</w:t>
      </w:r>
      <w:bookmarkEnd w:id="52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bookmarkEnd w:id="571"/>
    <w:bookmarkEnd w:id="572"/>
    <w:p w14:paraId="68262A6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w:t>
      </w:r>
      <w:bookmarkStart w:id="580" w:name="_Toc296891022"/>
      <w:bookmarkStart w:id="581" w:name="_Toc300934990"/>
      <w:bookmarkStart w:id="582" w:name="_Toc296346695"/>
      <w:bookmarkStart w:id="583" w:name="_Toc312678026"/>
      <w:bookmarkStart w:id="584" w:name="_Toc292559904"/>
      <w:bookmarkStart w:id="585" w:name="_Toc297048380"/>
      <w:bookmarkStart w:id="586" w:name="_Toc296944533"/>
      <w:bookmarkStart w:id="587" w:name="_Toc303539147"/>
      <w:bookmarkStart w:id="588" w:name="_Toc292559399"/>
      <w:bookmarkStart w:id="589" w:name="_Toc296503194"/>
      <w:bookmarkStart w:id="590" w:name="_Toc297123541"/>
      <w:bookmarkStart w:id="591" w:name="_Toc304295567"/>
      <w:bookmarkStart w:id="592" w:name="_Toc297216200"/>
      <w:bookmarkStart w:id="593" w:name="_Toc312677500"/>
      <w:bookmarkStart w:id="594" w:name="_Toc297120494"/>
      <w:bookmarkStart w:id="595" w:name="_Toc296891234"/>
      <w:bookmarkStart w:id="596" w:name="_Toc296347193"/>
      <w:r>
        <w:rPr>
          <w:rFonts w:ascii="宋体" w:hAnsi="宋体"/>
          <w:color w:val="auto"/>
          <w:szCs w:val="21"/>
          <w:highlight w:val="none"/>
        </w:rPr>
        <w:t>0.1变更的范围</w:t>
      </w:r>
    </w:p>
    <w:p w14:paraId="4DD00B4C">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关于变更的范围的约定：</w:t>
      </w:r>
      <w:r>
        <w:rPr>
          <w:rFonts w:hint="eastAsia" w:ascii="宋体" w:hAnsi="宋体"/>
          <w:color w:val="auto"/>
          <w:szCs w:val="21"/>
          <w:highlight w:val="none"/>
          <w:u w:val="single"/>
        </w:rPr>
        <w:t>在实施项目过程中，若发生隐蔽工程或工程量发生增减变动，必须经建设单位、监理单位、与施工单位等有关单位现场签字确认方可作为工程结算依据。</w:t>
      </w:r>
    </w:p>
    <w:p w14:paraId="00199EC8">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在实施项目过程中,若发生单价变动,由建设单位、监理单位、与施工单位共同商定并签字确认。</w:t>
      </w:r>
    </w:p>
    <w:p w14:paraId="4F0B0DF3">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r>
        <w:rPr>
          <w:rFonts w:ascii="宋体" w:hAnsi="宋体"/>
          <w:color w:val="auto"/>
          <w:szCs w:val="21"/>
          <w:highlight w:val="none"/>
        </w:rPr>
        <w:t xml:space="preserve"> 变更估价</w:t>
      </w:r>
    </w:p>
    <w:p w14:paraId="42B979A4">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10.2.1 变更估价原则</w:t>
      </w:r>
    </w:p>
    <w:p w14:paraId="6E93A6C6">
      <w:pPr>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关于变更估价的约定:</w:t>
      </w:r>
      <w:r>
        <w:rPr>
          <w:rFonts w:hint="eastAsia" w:ascii="宋体" w:hAnsi="宋体"/>
          <w:color w:val="auto"/>
          <w:szCs w:val="21"/>
          <w:highlight w:val="none"/>
        </w:rPr>
        <w:t>(1)</w:t>
      </w:r>
      <w:r>
        <w:rPr>
          <w:rFonts w:hint="eastAsia" w:ascii="宋体" w:hAnsi="宋体"/>
          <w:color w:val="auto"/>
          <w:szCs w:val="21"/>
          <w:highlight w:val="none"/>
          <w:u w:val="single"/>
        </w:rPr>
        <w:t>因设计变更引起工程项目、工程量变化的，工程量清单报价表中有相同细目的按竞标人竞标时的中标单价进行结算，工程量清单报价表中有类似细目的参考类似成交单价结算</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新增项目有定额的套定额计算，其中材料价格有信息的按信息价，无信息的按市场价</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新增项目无定额可套的，由发包人、承包人根据市场价格协商决定</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新增项目的单价应经有政府审计中心审定。</w:t>
      </w:r>
    </w:p>
    <w:p w14:paraId="003E4600">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 xml:space="preserve">国家和自治区政策性调整有关费用标准的，按文件规定执行。  </w:t>
      </w:r>
    </w:p>
    <w:p w14:paraId="2CAC2D26">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Start w:id="597" w:name="_Toc303539150"/>
      <w:bookmarkStart w:id="598" w:name="_Toc297123544"/>
      <w:bookmarkStart w:id="599" w:name="_Toc296347196"/>
      <w:bookmarkStart w:id="600" w:name="_Toc296503197"/>
      <w:bookmarkStart w:id="601" w:name="_Toc292559907"/>
      <w:bookmarkStart w:id="602" w:name="_Toc296944536"/>
      <w:bookmarkStart w:id="603" w:name="_Toc297216203"/>
      <w:bookmarkStart w:id="604" w:name="_Toc296891025"/>
      <w:bookmarkStart w:id="605" w:name="_Toc296891237"/>
      <w:bookmarkStart w:id="606" w:name="_Toc297120497"/>
      <w:bookmarkStart w:id="607" w:name="_Toc297048383"/>
      <w:bookmarkStart w:id="608" w:name="_Toc300934993"/>
      <w:bookmarkStart w:id="609" w:name="_Toc292559402"/>
      <w:bookmarkStart w:id="610" w:name="_Toc296346698"/>
      <w:bookmarkStart w:id="611" w:name="_Toc312678029"/>
      <w:bookmarkStart w:id="612" w:name="_Toc312677503"/>
      <w:bookmarkStart w:id="613" w:name="_Toc304295570"/>
      <w:r>
        <w:rPr>
          <w:rFonts w:ascii="宋体" w:hAnsi="宋体"/>
          <w:color w:val="auto"/>
          <w:szCs w:val="21"/>
          <w:highlight w:val="none"/>
        </w:rPr>
        <w:t>0.</w:t>
      </w:r>
      <w:r>
        <w:rPr>
          <w:rFonts w:hint="eastAsia" w:ascii="宋体" w:hAnsi="宋体"/>
          <w:color w:val="auto"/>
          <w:szCs w:val="21"/>
          <w:highlight w:val="none"/>
        </w:rPr>
        <w:t>3</w:t>
      </w:r>
      <w:r>
        <w:rPr>
          <w:rFonts w:ascii="宋体" w:hAnsi="宋体"/>
          <w:color w:val="auto"/>
          <w:szCs w:val="21"/>
          <w:highlight w:val="none"/>
        </w:rPr>
        <w:t>承</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Start w:id="614" w:name="_Toc300934994"/>
      <w:bookmarkStart w:id="615" w:name="_Toc296891031"/>
      <w:bookmarkStart w:id="616" w:name="_Toc296346704"/>
      <w:bookmarkStart w:id="617" w:name="_Toc292559913"/>
      <w:bookmarkStart w:id="618" w:name="_Toc297123545"/>
      <w:bookmarkStart w:id="619" w:name="_Toc297048389"/>
      <w:bookmarkStart w:id="620" w:name="_Toc296944542"/>
      <w:bookmarkStart w:id="621" w:name="_Toc296503203"/>
      <w:bookmarkStart w:id="622" w:name="_Toc297216204"/>
      <w:bookmarkStart w:id="623" w:name="_Toc297120503"/>
      <w:bookmarkStart w:id="624" w:name="_Toc292559408"/>
      <w:bookmarkStart w:id="625" w:name="_Toc296347202"/>
      <w:bookmarkStart w:id="626" w:name="_Toc296891243"/>
      <w:bookmarkStart w:id="627" w:name="_Toc303539151"/>
      <w:r>
        <w:rPr>
          <w:rFonts w:ascii="宋体" w:hAnsi="宋体"/>
          <w:color w:val="auto"/>
          <w:szCs w:val="21"/>
          <w:highlight w:val="none"/>
        </w:rPr>
        <w:t>包人的合理化建议</w:t>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7D053FBC">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在收到承包人提交的合理化建议后 7天内。</w:t>
      </w:r>
    </w:p>
    <w:p w14:paraId="57F10E1B">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在收到监理人报送的合理化建议后 7天内。</w:t>
      </w:r>
    </w:p>
    <w:p w14:paraId="368CAB98">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承</w:t>
      </w:r>
      <w:bookmarkStart w:id="628" w:name="_Toc297048390"/>
      <w:bookmarkStart w:id="629" w:name="_Toc312677504"/>
      <w:bookmarkStart w:id="630" w:name="_Toc297123546"/>
      <w:bookmarkStart w:id="631" w:name="_Toc297120504"/>
      <w:bookmarkStart w:id="632" w:name="_Toc296891244"/>
      <w:bookmarkStart w:id="633" w:name="_Toc292559914"/>
      <w:bookmarkStart w:id="634" w:name="_Toc296346705"/>
      <w:bookmarkStart w:id="635" w:name="_Toc297216205"/>
      <w:bookmarkStart w:id="636" w:name="_Toc296347203"/>
      <w:bookmarkStart w:id="637" w:name="_Toc296944543"/>
      <w:bookmarkStart w:id="638" w:name="_Toc312678030"/>
      <w:bookmarkStart w:id="639" w:name="_Toc292559409"/>
      <w:bookmarkStart w:id="640" w:name="_Toc296503204"/>
      <w:bookmarkStart w:id="641" w:name="_Toc303539152"/>
      <w:bookmarkStart w:id="642" w:name="_Toc300934995"/>
      <w:bookmarkStart w:id="643" w:name="_Toc318581175"/>
      <w:bookmarkStart w:id="644" w:name="_Toc296891032"/>
      <w:bookmarkStart w:id="645" w:name="_Toc304295571"/>
      <w:r>
        <w:rPr>
          <w:rFonts w:ascii="宋体" w:hAnsi="宋体"/>
          <w:color w:val="auto"/>
          <w:szCs w:val="21"/>
          <w:highlight w:val="none"/>
        </w:rPr>
        <w:t>包人提出的合理化建议降低了合同价格或者提高了工程经济效益的奖励的方法和金额为：。</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71ECF868">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w:t>
      </w:r>
      <w:bookmarkStart w:id="646" w:name="_Toc312677507"/>
      <w:bookmarkStart w:id="647" w:name="_Toc300934997"/>
      <w:bookmarkStart w:id="648" w:name="_Toc303539154"/>
      <w:bookmarkStart w:id="649" w:name="_Toc296346700"/>
      <w:bookmarkStart w:id="650" w:name="_Toc292559909"/>
      <w:bookmarkStart w:id="651" w:name="_Toc297123548"/>
      <w:bookmarkStart w:id="652" w:name="_Toc296891239"/>
      <w:bookmarkStart w:id="653" w:name="_Toc304295574"/>
      <w:bookmarkStart w:id="654" w:name="_Toc296503199"/>
      <w:bookmarkStart w:id="655" w:name="_Toc297120499"/>
      <w:bookmarkStart w:id="656" w:name="_Toc296944538"/>
      <w:bookmarkStart w:id="657" w:name="_Toc296891027"/>
      <w:bookmarkStart w:id="658" w:name="_Toc296347198"/>
      <w:bookmarkStart w:id="659" w:name="_Toc297216207"/>
      <w:bookmarkStart w:id="660" w:name="_Toc297048385"/>
      <w:bookmarkStart w:id="661" w:name="_Toc312678033"/>
      <w:bookmarkStart w:id="662" w:name="_Toc292559404"/>
      <w:r>
        <w:rPr>
          <w:rFonts w:ascii="宋体" w:hAnsi="宋体"/>
          <w:color w:val="auto"/>
          <w:szCs w:val="21"/>
          <w:highlight w:val="none"/>
        </w:rPr>
        <w:t>0.</w:t>
      </w:r>
      <w:r>
        <w:rPr>
          <w:rFonts w:hint="eastAsia" w:ascii="宋体" w:hAnsi="宋体"/>
          <w:color w:val="auto"/>
          <w:szCs w:val="21"/>
          <w:highlight w:val="none"/>
        </w:rPr>
        <w:t>4</w:t>
      </w:r>
      <w:r>
        <w:rPr>
          <w:rFonts w:ascii="宋体" w:hAnsi="宋体"/>
          <w:color w:val="auto"/>
          <w:szCs w:val="21"/>
          <w:highlight w:val="none"/>
        </w:rPr>
        <w:t xml:space="preserve"> 暂估价</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6F88C09B">
      <w:pPr>
        <w:spacing w:line="360" w:lineRule="auto"/>
        <w:ind w:firstLine="420" w:firstLineChars="200"/>
        <w:jc w:val="left"/>
        <w:rPr>
          <w:color w:val="auto"/>
          <w:szCs w:val="21"/>
          <w:highlight w:val="none"/>
        </w:rPr>
      </w:pPr>
      <w:r>
        <w:rPr>
          <w:color w:val="auto"/>
          <w:szCs w:val="21"/>
          <w:highlight w:val="none"/>
        </w:rPr>
        <w:t xml:space="preserve">10.4.1 </w:t>
      </w:r>
      <w:r>
        <w:rPr>
          <w:rFonts w:hAnsi="宋体"/>
          <w:color w:val="auto"/>
          <w:szCs w:val="21"/>
          <w:highlight w:val="none"/>
        </w:rPr>
        <w:t>变更估价原则</w:t>
      </w:r>
    </w:p>
    <w:p w14:paraId="6BFD4A1C">
      <w:pPr>
        <w:spacing w:line="360" w:lineRule="auto"/>
        <w:ind w:firstLine="420" w:firstLineChars="200"/>
        <w:jc w:val="left"/>
        <w:rPr>
          <w:rFonts w:hAnsi="宋体"/>
          <w:bCs/>
          <w:color w:val="auto"/>
          <w:szCs w:val="21"/>
          <w:highlight w:val="none"/>
          <w:u w:val="single"/>
        </w:rPr>
      </w:pPr>
      <w:r>
        <w:rPr>
          <w:rFonts w:hAnsi="宋体"/>
          <w:color w:val="auto"/>
          <w:szCs w:val="21"/>
          <w:highlight w:val="none"/>
        </w:rPr>
        <w:t>关于变更估价的约定</w:t>
      </w:r>
      <w:r>
        <w:rPr>
          <w:color w:val="auto"/>
          <w:szCs w:val="21"/>
          <w:highlight w:val="none"/>
        </w:rPr>
        <w:t xml:space="preserve">: </w:t>
      </w:r>
      <w:bookmarkStart w:id="663" w:name="_Toc251051742"/>
      <w:r>
        <w:rPr>
          <w:rFonts w:hint="eastAsia" w:hAnsi="宋体"/>
          <w:bCs/>
          <w:color w:val="auto"/>
          <w:szCs w:val="21"/>
          <w:highlight w:val="none"/>
          <w:u w:val="single"/>
        </w:rPr>
        <w:t>工程</w:t>
      </w:r>
      <w:r>
        <w:rPr>
          <w:rFonts w:hAnsi="宋体"/>
          <w:bCs/>
          <w:color w:val="auto"/>
          <w:szCs w:val="21"/>
          <w:highlight w:val="none"/>
          <w:u w:val="single"/>
        </w:rPr>
        <w:t>变更合同价款按下列方法进行：（</w:t>
      </w:r>
      <w:r>
        <w:rPr>
          <w:bCs/>
          <w:color w:val="auto"/>
          <w:szCs w:val="21"/>
          <w:highlight w:val="none"/>
          <w:u w:val="single"/>
        </w:rPr>
        <w:t>1</w:t>
      </w:r>
      <w:r>
        <w:rPr>
          <w:rFonts w:hAnsi="宋体"/>
          <w:bCs/>
          <w:color w:val="auto"/>
          <w:szCs w:val="21"/>
          <w:highlight w:val="none"/>
          <w:u w:val="single"/>
        </w:rPr>
        <w:t>）合同中已有相同清单项目的，按合同该清单项目价格进行计算</w:t>
      </w:r>
      <w:r>
        <w:rPr>
          <w:rFonts w:hint="eastAsia" w:hAnsi="宋体"/>
          <w:bCs/>
          <w:color w:val="auto"/>
          <w:szCs w:val="21"/>
          <w:highlight w:val="none"/>
          <w:u w:val="single"/>
          <w:lang w:eastAsia="zh-CN"/>
        </w:rPr>
        <w:t>；</w:t>
      </w:r>
      <w:r>
        <w:rPr>
          <w:rFonts w:hAnsi="宋体"/>
          <w:bCs/>
          <w:color w:val="auto"/>
          <w:szCs w:val="21"/>
          <w:highlight w:val="none"/>
          <w:u w:val="single"/>
        </w:rPr>
        <w:t>（</w:t>
      </w:r>
      <w:r>
        <w:rPr>
          <w:bCs/>
          <w:color w:val="auto"/>
          <w:szCs w:val="21"/>
          <w:highlight w:val="none"/>
          <w:u w:val="single"/>
        </w:rPr>
        <w:t>2</w:t>
      </w:r>
      <w:r>
        <w:rPr>
          <w:rFonts w:hAnsi="宋体"/>
          <w:bCs/>
          <w:color w:val="auto"/>
          <w:szCs w:val="21"/>
          <w:highlight w:val="none"/>
          <w:u w:val="single"/>
        </w:rPr>
        <w:t>）合同中只有类似清单项目的，参照该类似清单项目价格进行计算</w:t>
      </w:r>
      <w:r>
        <w:rPr>
          <w:rFonts w:hint="eastAsia" w:hAnsi="宋体"/>
          <w:bCs/>
          <w:color w:val="auto"/>
          <w:szCs w:val="21"/>
          <w:highlight w:val="none"/>
          <w:u w:val="single"/>
          <w:lang w:eastAsia="zh-CN"/>
        </w:rPr>
        <w:t>；</w:t>
      </w:r>
      <w:r>
        <w:rPr>
          <w:rFonts w:hAnsi="宋体"/>
          <w:bCs/>
          <w:color w:val="auto"/>
          <w:szCs w:val="21"/>
          <w:highlight w:val="none"/>
          <w:u w:val="single"/>
        </w:rPr>
        <w:t>（</w:t>
      </w:r>
      <w:r>
        <w:rPr>
          <w:bCs/>
          <w:color w:val="auto"/>
          <w:szCs w:val="21"/>
          <w:highlight w:val="none"/>
          <w:u w:val="single"/>
        </w:rPr>
        <w:t>3</w:t>
      </w:r>
      <w:r>
        <w:rPr>
          <w:rFonts w:hAnsi="宋体"/>
          <w:bCs/>
          <w:color w:val="auto"/>
          <w:szCs w:val="21"/>
          <w:highlight w:val="none"/>
          <w:u w:val="single"/>
        </w:rPr>
        <w:t>）合同中没有适用或类似清单项目的价格计算方法：有定额的套定额，并乘以</w:t>
      </w:r>
      <w:r>
        <w:rPr>
          <w:rFonts w:hint="eastAsia" w:hAnsi="宋体"/>
          <w:bCs/>
          <w:color w:val="auto"/>
          <w:szCs w:val="21"/>
          <w:highlight w:val="none"/>
          <w:u w:val="single"/>
        </w:rPr>
        <w:t>（竞标价/采购</w:t>
      </w:r>
      <w:r>
        <w:rPr>
          <w:rFonts w:hAnsi="宋体"/>
          <w:bCs/>
          <w:color w:val="auto"/>
          <w:szCs w:val="21"/>
          <w:highlight w:val="none"/>
          <w:u w:val="single"/>
        </w:rPr>
        <w:t>控制价</w:t>
      </w:r>
      <w:r>
        <w:rPr>
          <w:rFonts w:hint="eastAsia" w:hAnsi="宋体"/>
          <w:bCs/>
          <w:color w:val="auto"/>
          <w:szCs w:val="21"/>
          <w:highlight w:val="none"/>
          <w:u w:val="single"/>
        </w:rPr>
        <w:t>）</w:t>
      </w:r>
      <w:r>
        <w:rPr>
          <w:rFonts w:hAnsi="宋体"/>
          <w:bCs/>
          <w:color w:val="auto"/>
          <w:szCs w:val="21"/>
          <w:highlight w:val="none"/>
          <w:u w:val="single"/>
        </w:rPr>
        <w:t>系数计算，其中材料价格按施工期间的《</w:t>
      </w:r>
      <w:r>
        <w:rPr>
          <w:rFonts w:hint="eastAsia"/>
          <w:bCs/>
          <w:color w:val="auto"/>
          <w:szCs w:val="21"/>
          <w:highlight w:val="none"/>
          <w:u w:val="single"/>
        </w:rPr>
        <w:t>钦州</w:t>
      </w:r>
      <w:r>
        <w:rPr>
          <w:rFonts w:hAnsi="宋体"/>
          <w:bCs/>
          <w:color w:val="auto"/>
          <w:szCs w:val="21"/>
          <w:highlight w:val="none"/>
          <w:u w:val="single"/>
        </w:rPr>
        <w:t>市建设工程造价信息》相应价格信息进行计算</w:t>
      </w:r>
      <w:r>
        <w:rPr>
          <w:rFonts w:hint="eastAsia" w:hAnsi="宋体"/>
          <w:bCs/>
          <w:color w:val="auto"/>
          <w:szCs w:val="21"/>
          <w:highlight w:val="none"/>
          <w:u w:val="single"/>
          <w:lang w:eastAsia="zh-CN"/>
        </w:rPr>
        <w:t>；</w:t>
      </w:r>
      <w:r>
        <w:rPr>
          <w:rFonts w:hAnsi="宋体"/>
          <w:bCs/>
          <w:color w:val="auto"/>
          <w:szCs w:val="21"/>
          <w:highlight w:val="none"/>
          <w:u w:val="single"/>
        </w:rPr>
        <w:t>《</w:t>
      </w:r>
      <w:r>
        <w:rPr>
          <w:rFonts w:hint="eastAsia"/>
          <w:bCs/>
          <w:color w:val="auto"/>
          <w:szCs w:val="21"/>
          <w:highlight w:val="none"/>
          <w:u w:val="single"/>
        </w:rPr>
        <w:t>钦州</w:t>
      </w:r>
      <w:r>
        <w:rPr>
          <w:rFonts w:hAnsi="宋体"/>
          <w:bCs/>
          <w:color w:val="auto"/>
          <w:szCs w:val="21"/>
          <w:highlight w:val="none"/>
          <w:u w:val="single"/>
        </w:rPr>
        <w:t>市建设工程造价信息》没有相应价格信息的</w:t>
      </w:r>
      <w:r>
        <w:rPr>
          <w:rFonts w:hint="eastAsia" w:hAnsi="宋体"/>
          <w:bCs/>
          <w:color w:val="auto"/>
          <w:szCs w:val="21"/>
          <w:highlight w:val="none"/>
          <w:u w:val="single"/>
        </w:rPr>
        <w:t>可</w:t>
      </w:r>
      <w:r>
        <w:rPr>
          <w:rFonts w:hAnsi="宋体"/>
          <w:bCs/>
          <w:color w:val="auto"/>
          <w:szCs w:val="21"/>
          <w:highlight w:val="none"/>
          <w:u w:val="single"/>
        </w:rPr>
        <w:t>参照</w:t>
      </w:r>
      <w:r>
        <w:rPr>
          <w:rFonts w:hint="eastAsia" w:hAnsi="宋体"/>
          <w:bCs/>
          <w:color w:val="auto"/>
          <w:szCs w:val="21"/>
          <w:highlight w:val="none"/>
          <w:u w:val="single"/>
        </w:rPr>
        <w:t>《</w:t>
      </w:r>
      <w:r>
        <w:rPr>
          <w:rFonts w:hAnsi="宋体"/>
          <w:bCs/>
          <w:color w:val="auto"/>
          <w:szCs w:val="21"/>
          <w:highlight w:val="none"/>
          <w:u w:val="single"/>
        </w:rPr>
        <w:t>南宁市</w:t>
      </w:r>
      <w:r>
        <w:rPr>
          <w:rFonts w:hint="eastAsia" w:hAnsi="宋体"/>
          <w:bCs/>
          <w:color w:val="auto"/>
          <w:szCs w:val="21"/>
          <w:highlight w:val="none"/>
          <w:u w:val="single"/>
        </w:rPr>
        <w:t>建设工程</w:t>
      </w:r>
      <w:r>
        <w:rPr>
          <w:rFonts w:hAnsi="宋体"/>
          <w:bCs/>
          <w:color w:val="auto"/>
          <w:szCs w:val="21"/>
          <w:highlight w:val="none"/>
          <w:u w:val="single"/>
        </w:rPr>
        <w:t>信息价</w:t>
      </w:r>
      <w:r>
        <w:rPr>
          <w:rFonts w:hint="eastAsia" w:hAnsi="宋体"/>
          <w:bCs/>
          <w:color w:val="auto"/>
          <w:szCs w:val="21"/>
          <w:highlight w:val="none"/>
          <w:u w:val="single"/>
        </w:rPr>
        <w:t>》</w:t>
      </w:r>
      <w:r>
        <w:rPr>
          <w:rFonts w:hAnsi="宋体"/>
          <w:bCs/>
          <w:color w:val="auto"/>
          <w:szCs w:val="21"/>
          <w:highlight w:val="none"/>
          <w:u w:val="single"/>
        </w:rPr>
        <w:t>或</w:t>
      </w:r>
      <w:r>
        <w:rPr>
          <w:rFonts w:hint="eastAsia" w:hAnsi="宋体"/>
          <w:bCs/>
          <w:color w:val="auto"/>
          <w:szCs w:val="21"/>
          <w:highlight w:val="none"/>
          <w:u w:val="single"/>
        </w:rPr>
        <w:t>广西</w:t>
      </w:r>
      <w:r>
        <w:rPr>
          <w:rFonts w:hAnsi="宋体"/>
          <w:bCs/>
          <w:color w:val="auto"/>
          <w:szCs w:val="21"/>
          <w:highlight w:val="none"/>
          <w:u w:val="single"/>
        </w:rPr>
        <w:t>区内其他城市信息价</w:t>
      </w:r>
      <w:r>
        <w:rPr>
          <w:rFonts w:hint="eastAsia" w:hAnsi="宋体"/>
          <w:bCs/>
          <w:color w:val="auto"/>
          <w:szCs w:val="21"/>
          <w:highlight w:val="none"/>
          <w:u w:val="single"/>
          <w:lang w:eastAsia="zh-CN"/>
        </w:rPr>
        <w:t>；</w:t>
      </w:r>
      <w:r>
        <w:rPr>
          <w:rFonts w:hAnsi="宋体"/>
          <w:bCs/>
          <w:color w:val="auto"/>
          <w:szCs w:val="21"/>
          <w:highlight w:val="none"/>
          <w:u w:val="single"/>
        </w:rPr>
        <w:t>无定额可套的，根据</w:t>
      </w:r>
      <w:r>
        <w:rPr>
          <w:rFonts w:hint="eastAsia" w:hAnsi="宋体"/>
          <w:bCs/>
          <w:color w:val="auto"/>
          <w:szCs w:val="21"/>
          <w:highlight w:val="none"/>
          <w:u w:val="single"/>
        </w:rPr>
        <w:t>经</w:t>
      </w:r>
      <w:r>
        <w:rPr>
          <w:rFonts w:hAnsi="宋体"/>
          <w:bCs/>
          <w:color w:val="auto"/>
          <w:szCs w:val="21"/>
          <w:highlight w:val="none"/>
          <w:u w:val="single"/>
        </w:rPr>
        <w:t>市场</w:t>
      </w:r>
      <w:r>
        <w:rPr>
          <w:rFonts w:hint="eastAsia" w:hAnsi="宋体"/>
          <w:bCs/>
          <w:color w:val="auto"/>
          <w:szCs w:val="21"/>
          <w:highlight w:val="none"/>
          <w:u w:val="single"/>
        </w:rPr>
        <w:t>询价</w:t>
      </w:r>
      <w:r>
        <w:rPr>
          <w:rFonts w:hAnsi="宋体"/>
          <w:bCs/>
          <w:color w:val="auto"/>
          <w:szCs w:val="21"/>
          <w:highlight w:val="none"/>
          <w:u w:val="single"/>
        </w:rPr>
        <w:t>协商确定综合价格</w:t>
      </w:r>
      <w:r>
        <w:rPr>
          <w:rFonts w:hint="eastAsia" w:hAnsi="宋体"/>
          <w:bCs/>
          <w:color w:val="auto"/>
          <w:szCs w:val="21"/>
          <w:highlight w:val="none"/>
          <w:u w:val="single"/>
        </w:rPr>
        <w:t>或经</w:t>
      </w:r>
      <w:r>
        <w:rPr>
          <w:rFonts w:hAnsi="宋体"/>
          <w:bCs/>
          <w:color w:val="auto"/>
          <w:szCs w:val="21"/>
          <w:highlight w:val="none"/>
          <w:u w:val="single"/>
        </w:rPr>
        <w:t>采购</w:t>
      </w:r>
      <w:r>
        <w:rPr>
          <w:rFonts w:hint="eastAsia" w:hAnsi="宋体"/>
          <w:bCs/>
          <w:color w:val="auto"/>
          <w:szCs w:val="21"/>
          <w:highlight w:val="none"/>
          <w:u w:val="single"/>
        </w:rPr>
        <w:t>采购</w:t>
      </w:r>
      <w:r>
        <w:rPr>
          <w:rFonts w:hAnsi="宋体"/>
          <w:bCs/>
          <w:color w:val="auto"/>
          <w:szCs w:val="21"/>
          <w:highlight w:val="none"/>
          <w:u w:val="single"/>
        </w:rPr>
        <w:t>确定材料</w:t>
      </w:r>
      <w:r>
        <w:rPr>
          <w:rFonts w:hint="eastAsia" w:hAnsi="宋体"/>
          <w:bCs/>
          <w:color w:val="auto"/>
          <w:szCs w:val="21"/>
          <w:highlight w:val="none"/>
          <w:u w:val="single"/>
        </w:rPr>
        <w:t>单价</w:t>
      </w:r>
      <w:bookmarkEnd w:id="663"/>
      <w:r>
        <w:rPr>
          <w:rFonts w:hint="eastAsia" w:hAnsi="宋体"/>
          <w:bCs/>
          <w:color w:val="auto"/>
          <w:szCs w:val="21"/>
          <w:highlight w:val="none"/>
          <w:u w:val="single"/>
        </w:rPr>
        <w:t>。</w:t>
      </w:r>
    </w:p>
    <w:p w14:paraId="1654A375">
      <w:pPr>
        <w:spacing w:line="360" w:lineRule="auto"/>
        <w:ind w:firstLine="420" w:firstLineChars="200"/>
        <w:jc w:val="left"/>
        <w:rPr>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6E7CF14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r>
        <w:rPr>
          <w:rFonts w:ascii="宋体" w:hAnsi="宋体"/>
          <w:color w:val="auto"/>
          <w:szCs w:val="21"/>
          <w:highlight w:val="none"/>
        </w:rPr>
        <w:t xml:space="preserve"> 暂列金额</w:t>
      </w:r>
    </w:p>
    <w:p w14:paraId="4E64C763">
      <w:pPr>
        <w:spacing w:line="360" w:lineRule="auto"/>
        <w:ind w:firstLine="420" w:firstLineChars="200"/>
        <w:jc w:val="left"/>
        <w:rPr>
          <w:rFonts w:hAnsi="宋体"/>
          <w:color w:val="auto"/>
          <w:kern w:val="0"/>
          <w:szCs w:val="21"/>
          <w:highlight w:val="none"/>
        </w:rPr>
      </w:pPr>
      <w:r>
        <w:rPr>
          <w:rFonts w:hint="eastAsia" w:ascii="宋体" w:hAnsi="宋体"/>
          <w:color w:val="auto"/>
          <w:kern w:val="0"/>
          <w:szCs w:val="21"/>
          <w:highlight w:val="none"/>
        </w:rPr>
        <w:t>合同当事人关于暂列金额使用的约定：</w:t>
      </w:r>
      <w:r>
        <w:rPr>
          <w:rFonts w:hAnsi="宋体"/>
          <w:color w:val="auto"/>
          <w:kern w:val="0"/>
          <w:szCs w:val="21"/>
          <w:highlight w:val="none"/>
        </w:rPr>
        <w:t>暂</w:t>
      </w:r>
      <w:bookmarkStart w:id="664" w:name="_Toc312677508"/>
      <w:bookmarkStart w:id="665" w:name="_Toc312678034"/>
      <w:bookmarkStart w:id="666" w:name="_Toc318581176"/>
      <w:r>
        <w:rPr>
          <w:rFonts w:hAnsi="宋体"/>
          <w:color w:val="auto"/>
          <w:kern w:val="0"/>
          <w:szCs w:val="21"/>
          <w:highlight w:val="none"/>
        </w:rPr>
        <w:t>估价材料和工程设备的明细详见</w:t>
      </w:r>
      <w:r>
        <w:rPr>
          <w:rFonts w:hint="eastAsia" w:hAnsi="宋体"/>
          <w:color w:val="auto"/>
          <w:kern w:val="0"/>
          <w:szCs w:val="21"/>
          <w:highlight w:val="none"/>
        </w:rPr>
        <w:t>已标价工程量清单《</w:t>
      </w:r>
      <w:r>
        <w:rPr>
          <w:color w:val="auto"/>
          <w:szCs w:val="21"/>
          <w:highlight w:val="none"/>
        </w:rPr>
        <w:t>材料（工程设备）暂估价格及调整表</w:t>
      </w:r>
      <w:r>
        <w:rPr>
          <w:rFonts w:hint="eastAsia"/>
          <w:color w:val="auto"/>
          <w:szCs w:val="21"/>
          <w:highlight w:val="none"/>
        </w:rPr>
        <w:t>》</w:t>
      </w:r>
      <w:r>
        <w:rPr>
          <w:rFonts w:hint="eastAsia" w:hAnsi="宋体"/>
          <w:color w:val="auto"/>
          <w:kern w:val="0"/>
          <w:szCs w:val="21"/>
          <w:highlight w:val="none"/>
        </w:rPr>
        <w:t>（表12-2）和《</w:t>
      </w:r>
      <w:r>
        <w:rPr>
          <w:color w:val="auto"/>
          <w:szCs w:val="21"/>
          <w:highlight w:val="none"/>
        </w:rPr>
        <w:t>专业工程暂估价表</w:t>
      </w:r>
      <w:r>
        <w:rPr>
          <w:rFonts w:hint="eastAsia"/>
          <w:color w:val="auto"/>
          <w:szCs w:val="21"/>
          <w:highlight w:val="none"/>
        </w:rPr>
        <w:t>》（</w:t>
      </w:r>
      <w:r>
        <w:rPr>
          <w:rFonts w:hint="eastAsia" w:hAnsi="宋体"/>
          <w:color w:val="auto"/>
          <w:kern w:val="0"/>
          <w:szCs w:val="21"/>
          <w:highlight w:val="none"/>
        </w:rPr>
        <w:t>表12-3）</w:t>
      </w:r>
      <w:r>
        <w:rPr>
          <w:rFonts w:hAnsi="宋体"/>
          <w:color w:val="auto"/>
          <w:kern w:val="0"/>
          <w:szCs w:val="21"/>
          <w:highlight w:val="none"/>
        </w:rPr>
        <w:t>。</w:t>
      </w:r>
    </w:p>
    <w:p w14:paraId="2C9F5725">
      <w:pPr>
        <w:autoSpaceDE w:val="0"/>
        <w:autoSpaceDN w:val="0"/>
        <w:adjustRightInd w:val="0"/>
        <w:spacing w:line="360" w:lineRule="auto"/>
        <w:ind w:firstLine="420" w:firstLineChars="200"/>
        <w:jc w:val="left"/>
        <w:rPr>
          <w:color w:val="auto"/>
          <w:szCs w:val="21"/>
          <w:highlight w:val="none"/>
          <w:u w:val="single"/>
        </w:rPr>
      </w:pPr>
      <w:r>
        <w:rPr>
          <w:rFonts w:hAnsi="宋体"/>
          <w:color w:val="auto"/>
          <w:kern w:val="0"/>
          <w:szCs w:val="21"/>
          <w:highlight w:val="none"/>
        </w:rPr>
        <w:t>合同当事人关于暂列金额使用的约定：</w:t>
      </w:r>
      <w:r>
        <w:rPr>
          <w:rFonts w:hint="eastAsia"/>
          <w:color w:val="auto"/>
          <w:szCs w:val="21"/>
          <w:highlight w:val="none"/>
          <w:u w:val="single"/>
        </w:rPr>
        <w:t>暂列金额应由监理人报发包人批准后指令全部或部分地使用，或者根本不予动用。承包人有权得到的暂列金额应限于监理人根据本条约定决定动用暂列金额的工程、供应或不可预见费用方面的金额。监理人应将根据本款做出的每项决定报发包人批准并通知承包人。</w:t>
      </w:r>
    </w:p>
    <w:bookmarkEnd w:id="664"/>
    <w:bookmarkEnd w:id="665"/>
    <w:bookmarkEnd w:id="666"/>
    <w:p w14:paraId="37122D71">
      <w:pPr>
        <w:keepNext/>
        <w:keepLines/>
        <w:widowControl/>
        <w:spacing w:before="120" w:after="120" w:line="440" w:lineRule="exact"/>
        <w:outlineLvl w:val="3"/>
        <w:rPr>
          <w:rFonts w:ascii="宋体" w:hAnsi="宋体" w:eastAsia="黑体"/>
          <w:b/>
          <w:color w:val="auto"/>
          <w:kern w:val="0"/>
          <w:sz w:val="28"/>
          <w:szCs w:val="21"/>
          <w:highlight w:val="none"/>
        </w:rPr>
      </w:pPr>
      <w:bookmarkStart w:id="667" w:name="_Toc351203643"/>
      <w:r>
        <w:rPr>
          <w:rFonts w:ascii="宋体" w:hAnsi="宋体" w:eastAsia="黑体"/>
          <w:b/>
          <w:color w:val="auto"/>
          <w:kern w:val="0"/>
          <w:sz w:val="28"/>
          <w:szCs w:val="21"/>
          <w:highlight w:val="none"/>
        </w:rPr>
        <w:t>11. 价格调整</w:t>
      </w:r>
      <w:bookmarkEnd w:id="667"/>
    </w:p>
    <w:p w14:paraId="33971637">
      <w:pPr>
        <w:spacing w:after="120" w:line="440" w:lineRule="exact"/>
        <w:ind w:firstLine="420" w:firstLineChars="200"/>
        <w:rPr>
          <w:rFonts w:ascii="宋体" w:hAnsi="宋体"/>
          <w:color w:val="auto"/>
          <w:szCs w:val="21"/>
          <w:highlight w:val="none"/>
        </w:rPr>
      </w:pPr>
      <w:bookmarkStart w:id="668" w:name="_Toc300935000"/>
      <w:bookmarkStart w:id="669" w:name="_Toc292559406"/>
      <w:bookmarkStart w:id="670" w:name="_Toc297048387"/>
      <w:bookmarkStart w:id="671" w:name="_Toc303539157"/>
      <w:bookmarkStart w:id="672" w:name="_Toc297123550"/>
      <w:bookmarkStart w:id="673" w:name="_Toc296503201"/>
      <w:bookmarkStart w:id="674" w:name="_Toc296944540"/>
      <w:bookmarkStart w:id="675" w:name="_Toc296891029"/>
      <w:bookmarkStart w:id="676" w:name="_Toc312678039"/>
      <w:bookmarkStart w:id="677" w:name="_Toc297120501"/>
      <w:bookmarkStart w:id="678" w:name="_Toc296346702"/>
      <w:bookmarkStart w:id="679" w:name="_Toc297216209"/>
      <w:bookmarkStart w:id="680" w:name="_Toc296891241"/>
      <w:bookmarkStart w:id="681" w:name="_Toc296347200"/>
      <w:bookmarkStart w:id="682" w:name="_Toc304295577"/>
      <w:bookmarkStart w:id="683" w:name="_Toc292559911"/>
      <w:r>
        <w:rPr>
          <w:rFonts w:ascii="宋体" w:hAnsi="宋体"/>
          <w:color w:val="auto"/>
          <w:szCs w:val="21"/>
          <w:highlight w:val="none"/>
        </w:rPr>
        <w:t>11.1 市场价格波动引起的调整</w:t>
      </w:r>
    </w:p>
    <w:bookmarkEnd w:id="573"/>
    <w:bookmarkEnd w:id="574"/>
    <w:bookmarkEnd w:id="575"/>
    <w:bookmarkEnd w:id="576"/>
    <w:bookmarkEnd w:id="577"/>
    <w:bookmarkEnd w:id="578"/>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14:paraId="76DE97AA">
      <w:pPr>
        <w:spacing w:line="440" w:lineRule="exact"/>
        <w:ind w:firstLine="420" w:firstLineChars="200"/>
        <w:jc w:val="left"/>
        <w:rPr>
          <w:rFonts w:ascii="宋体" w:hAnsi="宋体"/>
          <w:color w:val="auto"/>
          <w:szCs w:val="21"/>
          <w:highlight w:val="none"/>
        </w:rPr>
      </w:pPr>
      <w:bookmarkStart w:id="684" w:name="_Toc297048391"/>
      <w:bookmarkStart w:id="685" w:name="_Toc296944544"/>
      <w:bookmarkStart w:id="686" w:name="_Toc296346706"/>
      <w:bookmarkStart w:id="687" w:name="_Toc296891033"/>
      <w:bookmarkStart w:id="688" w:name="_Toc292559410"/>
      <w:bookmarkStart w:id="689" w:name="_Toc297120505"/>
      <w:bookmarkStart w:id="690" w:name="_Toc296503205"/>
      <w:bookmarkStart w:id="691" w:name="_Toc296347204"/>
      <w:bookmarkStart w:id="692" w:name="_Toc296891245"/>
      <w:bookmarkStart w:id="693" w:name="_Toc292559915"/>
      <w:bookmarkStart w:id="694" w:name="_Toc351203644"/>
      <w:bookmarkStart w:id="695" w:name="_Toc312678040"/>
      <w:bookmarkStart w:id="696" w:name="_Toc300935002"/>
      <w:bookmarkStart w:id="697" w:name="_Toc297123552"/>
      <w:bookmarkStart w:id="698" w:name="_Toc303539159"/>
      <w:bookmarkStart w:id="699" w:name="_Toc304295579"/>
      <w:bookmarkStart w:id="700" w:name="_Toc297216211"/>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可调整</w:t>
      </w:r>
      <w:r>
        <w:rPr>
          <w:rFonts w:hint="eastAsia" w:ascii="宋体" w:hAnsi="宋体"/>
          <w:color w:val="auto"/>
          <w:szCs w:val="21"/>
          <w:highlight w:val="none"/>
        </w:rPr>
        <w:t>。</w:t>
      </w:r>
    </w:p>
    <w:p w14:paraId="52D8F1AB">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因市场价格波动调整合同价格，采用以下第</w:t>
      </w:r>
      <w:r>
        <w:rPr>
          <w:rFonts w:hint="eastAsia" w:ascii="宋体" w:hAnsi="宋体"/>
          <w:color w:val="auto"/>
          <w:szCs w:val="21"/>
          <w:highlight w:val="none"/>
          <w:u w:val="single"/>
        </w:rPr>
        <w:t>2</w:t>
      </w:r>
      <w:r>
        <w:rPr>
          <w:rFonts w:hint="eastAsia" w:ascii="宋体" w:hAnsi="宋体"/>
          <w:color w:val="auto"/>
          <w:szCs w:val="21"/>
          <w:highlight w:val="none"/>
        </w:rPr>
        <w:t>种方式对合同价格进行调整：</w:t>
      </w:r>
    </w:p>
    <w:p w14:paraId="1972A66C">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1</w:t>
      </w:r>
      <w:r>
        <w:rPr>
          <w:rFonts w:hint="eastAsia" w:ascii="宋体" w:hAnsi="宋体"/>
          <w:color w:val="auto"/>
          <w:szCs w:val="21"/>
          <w:highlight w:val="none"/>
        </w:rPr>
        <w:t>种方式：采用价格指数进行价格调整。</w:t>
      </w:r>
    </w:p>
    <w:p w14:paraId="1EA42ED4">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lang w:eastAsia="zh-CN"/>
        </w:rPr>
        <w:t>；</w:t>
      </w:r>
    </w:p>
    <w:p w14:paraId="4E97A7F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第2种方式：根据《关于加强建筑材料价格风险控制的指导意见》（钦州市住房和城乡建设委员会2010年9月21日文件）规定采用造价信息按算术平均差价进行价格调整。</w:t>
      </w:r>
    </w:p>
    <w:p w14:paraId="6651523A">
      <w:pPr>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（2）关于基准价格的约定：</w:t>
      </w:r>
      <w:r>
        <w:rPr>
          <w:rFonts w:hint="eastAsia" w:ascii="宋体" w:hAnsi="宋体"/>
          <w:color w:val="auto"/>
          <w:szCs w:val="21"/>
          <w:highlight w:val="none"/>
          <w:u w:val="single"/>
        </w:rPr>
        <w:t>1、采购发包的工程，材料基准价格为采购当期《钦州市建设工程造价信息》发布的材料信息价</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采购当期《钦州市建设工程造价信息》没有发布信息价的材料，其基准价为经评审的采购控制价中的材料价格</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2、直接发包的工程，主要材料按签订合同当期的《钦州市建设工程造价信息》发布的材料价格为基准价格。签订合同当期没有发布信息价的材料，其基准价为经评审的工程预算书中的材料价格。  </w:t>
      </w:r>
    </w:p>
    <w:p w14:paraId="2C38B88D">
      <w:pPr>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经审核材料单价涨跌幅以基准单价为基础，超过±5%时，其超过±5 %部分据实调整（具体调整办法按钦州市住房和城乡建设委员会文件《关于加强建筑材料价格风险控制的指导意见》[2010年9月21日]的规定执行）。</w:t>
      </w:r>
    </w:p>
    <w:p w14:paraId="5837509E">
      <w:pPr>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00F29E46">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11.2</w:t>
      </w:r>
      <w:r>
        <w:rPr>
          <w:rFonts w:hint="eastAsia" w:ascii="宋体" w:hAnsi="宋体"/>
          <w:color w:val="auto"/>
          <w:szCs w:val="21"/>
          <w:highlight w:val="none"/>
          <w:u w:val="single"/>
        </w:rPr>
        <w:t>合同履行期间，除专用合同条款第11.3 款约定的增减以外，其他条件引起的综合单价变动均不调整。</w:t>
      </w:r>
    </w:p>
    <w:p w14:paraId="7E036EE8">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11.3 综合单价调整：</w:t>
      </w:r>
    </w:p>
    <w:p w14:paraId="05AA1E45">
      <w:pPr>
        <w:spacing w:line="360" w:lineRule="auto"/>
        <w:ind w:firstLine="480"/>
        <w:rPr>
          <w:rFonts w:ascii="宋体" w:hAnsi="宋体"/>
          <w:color w:val="auto"/>
          <w:szCs w:val="21"/>
          <w:highlight w:val="none"/>
          <w:u w:val="single"/>
        </w:rPr>
      </w:pPr>
      <w:r>
        <w:rPr>
          <w:rFonts w:hint="eastAsia" w:ascii="宋体" w:hAnsi="宋体"/>
          <w:color w:val="auto"/>
          <w:szCs w:val="21"/>
          <w:highlight w:val="none"/>
          <w:u w:val="single"/>
        </w:rPr>
        <w:t>（1）由于工程量清单项目漏项（指图纸有而清单无的漏项清单项目），其综合单价，依据2013年《</w:t>
      </w:r>
      <w:r>
        <w:rPr>
          <w:rFonts w:hint="eastAsia"/>
          <w:color w:val="auto"/>
          <w:highlight w:val="none"/>
          <w:u w:val="single"/>
        </w:rPr>
        <w:t>广西壮族自治区建筑装饰工程消耗量定额</w:t>
      </w:r>
      <w:r>
        <w:rPr>
          <w:rFonts w:hint="eastAsia" w:ascii="宋体" w:hAnsi="宋体"/>
          <w:color w:val="auto"/>
          <w:szCs w:val="21"/>
          <w:highlight w:val="none"/>
          <w:u w:val="single"/>
        </w:rPr>
        <w:t>》、2014版《广西壮族自治区市政工程消耗量定额》</w:t>
      </w:r>
      <w:r>
        <w:rPr>
          <w:rFonts w:hint="eastAsia"/>
          <w:color w:val="auto"/>
          <w:szCs w:val="21"/>
          <w:highlight w:val="none"/>
          <w:u w:val="single"/>
        </w:rPr>
        <w:t>、</w:t>
      </w:r>
      <w:r>
        <w:rPr>
          <w:color w:val="auto"/>
          <w:highlight w:val="none"/>
          <w:u w:val="single"/>
        </w:rPr>
        <w:t>2015</w:t>
      </w:r>
      <w:r>
        <w:rPr>
          <w:rFonts w:hint="eastAsia"/>
          <w:color w:val="auto"/>
          <w:highlight w:val="none"/>
          <w:u w:val="single"/>
        </w:rPr>
        <w:t>版《广西壮族自治区安装工程消耗量定额》、</w:t>
      </w:r>
      <w:r>
        <w:rPr>
          <w:rFonts w:hint="eastAsia"/>
          <w:color w:val="auto"/>
          <w:szCs w:val="21"/>
          <w:highlight w:val="none"/>
          <w:u w:val="single"/>
        </w:rPr>
        <w:t>2016年《广西壮族自治区建设工程费用定额》</w:t>
      </w:r>
      <w:r>
        <w:rPr>
          <w:rFonts w:hint="eastAsia" w:ascii="宋体" w:hAnsi="宋体"/>
          <w:color w:val="auto"/>
          <w:szCs w:val="21"/>
          <w:highlight w:val="none"/>
          <w:u w:val="single"/>
        </w:rPr>
        <w:t>及承包人的竞标材料单价（新增材料按施工期间的钦州市信息中钦州价格或经发包人、承包人、监理及有关监督部门共同认可的实际购买价）计算出综合单价后，乘以承包人的中标价与工程采购控制价比较得出的系数，确定新的综合单价。</w:t>
      </w:r>
    </w:p>
    <w:p w14:paraId="5F518DCA">
      <w:pPr>
        <w:widowControl/>
        <w:adjustRightInd w:val="0"/>
        <w:snapToGrid w:val="0"/>
        <w:spacing w:line="360" w:lineRule="auto"/>
        <w:ind w:firstLine="420" w:firstLineChars="200"/>
        <w:outlineLvl w:val="2"/>
        <w:rPr>
          <w:rFonts w:ascii="宋体" w:hAnsi="宋体"/>
          <w:color w:val="auto"/>
          <w:szCs w:val="21"/>
          <w:highlight w:val="none"/>
          <w:u w:val="single"/>
        </w:rPr>
      </w:pPr>
      <w:r>
        <w:rPr>
          <w:rFonts w:hint="eastAsia" w:ascii="宋体" w:hAnsi="宋体"/>
          <w:color w:val="auto"/>
          <w:szCs w:val="21"/>
          <w:highlight w:val="none"/>
          <w:u w:val="single"/>
        </w:rPr>
        <w:t>(2) 由于设计变更或工程量清单数量有误引起的工程量增减（指原有清单项目），执行原有的综合单价。</w:t>
      </w:r>
    </w:p>
    <w:p w14:paraId="252F0561">
      <w:pPr>
        <w:keepNext/>
        <w:keepLines/>
        <w:spacing w:before="120" w:after="120" w:line="360" w:lineRule="auto"/>
        <w:ind w:firstLine="420" w:firstLineChars="200"/>
        <w:outlineLvl w:val="3"/>
        <w:rPr>
          <w:rFonts w:ascii="宋体" w:hAnsi="宋体"/>
          <w:bCs/>
          <w:color w:val="auto"/>
          <w:szCs w:val="28"/>
          <w:highlight w:val="none"/>
          <w:u w:val="single"/>
        </w:rPr>
      </w:pPr>
      <w:r>
        <w:rPr>
          <w:rFonts w:hint="eastAsia" w:ascii="宋体" w:hAnsi="宋体"/>
          <w:bCs/>
          <w:color w:val="auto"/>
          <w:szCs w:val="28"/>
          <w:highlight w:val="none"/>
          <w:u w:val="single"/>
        </w:rPr>
        <w:t>(3) 材料价格调整：按专用合同条款第11.1项的规定执行。</w:t>
      </w:r>
    </w:p>
    <w:p w14:paraId="0D28C553">
      <w:pPr>
        <w:keepNext/>
        <w:keepLines/>
        <w:spacing w:before="120" w:after="120" w:line="360" w:lineRule="auto"/>
        <w:ind w:firstLine="420" w:firstLineChars="200"/>
        <w:outlineLvl w:val="3"/>
        <w:rPr>
          <w:rFonts w:ascii="宋体" w:hAnsi="宋体"/>
          <w:bCs/>
          <w:color w:val="auto"/>
          <w:szCs w:val="28"/>
          <w:highlight w:val="none"/>
          <w:u w:val="single"/>
        </w:rPr>
      </w:pPr>
      <w:r>
        <w:rPr>
          <w:rFonts w:hint="eastAsia" w:ascii="宋体" w:hAnsi="宋体"/>
          <w:bCs/>
          <w:color w:val="auto"/>
          <w:szCs w:val="28"/>
          <w:highlight w:val="none"/>
          <w:u w:val="single"/>
        </w:rPr>
        <w:t>(4) 由于设计变更引起新的工程量清单项目，按本款第（1）项的办法，确定新的综合单价。</w:t>
      </w:r>
    </w:p>
    <w:p w14:paraId="057C90C7">
      <w:pPr>
        <w:keepNext/>
        <w:keepLines/>
        <w:spacing w:before="120" w:after="120" w:line="360" w:lineRule="auto"/>
        <w:outlineLvl w:val="3"/>
        <w:rPr>
          <w:rFonts w:ascii="宋体" w:hAnsi="宋体"/>
          <w:bCs/>
          <w:color w:val="auto"/>
          <w:szCs w:val="28"/>
          <w:highlight w:val="none"/>
          <w:u w:val="single"/>
        </w:rPr>
      </w:pPr>
      <w:r>
        <w:rPr>
          <w:rFonts w:hint="eastAsia" w:ascii="宋体" w:hAnsi="宋体"/>
          <w:bCs/>
          <w:color w:val="auto"/>
          <w:szCs w:val="28"/>
          <w:highlight w:val="none"/>
          <w:u w:val="single"/>
        </w:rPr>
        <w:t xml:space="preserve">    (5) 工程量清单中已有的项目，材料的品种（含颜色、规格等）因发包人的原因发生变更的，只调整该种材料的差价部分及相应税金（发包人采购控制价中的材料价格与经认可的实际购买价差），其他费用不变。</w:t>
      </w:r>
    </w:p>
    <w:p w14:paraId="689CFC39">
      <w:pPr>
        <w:keepNext/>
        <w:keepLines/>
        <w:spacing w:before="120" w:after="120" w:line="360" w:lineRule="auto"/>
        <w:ind w:firstLine="420" w:firstLineChars="200"/>
        <w:outlineLvl w:val="3"/>
        <w:rPr>
          <w:rFonts w:ascii="宋体" w:hAnsi="宋体"/>
          <w:bCs/>
          <w:color w:val="auto"/>
          <w:szCs w:val="28"/>
          <w:highlight w:val="none"/>
          <w:u w:val="single"/>
        </w:rPr>
      </w:pPr>
      <w:r>
        <w:rPr>
          <w:rFonts w:hint="eastAsia" w:ascii="宋体" w:hAnsi="宋体"/>
          <w:bCs/>
          <w:color w:val="auto"/>
          <w:szCs w:val="28"/>
          <w:highlight w:val="none"/>
          <w:u w:val="single"/>
        </w:rPr>
        <w:t>(6) 工程量清单中只有类似于变更工程的综合单价，可以参照类似的综合单价变更合同价款。即其他项目特征、施工方法不变，仅是设计配合化的变更，材料色彩的变更，材料出产地的变更，材料等级的变更，材料规格的变更等，只调整设计配合比及材料的差价部分及相应税金，其他费用不变。</w:t>
      </w:r>
    </w:p>
    <w:p w14:paraId="02F16A39">
      <w:pPr>
        <w:keepNext/>
        <w:keepLines/>
        <w:spacing w:before="120" w:after="120" w:line="360" w:lineRule="auto"/>
        <w:ind w:firstLine="315" w:firstLineChars="150"/>
        <w:outlineLvl w:val="3"/>
        <w:rPr>
          <w:rFonts w:ascii="宋体" w:hAnsi="宋体"/>
          <w:bCs/>
          <w:color w:val="auto"/>
          <w:szCs w:val="28"/>
          <w:highlight w:val="none"/>
          <w:u w:val="single"/>
        </w:rPr>
      </w:pPr>
      <w:r>
        <w:rPr>
          <w:rFonts w:hint="eastAsia" w:ascii="宋体" w:hAnsi="宋体"/>
          <w:bCs/>
          <w:color w:val="auto"/>
          <w:szCs w:val="28"/>
          <w:highlight w:val="none"/>
          <w:u w:val="single"/>
        </w:rPr>
        <w:t>（7）按桂建标[2015]5号、桂建标[2016]16号、桂建标[2016]17号文件规定进行调整，如专用合同条款合同履行期间计价依据有调整的，按调整文件规定执行。</w:t>
      </w:r>
    </w:p>
    <w:p w14:paraId="16ECA382">
      <w:pPr>
        <w:keepNext/>
        <w:keepLines/>
        <w:widowControl/>
        <w:spacing w:before="120" w:after="120" w:line="440" w:lineRule="exact"/>
        <w:outlineLvl w:val="3"/>
        <w:rPr>
          <w:rFonts w:ascii="宋体" w:hAnsi="宋体" w:eastAsia="黑体"/>
          <w:b/>
          <w:color w:val="auto"/>
          <w:kern w:val="0"/>
          <w:sz w:val="28"/>
          <w:szCs w:val="21"/>
          <w:highlight w:val="none"/>
        </w:rPr>
      </w:pPr>
      <w:r>
        <w:rPr>
          <w:rFonts w:ascii="宋体" w:hAnsi="宋体" w:eastAsia="黑体"/>
          <w:color w:val="auto"/>
          <w:kern w:val="0"/>
          <w:sz w:val="28"/>
          <w:szCs w:val="21"/>
          <w:highlight w:val="none"/>
        </w:rPr>
        <w:t>1</w:t>
      </w:r>
      <w:r>
        <w:rPr>
          <w:rFonts w:ascii="宋体" w:hAnsi="宋体" w:eastAsia="黑体"/>
          <w:b/>
          <w:color w:val="auto"/>
          <w:kern w:val="0"/>
          <w:sz w:val="28"/>
          <w:szCs w:val="21"/>
          <w:highlight w:val="none"/>
        </w:rPr>
        <w:t xml:space="preserve">2. </w:t>
      </w:r>
      <w:bookmarkEnd w:id="684"/>
      <w:bookmarkEnd w:id="685"/>
      <w:bookmarkEnd w:id="686"/>
      <w:bookmarkEnd w:id="687"/>
      <w:bookmarkEnd w:id="688"/>
      <w:bookmarkEnd w:id="689"/>
      <w:bookmarkEnd w:id="690"/>
      <w:bookmarkEnd w:id="691"/>
      <w:bookmarkEnd w:id="692"/>
      <w:bookmarkEnd w:id="693"/>
      <w:r>
        <w:rPr>
          <w:rFonts w:ascii="宋体" w:hAnsi="宋体" w:eastAsia="黑体"/>
          <w:b/>
          <w:color w:val="auto"/>
          <w:kern w:val="0"/>
          <w:sz w:val="28"/>
          <w:szCs w:val="21"/>
          <w:highlight w:val="none"/>
        </w:rPr>
        <w:t>合同价格、计量与支付</w:t>
      </w:r>
      <w:bookmarkEnd w:id="694"/>
    </w:p>
    <w:bookmarkEnd w:id="695"/>
    <w:bookmarkEnd w:id="696"/>
    <w:bookmarkEnd w:id="697"/>
    <w:bookmarkEnd w:id="698"/>
    <w:bookmarkEnd w:id="699"/>
    <w:bookmarkEnd w:id="700"/>
    <w:p w14:paraId="26C07981">
      <w:pPr>
        <w:spacing w:after="120" w:line="440" w:lineRule="exact"/>
        <w:ind w:firstLine="420" w:firstLineChars="200"/>
        <w:rPr>
          <w:rFonts w:ascii="宋体" w:hAnsi="宋体"/>
          <w:color w:val="auto"/>
          <w:szCs w:val="21"/>
          <w:highlight w:val="none"/>
        </w:rPr>
      </w:pPr>
      <w:bookmarkStart w:id="701" w:name="_Toc292559916"/>
      <w:bookmarkStart w:id="702" w:name="_Toc267251461"/>
      <w:bookmarkStart w:id="703" w:name="_Toc292559411"/>
      <w:bookmarkStart w:id="704" w:name="_Toc296891246"/>
      <w:bookmarkStart w:id="705" w:name="_Toc296944545"/>
      <w:bookmarkStart w:id="706" w:name="_Toc297048392"/>
      <w:bookmarkStart w:id="707" w:name="_Toc296891034"/>
      <w:bookmarkStart w:id="708" w:name="_Toc296503206"/>
      <w:bookmarkStart w:id="709" w:name="_Toc296346707"/>
      <w:bookmarkStart w:id="710" w:name="_Toc297120506"/>
      <w:bookmarkStart w:id="711" w:name="_Toc296347205"/>
      <w:bookmarkStart w:id="712" w:name="_Toc300935003"/>
      <w:bookmarkStart w:id="713" w:name="_Toc312678041"/>
      <w:bookmarkStart w:id="714" w:name="_Toc303539160"/>
      <w:bookmarkStart w:id="715" w:name="_Toc297123553"/>
      <w:bookmarkStart w:id="716" w:name="_Toc297216212"/>
      <w:bookmarkStart w:id="717" w:name="_Toc304295580"/>
      <w:r>
        <w:rPr>
          <w:rFonts w:ascii="宋体" w:hAnsi="宋体"/>
          <w:color w:val="auto"/>
          <w:szCs w:val="21"/>
          <w:highlight w:val="none"/>
        </w:rPr>
        <w:t>12.1 合</w:t>
      </w:r>
      <w:bookmarkEnd w:id="701"/>
      <w:bookmarkEnd w:id="702"/>
      <w:bookmarkEnd w:id="703"/>
      <w:r>
        <w:rPr>
          <w:rFonts w:ascii="宋体" w:hAnsi="宋体"/>
          <w:color w:val="auto"/>
          <w:szCs w:val="21"/>
          <w:highlight w:val="none"/>
        </w:rPr>
        <w:t>同价</w:t>
      </w:r>
      <w:bookmarkEnd w:id="704"/>
      <w:bookmarkEnd w:id="705"/>
      <w:bookmarkEnd w:id="706"/>
      <w:bookmarkEnd w:id="707"/>
      <w:bookmarkEnd w:id="708"/>
      <w:bookmarkEnd w:id="709"/>
      <w:bookmarkEnd w:id="710"/>
      <w:bookmarkEnd w:id="711"/>
      <w:r>
        <w:rPr>
          <w:rFonts w:ascii="宋体" w:hAnsi="宋体"/>
          <w:color w:val="auto"/>
          <w:szCs w:val="21"/>
          <w:highlight w:val="none"/>
        </w:rPr>
        <w:t>格形式</w:t>
      </w:r>
    </w:p>
    <w:bookmarkEnd w:id="712"/>
    <w:bookmarkEnd w:id="713"/>
    <w:bookmarkEnd w:id="714"/>
    <w:bookmarkEnd w:id="715"/>
    <w:bookmarkEnd w:id="716"/>
    <w:bookmarkEnd w:id="717"/>
    <w:p w14:paraId="0EB09C79">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单价合同。</w:t>
      </w:r>
    </w:p>
    <w:p w14:paraId="7D920E46">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综合单价包含的风险范围：。</w:t>
      </w:r>
    </w:p>
    <w:p w14:paraId="1AA43FB8">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风险费用的计算方法：。</w:t>
      </w:r>
    </w:p>
    <w:p w14:paraId="752C5F0A">
      <w:pPr>
        <w:spacing w:line="44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p>
    <w:p w14:paraId="549D60F2">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因设计变更引起工程项目、工程量变化的，工程量清单报价表中有相同细目的按竞标人竞标时的中标单价进行结算，工程量清单报价表中有类似细目的参考类似成交单价结算</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新增项目有定额的套定额计算，其中材料价格有信息的按信息价，无信息的按市场价</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新增项目无定额可套的，由发包人、承包人根据市场价格协商决定</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新增项目的单价应经有政府审计中心审定。</w:t>
      </w:r>
    </w:p>
    <w:p w14:paraId="36227F32">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国家和自治区政策性调整有关费用标准的，按文件规定执行。</w:t>
      </w:r>
    </w:p>
    <w:p w14:paraId="376DC4D6">
      <w:pPr>
        <w:spacing w:after="120" w:line="440" w:lineRule="exact"/>
        <w:ind w:firstLine="420" w:firstLineChars="200"/>
        <w:rPr>
          <w:rFonts w:ascii="宋体" w:hAnsi="宋体"/>
          <w:color w:val="auto"/>
          <w:szCs w:val="21"/>
          <w:highlight w:val="none"/>
        </w:rPr>
      </w:pPr>
      <w:bookmarkStart w:id="718" w:name="_Toc296346708"/>
      <w:bookmarkStart w:id="719" w:name="_Toc296891035"/>
      <w:bookmarkStart w:id="720" w:name="_Toc312678042"/>
      <w:bookmarkStart w:id="721" w:name="_Toc300935004"/>
      <w:bookmarkStart w:id="722" w:name="_Toc292559412"/>
      <w:bookmarkStart w:id="723" w:name="_Toc297048393"/>
      <w:bookmarkStart w:id="724" w:name="_Toc296944546"/>
      <w:bookmarkStart w:id="725" w:name="_Toc296503207"/>
      <w:bookmarkStart w:id="726" w:name="_Toc292559917"/>
      <w:bookmarkStart w:id="727" w:name="_Toc297120507"/>
      <w:bookmarkStart w:id="728" w:name="_Toc296347206"/>
      <w:bookmarkStart w:id="729" w:name="_Toc297216213"/>
      <w:bookmarkStart w:id="730" w:name="_Toc303539161"/>
      <w:bookmarkStart w:id="731" w:name="_Toc297123554"/>
      <w:bookmarkStart w:id="732" w:name="_Toc296891247"/>
      <w:bookmarkStart w:id="733" w:name="_Toc304295581"/>
      <w:r>
        <w:rPr>
          <w:rFonts w:ascii="宋体" w:hAnsi="宋体"/>
          <w:color w:val="auto"/>
          <w:szCs w:val="21"/>
          <w:highlight w:val="none"/>
        </w:rPr>
        <w:t>12.2 预付款</w:t>
      </w:r>
    </w:p>
    <w:bookmarkEnd w:id="579"/>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0744E6B1">
      <w:pPr>
        <w:spacing w:line="440" w:lineRule="exact"/>
        <w:ind w:firstLine="420" w:firstLineChars="200"/>
        <w:jc w:val="left"/>
        <w:rPr>
          <w:rFonts w:ascii="宋体" w:hAnsi="宋体"/>
          <w:color w:val="auto"/>
          <w:szCs w:val="21"/>
          <w:highlight w:val="none"/>
        </w:rPr>
      </w:pPr>
      <w:bookmarkStart w:id="734" w:name="_Toc351203646"/>
      <w:bookmarkStart w:id="735" w:name="_Toc267251472"/>
      <w:bookmarkStart w:id="736" w:name="_Toc267251470"/>
      <w:bookmarkStart w:id="737" w:name="_Toc267251471"/>
      <w:bookmarkStart w:id="738" w:name="_Toc280868709"/>
      <w:bookmarkStart w:id="739" w:name="_Toc267251474"/>
      <w:bookmarkStart w:id="740" w:name="_Toc267251475"/>
      <w:bookmarkStart w:id="741" w:name="_Toc267251473"/>
      <w:bookmarkStart w:id="742" w:name="_Toc267251476"/>
      <w:r>
        <w:rPr>
          <w:rFonts w:ascii="宋体" w:hAnsi="宋体"/>
          <w:color w:val="auto"/>
          <w:szCs w:val="21"/>
          <w:highlight w:val="none"/>
        </w:rPr>
        <w:t>12.2.1 预付款的支付</w:t>
      </w:r>
    </w:p>
    <w:p w14:paraId="2DCDDAAD">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预付款支付比例或金额：</w:t>
      </w:r>
      <w:r>
        <w:rPr>
          <w:rFonts w:hint="eastAsia" w:ascii="宋体" w:hAnsi="宋体"/>
          <w:color w:val="auto"/>
          <w:szCs w:val="21"/>
          <w:highlight w:val="none"/>
          <w:u w:val="single"/>
          <w:lang w:val="en-US" w:eastAsia="zh-CN"/>
        </w:rPr>
        <w:t>无</w:t>
      </w:r>
      <w:r>
        <w:rPr>
          <w:rFonts w:ascii="宋体" w:hAnsi="宋体"/>
          <w:color w:val="auto"/>
          <w:szCs w:val="21"/>
          <w:highlight w:val="none"/>
        </w:rPr>
        <w:t>。</w:t>
      </w:r>
    </w:p>
    <w:p w14:paraId="22AB3329">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hint="eastAsia"/>
          <w:color w:val="auto"/>
          <w:szCs w:val="21"/>
          <w:highlight w:val="none"/>
          <w:u w:val="single"/>
        </w:rPr>
        <w:t>合同签订后5个工作日内</w:t>
      </w:r>
      <w:r>
        <w:rPr>
          <w:rFonts w:ascii="宋体" w:hAnsi="宋体"/>
          <w:color w:val="auto"/>
          <w:szCs w:val="21"/>
          <w:highlight w:val="none"/>
        </w:rPr>
        <w:t>。</w:t>
      </w:r>
    </w:p>
    <w:p w14:paraId="13EEB054">
      <w:pPr>
        <w:spacing w:line="360" w:lineRule="auto"/>
        <w:ind w:firstLine="420" w:firstLineChars="200"/>
        <w:jc w:val="left"/>
        <w:rPr>
          <w:rFonts w:hAnsi="宋体"/>
          <w:color w:val="auto"/>
          <w:szCs w:val="21"/>
          <w:highlight w:val="none"/>
          <w:u w:val="single"/>
        </w:rPr>
      </w:pPr>
      <w:r>
        <w:rPr>
          <w:rFonts w:ascii="宋体" w:hAnsi="宋体"/>
          <w:color w:val="auto"/>
          <w:szCs w:val="21"/>
          <w:highlight w:val="none"/>
        </w:rPr>
        <w:t>预付款扣回的方式：</w:t>
      </w:r>
      <w:r>
        <w:rPr>
          <w:rFonts w:hint="eastAsia"/>
          <w:color w:val="auto"/>
          <w:szCs w:val="21"/>
          <w:highlight w:val="none"/>
          <w:u w:val="single"/>
          <w:lang w:val="en-US" w:eastAsia="zh-CN"/>
        </w:rPr>
        <w:t>/</w:t>
      </w:r>
      <w:r>
        <w:rPr>
          <w:rFonts w:hAnsi="宋体"/>
          <w:color w:val="auto"/>
          <w:szCs w:val="21"/>
          <w:highlight w:val="none"/>
          <w:u w:val="single"/>
        </w:rPr>
        <w:t>。</w:t>
      </w:r>
    </w:p>
    <w:p w14:paraId="43C3DB2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12.2.2 预付款担保</w:t>
      </w:r>
    </w:p>
    <w:p w14:paraId="278A216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hint="eastAsia" w:ascii="宋体" w:hAnsi="宋体"/>
          <w:color w:val="auto"/>
          <w:szCs w:val="21"/>
          <w:highlight w:val="none"/>
          <w:u w:val="single"/>
        </w:rPr>
        <w:t>无</w:t>
      </w:r>
      <w:r>
        <w:rPr>
          <w:rFonts w:ascii="宋体" w:hAnsi="宋体"/>
          <w:color w:val="auto"/>
          <w:szCs w:val="21"/>
          <w:highlight w:val="none"/>
        </w:rPr>
        <w:t>。</w:t>
      </w:r>
    </w:p>
    <w:p w14:paraId="754B0537">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预付款担保的形式为：</w:t>
      </w:r>
      <w:r>
        <w:rPr>
          <w:rFonts w:hint="eastAsia" w:ascii="宋体" w:hAnsi="宋体"/>
          <w:color w:val="auto"/>
          <w:szCs w:val="21"/>
          <w:highlight w:val="none"/>
          <w:u w:val="single"/>
        </w:rPr>
        <w:t>无</w:t>
      </w:r>
      <w:r>
        <w:rPr>
          <w:rFonts w:ascii="宋体" w:hAnsi="宋体"/>
          <w:color w:val="auto"/>
          <w:szCs w:val="21"/>
          <w:highlight w:val="none"/>
        </w:rPr>
        <w:t>。</w:t>
      </w:r>
    </w:p>
    <w:p w14:paraId="177CA81C">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12.3 计量</w:t>
      </w:r>
    </w:p>
    <w:p w14:paraId="475F940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12.3.1 计量原则</w:t>
      </w:r>
    </w:p>
    <w:p w14:paraId="40A36B5D">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工程量计算规则：</w:t>
      </w:r>
      <w:r>
        <w:rPr>
          <w:b/>
          <w:color w:val="auto"/>
          <w:szCs w:val="21"/>
          <w:highlight w:val="none"/>
          <w:u w:val="single"/>
        </w:rPr>
        <w:t>工程的计量均以国家标准《建设工程工程量</w:t>
      </w:r>
      <w:r>
        <w:rPr>
          <w:rFonts w:hint="eastAsia"/>
          <w:b/>
          <w:color w:val="auto"/>
          <w:szCs w:val="21"/>
          <w:highlight w:val="none"/>
          <w:u w:val="single"/>
        </w:rPr>
        <w:t>计算</w:t>
      </w:r>
      <w:r>
        <w:rPr>
          <w:b/>
          <w:color w:val="auto"/>
          <w:szCs w:val="21"/>
          <w:highlight w:val="none"/>
          <w:u w:val="single"/>
        </w:rPr>
        <w:t>规范》（GB50</w:t>
      </w:r>
      <w:r>
        <w:rPr>
          <w:rFonts w:hint="eastAsia"/>
          <w:b/>
          <w:color w:val="auto"/>
          <w:szCs w:val="21"/>
          <w:highlight w:val="none"/>
          <w:u w:val="single"/>
        </w:rPr>
        <w:t>854～50862</w:t>
      </w:r>
      <w:r>
        <w:rPr>
          <w:b/>
          <w:color w:val="auto"/>
          <w:szCs w:val="21"/>
          <w:highlight w:val="none"/>
          <w:u w:val="single"/>
        </w:rPr>
        <w:t>－20</w:t>
      </w:r>
      <w:r>
        <w:rPr>
          <w:rFonts w:hint="eastAsia"/>
          <w:b/>
          <w:color w:val="auto"/>
          <w:szCs w:val="21"/>
          <w:highlight w:val="none"/>
          <w:u w:val="single"/>
        </w:rPr>
        <w:t>13</w:t>
      </w:r>
      <w:r>
        <w:rPr>
          <w:b/>
          <w:color w:val="auto"/>
          <w:szCs w:val="21"/>
          <w:highlight w:val="none"/>
          <w:u w:val="single"/>
        </w:rPr>
        <w:t>）和</w:t>
      </w:r>
      <w:r>
        <w:rPr>
          <w:rFonts w:hint="eastAsia"/>
          <w:b/>
          <w:color w:val="auto"/>
          <w:szCs w:val="21"/>
          <w:highlight w:val="none"/>
          <w:u w:val="single"/>
        </w:rPr>
        <w:t>《建设工程工程量计算规范（GB50854～50862-2013）广西壮族自治区实施细则》</w:t>
      </w:r>
      <w:r>
        <w:rPr>
          <w:b/>
          <w:color w:val="auto"/>
          <w:szCs w:val="21"/>
          <w:highlight w:val="none"/>
          <w:u w:val="single"/>
        </w:rPr>
        <w:t>计算的净值为准，如有不明之处，应以监理工程师或造价管理部门指定的计量方法为准</w:t>
      </w:r>
      <w:r>
        <w:rPr>
          <w:rFonts w:ascii="宋体" w:hAnsi="宋体"/>
          <w:color w:val="auto"/>
          <w:szCs w:val="21"/>
          <w:highlight w:val="none"/>
        </w:rPr>
        <w:t>。</w:t>
      </w:r>
    </w:p>
    <w:p w14:paraId="0F991DD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12.3.2 计量周期</w:t>
      </w:r>
    </w:p>
    <w:p w14:paraId="052B732F">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b/>
          <w:color w:val="auto"/>
          <w:szCs w:val="21"/>
          <w:highlight w:val="none"/>
          <w:u w:val="single"/>
        </w:rPr>
        <w:t>按实际完成工程量计量</w:t>
      </w:r>
      <w:r>
        <w:rPr>
          <w:rFonts w:ascii="宋体" w:hAnsi="宋体"/>
          <w:color w:val="auto"/>
          <w:szCs w:val="21"/>
          <w:highlight w:val="none"/>
        </w:rPr>
        <w:t>。</w:t>
      </w:r>
    </w:p>
    <w:p w14:paraId="6764D9D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12.3.3 单价合同的计量</w:t>
      </w:r>
    </w:p>
    <w:p w14:paraId="35AE5FE6">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关于单价合同计量的约定：</w:t>
      </w:r>
      <w:r>
        <w:rPr>
          <w:rFonts w:hint="eastAsia" w:ascii="宋体" w:hAnsi="宋体"/>
          <w:b/>
          <w:color w:val="auto"/>
          <w:szCs w:val="21"/>
          <w:highlight w:val="none"/>
          <w:u w:val="single"/>
        </w:rPr>
        <w:t xml:space="preserve">(1) </w:t>
      </w:r>
      <w:r>
        <w:rPr>
          <w:rFonts w:ascii="宋体" w:hAnsi="宋体"/>
          <w:b/>
          <w:color w:val="auto"/>
          <w:szCs w:val="21"/>
          <w:highlight w:val="none"/>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b/>
          <w:color w:val="auto"/>
          <w:szCs w:val="21"/>
          <w:highlight w:val="none"/>
          <w:u w:val="single"/>
        </w:rPr>
        <w:t>(2)</w:t>
      </w:r>
      <w:r>
        <w:rPr>
          <w:rFonts w:ascii="宋体" w:hAnsi="宋体"/>
          <w:b/>
          <w:color w:val="auto"/>
          <w:szCs w:val="21"/>
          <w:highlight w:val="none"/>
          <w:u w:val="single"/>
        </w:rPr>
        <w:t xml:space="preserve"> 除另有规定外，工程师应按照合同通过计量来核实确定已完成的工程量和价值，承包人应得到该价值扣除保留金后的价款。当工程师要对已完工的工程量进行计量时，应适时地通知承包人参加。</w:t>
      </w:r>
    </w:p>
    <w:p w14:paraId="55CFB712">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0E8BC5E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p>
    <w:p w14:paraId="41674A3E">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12.3.5总价合同采用支付分解表计量支付的，是否适用第</w:t>
      </w:r>
      <w:r>
        <w:rPr>
          <w:rFonts w:ascii="宋体" w:hAnsi="宋体"/>
          <w:color w:val="auto"/>
          <w:kern w:val="0"/>
          <w:szCs w:val="21"/>
          <w:highlight w:val="none"/>
        </w:rPr>
        <w:t xml:space="preserve">12.3.4 </w:t>
      </w:r>
      <w:r>
        <w:rPr>
          <w:rFonts w:ascii="宋体" w:hAnsi="宋体"/>
          <w:color w:val="auto"/>
          <w:szCs w:val="21"/>
          <w:highlight w:val="none"/>
        </w:rPr>
        <w:t>项</w:t>
      </w:r>
      <w:r>
        <w:rPr>
          <w:rFonts w:hint="eastAsia" w:ascii="宋体" w:hAnsi="宋体"/>
          <w:color w:val="auto"/>
          <w:kern w:val="0"/>
          <w:szCs w:val="21"/>
          <w:highlight w:val="none"/>
        </w:rPr>
        <w:t>〔</w:t>
      </w:r>
      <w:r>
        <w:rPr>
          <w:rFonts w:ascii="宋体" w:hAnsi="宋体"/>
          <w:color w:val="auto"/>
          <w:kern w:val="0"/>
          <w:szCs w:val="21"/>
          <w:highlight w:val="none"/>
        </w:rPr>
        <w:t>总价合同的计量</w:t>
      </w:r>
      <w:r>
        <w:rPr>
          <w:rFonts w:hint="eastAsia" w:ascii="宋体" w:hAnsi="宋体"/>
          <w:color w:val="auto"/>
          <w:kern w:val="0"/>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rPr>
        <w:t>。</w:t>
      </w:r>
    </w:p>
    <w:p w14:paraId="207DFF51">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13DC473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其他价格形式的计量方式和程序：。</w:t>
      </w:r>
    </w:p>
    <w:p w14:paraId="53BDF667">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12.4 工程进度款支付</w:t>
      </w:r>
    </w:p>
    <w:p w14:paraId="16C7C1FF">
      <w:pPr>
        <w:spacing w:line="360" w:lineRule="auto"/>
        <w:ind w:firstLine="420" w:firstLineChars="200"/>
        <w:jc w:val="left"/>
        <w:rPr>
          <w:rFonts w:hint="eastAsia" w:hAnsi="宋体"/>
          <w:bCs/>
          <w:color w:val="auto"/>
          <w:szCs w:val="21"/>
          <w:highlight w:val="none"/>
          <w:u w:val="single"/>
        </w:rPr>
      </w:pPr>
      <w:bookmarkStart w:id="743" w:name="_Toc296891039"/>
      <w:bookmarkStart w:id="744" w:name="_Toc296347210"/>
      <w:bookmarkStart w:id="745" w:name="_Toc300935006"/>
      <w:bookmarkStart w:id="746" w:name="_Toc297048397"/>
      <w:bookmarkStart w:id="747" w:name="_Toc297123556"/>
      <w:bookmarkStart w:id="748" w:name="_Toc297120511"/>
      <w:bookmarkStart w:id="749" w:name="_Toc303539163"/>
      <w:bookmarkStart w:id="750" w:name="_Toc296346712"/>
      <w:bookmarkStart w:id="751" w:name="_Toc296891251"/>
      <w:bookmarkStart w:id="752" w:name="_Toc292559921"/>
      <w:bookmarkStart w:id="753" w:name="_Toc297216215"/>
      <w:bookmarkStart w:id="754" w:name="_Toc296503211"/>
      <w:bookmarkStart w:id="755" w:name="_Toc296944550"/>
      <w:bookmarkStart w:id="756" w:name="_Toc292559416"/>
      <w:r>
        <w:rPr>
          <w:rFonts w:ascii="宋体" w:hAnsi="宋体"/>
          <w:color w:val="auto"/>
          <w:szCs w:val="21"/>
          <w:highlight w:val="none"/>
        </w:rPr>
        <w:t>12.4.1</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Fonts w:hint="eastAsia" w:ascii="宋体" w:hAnsi="宋体"/>
          <w:b/>
          <w:color w:val="auto"/>
          <w:szCs w:val="21"/>
          <w:highlight w:val="none"/>
        </w:rPr>
        <w:t>双方约定工程款的支付方式和时间</w:t>
      </w:r>
      <w:r>
        <w:rPr>
          <w:rFonts w:hint="eastAsia" w:ascii="宋体" w:hAnsi="宋体"/>
          <w:color w:val="auto"/>
          <w:szCs w:val="21"/>
          <w:highlight w:val="none"/>
        </w:rPr>
        <w:t>：</w:t>
      </w:r>
      <w:bookmarkStart w:id="757" w:name="_Toc351203645"/>
      <w:bookmarkStart w:id="758" w:name="_Toc303539172"/>
      <w:bookmarkStart w:id="759" w:name="_Toc292559424"/>
      <w:bookmarkStart w:id="760" w:name="_Toc297123564"/>
      <w:bookmarkStart w:id="761" w:name="_Toc296503219"/>
      <w:bookmarkStart w:id="762" w:name="_Toc297048405"/>
      <w:bookmarkStart w:id="763" w:name="_Toc300935015"/>
      <w:bookmarkStart w:id="764" w:name="_Toc292559929"/>
      <w:bookmarkStart w:id="765" w:name="_Toc297120519"/>
      <w:bookmarkStart w:id="766" w:name="_Toc296346720"/>
      <w:bookmarkStart w:id="767" w:name="_Toc296891259"/>
      <w:bookmarkStart w:id="768" w:name="_Toc297216223"/>
      <w:bookmarkStart w:id="769" w:name="_Toc296944558"/>
      <w:bookmarkStart w:id="770" w:name="_Toc304295593"/>
      <w:bookmarkStart w:id="771" w:name="_Toc296891047"/>
      <w:bookmarkStart w:id="772" w:name="_Toc296347218"/>
      <w:bookmarkStart w:id="773" w:name="_Toc312678053"/>
      <w:r>
        <w:rPr>
          <w:rFonts w:hint="eastAsia" w:hAnsi="宋体"/>
          <w:bCs/>
          <w:color w:val="auto"/>
          <w:szCs w:val="21"/>
          <w:highlight w:val="none"/>
          <w:u w:val="single"/>
        </w:rPr>
        <w:t>工程进度完成工程量的30%支付至合同总价款的30%；工程竣工验收合格后20个工作日内，工程进度款支付至完成合同总价款的80%；竣工结算经审计部门审计后，工程款支付至项目审定结算价款的97%，预留结算总价的3%作为质量保证金，待工程缺陷责任期满后由成交供应商申请退还，采购人一次性无息返还。采购人每次付款前，成交供应商应向采购人开具同等金额的增值税专用发票，否则，采购人有权顺延付款。成交供应商知晓采购人的费用来源于财政拨付及支付项目款项流程，如因财政拨付的原因导致延迟支付，成交供应商承诺不因进度款延迟支付而停工，承诺放弃向采购人主张违约金或赔偿款之请求。</w:t>
      </w:r>
    </w:p>
    <w:p w14:paraId="340E2439">
      <w:pPr>
        <w:spacing w:line="440" w:lineRule="exact"/>
        <w:ind w:firstLine="422" w:firstLineChars="200"/>
        <w:jc w:val="left"/>
        <w:rPr>
          <w:rFonts w:ascii="宋体" w:hAnsi="宋体"/>
          <w:b/>
          <w:color w:val="auto"/>
          <w:szCs w:val="21"/>
          <w:highlight w:val="none"/>
        </w:rPr>
      </w:pPr>
      <w:r>
        <w:rPr>
          <w:rFonts w:ascii="宋体" w:hAnsi="宋体"/>
          <w:b/>
          <w:color w:val="auto"/>
          <w:szCs w:val="21"/>
          <w:highlight w:val="none"/>
        </w:rPr>
        <w:t>13.验收和工程试车</w:t>
      </w:r>
      <w:bookmarkEnd w:id="757"/>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CC8C9BC">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13.1 分部分项工程验收</w:t>
      </w:r>
    </w:p>
    <w:p w14:paraId="1B2D117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13.1.2监理人不能按时进行验收时，应提前小时提交书面延期要求。</w:t>
      </w:r>
    </w:p>
    <w:p w14:paraId="58CBC622">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关于延期最长不得超过：小时。</w:t>
      </w:r>
    </w:p>
    <w:p w14:paraId="29864919">
      <w:pPr>
        <w:spacing w:after="120" w:line="400" w:lineRule="exact"/>
        <w:ind w:firstLine="420" w:firstLineChars="200"/>
        <w:rPr>
          <w:rFonts w:ascii="宋体" w:hAnsi="宋体"/>
          <w:color w:val="auto"/>
          <w:szCs w:val="21"/>
          <w:highlight w:val="none"/>
        </w:rPr>
      </w:pPr>
      <w:bookmarkStart w:id="774" w:name="_Toc296891051"/>
      <w:bookmarkStart w:id="775" w:name="_Toc292559933"/>
      <w:bookmarkStart w:id="776" w:name="_Toc297216224"/>
      <w:bookmarkStart w:id="777" w:name="_Toc297048409"/>
      <w:bookmarkStart w:id="778" w:name="_Toc296503223"/>
      <w:bookmarkStart w:id="779" w:name="_Toc296944562"/>
      <w:bookmarkStart w:id="780" w:name="_Toc300935016"/>
      <w:bookmarkStart w:id="781" w:name="_Toc297120523"/>
      <w:bookmarkStart w:id="782" w:name="_Toc292559428"/>
      <w:bookmarkStart w:id="783" w:name="_Toc312678056"/>
      <w:bookmarkStart w:id="784" w:name="_Toc296891263"/>
      <w:bookmarkStart w:id="785" w:name="_Toc304295596"/>
      <w:bookmarkStart w:id="786" w:name="_Toc296346724"/>
      <w:bookmarkStart w:id="787" w:name="_Toc303539173"/>
      <w:bookmarkStart w:id="788" w:name="_Toc296347222"/>
      <w:bookmarkStart w:id="789" w:name="_Toc297123565"/>
      <w:r>
        <w:rPr>
          <w:rFonts w:ascii="宋体" w:hAnsi="宋体"/>
          <w:color w:val="auto"/>
          <w:szCs w:val="21"/>
          <w:highlight w:val="none"/>
        </w:rPr>
        <w:t>13.2 竣工验收</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3C765445">
      <w:pPr>
        <w:spacing w:line="400" w:lineRule="exact"/>
        <w:ind w:firstLine="420" w:firstLineChars="200"/>
        <w:jc w:val="left"/>
        <w:rPr>
          <w:rFonts w:ascii="宋体" w:hAnsi="宋体"/>
          <w:color w:val="auto"/>
          <w:szCs w:val="21"/>
          <w:highlight w:val="none"/>
        </w:rPr>
      </w:pPr>
      <w:bookmarkStart w:id="790" w:name="_Toc280868704"/>
      <w:bookmarkStart w:id="791" w:name="_Toc280868705"/>
      <w:bookmarkStart w:id="792" w:name="_Toc280868706"/>
      <w:bookmarkStart w:id="793" w:name="_Toc280868707"/>
      <w:bookmarkStart w:id="794" w:name="_Toc280868708"/>
      <w:r>
        <w:rPr>
          <w:rFonts w:ascii="宋体" w:hAnsi="宋体"/>
          <w:color w:val="auto"/>
          <w:szCs w:val="21"/>
          <w:highlight w:val="none"/>
        </w:rPr>
        <w:t>13.2.</w:t>
      </w:r>
      <w:r>
        <w:rPr>
          <w:rFonts w:hint="eastAsia" w:ascii="宋体" w:hAnsi="宋体"/>
          <w:color w:val="auto"/>
          <w:szCs w:val="21"/>
          <w:highlight w:val="none"/>
        </w:rPr>
        <w:t>1</w:t>
      </w:r>
      <w:r>
        <w:rPr>
          <w:rFonts w:ascii="宋体" w:hAnsi="宋体"/>
          <w:color w:val="auto"/>
          <w:szCs w:val="21"/>
          <w:highlight w:val="none"/>
        </w:rPr>
        <w:t>竣工验收程序</w:t>
      </w:r>
    </w:p>
    <w:bookmarkEnd w:id="790"/>
    <w:p w14:paraId="7E7EBB76">
      <w:pPr>
        <w:spacing w:line="400" w:lineRule="exact"/>
        <w:ind w:left="4376" w:leftChars="284" w:hanging="3780" w:hangingChars="1800"/>
        <w:jc w:val="left"/>
        <w:rPr>
          <w:rFonts w:ascii="宋体" w:hAnsi="宋体"/>
          <w:color w:val="auto"/>
          <w:szCs w:val="21"/>
          <w:highlight w:val="none"/>
        </w:rPr>
      </w:pPr>
      <w:r>
        <w:rPr>
          <w:rFonts w:ascii="宋体" w:hAnsi="宋体"/>
          <w:color w:val="auto"/>
          <w:kern w:val="0"/>
          <w:szCs w:val="21"/>
          <w:highlight w:val="none"/>
        </w:rPr>
        <w:t>关于竣工验收程序的约定：</w:t>
      </w:r>
      <w:r>
        <w:rPr>
          <w:rFonts w:hint="eastAsia" w:ascii="宋体" w:hAnsi="宋体"/>
          <w:color w:val="auto"/>
          <w:kern w:val="0"/>
          <w:szCs w:val="21"/>
          <w:highlight w:val="none"/>
          <w:u w:val="single"/>
        </w:rPr>
        <w:t>按《通用合同条款》执行</w:t>
      </w:r>
      <w:r>
        <w:rPr>
          <w:rFonts w:ascii="宋体" w:hAnsi="宋体"/>
          <w:color w:val="auto"/>
          <w:szCs w:val="21"/>
          <w:highlight w:val="none"/>
        </w:rPr>
        <w:t>。</w:t>
      </w:r>
    </w:p>
    <w:p w14:paraId="69B2C5BC">
      <w:pPr>
        <w:spacing w:line="400" w:lineRule="exact"/>
        <w:ind w:firstLine="420" w:firstLineChars="200"/>
        <w:jc w:val="left"/>
        <w:rPr>
          <w:rFonts w:ascii="宋体" w:hAnsi="宋体"/>
          <w:color w:val="auto"/>
          <w:szCs w:val="21"/>
          <w:highlight w:val="non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rPr>
        <w:t>。</w:t>
      </w:r>
    </w:p>
    <w:bookmarkEnd w:id="791"/>
    <w:p w14:paraId="071BA47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2</w:t>
      </w:r>
      <w:r>
        <w:rPr>
          <w:rFonts w:ascii="宋体" w:hAnsi="宋体"/>
          <w:color w:val="auto"/>
          <w:szCs w:val="21"/>
          <w:highlight w:val="none"/>
        </w:rPr>
        <w:t>移交、接收全部与部分工程</w:t>
      </w:r>
    </w:p>
    <w:bookmarkEnd w:id="792"/>
    <w:p w14:paraId="05F85522">
      <w:pPr>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承包人向发包人移交工程的期限：</w:t>
      </w:r>
      <w:r>
        <w:rPr>
          <w:rFonts w:hint="eastAsia" w:ascii="宋体" w:hAnsi="宋体"/>
          <w:color w:val="auto"/>
          <w:kern w:val="0"/>
          <w:szCs w:val="21"/>
          <w:highlight w:val="none"/>
          <w:u w:val="single"/>
        </w:rPr>
        <w:t>按《通用合同条款》执行</w:t>
      </w:r>
      <w:r>
        <w:rPr>
          <w:rFonts w:hint="eastAsia" w:ascii="宋体" w:hAnsi="宋体"/>
          <w:color w:val="auto"/>
          <w:szCs w:val="21"/>
          <w:highlight w:val="none"/>
        </w:rPr>
        <w:t>。</w:t>
      </w:r>
    </w:p>
    <w:p w14:paraId="3E6A6D3B">
      <w:pPr>
        <w:spacing w:line="360" w:lineRule="auto"/>
        <w:ind w:firstLine="420" w:firstLineChars="200"/>
        <w:jc w:val="left"/>
        <w:rPr>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hint="eastAsia"/>
          <w:color w:val="auto"/>
          <w:szCs w:val="21"/>
          <w:highlight w:val="none"/>
          <w:u w:val="single"/>
        </w:rPr>
        <w:t>承担承包人</w:t>
      </w:r>
      <w:r>
        <w:rPr>
          <w:color w:val="auto"/>
          <w:szCs w:val="21"/>
          <w:highlight w:val="none"/>
          <w:u w:val="single"/>
        </w:rPr>
        <w:t>未能</w:t>
      </w:r>
      <w:r>
        <w:rPr>
          <w:rFonts w:hint="eastAsia"/>
          <w:color w:val="auto"/>
          <w:szCs w:val="21"/>
          <w:highlight w:val="none"/>
          <w:u w:val="single"/>
        </w:rPr>
        <w:t>按约定</w:t>
      </w:r>
      <w:r>
        <w:rPr>
          <w:color w:val="auto"/>
          <w:szCs w:val="21"/>
          <w:highlight w:val="none"/>
          <w:u w:val="single"/>
        </w:rPr>
        <w:t>退场造成</w:t>
      </w:r>
      <w:r>
        <w:rPr>
          <w:rFonts w:hint="eastAsia"/>
          <w:color w:val="auto"/>
          <w:szCs w:val="21"/>
          <w:highlight w:val="none"/>
          <w:u w:val="single"/>
        </w:rPr>
        <w:t>的</w:t>
      </w:r>
      <w:r>
        <w:rPr>
          <w:color w:val="auto"/>
          <w:szCs w:val="21"/>
          <w:highlight w:val="none"/>
          <w:u w:val="single"/>
        </w:rPr>
        <w:t xml:space="preserve">全部损失  </w:t>
      </w:r>
      <w:r>
        <w:rPr>
          <w:rFonts w:ascii="宋体" w:hAnsi="宋体"/>
          <w:color w:val="auto"/>
          <w:szCs w:val="21"/>
          <w:highlight w:val="none"/>
        </w:rPr>
        <w:t>。</w:t>
      </w:r>
    </w:p>
    <w:bookmarkEnd w:id="793"/>
    <w:p w14:paraId="0BD29AA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u w:val="single"/>
        </w:rPr>
        <w:t>承担发包人不能按接收期投入使用所造成全部的损失。</w:t>
      </w:r>
    </w:p>
    <w:p w14:paraId="2F906E68">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13.3 工程试车</w:t>
      </w:r>
    </w:p>
    <w:bookmarkEnd w:id="794"/>
    <w:p w14:paraId="1F18F5F5">
      <w:pPr>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13.3.1 试车程序</w:t>
      </w:r>
    </w:p>
    <w:p w14:paraId="095CB2BA">
      <w:pPr>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工程试车内容：</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2B1B3462">
      <w:pPr>
        <w:spacing w:line="400" w:lineRule="exact"/>
        <w:ind w:firstLine="420" w:firstLineChars="200"/>
        <w:jc w:val="left"/>
        <w:rPr>
          <w:rFonts w:hint="eastAsia" w:ascii="宋体" w:hAnsi="宋体" w:eastAsia="宋体"/>
          <w:color w:val="auto"/>
          <w:kern w:val="0"/>
          <w:szCs w:val="21"/>
          <w:highlight w:val="none"/>
          <w:lang w:eastAsia="zh-CN"/>
        </w:rPr>
      </w:pPr>
      <w:r>
        <w:rPr>
          <w:rFonts w:ascii="宋体" w:hAnsi="宋体"/>
          <w:color w:val="auto"/>
          <w:kern w:val="0"/>
          <w:szCs w:val="21"/>
          <w:highlight w:val="none"/>
        </w:rPr>
        <w:t>（1）单机无负荷试车费用由</w:t>
      </w:r>
      <w:r>
        <w:rPr>
          <w:rFonts w:hint="eastAsia"/>
          <w:color w:val="auto"/>
          <w:szCs w:val="21"/>
          <w:highlight w:val="none"/>
          <w:u w:val="single"/>
        </w:rPr>
        <w:t>承包人</w:t>
      </w:r>
      <w:r>
        <w:rPr>
          <w:rFonts w:ascii="宋体" w:hAnsi="宋体"/>
          <w:color w:val="auto"/>
          <w:kern w:val="0"/>
          <w:szCs w:val="21"/>
          <w:highlight w:val="none"/>
        </w:rPr>
        <w:t>承担</w:t>
      </w:r>
      <w:r>
        <w:rPr>
          <w:rFonts w:hint="eastAsia" w:ascii="宋体" w:hAnsi="宋体"/>
          <w:color w:val="auto"/>
          <w:kern w:val="0"/>
          <w:szCs w:val="21"/>
          <w:highlight w:val="none"/>
          <w:lang w:eastAsia="zh-CN"/>
        </w:rPr>
        <w:t>；</w:t>
      </w:r>
    </w:p>
    <w:p w14:paraId="66914F5A">
      <w:pPr>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（2）无负荷联动试车费用由</w:t>
      </w:r>
      <w:r>
        <w:rPr>
          <w:rFonts w:hint="eastAsia"/>
          <w:color w:val="auto"/>
          <w:szCs w:val="21"/>
          <w:highlight w:val="none"/>
          <w:u w:val="single"/>
        </w:rPr>
        <w:t>承包人</w:t>
      </w:r>
      <w:r>
        <w:rPr>
          <w:rFonts w:ascii="宋体" w:hAnsi="宋体"/>
          <w:color w:val="auto"/>
          <w:kern w:val="0"/>
          <w:szCs w:val="21"/>
          <w:highlight w:val="none"/>
        </w:rPr>
        <w:t>承担。</w:t>
      </w:r>
    </w:p>
    <w:p w14:paraId="6918C298">
      <w:pPr>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13.3.</w:t>
      </w:r>
      <w:r>
        <w:rPr>
          <w:rFonts w:hint="eastAsia" w:ascii="宋体" w:hAnsi="宋体"/>
          <w:color w:val="auto"/>
          <w:kern w:val="0"/>
          <w:szCs w:val="21"/>
          <w:highlight w:val="none"/>
        </w:rPr>
        <w:t>3</w:t>
      </w:r>
      <w:r>
        <w:rPr>
          <w:rFonts w:ascii="宋体" w:hAnsi="宋体"/>
          <w:color w:val="auto"/>
          <w:kern w:val="0"/>
          <w:szCs w:val="21"/>
          <w:highlight w:val="none"/>
        </w:rPr>
        <w:t xml:space="preserve"> 投料试车</w:t>
      </w:r>
    </w:p>
    <w:p w14:paraId="490AE103">
      <w:pPr>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ascii="宋体" w:hAnsi="宋体"/>
          <w:color w:val="auto"/>
          <w:szCs w:val="21"/>
          <w:highlight w:val="none"/>
        </w:rPr>
        <w:t>。</w:t>
      </w:r>
    </w:p>
    <w:p w14:paraId="38537B44">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4</w:t>
      </w:r>
      <w:r>
        <w:rPr>
          <w:rFonts w:ascii="宋体" w:hAnsi="宋体"/>
          <w:color w:val="auto"/>
          <w:szCs w:val="21"/>
          <w:highlight w:val="none"/>
        </w:rPr>
        <w:t xml:space="preserve"> 竣工退场</w:t>
      </w:r>
    </w:p>
    <w:p w14:paraId="0F12BD63">
      <w:pPr>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13.</w:t>
      </w:r>
      <w:r>
        <w:rPr>
          <w:rFonts w:hint="eastAsia" w:ascii="宋体" w:hAnsi="宋体"/>
          <w:color w:val="auto"/>
          <w:kern w:val="0"/>
          <w:szCs w:val="21"/>
          <w:highlight w:val="none"/>
        </w:rPr>
        <w:t>4</w:t>
      </w:r>
      <w:r>
        <w:rPr>
          <w:rFonts w:ascii="宋体" w:hAnsi="宋体"/>
          <w:color w:val="auto"/>
          <w:kern w:val="0"/>
          <w:szCs w:val="21"/>
          <w:highlight w:val="none"/>
        </w:rPr>
        <w:t>.1 竣工退场</w:t>
      </w:r>
    </w:p>
    <w:p w14:paraId="59E34B4C">
      <w:pPr>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hint="eastAsia" w:ascii="宋体" w:hAnsi="宋体"/>
          <w:color w:val="auto"/>
          <w:szCs w:val="21"/>
          <w:highlight w:val="none"/>
          <w:u w:val="single"/>
        </w:rPr>
        <w:t xml:space="preserve"> 20天  </w:t>
      </w:r>
      <w:r>
        <w:rPr>
          <w:rFonts w:ascii="宋体" w:hAnsi="宋体"/>
          <w:color w:val="auto"/>
          <w:kern w:val="0"/>
          <w:szCs w:val="21"/>
          <w:highlight w:val="none"/>
        </w:rPr>
        <w:t>。</w:t>
      </w:r>
    </w:p>
    <w:p w14:paraId="2884350D">
      <w:pPr>
        <w:keepNext/>
        <w:keepLines/>
        <w:widowControl/>
        <w:spacing w:before="120" w:after="120" w:line="400" w:lineRule="exact"/>
        <w:outlineLvl w:val="3"/>
        <w:rPr>
          <w:rFonts w:ascii="宋体" w:hAnsi="宋体" w:eastAsia="黑体"/>
          <w:b/>
          <w:color w:val="auto"/>
          <w:kern w:val="0"/>
          <w:sz w:val="28"/>
          <w:szCs w:val="21"/>
          <w:highlight w:val="none"/>
        </w:rPr>
      </w:pPr>
      <w:r>
        <w:rPr>
          <w:rFonts w:ascii="宋体" w:hAnsi="宋体" w:eastAsia="黑体"/>
          <w:b/>
          <w:color w:val="auto"/>
          <w:kern w:val="0"/>
          <w:sz w:val="28"/>
          <w:szCs w:val="21"/>
          <w:highlight w:val="none"/>
        </w:rPr>
        <w:t>14. 竣工结算</w:t>
      </w:r>
      <w:bookmarkEnd w:id="734"/>
    </w:p>
    <w:p w14:paraId="16CD669A">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14.1 竣工付款申请</w:t>
      </w:r>
    </w:p>
    <w:p w14:paraId="20C597D1">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承包人提交竣工付款申请单的期限：</w:t>
      </w:r>
      <w:r>
        <w:rPr>
          <w:rFonts w:hint="eastAsia" w:ascii="宋体" w:hAnsi="宋体"/>
          <w:color w:val="auto"/>
          <w:szCs w:val="21"/>
          <w:highlight w:val="none"/>
          <w:u w:val="single"/>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给造价咨询审核结算部门审核，由此产生的责任由承包人自负</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除此之外，承包人还应就延迟提交工程竣工结算资料向发包人支付违约金。</w:t>
      </w:r>
    </w:p>
    <w:p w14:paraId="535EFCF5">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竣工付款申请单应包括的内容：</w:t>
      </w:r>
      <w:r>
        <w:rPr>
          <w:rFonts w:hint="eastAsia" w:ascii="宋体" w:hAnsi="宋体"/>
          <w:color w:val="auto"/>
          <w:szCs w:val="21"/>
          <w:highlight w:val="none"/>
          <w:u w:val="single"/>
        </w:rPr>
        <w:t>竣工结算合同价格、发包人已支付承包人的工程价款、应扣留的质量保证金、应支付的竣工付款金额</w:t>
      </w:r>
      <w:r>
        <w:rPr>
          <w:rFonts w:ascii="宋体" w:hAnsi="宋体"/>
          <w:color w:val="auto"/>
          <w:szCs w:val="21"/>
          <w:highlight w:val="none"/>
        </w:rPr>
        <w:t xml:space="preserve"> 。</w:t>
      </w:r>
    </w:p>
    <w:p w14:paraId="083F96D1">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14.2 竣工结算审核</w:t>
      </w:r>
    </w:p>
    <w:p w14:paraId="5896DC70">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hAnsi="宋体"/>
          <w:color w:val="auto"/>
          <w:szCs w:val="21"/>
          <w:highlight w:val="none"/>
          <w:u w:val="single"/>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审计部门或第三方有资质的审计机构出具审核报告后，由此产生的责任由承包人自负</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除此之外，承包人还应就延迟提交工程竣工结算资料向发包人支付违约金。</w:t>
      </w:r>
    </w:p>
    <w:p w14:paraId="6BEE4CE7">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发包人完成竣工付款的期限：</w:t>
      </w:r>
      <w:r>
        <w:rPr>
          <w:rFonts w:ascii="宋体" w:hAnsi="宋体" w:cs="楷体_GB2312"/>
          <w:color w:val="auto"/>
          <w:szCs w:val="21"/>
          <w:highlight w:val="none"/>
          <w:u w:val="single"/>
        </w:rPr>
        <w:t>56</w:t>
      </w:r>
      <w:r>
        <w:rPr>
          <w:rFonts w:hint="eastAsia" w:ascii="宋体" w:hAnsi="宋体" w:cs="楷体_GB2312"/>
          <w:color w:val="auto"/>
          <w:szCs w:val="21"/>
          <w:highlight w:val="none"/>
          <w:u w:val="single"/>
        </w:rPr>
        <w:t>天（超过</w:t>
      </w:r>
      <w:r>
        <w:rPr>
          <w:rFonts w:ascii="宋体" w:hAnsi="宋体" w:cs="楷体_GB2312"/>
          <w:color w:val="auto"/>
          <w:szCs w:val="21"/>
          <w:highlight w:val="none"/>
          <w:u w:val="single"/>
        </w:rPr>
        <w:t>56天</w:t>
      </w:r>
      <w:r>
        <w:rPr>
          <w:rFonts w:hint="eastAsia" w:ascii="宋体" w:hAnsi="宋体" w:cs="楷体_GB2312"/>
          <w:color w:val="auto"/>
          <w:szCs w:val="21"/>
          <w:highlight w:val="none"/>
          <w:u w:val="single"/>
        </w:rPr>
        <w:t>以上按中国人民银行同期贷款基准利率计算）</w:t>
      </w:r>
      <w:r>
        <w:rPr>
          <w:rFonts w:hint="eastAsia" w:hAnsi="宋体"/>
          <w:color w:val="auto"/>
          <w:szCs w:val="21"/>
          <w:highlight w:val="none"/>
        </w:rPr>
        <w:t>。</w:t>
      </w:r>
    </w:p>
    <w:p w14:paraId="2DF4F979">
      <w:pPr>
        <w:spacing w:after="120" w:line="440" w:lineRule="exact"/>
        <w:ind w:firstLine="420" w:firstLineChars="200"/>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hint="eastAsia" w:ascii="宋体" w:hAnsi="宋体"/>
          <w:color w:val="auto"/>
          <w:szCs w:val="21"/>
          <w:highlight w:val="none"/>
          <w:u w:val="single"/>
        </w:rPr>
        <w:t>按《通用合同条款》</w:t>
      </w:r>
      <w:r>
        <w:rPr>
          <w:rFonts w:ascii="宋体" w:hAnsi="宋体"/>
          <w:color w:val="auto"/>
          <w:szCs w:val="21"/>
          <w:highlight w:val="none"/>
        </w:rPr>
        <w:t>。</w:t>
      </w:r>
    </w:p>
    <w:p w14:paraId="121F135A">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3</w:t>
      </w:r>
      <w:r>
        <w:rPr>
          <w:rFonts w:ascii="宋体" w:hAnsi="宋体"/>
          <w:color w:val="auto"/>
          <w:szCs w:val="21"/>
          <w:highlight w:val="none"/>
        </w:rPr>
        <w:t xml:space="preserve"> 最终结清</w:t>
      </w:r>
    </w:p>
    <w:p w14:paraId="6192CC2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3</w:t>
      </w:r>
      <w:r>
        <w:rPr>
          <w:rFonts w:ascii="宋体" w:hAnsi="宋体"/>
          <w:color w:val="auto"/>
          <w:szCs w:val="21"/>
          <w:highlight w:val="none"/>
        </w:rPr>
        <w:t>.1 最终结清申请单</w:t>
      </w:r>
    </w:p>
    <w:p w14:paraId="12B6D567">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承包人提交最终结清申请单的份数：</w:t>
      </w:r>
      <w:r>
        <w:rPr>
          <w:rFonts w:hint="eastAsia" w:ascii="宋体" w:hAnsi="宋体"/>
          <w:color w:val="auto"/>
          <w:szCs w:val="21"/>
          <w:highlight w:val="none"/>
          <w:u w:val="single"/>
        </w:rPr>
        <w:t>提交最终结清申请书一式五份</w:t>
      </w:r>
      <w:r>
        <w:rPr>
          <w:rFonts w:ascii="宋体" w:hAnsi="宋体"/>
          <w:color w:val="auto"/>
          <w:szCs w:val="21"/>
          <w:highlight w:val="none"/>
        </w:rPr>
        <w:t>。</w:t>
      </w:r>
    </w:p>
    <w:p w14:paraId="663B087C">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缺陷责任期终止证书签发后56天</w:t>
      </w:r>
      <w:r>
        <w:rPr>
          <w:rFonts w:ascii="宋体" w:hAnsi="宋体"/>
          <w:color w:val="auto"/>
          <w:szCs w:val="21"/>
          <w:highlight w:val="none"/>
          <w:u w:val="single"/>
        </w:rPr>
        <w:t>内</w:t>
      </w:r>
      <w:r>
        <w:rPr>
          <w:rFonts w:hAnsi="宋体"/>
          <w:color w:val="auto"/>
          <w:szCs w:val="21"/>
          <w:highlight w:val="none"/>
        </w:rPr>
        <w:t>。</w:t>
      </w:r>
      <w:r>
        <w:rPr>
          <w:rFonts w:ascii="宋体" w:hAnsi="宋体"/>
          <w:color w:val="auto"/>
          <w:szCs w:val="21"/>
          <w:highlight w:val="none"/>
        </w:rPr>
        <w:t xml:space="preserve">。 </w:t>
      </w:r>
    </w:p>
    <w:p w14:paraId="251CE8B8">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3</w:t>
      </w:r>
      <w:r>
        <w:rPr>
          <w:rFonts w:ascii="宋体" w:hAnsi="宋体"/>
          <w:color w:val="auto"/>
          <w:szCs w:val="21"/>
          <w:highlight w:val="none"/>
        </w:rPr>
        <w:t>.2 最终结清证书和支付</w:t>
      </w:r>
    </w:p>
    <w:p w14:paraId="3078C2D4">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color w:val="auto"/>
          <w:szCs w:val="21"/>
          <w:highlight w:val="none"/>
          <w:u w:val="single"/>
        </w:rPr>
        <w:t>28</w:t>
      </w:r>
      <w:r>
        <w:rPr>
          <w:rFonts w:hint="eastAsia"/>
          <w:color w:val="auto"/>
          <w:szCs w:val="21"/>
          <w:highlight w:val="none"/>
          <w:u w:val="single"/>
        </w:rPr>
        <w:t>天</w:t>
      </w:r>
      <w:r>
        <w:rPr>
          <w:rFonts w:ascii="宋体" w:hAnsi="宋体"/>
          <w:color w:val="auto"/>
          <w:szCs w:val="21"/>
          <w:highlight w:val="none"/>
        </w:rPr>
        <w:t xml:space="preserve"> 。</w:t>
      </w:r>
    </w:p>
    <w:p w14:paraId="770F162C">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（2）发包人完成支付的期限：</w:t>
      </w:r>
      <w:r>
        <w:rPr>
          <w:color w:val="auto"/>
          <w:szCs w:val="21"/>
          <w:highlight w:val="none"/>
          <w:u w:val="single"/>
        </w:rPr>
        <w:t>28</w:t>
      </w:r>
      <w:r>
        <w:rPr>
          <w:rFonts w:hint="eastAsia"/>
          <w:color w:val="auto"/>
          <w:szCs w:val="21"/>
          <w:highlight w:val="none"/>
          <w:u w:val="single"/>
        </w:rPr>
        <w:t>天</w:t>
      </w:r>
      <w:r>
        <w:rPr>
          <w:rFonts w:hint="eastAsia" w:hAnsi="宋体"/>
          <w:color w:val="auto"/>
          <w:szCs w:val="21"/>
          <w:highlight w:val="none"/>
        </w:rPr>
        <w:t>。</w:t>
      </w:r>
    </w:p>
    <w:bookmarkEnd w:id="735"/>
    <w:bookmarkEnd w:id="736"/>
    <w:bookmarkEnd w:id="737"/>
    <w:bookmarkEnd w:id="738"/>
    <w:bookmarkEnd w:id="739"/>
    <w:bookmarkEnd w:id="740"/>
    <w:bookmarkEnd w:id="741"/>
    <w:bookmarkEnd w:id="742"/>
    <w:p w14:paraId="2C89E297">
      <w:pPr>
        <w:keepNext/>
        <w:keepLines/>
        <w:widowControl/>
        <w:spacing w:before="120" w:after="120" w:line="440" w:lineRule="exact"/>
        <w:outlineLvl w:val="3"/>
        <w:rPr>
          <w:rFonts w:ascii="宋体" w:hAnsi="宋体" w:eastAsia="黑体"/>
          <w:b/>
          <w:color w:val="auto"/>
          <w:kern w:val="0"/>
          <w:sz w:val="28"/>
          <w:szCs w:val="21"/>
          <w:highlight w:val="none"/>
        </w:rPr>
      </w:pPr>
      <w:bookmarkStart w:id="795" w:name="_Toc351203647"/>
      <w:bookmarkStart w:id="796" w:name="_Toc267251483"/>
      <w:bookmarkStart w:id="797" w:name="_Toc267251482"/>
      <w:bookmarkStart w:id="798" w:name="_Toc267251484"/>
      <w:bookmarkStart w:id="799" w:name="_Toc267251485"/>
      <w:bookmarkStart w:id="800" w:name="_Toc267251490"/>
      <w:bookmarkStart w:id="801" w:name="_Toc267251486"/>
      <w:bookmarkStart w:id="802" w:name="_Toc267251489"/>
      <w:bookmarkStart w:id="803" w:name="_Toc267251488"/>
      <w:bookmarkStart w:id="804" w:name="_Toc267251497"/>
      <w:bookmarkStart w:id="805" w:name="_Toc267251492"/>
      <w:bookmarkStart w:id="806" w:name="_Toc267251496"/>
      <w:bookmarkStart w:id="807" w:name="_Toc267251491"/>
      <w:bookmarkStart w:id="808" w:name="_Toc267251501"/>
      <w:bookmarkStart w:id="809" w:name="_Toc267251494"/>
      <w:bookmarkStart w:id="810" w:name="_Toc267251499"/>
      <w:bookmarkStart w:id="811" w:name="_Toc267251493"/>
      <w:bookmarkStart w:id="812" w:name="_Toc267251502"/>
      <w:bookmarkStart w:id="813" w:name="_Toc267251503"/>
      <w:bookmarkStart w:id="814" w:name="_Toc267251495"/>
      <w:bookmarkStart w:id="815" w:name="_Toc267251498"/>
      <w:bookmarkStart w:id="816" w:name="_Toc267251506"/>
      <w:bookmarkStart w:id="817" w:name="_Toc267251504"/>
      <w:bookmarkStart w:id="818" w:name="_Toc267251507"/>
      <w:bookmarkStart w:id="819" w:name="_Toc267251508"/>
      <w:bookmarkStart w:id="820" w:name="_Toc267251513"/>
      <w:bookmarkStart w:id="821" w:name="_Toc267251515"/>
      <w:bookmarkStart w:id="822" w:name="_Toc267251511"/>
      <w:bookmarkStart w:id="823" w:name="_Toc267251514"/>
      <w:bookmarkStart w:id="824" w:name="_Toc267251509"/>
      <w:bookmarkStart w:id="825" w:name="_Toc267251510"/>
      <w:r>
        <w:rPr>
          <w:rFonts w:ascii="宋体" w:hAnsi="宋体" w:eastAsia="黑体"/>
          <w:b/>
          <w:color w:val="auto"/>
          <w:kern w:val="0"/>
          <w:sz w:val="28"/>
          <w:szCs w:val="21"/>
          <w:highlight w:val="none"/>
        </w:rPr>
        <w:t>15. 缺陷责任期与保修</w:t>
      </w:r>
      <w:bookmarkEnd w:id="795"/>
    </w:p>
    <w:p w14:paraId="104D5F6E">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1</w:t>
      </w:r>
      <w:r>
        <w:rPr>
          <w:rFonts w:ascii="宋体" w:hAnsi="宋体"/>
          <w:color w:val="auto"/>
          <w:szCs w:val="21"/>
          <w:highlight w:val="none"/>
        </w:rPr>
        <w:t>缺陷责任期</w:t>
      </w:r>
      <w:bookmarkEnd w:id="796"/>
    </w:p>
    <w:p w14:paraId="26536D74">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缺陷责任期的具体期限：</w:t>
      </w:r>
      <w:r>
        <w:rPr>
          <w:rFonts w:hint="eastAsia" w:ascii="宋体" w:hAnsi="宋体"/>
          <w:color w:val="auto"/>
          <w:szCs w:val="21"/>
          <w:highlight w:val="none"/>
        </w:rPr>
        <w:t>12个月</w:t>
      </w:r>
      <w:r>
        <w:rPr>
          <w:rFonts w:ascii="宋体" w:hAnsi="宋体"/>
          <w:color w:val="auto"/>
          <w:szCs w:val="21"/>
          <w:highlight w:val="none"/>
        </w:rPr>
        <w:t>。</w:t>
      </w:r>
    </w:p>
    <w:p w14:paraId="306F712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w:t>
      </w:r>
      <w:r>
        <w:rPr>
          <w:rFonts w:ascii="宋体" w:hAnsi="宋体"/>
          <w:color w:val="auto"/>
          <w:szCs w:val="21"/>
          <w:highlight w:val="none"/>
        </w:rPr>
        <w:t xml:space="preserve"> 质量保证金</w:t>
      </w:r>
    </w:p>
    <w:p w14:paraId="05B7EB10">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关于质量保证金的约定</w:t>
      </w:r>
      <w:r>
        <w:rPr>
          <w:rFonts w:hint="eastAsia" w:ascii="宋体" w:hAnsi="宋体"/>
          <w:color w:val="auto"/>
          <w:szCs w:val="21"/>
          <w:highlight w:val="none"/>
          <w:u w:val="single"/>
        </w:rPr>
        <w:t xml:space="preserve">：预留结算总价的3%作为质量保证金 </w:t>
      </w:r>
      <w:r>
        <w:rPr>
          <w:rFonts w:ascii="宋体" w:hAnsi="宋体"/>
          <w:color w:val="auto"/>
          <w:szCs w:val="21"/>
          <w:highlight w:val="none"/>
        </w:rPr>
        <w:t>。</w:t>
      </w:r>
    </w:p>
    <w:p w14:paraId="0A9A22C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w:t>
      </w:r>
      <w:r>
        <w:rPr>
          <w:rFonts w:ascii="宋体" w:hAnsi="宋体"/>
          <w:color w:val="auto"/>
          <w:szCs w:val="21"/>
          <w:highlight w:val="none"/>
        </w:rPr>
        <w:t xml:space="preserve">.1 </w:t>
      </w:r>
      <w:r>
        <w:rPr>
          <w:rFonts w:hint="eastAsia" w:ascii="宋体" w:hAnsi="宋体"/>
          <w:color w:val="auto"/>
          <w:szCs w:val="21"/>
          <w:highlight w:val="none"/>
        </w:rPr>
        <w:t>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1845BD3F">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质量保证金采用以下第</w:t>
      </w:r>
      <w:r>
        <w:rPr>
          <w:rFonts w:hint="eastAsia" w:ascii="宋体" w:hAnsi="宋体"/>
          <w:color w:val="auto"/>
          <w:szCs w:val="21"/>
          <w:highlight w:val="none"/>
          <w:u w:val="single"/>
        </w:rPr>
        <w:t>2</w:t>
      </w:r>
      <w:r>
        <w:rPr>
          <w:rFonts w:ascii="宋体" w:hAnsi="宋体"/>
          <w:color w:val="auto"/>
          <w:szCs w:val="21"/>
          <w:highlight w:val="none"/>
        </w:rPr>
        <w:t>种方式：</w:t>
      </w:r>
    </w:p>
    <w:p w14:paraId="0CDBE05D">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（1）质量保证金保函，保证金额为： </w:t>
      </w:r>
    </w:p>
    <w:p w14:paraId="0F15BA96">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hAnsi="宋体"/>
          <w:bCs/>
          <w:color w:val="auto"/>
          <w:szCs w:val="21"/>
          <w:highlight w:val="none"/>
        </w:rPr>
        <w:t>预留</w:t>
      </w:r>
      <w:r>
        <w:rPr>
          <w:rFonts w:hAnsi="宋体"/>
          <w:bCs/>
          <w:color w:val="auto"/>
          <w:szCs w:val="21"/>
          <w:highlight w:val="none"/>
        </w:rPr>
        <w:t>结算总价</w:t>
      </w:r>
      <w:r>
        <w:rPr>
          <w:rFonts w:hint="eastAsia" w:hAnsi="宋体"/>
          <w:bCs/>
          <w:color w:val="auto"/>
          <w:szCs w:val="21"/>
          <w:highlight w:val="none"/>
        </w:rPr>
        <w:t>的</w:t>
      </w:r>
      <w:r>
        <w:rPr>
          <w:rFonts w:hint="eastAsia"/>
          <w:bCs/>
          <w:color w:val="auto"/>
          <w:szCs w:val="21"/>
          <w:highlight w:val="none"/>
        </w:rPr>
        <w:t>3%作为质量</w:t>
      </w:r>
      <w:r>
        <w:rPr>
          <w:rFonts w:hint="eastAsia" w:hAnsi="宋体"/>
          <w:bCs/>
          <w:color w:val="auto"/>
          <w:szCs w:val="21"/>
          <w:highlight w:val="none"/>
        </w:rPr>
        <w:t>保证金</w:t>
      </w:r>
      <w:r>
        <w:rPr>
          <w:rFonts w:hint="eastAsia" w:ascii="宋体" w:hAnsi="宋体"/>
          <w:color w:val="auto"/>
          <w:kern w:val="0"/>
          <w:szCs w:val="21"/>
          <w:highlight w:val="none"/>
          <w:lang w:eastAsia="zh-CN"/>
        </w:rPr>
        <w:t>；</w:t>
      </w:r>
    </w:p>
    <w:p w14:paraId="0772EABF">
      <w:pPr>
        <w:autoSpaceDE w:val="0"/>
        <w:autoSpaceDN w:val="0"/>
        <w:adjustRightInd w:val="0"/>
        <w:spacing w:line="440" w:lineRule="exact"/>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（3）</w:t>
      </w:r>
      <w:r>
        <w:rPr>
          <w:rFonts w:ascii="宋体" w:hAnsi="宋体"/>
          <w:color w:val="auto"/>
          <w:kern w:val="0"/>
          <w:szCs w:val="21"/>
          <w:highlight w:val="none"/>
        </w:rPr>
        <w:t>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hint="eastAsia" w:ascii="宋体" w:hAnsi="宋体"/>
          <w:color w:val="auto"/>
          <w:kern w:val="0"/>
          <w:szCs w:val="21"/>
          <w:highlight w:val="none"/>
          <w:lang w:eastAsia="zh-CN"/>
        </w:rPr>
        <w:t>：</w:t>
      </w:r>
      <w:r>
        <w:rPr>
          <w:rFonts w:hint="eastAsia" w:ascii="宋体" w:hAnsi="宋体"/>
          <w:bCs/>
          <w:color w:val="auto"/>
          <w:kern w:val="0"/>
          <w:szCs w:val="21"/>
          <w:highlight w:val="none"/>
          <w:u w:val="single"/>
        </w:rPr>
        <w:t>待工程质量</w:t>
      </w:r>
      <w:r>
        <w:rPr>
          <w:rFonts w:ascii="宋体" w:hAnsi="宋体"/>
          <w:color w:val="auto"/>
          <w:szCs w:val="21"/>
          <w:highlight w:val="none"/>
          <w:u w:val="single"/>
        </w:rPr>
        <w:t>缺陷责任期</w:t>
      </w:r>
      <w:r>
        <w:rPr>
          <w:rFonts w:hint="eastAsia" w:ascii="宋体" w:hAnsi="宋体"/>
          <w:bCs/>
          <w:color w:val="auto"/>
          <w:kern w:val="0"/>
          <w:szCs w:val="21"/>
          <w:highlight w:val="none"/>
          <w:u w:val="single"/>
        </w:rPr>
        <w:t>满后返还。</w:t>
      </w:r>
    </w:p>
    <w:p w14:paraId="2C12D01D">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w:t>
      </w:r>
      <w:r>
        <w:rPr>
          <w:rFonts w:ascii="宋体" w:hAnsi="宋体"/>
          <w:color w:val="auto"/>
          <w:szCs w:val="21"/>
          <w:highlight w:val="none"/>
        </w:rPr>
        <w:t xml:space="preserve">.2 质量保证金的扣留 </w:t>
      </w:r>
    </w:p>
    <w:p w14:paraId="5597CBC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质量保证金的扣留采取以下第</w:t>
      </w:r>
      <w:r>
        <w:rPr>
          <w:rFonts w:hint="eastAsia" w:ascii="宋体" w:hAnsi="宋体"/>
          <w:color w:val="auto"/>
          <w:szCs w:val="21"/>
          <w:highlight w:val="none"/>
          <w:u w:val="single"/>
        </w:rPr>
        <w:t xml:space="preserve"> 2</w:t>
      </w:r>
      <w:r>
        <w:rPr>
          <w:rFonts w:ascii="宋体" w:hAnsi="宋体"/>
          <w:color w:val="auto"/>
          <w:szCs w:val="21"/>
          <w:highlight w:val="none"/>
        </w:rPr>
        <w:t>种方式：</w:t>
      </w:r>
    </w:p>
    <w:p w14:paraId="5651ACC5">
      <w:pPr>
        <w:autoSpaceDE w:val="0"/>
        <w:autoSpaceDN w:val="0"/>
        <w:adjustRightInd w:val="0"/>
        <w:spacing w:line="440" w:lineRule="exact"/>
        <w:ind w:firstLine="420" w:firstLineChars="200"/>
        <w:jc w:val="left"/>
        <w:rPr>
          <w:rFonts w:hint="eastAsia" w:ascii="宋体" w:hAnsi="宋体" w:eastAsia="宋体"/>
          <w:color w:val="auto"/>
          <w:kern w:val="0"/>
          <w:szCs w:val="21"/>
          <w:highlight w:val="none"/>
          <w:lang w:eastAsia="zh-CN"/>
        </w:rPr>
      </w:pPr>
      <w:r>
        <w:rPr>
          <w:rFonts w:ascii="宋体" w:hAnsi="宋体"/>
          <w:color w:val="auto"/>
          <w:kern w:val="0"/>
          <w:szCs w:val="21"/>
          <w:highlight w:val="none"/>
        </w:rPr>
        <w:t>（1）在支付工程进度款时逐次扣留，在此情形下，质量保证金的计算基数不包括预付款的支付、扣回以及价格调整的金额</w:t>
      </w:r>
      <w:r>
        <w:rPr>
          <w:rFonts w:hint="eastAsia" w:ascii="宋体" w:hAnsi="宋体"/>
          <w:color w:val="auto"/>
          <w:kern w:val="0"/>
          <w:szCs w:val="21"/>
          <w:highlight w:val="none"/>
          <w:lang w:eastAsia="zh-CN"/>
        </w:rPr>
        <w:t>；</w:t>
      </w:r>
    </w:p>
    <w:p w14:paraId="0749F74F">
      <w:pPr>
        <w:autoSpaceDE w:val="0"/>
        <w:autoSpaceDN w:val="0"/>
        <w:adjustRightInd w:val="0"/>
        <w:spacing w:line="44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hAnsi="宋体"/>
          <w:bCs/>
          <w:color w:val="auto"/>
          <w:szCs w:val="21"/>
          <w:highlight w:val="none"/>
        </w:rPr>
        <w:t>预留</w:t>
      </w:r>
      <w:r>
        <w:rPr>
          <w:rFonts w:hAnsi="宋体"/>
          <w:bCs/>
          <w:color w:val="auto"/>
          <w:szCs w:val="21"/>
          <w:highlight w:val="none"/>
        </w:rPr>
        <w:t>结算总价</w:t>
      </w:r>
      <w:r>
        <w:rPr>
          <w:rFonts w:hint="eastAsia" w:hAnsi="宋体"/>
          <w:bCs/>
          <w:color w:val="auto"/>
          <w:szCs w:val="21"/>
          <w:highlight w:val="none"/>
        </w:rPr>
        <w:t>的</w:t>
      </w:r>
      <w:r>
        <w:rPr>
          <w:rFonts w:hint="eastAsia"/>
          <w:bCs/>
          <w:color w:val="auto"/>
          <w:szCs w:val="21"/>
          <w:highlight w:val="none"/>
        </w:rPr>
        <w:t>3%作为质量</w:t>
      </w:r>
      <w:r>
        <w:rPr>
          <w:rFonts w:hint="eastAsia" w:hAnsi="宋体"/>
          <w:bCs/>
          <w:color w:val="auto"/>
          <w:szCs w:val="21"/>
          <w:highlight w:val="none"/>
        </w:rPr>
        <w:t>保证金</w:t>
      </w:r>
      <w:r>
        <w:rPr>
          <w:rFonts w:hint="eastAsia" w:ascii="宋体" w:hAnsi="宋体"/>
          <w:color w:val="auto"/>
          <w:kern w:val="0"/>
          <w:szCs w:val="21"/>
          <w:highlight w:val="none"/>
        </w:rPr>
        <w:t>。</w:t>
      </w:r>
    </w:p>
    <w:p w14:paraId="22D6B60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rPr>
        <w:t>。</w:t>
      </w:r>
    </w:p>
    <w:bookmarkEnd w:id="797"/>
    <w:bookmarkEnd w:id="798"/>
    <w:p w14:paraId="4C1E7B6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3</w:t>
      </w:r>
      <w:r>
        <w:rPr>
          <w:rFonts w:ascii="宋体" w:hAnsi="宋体"/>
          <w:color w:val="auto"/>
          <w:szCs w:val="21"/>
          <w:highlight w:val="none"/>
        </w:rPr>
        <w:t>保修</w:t>
      </w:r>
    </w:p>
    <w:bookmarkEnd w:id="799"/>
    <w:p w14:paraId="77A08AB0">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质量保修期从工程实际竣工之日算起。分单项竣工验收的工程，按单项工程分别计算质量保修期。</w:t>
      </w:r>
    </w:p>
    <w:p w14:paraId="284CF3E4">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双方根据国家有关规定，结合具体工程约定质量保修期如下：</w:t>
      </w:r>
    </w:p>
    <w:p w14:paraId="10B5CE55">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(1)地基基础工程、主体结构工程为设计文件规定的合理使用年限</w:t>
      </w:r>
      <w:r>
        <w:rPr>
          <w:rFonts w:hint="eastAsia" w:ascii="宋体" w:hAnsi="宋体"/>
          <w:color w:val="auto"/>
          <w:szCs w:val="21"/>
          <w:highlight w:val="none"/>
          <w:lang w:eastAsia="zh-CN"/>
        </w:rPr>
        <w:t>；</w:t>
      </w:r>
    </w:p>
    <w:p w14:paraId="58BD025C">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(2)屋面防水工程、有防水要求的卫生间、房间和外墙面的防渗漏：</w:t>
      </w:r>
      <w:r>
        <w:rPr>
          <w:rFonts w:hint="eastAsia" w:ascii="宋体" w:hAnsi="宋体"/>
          <w:color w:val="auto"/>
          <w:szCs w:val="21"/>
          <w:highlight w:val="none"/>
          <w:u w:val="single"/>
        </w:rPr>
        <w:t>5</w:t>
      </w:r>
      <w:r>
        <w:rPr>
          <w:rFonts w:hint="eastAsia" w:ascii="宋体" w:hAnsi="宋体"/>
          <w:color w:val="auto"/>
          <w:szCs w:val="21"/>
          <w:highlight w:val="none"/>
        </w:rPr>
        <w:t>年</w:t>
      </w:r>
      <w:r>
        <w:rPr>
          <w:rFonts w:hint="eastAsia" w:ascii="宋体" w:hAnsi="宋体"/>
          <w:color w:val="auto"/>
          <w:szCs w:val="21"/>
          <w:highlight w:val="none"/>
          <w:lang w:eastAsia="zh-CN"/>
        </w:rPr>
        <w:t>；</w:t>
      </w:r>
    </w:p>
    <w:p w14:paraId="7859EFDA">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 xml:space="preserve">(3)供热及供冷系统为 </w:t>
      </w:r>
      <w:r>
        <w:rPr>
          <w:rFonts w:hint="eastAsia" w:ascii="宋体" w:hAnsi="宋体"/>
          <w:color w:val="auto"/>
          <w:szCs w:val="21"/>
          <w:highlight w:val="none"/>
          <w:u w:val="single"/>
        </w:rPr>
        <w:t>2</w:t>
      </w:r>
      <w:r>
        <w:rPr>
          <w:rFonts w:hint="eastAsia" w:ascii="宋体" w:hAnsi="宋体"/>
          <w:color w:val="auto"/>
          <w:szCs w:val="21"/>
          <w:highlight w:val="none"/>
        </w:rPr>
        <w:t>个采暖期及供冷期</w:t>
      </w:r>
      <w:r>
        <w:rPr>
          <w:rFonts w:hint="eastAsia" w:ascii="宋体" w:hAnsi="宋体"/>
          <w:color w:val="auto"/>
          <w:szCs w:val="21"/>
          <w:highlight w:val="none"/>
          <w:lang w:eastAsia="zh-CN"/>
        </w:rPr>
        <w:t>；</w:t>
      </w:r>
    </w:p>
    <w:p w14:paraId="73ADAE44">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(4)电气管线、给排水管道、设备安装为</w:t>
      </w:r>
      <w:r>
        <w:rPr>
          <w:rFonts w:hint="eastAsia" w:ascii="宋体" w:hAnsi="宋体"/>
          <w:color w:val="auto"/>
          <w:szCs w:val="21"/>
          <w:highlight w:val="none"/>
          <w:u w:val="single"/>
        </w:rPr>
        <w:t xml:space="preserve"> 2</w:t>
      </w:r>
      <w:r>
        <w:rPr>
          <w:rFonts w:hint="eastAsia" w:ascii="宋体" w:hAnsi="宋体"/>
          <w:color w:val="auto"/>
          <w:szCs w:val="21"/>
          <w:highlight w:val="none"/>
        </w:rPr>
        <w:t xml:space="preserve"> 年</w:t>
      </w:r>
      <w:r>
        <w:rPr>
          <w:rFonts w:hint="eastAsia" w:ascii="宋体" w:hAnsi="宋体"/>
          <w:color w:val="auto"/>
          <w:szCs w:val="21"/>
          <w:highlight w:val="none"/>
          <w:lang w:eastAsia="zh-CN"/>
        </w:rPr>
        <w:t>；</w:t>
      </w:r>
    </w:p>
    <w:p w14:paraId="2781DF27">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 xml:space="preserve">(5)装修工程为 </w:t>
      </w:r>
      <w:r>
        <w:rPr>
          <w:rFonts w:hint="eastAsia" w:ascii="宋体" w:hAnsi="宋体"/>
          <w:color w:val="auto"/>
          <w:szCs w:val="21"/>
          <w:highlight w:val="none"/>
          <w:u w:val="single"/>
        </w:rPr>
        <w:t>2</w:t>
      </w:r>
      <w:r>
        <w:rPr>
          <w:rFonts w:hint="eastAsia" w:ascii="宋体" w:hAnsi="宋体"/>
          <w:color w:val="auto"/>
          <w:szCs w:val="21"/>
          <w:highlight w:val="none"/>
        </w:rPr>
        <w:t>年</w:t>
      </w:r>
      <w:r>
        <w:rPr>
          <w:rFonts w:hint="eastAsia" w:ascii="宋体" w:hAnsi="宋体"/>
          <w:color w:val="auto"/>
          <w:szCs w:val="21"/>
          <w:highlight w:val="none"/>
          <w:lang w:eastAsia="zh-CN"/>
        </w:rPr>
        <w:t>；</w:t>
      </w:r>
    </w:p>
    <w:p w14:paraId="0BD99C16">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 xml:space="preserve">(6)室外的上下水和小区道路等市政公用工程为 </w:t>
      </w:r>
      <w:r>
        <w:rPr>
          <w:rFonts w:hint="eastAsia" w:ascii="宋体" w:hAnsi="宋体"/>
          <w:color w:val="auto"/>
          <w:szCs w:val="21"/>
          <w:highlight w:val="none"/>
          <w:u w:val="single"/>
        </w:rPr>
        <w:t xml:space="preserve"> 2 </w:t>
      </w:r>
      <w:r>
        <w:rPr>
          <w:rFonts w:hint="eastAsia" w:ascii="宋体" w:hAnsi="宋体"/>
          <w:color w:val="auto"/>
          <w:szCs w:val="21"/>
          <w:highlight w:val="none"/>
        </w:rPr>
        <w:t xml:space="preserve"> 年</w:t>
      </w:r>
      <w:r>
        <w:rPr>
          <w:rFonts w:hint="eastAsia" w:ascii="宋体" w:hAnsi="宋体"/>
          <w:color w:val="auto"/>
          <w:szCs w:val="21"/>
          <w:highlight w:val="none"/>
          <w:lang w:eastAsia="zh-CN"/>
        </w:rPr>
        <w:t>；</w:t>
      </w:r>
    </w:p>
    <w:p w14:paraId="63789B4B">
      <w:pPr>
        <w:spacing w:line="44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(7)在没有明文规定下，参照建设工程质量保修条例，双方协商为设计文件规定的该工程的合理使用年限内保修</w:t>
      </w:r>
      <w:r>
        <w:rPr>
          <w:rFonts w:hint="eastAsia" w:ascii="宋体" w:hAnsi="宋体"/>
          <w:color w:val="auto"/>
          <w:szCs w:val="21"/>
          <w:highlight w:val="none"/>
          <w:lang w:eastAsia="zh-CN"/>
        </w:rPr>
        <w:t>；</w:t>
      </w:r>
    </w:p>
    <w:p w14:paraId="2EEF38FE">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(8)其他约定：</w:t>
      </w:r>
    </w:p>
    <w:bookmarkEnd w:id="800"/>
    <w:bookmarkEnd w:id="801"/>
    <w:bookmarkEnd w:id="802"/>
    <w:bookmarkEnd w:id="803"/>
    <w:p w14:paraId="1CCC8208">
      <w:pPr>
        <w:keepNext/>
        <w:keepLines/>
        <w:widowControl/>
        <w:spacing w:before="120" w:after="120" w:line="440" w:lineRule="exact"/>
        <w:outlineLvl w:val="3"/>
        <w:rPr>
          <w:rFonts w:ascii="宋体" w:hAnsi="宋体" w:eastAsia="黑体"/>
          <w:b/>
          <w:color w:val="auto"/>
          <w:kern w:val="0"/>
          <w:sz w:val="28"/>
          <w:szCs w:val="21"/>
          <w:highlight w:val="none"/>
        </w:rPr>
      </w:pPr>
      <w:bookmarkStart w:id="826" w:name="_Toc351203648"/>
      <w:bookmarkStart w:id="827" w:name="_Toc280868717"/>
      <w:bookmarkStart w:id="828" w:name="_Toc280868718"/>
      <w:r>
        <w:rPr>
          <w:rFonts w:ascii="宋体" w:hAnsi="宋体" w:eastAsia="黑体"/>
          <w:b/>
          <w:color w:val="auto"/>
          <w:kern w:val="0"/>
          <w:sz w:val="28"/>
          <w:szCs w:val="21"/>
          <w:highlight w:val="none"/>
        </w:rPr>
        <w:t>16. 违约</w:t>
      </w:r>
      <w:bookmarkEnd w:id="826"/>
    </w:p>
    <w:p w14:paraId="25539E59">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16.1 发包人违约</w:t>
      </w:r>
    </w:p>
    <w:p w14:paraId="546D1A5C">
      <w:pPr>
        <w:keepNext/>
        <w:keepLines/>
        <w:spacing w:before="260" w:after="260" w:line="24" w:lineRule="auto"/>
        <w:outlineLvl w:val="2"/>
        <w:rPr>
          <w:rFonts w:ascii="宋体" w:hAnsi="宋体"/>
          <w:b/>
          <w:bCs/>
          <w:color w:val="auto"/>
          <w:kern w:val="0"/>
          <w:sz w:val="24"/>
          <w:szCs w:val="32"/>
          <w:highlight w:val="none"/>
        </w:rPr>
      </w:pPr>
      <w:bookmarkStart w:id="829" w:name="_Toc389065332"/>
      <w:bookmarkStart w:id="830" w:name="_Toc373227767"/>
      <w:bookmarkStart w:id="831" w:name="_Toc373478414"/>
      <w:bookmarkStart w:id="832" w:name="_Toc465114927"/>
      <w:bookmarkStart w:id="833" w:name="_Toc351203649"/>
      <w:r>
        <w:rPr>
          <w:rFonts w:ascii="宋体" w:hAnsi="宋体"/>
          <w:b/>
          <w:bCs/>
          <w:color w:val="auto"/>
          <w:kern w:val="0"/>
          <w:sz w:val="24"/>
          <w:szCs w:val="32"/>
          <w:highlight w:val="none"/>
        </w:rPr>
        <w:t>16.1 发包人违约</w:t>
      </w:r>
      <w:bookmarkEnd w:id="829"/>
      <w:bookmarkEnd w:id="830"/>
      <w:bookmarkEnd w:id="831"/>
      <w:bookmarkEnd w:id="832"/>
    </w:p>
    <w:p w14:paraId="6C9E3A98">
      <w:pPr>
        <w:spacing w:line="360" w:lineRule="auto"/>
        <w:ind w:firstLine="420" w:firstLineChars="200"/>
        <w:jc w:val="left"/>
        <w:rPr>
          <w:color w:val="auto"/>
          <w:szCs w:val="21"/>
          <w:highlight w:val="none"/>
        </w:rPr>
      </w:pPr>
      <w:r>
        <w:rPr>
          <w:color w:val="auto"/>
          <w:szCs w:val="21"/>
          <w:highlight w:val="none"/>
        </w:rPr>
        <w:t>16.1.1</w:t>
      </w:r>
      <w:r>
        <w:rPr>
          <w:rFonts w:hAnsi="宋体"/>
          <w:color w:val="auto"/>
          <w:szCs w:val="21"/>
          <w:highlight w:val="none"/>
        </w:rPr>
        <w:t>发包人违约的情形</w:t>
      </w:r>
    </w:p>
    <w:p w14:paraId="43EB5B3A">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发包人违约的其他情形：</w:t>
      </w:r>
      <w:r>
        <w:rPr>
          <w:rFonts w:hint="eastAsia"/>
          <w:color w:val="auto"/>
          <w:kern w:val="0"/>
          <w:szCs w:val="21"/>
          <w:highlight w:val="none"/>
          <w:u w:val="single"/>
        </w:rPr>
        <w:t>无</w:t>
      </w:r>
      <w:r>
        <w:rPr>
          <w:rFonts w:hAnsi="宋体"/>
          <w:color w:val="auto"/>
          <w:kern w:val="0"/>
          <w:szCs w:val="21"/>
          <w:highlight w:val="none"/>
        </w:rPr>
        <w:t>。</w:t>
      </w:r>
    </w:p>
    <w:p w14:paraId="20877FE8">
      <w:pPr>
        <w:spacing w:line="360" w:lineRule="auto"/>
        <w:ind w:firstLine="420" w:firstLineChars="200"/>
        <w:jc w:val="left"/>
        <w:rPr>
          <w:color w:val="auto"/>
          <w:kern w:val="0"/>
          <w:szCs w:val="21"/>
          <w:highlight w:val="none"/>
        </w:rPr>
      </w:pPr>
      <w:r>
        <w:rPr>
          <w:color w:val="auto"/>
          <w:kern w:val="0"/>
          <w:szCs w:val="21"/>
          <w:highlight w:val="none"/>
        </w:rPr>
        <w:t xml:space="preserve">16.1.2 </w:t>
      </w:r>
      <w:r>
        <w:rPr>
          <w:rFonts w:hAnsi="宋体"/>
          <w:color w:val="auto"/>
          <w:kern w:val="0"/>
          <w:szCs w:val="21"/>
          <w:highlight w:val="none"/>
        </w:rPr>
        <w:t>发包人违约的责任</w:t>
      </w:r>
    </w:p>
    <w:p w14:paraId="4B2AB31C">
      <w:pPr>
        <w:spacing w:line="360" w:lineRule="auto"/>
        <w:ind w:firstLine="420" w:firstLineChars="200"/>
        <w:jc w:val="left"/>
        <w:rPr>
          <w:color w:val="auto"/>
          <w:kern w:val="0"/>
          <w:szCs w:val="21"/>
          <w:highlight w:val="none"/>
        </w:rPr>
      </w:pPr>
      <w:r>
        <w:rPr>
          <w:rFonts w:hAnsi="宋体"/>
          <w:color w:val="auto"/>
          <w:kern w:val="0"/>
          <w:szCs w:val="21"/>
          <w:highlight w:val="none"/>
        </w:rPr>
        <w:t>发包人违约责任的承担方式和计算方法：</w:t>
      </w:r>
    </w:p>
    <w:p w14:paraId="06C0DCF2">
      <w:pPr>
        <w:spacing w:line="400" w:lineRule="exact"/>
        <w:ind w:firstLine="420" w:firstLineChars="200"/>
        <w:jc w:val="left"/>
        <w:rPr>
          <w:rFonts w:ascii="宋体" w:hAnsi="宋体"/>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）因发包人原因未能在计划开工日期前</w:t>
      </w:r>
      <w:r>
        <w:rPr>
          <w:color w:val="auto"/>
          <w:kern w:val="0"/>
          <w:szCs w:val="21"/>
          <w:highlight w:val="none"/>
        </w:rPr>
        <w:t>7</w:t>
      </w:r>
      <w:r>
        <w:rPr>
          <w:rFonts w:hAnsi="宋体"/>
          <w:color w:val="auto"/>
          <w:kern w:val="0"/>
          <w:szCs w:val="21"/>
          <w:highlight w:val="none"/>
        </w:rPr>
        <w:t>天内下达开工通知的违约责任：</w:t>
      </w:r>
      <w:r>
        <w:rPr>
          <w:rFonts w:hint="eastAsia" w:ascii="宋体" w:hAnsi="宋体"/>
          <w:color w:val="auto"/>
          <w:kern w:val="0"/>
          <w:szCs w:val="21"/>
          <w:highlight w:val="none"/>
        </w:rPr>
        <w:t>开工时间相应顺延 。</w:t>
      </w:r>
    </w:p>
    <w:p w14:paraId="6E3C0F2E">
      <w:pPr>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）因发包人原因未能按合同约定支付合同价款的违约责任：</w:t>
      </w:r>
      <w:r>
        <w:rPr>
          <w:rFonts w:hint="eastAsia" w:ascii="宋体" w:hAnsi="宋体"/>
          <w:color w:val="auto"/>
          <w:kern w:val="0"/>
          <w:szCs w:val="21"/>
          <w:highlight w:val="none"/>
        </w:rPr>
        <w:t>每逾期一天，发包人应以逾期付款额为基数，按中国人民银行发布的同期同类贷款基准利率支付违约金</w:t>
      </w:r>
      <w:r>
        <w:rPr>
          <w:rFonts w:hAnsi="宋体"/>
          <w:color w:val="auto"/>
          <w:kern w:val="0"/>
          <w:szCs w:val="21"/>
          <w:highlight w:val="none"/>
        </w:rPr>
        <w:t>。</w:t>
      </w:r>
    </w:p>
    <w:p w14:paraId="0FE72E13">
      <w:pPr>
        <w:spacing w:line="360" w:lineRule="auto"/>
        <w:ind w:firstLine="420" w:firstLineChars="200"/>
        <w:jc w:val="left"/>
        <w:rPr>
          <w:rFonts w:ascii="宋体" w:hAnsi="宋体"/>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）发包人违反第</w:t>
      </w:r>
      <w:r>
        <w:rPr>
          <w:color w:val="auto"/>
          <w:kern w:val="0"/>
          <w:szCs w:val="21"/>
          <w:highlight w:val="none"/>
        </w:rPr>
        <w:t>10.1</w:t>
      </w:r>
      <w:r>
        <w:rPr>
          <w:rFonts w:hAnsi="宋体"/>
          <w:color w:val="auto"/>
          <w:kern w:val="0"/>
          <w:szCs w:val="21"/>
          <w:highlight w:val="none"/>
        </w:rPr>
        <w:t>款〔变更的范围〕第（</w:t>
      </w:r>
      <w:r>
        <w:rPr>
          <w:color w:val="auto"/>
          <w:kern w:val="0"/>
          <w:szCs w:val="21"/>
          <w:highlight w:val="none"/>
        </w:rPr>
        <w:t>2</w:t>
      </w:r>
      <w:r>
        <w:rPr>
          <w:rFonts w:hAnsi="宋体"/>
          <w:color w:val="auto"/>
          <w:kern w:val="0"/>
          <w:szCs w:val="21"/>
          <w:highlight w:val="none"/>
        </w:rPr>
        <w:t>）项约定，自行实施被取消的工作或转由他人实施的违约责任：</w:t>
      </w:r>
      <w:r>
        <w:rPr>
          <w:rFonts w:hint="eastAsia"/>
          <w:color w:val="auto"/>
          <w:kern w:val="0"/>
          <w:szCs w:val="21"/>
          <w:highlight w:val="none"/>
        </w:rPr>
        <w:t>双</w:t>
      </w:r>
      <w:r>
        <w:rPr>
          <w:rFonts w:hint="eastAsia" w:ascii="宋体" w:hAnsi="宋体"/>
          <w:color w:val="auto"/>
          <w:kern w:val="0"/>
          <w:szCs w:val="21"/>
          <w:highlight w:val="none"/>
        </w:rPr>
        <w:t>方另行商定，如承包人不同意实施的除外。</w:t>
      </w:r>
    </w:p>
    <w:p w14:paraId="08A0E278">
      <w:pPr>
        <w:spacing w:line="400" w:lineRule="exact"/>
        <w:ind w:firstLine="420" w:firstLineChars="200"/>
        <w:jc w:val="left"/>
        <w:rPr>
          <w:rFonts w:ascii="宋体" w:hAnsi="宋体"/>
          <w:color w:val="auto"/>
          <w:kern w:val="0"/>
          <w:szCs w:val="21"/>
          <w:highlight w:val="none"/>
        </w:rPr>
      </w:pPr>
      <w:r>
        <w:rPr>
          <w:rFonts w:hAnsi="宋体"/>
          <w:color w:val="auto"/>
          <w:kern w:val="0"/>
          <w:szCs w:val="21"/>
          <w:highlight w:val="none"/>
        </w:rPr>
        <w:t>（</w:t>
      </w:r>
      <w:r>
        <w:rPr>
          <w:color w:val="auto"/>
          <w:kern w:val="0"/>
          <w:szCs w:val="21"/>
          <w:highlight w:val="none"/>
        </w:rPr>
        <w:t>4</w:t>
      </w:r>
      <w:r>
        <w:rPr>
          <w:rFonts w:hAnsi="宋体"/>
          <w:color w:val="auto"/>
          <w:kern w:val="0"/>
          <w:szCs w:val="21"/>
          <w:highlight w:val="none"/>
        </w:rPr>
        <w:t>）发包人提供的材料、工程设备的规格、数量或质量不符合合同约定，或因发包人原因导致交货日期延误或交货地点变更等情况的违约责任：</w:t>
      </w:r>
      <w:r>
        <w:rPr>
          <w:rFonts w:hint="eastAsia" w:ascii="宋体" w:hAnsi="宋体"/>
          <w:color w:val="auto"/>
          <w:kern w:val="0"/>
          <w:szCs w:val="21"/>
          <w:highlight w:val="none"/>
        </w:rPr>
        <w:t>发包人提供的材料、工程设备的规格、数量或质量不符合合同约定，如影响工期的，工期相应顺延由发包人负责</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如造成承包人返工的，发包人应负责承担返工费用。</w:t>
      </w:r>
    </w:p>
    <w:p w14:paraId="2A02D984">
      <w:pPr>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color w:val="auto"/>
          <w:kern w:val="0"/>
          <w:szCs w:val="21"/>
          <w:highlight w:val="none"/>
        </w:rPr>
        <w:t>5</w:t>
      </w:r>
      <w:r>
        <w:rPr>
          <w:rFonts w:hAnsi="宋体"/>
          <w:color w:val="auto"/>
          <w:kern w:val="0"/>
          <w:szCs w:val="21"/>
          <w:highlight w:val="none"/>
        </w:rPr>
        <w:t>）因发包人违反合同约定造成暂停施工的违约责任：</w:t>
      </w:r>
      <w:r>
        <w:rPr>
          <w:rFonts w:hint="eastAsia"/>
          <w:color w:val="auto"/>
          <w:kern w:val="0"/>
          <w:szCs w:val="21"/>
          <w:highlight w:val="none"/>
        </w:rPr>
        <w:t>工期顺延</w:t>
      </w:r>
      <w:r>
        <w:rPr>
          <w:rFonts w:hAnsi="宋体"/>
          <w:color w:val="auto"/>
          <w:kern w:val="0"/>
          <w:szCs w:val="21"/>
          <w:highlight w:val="none"/>
        </w:rPr>
        <w:t>。</w:t>
      </w:r>
    </w:p>
    <w:p w14:paraId="07AC95AA">
      <w:pPr>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）发包人无正当理由没有在约定期限内发出复工指示，导致承包人无法复工的违约责任：</w:t>
      </w:r>
      <w:r>
        <w:rPr>
          <w:rFonts w:hint="eastAsia"/>
          <w:color w:val="auto"/>
          <w:kern w:val="0"/>
          <w:szCs w:val="21"/>
          <w:highlight w:val="none"/>
          <w:u w:val="single"/>
        </w:rPr>
        <w:t>工期顺延</w:t>
      </w:r>
      <w:r>
        <w:rPr>
          <w:rFonts w:hAnsi="宋体"/>
          <w:color w:val="auto"/>
          <w:kern w:val="0"/>
          <w:szCs w:val="21"/>
          <w:highlight w:val="none"/>
        </w:rPr>
        <w:t>。</w:t>
      </w:r>
    </w:p>
    <w:p w14:paraId="40F5368D">
      <w:pPr>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7</w:t>
      </w:r>
      <w:r>
        <w:rPr>
          <w:rFonts w:hAnsi="宋体"/>
          <w:color w:val="auto"/>
          <w:kern w:val="0"/>
          <w:szCs w:val="21"/>
          <w:highlight w:val="none"/>
        </w:rPr>
        <w:t>）其他：</w:t>
      </w:r>
      <w:r>
        <w:rPr>
          <w:rFonts w:hint="eastAsia"/>
          <w:color w:val="auto"/>
          <w:kern w:val="0"/>
          <w:szCs w:val="21"/>
          <w:highlight w:val="none"/>
          <w:u w:val="single"/>
        </w:rPr>
        <w:t>无</w:t>
      </w:r>
      <w:r>
        <w:rPr>
          <w:rFonts w:hAnsi="宋体"/>
          <w:color w:val="auto"/>
          <w:kern w:val="0"/>
          <w:szCs w:val="21"/>
          <w:highlight w:val="none"/>
        </w:rPr>
        <w:t>。</w:t>
      </w:r>
    </w:p>
    <w:p w14:paraId="43D954C7">
      <w:pPr>
        <w:spacing w:line="360" w:lineRule="auto"/>
        <w:ind w:firstLine="420" w:firstLineChars="200"/>
        <w:jc w:val="left"/>
        <w:rPr>
          <w:color w:val="auto"/>
          <w:szCs w:val="21"/>
          <w:highlight w:val="none"/>
        </w:rPr>
      </w:pPr>
      <w:r>
        <w:rPr>
          <w:color w:val="auto"/>
          <w:szCs w:val="21"/>
          <w:highlight w:val="none"/>
        </w:rPr>
        <w:t xml:space="preserve">16.1.3 </w:t>
      </w:r>
      <w:r>
        <w:rPr>
          <w:rFonts w:hAnsi="宋体"/>
          <w:color w:val="auto"/>
          <w:szCs w:val="21"/>
          <w:highlight w:val="none"/>
        </w:rPr>
        <w:t>因发包人违约解除合同</w:t>
      </w:r>
    </w:p>
    <w:p w14:paraId="046CF84A">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承包人按</w:t>
      </w:r>
      <w:r>
        <w:rPr>
          <w:color w:val="auto"/>
          <w:kern w:val="0"/>
          <w:szCs w:val="21"/>
          <w:highlight w:val="none"/>
        </w:rPr>
        <w:t>16.1.1</w:t>
      </w:r>
      <w:r>
        <w:rPr>
          <w:rFonts w:hAnsi="宋体"/>
          <w:color w:val="auto"/>
          <w:kern w:val="0"/>
          <w:szCs w:val="21"/>
          <w:highlight w:val="none"/>
        </w:rPr>
        <w:t>项〔发包人违约的情形〕约定暂停施工满</w:t>
      </w:r>
      <w:r>
        <w:rPr>
          <w:color w:val="auto"/>
          <w:kern w:val="0"/>
          <w:szCs w:val="21"/>
          <w:highlight w:val="none"/>
          <w:u w:val="single"/>
        </w:rPr>
        <w:t xml:space="preserve"> 90 </w:t>
      </w:r>
      <w:r>
        <w:rPr>
          <w:rFonts w:hAnsi="宋体"/>
          <w:color w:val="auto"/>
          <w:kern w:val="0"/>
          <w:szCs w:val="21"/>
          <w:highlight w:val="none"/>
        </w:rPr>
        <w:t>天后发包人仍不纠正其违约行为并致使合同目的不能实现的，承包人有权解除合同。</w:t>
      </w:r>
    </w:p>
    <w:p w14:paraId="2B2A0DC0">
      <w:pPr>
        <w:keepNext/>
        <w:keepLines/>
        <w:spacing w:before="260" w:after="260" w:line="24" w:lineRule="auto"/>
        <w:outlineLvl w:val="2"/>
        <w:rPr>
          <w:rFonts w:ascii="宋体" w:hAnsi="宋体"/>
          <w:b/>
          <w:bCs/>
          <w:color w:val="auto"/>
          <w:kern w:val="0"/>
          <w:sz w:val="24"/>
          <w:szCs w:val="32"/>
          <w:highlight w:val="none"/>
        </w:rPr>
      </w:pPr>
      <w:bookmarkStart w:id="834" w:name="_Toc373478415"/>
      <w:bookmarkStart w:id="835" w:name="_Toc373227768"/>
      <w:bookmarkStart w:id="836" w:name="_Toc389065333"/>
      <w:bookmarkStart w:id="837" w:name="_Toc465114928"/>
      <w:r>
        <w:rPr>
          <w:rFonts w:ascii="宋体" w:hAnsi="宋体"/>
          <w:b/>
          <w:bCs/>
          <w:color w:val="auto"/>
          <w:kern w:val="0"/>
          <w:sz w:val="24"/>
          <w:szCs w:val="32"/>
          <w:highlight w:val="none"/>
        </w:rPr>
        <w:t>16.2 承包人违约</w:t>
      </w:r>
      <w:bookmarkEnd w:id="834"/>
      <w:bookmarkEnd w:id="835"/>
      <w:bookmarkEnd w:id="836"/>
      <w:bookmarkEnd w:id="837"/>
    </w:p>
    <w:p w14:paraId="7E7EDB01">
      <w:pPr>
        <w:spacing w:line="360" w:lineRule="auto"/>
        <w:ind w:firstLine="420" w:firstLineChars="200"/>
        <w:jc w:val="left"/>
        <w:rPr>
          <w:color w:val="auto"/>
          <w:kern w:val="0"/>
          <w:szCs w:val="21"/>
          <w:highlight w:val="none"/>
        </w:rPr>
      </w:pPr>
      <w:r>
        <w:rPr>
          <w:color w:val="auto"/>
          <w:kern w:val="0"/>
          <w:szCs w:val="21"/>
          <w:highlight w:val="none"/>
        </w:rPr>
        <w:t xml:space="preserve">16.2.1 </w:t>
      </w:r>
      <w:r>
        <w:rPr>
          <w:rFonts w:hAnsi="宋体"/>
          <w:color w:val="auto"/>
          <w:kern w:val="0"/>
          <w:szCs w:val="21"/>
          <w:highlight w:val="none"/>
        </w:rPr>
        <w:t>承包人违约的情形</w:t>
      </w:r>
    </w:p>
    <w:p w14:paraId="3EF4B18D">
      <w:pPr>
        <w:spacing w:line="360" w:lineRule="auto"/>
        <w:ind w:firstLine="420" w:firstLineChars="200"/>
        <w:jc w:val="left"/>
        <w:rPr>
          <w:color w:val="auto"/>
          <w:kern w:val="0"/>
          <w:szCs w:val="21"/>
          <w:highlight w:val="none"/>
          <w:u w:val="single"/>
        </w:rPr>
      </w:pPr>
      <w:r>
        <w:rPr>
          <w:rFonts w:hAnsi="宋体"/>
          <w:color w:val="auto"/>
          <w:kern w:val="0"/>
          <w:szCs w:val="21"/>
          <w:highlight w:val="none"/>
        </w:rPr>
        <w:t>承包人违约的其他情形：</w:t>
      </w:r>
      <w:r>
        <w:rPr>
          <w:rFonts w:hint="eastAsia"/>
          <w:color w:val="auto"/>
          <w:kern w:val="0"/>
          <w:szCs w:val="21"/>
          <w:highlight w:val="none"/>
          <w:u w:val="single"/>
        </w:rPr>
        <w:t>承包人未在约定的时间内提供完整的工程竣工结算资料，经发包人书面催促后28天内仍未提交。</w:t>
      </w:r>
    </w:p>
    <w:p w14:paraId="023B02CF">
      <w:pPr>
        <w:spacing w:line="360" w:lineRule="auto"/>
        <w:ind w:firstLine="420" w:firstLineChars="200"/>
        <w:jc w:val="left"/>
        <w:rPr>
          <w:color w:val="auto"/>
          <w:kern w:val="0"/>
          <w:szCs w:val="21"/>
          <w:highlight w:val="none"/>
        </w:rPr>
      </w:pPr>
      <w:r>
        <w:rPr>
          <w:color w:val="auto"/>
          <w:kern w:val="0"/>
          <w:szCs w:val="21"/>
          <w:highlight w:val="none"/>
        </w:rPr>
        <w:t>16.2.2</w:t>
      </w:r>
      <w:r>
        <w:rPr>
          <w:rFonts w:hAnsi="宋体"/>
          <w:color w:val="auto"/>
          <w:kern w:val="0"/>
          <w:szCs w:val="21"/>
          <w:highlight w:val="none"/>
        </w:rPr>
        <w:t>承包人违约的责任</w:t>
      </w:r>
    </w:p>
    <w:p w14:paraId="3612580D">
      <w:pPr>
        <w:spacing w:line="360" w:lineRule="auto"/>
        <w:ind w:firstLine="420" w:firstLineChars="200"/>
        <w:jc w:val="left"/>
        <w:rPr>
          <w:color w:val="auto"/>
          <w:kern w:val="0"/>
          <w:szCs w:val="21"/>
          <w:highlight w:val="none"/>
        </w:rPr>
      </w:pPr>
      <w:r>
        <w:rPr>
          <w:rFonts w:hAnsi="宋体"/>
          <w:color w:val="auto"/>
          <w:kern w:val="0"/>
          <w:szCs w:val="21"/>
          <w:highlight w:val="none"/>
        </w:rPr>
        <w:t>承包人违约责任的承担方式和计算方法：</w:t>
      </w:r>
    </w:p>
    <w:p w14:paraId="12970CC0">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）承包人未按本合同通用条款第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）条内容完成的，承包人无条件返工处理，修复至工程质量要求并承担相关费用，并在发包人规定的时间内完成返工，否则发包人有权扣罚该分项工程</w:t>
      </w:r>
      <w:r>
        <w:rPr>
          <w:color w:val="auto"/>
          <w:kern w:val="0"/>
          <w:szCs w:val="21"/>
          <w:highlight w:val="none"/>
        </w:rPr>
        <w:t>%</w:t>
      </w:r>
      <w:r>
        <w:rPr>
          <w:rFonts w:hAnsi="宋体"/>
          <w:color w:val="auto"/>
          <w:kern w:val="0"/>
          <w:szCs w:val="21"/>
          <w:highlight w:val="none"/>
        </w:rPr>
        <w:t>的工程款作为处罚。</w:t>
      </w:r>
    </w:p>
    <w:p w14:paraId="1221546C">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）承包人有本合同通用条款第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）条情形的，或经监理人检验认为修复质量不合格而承包人拒绝再进行修补的，发包人将扣除承包人全部质量保修金。</w:t>
      </w:r>
    </w:p>
    <w:p w14:paraId="5BA6A7CD">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）承包人有本专用合同条款</w:t>
      </w:r>
      <w:r>
        <w:rPr>
          <w:color w:val="auto"/>
          <w:kern w:val="0"/>
          <w:szCs w:val="21"/>
          <w:highlight w:val="none"/>
        </w:rPr>
        <w:t>3.2</w:t>
      </w:r>
      <w:r>
        <w:rPr>
          <w:rFonts w:hAnsi="宋体"/>
          <w:color w:val="auto"/>
          <w:kern w:val="0"/>
          <w:szCs w:val="21"/>
          <w:highlight w:val="none"/>
        </w:rPr>
        <w:t>、</w:t>
      </w:r>
      <w:r>
        <w:rPr>
          <w:color w:val="auto"/>
          <w:kern w:val="0"/>
          <w:szCs w:val="21"/>
          <w:highlight w:val="none"/>
        </w:rPr>
        <w:t>3.3</w:t>
      </w:r>
      <w:r>
        <w:rPr>
          <w:rFonts w:hAnsi="宋体"/>
          <w:color w:val="auto"/>
          <w:kern w:val="0"/>
          <w:szCs w:val="21"/>
          <w:highlight w:val="none"/>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2B16A39">
      <w:pPr>
        <w:spacing w:line="360" w:lineRule="auto"/>
        <w:ind w:firstLine="420" w:firstLineChars="200"/>
        <w:jc w:val="left"/>
        <w:rPr>
          <w:rFonts w:hAnsi="宋体"/>
          <w:color w:val="auto"/>
          <w:szCs w:val="21"/>
          <w:highlight w:val="none"/>
        </w:rPr>
      </w:pPr>
      <w:r>
        <w:rPr>
          <w:color w:val="auto"/>
          <w:szCs w:val="21"/>
          <w:highlight w:val="none"/>
        </w:rPr>
        <w:t xml:space="preserve">16.2.3 </w:t>
      </w:r>
      <w:r>
        <w:rPr>
          <w:rFonts w:hAnsi="宋体"/>
          <w:color w:val="auto"/>
          <w:szCs w:val="21"/>
          <w:highlight w:val="none"/>
        </w:rPr>
        <w:t>因承包人违约解除合同</w:t>
      </w:r>
    </w:p>
    <w:p w14:paraId="398FB611">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关于承包人违约解除合同的特别约定：</w:t>
      </w:r>
      <w:r>
        <w:rPr>
          <w:rFonts w:hAnsi="宋体"/>
          <w:color w:val="auto"/>
          <w:kern w:val="0"/>
          <w:szCs w:val="21"/>
          <w:highlight w:val="none"/>
          <w:u w:val="single"/>
        </w:rPr>
        <w:t>承包人有违反以下情况之一的，发包人有权解除合同</w:t>
      </w:r>
      <w:r>
        <w:rPr>
          <w:rFonts w:hAnsi="宋体"/>
          <w:color w:val="auto"/>
          <w:kern w:val="0"/>
          <w:szCs w:val="21"/>
          <w:highlight w:val="none"/>
        </w:rPr>
        <w:t>。</w:t>
      </w:r>
    </w:p>
    <w:p w14:paraId="69197C89">
      <w:pPr>
        <w:spacing w:line="360" w:lineRule="auto"/>
        <w:ind w:firstLine="420" w:firstLineChars="200"/>
        <w:jc w:val="left"/>
        <w:rPr>
          <w:rFonts w:hint="eastAsia" w:hAnsi="宋体" w:eastAsia="宋体"/>
          <w:color w:val="auto"/>
          <w:kern w:val="0"/>
          <w:szCs w:val="21"/>
          <w:highlight w:val="none"/>
          <w:lang w:eastAsia="zh-CN"/>
        </w:rPr>
      </w:pPr>
      <w:r>
        <w:rPr>
          <w:color w:val="auto"/>
          <w:kern w:val="0"/>
          <w:szCs w:val="21"/>
          <w:highlight w:val="none"/>
        </w:rPr>
        <w:t>(1)</w:t>
      </w:r>
      <w:r>
        <w:rPr>
          <w:rFonts w:hAnsi="宋体"/>
          <w:color w:val="auto"/>
          <w:kern w:val="0"/>
          <w:szCs w:val="21"/>
          <w:highlight w:val="none"/>
        </w:rPr>
        <w:t>承包人无正当理由不按开工通知的要求及时进场组织施工和不按签订协议书时商</w:t>
      </w:r>
      <w:r>
        <w:rPr>
          <w:rFonts w:hint="eastAsia" w:hAnsi="宋体"/>
          <w:color w:val="auto"/>
          <w:kern w:val="0"/>
          <w:szCs w:val="21"/>
          <w:highlight w:val="none"/>
        </w:rPr>
        <w:t>定</w:t>
      </w:r>
      <w:r>
        <w:rPr>
          <w:rFonts w:hAnsi="宋体"/>
          <w:color w:val="auto"/>
          <w:kern w:val="0"/>
          <w:szCs w:val="21"/>
          <w:highlight w:val="none"/>
        </w:rPr>
        <w:t>的进度计划有效地开展施工准备，造成工期延误的</w:t>
      </w:r>
      <w:r>
        <w:rPr>
          <w:rFonts w:hint="eastAsia" w:hAnsi="宋体"/>
          <w:color w:val="auto"/>
          <w:kern w:val="0"/>
          <w:szCs w:val="21"/>
          <w:highlight w:val="none"/>
          <w:lang w:eastAsia="zh-CN"/>
        </w:rPr>
        <w:t>；</w:t>
      </w:r>
    </w:p>
    <w:p w14:paraId="38F04102">
      <w:pPr>
        <w:spacing w:line="360" w:lineRule="auto"/>
        <w:ind w:firstLine="420" w:firstLineChars="200"/>
        <w:jc w:val="left"/>
        <w:rPr>
          <w:rFonts w:hint="eastAsia" w:hAnsi="宋体" w:eastAsia="宋体"/>
          <w:color w:val="auto"/>
          <w:kern w:val="0"/>
          <w:szCs w:val="21"/>
          <w:highlight w:val="none"/>
          <w:lang w:eastAsia="zh-CN"/>
        </w:rPr>
      </w:pPr>
      <w:r>
        <w:rPr>
          <w:color w:val="auto"/>
          <w:kern w:val="0"/>
          <w:szCs w:val="21"/>
          <w:highlight w:val="none"/>
        </w:rPr>
        <w:t>(2)</w:t>
      </w:r>
      <w:r>
        <w:rPr>
          <w:rFonts w:hAnsi="宋体"/>
          <w:color w:val="auto"/>
          <w:kern w:val="0"/>
          <w:szCs w:val="21"/>
          <w:highlight w:val="none"/>
        </w:rPr>
        <w:t>承包人违反本合同通用条款第</w:t>
      </w:r>
      <w:r>
        <w:rPr>
          <w:color w:val="auto"/>
          <w:kern w:val="0"/>
          <w:szCs w:val="21"/>
          <w:highlight w:val="none"/>
        </w:rPr>
        <w:t>3.5</w:t>
      </w:r>
      <w:r>
        <w:rPr>
          <w:rFonts w:hAnsi="宋体"/>
          <w:color w:val="auto"/>
          <w:kern w:val="0"/>
          <w:szCs w:val="21"/>
          <w:highlight w:val="none"/>
        </w:rPr>
        <w:t>条规定私自将合同或合同的任何部分或任何权利转让给其他人，或私自将工程或工程的一部分分包出去的</w:t>
      </w:r>
      <w:r>
        <w:rPr>
          <w:rFonts w:hint="eastAsia" w:hAnsi="宋体"/>
          <w:color w:val="auto"/>
          <w:kern w:val="0"/>
          <w:szCs w:val="21"/>
          <w:highlight w:val="none"/>
          <w:lang w:eastAsia="zh-CN"/>
        </w:rPr>
        <w:t>；</w:t>
      </w:r>
    </w:p>
    <w:p w14:paraId="13EE9B81">
      <w:pPr>
        <w:spacing w:line="360" w:lineRule="auto"/>
        <w:ind w:firstLine="420" w:firstLineChars="200"/>
        <w:jc w:val="left"/>
        <w:rPr>
          <w:rFonts w:hint="eastAsia" w:hAnsi="宋体" w:eastAsia="宋体"/>
          <w:color w:val="auto"/>
          <w:kern w:val="0"/>
          <w:szCs w:val="21"/>
          <w:highlight w:val="none"/>
          <w:lang w:eastAsia="zh-CN"/>
        </w:rPr>
      </w:pPr>
      <w:r>
        <w:rPr>
          <w:color w:val="auto"/>
          <w:kern w:val="0"/>
          <w:szCs w:val="21"/>
          <w:highlight w:val="none"/>
        </w:rPr>
        <w:t>(3)</w:t>
      </w:r>
      <w:r>
        <w:rPr>
          <w:rFonts w:hAnsi="宋体"/>
          <w:color w:val="auto"/>
          <w:kern w:val="0"/>
          <w:szCs w:val="21"/>
          <w:highlight w:val="none"/>
        </w:rPr>
        <w:t>未经监理人批准，承包人私自将已按</w:t>
      </w:r>
      <w:r>
        <w:rPr>
          <w:rFonts w:hint="eastAsia" w:hAnsi="宋体"/>
          <w:color w:val="auto"/>
          <w:kern w:val="0"/>
          <w:szCs w:val="21"/>
          <w:highlight w:val="none"/>
        </w:rPr>
        <w:t>竞标</w:t>
      </w:r>
      <w:r>
        <w:rPr>
          <w:rFonts w:hAnsi="宋体"/>
          <w:color w:val="auto"/>
          <w:kern w:val="0"/>
          <w:szCs w:val="21"/>
          <w:highlight w:val="none"/>
        </w:rPr>
        <w:t>文件承诺进入工地的工程设备、施工设备、临时工程或材料撤离工地的</w:t>
      </w:r>
      <w:r>
        <w:rPr>
          <w:rFonts w:hint="eastAsia" w:hAnsi="宋体"/>
          <w:color w:val="auto"/>
          <w:kern w:val="0"/>
          <w:szCs w:val="21"/>
          <w:highlight w:val="none"/>
          <w:lang w:eastAsia="zh-CN"/>
        </w:rPr>
        <w:t>；</w:t>
      </w:r>
    </w:p>
    <w:p w14:paraId="1AA8A600">
      <w:pPr>
        <w:spacing w:line="360" w:lineRule="auto"/>
        <w:ind w:firstLine="420" w:firstLineChars="200"/>
        <w:jc w:val="left"/>
        <w:rPr>
          <w:rFonts w:hint="eastAsia" w:eastAsia="宋体"/>
          <w:color w:val="auto"/>
          <w:kern w:val="0"/>
          <w:szCs w:val="21"/>
          <w:highlight w:val="none"/>
          <w:lang w:eastAsia="zh-CN"/>
        </w:rPr>
      </w:pPr>
      <w:r>
        <w:rPr>
          <w:color w:val="auto"/>
          <w:kern w:val="0"/>
          <w:szCs w:val="21"/>
          <w:highlight w:val="none"/>
        </w:rPr>
        <w:t>(4)</w:t>
      </w:r>
      <w:r>
        <w:rPr>
          <w:rFonts w:hAnsi="宋体"/>
          <w:color w:val="auto"/>
          <w:kern w:val="0"/>
          <w:szCs w:val="21"/>
          <w:highlight w:val="none"/>
        </w:rPr>
        <w:t>由于承包人原因拒绝按合同进度计划及时完成合同规定的工程，而又未采取有效措施赶上进度，造成工期</w:t>
      </w:r>
      <w:r>
        <w:rPr>
          <w:rFonts w:hint="eastAsia" w:hAnsi="宋体"/>
          <w:color w:val="auto"/>
          <w:kern w:val="0"/>
          <w:szCs w:val="21"/>
          <w:highlight w:val="none"/>
        </w:rPr>
        <w:t>严重</w:t>
      </w:r>
      <w:r>
        <w:rPr>
          <w:rFonts w:hAnsi="宋体"/>
          <w:color w:val="auto"/>
          <w:kern w:val="0"/>
          <w:szCs w:val="21"/>
          <w:highlight w:val="none"/>
        </w:rPr>
        <w:t>延误的</w:t>
      </w:r>
      <w:r>
        <w:rPr>
          <w:rFonts w:hint="eastAsia" w:hAnsi="宋体"/>
          <w:color w:val="auto"/>
          <w:kern w:val="0"/>
          <w:szCs w:val="21"/>
          <w:highlight w:val="none"/>
          <w:lang w:eastAsia="zh-CN"/>
        </w:rPr>
        <w:t>；</w:t>
      </w:r>
    </w:p>
    <w:p w14:paraId="51623B16">
      <w:pPr>
        <w:spacing w:line="360" w:lineRule="auto"/>
        <w:ind w:firstLine="420" w:firstLineChars="200"/>
        <w:rPr>
          <w:rFonts w:hint="eastAsia" w:eastAsia="宋体"/>
          <w:color w:val="auto"/>
          <w:kern w:val="0"/>
          <w:szCs w:val="21"/>
          <w:highlight w:val="none"/>
          <w:lang w:eastAsia="zh-CN"/>
        </w:rPr>
      </w:pPr>
      <w:r>
        <w:rPr>
          <w:color w:val="auto"/>
          <w:kern w:val="0"/>
          <w:szCs w:val="21"/>
          <w:highlight w:val="none"/>
        </w:rPr>
        <w:t>(5)</w:t>
      </w:r>
      <w:r>
        <w:rPr>
          <w:rFonts w:hAnsi="宋体"/>
          <w:color w:val="auto"/>
          <w:kern w:val="0"/>
          <w:szCs w:val="21"/>
          <w:highlight w:val="none"/>
        </w:rPr>
        <w:t>承包人否认合同有效或拒绝履行合同规定的承包人义务，或由于法律、财务等原因导致承包人无法继续履行或实质上已停止履行合同的义务的</w:t>
      </w:r>
      <w:r>
        <w:rPr>
          <w:rFonts w:hint="eastAsia" w:hAnsi="宋体"/>
          <w:color w:val="auto"/>
          <w:kern w:val="0"/>
          <w:szCs w:val="21"/>
          <w:highlight w:val="none"/>
          <w:lang w:eastAsia="zh-CN"/>
        </w:rPr>
        <w:t>；</w:t>
      </w:r>
    </w:p>
    <w:p w14:paraId="152C6552">
      <w:pPr>
        <w:spacing w:line="360" w:lineRule="auto"/>
        <w:ind w:firstLine="420" w:firstLineChars="200"/>
        <w:rPr>
          <w:color w:val="auto"/>
          <w:kern w:val="0"/>
          <w:szCs w:val="21"/>
          <w:highlight w:val="none"/>
        </w:rPr>
      </w:pPr>
      <w:r>
        <w:rPr>
          <w:color w:val="auto"/>
          <w:kern w:val="0"/>
          <w:szCs w:val="21"/>
          <w:highlight w:val="none"/>
        </w:rPr>
        <w:t>(6)</w:t>
      </w:r>
      <w:r>
        <w:rPr>
          <w:rFonts w:hAnsi="宋体"/>
          <w:color w:val="auto"/>
          <w:kern w:val="0"/>
          <w:szCs w:val="21"/>
          <w:highlight w:val="none"/>
        </w:rPr>
        <w:t>合同签订之日起十五日内，承包人无法按合同规定及</w:t>
      </w:r>
      <w:r>
        <w:rPr>
          <w:rFonts w:hint="eastAsia" w:hAnsi="宋体"/>
          <w:color w:val="auto"/>
          <w:kern w:val="0"/>
          <w:szCs w:val="21"/>
          <w:highlight w:val="none"/>
        </w:rPr>
        <w:t>竞标</w:t>
      </w:r>
      <w:r>
        <w:rPr>
          <w:rFonts w:hAnsi="宋体"/>
          <w:color w:val="auto"/>
          <w:kern w:val="0"/>
          <w:szCs w:val="21"/>
          <w:highlight w:val="none"/>
        </w:rPr>
        <w:t>文件的承诺进场经监理工程师认可的全部人员和机械的。</w:t>
      </w:r>
    </w:p>
    <w:p w14:paraId="6B36DDC8">
      <w:pPr>
        <w:spacing w:line="360" w:lineRule="auto"/>
        <w:ind w:firstLine="420" w:firstLineChars="200"/>
        <w:rPr>
          <w:color w:val="auto"/>
          <w:kern w:val="0"/>
          <w:szCs w:val="21"/>
          <w:highlight w:val="none"/>
        </w:rPr>
      </w:pPr>
      <w:r>
        <w:rPr>
          <w:rFonts w:hAnsi="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olor w:val="auto"/>
          <w:kern w:val="0"/>
          <w:szCs w:val="21"/>
          <w:highlight w:val="none"/>
        </w:rPr>
        <w:t>发包人应支付相应的费用</w:t>
      </w:r>
      <w:r>
        <w:rPr>
          <w:rFonts w:hAnsi="宋体"/>
          <w:color w:val="auto"/>
          <w:kern w:val="0"/>
          <w:szCs w:val="21"/>
          <w:highlight w:val="none"/>
        </w:rPr>
        <w:t>。</w:t>
      </w:r>
    </w:p>
    <w:p w14:paraId="7F442207">
      <w:pPr>
        <w:keepNext/>
        <w:keepLines/>
        <w:widowControl/>
        <w:spacing w:before="120" w:after="120" w:line="440" w:lineRule="exact"/>
        <w:outlineLvl w:val="3"/>
        <w:rPr>
          <w:rFonts w:ascii="宋体" w:hAnsi="宋体" w:eastAsia="黑体"/>
          <w:b/>
          <w:color w:val="auto"/>
          <w:kern w:val="0"/>
          <w:sz w:val="28"/>
          <w:szCs w:val="21"/>
          <w:highlight w:val="none"/>
        </w:rPr>
      </w:pPr>
      <w:r>
        <w:rPr>
          <w:rFonts w:ascii="宋体" w:hAnsi="宋体" w:eastAsia="黑体"/>
          <w:b/>
          <w:color w:val="auto"/>
          <w:kern w:val="0"/>
          <w:sz w:val="28"/>
          <w:szCs w:val="21"/>
          <w:highlight w:val="none"/>
        </w:rPr>
        <w:t>17. 不可抗力</w:t>
      </w:r>
      <w:bookmarkEnd w:id="827"/>
      <w:bookmarkEnd w:id="833"/>
    </w:p>
    <w:p w14:paraId="4FA16A75">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17.1 不可抗力的确认</w:t>
      </w:r>
    </w:p>
    <w:p w14:paraId="7D7608F0">
      <w:pPr>
        <w:spacing w:line="440" w:lineRule="exact"/>
        <w:ind w:firstLine="420" w:firstLineChars="200"/>
        <w:jc w:val="left"/>
        <w:rPr>
          <w:rFonts w:ascii="宋体" w:hAnsi="宋体"/>
          <w:color w:val="auto"/>
          <w:kern w:val="0"/>
          <w:szCs w:val="21"/>
          <w:highlight w:val="none"/>
          <w:u w:val="single"/>
        </w:rPr>
      </w:pPr>
      <w:r>
        <w:rPr>
          <w:rFonts w:ascii="宋体" w:hAnsi="宋体"/>
          <w:color w:val="auto"/>
          <w:szCs w:val="21"/>
          <w:highlight w:val="none"/>
        </w:rPr>
        <w:t xml:space="preserve">除通用合同条款约定的不可抗力事件之外，视为不可抗力的其他情形： </w:t>
      </w:r>
      <w:r>
        <w:rPr>
          <w:rFonts w:ascii="宋体" w:hAnsi="宋体"/>
          <w:color w:val="auto"/>
          <w:kern w:val="0"/>
          <w:szCs w:val="21"/>
          <w:highlight w:val="none"/>
        </w:rPr>
        <w:t>。</w:t>
      </w:r>
    </w:p>
    <w:p w14:paraId="5042F1CA">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17.</w:t>
      </w:r>
      <w:r>
        <w:rPr>
          <w:rFonts w:hint="eastAsia" w:ascii="宋体" w:hAnsi="宋体"/>
          <w:color w:val="auto"/>
          <w:szCs w:val="21"/>
          <w:highlight w:val="none"/>
        </w:rPr>
        <w:t>2</w:t>
      </w:r>
      <w:r>
        <w:rPr>
          <w:rFonts w:ascii="宋体" w:hAnsi="宋体"/>
          <w:color w:val="auto"/>
          <w:szCs w:val="21"/>
          <w:highlight w:val="none"/>
        </w:rPr>
        <w:t xml:space="preserve"> 因不可抗力解除合同</w:t>
      </w:r>
    </w:p>
    <w:p w14:paraId="492D6030">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合同解除后，发包人应在商定或确定发包人应支付款项后天内完成款项的支付。</w:t>
      </w:r>
    </w:p>
    <w:p w14:paraId="4C9E8622">
      <w:pPr>
        <w:keepNext/>
        <w:keepLines/>
        <w:widowControl/>
        <w:spacing w:before="120" w:after="120" w:line="440" w:lineRule="exact"/>
        <w:outlineLvl w:val="3"/>
        <w:rPr>
          <w:rFonts w:ascii="宋体" w:hAnsi="宋体" w:eastAsia="黑体"/>
          <w:b/>
          <w:color w:val="auto"/>
          <w:kern w:val="0"/>
          <w:sz w:val="28"/>
          <w:szCs w:val="21"/>
          <w:highlight w:val="none"/>
        </w:rPr>
      </w:pPr>
      <w:bookmarkStart w:id="838" w:name="_Toc351203650"/>
      <w:r>
        <w:rPr>
          <w:rFonts w:ascii="宋体" w:hAnsi="宋体" w:eastAsia="黑体"/>
          <w:b/>
          <w:color w:val="auto"/>
          <w:kern w:val="0"/>
          <w:sz w:val="28"/>
          <w:szCs w:val="21"/>
          <w:highlight w:val="none"/>
        </w:rPr>
        <w:t>18. 保险</w:t>
      </w:r>
      <w:bookmarkEnd w:id="838"/>
    </w:p>
    <w:bookmarkEnd w:id="828"/>
    <w:p w14:paraId="15468E2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18.1 工程保险</w:t>
      </w:r>
    </w:p>
    <w:p w14:paraId="29CBCC12">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关于其他保险的约定：</w:t>
      </w:r>
      <w:r>
        <w:rPr>
          <w:rFonts w:ascii="宋体" w:hAnsi="宋体"/>
          <w:b/>
          <w:bCs/>
          <w:color w:val="auto"/>
          <w:szCs w:val="21"/>
          <w:highlight w:val="none"/>
          <w:u w:val="single"/>
        </w:rPr>
        <w:t>承包人必须为施工现场从事施工的所有作业人员和管理人员办理意外伤害保险，</w:t>
      </w:r>
      <w:r>
        <w:rPr>
          <w:rFonts w:hint="eastAsia" w:ascii="宋体" w:hAnsi="宋体"/>
          <w:b/>
          <w:bCs/>
          <w:color w:val="auto"/>
          <w:szCs w:val="21"/>
          <w:highlight w:val="none"/>
          <w:u w:val="single"/>
        </w:rPr>
        <w:t>并</w:t>
      </w:r>
      <w:r>
        <w:rPr>
          <w:rFonts w:ascii="宋体" w:hAnsi="宋体"/>
          <w:b/>
          <w:bCs/>
          <w:color w:val="auto"/>
          <w:szCs w:val="21"/>
          <w:highlight w:val="none"/>
          <w:u w:val="single"/>
        </w:rPr>
        <w:t>支付保险费。</w:t>
      </w:r>
    </w:p>
    <w:p w14:paraId="4F98661A">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2</w:t>
      </w:r>
      <w:r>
        <w:rPr>
          <w:rFonts w:ascii="宋体" w:hAnsi="宋体"/>
          <w:color w:val="auto"/>
          <w:szCs w:val="21"/>
          <w:highlight w:val="none"/>
        </w:rPr>
        <w:t>其他保险</w:t>
      </w:r>
    </w:p>
    <w:p w14:paraId="72B31FA1">
      <w:pPr>
        <w:spacing w:line="440" w:lineRule="exact"/>
        <w:ind w:firstLine="420" w:firstLineChars="200"/>
        <w:jc w:val="left"/>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rPr>
        <w:t>。</w:t>
      </w:r>
    </w:p>
    <w:p w14:paraId="67871434">
      <w:pPr>
        <w:spacing w:line="440" w:lineRule="exact"/>
        <w:ind w:firstLine="420" w:firstLineChars="200"/>
        <w:jc w:val="left"/>
        <w:rPr>
          <w:rFonts w:ascii="宋体" w:hAnsi="宋体"/>
          <w:color w:val="auto"/>
          <w:kern w:val="0"/>
          <w:szCs w:val="21"/>
          <w:highlight w:val="none"/>
        </w:rPr>
      </w:pPr>
      <w:r>
        <w:rPr>
          <w:rFonts w:ascii="宋体" w:hAnsi="宋体"/>
          <w:color w:val="auto"/>
          <w:szCs w:val="21"/>
          <w:highlight w:val="none"/>
        </w:rPr>
        <w:t>承包人是否应为其施工设备等办理财产保险：。</w:t>
      </w:r>
    </w:p>
    <w:p w14:paraId="180D8B31">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 xml:space="preserve"> 通知义务</w:t>
      </w:r>
    </w:p>
    <w:p w14:paraId="6B97A0F5">
      <w:pPr>
        <w:spacing w:line="440" w:lineRule="exact"/>
        <w:ind w:firstLine="420" w:firstLineChars="200"/>
        <w:jc w:val="left"/>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rPr>
        <w:t>。</w:t>
      </w:r>
    </w:p>
    <w:bookmarkEnd w:id="804"/>
    <w:bookmarkEnd w:id="805"/>
    <w:bookmarkEnd w:id="806"/>
    <w:bookmarkEnd w:id="807"/>
    <w:bookmarkEnd w:id="808"/>
    <w:bookmarkEnd w:id="809"/>
    <w:bookmarkEnd w:id="810"/>
    <w:bookmarkEnd w:id="811"/>
    <w:bookmarkEnd w:id="812"/>
    <w:bookmarkEnd w:id="813"/>
    <w:bookmarkEnd w:id="814"/>
    <w:bookmarkEnd w:id="815"/>
    <w:p w14:paraId="227529A4">
      <w:pPr>
        <w:keepNext/>
        <w:keepLines/>
        <w:widowControl/>
        <w:spacing w:before="120" w:after="120" w:line="440" w:lineRule="exact"/>
        <w:outlineLvl w:val="3"/>
        <w:rPr>
          <w:rFonts w:ascii="宋体" w:hAnsi="宋体" w:eastAsia="黑体"/>
          <w:b/>
          <w:color w:val="auto"/>
          <w:kern w:val="0"/>
          <w:sz w:val="28"/>
          <w:szCs w:val="21"/>
          <w:highlight w:val="none"/>
        </w:rPr>
      </w:pPr>
      <w:bookmarkStart w:id="839" w:name="_Toc351203651"/>
      <w:r>
        <w:rPr>
          <w:rFonts w:hint="eastAsia" w:ascii="宋体" w:hAnsi="宋体" w:eastAsia="黑体"/>
          <w:b/>
          <w:color w:val="auto"/>
          <w:kern w:val="0"/>
          <w:sz w:val="28"/>
          <w:szCs w:val="21"/>
          <w:highlight w:val="none"/>
        </w:rPr>
        <w:t>19</w:t>
      </w:r>
      <w:r>
        <w:rPr>
          <w:rFonts w:ascii="宋体" w:hAnsi="宋体" w:eastAsia="黑体"/>
          <w:b/>
          <w:color w:val="auto"/>
          <w:kern w:val="0"/>
          <w:sz w:val="28"/>
          <w:szCs w:val="21"/>
          <w:highlight w:val="none"/>
        </w:rPr>
        <w:t>. 争议解决</w:t>
      </w:r>
      <w:bookmarkEnd w:id="839"/>
    </w:p>
    <w:bookmarkEnd w:id="816"/>
    <w:bookmarkEnd w:id="817"/>
    <w:p w14:paraId="0F88354C">
      <w:pPr>
        <w:spacing w:after="120" w:line="440" w:lineRule="exact"/>
        <w:ind w:firstLine="420" w:firstLineChars="200"/>
        <w:rPr>
          <w:rFonts w:ascii="宋体" w:hAnsi="宋体"/>
          <w:color w:val="auto"/>
          <w:szCs w:val="21"/>
          <w:highlight w:val="none"/>
        </w:rPr>
      </w:pPr>
      <w:r>
        <w:rPr>
          <w:rFonts w:hint="eastAsia" w:ascii="宋体" w:hAnsi="宋体"/>
          <w:color w:val="auto"/>
          <w:szCs w:val="21"/>
          <w:highlight w:val="none"/>
        </w:rPr>
        <w:t>19.1</w:t>
      </w:r>
      <w:r>
        <w:rPr>
          <w:rFonts w:ascii="宋体" w:hAnsi="宋体"/>
          <w:color w:val="auto"/>
          <w:szCs w:val="21"/>
          <w:highlight w:val="none"/>
        </w:rPr>
        <w:t xml:space="preserve"> 争</w:t>
      </w:r>
      <w:bookmarkEnd w:id="818"/>
      <w:r>
        <w:rPr>
          <w:rFonts w:ascii="宋体" w:hAnsi="宋体"/>
          <w:color w:val="auto"/>
          <w:szCs w:val="21"/>
          <w:highlight w:val="none"/>
        </w:rPr>
        <w:t>议评审</w:t>
      </w:r>
    </w:p>
    <w:p w14:paraId="42C3EEC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 xml:space="preserve">定：。  </w:t>
      </w:r>
    </w:p>
    <w:p w14:paraId="3C3810D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19.1.1</w:t>
      </w:r>
      <w:r>
        <w:rPr>
          <w:rFonts w:ascii="宋体" w:hAnsi="宋体"/>
          <w:color w:val="auto"/>
          <w:szCs w:val="21"/>
          <w:highlight w:val="none"/>
        </w:rPr>
        <w:t xml:space="preserve"> 争议评审小组的确定</w:t>
      </w:r>
    </w:p>
    <w:p w14:paraId="18B53402">
      <w:pPr>
        <w:spacing w:line="44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p>
    <w:p w14:paraId="5F5BD76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p>
    <w:p w14:paraId="6B8A4033">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p>
    <w:p w14:paraId="340189DE">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p>
    <w:p w14:paraId="62EEC45F">
      <w:pPr>
        <w:autoSpaceDE w:val="0"/>
        <w:autoSpaceDN w:val="0"/>
        <w:adjustRightInd w:val="0"/>
        <w:spacing w:line="44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19.1.2</w:t>
      </w:r>
      <w:r>
        <w:rPr>
          <w:rFonts w:ascii="宋体" w:hAnsi="宋体"/>
          <w:color w:val="auto"/>
          <w:kern w:val="0"/>
          <w:szCs w:val="21"/>
          <w:highlight w:val="none"/>
        </w:rPr>
        <w:t xml:space="preserve"> 争议评审小组的决定</w:t>
      </w:r>
    </w:p>
    <w:p w14:paraId="6DA9D1F5">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p>
    <w:p w14:paraId="73A03A07">
      <w:pPr>
        <w:spacing w:after="120" w:line="440" w:lineRule="exact"/>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仲裁或诉讼</w:t>
      </w:r>
      <w:bookmarkEnd w:id="819"/>
    </w:p>
    <w:p w14:paraId="6463319D">
      <w:pPr>
        <w:spacing w:after="120" w:line="44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hint="eastAsia" w:ascii="宋体" w:hAnsi="宋体"/>
          <w:color w:val="auto"/>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2B21638F">
      <w:pPr>
        <w:spacing w:line="440" w:lineRule="exact"/>
        <w:ind w:firstLine="420" w:firstLineChars="200"/>
        <w:jc w:val="left"/>
        <w:rPr>
          <w:rFonts w:hint="eastAsia" w:ascii="宋体" w:hAnsi="宋体" w:eastAsia="宋体"/>
          <w:color w:val="auto"/>
          <w:szCs w:val="21"/>
          <w:highlight w:val="none"/>
          <w:lang w:eastAsia="zh-CN"/>
        </w:rPr>
      </w:pPr>
      <w:r>
        <w:rPr>
          <w:rFonts w:ascii="宋体" w:hAnsi="宋体"/>
          <w:color w:val="auto"/>
          <w:szCs w:val="21"/>
          <w:highlight w:val="none"/>
        </w:rPr>
        <w:t>（1）向</w:t>
      </w:r>
      <w:r>
        <w:rPr>
          <w:rFonts w:hint="eastAsia" w:ascii="宋体" w:hAnsi="宋体"/>
          <w:color w:val="auto"/>
          <w:szCs w:val="21"/>
          <w:highlight w:val="none"/>
          <w:u w:val="single"/>
        </w:rPr>
        <w:t>广西钦州市</w:t>
      </w:r>
      <w:r>
        <w:rPr>
          <w:rFonts w:ascii="宋体" w:hAnsi="宋体"/>
          <w:color w:val="auto"/>
          <w:szCs w:val="21"/>
          <w:highlight w:val="none"/>
        </w:rPr>
        <w:t>仲裁委员会申请仲裁</w:t>
      </w:r>
      <w:r>
        <w:rPr>
          <w:rFonts w:hint="eastAsia" w:ascii="宋体" w:hAnsi="宋体"/>
          <w:color w:val="auto"/>
          <w:szCs w:val="21"/>
          <w:highlight w:val="none"/>
          <w:lang w:eastAsia="zh-CN"/>
        </w:rPr>
        <w:t>；</w:t>
      </w:r>
    </w:p>
    <w:p w14:paraId="44125E90">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（2）</w:t>
      </w:r>
      <w:bookmarkEnd w:id="820"/>
      <w:bookmarkEnd w:id="821"/>
      <w:bookmarkEnd w:id="822"/>
      <w:bookmarkEnd w:id="823"/>
      <w:bookmarkEnd w:id="824"/>
      <w:bookmarkEnd w:id="825"/>
      <w:r>
        <w:rPr>
          <w:rFonts w:ascii="宋体" w:hAnsi="宋体"/>
          <w:color w:val="auto"/>
          <w:szCs w:val="21"/>
          <w:highlight w:val="none"/>
        </w:rPr>
        <w:t>向</w:t>
      </w:r>
      <w:r>
        <w:rPr>
          <w:rFonts w:hint="eastAsia" w:ascii="宋体" w:hAnsi="宋体"/>
          <w:color w:val="auto"/>
          <w:szCs w:val="21"/>
          <w:highlight w:val="none"/>
        </w:rPr>
        <w:t>工程所在地钦州市钦北区</w:t>
      </w:r>
      <w:r>
        <w:rPr>
          <w:rFonts w:ascii="宋体" w:hAnsi="宋体"/>
          <w:color w:val="auto"/>
          <w:szCs w:val="21"/>
          <w:highlight w:val="none"/>
        </w:rPr>
        <w:t>人民法院起诉。</w:t>
      </w:r>
    </w:p>
    <w:p w14:paraId="2222934C">
      <w:pPr>
        <w:keepNext/>
        <w:keepLines/>
        <w:widowControl/>
        <w:spacing w:before="120" w:after="120" w:line="440" w:lineRule="exact"/>
        <w:outlineLvl w:val="3"/>
        <w:rPr>
          <w:rFonts w:ascii="宋体" w:hAnsi="宋体" w:eastAsia="黑体"/>
          <w:b/>
          <w:color w:val="auto"/>
          <w:kern w:val="0"/>
          <w:sz w:val="28"/>
          <w:szCs w:val="21"/>
          <w:highlight w:val="none"/>
        </w:rPr>
      </w:pPr>
      <w:r>
        <w:rPr>
          <w:rFonts w:hint="eastAsia" w:ascii="宋体" w:hAnsi="宋体" w:eastAsia="黑体"/>
          <w:b/>
          <w:color w:val="auto"/>
          <w:kern w:val="0"/>
          <w:sz w:val="28"/>
          <w:szCs w:val="21"/>
          <w:highlight w:val="none"/>
        </w:rPr>
        <w:t>20</w:t>
      </w:r>
      <w:r>
        <w:rPr>
          <w:rFonts w:ascii="宋体" w:hAnsi="宋体" w:eastAsia="黑体"/>
          <w:b/>
          <w:color w:val="auto"/>
          <w:kern w:val="0"/>
          <w:sz w:val="28"/>
          <w:szCs w:val="21"/>
          <w:highlight w:val="none"/>
        </w:rPr>
        <w:t>.</w:t>
      </w:r>
      <w:r>
        <w:rPr>
          <w:rFonts w:hint="eastAsia" w:ascii="宋体" w:hAnsi="宋体" w:eastAsia="黑体"/>
          <w:b/>
          <w:color w:val="auto"/>
          <w:kern w:val="0"/>
          <w:sz w:val="28"/>
          <w:szCs w:val="21"/>
          <w:highlight w:val="none"/>
        </w:rPr>
        <w:t>补充条款</w:t>
      </w:r>
    </w:p>
    <w:p w14:paraId="640C4C8F">
      <w:pPr>
        <w:keepNext/>
        <w:keepLines/>
        <w:widowControl/>
        <w:spacing w:before="260" w:after="260" w:line="360" w:lineRule="auto"/>
        <w:jc w:val="center"/>
        <w:outlineLvl w:val="1"/>
        <w:rPr>
          <w:rFonts w:ascii="宋体" w:hAnsi="宋体"/>
          <w:color w:val="auto"/>
          <w:kern w:val="0"/>
          <w:szCs w:val="21"/>
          <w:highlight w:val="none"/>
        </w:rPr>
      </w:pPr>
      <w:r>
        <w:rPr>
          <w:rFonts w:hint="eastAsia" w:ascii="宋体" w:hAnsi="宋体"/>
          <w:color w:val="auto"/>
          <w:kern w:val="0"/>
          <w:szCs w:val="21"/>
          <w:highlight w:val="none"/>
        </w:rPr>
        <w:t>20.1实行农民工工资保障制度，承包人应按《不拖欠农民工工资保障金承诺书》履行，承包人向发包人保证不拖欠农民工工资。并按有关规定交纳农民工工资保证金，否则发包人有权解除合同。</w:t>
      </w:r>
    </w:p>
    <w:p w14:paraId="71A8375C">
      <w:pPr>
        <w:keepNext/>
        <w:keepLines/>
        <w:widowControl/>
        <w:spacing w:before="260" w:after="260" w:line="360" w:lineRule="auto"/>
        <w:jc w:val="left"/>
        <w:outlineLvl w:val="1"/>
        <w:rPr>
          <w:rFonts w:ascii="宋体" w:hAnsi="宋体"/>
          <w:color w:val="auto"/>
          <w:kern w:val="0"/>
          <w:szCs w:val="21"/>
          <w:highlight w:val="none"/>
        </w:rPr>
      </w:pPr>
      <w:r>
        <w:rPr>
          <w:rFonts w:hint="eastAsia" w:ascii="宋体" w:hAnsi="宋体"/>
          <w:color w:val="auto"/>
          <w:kern w:val="0"/>
          <w:szCs w:val="21"/>
          <w:highlight w:val="none"/>
        </w:rPr>
        <w:t>20.2承包人应根据钦州市建管规定【2017】49号文以及《钦州市建设领域农民工工资支付监管暂行办法》等相关规定，设立农民工工资支付专用账户，并遵照规定做好农民工工资支付管理及劳动用工管理工资，并接受监理工程师、发包人及相关职能部门的监督检查。发包人在支付工程进度款时，将工人工资从进度款中单独分开拨付到承包人开设的农民工工资专用账户，其中拨付的工程进度款中工人工资所占的比例为工程进度款应付金额的20%。承包人必须通过农民工工资支付账户，已发按时足额将农民工工资支付明细报发包人和当地劳动保障检查部门备案。</w:t>
      </w:r>
    </w:p>
    <w:p w14:paraId="7C321DB4">
      <w:pPr>
        <w:spacing w:line="360" w:lineRule="auto"/>
        <w:rPr>
          <w:rFonts w:ascii="宋体" w:hAnsi="宋体"/>
          <w:color w:val="auto"/>
          <w:szCs w:val="21"/>
          <w:highlight w:val="none"/>
        </w:rPr>
      </w:pPr>
      <w:r>
        <w:rPr>
          <w:rFonts w:hint="eastAsia" w:ascii="宋体" w:hAnsi="宋体"/>
          <w:color w:val="auto"/>
          <w:szCs w:val="21"/>
          <w:highlight w:val="none"/>
        </w:rPr>
        <w:t>20.3承包人应据实编制工程项目结算资料，承包人报送工程结算价超过发包人送钦州市公共投资审计中心或委托有资质的造价咨询机构最终审定的结果正负11%的，构成承包人违约，承包人应向发包人支付违约金。违约金按本工程结算审核委托造价咨询机构产生的审核费用（包括发包人直接委托或审计部门委托产生的费用）全部由承包人承担，并由发包人在支付承包人的工程款中代扣支付给造价咨询机构。</w:t>
      </w:r>
    </w:p>
    <w:p w14:paraId="5326E143">
      <w:pPr>
        <w:spacing w:line="360" w:lineRule="auto"/>
        <w:rPr>
          <w:color w:val="auto"/>
          <w:szCs w:val="21"/>
          <w:highlight w:val="none"/>
        </w:rPr>
      </w:pPr>
      <w:r>
        <w:rPr>
          <w:color w:val="auto"/>
          <w:szCs w:val="21"/>
          <w:highlight w:val="none"/>
        </w:rPr>
        <w:t>2</w:t>
      </w:r>
      <w:r>
        <w:rPr>
          <w:rFonts w:hint="eastAsia"/>
          <w:color w:val="auto"/>
          <w:szCs w:val="21"/>
          <w:highlight w:val="none"/>
        </w:rPr>
        <w:t>0</w:t>
      </w:r>
      <w:r>
        <w:rPr>
          <w:color w:val="auto"/>
          <w:szCs w:val="21"/>
          <w:highlight w:val="none"/>
        </w:rPr>
        <w:t>.</w:t>
      </w:r>
      <w:r>
        <w:rPr>
          <w:rFonts w:hint="eastAsia"/>
          <w:color w:val="auto"/>
          <w:szCs w:val="21"/>
          <w:highlight w:val="none"/>
        </w:rPr>
        <w:t>4</w:t>
      </w:r>
      <w:r>
        <w:rPr>
          <w:rFonts w:hAnsi="宋体"/>
          <w:color w:val="auto"/>
          <w:szCs w:val="21"/>
          <w:highlight w:val="none"/>
        </w:rPr>
        <w:t>凡进入本工程工作的妇女应持有计生证、否则不准安排工作，禁止使用童工。</w:t>
      </w:r>
    </w:p>
    <w:p w14:paraId="4C3D4D5D">
      <w:pPr>
        <w:widowControl/>
        <w:jc w:val="left"/>
        <w:rPr>
          <w:rFonts w:hAnsi="宋体" w:cs="宋体"/>
          <w:color w:val="auto"/>
          <w:sz w:val="30"/>
          <w:szCs w:val="30"/>
          <w:highlight w:val="none"/>
        </w:rPr>
      </w:pPr>
      <w:r>
        <w:rPr>
          <w:rFonts w:hAnsi="宋体" w:cs="宋体"/>
          <w:color w:val="auto"/>
          <w:sz w:val="30"/>
          <w:szCs w:val="30"/>
          <w:highlight w:val="none"/>
        </w:rPr>
        <w:br w:type="page"/>
      </w:r>
    </w:p>
    <w:p w14:paraId="0A51399C">
      <w:pPr>
        <w:spacing w:line="440" w:lineRule="exact"/>
        <w:rPr>
          <w:color w:val="auto"/>
          <w:sz w:val="30"/>
          <w:szCs w:val="30"/>
          <w:highlight w:val="none"/>
        </w:rPr>
      </w:pPr>
      <w:r>
        <w:rPr>
          <w:rFonts w:hint="eastAsia" w:hAnsi="宋体" w:cs="宋体"/>
          <w:color w:val="auto"/>
          <w:sz w:val="30"/>
          <w:szCs w:val="30"/>
          <w:highlight w:val="none"/>
        </w:rPr>
        <w:t>附件1：</w:t>
      </w:r>
    </w:p>
    <w:p w14:paraId="0ECD033D">
      <w:pPr>
        <w:spacing w:beforeLines="5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1D999848">
      <w:pPr>
        <w:spacing w:line="440" w:lineRule="exact"/>
        <w:ind w:firstLine="420" w:firstLineChars="200"/>
        <w:rPr>
          <w:color w:val="auto"/>
          <w:highlight w:val="none"/>
        </w:rPr>
      </w:pPr>
      <w:r>
        <w:rPr>
          <w:rFonts w:hint="eastAsia" w:hAnsi="宋体" w:cs="宋体"/>
          <w:color w:val="auto"/>
          <w:highlight w:val="none"/>
        </w:rPr>
        <w:t>发包人（全称）：</w:t>
      </w:r>
    </w:p>
    <w:p w14:paraId="0DC772F1">
      <w:pPr>
        <w:spacing w:line="440" w:lineRule="exact"/>
        <w:ind w:firstLine="420" w:firstLineChars="200"/>
        <w:rPr>
          <w:color w:val="auto"/>
          <w:highlight w:val="none"/>
        </w:rPr>
      </w:pPr>
      <w:r>
        <w:rPr>
          <w:rFonts w:hint="eastAsia" w:hAnsi="宋体" w:cs="宋体"/>
          <w:color w:val="auto"/>
          <w:highlight w:val="none"/>
        </w:rPr>
        <w:t>承包人（全称）：</w:t>
      </w:r>
    </w:p>
    <w:p w14:paraId="3A557029">
      <w:pPr>
        <w:spacing w:line="440" w:lineRule="exact"/>
        <w:rPr>
          <w:color w:val="auto"/>
          <w:highlight w:val="none"/>
        </w:rPr>
      </w:pPr>
    </w:p>
    <w:p w14:paraId="50AB1078">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发包人和承包人根据《中华人民共和国建筑法》和《建设工程质量管理条例》，经协商一致就（工程全称）签订工程质量保修书。</w:t>
      </w:r>
    </w:p>
    <w:p w14:paraId="120F28E3">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460F445">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7288F46">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5409A75">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00505135">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6C0268E5">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保修期限约定如下：</w:t>
      </w:r>
      <w:r>
        <w:rPr>
          <w:rFonts w:hint="eastAsia" w:ascii="宋体" w:hAnsi="宋体" w:cs="宋体"/>
          <w:color w:val="auto"/>
          <w:szCs w:val="21"/>
          <w:highlight w:val="none"/>
          <w:u w:val="single"/>
        </w:rPr>
        <w:t>2年。</w:t>
      </w:r>
    </w:p>
    <w:p w14:paraId="6EC2C59E">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2F12C29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354271CB">
      <w:pPr>
        <w:spacing w:line="360" w:lineRule="auto"/>
        <w:ind w:firstLine="420"/>
        <w:rPr>
          <w:rFonts w:hAnsi="宋体"/>
          <w:color w:val="auto"/>
          <w:highlight w:val="none"/>
        </w:rPr>
      </w:pPr>
      <w:r>
        <w:rPr>
          <w:rFonts w:hint="eastAsia" w:hAnsi="宋体" w:cs="宋体"/>
          <w:color w:val="auto"/>
          <w:highlight w:val="none"/>
        </w:rPr>
        <w:t>工程缺陷责任期为</w:t>
      </w:r>
      <w:r>
        <w:rPr>
          <w:rFonts w:hint="eastAsia" w:hAnsi="宋体" w:cs="宋体"/>
          <w:color w:val="auto"/>
          <w:highlight w:val="none"/>
          <w:lang w:val="en-US" w:eastAsia="zh-CN"/>
        </w:rPr>
        <w:t>24</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08EE51EA">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477E9B00">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0223B26A">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rFonts w:hint="eastAsia"/>
          <w:color w:val="auto"/>
          <w:highlight w:val="none"/>
          <w:u w:val="single"/>
        </w:rPr>
        <w:t>5</w:t>
      </w:r>
      <w:r>
        <w:rPr>
          <w:rFonts w:hint="eastAsia" w:hAnsi="宋体" w:cs="宋体"/>
          <w:color w:val="auto"/>
          <w:highlight w:val="none"/>
        </w:rPr>
        <w:t>天内派人保修。承包人不在约定期限内派人保修的，发包人可以委托他人修理，修理费用从质量保证金内扣除。</w:t>
      </w:r>
    </w:p>
    <w:p w14:paraId="1CEA8483">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29070DEB">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27E359">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75403E05">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5C628A36">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5607FECA">
      <w:pPr>
        <w:spacing w:line="360" w:lineRule="auto"/>
        <w:ind w:firstLine="420"/>
        <w:rPr>
          <w:color w:val="auto"/>
          <w:highlight w:val="none"/>
        </w:rPr>
      </w:pPr>
      <w:r>
        <w:rPr>
          <w:rFonts w:hint="eastAsia" w:ascii="黑体" w:hAnsi="宋体" w:eastAsia="黑体" w:cs="黑体"/>
          <w:color w:val="auto"/>
          <w:highlight w:val="none"/>
        </w:rPr>
        <w:t>六、双方约定的其他工程质量保修事项：</w:t>
      </w:r>
      <w:r>
        <w:rPr>
          <w:rFonts w:hint="eastAsia" w:hAnsi="宋体" w:cs="宋体"/>
          <w:color w:val="auto"/>
          <w:highlight w:val="none"/>
        </w:rPr>
        <w:t>。</w:t>
      </w:r>
    </w:p>
    <w:p w14:paraId="4E79D735">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309B07D4">
      <w:pPr>
        <w:spacing w:line="360" w:lineRule="auto"/>
        <w:ind w:firstLine="420"/>
        <w:rPr>
          <w:color w:val="auto"/>
          <w:highlight w:val="none"/>
        </w:rPr>
      </w:pPr>
    </w:p>
    <w:p w14:paraId="198D5E38">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p>
    <w:p w14:paraId="575DC66C">
      <w:pPr>
        <w:spacing w:line="360" w:lineRule="auto"/>
        <w:rPr>
          <w:color w:val="auto"/>
          <w:highlight w:val="none"/>
        </w:rPr>
      </w:pPr>
      <w:r>
        <w:rPr>
          <w:rFonts w:hAnsi="宋体"/>
          <w:color w:val="auto"/>
          <w:highlight w:val="none"/>
        </w:rPr>
        <w:t>地址：</w:t>
      </w:r>
      <w:r>
        <w:rPr>
          <w:rFonts w:ascii="宋体" w:hAnsi="宋体"/>
          <w:color w:val="auto"/>
          <w:highlight w:val="none"/>
          <w:u w:val="single"/>
        </w:rPr>
        <w:t></w:t>
      </w:r>
      <w:r>
        <w:rPr>
          <w:rFonts w:hAnsi="宋体"/>
          <w:color w:val="auto"/>
          <w:highlight w:val="none"/>
        </w:rPr>
        <w:t>地址：</w:t>
      </w:r>
      <w:r>
        <w:rPr>
          <w:rFonts w:ascii="宋体" w:hAnsi="宋体"/>
          <w:color w:val="auto"/>
          <w:highlight w:val="none"/>
          <w:u w:val="single"/>
        </w:rPr>
        <w:t></w:t>
      </w:r>
    </w:p>
    <w:p w14:paraId="05F78D37">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p>
    <w:p w14:paraId="0DC60333">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p>
    <w:p w14:paraId="173A3688">
      <w:pPr>
        <w:spacing w:line="360" w:lineRule="auto"/>
        <w:rPr>
          <w:color w:val="auto"/>
          <w:highlight w:val="none"/>
        </w:rPr>
      </w:pPr>
      <w:r>
        <w:rPr>
          <w:rFonts w:hAnsi="宋体"/>
          <w:color w:val="auto"/>
          <w:highlight w:val="none"/>
        </w:rPr>
        <w:t>电话：</w:t>
      </w:r>
      <w:r>
        <w:rPr>
          <w:rFonts w:ascii="宋体" w:hAnsi="宋体"/>
          <w:color w:val="auto"/>
          <w:highlight w:val="none"/>
          <w:u w:val="single"/>
        </w:rPr>
        <w:t></w:t>
      </w:r>
      <w:r>
        <w:rPr>
          <w:rFonts w:hAnsi="宋体"/>
          <w:color w:val="auto"/>
          <w:highlight w:val="none"/>
        </w:rPr>
        <w:t>电话：</w:t>
      </w:r>
      <w:r>
        <w:rPr>
          <w:rFonts w:ascii="宋体" w:hAnsi="宋体"/>
          <w:color w:val="auto"/>
          <w:highlight w:val="none"/>
          <w:u w:val="single"/>
        </w:rPr>
        <w:t></w:t>
      </w:r>
    </w:p>
    <w:p w14:paraId="515038F5">
      <w:pPr>
        <w:spacing w:line="360" w:lineRule="auto"/>
        <w:rPr>
          <w:color w:val="auto"/>
          <w:highlight w:val="none"/>
        </w:rPr>
      </w:pPr>
      <w:r>
        <w:rPr>
          <w:rFonts w:hAnsi="宋体"/>
          <w:color w:val="auto"/>
          <w:highlight w:val="none"/>
        </w:rPr>
        <w:t>传真：</w:t>
      </w:r>
      <w:r>
        <w:rPr>
          <w:rFonts w:ascii="宋体" w:hAnsi="宋体"/>
          <w:color w:val="auto"/>
          <w:highlight w:val="none"/>
          <w:u w:val="single"/>
        </w:rPr>
        <w:t></w:t>
      </w:r>
      <w:r>
        <w:rPr>
          <w:rFonts w:hAnsi="宋体"/>
          <w:color w:val="auto"/>
          <w:highlight w:val="none"/>
        </w:rPr>
        <w:t>传真：</w:t>
      </w:r>
      <w:r>
        <w:rPr>
          <w:rFonts w:ascii="宋体" w:hAnsi="宋体"/>
          <w:color w:val="auto"/>
          <w:highlight w:val="none"/>
          <w:u w:val="single"/>
        </w:rPr>
        <w:t></w:t>
      </w:r>
    </w:p>
    <w:p w14:paraId="06E09CA1">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Ansi="宋体"/>
          <w:color w:val="auto"/>
          <w:highlight w:val="none"/>
        </w:rPr>
        <w:t>开户银行：</w:t>
      </w:r>
      <w:r>
        <w:rPr>
          <w:rFonts w:ascii="宋体" w:hAnsi="宋体"/>
          <w:color w:val="auto"/>
          <w:highlight w:val="none"/>
          <w:u w:val="single"/>
        </w:rPr>
        <w:t></w:t>
      </w:r>
    </w:p>
    <w:p w14:paraId="5E3E16D2">
      <w:pPr>
        <w:tabs>
          <w:tab w:val="left" w:pos="2880"/>
          <w:tab w:val="left" w:pos="3060"/>
          <w:tab w:val="left" w:pos="4500"/>
        </w:tabs>
        <w:spacing w:line="360" w:lineRule="auto"/>
        <w:rPr>
          <w:color w:val="auto"/>
          <w:highlight w:val="none"/>
        </w:rPr>
      </w:pPr>
      <w:r>
        <w:rPr>
          <w:rFonts w:hAnsi="宋体"/>
          <w:color w:val="auto"/>
          <w:highlight w:val="none"/>
        </w:rPr>
        <w:t>账号：</w:t>
      </w:r>
      <w:r>
        <w:rPr>
          <w:rFonts w:ascii="宋体" w:hAnsi="宋体"/>
          <w:color w:val="auto"/>
          <w:highlight w:val="none"/>
          <w:u w:val="single"/>
        </w:rPr>
        <w:t></w:t>
      </w:r>
      <w:r>
        <w:rPr>
          <w:rFonts w:hAnsi="宋体"/>
          <w:color w:val="auto"/>
          <w:highlight w:val="none"/>
        </w:rPr>
        <w:t>账号：</w:t>
      </w:r>
      <w:r>
        <w:rPr>
          <w:rFonts w:ascii="宋体" w:hAnsi="宋体"/>
          <w:color w:val="auto"/>
          <w:highlight w:val="none"/>
          <w:u w:val="single"/>
        </w:rPr>
        <w:t></w:t>
      </w:r>
    </w:p>
    <w:p w14:paraId="69D60F3F">
      <w:pPr>
        <w:tabs>
          <w:tab w:val="left" w:pos="7200"/>
          <w:tab w:val="left" w:pos="7380"/>
          <w:tab w:val="left" w:pos="7560"/>
        </w:tabs>
        <w:spacing w:line="360" w:lineRule="auto"/>
        <w:rPr>
          <w:color w:val="auto"/>
          <w:highlight w:val="none"/>
        </w:rPr>
      </w:pPr>
      <w:r>
        <w:rPr>
          <w:rFonts w:hAnsi="宋体"/>
          <w:color w:val="auto"/>
          <w:highlight w:val="none"/>
        </w:rPr>
        <w:t>邮政编码：</w:t>
      </w:r>
      <w:r>
        <w:rPr>
          <w:rFonts w:ascii="宋体" w:hAnsi="宋体"/>
          <w:color w:val="auto"/>
          <w:highlight w:val="none"/>
          <w:u w:val="single"/>
        </w:rPr>
        <w:t></w:t>
      </w:r>
      <w:r>
        <w:rPr>
          <w:rFonts w:hAnsi="宋体"/>
          <w:color w:val="auto"/>
          <w:highlight w:val="none"/>
        </w:rPr>
        <w:t>邮政编码：</w:t>
      </w:r>
      <w:r>
        <w:rPr>
          <w:rFonts w:ascii="宋体" w:hAnsi="宋体"/>
          <w:color w:val="auto"/>
          <w:highlight w:val="none"/>
          <w:u w:val="single"/>
        </w:rPr>
        <w:t></w:t>
      </w:r>
    </w:p>
    <w:p w14:paraId="2BE36A33">
      <w:pPr>
        <w:spacing w:beforeLines="50" w:afterLines="50" w:line="440" w:lineRule="exact"/>
        <w:jc w:val="center"/>
        <w:rPr>
          <w:rFonts w:ascii="黑体" w:hAnsi="宋体" w:eastAsia="黑体"/>
          <w:color w:val="auto"/>
          <w:sz w:val="32"/>
          <w:szCs w:val="32"/>
          <w:highlight w:val="none"/>
        </w:rPr>
      </w:pPr>
    </w:p>
    <w:p w14:paraId="5F58751D">
      <w:pPr>
        <w:spacing w:beforeLines="50" w:afterLines="50" w:line="440" w:lineRule="exact"/>
        <w:jc w:val="center"/>
        <w:rPr>
          <w:rFonts w:ascii="黑体" w:hAnsi="宋体" w:eastAsia="黑体"/>
          <w:color w:val="auto"/>
          <w:sz w:val="32"/>
          <w:szCs w:val="32"/>
          <w:highlight w:val="none"/>
        </w:rPr>
      </w:pPr>
      <w:r>
        <w:rPr>
          <w:rFonts w:ascii="黑体" w:hAnsi="宋体" w:eastAsia="黑体"/>
          <w:color w:val="auto"/>
          <w:sz w:val="32"/>
          <w:szCs w:val="32"/>
          <w:highlight w:val="none"/>
        </w:rPr>
        <w:br w:type="page"/>
      </w:r>
    </w:p>
    <w:p w14:paraId="738D641B">
      <w:pPr>
        <w:widowControl/>
        <w:jc w:val="left"/>
        <w:rPr>
          <w:rFonts w:hAnsi="宋体" w:cs="宋体"/>
          <w:color w:val="auto"/>
          <w:sz w:val="30"/>
          <w:szCs w:val="30"/>
          <w:highlight w:val="none"/>
        </w:rPr>
      </w:pPr>
      <w:r>
        <w:rPr>
          <w:rFonts w:hint="eastAsia" w:hAnsi="宋体" w:cs="宋体"/>
          <w:color w:val="auto"/>
          <w:sz w:val="30"/>
          <w:szCs w:val="30"/>
          <w:highlight w:val="none"/>
        </w:rPr>
        <w:t>附件2：</w:t>
      </w:r>
    </w:p>
    <w:p w14:paraId="3EC7E695">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526420C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1FA1D53A">
      <w:pPr>
        <w:wordWrap w:val="0"/>
        <w:spacing w:line="360" w:lineRule="auto"/>
        <w:jc w:val="right"/>
        <w:rPr>
          <w:rFonts w:ascii="宋体" w:hAnsi="宋体"/>
          <w:color w:val="auto"/>
          <w:szCs w:val="21"/>
          <w:highlight w:val="none"/>
        </w:rPr>
      </w:pPr>
      <w:r>
        <w:rPr>
          <w:rFonts w:hint="eastAsia" w:ascii="宋体" w:hAnsi="宋体"/>
          <w:color w:val="auto"/>
          <w:highlight w:val="none"/>
        </w:rPr>
        <w:t xml:space="preserve">编号：           </w:t>
      </w:r>
    </w:p>
    <w:p w14:paraId="21D5A2B6">
      <w:pPr>
        <w:spacing w:line="360" w:lineRule="auto"/>
        <w:rPr>
          <w:rFonts w:ascii="宋体" w:hAnsi="宋体"/>
          <w:color w:val="auto"/>
          <w:sz w:val="24"/>
          <w:highlight w:val="none"/>
        </w:rPr>
      </w:pPr>
      <w:r>
        <w:rPr>
          <w:rFonts w:hint="eastAsia" w:ascii="宋体" w:hAnsi="宋体"/>
          <w:color w:val="auto"/>
          <w:sz w:val="24"/>
          <w:highlight w:val="none"/>
        </w:rPr>
        <w:t>申请人：</w:t>
      </w:r>
    </w:p>
    <w:p w14:paraId="77119E34">
      <w:pPr>
        <w:spacing w:line="360" w:lineRule="auto"/>
        <w:rPr>
          <w:rFonts w:ascii="宋体" w:hAnsi="宋体"/>
          <w:color w:val="auto"/>
          <w:sz w:val="24"/>
          <w:highlight w:val="none"/>
        </w:rPr>
      </w:pPr>
      <w:r>
        <w:rPr>
          <w:rFonts w:hint="eastAsia" w:ascii="宋体" w:hAnsi="宋体"/>
          <w:color w:val="auto"/>
          <w:sz w:val="24"/>
          <w:highlight w:val="none"/>
        </w:rPr>
        <w:t xml:space="preserve">  地址：</w:t>
      </w:r>
    </w:p>
    <w:p w14:paraId="02444081">
      <w:pPr>
        <w:spacing w:line="360" w:lineRule="auto"/>
        <w:rPr>
          <w:rFonts w:ascii="宋体" w:hAnsi="宋体"/>
          <w:color w:val="auto"/>
          <w:sz w:val="24"/>
          <w:highlight w:val="none"/>
        </w:rPr>
      </w:pPr>
      <w:r>
        <w:rPr>
          <w:rFonts w:hint="eastAsia" w:ascii="宋体" w:hAnsi="宋体"/>
          <w:color w:val="auto"/>
          <w:sz w:val="24"/>
          <w:highlight w:val="none"/>
        </w:rPr>
        <w:t>受益人：</w:t>
      </w:r>
    </w:p>
    <w:p w14:paraId="39C06C30">
      <w:pPr>
        <w:spacing w:line="360" w:lineRule="auto"/>
        <w:rPr>
          <w:rFonts w:ascii="宋体" w:hAnsi="宋体"/>
          <w:color w:val="auto"/>
          <w:sz w:val="24"/>
          <w:highlight w:val="none"/>
        </w:rPr>
      </w:pPr>
      <w:r>
        <w:rPr>
          <w:rFonts w:hint="eastAsia" w:ascii="宋体" w:hAnsi="宋体"/>
          <w:color w:val="auto"/>
          <w:sz w:val="24"/>
          <w:highlight w:val="none"/>
        </w:rPr>
        <w:t xml:space="preserve">  地址：</w:t>
      </w:r>
    </w:p>
    <w:p w14:paraId="442FFFA6">
      <w:pPr>
        <w:spacing w:line="360" w:lineRule="auto"/>
        <w:rPr>
          <w:rFonts w:ascii="宋体" w:hAnsi="宋体"/>
          <w:color w:val="auto"/>
          <w:sz w:val="24"/>
          <w:highlight w:val="none"/>
        </w:rPr>
      </w:pPr>
      <w:r>
        <w:rPr>
          <w:rFonts w:hint="eastAsia" w:ascii="宋体" w:hAnsi="宋体"/>
          <w:color w:val="auto"/>
          <w:sz w:val="24"/>
          <w:highlight w:val="none"/>
        </w:rPr>
        <w:t>开立人：</w:t>
      </w:r>
    </w:p>
    <w:p w14:paraId="2DAED6EA">
      <w:pPr>
        <w:spacing w:line="360" w:lineRule="auto"/>
        <w:rPr>
          <w:rFonts w:ascii="宋体" w:hAnsi="宋体"/>
          <w:color w:val="auto"/>
          <w:sz w:val="24"/>
          <w:highlight w:val="none"/>
        </w:rPr>
      </w:pPr>
      <w:r>
        <w:rPr>
          <w:rFonts w:hint="eastAsia" w:ascii="宋体" w:hAnsi="宋体"/>
          <w:color w:val="auto"/>
          <w:sz w:val="24"/>
          <w:highlight w:val="none"/>
        </w:rPr>
        <w:t xml:space="preserve">  地址：</w:t>
      </w:r>
    </w:p>
    <w:p w14:paraId="1FFEC457">
      <w:pPr>
        <w:spacing w:line="360" w:lineRule="auto"/>
        <w:rPr>
          <w:rFonts w:ascii="宋体" w:hAnsi="宋体"/>
          <w:color w:val="auto"/>
          <w:sz w:val="24"/>
          <w:highlight w:val="none"/>
        </w:rPr>
      </w:pPr>
    </w:p>
    <w:p w14:paraId="5758A73B">
      <w:pPr>
        <w:spacing w:line="360" w:lineRule="auto"/>
        <w:rPr>
          <w:rFonts w:ascii="宋体" w:hAnsi="宋体"/>
          <w:color w:val="auto"/>
          <w:sz w:val="24"/>
          <w:highlight w:val="none"/>
        </w:rPr>
      </w:pPr>
      <w:r>
        <w:rPr>
          <w:rFonts w:hint="eastAsia" w:ascii="宋体" w:hAnsi="宋体"/>
          <w:color w:val="auto"/>
          <w:sz w:val="24"/>
          <w:highlight w:val="none"/>
        </w:rPr>
        <w:t xml:space="preserve">（受益人名称）： </w:t>
      </w:r>
    </w:p>
    <w:p w14:paraId="6F819C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鉴于（以下简称“受益人”）与（以下简称“申请人”）于年月日就工程（以下简称“本工程”）施工和有关事项协商一致共同签订</w:t>
      </w:r>
      <w:r>
        <w:rPr>
          <w:rFonts w:hint="eastAsia" w:ascii="宋体" w:hAnsi="宋体"/>
          <w:color w:val="auto"/>
          <w:sz w:val="24"/>
          <w:highlight w:val="none"/>
          <w:u w:val="single"/>
        </w:rPr>
        <w:t>《        》</w:t>
      </w:r>
      <w:r>
        <w:rPr>
          <w:rFonts w:hint="eastAsia" w:ascii="宋体" w:hAnsi="宋体"/>
          <w:color w:val="auto"/>
          <w:sz w:val="24"/>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5E30A7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一、本保函担保范围：承包人未按照基础合同的约定履行义务，应当向贵方承担的违约责任和赔偿因此造成的损失、利息、律师费、诉讼费用等实现债权的费用。</w:t>
      </w:r>
    </w:p>
    <w:p w14:paraId="0B667B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二、本保函担保金额最高不超过人民币（大写）元（¥）。 </w:t>
      </w:r>
    </w:p>
    <w:p w14:paraId="35C9C8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三、本保函有效期自开立之日起至基础合同约定的缺陷责任期后日止，最迟不超过年月日。 </w:t>
      </w:r>
    </w:p>
    <w:p w14:paraId="5997E9E6">
      <w:pPr>
        <w:spacing w:line="360" w:lineRule="auto"/>
        <w:ind w:firstLine="480"/>
        <w:rPr>
          <w:rFonts w:ascii="宋体" w:hAnsi="宋体"/>
          <w:color w:val="auto"/>
          <w:sz w:val="24"/>
          <w:highlight w:val="none"/>
        </w:rPr>
      </w:pPr>
      <w:r>
        <w:rPr>
          <w:rFonts w:hint="eastAsia" w:ascii="宋体" w:hAnsi="宋体"/>
          <w:color w:val="auto"/>
          <w:sz w:val="24"/>
          <w:highlight w:val="none"/>
        </w:rPr>
        <w:t>四、我方承诺，在收到受益人发来的书面付款通知后的日内无条件支付，前述书面付款通知即为付款要求之单据，且应满足以下要求：</w:t>
      </w:r>
    </w:p>
    <w:p w14:paraId="7C3073F3">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（1）付款通知到达的日期在本保函的有效期内</w:t>
      </w:r>
      <w:r>
        <w:rPr>
          <w:rFonts w:hint="eastAsia" w:ascii="宋体" w:hAnsi="宋体"/>
          <w:color w:val="auto"/>
          <w:sz w:val="24"/>
          <w:highlight w:val="none"/>
          <w:lang w:eastAsia="zh-CN"/>
        </w:rPr>
        <w:t>；</w:t>
      </w:r>
    </w:p>
    <w:p w14:paraId="65921F86">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（2）载明要求支付的金额</w:t>
      </w:r>
      <w:r>
        <w:rPr>
          <w:rFonts w:hint="eastAsia" w:ascii="宋体" w:hAnsi="宋体"/>
          <w:color w:val="auto"/>
          <w:sz w:val="24"/>
          <w:highlight w:val="none"/>
          <w:lang w:eastAsia="zh-CN"/>
        </w:rPr>
        <w:t>；</w:t>
      </w:r>
    </w:p>
    <w:p w14:paraId="760DB4E8">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（3）载明申请人违反合同义务的条款和内容</w:t>
      </w:r>
      <w:r>
        <w:rPr>
          <w:rFonts w:hint="eastAsia" w:ascii="宋体" w:hAnsi="宋体"/>
          <w:color w:val="auto"/>
          <w:sz w:val="24"/>
          <w:highlight w:val="none"/>
          <w:lang w:eastAsia="zh-CN"/>
        </w:rPr>
        <w:t>；</w:t>
      </w:r>
    </w:p>
    <w:p w14:paraId="20DD50F0">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（4）声明不存在合同文件约定或我国法律规定免除申请人或开立人支付责任的情形</w:t>
      </w:r>
      <w:r>
        <w:rPr>
          <w:rFonts w:hint="eastAsia" w:ascii="宋体" w:hAnsi="宋体"/>
          <w:color w:val="auto"/>
          <w:sz w:val="24"/>
          <w:highlight w:val="none"/>
          <w:lang w:eastAsia="zh-CN"/>
        </w:rPr>
        <w:t>；</w:t>
      </w:r>
    </w:p>
    <w:p w14:paraId="6F21A3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（5）付款通知应在本保函有效期内到达的地址是：。</w:t>
      </w:r>
    </w:p>
    <w:p w14:paraId="312BA5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受益人发出的书面付款通知应由其为鉴明受益人法定代表人（负责人）或授权代理人签字并加盖公章。</w:t>
      </w:r>
    </w:p>
    <w:p w14:paraId="337A93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五、本保函项下的权利不得转让，不得设定担保。贵方未经我方书面同意转 让本保函或其项下任何权利，对我方不发生法律效力。 </w:t>
      </w:r>
    </w:p>
    <w:p w14:paraId="54965B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六、与本保函有关的基础合同不成立、不生效、无效、被撤销、被解除，不影响本保函的独立有效。 </w:t>
      </w:r>
    </w:p>
    <w:p w14:paraId="09EB4A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508A82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八、本保函适用的法律为中华人民共和国法律，争议裁判管辖地为中华人民共和国。 </w:t>
      </w:r>
    </w:p>
    <w:p w14:paraId="7CE7A2A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九、本保函自我方法定代表人或授权代表签字并加盖公章之日起生效。 </w:t>
      </w:r>
    </w:p>
    <w:p w14:paraId="153BEB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 立 人：                              （公章） </w:t>
      </w:r>
    </w:p>
    <w:p w14:paraId="4DAB5B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法定代表人（或授权代表）：               （签字） </w:t>
      </w:r>
    </w:p>
    <w:p w14:paraId="7975FC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    址：                                       </w:t>
      </w:r>
    </w:p>
    <w:p w14:paraId="20654E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邮政编码：                 </w:t>
      </w:r>
    </w:p>
    <w:p w14:paraId="208757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电    话：                 </w:t>
      </w:r>
    </w:p>
    <w:p w14:paraId="57663F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传    真：                 </w:t>
      </w:r>
    </w:p>
    <w:p w14:paraId="0CB8C462">
      <w:pPr>
        <w:spacing w:line="360" w:lineRule="auto"/>
        <w:ind w:firstLine="480" w:firstLineChars="200"/>
        <w:rPr>
          <w:color w:val="auto"/>
          <w:szCs w:val="21"/>
          <w:highlight w:val="none"/>
        </w:rPr>
      </w:pPr>
      <w:r>
        <w:rPr>
          <w:rFonts w:hint="eastAsia" w:ascii="宋体" w:hAnsi="宋体"/>
          <w:color w:val="auto"/>
          <w:sz w:val="24"/>
          <w:highlight w:val="none"/>
        </w:rPr>
        <w:t xml:space="preserve">开立时间：      年      月    </w:t>
      </w:r>
    </w:p>
    <w:p w14:paraId="412DA924">
      <w:pPr>
        <w:spacing w:line="360" w:lineRule="auto"/>
        <w:jc w:val="left"/>
        <w:rPr>
          <w:rFonts w:eastAsia="仿宋_GB2312"/>
          <w:color w:val="auto"/>
          <w:sz w:val="30"/>
          <w:szCs w:val="30"/>
          <w:highlight w:val="none"/>
        </w:rPr>
      </w:pPr>
    </w:p>
    <w:p w14:paraId="2B94535E">
      <w:pPr>
        <w:spacing w:line="360" w:lineRule="auto"/>
        <w:rPr>
          <w:rFonts w:ascii="宋体" w:hAnsi="宋体"/>
          <w:b/>
          <w:bCs/>
          <w:color w:val="auto"/>
          <w:sz w:val="32"/>
          <w:szCs w:val="32"/>
          <w:highlight w:val="none"/>
        </w:rPr>
      </w:pPr>
    </w:p>
    <w:p w14:paraId="22C466C8">
      <w:pPr>
        <w:spacing w:line="36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履约保函示范文本</w:t>
      </w:r>
    </w:p>
    <w:p w14:paraId="421F64E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38768A65">
      <w:pPr>
        <w:spacing w:line="360" w:lineRule="auto"/>
        <w:jc w:val="center"/>
        <w:rPr>
          <w:rFonts w:ascii="宋体" w:hAnsi="宋体"/>
          <w:b/>
          <w:bCs/>
          <w:color w:val="auto"/>
          <w:sz w:val="32"/>
          <w:szCs w:val="32"/>
          <w:highlight w:val="none"/>
        </w:rPr>
      </w:pPr>
    </w:p>
    <w:p w14:paraId="47AA7BF7">
      <w:pPr>
        <w:wordWrap w:val="0"/>
        <w:spacing w:line="360" w:lineRule="auto"/>
        <w:jc w:val="right"/>
        <w:rPr>
          <w:rFonts w:ascii="宋体" w:hAnsi="宋体"/>
          <w:color w:val="auto"/>
          <w:szCs w:val="21"/>
          <w:highlight w:val="none"/>
        </w:rPr>
      </w:pPr>
      <w:r>
        <w:rPr>
          <w:rFonts w:hint="eastAsia" w:ascii="宋体" w:hAnsi="宋体"/>
          <w:color w:val="auto"/>
          <w:highlight w:val="none"/>
        </w:rPr>
        <w:t xml:space="preserve">编号：           </w:t>
      </w:r>
    </w:p>
    <w:p w14:paraId="09ABAD12">
      <w:pPr>
        <w:spacing w:line="360" w:lineRule="auto"/>
        <w:rPr>
          <w:rFonts w:ascii="宋体" w:hAnsi="宋体"/>
          <w:color w:val="auto"/>
          <w:sz w:val="24"/>
          <w:highlight w:val="none"/>
        </w:rPr>
      </w:pPr>
      <w:r>
        <w:rPr>
          <w:rFonts w:hint="eastAsia" w:ascii="宋体" w:hAnsi="宋体"/>
          <w:color w:val="auto"/>
          <w:sz w:val="24"/>
          <w:highlight w:val="none"/>
        </w:rPr>
        <w:t>承包人：</w:t>
      </w:r>
    </w:p>
    <w:p w14:paraId="00D4038F">
      <w:pPr>
        <w:spacing w:line="360" w:lineRule="auto"/>
        <w:rPr>
          <w:rFonts w:ascii="宋体" w:hAnsi="宋体"/>
          <w:color w:val="auto"/>
          <w:sz w:val="24"/>
          <w:highlight w:val="none"/>
        </w:rPr>
      </w:pPr>
      <w:r>
        <w:rPr>
          <w:rFonts w:hint="eastAsia" w:ascii="宋体" w:hAnsi="宋体"/>
          <w:color w:val="auto"/>
          <w:sz w:val="24"/>
          <w:highlight w:val="none"/>
        </w:rPr>
        <w:t>地址：</w:t>
      </w:r>
    </w:p>
    <w:p w14:paraId="4FC219F5">
      <w:pPr>
        <w:spacing w:line="360" w:lineRule="auto"/>
        <w:rPr>
          <w:rFonts w:ascii="宋体" w:hAnsi="宋体"/>
          <w:color w:val="auto"/>
          <w:sz w:val="24"/>
          <w:highlight w:val="none"/>
        </w:rPr>
      </w:pPr>
      <w:r>
        <w:rPr>
          <w:rFonts w:hint="eastAsia" w:ascii="宋体" w:hAnsi="宋体"/>
          <w:color w:val="auto"/>
          <w:sz w:val="24"/>
          <w:highlight w:val="none"/>
        </w:rPr>
        <w:t xml:space="preserve">担保权人/发包人： </w:t>
      </w:r>
    </w:p>
    <w:p w14:paraId="48AF7C2A">
      <w:pPr>
        <w:spacing w:line="360" w:lineRule="auto"/>
        <w:rPr>
          <w:rFonts w:ascii="宋体" w:hAnsi="宋体"/>
          <w:color w:val="auto"/>
          <w:sz w:val="24"/>
          <w:highlight w:val="none"/>
        </w:rPr>
      </w:pPr>
      <w:r>
        <w:rPr>
          <w:rFonts w:hint="eastAsia" w:ascii="宋体" w:hAnsi="宋体"/>
          <w:color w:val="auto"/>
          <w:sz w:val="24"/>
          <w:highlight w:val="none"/>
        </w:rPr>
        <w:t>地址：</w:t>
      </w:r>
    </w:p>
    <w:p w14:paraId="12D71500">
      <w:pPr>
        <w:spacing w:line="360" w:lineRule="auto"/>
        <w:rPr>
          <w:rFonts w:ascii="宋体" w:hAnsi="宋体"/>
          <w:color w:val="auto"/>
          <w:sz w:val="24"/>
          <w:highlight w:val="none"/>
        </w:rPr>
      </w:pPr>
      <w:r>
        <w:rPr>
          <w:rFonts w:hint="eastAsia" w:ascii="宋体" w:hAnsi="宋体"/>
          <w:color w:val="auto"/>
          <w:sz w:val="24"/>
          <w:highlight w:val="none"/>
        </w:rPr>
        <w:t>保证人：</w:t>
      </w:r>
    </w:p>
    <w:p w14:paraId="51E54718">
      <w:pPr>
        <w:spacing w:line="360" w:lineRule="auto"/>
        <w:rPr>
          <w:rFonts w:ascii="宋体" w:hAnsi="宋体"/>
          <w:color w:val="auto"/>
          <w:sz w:val="24"/>
          <w:highlight w:val="none"/>
        </w:rPr>
      </w:pPr>
      <w:r>
        <w:rPr>
          <w:rFonts w:hint="eastAsia" w:ascii="宋体" w:hAnsi="宋体"/>
          <w:color w:val="auto"/>
          <w:sz w:val="24"/>
          <w:highlight w:val="none"/>
        </w:rPr>
        <w:t>地址：</w:t>
      </w:r>
    </w:p>
    <w:p w14:paraId="37652E8A">
      <w:pPr>
        <w:spacing w:line="360" w:lineRule="auto"/>
        <w:rPr>
          <w:rFonts w:ascii="宋体" w:hAnsi="宋体"/>
          <w:color w:val="auto"/>
          <w:sz w:val="24"/>
          <w:highlight w:val="none"/>
        </w:rPr>
      </w:pPr>
    </w:p>
    <w:p w14:paraId="3B7EF4E7">
      <w:pPr>
        <w:spacing w:line="360" w:lineRule="auto"/>
        <w:rPr>
          <w:rFonts w:ascii="宋体" w:hAnsi="宋体"/>
          <w:color w:val="auto"/>
          <w:sz w:val="24"/>
          <w:highlight w:val="none"/>
        </w:rPr>
      </w:pPr>
      <w:r>
        <w:rPr>
          <w:rFonts w:hint="eastAsia" w:ascii="宋体" w:hAnsi="宋体"/>
          <w:color w:val="auto"/>
          <w:sz w:val="24"/>
          <w:highlight w:val="none"/>
        </w:rPr>
        <w:t xml:space="preserve">（发包人名称）： </w:t>
      </w:r>
    </w:p>
    <w:p w14:paraId="1D6C8C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鉴于（以下简称“发包人”）与（以下简称“承包人”）于年月日就工程（以下简称“本工程”）施工和有关事项协商一致共同签订</w:t>
      </w:r>
      <w:r>
        <w:rPr>
          <w:rFonts w:hint="eastAsia" w:ascii="宋体" w:hAnsi="宋体"/>
          <w:color w:val="auto"/>
          <w:sz w:val="24"/>
          <w:highlight w:val="none"/>
          <w:u w:val="single"/>
        </w:rPr>
        <w:t>《        》</w:t>
      </w:r>
      <w:r>
        <w:rPr>
          <w:rFonts w:hint="eastAsia" w:ascii="宋体" w:hAnsi="宋体"/>
          <w:color w:val="auto"/>
          <w:sz w:val="24"/>
          <w:highlight w:val="none"/>
        </w:rPr>
        <w:t xml:space="preserve">（以下简称“主合同”），我方即保证人基于承包人的请求，同意就承包人履行与贵方签订的主合同项下的义务，向贵方提供如下保证担保（以下简称“本保证担保”）。 </w:t>
      </w:r>
    </w:p>
    <w:p w14:paraId="59F95BC6">
      <w:pPr>
        <w:spacing w:line="360" w:lineRule="auto"/>
        <w:rPr>
          <w:rFonts w:ascii="宋体" w:hAnsi="宋体"/>
          <w:b/>
          <w:bCs/>
          <w:color w:val="auto"/>
          <w:sz w:val="24"/>
          <w:highlight w:val="none"/>
        </w:rPr>
      </w:pPr>
      <w:r>
        <w:rPr>
          <w:rFonts w:hint="eastAsia" w:ascii="宋体" w:hAnsi="宋体"/>
          <w:b/>
          <w:bCs/>
          <w:color w:val="auto"/>
          <w:sz w:val="24"/>
          <w:highlight w:val="none"/>
        </w:rPr>
        <w:t>一、保证担保的范围及保证担保金额</w:t>
      </w:r>
    </w:p>
    <w:p w14:paraId="1A4664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1.保证担保范围：承包人未按照主合同的约定履行义务，应当向贵方承担的违约责任和赔偿因此造成的损失、利息、律师费、诉讼费用等实现债权的费用。</w:t>
      </w:r>
    </w:p>
    <w:p w14:paraId="1B1572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2.保证担保金额最高不超过人民币（大写）元（¥）。 </w:t>
      </w:r>
    </w:p>
    <w:p w14:paraId="27BE27B7">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 xml:space="preserve">二、保证担保的方式及保证期间 </w:t>
      </w:r>
    </w:p>
    <w:p w14:paraId="147DD4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1.保证担保方式：连带责任保证。</w:t>
      </w:r>
    </w:p>
    <w:p w14:paraId="126F1A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2.保证期间：自出具之日起至主合同约定的缺陷责任期后日止，最迟不超过年月日。 </w:t>
      </w:r>
    </w:p>
    <w:p w14:paraId="6197A93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三、承担保证担保责任的形式</w:t>
      </w:r>
    </w:p>
    <w:p w14:paraId="57752F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我方按照贵方的要求以下列方式之一承担保证担保责任： </w:t>
      </w:r>
    </w:p>
    <w:p w14:paraId="771643F2">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1.向承包人资金、设备或者技术援助，使其能继续履行合同义务</w:t>
      </w:r>
      <w:r>
        <w:rPr>
          <w:rFonts w:hint="eastAsia" w:ascii="宋体" w:hAnsi="宋体"/>
          <w:color w:val="auto"/>
          <w:sz w:val="24"/>
          <w:highlight w:val="none"/>
          <w:lang w:eastAsia="zh-CN"/>
        </w:rPr>
        <w:t>；</w:t>
      </w:r>
    </w:p>
    <w:p w14:paraId="097A4069">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2.直接接管该项工程或者委托经贵方同意的其他承包商，继续履行合同义务</w:t>
      </w:r>
      <w:r>
        <w:rPr>
          <w:rFonts w:hint="eastAsia" w:ascii="宋体" w:hAnsi="宋体"/>
          <w:color w:val="auto"/>
          <w:sz w:val="24"/>
          <w:highlight w:val="none"/>
          <w:lang w:eastAsia="zh-CN"/>
        </w:rPr>
        <w:t>；</w:t>
      </w:r>
    </w:p>
    <w:p w14:paraId="2D3133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3.在保证担保金额最高限额内，按照合同约定，向贵方承担违约责任和赔偿因此造成的损失，以及利息和律师费、诉讼费用等实现债权的费用。</w:t>
      </w:r>
    </w:p>
    <w:p w14:paraId="4B5828E2">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 xml:space="preserve">四、代偿的安排 </w:t>
      </w:r>
    </w:p>
    <w:p w14:paraId="4CB4DC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3EC2863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2.贵方以工程质量不符合主合同约定标准为由，向我方提出违约索赔的，还需同时提供符合相应条件要求的工程质量检测部门出具的质量说明材料。</w:t>
      </w:r>
    </w:p>
    <w:p w14:paraId="4F50D9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3.我方收到贵方的书面索赔通知及相应证明材料后，在工作日内进行核定后按照本保函的承诺承担保证责任。</w:t>
      </w:r>
    </w:p>
    <w:p w14:paraId="6C3365A7">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 xml:space="preserve">五、保证担保责任的解除 </w:t>
      </w:r>
    </w:p>
    <w:p w14:paraId="141575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1.保证期间届满贵方未向我方书面主张保证责任的，自保证期间届满次日起，我方解除保证责任。 </w:t>
      </w:r>
    </w:p>
    <w:p w14:paraId="411318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2.我方按照本保证担保向贵方履行了保证担保责任后，自我方向贵方支付的金额达到最高保证担保金额之日起，保证担保责任解除。 </w:t>
      </w:r>
    </w:p>
    <w:p w14:paraId="2392B4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3.按照法律法规的规定应解除我方保证担保责任的其它情形的，我方在本保证担保项下的保证担保责任亦解除。 </w:t>
      </w:r>
    </w:p>
    <w:p w14:paraId="108722E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5022F4EE">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 xml:space="preserve">六、免责条款 </w:t>
      </w:r>
    </w:p>
    <w:p w14:paraId="14CDC0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1.因贵方原因致使承包人未按照主合同约定履行义务的，我方不承担保证担保责任。 </w:t>
      </w:r>
    </w:p>
    <w:p w14:paraId="5EEBE4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2.依照法律规定或贵方与发包人的另行约定，免除承包人部分或全部义务的，我方亦免除其相应的保证担保责任。 </w:t>
      </w:r>
    </w:p>
    <w:p w14:paraId="50F7A2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3.因不可抗力造成承包人未按照主合同约定履行义务的，我方不承担保证担保责任。</w:t>
      </w:r>
    </w:p>
    <w:p w14:paraId="60424563">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七、其他</w:t>
      </w:r>
    </w:p>
    <w:p w14:paraId="4D20CB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1.本保证担保项下的权利不得转让，不得设定担保。贵方未经我方书面同意转让本保证担保或其项下任何权利，对我方不发生法律效力。 </w:t>
      </w:r>
    </w:p>
    <w:p w14:paraId="6DCAF5D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2.本保证担保适用的法律为中华人民共和国法律，争议裁判管辖地为中华人民共和国。 </w:t>
      </w:r>
    </w:p>
    <w:p w14:paraId="1330DA9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3.本保证担保自我方法定代表人或授权代表签字并加盖公章之日起生效。 </w:t>
      </w:r>
    </w:p>
    <w:p w14:paraId="211DA93D">
      <w:pPr>
        <w:spacing w:line="360" w:lineRule="auto"/>
        <w:ind w:firstLine="480" w:firstLineChars="200"/>
        <w:rPr>
          <w:rFonts w:ascii="宋体" w:hAnsi="宋体"/>
          <w:color w:val="auto"/>
          <w:sz w:val="24"/>
          <w:highlight w:val="none"/>
        </w:rPr>
      </w:pPr>
    </w:p>
    <w:p w14:paraId="3F9871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保 证 人：                              （公章） </w:t>
      </w:r>
    </w:p>
    <w:p w14:paraId="716E40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法定代表人（或授权代表）：               （签字） </w:t>
      </w:r>
    </w:p>
    <w:p w14:paraId="18FB78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    址：                                       </w:t>
      </w:r>
    </w:p>
    <w:p w14:paraId="3FB7C4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邮政编码：                 </w:t>
      </w:r>
    </w:p>
    <w:p w14:paraId="1CB3BC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电    话：                 </w:t>
      </w:r>
    </w:p>
    <w:p w14:paraId="415B2B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传    真：                 </w:t>
      </w:r>
    </w:p>
    <w:p w14:paraId="21146AC4">
      <w:pPr>
        <w:widowControl/>
        <w:spacing w:line="360" w:lineRule="auto"/>
        <w:ind w:firstLine="480" w:firstLineChars="200"/>
        <w:jc w:val="center"/>
        <w:rPr>
          <w:rFonts w:ascii="宋体" w:hAnsi="宋体" w:cs="宋体"/>
          <w:color w:val="auto"/>
          <w:sz w:val="24"/>
          <w:highlight w:val="none"/>
        </w:rPr>
      </w:pPr>
      <w:r>
        <w:rPr>
          <w:rFonts w:hint="eastAsia" w:ascii="宋体" w:hAnsi="宋体"/>
          <w:color w:val="auto"/>
          <w:sz w:val="24"/>
          <w:highlight w:val="none"/>
        </w:rPr>
        <w:t>时    间：      年      月        日</w:t>
      </w:r>
    </w:p>
    <w:p w14:paraId="393937B5">
      <w:pPr>
        <w:spacing w:line="360" w:lineRule="auto"/>
        <w:ind w:left="2940" w:leftChars="1400"/>
        <w:rPr>
          <w:rFonts w:ascii="宋体" w:hAnsi="宋体" w:cs="宋体"/>
          <w:color w:val="auto"/>
          <w:sz w:val="24"/>
          <w:highlight w:val="none"/>
        </w:rPr>
      </w:pPr>
    </w:p>
    <w:p w14:paraId="4221DCC5">
      <w:pPr>
        <w:rPr>
          <w:color w:val="auto"/>
          <w:highlight w:val="none"/>
        </w:rPr>
      </w:pPr>
    </w:p>
    <w:p w14:paraId="1A1AC223">
      <w:pPr>
        <w:rPr>
          <w:color w:val="auto"/>
          <w:highlight w:val="none"/>
        </w:rPr>
      </w:pPr>
    </w:p>
    <w:p w14:paraId="12D64825">
      <w:pPr>
        <w:rPr>
          <w:color w:val="auto"/>
          <w:highlight w:val="none"/>
        </w:rPr>
      </w:pPr>
    </w:p>
    <w:p w14:paraId="5D857EDF">
      <w:pPr>
        <w:rPr>
          <w:color w:val="auto"/>
          <w:highlight w:val="none"/>
        </w:rPr>
      </w:pPr>
    </w:p>
    <w:p w14:paraId="33114ABC">
      <w:pPr>
        <w:rPr>
          <w:color w:val="auto"/>
          <w:highlight w:val="none"/>
        </w:rPr>
      </w:pPr>
    </w:p>
    <w:p w14:paraId="5CFEF111">
      <w:pPr>
        <w:rPr>
          <w:color w:val="auto"/>
          <w:highlight w:val="none"/>
        </w:rPr>
      </w:pPr>
    </w:p>
    <w:p w14:paraId="74E98436">
      <w:pPr>
        <w:rPr>
          <w:color w:val="auto"/>
          <w:highlight w:val="none"/>
        </w:rPr>
      </w:pPr>
    </w:p>
    <w:p w14:paraId="3614E117">
      <w:pPr>
        <w:rPr>
          <w:color w:val="auto"/>
          <w:highlight w:val="none"/>
        </w:rPr>
      </w:pPr>
    </w:p>
    <w:p w14:paraId="7EA2697C">
      <w:pPr>
        <w:rPr>
          <w:color w:val="auto"/>
          <w:highlight w:val="none"/>
        </w:rPr>
      </w:pPr>
    </w:p>
    <w:p w14:paraId="7E9A2BCC">
      <w:pPr>
        <w:rPr>
          <w:color w:val="auto"/>
          <w:highlight w:val="none"/>
        </w:rPr>
      </w:pPr>
    </w:p>
    <w:p w14:paraId="1B8CC914">
      <w:pPr>
        <w:rPr>
          <w:color w:val="auto"/>
          <w:highlight w:val="none"/>
        </w:rPr>
      </w:pPr>
    </w:p>
    <w:p w14:paraId="10AD82C1">
      <w:pPr>
        <w:rPr>
          <w:color w:val="auto"/>
          <w:highlight w:val="none"/>
        </w:rPr>
      </w:pPr>
    </w:p>
    <w:p w14:paraId="4BCCC233">
      <w:pPr>
        <w:rPr>
          <w:color w:val="auto"/>
          <w:highlight w:val="none"/>
        </w:rPr>
      </w:pPr>
    </w:p>
    <w:p w14:paraId="2A02ACEC">
      <w:pPr>
        <w:rPr>
          <w:color w:val="auto"/>
          <w:highlight w:val="none"/>
        </w:rPr>
      </w:pPr>
    </w:p>
    <w:p w14:paraId="28E7982D">
      <w:pPr>
        <w:rPr>
          <w:color w:val="auto"/>
          <w:highlight w:val="none"/>
        </w:rPr>
      </w:pPr>
    </w:p>
    <w:p w14:paraId="50DFE31A">
      <w:pPr>
        <w:rPr>
          <w:color w:val="auto"/>
          <w:highlight w:val="none"/>
        </w:rPr>
      </w:pPr>
    </w:p>
    <w:p w14:paraId="68EFADFA">
      <w:pPr>
        <w:rPr>
          <w:color w:val="auto"/>
          <w:highlight w:val="none"/>
        </w:rPr>
      </w:pPr>
    </w:p>
    <w:p w14:paraId="55EB0B51">
      <w:pPr>
        <w:rPr>
          <w:color w:val="auto"/>
          <w:highlight w:val="none"/>
        </w:rPr>
      </w:pPr>
    </w:p>
    <w:p w14:paraId="4194344D">
      <w:pPr>
        <w:rPr>
          <w:color w:val="auto"/>
          <w:highlight w:val="none"/>
        </w:rPr>
      </w:pPr>
    </w:p>
    <w:p w14:paraId="11BA4EDB">
      <w:pPr>
        <w:rPr>
          <w:color w:val="auto"/>
          <w:highlight w:val="none"/>
        </w:rPr>
      </w:pPr>
    </w:p>
    <w:p w14:paraId="4C1A3407">
      <w:pPr>
        <w:rPr>
          <w:color w:val="auto"/>
          <w:highlight w:val="none"/>
        </w:rPr>
      </w:pPr>
    </w:p>
    <w:p w14:paraId="410B1683">
      <w:pPr>
        <w:rPr>
          <w:color w:val="auto"/>
          <w:highlight w:val="none"/>
        </w:rPr>
      </w:pPr>
    </w:p>
    <w:p w14:paraId="79B742F6">
      <w:pPr>
        <w:rPr>
          <w:color w:val="auto"/>
          <w:highlight w:val="none"/>
        </w:rPr>
      </w:pPr>
    </w:p>
    <w:p w14:paraId="0617879E">
      <w:pPr>
        <w:rPr>
          <w:color w:val="auto"/>
          <w:highlight w:val="none"/>
        </w:rPr>
      </w:pPr>
    </w:p>
    <w:sectPr>
      <w:footerReference r:id="rId9" w:type="first"/>
      <w:headerReference r:id="rId7" w:type="defaul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B0D1">
    <w:pPr>
      <w:pStyle w:val="30"/>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34CB41">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1734CB4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E63F595">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5F65">
    <w:pPr>
      <w:pStyle w:val="3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6AA1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2CB6AA1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49A8">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C697B3">
                          <w:pPr>
                            <w:pStyle w:val="30"/>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41C697B3">
                    <w:pPr>
                      <w:pStyle w:val="30"/>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10324C8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27D3">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582AFD">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31582AF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B6D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38E6">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F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592E"/>
    <w:multiLevelType w:val="singleLevel"/>
    <w:tmpl w:val="DFFF592E"/>
    <w:lvl w:ilvl="0" w:tentative="0">
      <w:start w:val="1"/>
      <w:numFmt w:val="decimal"/>
      <w:suff w:val="nothing"/>
      <w:lvlText w:val="%1）"/>
      <w:lvlJc w:val="left"/>
    </w:lvl>
  </w:abstractNum>
  <w:abstractNum w:abstractNumId="1">
    <w:nsid w:val="307BBD02"/>
    <w:multiLevelType w:val="singleLevel"/>
    <w:tmpl w:val="307BBD02"/>
    <w:lvl w:ilvl="0" w:tentative="0">
      <w:start w:val="4"/>
      <w:numFmt w:val="decimal"/>
      <w:suff w:val="nothing"/>
      <w:lvlText w:val="（%1）"/>
      <w:lvlJc w:val="left"/>
    </w:lvl>
  </w:abstractNum>
  <w:abstractNum w:abstractNumId="2">
    <w:nsid w:val="3B1B6F0F"/>
    <w:multiLevelType w:val="singleLevel"/>
    <w:tmpl w:val="3B1B6F0F"/>
    <w:lvl w:ilvl="0" w:tentative="0">
      <w:start w:val="1"/>
      <w:numFmt w:val="decimal"/>
      <w:lvlText w:val="%1."/>
      <w:lvlJc w:val="left"/>
      <w:pPr>
        <w:tabs>
          <w:tab w:val="left" w:pos="312"/>
        </w:tabs>
      </w:pPr>
    </w:lvl>
  </w:abstractNum>
  <w:abstractNum w:abstractNumId="3">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5111"/>
    <w:rsid w:val="00015B63"/>
    <w:rsid w:val="0001657F"/>
    <w:rsid w:val="00016ABC"/>
    <w:rsid w:val="000177DB"/>
    <w:rsid w:val="000179C9"/>
    <w:rsid w:val="00017CCC"/>
    <w:rsid w:val="00020227"/>
    <w:rsid w:val="00020263"/>
    <w:rsid w:val="00020455"/>
    <w:rsid w:val="00020813"/>
    <w:rsid w:val="00020E11"/>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1DD0"/>
    <w:rsid w:val="00032633"/>
    <w:rsid w:val="000326A2"/>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57F"/>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88D"/>
    <w:rsid w:val="000929EF"/>
    <w:rsid w:val="00092C26"/>
    <w:rsid w:val="000933BE"/>
    <w:rsid w:val="00094428"/>
    <w:rsid w:val="000944FC"/>
    <w:rsid w:val="0009560F"/>
    <w:rsid w:val="0009588E"/>
    <w:rsid w:val="000959EE"/>
    <w:rsid w:val="00096C2E"/>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15BE"/>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25AA"/>
    <w:rsid w:val="00152A87"/>
    <w:rsid w:val="00152AC1"/>
    <w:rsid w:val="00153A84"/>
    <w:rsid w:val="00153BB5"/>
    <w:rsid w:val="00154518"/>
    <w:rsid w:val="00154D26"/>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6F35"/>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308A"/>
    <w:rsid w:val="001E38EC"/>
    <w:rsid w:val="001E3B63"/>
    <w:rsid w:val="001E57B2"/>
    <w:rsid w:val="001E5A94"/>
    <w:rsid w:val="001E5CBB"/>
    <w:rsid w:val="001E5CDC"/>
    <w:rsid w:val="001E6CE9"/>
    <w:rsid w:val="001E7416"/>
    <w:rsid w:val="001F13FD"/>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4DB"/>
    <w:rsid w:val="0020150B"/>
    <w:rsid w:val="00201E12"/>
    <w:rsid w:val="00202295"/>
    <w:rsid w:val="00202977"/>
    <w:rsid w:val="002033B5"/>
    <w:rsid w:val="0020382C"/>
    <w:rsid w:val="002042E9"/>
    <w:rsid w:val="0020437A"/>
    <w:rsid w:val="0020454C"/>
    <w:rsid w:val="00204740"/>
    <w:rsid w:val="00205129"/>
    <w:rsid w:val="0020521F"/>
    <w:rsid w:val="0020532C"/>
    <w:rsid w:val="00206AE8"/>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34A"/>
    <w:rsid w:val="0022755B"/>
    <w:rsid w:val="00227C56"/>
    <w:rsid w:val="00227F2D"/>
    <w:rsid w:val="00227F52"/>
    <w:rsid w:val="00231851"/>
    <w:rsid w:val="002319FB"/>
    <w:rsid w:val="00231B89"/>
    <w:rsid w:val="00231F11"/>
    <w:rsid w:val="00231F5E"/>
    <w:rsid w:val="00233395"/>
    <w:rsid w:val="002346B4"/>
    <w:rsid w:val="00234F6E"/>
    <w:rsid w:val="002351FA"/>
    <w:rsid w:val="002355BE"/>
    <w:rsid w:val="002358EA"/>
    <w:rsid w:val="0023609B"/>
    <w:rsid w:val="00236578"/>
    <w:rsid w:val="00236A10"/>
    <w:rsid w:val="00236DE9"/>
    <w:rsid w:val="00237342"/>
    <w:rsid w:val="002373D4"/>
    <w:rsid w:val="00237D5A"/>
    <w:rsid w:val="00237E0F"/>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D3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A28"/>
    <w:rsid w:val="00286FB5"/>
    <w:rsid w:val="00287763"/>
    <w:rsid w:val="00290606"/>
    <w:rsid w:val="002908D0"/>
    <w:rsid w:val="002909B2"/>
    <w:rsid w:val="00291D6D"/>
    <w:rsid w:val="00291FF1"/>
    <w:rsid w:val="00292AA2"/>
    <w:rsid w:val="00293361"/>
    <w:rsid w:val="00293B4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03E"/>
    <w:rsid w:val="002A23B7"/>
    <w:rsid w:val="002A3950"/>
    <w:rsid w:val="002A3A57"/>
    <w:rsid w:val="002A4320"/>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FD0"/>
    <w:rsid w:val="002F16DD"/>
    <w:rsid w:val="002F199D"/>
    <w:rsid w:val="002F213C"/>
    <w:rsid w:val="002F2453"/>
    <w:rsid w:val="002F2607"/>
    <w:rsid w:val="002F30BD"/>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23E"/>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42D"/>
    <w:rsid w:val="0033364C"/>
    <w:rsid w:val="00334415"/>
    <w:rsid w:val="0033469E"/>
    <w:rsid w:val="0033481F"/>
    <w:rsid w:val="00335EA1"/>
    <w:rsid w:val="0033691E"/>
    <w:rsid w:val="00336A6A"/>
    <w:rsid w:val="00336CCB"/>
    <w:rsid w:val="003411D1"/>
    <w:rsid w:val="003416BA"/>
    <w:rsid w:val="00342148"/>
    <w:rsid w:val="00342658"/>
    <w:rsid w:val="003427BE"/>
    <w:rsid w:val="003429F5"/>
    <w:rsid w:val="00342F99"/>
    <w:rsid w:val="00343AEA"/>
    <w:rsid w:val="00344D99"/>
    <w:rsid w:val="0034575A"/>
    <w:rsid w:val="00345F1D"/>
    <w:rsid w:val="00345F57"/>
    <w:rsid w:val="0034698A"/>
    <w:rsid w:val="00350458"/>
    <w:rsid w:val="00350E6C"/>
    <w:rsid w:val="0035153C"/>
    <w:rsid w:val="003518A6"/>
    <w:rsid w:val="00351E7F"/>
    <w:rsid w:val="00352953"/>
    <w:rsid w:val="00353D91"/>
    <w:rsid w:val="00354062"/>
    <w:rsid w:val="0035459E"/>
    <w:rsid w:val="00354AE9"/>
    <w:rsid w:val="00355527"/>
    <w:rsid w:val="00355C0D"/>
    <w:rsid w:val="003560A6"/>
    <w:rsid w:val="0035657D"/>
    <w:rsid w:val="003566A9"/>
    <w:rsid w:val="00356988"/>
    <w:rsid w:val="003569D3"/>
    <w:rsid w:val="00356CE9"/>
    <w:rsid w:val="00356D82"/>
    <w:rsid w:val="003570BB"/>
    <w:rsid w:val="00357128"/>
    <w:rsid w:val="0035755E"/>
    <w:rsid w:val="00357A80"/>
    <w:rsid w:val="00360116"/>
    <w:rsid w:val="00361441"/>
    <w:rsid w:val="00361B8B"/>
    <w:rsid w:val="00363F39"/>
    <w:rsid w:val="003640FC"/>
    <w:rsid w:val="0036445C"/>
    <w:rsid w:val="00364627"/>
    <w:rsid w:val="00364AB0"/>
    <w:rsid w:val="00364D71"/>
    <w:rsid w:val="0036601A"/>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5101"/>
    <w:rsid w:val="003A51BE"/>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68A3"/>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511"/>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B57"/>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4AB7"/>
    <w:rsid w:val="00465DE5"/>
    <w:rsid w:val="00466103"/>
    <w:rsid w:val="00467A83"/>
    <w:rsid w:val="00467EF8"/>
    <w:rsid w:val="00470006"/>
    <w:rsid w:val="00470611"/>
    <w:rsid w:val="00470848"/>
    <w:rsid w:val="00471AC3"/>
    <w:rsid w:val="00472429"/>
    <w:rsid w:val="0047253E"/>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15FA"/>
    <w:rsid w:val="00491FA1"/>
    <w:rsid w:val="00492A25"/>
    <w:rsid w:val="004938A3"/>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093"/>
    <w:rsid w:val="004C3940"/>
    <w:rsid w:val="004C51FD"/>
    <w:rsid w:val="004C5ED7"/>
    <w:rsid w:val="004C65A8"/>
    <w:rsid w:val="004C6689"/>
    <w:rsid w:val="004C6BF3"/>
    <w:rsid w:val="004C7408"/>
    <w:rsid w:val="004C7850"/>
    <w:rsid w:val="004D107E"/>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6D3"/>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38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C43"/>
    <w:rsid w:val="00554F78"/>
    <w:rsid w:val="00555C46"/>
    <w:rsid w:val="00555DA1"/>
    <w:rsid w:val="005562FB"/>
    <w:rsid w:val="00556731"/>
    <w:rsid w:val="00556BF7"/>
    <w:rsid w:val="00556E53"/>
    <w:rsid w:val="00557F60"/>
    <w:rsid w:val="00560D81"/>
    <w:rsid w:val="00561730"/>
    <w:rsid w:val="00561B97"/>
    <w:rsid w:val="00562149"/>
    <w:rsid w:val="0056248C"/>
    <w:rsid w:val="0056362D"/>
    <w:rsid w:val="005640EB"/>
    <w:rsid w:val="00565559"/>
    <w:rsid w:val="005666A4"/>
    <w:rsid w:val="00567B5D"/>
    <w:rsid w:val="00570593"/>
    <w:rsid w:val="00570757"/>
    <w:rsid w:val="0057257D"/>
    <w:rsid w:val="00573293"/>
    <w:rsid w:val="00573733"/>
    <w:rsid w:val="00573E08"/>
    <w:rsid w:val="00573F8B"/>
    <w:rsid w:val="005743E0"/>
    <w:rsid w:val="00574554"/>
    <w:rsid w:val="00574862"/>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E"/>
    <w:rsid w:val="00595D90"/>
    <w:rsid w:val="00596A6F"/>
    <w:rsid w:val="00596D11"/>
    <w:rsid w:val="00596FCE"/>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66"/>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C77D5"/>
    <w:rsid w:val="005D02E3"/>
    <w:rsid w:val="005D1F34"/>
    <w:rsid w:val="005D2C1F"/>
    <w:rsid w:val="005D34B2"/>
    <w:rsid w:val="005D3587"/>
    <w:rsid w:val="005D3B54"/>
    <w:rsid w:val="005D3E28"/>
    <w:rsid w:val="005D40CD"/>
    <w:rsid w:val="005D4C6F"/>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2"/>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5E8A"/>
    <w:rsid w:val="006364D7"/>
    <w:rsid w:val="00636554"/>
    <w:rsid w:val="006365AE"/>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AE0"/>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126"/>
    <w:rsid w:val="006F3231"/>
    <w:rsid w:val="006F3BEF"/>
    <w:rsid w:val="006F3DE3"/>
    <w:rsid w:val="006F4787"/>
    <w:rsid w:val="006F57E6"/>
    <w:rsid w:val="006F61D8"/>
    <w:rsid w:val="006F62B7"/>
    <w:rsid w:val="006F63E7"/>
    <w:rsid w:val="006F70BC"/>
    <w:rsid w:val="006F726C"/>
    <w:rsid w:val="006F7A22"/>
    <w:rsid w:val="006F7E7C"/>
    <w:rsid w:val="00700FF4"/>
    <w:rsid w:val="0070174E"/>
    <w:rsid w:val="007018DB"/>
    <w:rsid w:val="00701DE6"/>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E35"/>
    <w:rsid w:val="007230F8"/>
    <w:rsid w:val="007233F4"/>
    <w:rsid w:val="007235E3"/>
    <w:rsid w:val="0072381D"/>
    <w:rsid w:val="00723A10"/>
    <w:rsid w:val="00724044"/>
    <w:rsid w:val="00724120"/>
    <w:rsid w:val="007243F2"/>
    <w:rsid w:val="007248D3"/>
    <w:rsid w:val="00724DF8"/>
    <w:rsid w:val="00725137"/>
    <w:rsid w:val="00725378"/>
    <w:rsid w:val="00725C31"/>
    <w:rsid w:val="00727408"/>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87"/>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6FA"/>
    <w:rsid w:val="007648AD"/>
    <w:rsid w:val="0076504E"/>
    <w:rsid w:val="0076721D"/>
    <w:rsid w:val="0076767E"/>
    <w:rsid w:val="00767BFD"/>
    <w:rsid w:val="00767EA0"/>
    <w:rsid w:val="0077068F"/>
    <w:rsid w:val="00771EDF"/>
    <w:rsid w:val="00772530"/>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57E7"/>
    <w:rsid w:val="00796C05"/>
    <w:rsid w:val="00796F65"/>
    <w:rsid w:val="007A11C2"/>
    <w:rsid w:val="007A1781"/>
    <w:rsid w:val="007A18BB"/>
    <w:rsid w:val="007A2489"/>
    <w:rsid w:val="007A27DD"/>
    <w:rsid w:val="007A41BF"/>
    <w:rsid w:val="007A490A"/>
    <w:rsid w:val="007A5820"/>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47DBB"/>
    <w:rsid w:val="00850272"/>
    <w:rsid w:val="008506B9"/>
    <w:rsid w:val="0085086F"/>
    <w:rsid w:val="00850B42"/>
    <w:rsid w:val="00851822"/>
    <w:rsid w:val="00851C16"/>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59A"/>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5ECC"/>
    <w:rsid w:val="00876EAE"/>
    <w:rsid w:val="00877305"/>
    <w:rsid w:val="00877983"/>
    <w:rsid w:val="00880106"/>
    <w:rsid w:val="00880F95"/>
    <w:rsid w:val="00881EC0"/>
    <w:rsid w:val="00881EE2"/>
    <w:rsid w:val="00882910"/>
    <w:rsid w:val="00882B44"/>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623"/>
    <w:rsid w:val="00902A67"/>
    <w:rsid w:val="00902C5E"/>
    <w:rsid w:val="0090303D"/>
    <w:rsid w:val="00904BE4"/>
    <w:rsid w:val="0090504A"/>
    <w:rsid w:val="009051F5"/>
    <w:rsid w:val="00905221"/>
    <w:rsid w:val="0090530B"/>
    <w:rsid w:val="00905664"/>
    <w:rsid w:val="00905A7C"/>
    <w:rsid w:val="00905D7E"/>
    <w:rsid w:val="00907037"/>
    <w:rsid w:val="00907259"/>
    <w:rsid w:val="00907929"/>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A4"/>
    <w:rsid w:val="00921792"/>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24C9"/>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6D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CBC"/>
    <w:rsid w:val="00A75EF9"/>
    <w:rsid w:val="00A7642C"/>
    <w:rsid w:val="00A7657C"/>
    <w:rsid w:val="00A76B5E"/>
    <w:rsid w:val="00A76E4E"/>
    <w:rsid w:val="00A80A5D"/>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C06"/>
    <w:rsid w:val="00AB3147"/>
    <w:rsid w:val="00AB38CB"/>
    <w:rsid w:val="00AB3BEC"/>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69F0"/>
    <w:rsid w:val="00AD7127"/>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9C1"/>
    <w:rsid w:val="00AE4A3E"/>
    <w:rsid w:val="00AE4CCE"/>
    <w:rsid w:val="00AE5C6A"/>
    <w:rsid w:val="00AE7058"/>
    <w:rsid w:val="00AE7280"/>
    <w:rsid w:val="00AE7B5F"/>
    <w:rsid w:val="00AF01FA"/>
    <w:rsid w:val="00AF033A"/>
    <w:rsid w:val="00AF0516"/>
    <w:rsid w:val="00AF118E"/>
    <w:rsid w:val="00AF1658"/>
    <w:rsid w:val="00AF1699"/>
    <w:rsid w:val="00AF18D1"/>
    <w:rsid w:val="00AF1BA4"/>
    <w:rsid w:val="00AF1FD3"/>
    <w:rsid w:val="00AF2775"/>
    <w:rsid w:val="00AF2910"/>
    <w:rsid w:val="00AF34B8"/>
    <w:rsid w:val="00AF3896"/>
    <w:rsid w:val="00AF39C9"/>
    <w:rsid w:val="00AF3F97"/>
    <w:rsid w:val="00AF3FC2"/>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02D6"/>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5646"/>
    <w:rsid w:val="00B662FF"/>
    <w:rsid w:val="00B665B8"/>
    <w:rsid w:val="00B665F6"/>
    <w:rsid w:val="00B66679"/>
    <w:rsid w:val="00B70145"/>
    <w:rsid w:val="00B701C9"/>
    <w:rsid w:val="00B710AD"/>
    <w:rsid w:val="00B71288"/>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B9C"/>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0BC1"/>
    <w:rsid w:val="00B91146"/>
    <w:rsid w:val="00B913E4"/>
    <w:rsid w:val="00B91DB9"/>
    <w:rsid w:val="00B91FF3"/>
    <w:rsid w:val="00B925F8"/>
    <w:rsid w:val="00B9330A"/>
    <w:rsid w:val="00B93EFE"/>
    <w:rsid w:val="00B944B9"/>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554E"/>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2FF7"/>
    <w:rsid w:val="00C74035"/>
    <w:rsid w:val="00C748EA"/>
    <w:rsid w:val="00C76FB0"/>
    <w:rsid w:val="00C77818"/>
    <w:rsid w:val="00C8063F"/>
    <w:rsid w:val="00C81282"/>
    <w:rsid w:val="00C8155F"/>
    <w:rsid w:val="00C8198D"/>
    <w:rsid w:val="00C82167"/>
    <w:rsid w:val="00C827B4"/>
    <w:rsid w:val="00C831FE"/>
    <w:rsid w:val="00C83214"/>
    <w:rsid w:val="00C8329F"/>
    <w:rsid w:val="00C84E65"/>
    <w:rsid w:val="00C84F8A"/>
    <w:rsid w:val="00C85BA4"/>
    <w:rsid w:val="00C8618F"/>
    <w:rsid w:val="00C8625D"/>
    <w:rsid w:val="00C865AD"/>
    <w:rsid w:val="00C86612"/>
    <w:rsid w:val="00C87402"/>
    <w:rsid w:val="00C90372"/>
    <w:rsid w:val="00C9041F"/>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81A"/>
    <w:rsid w:val="00CE7B08"/>
    <w:rsid w:val="00CE7B7A"/>
    <w:rsid w:val="00CE7D52"/>
    <w:rsid w:val="00CF0AAA"/>
    <w:rsid w:val="00CF0AB7"/>
    <w:rsid w:val="00CF1D74"/>
    <w:rsid w:val="00CF26A3"/>
    <w:rsid w:val="00CF2BE2"/>
    <w:rsid w:val="00CF371A"/>
    <w:rsid w:val="00CF3791"/>
    <w:rsid w:val="00CF37C2"/>
    <w:rsid w:val="00CF3DE4"/>
    <w:rsid w:val="00CF3DEB"/>
    <w:rsid w:val="00CF55F9"/>
    <w:rsid w:val="00CF578D"/>
    <w:rsid w:val="00CF7074"/>
    <w:rsid w:val="00CF7495"/>
    <w:rsid w:val="00CF76D6"/>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08F"/>
    <w:rsid w:val="00D2015B"/>
    <w:rsid w:val="00D207E7"/>
    <w:rsid w:val="00D20B44"/>
    <w:rsid w:val="00D21168"/>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191"/>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4C"/>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B0C"/>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7A3C"/>
    <w:rsid w:val="00DB145E"/>
    <w:rsid w:val="00DB1A94"/>
    <w:rsid w:val="00DB1BE8"/>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22F5"/>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B9A"/>
    <w:rsid w:val="00E01C9C"/>
    <w:rsid w:val="00E01FF4"/>
    <w:rsid w:val="00E0219D"/>
    <w:rsid w:val="00E032D9"/>
    <w:rsid w:val="00E04482"/>
    <w:rsid w:val="00E04C0F"/>
    <w:rsid w:val="00E05510"/>
    <w:rsid w:val="00E0570B"/>
    <w:rsid w:val="00E05B1D"/>
    <w:rsid w:val="00E05B91"/>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2F39"/>
    <w:rsid w:val="00E24071"/>
    <w:rsid w:val="00E24142"/>
    <w:rsid w:val="00E24DCA"/>
    <w:rsid w:val="00E24EBC"/>
    <w:rsid w:val="00E2522C"/>
    <w:rsid w:val="00E2552F"/>
    <w:rsid w:val="00E2599B"/>
    <w:rsid w:val="00E2710C"/>
    <w:rsid w:val="00E272BD"/>
    <w:rsid w:val="00E27428"/>
    <w:rsid w:val="00E27E58"/>
    <w:rsid w:val="00E305B4"/>
    <w:rsid w:val="00E314CB"/>
    <w:rsid w:val="00E31AFA"/>
    <w:rsid w:val="00E31CB7"/>
    <w:rsid w:val="00E324EE"/>
    <w:rsid w:val="00E3367B"/>
    <w:rsid w:val="00E34DB1"/>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6F5F"/>
    <w:rsid w:val="00E67BFA"/>
    <w:rsid w:val="00E7004F"/>
    <w:rsid w:val="00E70615"/>
    <w:rsid w:val="00E7159E"/>
    <w:rsid w:val="00E7161E"/>
    <w:rsid w:val="00E71AAB"/>
    <w:rsid w:val="00E71BE3"/>
    <w:rsid w:val="00E72004"/>
    <w:rsid w:val="00E7207B"/>
    <w:rsid w:val="00E722CF"/>
    <w:rsid w:val="00E72880"/>
    <w:rsid w:val="00E7347A"/>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900DA"/>
    <w:rsid w:val="00E90496"/>
    <w:rsid w:val="00E91044"/>
    <w:rsid w:val="00E910D3"/>
    <w:rsid w:val="00E91CBA"/>
    <w:rsid w:val="00E92097"/>
    <w:rsid w:val="00E92154"/>
    <w:rsid w:val="00E923CF"/>
    <w:rsid w:val="00E93685"/>
    <w:rsid w:val="00E93B65"/>
    <w:rsid w:val="00E93C8C"/>
    <w:rsid w:val="00E95111"/>
    <w:rsid w:val="00E95FDF"/>
    <w:rsid w:val="00E960AD"/>
    <w:rsid w:val="00E9677F"/>
    <w:rsid w:val="00E96898"/>
    <w:rsid w:val="00E97043"/>
    <w:rsid w:val="00EA0185"/>
    <w:rsid w:val="00EA05B6"/>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2AF"/>
    <w:rsid w:val="00EB05D0"/>
    <w:rsid w:val="00EB1151"/>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424"/>
    <w:rsid w:val="00ED5F23"/>
    <w:rsid w:val="00ED6DC0"/>
    <w:rsid w:val="00ED7272"/>
    <w:rsid w:val="00ED7A7A"/>
    <w:rsid w:val="00EE0327"/>
    <w:rsid w:val="00EE038C"/>
    <w:rsid w:val="00EE064D"/>
    <w:rsid w:val="00EE105A"/>
    <w:rsid w:val="00EE1D00"/>
    <w:rsid w:val="00EE259E"/>
    <w:rsid w:val="00EE25C8"/>
    <w:rsid w:val="00EE28C5"/>
    <w:rsid w:val="00EE2F09"/>
    <w:rsid w:val="00EE47C5"/>
    <w:rsid w:val="00EE490C"/>
    <w:rsid w:val="00EE4E57"/>
    <w:rsid w:val="00EE5738"/>
    <w:rsid w:val="00EE58BD"/>
    <w:rsid w:val="00EE5DDB"/>
    <w:rsid w:val="00EE5E59"/>
    <w:rsid w:val="00EE5FA9"/>
    <w:rsid w:val="00EE73D0"/>
    <w:rsid w:val="00EE7CB0"/>
    <w:rsid w:val="00EE7CD1"/>
    <w:rsid w:val="00EF08A8"/>
    <w:rsid w:val="00EF167B"/>
    <w:rsid w:val="00EF1C90"/>
    <w:rsid w:val="00EF2496"/>
    <w:rsid w:val="00EF3BFF"/>
    <w:rsid w:val="00EF41A8"/>
    <w:rsid w:val="00EF44FB"/>
    <w:rsid w:val="00EF5122"/>
    <w:rsid w:val="00EF5554"/>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1BD"/>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B43"/>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E96"/>
    <w:rsid w:val="00FA5A92"/>
    <w:rsid w:val="00FA681F"/>
    <w:rsid w:val="00FB0261"/>
    <w:rsid w:val="00FB0CBF"/>
    <w:rsid w:val="00FB18F6"/>
    <w:rsid w:val="00FB2A52"/>
    <w:rsid w:val="00FB3961"/>
    <w:rsid w:val="00FB39E0"/>
    <w:rsid w:val="00FB3F92"/>
    <w:rsid w:val="00FB52C7"/>
    <w:rsid w:val="00FB57DC"/>
    <w:rsid w:val="00FB5915"/>
    <w:rsid w:val="00FB6E19"/>
    <w:rsid w:val="00FB71F6"/>
    <w:rsid w:val="00FB74F1"/>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3EA"/>
    <w:rsid w:val="00FD374D"/>
    <w:rsid w:val="00FD4D2A"/>
    <w:rsid w:val="00FD6071"/>
    <w:rsid w:val="00FD633B"/>
    <w:rsid w:val="00FD66ED"/>
    <w:rsid w:val="00FD6ABA"/>
    <w:rsid w:val="00FE0794"/>
    <w:rsid w:val="00FE1041"/>
    <w:rsid w:val="00FE1614"/>
    <w:rsid w:val="00FE24CB"/>
    <w:rsid w:val="00FE25B1"/>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149"/>
    <w:rsid w:val="00FF78E5"/>
    <w:rsid w:val="012C5FAF"/>
    <w:rsid w:val="01AF3D99"/>
    <w:rsid w:val="02511F9D"/>
    <w:rsid w:val="02BC4D60"/>
    <w:rsid w:val="03A314B8"/>
    <w:rsid w:val="03D82B98"/>
    <w:rsid w:val="03F83E8B"/>
    <w:rsid w:val="04FE20AB"/>
    <w:rsid w:val="05B74B23"/>
    <w:rsid w:val="05C56868"/>
    <w:rsid w:val="07A539BD"/>
    <w:rsid w:val="07B72767"/>
    <w:rsid w:val="08077E72"/>
    <w:rsid w:val="08882DD0"/>
    <w:rsid w:val="091D4D2D"/>
    <w:rsid w:val="09BE158D"/>
    <w:rsid w:val="09CC2AAC"/>
    <w:rsid w:val="0A652D3E"/>
    <w:rsid w:val="0B326F2A"/>
    <w:rsid w:val="0BA7CADB"/>
    <w:rsid w:val="0C1E2888"/>
    <w:rsid w:val="0C6A432F"/>
    <w:rsid w:val="0C92213C"/>
    <w:rsid w:val="0CC2027E"/>
    <w:rsid w:val="0D84032B"/>
    <w:rsid w:val="0F2A74C4"/>
    <w:rsid w:val="10A27F31"/>
    <w:rsid w:val="10F96715"/>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89B1A6C"/>
    <w:rsid w:val="195123C7"/>
    <w:rsid w:val="1AE6663D"/>
    <w:rsid w:val="1AFF0AFE"/>
    <w:rsid w:val="1B4F19F8"/>
    <w:rsid w:val="1BAA4D27"/>
    <w:rsid w:val="1D063C00"/>
    <w:rsid w:val="1ECC44FA"/>
    <w:rsid w:val="1F063325"/>
    <w:rsid w:val="1FBC5DF5"/>
    <w:rsid w:val="1FF90588"/>
    <w:rsid w:val="20547B2C"/>
    <w:rsid w:val="208F07C2"/>
    <w:rsid w:val="20C3623F"/>
    <w:rsid w:val="21781212"/>
    <w:rsid w:val="21B83F86"/>
    <w:rsid w:val="21FC059F"/>
    <w:rsid w:val="221178A8"/>
    <w:rsid w:val="221213CF"/>
    <w:rsid w:val="22327A92"/>
    <w:rsid w:val="231D53A2"/>
    <w:rsid w:val="236D5383"/>
    <w:rsid w:val="23B7504C"/>
    <w:rsid w:val="24571307"/>
    <w:rsid w:val="25110A2A"/>
    <w:rsid w:val="256C0944"/>
    <w:rsid w:val="26446DE3"/>
    <w:rsid w:val="26877DFE"/>
    <w:rsid w:val="269669E7"/>
    <w:rsid w:val="26A270C1"/>
    <w:rsid w:val="26D7699F"/>
    <w:rsid w:val="28C25934"/>
    <w:rsid w:val="29D75F7F"/>
    <w:rsid w:val="2B724B56"/>
    <w:rsid w:val="2B774624"/>
    <w:rsid w:val="2C571C81"/>
    <w:rsid w:val="2C7A72BE"/>
    <w:rsid w:val="2C9A7D75"/>
    <w:rsid w:val="2CC17412"/>
    <w:rsid w:val="2D1C0096"/>
    <w:rsid w:val="2D7C1E99"/>
    <w:rsid w:val="2D962D7E"/>
    <w:rsid w:val="2DEF4571"/>
    <w:rsid w:val="2E9976CE"/>
    <w:rsid w:val="2EF01DEE"/>
    <w:rsid w:val="2EF901D3"/>
    <w:rsid w:val="2F401D3C"/>
    <w:rsid w:val="2F5B24E1"/>
    <w:rsid w:val="2F5D7E64"/>
    <w:rsid w:val="2FA95C88"/>
    <w:rsid w:val="3041370F"/>
    <w:rsid w:val="30B87FED"/>
    <w:rsid w:val="312B50A3"/>
    <w:rsid w:val="31894FD2"/>
    <w:rsid w:val="322C3CB1"/>
    <w:rsid w:val="32453A27"/>
    <w:rsid w:val="3263064A"/>
    <w:rsid w:val="32A43132"/>
    <w:rsid w:val="32AC0C06"/>
    <w:rsid w:val="33344EF5"/>
    <w:rsid w:val="33FFB707"/>
    <w:rsid w:val="3537750C"/>
    <w:rsid w:val="3537798C"/>
    <w:rsid w:val="35C13FC9"/>
    <w:rsid w:val="36372B05"/>
    <w:rsid w:val="364257B6"/>
    <w:rsid w:val="377FC262"/>
    <w:rsid w:val="37EA5922"/>
    <w:rsid w:val="38276B93"/>
    <w:rsid w:val="382E58B8"/>
    <w:rsid w:val="38AC3431"/>
    <w:rsid w:val="392F2E16"/>
    <w:rsid w:val="39D39968"/>
    <w:rsid w:val="39E00529"/>
    <w:rsid w:val="3A0B64A7"/>
    <w:rsid w:val="3A257964"/>
    <w:rsid w:val="3A574DDA"/>
    <w:rsid w:val="3AD3075A"/>
    <w:rsid w:val="3AF74C02"/>
    <w:rsid w:val="3BFAD838"/>
    <w:rsid w:val="3C0059A5"/>
    <w:rsid w:val="3C134E78"/>
    <w:rsid w:val="3C44609B"/>
    <w:rsid w:val="3D332398"/>
    <w:rsid w:val="3D67DC54"/>
    <w:rsid w:val="3DF6345D"/>
    <w:rsid w:val="3E2B5515"/>
    <w:rsid w:val="3E4D4F28"/>
    <w:rsid w:val="3E7A617F"/>
    <w:rsid w:val="3ED92EC4"/>
    <w:rsid w:val="3EE13701"/>
    <w:rsid w:val="3EFFA070"/>
    <w:rsid w:val="3F1A4BB3"/>
    <w:rsid w:val="400D1059"/>
    <w:rsid w:val="40192BA6"/>
    <w:rsid w:val="40DA2086"/>
    <w:rsid w:val="41766EA9"/>
    <w:rsid w:val="42550A18"/>
    <w:rsid w:val="429D496A"/>
    <w:rsid w:val="42F473A1"/>
    <w:rsid w:val="437217EA"/>
    <w:rsid w:val="43925BE2"/>
    <w:rsid w:val="43AB7156"/>
    <w:rsid w:val="441009D8"/>
    <w:rsid w:val="441E62C0"/>
    <w:rsid w:val="44C73960"/>
    <w:rsid w:val="45325D14"/>
    <w:rsid w:val="45811C7C"/>
    <w:rsid w:val="45906116"/>
    <w:rsid w:val="45931B8C"/>
    <w:rsid w:val="45EF2552"/>
    <w:rsid w:val="468B3EFB"/>
    <w:rsid w:val="470A6193"/>
    <w:rsid w:val="47385210"/>
    <w:rsid w:val="475510F8"/>
    <w:rsid w:val="47DC4F5C"/>
    <w:rsid w:val="488322E7"/>
    <w:rsid w:val="48B40671"/>
    <w:rsid w:val="48E01E61"/>
    <w:rsid w:val="48E64DEC"/>
    <w:rsid w:val="499B5738"/>
    <w:rsid w:val="499F244D"/>
    <w:rsid w:val="4A973F3F"/>
    <w:rsid w:val="4AEB2504"/>
    <w:rsid w:val="4AF96BC7"/>
    <w:rsid w:val="4B862A85"/>
    <w:rsid w:val="4BC845F3"/>
    <w:rsid w:val="4CEF36E2"/>
    <w:rsid w:val="4CEF4DC5"/>
    <w:rsid w:val="4DCFB903"/>
    <w:rsid w:val="4E257655"/>
    <w:rsid w:val="4F1E5CCF"/>
    <w:rsid w:val="4F372380"/>
    <w:rsid w:val="4F372FFB"/>
    <w:rsid w:val="4FF6A7A1"/>
    <w:rsid w:val="5025116D"/>
    <w:rsid w:val="51A53411"/>
    <w:rsid w:val="52395ECD"/>
    <w:rsid w:val="524B066C"/>
    <w:rsid w:val="52817D5B"/>
    <w:rsid w:val="52C10D75"/>
    <w:rsid w:val="52F26CA4"/>
    <w:rsid w:val="53C27FF8"/>
    <w:rsid w:val="543F566E"/>
    <w:rsid w:val="546936AC"/>
    <w:rsid w:val="54806794"/>
    <w:rsid w:val="549E1A80"/>
    <w:rsid w:val="54C658F4"/>
    <w:rsid w:val="550C4BD7"/>
    <w:rsid w:val="554C1D56"/>
    <w:rsid w:val="55572986"/>
    <w:rsid w:val="557A2A35"/>
    <w:rsid w:val="565340FA"/>
    <w:rsid w:val="56AD5F59"/>
    <w:rsid w:val="56C60774"/>
    <w:rsid w:val="57341756"/>
    <w:rsid w:val="57AF0AE8"/>
    <w:rsid w:val="57B12A52"/>
    <w:rsid w:val="57EF62EE"/>
    <w:rsid w:val="59E309EE"/>
    <w:rsid w:val="5A2F2CC8"/>
    <w:rsid w:val="5B48305A"/>
    <w:rsid w:val="5B8D079B"/>
    <w:rsid w:val="5C10702D"/>
    <w:rsid w:val="5C152601"/>
    <w:rsid w:val="5C591F03"/>
    <w:rsid w:val="5C8A1B2F"/>
    <w:rsid w:val="5CDE240E"/>
    <w:rsid w:val="5D1A1C92"/>
    <w:rsid w:val="5EB92810"/>
    <w:rsid w:val="5F140499"/>
    <w:rsid w:val="5F561B72"/>
    <w:rsid w:val="5F8A72D7"/>
    <w:rsid w:val="5FAA6092"/>
    <w:rsid w:val="5FB524FA"/>
    <w:rsid w:val="606007BB"/>
    <w:rsid w:val="60AC7F66"/>
    <w:rsid w:val="61BF10D9"/>
    <w:rsid w:val="62AC22DC"/>
    <w:rsid w:val="63A22BFD"/>
    <w:rsid w:val="642B10E5"/>
    <w:rsid w:val="64860269"/>
    <w:rsid w:val="64E45EF7"/>
    <w:rsid w:val="6691014E"/>
    <w:rsid w:val="66C87CCE"/>
    <w:rsid w:val="677435B2"/>
    <w:rsid w:val="67B13EAA"/>
    <w:rsid w:val="67EF75F1"/>
    <w:rsid w:val="680074AC"/>
    <w:rsid w:val="684F4F11"/>
    <w:rsid w:val="69124F16"/>
    <w:rsid w:val="69863E30"/>
    <w:rsid w:val="69CD5C14"/>
    <w:rsid w:val="69CF0D33"/>
    <w:rsid w:val="6A0D3567"/>
    <w:rsid w:val="6A493797"/>
    <w:rsid w:val="6B9946B3"/>
    <w:rsid w:val="6BE518DA"/>
    <w:rsid w:val="6BF07522"/>
    <w:rsid w:val="6C276F3A"/>
    <w:rsid w:val="6C7007C7"/>
    <w:rsid w:val="6D755BF9"/>
    <w:rsid w:val="6DE76850"/>
    <w:rsid w:val="6F2F0361"/>
    <w:rsid w:val="6FB20BD4"/>
    <w:rsid w:val="6FBA59BE"/>
    <w:rsid w:val="6FF92664"/>
    <w:rsid w:val="70296B3E"/>
    <w:rsid w:val="70611204"/>
    <w:rsid w:val="7165620F"/>
    <w:rsid w:val="717039F8"/>
    <w:rsid w:val="71730F45"/>
    <w:rsid w:val="721D4AB2"/>
    <w:rsid w:val="72297D6C"/>
    <w:rsid w:val="73FB30D7"/>
    <w:rsid w:val="74D13AD5"/>
    <w:rsid w:val="74FA2C30"/>
    <w:rsid w:val="75026F65"/>
    <w:rsid w:val="754D5C4B"/>
    <w:rsid w:val="76C240A7"/>
    <w:rsid w:val="76DA416A"/>
    <w:rsid w:val="770B4BAE"/>
    <w:rsid w:val="775246B7"/>
    <w:rsid w:val="77EDFF5E"/>
    <w:rsid w:val="77F5559F"/>
    <w:rsid w:val="781E69D1"/>
    <w:rsid w:val="7901747F"/>
    <w:rsid w:val="79D60454"/>
    <w:rsid w:val="79E6392E"/>
    <w:rsid w:val="7A263B6B"/>
    <w:rsid w:val="7A5D0D05"/>
    <w:rsid w:val="7AF46346"/>
    <w:rsid w:val="7B0F5EBF"/>
    <w:rsid w:val="7B130FB9"/>
    <w:rsid w:val="7B892BA7"/>
    <w:rsid w:val="7BAB6FC2"/>
    <w:rsid w:val="7BD71E38"/>
    <w:rsid w:val="7BE7CA11"/>
    <w:rsid w:val="7BF64EDE"/>
    <w:rsid w:val="7C400C1E"/>
    <w:rsid w:val="7CCE5A9F"/>
    <w:rsid w:val="7D9E4DFA"/>
    <w:rsid w:val="7DD11708"/>
    <w:rsid w:val="7DEE4A4F"/>
    <w:rsid w:val="7E27546D"/>
    <w:rsid w:val="7E6CC026"/>
    <w:rsid w:val="7EAE6230"/>
    <w:rsid w:val="7EBD579E"/>
    <w:rsid w:val="7EC167BD"/>
    <w:rsid w:val="7EC50900"/>
    <w:rsid w:val="7F272D9E"/>
    <w:rsid w:val="7F941220"/>
    <w:rsid w:val="7FB323F0"/>
    <w:rsid w:val="7FDD5EA7"/>
    <w:rsid w:val="7FEFA4DC"/>
    <w:rsid w:val="7FFB979B"/>
    <w:rsid w:val="7FFCA31B"/>
    <w:rsid w:val="7FFF0876"/>
    <w:rsid w:val="8EFD79C1"/>
    <w:rsid w:val="9FB7CA06"/>
    <w:rsid w:val="9FBFFE11"/>
    <w:rsid w:val="9FFAD1AB"/>
    <w:rsid w:val="9FFE1324"/>
    <w:rsid w:val="A5DEFF5F"/>
    <w:rsid w:val="B72E4223"/>
    <w:rsid w:val="B7F76A68"/>
    <w:rsid w:val="BE6AD4EE"/>
    <w:rsid w:val="BFCF1353"/>
    <w:rsid w:val="D7FF002A"/>
    <w:rsid w:val="DB9FBBF2"/>
    <w:rsid w:val="DCDEA9D1"/>
    <w:rsid w:val="DECD774A"/>
    <w:rsid w:val="DFE78CE6"/>
    <w:rsid w:val="DFFEA74D"/>
    <w:rsid w:val="E7FF040B"/>
    <w:rsid w:val="EFFFD02D"/>
    <w:rsid w:val="F4E72BD6"/>
    <w:rsid w:val="F7AFF7D6"/>
    <w:rsid w:val="F7EBCFDB"/>
    <w:rsid w:val="F7FFB488"/>
    <w:rsid w:val="F9FD6FD7"/>
    <w:rsid w:val="FBFF6719"/>
    <w:rsid w:val="FC6F6696"/>
    <w:rsid w:val="FCDECDCD"/>
    <w:rsid w:val="FDD77343"/>
    <w:rsid w:val="FDFBCE36"/>
    <w:rsid w:val="FFCBF484"/>
    <w:rsid w:val="FFEA1F7A"/>
    <w:rsid w:val="FFF2AF88"/>
    <w:rsid w:val="FFFA0C59"/>
    <w:rsid w:val="FFFD4BFE"/>
    <w:rsid w:val="FFFFA95B"/>
    <w:rsid w:val="FFFFE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9"/>
    <w:pPr>
      <w:keepNext/>
      <w:keepLines/>
      <w:spacing w:line="360" w:lineRule="auto"/>
      <w:outlineLvl w:val="3"/>
    </w:pPr>
    <w:rPr>
      <w:rFonts w:ascii="Arial" w:hAnsi="Arial"/>
      <w:b/>
      <w:bCs/>
      <w:sz w:val="28"/>
      <w:szCs w:val="28"/>
    </w:rPr>
  </w:style>
  <w:style w:type="paragraph" w:styleId="6">
    <w:name w:val="heading 5"/>
    <w:basedOn w:val="1"/>
    <w:next w:val="7"/>
    <w:link w:val="58"/>
    <w:qFormat/>
    <w:uiPriority w:val="99"/>
    <w:pPr>
      <w:keepNext/>
      <w:keepLines/>
      <w:spacing w:before="280" w:after="290" w:line="376" w:lineRule="auto"/>
      <w:outlineLvl w:val="4"/>
    </w:pPr>
    <w:rPr>
      <w:b/>
      <w:bCs/>
      <w:sz w:val="28"/>
      <w:szCs w:val="28"/>
    </w:rPr>
  </w:style>
  <w:style w:type="paragraph" w:styleId="8">
    <w:name w:val="heading 6"/>
    <w:basedOn w:val="1"/>
    <w:next w:val="1"/>
    <w:link w:val="60"/>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61"/>
    <w:qFormat/>
    <w:uiPriority w:val="0"/>
    <w:pPr>
      <w:keepNext/>
      <w:keepLines/>
      <w:spacing w:before="240" w:after="64" w:line="317" w:lineRule="auto"/>
      <w:outlineLvl w:val="6"/>
    </w:pPr>
    <w:rPr>
      <w:b/>
      <w:bCs/>
      <w:kern w:val="0"/>
      <w:sz w:val="24"/>
    </w:rPr>
  </w:style>
  <w:style w:type="paragraph" w:styleId="10">
    <w:name w:val="heading 8"/>
    <w:basedOn w:val="1"/>
    <w:next w:val="1"/>
    <w:link w:val="62"/>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63"/>
    <w:qFormat/>
    <w:uiPriority w:val="0"/>
    <w:pPr>
      <w:keepNext/>
      <w:keepLines/>
      <w:spacing w:before="240" w:after="64" w:line="317" w:lineRule="auto"/>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64"/>
    <w:qFormat/>
    <w:uiPriority w:val="0"/>
    <w:pPr>
      <w:shd w:val="clear" w:color="auto" w:fill="000080"/>
    </w:pPr>
    <w:rPr>
      <w:sz w:val="24"/>
      <w:shd w:val="clear" w:color="auto" w:fill="000080"/>
    </w:rPr>
  </w:style>
  <w:style w:type="paragraph" w:styleId="17">
    <w:name w:val="annotation text"/>
    <w:basedOn w:val="1"/>
    <w:link w:val="65"/>
    <w:qFormat/>
    <w:uiPriority w:val="99"/>
    <w:pPr>
      <w:jc w:val="left"/>
    </w:pPr>
  </w:style>
  <w:style w:type="paragraph" w:styleId="18">
    <w:name w:val="Body Text 3"/>
    <w:basedOn w:val="1"/>
    <w:link w:val="66"/>
    <w:unhideWhenUsed/>
    <w:qFormat/>
    <w:uiPriority w:val="99"/>
    <w:pPr>
      <w:spacing w:after="120"/>
    </w:pPr>
    <w:rPr>
      <w:sz w:val="16"/>
      <w:szCs w:val="16"/>
    </w:rPr>
  </w:style>
  <w:style w:type="paragraph" w:styleId="19">
    <w:name w:val="Body Text"/>
    <w:basedOn w:val="1"/>
    <w:link w:val="67"/>
    <w:unhideWhenUsed/>
    <w:qFormat/>
    <w:uiPriority w:val="99"/>
    <w:pPr>
      <w:spacing w:after="120"/>
    </w:pPr>
  </w:style>
  <w:style w:type="paragraph" w:styleId="20">
    <w:name w:val="Body Text Indent"/>
    <w:basedOn w:val="1"/>
    <w:link w:val="68"/>
    <w:qFormat/>
    <w:uiPriority w:val="99"/>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1"/>
    <w:link w:val="69"/>
    <w:qFormat/>
    <w:uiPriority w:val="99"/>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70"/>
    <w:unhideWhenUsed/>
    <w:qFormat/>
    <w:uiPriority w:val="99"/>
    <w:pPr>
      <w:ind w:left="100" w:leftChars="2500"/>
    </w:pPr>
  </w:style>
  <w:style w:type="paragraph" w:styleId="28">
    <w:name w:val="Body Text Indent 2"/>
    <w:basedOn w:val="1"/>
    <w:link w:val="71"/>
    <w:qFormat/>
    <w:uiPriority w:val="99"/>
    <w:pPr>
      <w:spacing w:after="120" w:line="480" w:lineRule="auto"/>
      <w:ind w:left="420" w:leftChars="200"/>
    </w:pPr>
    <w:rPr>
      <w:sz w:val="24"/>
    </w:rPr>
  </w:style>
  <w:style w:type="paragraph" w:styleId="29">
    <w:name w:val="Balloon Text"/>
    <w:basedOn w:val="1"/>
    <w:link w:val="72"/>
    <w:qFormat/>
    <w:uiPriority w:val="0"/>
    <w:rPr>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75"/>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76"/>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unhideWhenUsed/>
    <w:qFormat/>
    <w:uiPriority w:val="0"/>
    <w:rPr>
      <w:rFonts w:ascii="Calibri" w:hAnsi="Calibri"/>
      <w:kern w:val="0"/>
      <w:sz w:val="24"/>
    </w:rPr>
  </w:style>
  <w:style w:type="paragraph" w:styleId="41">
    <w:name w:val="Title"/>
    <w:basedOn w:val="1"/>
    <w:next w:val="1"/>
    <w:link w:val="78"/>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79"/>
    <w:qFormat/>
    <w:uiPriority w:val="0"/>
    <w:rPr>
      <w:b/>
      <w:bCs/>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endnote reference"/>
    <w:unhideWhenUsed/>
    <w:qFormat/>
    <w:uiPriority w:val="99"/>
    <w:rPr>
      <w:vertAlign w:val="superscript"/>
    </w:rPr>
  </w:style>
  <w:style w:type="character" w:styleId="48">
    <w:name w:val="page number"/>
    <w:qFormat/>
    <w:uiPriority w:val="99"/>
  </w:style>
  <w:style w:type="character" w:styleId="49">
    <w:name w:val="FollowedHyperlink"/>
    <w:qFormat/>
    <w:uiPriority w:val="99"/>
    <w:rPr>
      <w:color w:val="800080"/>
      <w:u w:val="single"/>
    </w:rPr>
  </w:style>
  <w:style w:type="character" w:styleId="50">
    <w:name w:val="Emphasis"/>
    <w:qFormat/>
    <w:uiPriority w:val="99"/>
    <w:rPr>
      <w:i/>
      <w:iCs/>
    </w:rPr>
  </w:style>
  <w:style w:type="character" w:styleId="51">
    <w:name w:val="Hyperlink"/>
    <w:unhideWhenUsed/>
    <w:qFormat/>
    <w:uiPriority w:val="99"/>
    <w:rPr>
      <w:color w:val="0000FF"/>
      <w:u w:val="single"/>
    </w:rPr>
  </w:style>
  <w:style w:type="character" w:styleId="52">
    <w:name w:val="annotation reference"/>
    <w:qFormat/>
    <w:uiPriority w:val="0"/>
    <w:rPr>
      <w:sz w:val="21"/>
      <w:szCs w:val="21"/>
    </w:rPr>
  </w:style>
  <w:style w:type="character" w:styleId="53">
    <w:name w:val="footnote reference"/>
    <w:unhideWhenUsed/>
    <w:qFormat/>
    <w:uiPriority w:val="0"/>
    <w:rPr>
      <w:vertAlign w:val="superscript"/>
    </w:rPr>
  </w:style>
  <w:style w:type="character" w:customStyle="1" w:styleId="54">
    <w:name w:val="标题 1 Char"/>
    <w:link w:val="2"/>
    <w:qFormat/>
    <w:uiPriority w:val="0"/>
    <w:rPr>
      <w:b/>
      <w:bCs/>
      <w:kern w:val="44"/>
      <w:sz w:val="44"/>
      <w:szCs w:val="44"/>
    </w:rPr>
  </w:style>
  <w:style w:type="character" w:customStyle="1" w:styleId="55">
    <w:name w:val="标题 2 Char1"/>
    <w:link w:val="3"/>
    <w:qFormat/>
    <w:uiPriority w:val="9"/>
    <w:rPr>
      <w:rFonts w:ascii="Cambria" w:hAnsi="Cambria" w:eastAsia="宋体" w:cs="Times New Roman"/>
      <w:b/>
      <w:bCs/>
      <w:kern w:val="2"/>
      <w:sz w:val="32"/>
      <w:szCs w:val="32"/>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9"/>
    <w:rPr>
      <w:rFonts w:ascii="Arial" w:hAnsi="Arial"/>
      <w:b/>
      <w:bCs/>
      <w:kern w:val="2"/>
      <w:sz w:val="28"/>
      <w:szCs w:val="28"/>
    </w:rPr>
  </w:style>
  <w:style w:type="character" w:customStyle="1" w:styleId="58">
    <w:name w:val="标题 5 Char"/>
    <w:link w:val="6"/>
    <w:qFormat/>
    <w:uiPriority w:val="99"/>
    <w:rPr>
      <w:rFonts w:ascii="Times New Roman" w:hAnsi="Times New Roman"/>
      <w:b/>
      <w:bCs/>
      <w:kern w:val="2"/>
      <w:sz w:val="28"/>
      <w:szCs w:val="28"/>
    </w:rPr>
  </w:style>
  <w:style w:type="character" w:customStyle="1" w:styleId="59">
    <w:name w:val="正文缩进 Char"/>
    <w:link w:val="7"/>
    <w:qFormat/>
    <w:uiPriority w:val="99"/>
    <w:rPr>
      <w:kern w:val="2"/>
      <w:sz w:val="21"/>
    </w:rPr>
  </w:style>
  <w:style w:type="character" w:customStyle="1" w:styleId="60">
    <w:name w:val="标题 6 Char"/>
    <w:link w:val="8"/>
    <w:qFormat/>
    <w:uiPriority w:val="9"/>
    <w:rPr>
      <w:rFonts w:ascii="Cambria" w:hAnsi="Cambria"/>
      <w:b/>
      <w:bCs/>
      <w:sz w:val="24"/>
      <w:szCs w:val="24"/>
    </w:rPr>
  </w:style>
  <w:style w:type="character" w:customStyle="1" w:styleId="61">
    <w:name w:val="标题 7 Char"/>
    <w:link w:val="9"/>
    <w:qFormat/>
    <w:uiPriority w:val="0"/>
    <w:rPr>
      <w:b/>
      <w:bCs/>
      <w:sz w:val="24"/>
      <w:szCs w:val="24"/>
    </w:rPr>
  </w:style>
  <w:style w:type="character" w:customStyle="1" w:styleId="62">
    <w:name w:val="标题 8 Char1"/>
    <w:link w:val="10"/>
    <w:semiHidden/>
    <w:qFormat/>
    <w:uiPriority w:val="9"/>
    <w:rPr>
      <w:rFonts w:ascii="等线 Light" w:hAnsi="等线 Light" w:eastAsia="等线 Light" w:cs="Times New Roman"/>
      <w:kern w:val="2"/>
      <w:sz w:val="24"/>
      <w:szCs w:val="24"/>
    </w:rPr>
  </w:style>
  <w:style w:type="character" w:customStyle="1" w:styleId="63">
    <w:name w:val="标题 9 Char"/>
    <w:link w:val="11"/>
    <w:qFormat/>
    <w:uiPriority w:val="0"/>
    <w:rPr>
      <w:rFonts w:ascii="Cambria" w:hAnsi="Cambria"/>
      <w:szCs w:val="21"/>
    </w:rPr>
  </w:style>
  <w:style w:type="character" w:customStyle="1" w:styleId="64">
    <w:name w:val="文档结构图 Char"/>
    <w:link w:val="16"/>
    <w:qFormat/>
    <w:uiPriority w:val="0"/>
    <w:rPr>
      <w:kern w:val="2"/>
      <w:sz w:val="24"/>
      <w:szCs w:val="24"/>
      <w:shd w:val="clear" w:color="auto" w:fill="000080"/>
    </w:rPr>
  </w:style>
  <w:style w:type="character" w:customStyle="1" w:styleId="65">
    <w:name w:val="批注文字 Char1"/>
    <w:link w:val="17"/>
    <w:qFormat/>
    <w:uiPriority w:val="99"/>
    <w:rPr>
      <w:rFonts w:ascii="Times New Roman" w:hAnsi="Times New Roman"/>
      <w:kern w:val="2"/>
      <w:sz w:val="21"/>
      <w:szCs w:val="24"/>
    </w:rPr>
  </w:style>
  <w:style w:type="character" w:customStyle="1" w:styleId="66">
    <w:name w:val="正文文本 3 Char"/>
    <w:link w:val="18"/>
    <w:semiHidden/>
    <w:qFormat/>
    <w:uiPriority w:val="99"/>
    <w:rPr>
      <w:kern w:val="2"/>
      <w:sz w:val="16"/>
      <w:szCs w:val="16"/>
    </w:rPr>
  </w:style>
  <w:style w:type="character" w:customStyle="1" w:styleId="67">
    <w:name w:val="正文文本 Char1"/>
    <w:link w:val="19"/>
    <w:qFormat/>
    <w:uiPriority w:val="99"/>
    <w:rPr>
      <w:rFonts w:ascii="Times New Roman" w:hAnsi="Times New Roman"/>
      <w:kern w:val="2"/>
      <w:sz w:val="21"/>
      <w:szCs w:val="24"/>
    </w:rPr>
  </w:style>
  <w:style w:type="character" w:customStyle="1" w:styleId="68">
    <w:name w:val="正文文本缩进 Char"/>
    <w:link w:val="20"/>
    <w:qFormat/>
    <w:uiPriority w:val="99"/>
    <w:rPr>
      <w:rFonts w:ascii="仿宋_GB2312" w:hAnsi="Times New Roman" w:eastAsia="仿宋_GB2312" w:cs="Times New Roman"/>
      <w:sz w:val="32"/>
      <w:szCs w:val="20"/>
    </w:rPr>
  </w:style>
  <w:style w:type="character" w:customStyle="1" w:styleId="69">
    <w:name w:val="纯文本 Char1"/>
    <w:link w:val="25"/>
    <w:qFormat/>
    <w:uiPriority w:val="99"/>
    <w:rPr>
      <w:rFonts w:ascii="宋体" w:hAnsi="Courier New" w:eastAsia="宋体" w:cs="Courier New"/>
      <w:szCs w:val="21"/>
    </w:rPr>
  </w:style>
  <w:style w:type="character" w:customStyle="1" w:styleId="70">
    <w:name w:val="日期 Char"/>
    <w:link w:val="27"/>
    <w:qFormat/>
    <w:uiPriority w:val="99"/>
    <w:rPr>
      <w:rFonts w:ascii="Times New Roman" w:hAnsi="Times New Roman"/>
      <w:kern w:val="2"/>
      <w:sz w:val="21"/>
      <w:szCs w:val="24"/>
    </w:rPr>
  </w:style>
  <w:style w:type="character" w:customStyle="1" w:styleId="71">
    <w:name w:val="正文文本缩进 2 Char"/>
    <w:link w:val="28"/>
    <w:qFormat/>
    <w:uiPriority w:val="99"/>
    <w:rPr>
      <w:kern w:val="2"/>
      <w:sz w:val="24"/>
      <w:szCs w:val="24"/>
    </w:rPr>
  </w:style>
  <w:style w:type="character" w:customStyle="1" w:styleId="72">
    <w:name w:val="批注框文本 Char"/>
    <w:link w:val="29"/>
    <w:qFormat/>
    <w:locked/>
    <w:uiPriority w:val="0"/>
    <w:rPr>
      <w:kern w:val="2"/>
      <w:sz w:val="18"/>
      <w:szCs w:val="18"/>
    </w:rPr>
  </w:style>
  <w:style w:type="character" w:customStyle="1" w:styleId="73">
    <w:name w:val="页脚 Char"/>
    <w:link w:val="30"/>
    <w:qFormat/>
    <w:uiPriority w:val="99"/>
    <w:rPr>
      <w:sz w:val="18"/>
      <w:szCs w:val="18"/>
    </w:rPr>
  </w:style>
  <w:style w:type="character" w:customStyle="1" w:styleId="74">
    <w:name w:val="页眉 Char"/>
    <w:link w:val="31"/>
    <w:qFormat/>
    <w:uiPriority w:val="0"/>
    <w:rPr>
      <w:sz w:val="18"/>
      <w:szCs w:val="18"/>
    </w:rPr>
  </w:style>
  <w:style w:type="character" w:customStyle="1" w:styleId="75">
    <w:name w:val="副标题 Char"/>
    <w:link w:val="34"/>
    <w:qFormat/>
    <w:uiPriority w:val="11"/>
    <w:rPr>
      <w:rFonts w:ascii="Cambria" w:hAnsi="Cambria"/>
      <w:b/>
      <w:bCs/>
      <w:kern w:val="28"/>
      <w:sz w:val="32"/>
      <w:szCs w:val="32"/>
    </w:rPr>
  </w:style>
  <w:style w:type="character" w:customStyle="1" w:styleId="76">
    <w:name w:val="脚注文本 Char"/>
    <w:link w:val="35"/>
    <w:semiHidden/>
    <w:qFormat/>
    <w:uiPriority w:val="0"/>
    <w:rPr>
      <w:sz w:val="18"/>
      <w:szCs w:val="18"/>
    </w:rPr>
  </w:style>
  <w:style w:type="character" w:customStyle="1" w:styleId="77">
    <w:name w:val="HTML 预设格式 Char"/>
    <w:link w:val="39"/>
    <w:qFormat/>
    <w:uiPriority w:val="99"/>
    <w:rPr>
      <w:rFonts w:ascii="宋体" w:hAnsi="宋体"/>
      <w:sz w:val="24"/>
      <w:szCs w:val="24"/>
    </w:rPr>
  </w:style>
  <w:style w:type="character" w:customStyle="1" w:styleId="78">
    <w:name w:val="标题 Char"/>
    <w:link w:val="41"/>
    <w:qFormat/>
    <w:uiPriority w:val="0"/>
    <w:rPr>
      <w:rFonts w:ascii="Cambria" w:hAnsi="Cambria"/>
      <w:b/>
      <w:bCs/>
      <w:kern w:val="2"/>
      <w:sz w:val="32"/>
      <w:szCs w:val="32"/>
    </w:rPr>
  </w:style>
  <w:style w:type="character" w:customStyle="1" w:styleId="79">
    <w:name w:val="批注主题 Char"/>
    <w:link w:val="42"/>
    <w:qFormat/>
    <w:uiPriority w:val="0"/>
    <w:rPr>
      <w:rFonts w:ascii="Times New Roman" w:hAnsi="Times New Roman"/>
      <w:b/>
      <w:bCs/>
      <w:kern w:val="2"/>
      <w:sz w:val="21"/>
      <w:szCs w:val="24"/>
    </w:rPr>
  </w:style>
  <w:style w:type="character" w:customStyle="1" w:styleId="80">
    <w:name w:val="标题 1 字符1"/>
    <w:qFormat/>
    <w:uiPriority w:val="0"/>
    <w:rPr>
      <w:b/>
      <w:bCs/>
      <w:kern w:val="44"/>
      <w:sz w:val="44"/>
      <w:szCs w:val="44"/>
    </w:rPr>
  </w:style>
  <w:style w:type="character" w:customStyle="1" w:styleId="81">
    <w:name w:val="textcontents"/>
    <w:qFormat/>
    <w:uiPriority w:val="99"/>
  </w:style>
  <w:style w:type="character" w:customStyle="1" w:styleId="82">
    <w:name w:val="批注文字 Char"/>
    <w:qFormat/>
    <w:uiPriority w:val="0"/>
    <w:rPr>
      <w:rFonts w:ascii="Times New Roman" w:hAnsi="Times New Roman"/>
      <w:kern w:val="2"/>
      <w:sz w:val="21"/>
      <w:szCs w:val="24"/>
    </w:rPr>
  </w:style>
  <w:style w:type="character" w:customStyle="1" w:styleId="83">
    <w:name w:val="纯文本 字符"/>
    <w:qFormat/>
    <w:uiPriority w:val="0"/>
    <w:rPr>
      <w:rFonts w:ascii="宋体" w:hAnsi="Courier New" w:eastAsia="宋体" w:cs="Courier New"/>
      <w:szCs w:val="21"/>
    </w:rPr>
  </w:style>
  <w:style w:type="character" w:customStyle="1" w:styleId="84">
    <w:name w:val="纯文本 Char"/>
    <w:qFormat/>
    <w:uiPriority w:val="0"/>
    <w:rPr>
      <w:rFonts w:ascii="宋体" w:hAnsi="Courier New" w:eastAsia="宋体" w:cs="Courier New"/>
      <w:szCs w:val="21"/>
    </w:rPr>
  </w:style>
  <w:style w:type="character" w:customStyle="1" w:styleId="85">
    <w:name w:val="纯文本 字符2"/>
    <w:qFormat/>
    <w:uiPriority w:val="0"/>
    <w:rPr>
      <w:rFonts w:ascii="宋体" w:hAnsi="Courier New" w:eastAsia="宋体" w:cs="Courier New"/>
      <w:szCs w:val="21"/>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纯文本 字符1"/>
    <w:qFormat/>
    <w:uiPriority w:val="0"/>
    <w:rPr>
      <w:rFonts w:ascii="宋体" w:hAnsi="Courier New"/>
    </w:rPr>
  </w:style>
  <w:style w:type="character" w:customStyle="1" w:styleId="89">
    <w:name w:val="正文文本 Char"/>
    <w:qFormat/>
    <w:uiPriority w:val="0"/>
    <w:rPr>
      <w:rFonts w:ascii="Times New Roman" w:hAnsi="Times New Roman"/>
      <w:kern w:val="2"/>
      <w:sz w:val="21"/>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标题 2 Char"/>
    <w:qFormat/>
    <w:uiPriority w:val="0"/>
    <w:rPr>
      <w:rFonts w:ascii="Cambria" w:hAnsi="Cambria" w:eastAsia="宋体" w:cs="Times New Roman"/>
      <w:b/>
      <w:bCs/>
      <w:kern w:val="2"/>
      <w:sz w:val="32"/>
      <w:szCs w:val="32"/>
    </w:rPr>
  </w:style>
  <w:style w:type="character" w:customStyle="1" w:styleId="92">
    <w:name w:val="标题 8 Char"/>
    <w:qFormat/>
    <w:uiPriority w:val="9"/>
    <w:rPr>
      <w:rFonts w:ascii="Arial" w:hAnsi="Arial" w:eastAsia="黑体"/>
      <w:kern w:val="2"/>
      <w:sz w:val="24"/>
      <w:szCs w:val="24"/>
    </w:rPr>
  </w:style>
  <w:style w:type="character" w:customStyle="1" w:styleId="93">
    <w:name w:val="apple-style-span"/>
    <w:qFormat/>
    <w:uiPriority w:val="0"/>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96">
    <w:name w:val="List Paragraph"/>
    <w:basedOn w:val="1"/>
    <w:qFormat/>
    <w:uiPriority w:val="99"/>
    <w:pPr>
      <w:ind w:firstLine="420" w:firstLineChars="200"/>
    </w:pPr>
  </w:style>
  <w:style w:type="paragraph" w:customStyle="1" w:styleId="97">
    <w:name w:val="Table Paragraph"/>
    <w:basedOn w:val="1"/>
    <w:qFormat/>
    <w:uiPriority w:val="1"/>
    <w:pPr>
      <w:jc w:val="left"/>
    </w:pPr>
    <w:rPr>
      <w:rFonts w:ascii="Calibri" w:hAnsi="Calibri"/>
      <w:kern w:val="0"/>
      <w:sz w:val="22"/>
      <w:szCs w:val="22"/>
      <w:lang w:eastAsia="en-US"/>
    </w:rPr>
  </w:style>
  <w:style w:type="character" w:customStyle="1" w:styleId="98">
    <w:name w:val="正文文本 字符"/>
    <w:qFormat/>
    <w:uiPriority w:val="0"/>
    <w:rPr>
      <w:rFonts w:ascii="Times New Roman" w:hAnsi="Times New Roman"/>
      <w:kern w:val="2"/>
      <w:sz w:val="21"/>
      <w:szCs w:val="24"/>
    </w:rPr>
  </w:style>
  <w:style w:type="character" w:customStyle="1" w:styleId="99">
    <w:name w:val="批注文字 Char2"/>
    <w:qFormat/>
    <w:uiPriority w:val="0"/>
    <w:rPr>
      <w:rFonts w:ascii="Times New Roman" w:hAnsi="Times New Roman"/>
      <w:kern w:val="2"/>
      <w:sz w:val="21"/>
      <w:szCs w:val="24"/>
    </w:rPr>
  </w:style>
  <w:style w:type="character" w:customStyle="1" w:styleId="100">
    <w:name w:val="正文2 Char Char"/>
    <w:link w:val="101"/>
    <w:qFormat/>
    <w:uiPriority w:val="0"/>
    <w:rPr>
      <w:kern w:val="2"/>
      <w:sz w:val="24"/>
    </w:rPr>
  </w:style>
  <w:style w:type="paragraph" w:customStyle="1" w:styleId="101">
    <w:name w:val="正文2"/>
    <w:basedOn w:val="1"/>
    <w:link w:val="100"/>
    <w:qFormat/>
    <w:uiPriority w:val="0"/>
    <w:pPr>
      <w:adjustRightInd w:val="0"/>
      <w:spacing w:before="156" w:line="360" w:lineRule="auto"/>
      <w:ind w:firstLine="510" w:firstLineChars="200"/>
    </w:pPr>
    <w:rPr>
      <w:sz w:val="24"/>
      <w:szCs w:val="20"/>
    </w:rPr>
  </w:style>
  <w:style w:type="character" w:customStyle="1" w:styleId="102">
    <w:name w:val="批注文字 Char Char"/>
    <w:qFormat/>
    <w:uiPriority w:val="99"/>
    <w:rPr>
      <w:rFonts w:ascii="宋体" w:hAnsi="Times New Roman" w:eastAsia="宋体" w:cs="宋体"/>
      <w:sz w:val="20"/>
      <w:szCs w:val="20"/>
    </w:rPr>
  </w:style>
  <w:style w:type="character" w:customStyle="1" w:styleId="103">
    <w:name w:val="Heading 3 Char"/>
    <w:qFormat/>
    <w:uiPriority w:val="99"/>
    <w:rPr>
      <w:b/>
      <w:bCs/>
      <w:kern w:val="2"/>
      <w:sz w:val="32"/>
      <w:szCs w:val="32"/>
    </w:rPr>
  </w:style>
  <w:style w:type="character" w:customStyle="1" w:styleId="104">
    <w:name w:val="Heading 2 Char"/>
    <w:qFormat/>
    <w:uiPriority w:val="99"/>
    <w:rPr>
      <w:rFonts w:ascii="Arial" w:hAnsi="Arial" w:eastAsia="黑体" w:cs="Arial"/>
      <w:b/>
      <w:bCs/>
      <w:kern w:val="2"/>
      <w:sz w:val="32"/>
      <w:szCs w:val="32"/>
      <w:lang w:val="en-US" w:eastAsia="zh-CN"/>
    </w:rPr>
  </w:style>
  <w:style w:type="character" w:customStyle="1" w:styleId="105">
    <w:name w:val="Balloon Text Char"/>
    <w:qFormat/>
    <w:uiPriority w:val="99"/>
    <w:rPr>
      <w:sz w:val="18"/>
      <w:szCs w:val="18"/>
    </w:rPr>
  </w:style>
  <w:style w:type="character" w:customStyle="1" w:styleId="106">
    <w:name w:val="文档结构图 Char1"/>
    <w:qFormat/>
    <w:uiPriority w:val="99"/>
    <w:rPr>
      <w:rFonts w:ascii="宋体" w:hAnsi="Times New Roman" w:eastAsia="宋体" w:cs="宋体"/>
      <w:sz w:val="18"/>
      <w:szCs w:val="18"/>
    </w:rPr>
  </w:style>
  <w:style w:type="character" w:customStyle="1" w:styleId="107">
    <w:name w:val="Footnote Text Char"/>
    <w:qFormat/>
    <w:uiPriority w:val="99"/>
    <w:rPr>
      <w:rFonts w:eastAsia="宋体"/>
      <w:sz w:val="18"/>
      <w:szCs w:val="18"/>
      <w:lang w:val="en-US" w:eastAsia="zh-CN"/>
    </w:rPr>
  </w:style>
  <w:style w:type="character" w:customStyle="1" w:styleId="108">
    <w:name w:val="Char Char21"/>
    <w:qFormat/>
    <w:uiPriority w:val="99"/>
    <w:rPr>
      <w:rFonts w:ascii="Arial" w:hAnsi="Arial" w:eastAsia="黑体" w:cs="Arial"/>
      <w:b/>
      <w:bCs/>
      <w:sz w:val="32"/>
      <w:szCs w:val="32"/>
    </w:rPr>
  </w:style>
  <w:style w:type="character" w:customStyle="1" w:styleId="109">
    <w:name w:val="Body Text Indent Char"/>
    <w:qFormat/>
    <w:uiPriority w:val="99"/>
    <w:rPr>
      <w:rFonts w:ascii="宋体" w:hAnsi="宋体" w:eastAsia="宋体" w:cs="宋体"/>
      <w:kern w:val="2"/>
      <w:sz w:val="21"/>
      <w:szCs w:val="21"/>
      <w:lang w:val="en-US" w:eastAsia="zh-CN"/>
    </w:rPr>
  </w:style>
  <w:style w:type="character" w:customStyle="1" w:styleId="110">
    <w:name w:val="不明显参考1"/>
    <w:qFormat/>
    <w:uiPriority w:val="99"/>
    <w:rPr>
      <w:smallCaps/>
      <w:color w:val="auto"/>
      <w:u w:val="single"/>
    </w:rPr>
  </w:style>
  <w:style w:type="character" w:customStyle="1" w:styleId="111">
    <w:name w:val="Heading 4 Char"/>
    <w:qFormat/>
    <w:uiPriority w:val="99"/>
    <w:rPr>
      <w:rFonts w:ascii="Arial" w:hAnsi="Arial" w:eastAsia="宋体" w:cs="Arial"/>
      <w:b/>
      <w:bCs/>
      <w:kern w:val="2"/>
      <w:sz w:val="28"/>
      <w:szCs w:val="28"/>
      <w:lang w:val="en-US" w:eastAsia="zh-CN"/>
    </w:rPr>
  </w:style>
  <w:style w:type="character" w:customStyle="1" w:styleId="112">
    <w:name w:val="Char Char20"/>
    <w:qFormat/>
    <w:uiPriority w:val="99"/>
    <w:rPr>
      <w:rFonts w:ascii="Times New Roman" w:hAnsi="Times New Roman" w:eastAsia="宋体" w:cs="Times New Roman"/>
      <w:b/>
      <w:bCs/>
      <w:sz w:val="32"/>
      <w:szCs w:val="32"/>
    </w:rPr>
  </w:style>
  <w:style w:type="character" w:customStyle="1" w:styleId="113">
    <w:name w:val="Comment Subject Char"/>
    <w:qFormat/>
    <w:uiPriority w:val="99"/>
    <w:rPr>
      <w:b/>
      <w:bCs/>
      <w:sz w:val="24"/>
      <w:szCs w:val="24"/>
    </w:rPr>
  </w:style>
  <w:style w:type="character" w:customStyle="1" w:styleId="114">
    <w:name w:val="Heading 1 Char"/>
    <w:qFormat/>
    <w:uiPriority w:val="99"/>
    <w:rPr>
      <w:rFonts w:eastAsia="宋体"/>
      <w:b/>
      <w:bCs/>
      <w:kern w:val="44"/>
      <w:sz w:val="44"/>
      <w:szCs w:val="44"/>
      <w:lang w:val="en-US" w:eastAsia="zh-CN"/>
    </w:rPr>
  </w:style>
  <w:style w:type="character" w:customStyle="1" w:styleId="115">
    <w:name w:val="批注框文本 Char1"/>
    <w:qFormat/>
    <w:uiPriority w:val="99"/>
    <w:rPr>
      <w:rFonts w:ascii="Times New Roman" w:hAnsi="Times New Roman" w:eastAsia="宋体" w:cs="Times New Roman"/>
      <w:sz w:val="18"/>
      <w:szCs w:val="18"/>
    </w:rPr>
  </w:style>
  <w:style w:type="character" w:customStyle="1" w:styleId="116">
    <w:name w:val="Char Char6"/>
    <w:qFormat/>
    <w:uiPriority w:val="99"/>
    <w:rPr>
      <w:rFonts w:eastAsia="宋体"/>
      <w:b/>
      <w:bCs/>
      <w:kern w:val="44"/>
      <w:sz w:val="44"/>
      <w:szCs w:val="44"/>
      <w:lang w:val="en-US" w:eastAsia="zh-CN"/>
    </w:rPr>
  </w:style>
  <w:style w:type="character" w:customStyle="1" w:styleId="117">
    <w:name w:val="Char Char18"/>
    <w:qFormat/>
    <w:uiPriority w:val="99"/>
    <w:rPr>
      <w:rFonts w:ascii="Times New Roman" w:hAnsi="Times New Roman" w:eastAsia="宋体" w:cs="Times New Roman"/>
      <w:b/>
      <w:bCs/>
      <w:sz w:val="28"/>
      <w:szCs w:val="28"/>
    </w:rPr>
  </w:style>
  <w:style w:type="character" w:customStyle="1" w:styleId="118">
    <w:name w:val="Body Text Indent 2 Char"/>
    <w:qFormat/>
    <w:uiPriority w:val="99"/>
    <w:rPr>
      <w:rFonts w:eastAsia="宋体"/>
      <w:kern w:val="2"/>
      <w:sz w:val="24"/>
      <w:szCs w:val="24"/>
      <w:lang w:val="en-US" w:eastAsia="zh-CN"/>
    </w:rPr>
  </w:style>
  <w:style w:type="character" w:customStyle="1" w:styleId="119">
    <w:name w:val="Comment Text Char1"/>
    <w:qFormat/>
    <w:uiPriority w:val="99"/>
    <w:rPr>
      <w:sz w:val="24"/>
      <w:szCs w:val="24"/>
    </w:rPr>
  </w:style>
  <w:style w:type="character" w:customStyle="1" w:styleId="120">
    <w:name w:val="标题5 Char Char"/>
    <w:link w:val="121"/>
    <w:qFormat/>
    <w:locked/>
    <w:uiPriority w:val="99"/>
    <w:rPr>
      <w:rFonts w:ascii="Arial" w:hAnsi="Arial" w:cs="Arial"/>
      <w:b/>
      <w:bCs/>
      <w:sz w:val="32"/>
      <w:szCs w:val="32"/>
    </w:rPr>
  </w:style>
  <w:style w:type="paragraph" w:customStyle="1" w:styleId="121">
    <w:name w:val="标题5"/>
    <w:basedOn w:val="4"/>
    <w:link w:val="120"/>
    <w:qFormat/>
    <w:uiPriority w:val="99"/>
    <w:pPr>
      <w:spacing w:line="413" w:lineRule="auto"/>
    </w:pPr>
    <w:rPr>
      <w:rFonts w:ascii="Arial" w:hAnsi="Arial"/>
      <w:kern w:val="0"/>
    </w:rPr>
  </w:style>
  <w:style w:type="character" w:customStyle="1" w:styleId="122">
    <w:name w:val="批注主题 Char1"/>
    <w:qFormat/>
    <w:uiPriority w:val="99"/>
    <w:rPr>
      <w:rFonts w:ascii="Times New Roman" w:hAnsi="Times New Roman" w:eastAsia="宋体" w:cs="Times New Roman"/>
      <w:b/>
      <w:bCs/>
      <w:sz w:val="24"/>
      <w:szCs w:val="24"/>
    </w:rPr>
  </w:style>
  <w:style w:type="character" w:customStyle="1" w:styleId="123">
    <w:name w:val="Char Char24"/>
    <w:qFormat/>
    <w:uiPriority w:val="99"/>
    <w:rPr>
      <w:rFonts w:eastAsia="宋体"/>
      <w:b/>
      <w:bCs/>
      <w:kern w:val="44"/>
      <w:sz w:val="44"/>
      <w:szCs w:val="44"/>
      <w:lang w:val="en-US" w:eastAsia="zh-CN"/>
    </w:rPr>
  </w:style>
  <w:style w:type="character" w:customStyle="1" w:styleId="124">
    <w:name w:val="Footer Char"/>
    <w:qFormat/>
    <w:uiPriority w:val="99"/>
    <w:rPr>
      <w:rFonts w:eastAsia="宋体"/>
      <w:kern w:val="2"/>
      <w:sz w:val="18"/>
      <w:szCs w:val="18"/>
      <w:lang w:val="en-US" w:eastAsia="zh-CN"/>
    </w:rPr>
  </w:style>
  <w:style w:type="character" w:customStyle="1" w:styleId="125">
    <w:name w:val="Char Char9"/>
    <w:qFormat/>
    <w:uiPriority w:val="99"/>
    <w:rPr>
      <w:rFonts w:eastAsia="宋体"/>
      <w:b/>
      <w:bCs/>
      <w:kern w:val="44"/>
      <w:sz w:val="44"/>
      <w:szCs w:val="44"/>
      <w:lang w:val="en-US" w:eastAsia="zh-CN"/>
    </w:rPr>
  </w:style>
  <w:style w:type="character" w:customStyle="1" w:styleId="126">
    <w:name w:val="Heading 3 Char1"/>
    <w:qFormat/>
    <w:uiPriority w:val="99"/>
    <w:rPr>
      <w:rFonts w:eastAsia="宋体"/>
      <w:b/>
      <w:bCs/>
      <w:kern w:val="2"/>
      <w:sz w:val="32"/>
      <w:szCs w:val="32"/>
      <w:lang w:val="en-US" w:eastAsia="zh-CN"/>
    </w:rPr>
  </w:style>
  <w:style w:type="character" w:customStyle="1" w:styleId="127">
    <w:name w:val="Document Map Char"/>
    <w:qFormat/>
    <w:uiPriority w:val="99"/>
    <w:rPr>
      <w:rFonts w:eastAsia="宋体"/>
      <w:kern w:val="2"/>
      <w:sz w:val="24"/>
      <w:szCs w:val="24"/>
      <w:lang w:val="en-US" w:eastAsia="zh-CN"/>
    </w:rPr>
  </w:style>
  <w:style w:type="character" w:customStyle="1" w:styleId="128">
    <w:name w:val="标题 Char1"/>
    <w:qFormat/>
    <w:uiPriority w:val="99"/>
    <w:rPr>
      <w:rFonts w:ascii="Cambria" w:hAnsi="Cambria" w:eastAsia="宋体" w:cs="Cambria"/>
      <w:b/>
      <w:bCs/>
      <w:sz w:val="32"/>
      <w:szCs w:val="32"/>
    </w:rPr>
  </w:style>
  <w:style w:type="character" w:customStyle="1" w:styleId="129">
    <w:name w:val="Char Char22"/>
    <w:qFormat/>
    <w:uiPriority w:val="99"/>
    <w:rPr>
      <w:rFonts w:ascii="Times New Roman" w:hAnsi="Times New Roman" w:eastAsia="宋体" w:cs="Times New Roman"/>
      <w:b/>
      <w:bCs/>
      <w:kern w:val="44"/>
      <w:sz w:val="44"/>
      <w:szCs w:val="44"/>
    </w:rPr>
  </w:style>
  <w:style w:type="character" w:customStyle="1" w:styleId="130">
    <w:name w:val="明显引用 Char"/>
    <w:link w:val="131"/>
    <w:qFormat/>
    <w:locked/>
    <w:uiPriority w:val="99"/>
    <w:rPr>
      <w:b/>
      <w:bCs/>
      <w:i/>
      <w:iCs/>
      <w:color w:val="4F81BD"/>
    </w:rPr>
  </w:style>
  <w:style w:type="paragraph" w:customStyle="1" w:styleId="131">
    <w:name w:val="明显引用1"/>
    <w:basedOn w:val="1"/>
    <w:next w:val="1"/>
    <w:link w:val="130"/>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标题4 Char Char"/>
    <w:link w:val="133"/>
    <w:qFormat/>
    <w:locked/>
    <w:uiPriority w:val="99"/>
    <w:rPr>
      <w:rFonts w:ascii="Arial" w:hAnsi="Arial" w:cs="Arial"/>
      <w:b/>
      <w:bCs/>
      <w:sz w:val="32"/>
      <w:szCs w:val="32"/>
    </w:rPr>
  </w:style>
  <w:style w:type="paragraph" w:customStyle="1" w:styleId="133">
    <w:name w:val="标题4"/>
    <w:basedOn w:val="3"/>
    <w:next w:val="22"/>
    <w:link w:val="132"/>
    <w:qFormat/>
    <w:uiPriority w:val="99"/>
    <w:pPr>
      <w:spacing w:before="60" w:after="60" w:line="413" w:lineRule="auto"/>
    </w:pPr>
    <w:rPr>
      <w:rFonts w:ascii="Arial" w:hAnsi="Arial"/>
      <w:kern w:val="0"/>
    </w:rPr>
  </w:style>
  <w:style w:type="character" w:customStyle="1" w:styleId="134">
    <w:name w:val="Header Char"/>
    <w:qFormat/>
    <w:uiPriority w:val="99"/>
    <w:rPr>
      <w:rFonts w:eastAsia="宋体"/>
      <w:kern w:val="2"/>
      <w:sz w:val="18"/>
      <w:szCs w:val="18"/>
      <w:lang w:val="en-US" w:eastAsia="zh-CN"/>
    </w:rPr>
  </w:style>
  <w:style w:type="character" w:customStyle="1" w:styleId="135">
    <w:name w:val="明显引用 Char1"/>
    <w:qFormat/>
    <w:uiPriority w:val="99"/>
    <w:rPr>
      <w:rFonts w:ascii="Times New Roman" w:hAnsi="Times New Roman" w:eastAsia="宋体" w:cs="Times New Roman"/>
      <w:b/>
      <w:bCs/>
      <w:i/>
      <w:iCs/>
      <w:color w:val="4F81BD"/>
      <w:sz w:val="24"/>
      <w:szCs w:val="24"/>
    </w:rPr>
  </w:style>
  <w:style w:type="character" w:customStyle="1" w:styleId="136">
    <w:name w:val="Comment Text Char"/>
    <w:qFormat/>
    <w:uiPriority w:val="99"/>
    <w:rPr>
      <w:sz w:val="24"/>
      <w:szCs w:val="24"/>
    </w:rPr>
  </w:style>
  <w:style w:type="character" w:customStyle="1" w:styleId="137">
    <w:name w:val="明显参考1"/>
    <w:qFormat/>
    <w:uiPriority w:val="99"/>
    <w:rPr>
      <w:b/>
      <w:bCs/>
      <w:smallCaps/>
      <w:color w:val="auto"/>
      <w:spacing w:val="5"/>
      <w:u w:val="single"/>
    </w:rPr>
  </w:style>
  <w:style w:type="character" w:customStyle="1" w:styleId="138">
    <w:name w:val="明显强调1"/>
    <w:qFormat/>
    <w:uiPriority w:val="99"/>
    <w:rPr>
      <w:b/>
      <w:bCs/>
      <w:i/>
      <w:iCs/>
      <w:color w:val="4F81BD"/>
    </w:rPr>
  </w:style>
  <w:style w:type="character" w:customStyle="1" w:styleId="139">
    <w:name w:val="引用 Char1"/>
    <w:qFormat/>
    <w:uiPriority w:val="99"/>
    <w:rPr>
      <w:rFonts w:ascii="Times New Roman" w:hAnsi="Times New Roman" w:eastAsia="宋体" w:cs="Times New Roman"/>
      <w:i/>
      <w:iCs/>
      <w:color w:val="000000"/>
      <w:sz w:val="24"/>
      <w:szCs w:val="24"/>
    </w:rPr>
  </w:style>
  <w:style w:type="character" w:customStyle="1" w:styleId="140">
    <w:name w:val="引用 Char"/>
    <w:link w:val="141"/>
    <w:qFormat/>
    <w:locked/>
    <w:uiPriority w:val="99"/>
    <w:rPr>
      <w:i/>
      <w:iCs/>
      <w:color w:val="000000"/>
    </w:rPr>
  </w:style>
  <w:style w:type="paragraph" w:customStyle="1" w:styleId="141">
    <w:name w:val="引用1"/>
    <w:basedOn w:val="1"/>
    <w:next w:val="1"/>
    <w:link w:val="140"/>
    <w:qFormat/>
    <w:uiPriority w:val="99"/>
    <w:rPr>
      <w:i/>
      <w:iCs/>
      <w:color w:val="000000"/>
      <w:kern w:val="0"/>
      <w:sz w:val="20"/>
      <w:szCs w:val="20"/>
    </w:rPr>
  </w:style>
  <w:style w:type="character" w:customStyle="1" w:styleId="142">
    <w:name w:val="标题 Char2"/>
    <w:qFormat/>
    <w:uiPriority w:val="99"/>
    <w:rPr>
      <w:rFonts w:ascii="Cambria" w:hAnsi="Cambria" w:eastAsia="宋体" w:cs="Cambria"/>
      <w:b/>
      <w:bCs/>
      <w:sz w:val="32"/>
      <w:szCs w:val="32"/>
    </w:rPr>
  </w:style>
  <w:style w:type="character" w:customStyle="1" w:styleId="143">
    <w:name w:val="Char Char23"/>
    <w:qFormat/>
    <w:uiPriority w:val="99"/>
    <w:rPr>
      <w:rFonts w:eastAsia="宋体"/>
      <w:b/>
      <w:bCs/>
      <w:kern w:val="44"/>
      <w:sz w:val="44"/>
      <w:szCs w:val="44"/>
      <w:lang w:val="en-US" w:eastAsia="zh-CN"/>
    </w:rPr>
  </w:style>
  <w:style w:type="character" w:customStyle="1" w:styleId="144">
    <w:name w:val="Plain Text Char"/>
    <w:qFormat/>
    <w:uiPriority w:val="99"/>
    <w:rPr>
      <w:rFonts w:ascii="宋体" w:hAnsi="Courier New" w:eastAsia="宋体" w:cs="宋体"/>
      <w:sz w:val="24"/>
      <w:szCs w:val="24"/>
    </w:rPr>
  </w:style>
  <w:style w:type="character" w:customStyle="1" w:styleId="145">
    <w:name w:val="Char Char91"/>
    <w:qFormat/>
    <w:uiPriority w:val="99"/>
    <w:rPr>
      <w:rFonts w:eastAsia="宋体"/>
      <w:b/>
      <w:bCs/>
      <w:kern w:val="44"/>
      <w:sz w:val="44"/>
      <w:szCs w:val="44"/>
      <w:lang w:val="en-US" w:eastAsia="zh-CN"/>
    </w:rPr>
  </w:style>
  <w:style w:type="character" w:customStyle="1" w:styleId="146">
    <w:name w:val="Char Char181"/>
    <w:qFormat/>
    <w:uiPriority w:val="99"/>
    <w:rPr>
      <w:b/>
      <w:bCs/>
      <w:kern w:val="44"/>
      <w:sz w:val="44"/>
      <w:szCs w:val="44"/>
    </w:rPr>
  </w:style>
  <w:style w:type="character" w:customStyle="1" w:styleId="147">
    <w:name w:val="Heading 5 Char"/>
    <w:qFormat/>
    <w:uiPriority w:val="99"/>
    <w:rPr>
      <w:rFonts w:eastAsia="宋体"/>
      <w:b/>
      <w:bCs/>
      <w:kern w:val="2"/>
      <w:sz w:val="28"/>
      <w:szCs w:val="28"/>
      <w:lang w:val="en-US" w:eastAsia="zh-CN"/>
    </w:rPr>
  </w:style>
  <w:style w:type="character" w:customStyle="1" w:styleId="148">
    <w:name w:val="Char Char19"/>
    <w:qFormat/>
    <w:uiPriority w:val="99"/>
    <w:rPr>
      <w:rFonts w:ascii="Arial" w:hAnsi="Arial" w:eastAsia="宋体" w:cs="Arial"/>
      <w:b/>
      <w:bCs/>
      <w:sz w:val="28"/>
      <w:szCs w:val="28"/>
    </w:rPr>
  </w:style>
  <w:style w:type="character" w:customStyle="1" w:styleId="149">
    <w:name w:val="日期 Char1"/>
    <w:qFormat/>
    <w:uiPriority w:val="99"/>
    <w:rPr>
      <w:rFonts w:ascii="Times New Roman" w:hAnsi="Times New Roman" w:eastAsia="宋体" w:cs="Times New Roman"/>
      <w:sz w:val="24"/>
      <w:szCs w:val="24"/>
    </w:rPr>
  </w:style>
  <w:style w:type="character" w:customStyle="1" w:styleId="150">
    <w:name w:val="Date Char"/>
    <w:qFormat/>
    <w:uiPriority w:val="99"/>
    <w:rPr>
      <w:rFonts w:eastAsia="宋体"/>
      <w:kern w:val="2"/>
      <w:sz w:val="24"/>
      <w:szCs w:val="24"/>
      <w:lang w:val="en-US" w:eastAsia="zh-CN"/>
    </w:rPr>
  </w:style>
  <w:style w:type="character" w:customStyle="1" w:styleId="151">
    <w:name w:val="Title Char"/>
    <w:qFormat/>
    <w:uiPriority w:val="99"/>
    <w:rPr>
      <w:rFonts w:ascii="Cambria" w:hAnsi="Cambria" w:cs="Cambria"/>
      <w:b/>
      <w:bCs/>
      <w:sz w:val="32"/>
      <w:szCs w:val="32"/>
    </w:rPr>
  </w:style>
  <w:style w:type="character" w:customStyle="1" w:styleId="152">
    <w:name w:val="书籍标题1"/>
    <w:qFormat/>
    <w:uiPriority w:val="99"/>
    <w:rPr>
      <w:b/>
      <w:bCs/>
      <w:smallCaps/>
      <w:spacing w:val="5"/>
    </w:rPr>
  </w:style>
  <w:style w:type="character" w:customStyle="1" w:styleId="153">
    <w:name w:val="不明显强调1"/>
    <w:qFormat/>
    <w:uiPriority w:val="99"/>
    <w:rPr>
      <w:i/>
      <w:iCs/>
      <w:color w:val="808080"/>
    </w:rPr>
  </w:style>
  <w:style w:type="paragraph" w:customStyle="1" w:styleId="154">
    <w:name w:val="样式1"/>
    <w:basedOn w:val="1"/>
    <w:next w:val="5"/>
    <w:qFormat/>
    <w:uiPriority w:val="99"/>
    <w:pPr>
      <w:spacing w:line="360" w:lineRule="auto"/>
      <w:ind w:firstLine="420" w:firstLineChars="200"/>
    </w:pPr>
    <w:rPr>
      <w:rFonts w:ascii="宋体" w:hAnsi="宋体" w:cs="宋体"/>
      <w:szCs w:val="21"/>
    </w:rPr>
  </w:style>
  <w:style w:type="paragraph" w:customStyle="1" w:styleId="15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6">
    <w:name w:val="Char Char Char Char Char Char Char"/>
    <w:basedOn w:val="1"/>
    <w:qFormat/>
    <w:uiPriority w:val="99"/>
    <w:pPr>
      <w:widowControl/>
      <w:spacing w:after="160" w:line="240" w:lineRule="exact"/>
      <w:jc w:val="left"/>
    </w:pPr>
    <w:rPr>
      <w:szCs w:val="21"/>
    </w:rPr>
  </w:style>
  <w:style w:type="paragraph" w:customStyle="1" w:styleId="15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TOC 标题1"/>
    <w:basedOn w:val="2"/>
    <w:next w:val="1"/>
    <w:qFormat/>
    <w:uiPriority w:val="99"/>
    <w:pPr>
      <w:spacing w:line="576" w:lineRule="auto"/>
      <w:outlineLvl w:val="9"/>
    </w:pPr>
    <w:rPr>
      <w:rFonts w:ascii="Calibri" w:hAnsi="Calibri" w:eastAsia="黑体" w:cs="Calibri"/>
      <w:lang w:val="zh-CN"/>
    </w:rPr>
  </w:style>
  <w:style w:type="paragraph" w:customStyle="1" w:styleId="16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1">
    <w:name w:val="p0"/>
    <w:basedOn w:val="1"/>
    <w:qFormat/>
    <w:uiPriority w:val="0"/>
    <w:pPr>
      <w:widowControl/>
    </w:pPr>
    <w:rPr>
      <w:rFonts w:ascii="Calibri" w:hAnsi="Calibri" w:cs="Calibri"/>
      <w:kern w:val="0"/>
      <w:szCs w:val="21"/>
    </w:rPr>
  </w:style>
  <w:style w:type="paragraph" w:customStyle="1" w:styleId="162">
    <w:name w:val="Char"/>
    <w:basedOn w:val="1"/>
    <w:qFormat/>
    <w:uiPriority w:val="99"/>
    <w:pPr>
      <w:widowControl/>
      <w:spacing w:after="160" w:line="240" w:lineRule="exact"/>
      <w:jc w:val="left"/>
    </w:pPr>
    <w:rPr>
      <w:szCs w:val="21"/>
    </w:rPr>
  </w:style>
  <w:style w:type="paragraph" w:customStyle="1" w:styleId="163">
    <w:name w:val="1"/>
    <w:basedOn w:val="1"/>
    <w:next w:val="1"/>
    <w:qFormat/>
    <w:uiPriority w:val="99"/>
    <w:rPr>
      <w:szCs w:val="21"/>
    </w:rPr>
  </w:style>
  <w:style w:type="paragraph" w:customStyle="1" w:styleId="164">
    <w:name w:val="列出段落2"/>
    <w:basedOn w:val="1"/>
    <w:qFormat/>
    <w:uiPriority w:val="99"/>
    <w:pPr>
      <w:ind w:firstLine="420" w:firstLineChars="200"/>
    </w:pPr>
    <w:rPr>
      <w:rFonts w:ascii="Calibri" w:hAnsi="Calibri" w:cs="Calibri"/>
      <w:szCs w:val="21"/>
    </w:rPr>
  </w:style>
  <w:style w:type="paragraph" w:customStyle="1" w:styleId="165">
    <w:name w:val="_Style 163"/>
    <w:qFormat/>
    <w:uiPriority w:val="99"/>
    <w:rPr>
      <w:rFonts w:ascii="Times New Roman" w:hAnsi="Times New Roman" w:eastAsia="宋体" w:cs="Times New Roman"/>
      <w:kern w:val="2"/>
      <w:sz w:val="21"/>
      <w:szCs w:val="21"/>
      <w:lang w:val="en-US" w:eastAsia="zh-CN" w:bidi="ar-SA"/>
    </w:rPr>
  </w:style>
  <w:style w:type="paragraph" w:customStyle="1" w:styleId="16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7">
    <w:name w:val="修订1"/>
    <w:qFormat/>
    <w:uiPriority w:val="99"/>
    <w:rPr>
      <w:rFonts w:ascii="Times New Roman" w:hAnsi="Times New Roman" w:eastAsia="宋体" w:cs="Times New Roman"/>
      <w:kern w:val="2"/>
      <w:sz w:val="21"/>
      <w:szCs w:val="21"/>
      <w:lang w:val="en-US" w:eastAsia="zh-CN" w:bidi="ar-SA"/>
    </w:rPr>
  </w:style>
  <w:style w:type="paragraph" w:customStyle="1" w:styleId="16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69">
    <w:name w:val="2-2ji"/>
    <w:basedOn w:val="3"/>
    <w:qFormat/>
    <w:uiPriority w:val="99"/>
    <w:pPr>
      <w:spacing w:before="0" w:after="0" w:line="360" w:lineRule="auto"/>
      <w:jc w:val="center"/>
    </w:pPr>
    <w:rPr>
      <w:rFonts w:ascii="宋体" w:hAnsi="宋体" w:cs="宋体"/>
      <w:sz w:val="36"/>
      <w:szCs w:val="36"/>
      <w:lang w:val="zh-CN"/>
    </w:rPr>
  </w:style>
  <w:style w:type="paragraph" w:customStyle="1" w:styleId="17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2">
    <w:name w:val="列出段落1"/>
    <w:basedOn w:val="1"/>
    <w:qFormat/>
    <w:uiPriority w:val="99"/>
    <w:pPr>
      <w:ind w:firstLine="420" w:firstLineChars="200"/>
    </w:pPr>
    <w:rPr>
      <w:rFonts w:ascii="Calibri" w:hAnsi="Calibri" w:cs="Calibri"/>
      <w:szCs w:val="21"/>
    </w:rPr>
  </w:style>
  <w:style w:type="paragraph" w:customStyle="1" w:styleId="17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4">
    <w:name w:val="Char1"/>
    <w:basedOn w:val="1"/>
    <w:qFormat/>
    <w:uiPriority w:val="99"/>
    <w:pPr>
      <w:widowControl/>
      <w:spacing w:after="160" w:line="240" w:lineRule="exact"/>
      <w:jc w:val="left"/>
    </w:pPr>
    <w:rPr>
      <w:szCs w:val="21"/>
    </w:rPr>
  </w:style>
  <w:style w:type="paragraph" w:customStyle="1" w:styleId="175">
    <w:name w:val="_Style 37"/>
    <w:basedOn w:val="1"/>
    <w:next w:val="1"/>
    <w:qFormat/>
    <w:uiPriority w:val="99"/>
    <w:rPr>
      <w:szCs w:val="21"/>
    </w:rPr>
  </w:style>
  <w:style w:type="paragraph" w:customStyle="1" w:styleId="176">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17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Body text|1"/>
    <w:basedOn w:val="1"/>
    <w:link w:val="179"/>
    <w:qFormat/>
    <w:uiPriority w:val="0"/>
    <w:pPr>
      <w:spacing w:line="360" w:lineRule="auto"/>
      <w:ind w:firstLine="400"/>
    </w:pPr>
    <w:rPr>
      <w:rFonts w:ascii="宋体" w:hAnsi="宋体" w:cs="宋体"/>
      <w:szCs w:val="20"/>
      <w:lang w:val="zh-CN" w:bidi="zh-CN"/>
    </w:rPr>
  </w:style>
  <w:style w:type="character" w:customStyle="1" w:styleId="179">
    <w:name w:val="Body text|1_"/>
    <w:link w:val="178"/>
    <w:qFormat/>
    <w:uiPriority w:val="0"/>
    <w:rPr>
      <w:rFonts w:ascii="宋体" w:hAnsi="宋体" w:cs="宋体"/>
      <w:kern w:val="2"/>
      <w:sz w:val="21"/>
      <w:lang w:val="zh-CN" w:bidi="zh-CN"/>
    </w:rPr>
  </w:style>
  <w:style w:type="character" w:customStyle="1" w:styleId="180">
    <w:name w:val="Body text|3_"/>
    <w:link w:val="181"/>
    <w:qFormat/>
    <w:uiPriority w:val="0"/>
    <w:rPr>
      <w:rFonts w:ascii="宋体" w:hAnsi="宋体" w:cs="宋体"/>
      <w:lang w:val="zh-CN" w:bidi="zh-CN"/>
    </w:rPr>
  </w:style>
  <w:style w:type="paragraph" w:customStyle="1" w:styleId="181">
    <w:name w:val="Body text|3"/>
    <w:basedOn w:val="1"/>
    <w:link w:val="180"/>
    <w:qFormat/>
    <w:uiPriority w:val="0"/>
    <w:pPr>
      <w:spacing w:after="340"/>
      <w:jc w:val="left"/>
    </w:pPr>
    <w:rPr>
      <w:rFonts w:ascii="宋体" w:hAnsi="宋体" w:cs="宋体"/>
      <w:kern w:val="0"/>
      <w:sz w:val="20"/>
      <w:szCs w:val="20"/>
      <w:lang w:val="zh-CN" w:bidi="zh-CN"/>
    </w:rPr>
  </w:style>
  <w:style w:type="character" w:customStyle="1" w:styleId="182">
    <w:name w:val="Other|1_"/>
    <w:link w:val="183"/>
    <w:qFormat/>
    <w:uiPriority w:val="0"/>
    <w:rPr>
      <w:rFonts w:ascii="宋体" w:hAnsi="宋体" w:cs="宋体"/>
      <w:lang w:val="zh-CN" w:bidi="zh-CN"/>
    </w:rPr>
  </w:style>
  <w:style w:type="paragraph" w:customStyle="1" w:styleId="183">
    <w:name w:val="Other|1"/>
    <w:basedOn w:val="1"/>
    <w:link w:val="182"/>
    <w:qFormat/>
    <w:uiPriority w:val="0"/>
    <w:pPr>
      <w:spacing w:line="360" w:lineRule="auto"/>
      <w:ind w:firstLine="400"/>
      <w:jc w:val="left"/>
    </w:pPr>
    <w:rPr>
      <w:rFonts w:ascii="宋体" w:hAnsi="宋体" w:cs="宋体"/>
      <w:kern w:val="0"/>
      <w:sz w:val="20"/>
      <w:szCs w:val="20"/>
      <w:lang w:val="zh-CN" w:bidi="zh-CN"/>
    </w:rPr>
  </w:style>
  <w:style w:type="character" w:customStyle="1" w:styleId="184">
    <w:name w:val="Table of contents|1_"/>
    <w:link w:val="185"/>
    <w:qFormat/>
    <w:uiPriority w:val="0"/>
    <w:rPr>
      <w:rFonts w:ascii="宋体" w:hAnsi="宋体" w:cs="宋体"/>
      <w:lang w:val="zh-CN" w:bidi="zh-CN"/>
    </w:rPr>
  </w:style>
  <w:style w:type="paragraph" w:customStyle="1" w:styleId="185">
    <w:name w:val="Table of contents|1"/>
    <w:basedOn w:val="1"/>
    <w:link w:val="184"/>
    <w:qFormat/>
    <w:uiPriority w:val="0"/>
    <w:pPr>
      <w:spacing w:after="100"/>
      <w:ind w:firstLine="600"/>
      <w:jc w:val="left"/>
    </w:pPr>
    <w:rPr>
      <w:rFonts w:ascii="宋体" w:hAnsi="宋体" w:cs="宋体"/>
      <w:kern w:val="0"/>
      <w:sz w:val="20"/>
      <w:szCs w:val="20"/>
      <w:lang w:val="zh-CN" w:bidi="zh-CN"/>
    </w:rPr>
  </w:style>
  <w:style w:type="character" w:customStyle="1" w:styleId="186">
    <w:name w:val="Header or footer|1_"/>
    <w:link w:val="187"/>
    <w:qFormat/>
    <w:uiPriority w:val="0"/>
    <w:rPr>
      <w:sz w:val="17"/>
      <w:szCs w:val="17"/>
      <w:lang w:val="zh-CN" w:bidi="zh-CN"/>
    </w:rPr>
  </w:style>
  <w:style w:type="paragraph" w:customStyle="1" w:styleId="187">
    <w:name w:val="Header or footer|1"/>
    <w:basedOn w:val="1"/>
    <w:link w:val="186"/>
    <w:qFormat/>
    <w:uiPriority w:val="0"/>
    <w:pPr>
      <w:jc w:val="center"/>
    </w:pPr>
    <w:rPr>
      <w:kern w:val="0"/>
      <w:sz w:val="17"/>
      <w:szCs w:val="17"/>
      <w:lang w:val="zh-CN" w:bidi="zh-CN"/>
    </w:rPr>
  </w:style>
  <w:style w:type="character" w:customStyle="1" w:styleId="188">
    <w:name w:val="Heading #3|1_"/>
    <w:link w:val="189"/>
    <w:qFormat/>
    <w:uiPriority w:val="0"/>
    <w:rPr>
      <w:rFonts w:ascii="宋体" w:hAnsi="宋体" w:cs="宋体"/>
      <w:sz w:val="28"/>
      <w:szCs w:val="28"/>
      <w:lang w:val="zh-CN" w:bidi="zh-CN"/>
    </w:rPr>
  </w:style>
  <w:style w:type="paragraph" w:customStyle="1" w:styleId="189">
    <w:name w:val="Heading #3|1"/>
    <w:basedOn w:val="1"/>
    <w:link w:val="188"/>
    <w:qFormat/>
    <w:uiPriority w:val="0"/>
    <w:pPr>
      <w:spacing w:after="570"/>
      <w:jc w:val="center"/>
      <w:outlineLvl w:val="2"/>
    </w:pPr>
    <w:rPr>
      <w:rFonts w:ascii="宋体" w:hAnsi="宋体" w:cs="宋体"/>
      <w:kern w:val="0"/>
      <w:sz w:val="28"/>
      <w:szCs w:val="28"/>
      <w:lang w:val="zh-CN" w:bidi="zh-CN"/>
    </w:rPr>
  </w:style>
  <w:style w:type="character" w:customStyle="1" w:styleId="190">
    <w:name w:val="Body text|7_"/>
    <w:link w:val="191"/>
    <w:qFormat/>
    <w:uiPriority w:val="0"/>
    <w:rPr>
      <w:rFonts w:ascii="Courier New" w:hAnsi="Courier New" w:eastAsia="Courier New" w:cs="Courier New"/>
      <w:b/>
      <w:bCs/>
      <w:sz w:val="8"/>
      <w:szCs w:val="8"/>
      <w:lang w:val="zh-CN"/>
    </w:rPr>
  </w:style>
  <w:style w:type="paragraph" w:customStyle="1" w:styleId="191">
    <w:name w:val="Body text|7"/>
    <w:basedOn w:val="1"/>
    <w:link w:val="190"/>
    <w:qFormat/>
    <w:uiPriority w:val="0"/>
    <w:pPr>
      <w:ind w:hanging="1760"/>
      <w:jc w:val="left"/>
    </w:pPr>
    <w:rPr>
      <w:rFonts w:ascii="Courier New" w:hAnsi="Courier New" w:eastAsia="Courier New"/>
      <w:b/>
      <w:bCs/>
      <w:kern w:val="0"/>
      <w:sz w:val="8"/>
      <w:szCs w:val="8"/>
      <w:lang w:val="zh-CN"/>
    </w:rPr>
  </w:style>
  <w:style w:type="character" w:customStyle="1" w:styleId="192">
    <w:name w:val="Body text|4_"/>
    <w:link w:val="193"/>
    <w:qFormat/>
    <w:uiPriority w:val="0"/>
    <w:rPr>
      <w:rFonts w:ascii="宋体" w:hAnsi="宋体" w:cs="宋体"/>
      <w:b/>
      <w:bCs/>
      <w:sz w:val="17"/>
      <w:szCs w:val="17"/>
      <w:lang w:val="zh-CN" w:bidi="zh-CN"/>
    </w:rPr>
  </w:style>
  <w:style w:type="paragraph" w:customStyle="1" w:styleId="193">
    <w:name w:val="Body text|4"/>
    <w:basedOn w:val="1"/>
    <w:link w:val="192"/>
    <w:qFormat/>
    <w:uiPriority w:val="0"/>
    <w:pPr>
      <w:spacing w:line="281" w:lineRule="exact"/>
      <w:jc w:val="center"/>
    </w:pPr>
    <w:rPr>
      <w:rFonts w:ascii="宋体" w:hAnsi="宋体" w:cs="宋体"/>
      <w:b/>
      <w:bCs/>
      <w:kern w:val="0"/>
      <w:sz w:val="17"/>
      <w:szCs w:val="17"/>
      <w:lang w:val="zh-CN" w:bidi="zh-CN"/>
    </w:rPr>
  </w:style>
  <w:style w:type="character" w:customStyle="1" w:styleId="194">
    <w:name w:val="Heading #4|1_"/>
    <w:link w:val="195"/>
    <w:qFormat/>
    <w:uiPriority w:val="0"/>
    <w:rPr>
      <w:rFonts w:ascii="宋体" w:hAnsi="宋体" w:cs="宋体"/>
      <w:lang w:val="zh-CN" w:bidi="zh-CN"/>
    </w:rPr>
  </w:style>
  <w:style w:type="paragraph" w:customStyle="1" w:styleId="195">
    <w:name w:val="Heading #4|1"/>
    <w:basedOn w:val="1"/>
    <w:link w:val="194"/>
    <w:qFormat/>
    <w:uiPriority w:val="0"/>
    <w:pPr>
      <w:spacing w:after="120"/>
      <w:jc w:val="left"/>
      <w:outlineLvl w:val="3"/>
    </w:pPr>
    <w:rPr>
      <w:rFonts w:ascii="宋体" w:hAnsi="宋体" w:cs="宋体"/>
      <w:kern w:val="0"/>
      <w:sz w:val="20"/>
      <w:szCs w:val="20"/>
      <w:lang w:val="zh-CN" w:bidi="zh-CN"/>
    </w:rPr>
  </w:style>
  <w:style w:type="character" w:customStyle="1" w:styleId="196">
    <w:name w:val="Body text|5_"/>
    <w:link w:val="197"/>
    <w:qFormat/>
    <w:uiPriority w:val="0"/>
    <w:rPr>
      <w:rFonts w:ascii="宋体" w:hAnsi="宋体" w:cs="宋体"/>
      <w:sz w:val="52"/>
      <w:szCs w:val="52"/>
      <w:lang w:val="zh-CN" w:bidi="zh-CN"/>
    </w:rPr>
  </w:style>
  <w:style w:type="paragraph" w:customStyle="1" w:styleId="197">
    <w:name w:val="Body text|5"/>
    <w:basedOn w:val="1"/>
    <w:link w:val="196"/>
    <w:qFormat/>
    <w:uiPriority w:val="0"/>
    <w:pPr>
      <w:jc w:val="center"/>
    </w:pPr>
    <w:rPr>
      <w:rFonts w:ascii="宋体" w:hAnsi="宋体" w:cs="宋体"/>
      <w:kern w:val="0"/>
      <w:sz w:val="52"/>
      <w:szCs w:val="52"/>
      <w:lang w:val="zh-CN" w:bidi="zh-CN"/>
    </w:rPr>
  </w:style>
  <w:style w:type="character" w:customStyle="1" w:styleId="198">
    <w:name w:val="Header or footer|2_"/>
    <w:link w:val="199"/>
    <w:qFormat/>
    <w:uiPriority w:val="0"/>
    <w:rPr>
      <w:lang w:val="zh-CN" w:bidi="zh-CN"/>
    </w:rPr>
  </w:style>
  <w:style w:type="paragraph" w:customStyle="1" w:styleId="199">
    <w:name w:val="Header or footer|2"/>
    <w:basedOn w:val="1"/>
    <w:link w:val="198"/>
    <w:qFormat/>
    <w:uiPriority w:val="0"/>
    <w:pPr>
      <w:jc w:val="left"/>
    </w:pPr>
    <w:rPr>
      <w:kern w:val="0"/>
      <w:sz w:val="20"/>
      <w:szCs w:val="20"/>
      <w:lang w:val="zh-CN" w:bidi="zh-CN"/>
    </w:rPr>
  </w:style>
  <w:style w:type="character" w:customStyle="1" w:styleId="200">
    <w:name w:val="Heading #2|1_"/>
    <w:link w:val="201"/>
    <w:qFormat/>
    <w:uiPriority w:val="0"/>
    <w:rPr>
      <w:rFonts w:ascii="宋体" w:hAnsi="宋体" w:cs="宋体"/>
      <w:sz w:val="34"/>
      <w:szCs w:val="34"/>
      <w:lang w:val="zh-CN" w:bidi="zh-CN"/>
    </w:rPr>
  </w:style>
  <w:style w:type="paragraph" w:customStyle="1" w:styleId="201">
    <w:name w:val="Heading #2|1"/>
    <w:basedOn w:val="1"/>
    <w:link w:val="200"/>
    <w:qFormat/>
    <w:uiPriority w:val="0"/>
    <w:pPr>
      <w:spacing w:after="900"/>
      <w:jc w:val="center"/>
      <w:outlineLvl w:val="1"/>
    </w:pPr>
    <w:rPr>
      <w:rFonts w:ascii="宋体" w:hAnsi="宋体" w:cs="宋体"/>
      <w:kern w:val="0"/>
      <w:sz w:val="34"/>
      <w:szCs w:val="34"/>
      <w:lang w:val="zh-CN" w:bidi="zh-CN"/>
    </w:rPr>
  </w:style>
  <w:style w:type="character" w:customStyle="1" w:styleId="202">
    <w:name w:val="Table caption|1_"/>
    <w:link w:val="203"/>
    <w:qFormat/>
    <w:uiPriority w:val="0"/>
    <w:rPr>
      <w:rFonts w:ascii="宋体" w:hAnsi="宋体" w:cs="宋体"/>
      <w:lang w:val="zh-CN" w:bidi="zh-CN"/>
    </w:rPr>
  </w:style>
  <w:style w:type="paragraph" w:customStyle="1" w:styleId="203">
    <w:name w:val="Table caption|1"/>
    <w:basedOn w:val="1"/>
    <w:link w:val="202"/>
    <w:qFormat/>
    <w:uiPriority w:val="0"/>
    <w:pPr>
      <w:jc w:val="left"/>
    </w:pPr>
    <w:rPr>
      <w:rFonts w:ascii="宋体" w:hAnsi="宋体" w:cs="宋体"/>
      <w:kern w:val="0"/>
      <w:sz w:val="20"/>
      <w:szCs w:val="20"/>
      <w:lang w:val="zh-CN" w:bidi="zh-CN"/>
    </w:rPr>
  </w:style>
  <w:style w:type="character" w:customStyle="1" w:styleId="204">
    <w:name w:val="Body text|6_"/>
    <w:link w:val="205"/>
    <w:qFormat/>
    <w:uiPriority w:val="0"/>
    <w:rPr>
      <w:rFonts w:ascii="Arial" w:hAnsi="Arial" w:eastAsia="Arial" w:cs="Arial"/>
      <w:lang w:val="zh-CN"/>
    </w:rPr>
  </w:style>
  <w:style w:type="paragraph" w:customStyle="1" w:styleId="205">
    <w:name w:val="Body text|6"/>
    <w:basedOn w:val="1"/>
    <w:link w:val="204"/>
    <w:qFormat/>
    <w:uiPriority w:val="0"/>
    <w:pPr>
      <w:ind w:hanging="2220"/>
      <w:jc w:val="left"/>
    </w:pPr>
    <w:rPr>
      <w:rFonts w:ascii="Arial" w:hAnsi="Arial" w:eastAsia="Arial"/>
      <w:kern w:val="0"/>
      <w:sz w:val="20"/>
      <w:szCs w:val="20"/>
      <w:lang w:val="zh-CN"/>
    </w:rPr>
  </w:style>
  <w:style w:type="character" w:customStyle="1" w:styleId="206">
    <w:name w:val="Heading #1|1_"/>
    <w:link w:val="207"/>
    <w:qFormat/>
    <w:uiPriority w:val="0"/>
    <w:rPr>
      <w:rFonts w:ascii="宋体" w:hAnsi="宋体" w:cs="宋体"/>
      <w:sz w:val="38"/>
      <w:szCs w:val="38"/>
      <w:lang w:val="zh-CN" w:bidi="zh-CN"/>
    </w:rPr>
  </w:style>
  <w:style w:type="paragraph" w:customStyle="1" w:styleId="207">
    <w:name w:val="Heading #1|1"/>
    <w:basedOn w:val="1"/>
    <w:link w:val="206"/>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8">
    <w:name w:val="Body text|2_"/>
    <w:link w:val="209"/>
    <w:qFormat/>
    <w:uiPriority w:val="0"/>
    <w:rPr>
      <w:sz w:val="21"/>
    </w:rPr>
  </w:style>
  <w:style w:type="paragraph" w:customStyle="1" w:styleId="209">
    <w:name w:val="Body text|2"/>
    <w:basedOn w:val="1"/>
    <w:link w:val="208"/>
    <w:qFormat/>
    <w:uiPriority w:val="0"/>
    <w:pPr>
      <w:spacing w:after="30"/>
      <w:ind w:firstLine="420"/>
      <w:jc w:val="left"/>
    </w:pPr>
    <w:rPr>
      <w:kern w:val="0"/>
      <w:szCs w:val="20"/>
    </w:rPr>
  </w:style>
  <w:style w:type="character" w:styleId="210">
    <w:name w:val="Placeholder Text"/>
    <w:unhideWhenUsed/>
    <w:qFormat/>
    <w:uiPriority w:val="99"/>
    <w:rPr>
      <w:color w:val="808080"/>
    </w:rPr>
  </w:style>
  <w:style w:type="paragraph" w:customStyle="1" w:styleId="211">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2">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3">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2756</Words>
  <Characters>3194</Characters>
  <Lines>509</Lines>
  <Paragraphs>143</Paragraphs>
  <TotalTime>68</TotalTime>
  <ScaleCrop>false</ScaleCrop>
  <LinksUpToDate>false</LinksUpToDate>
  <CharactersWithSpaces>3232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2025-07-10T08:06:00Z</dcterms:created>
  <dc:creator>唐冰</dc:creator>
  <cp:lastModifiedBy>凸凸没有凹</cp:lastModifiedBy>
  <cp:lastPrinted>2025-08-19T09:02:00Z</cp:lastPrinted>
  <dcterms:modified xsi:type="dcterms:W3CDTF">2025-08-20T08:17:44Z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F821352A755F42858BEE51EB6723F4AD_13</vt:lpwstr>
  </property>
  <property fmtid="{D5CDD505-2E9C-101B-9397-08002B2CF9AE}" pid="4" name="KSOTemplateDocerSaveRecord">
    <vt:lpwstr>eyJoZGlkIjoiYWVhMWY1ZWI3OWZhOGJlODg5ZGJiM2FhOTMyMzE1NWMiLCJ1c2VySWQiOiIyNTA3NTkwNjMifQ==</vt:lpwstr>
  </property>
</Properties>
</file>